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汉鼎简中楷"/>
          <w:color w:val="auto"/>
          <w:sz w:val="52"/>
        </w:rPr>
      </w:pPr>
      <w:r>
        <w:rPr>
          <w:rFonts w:eastAsia="汉鼎简中楷"/>
          <w:color w:val="auto"/>
          <w:sz w:val="52"/>
        </w:rPr>
        <w:drawing>
          <wp:anchor distT="0" distB="0" distL="114300" distR="114300" simplePos="0" relativeHeight="251661312" behindDoc="0" locked="0" layoutInCell="1" allowOverlap="1">
            <wp:simplePos x="0" y="0"/>
            <wp:positionH relativeFrom="column">
              <wp:posOffset>-220345</wp:posOffset>
            </wp:positionH>
            <wp:positionV relativeFrom="paragraph">
              <wp:posOffset>-40005</wp:posOffset>
            </wp:positionV>
            <wp:extent cx="4293235" cy="541655"/>
            <wp:effectExtent l="0" t="0" r="12065" b="1079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stretch>
                      <a:fillRect/>
                    </a:stretch>
                  </pic:blipFill>
                  <pic:spPr>
                    <a:xfrm>
                      <a:off x="0" y="0"/>
                      <a:ext cx="4293235" cy="541655"/>
                    </a:xfrm>
                    <a:prstGeom prst="rect">
                      <a:avLst/>
                    </a:prstGeom>
                    <a:noFill/>
                    <a:ln>
                      <a:noFill/>
                    </a:ln>
                  </pic:spPr>
                </pic:pic>
              </a:graphicData>
            </a:graphic>
          </wp:anchor>
        </w:drawing>
      </w:r>
      <w:bookmarkStart w:id="0" w:name="_Hlt162751967"/>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eastAsia="楷体_GB2312"/>
          <w:b/>
          <w:bCs/>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eastAsia="楷体_GB2312"/>
          <w:b/>
          <w:bCs/>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eastAsia="楷体_GB2312"/>
          <w:b/>
          <w:bCs/>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eastAsia="楷体_GB2312"/>
          <w:b/>
          <w:bCs/>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eastAsia="楷体_GB2312"/>
          <w:b/>
          <w:bCs/>
          <w:color w:val="auto"/>
          <w:sz w:val="44"/>
          <w:szCs w:val="44"/>
          <w:lang w:eastAsia="zh-CN"/>
        </w:rPr>
      </w:pPr>
      <w:r>
        <w:rPr>
          <w:rFonts w:hint="eastAsia" w:ascii="楷体_GB2312" w:eastAsia="楷体_GB2312"/>
          <w:b/>
          <w:bCs/>
          <w:color w:val="auto"/>
          <w:sz w:val="44"/>
          <w:szCs w:val="44"/>
          <w:lang w:eastAsia="zh-CN"/>
        </w:rPr>
        <w:t>瑞安市阳光小学扩建工程智能化设备采购</w:t>
      </w:r>
    </w:p>
    <w:p>
      <w:pPr>
        <w:keepNext w:val="0"/>
        <w:keepLines w:val="0"/>
        <w:pageBreakBefore w:val="0"/>
        <w:widowControl/>
        <w:kinsoku/>
        <w:wordWrap/>
        <w:overflowPunct/>
        <w:topLinePunct w:val="0"/>
        <w:autoSpaceDE/>
        <w:autoSpaceDN/>
        <w:bidi w:val="0"/>
        <w:adjustRightInd/>
        <w:snapToGrid/>
        <w:spacing w:line="1000" w:lineRule="exact"/>
        <w:jc w:val="center"/>
        <w:textAlignment w:val="auto"/>
        <w:rPr>
          <w:rFonts w:hint="eastAsia" w:ascii="楷体_GB2312" w:eastAsia="楷体_GB2312"/>
          <w:b/>
          <w:bCs/>
          <w:color w:val="auto"/>
          <w:sz w:val="84"/>
          <w:szCs w:val="84"/>
        </w:rPr>
      </w:pPr>
      <w:r>
        <w:rPr>
          <w:rFonts w:hint="eastAsia" w:ascii="楷体_GB2312" w:eastAsia="楷体_GB2312"/>
          <w:b/>
          <w:bCs/>
          <w:color w:val="auto"/>
          <w:sz w:val="84"/>
          <w:szCs w:val="84"/>
        </w:rPr>
        <w:t xml:space="preserve"> </w:t>
      </w:r>
    </w:p>
    <w:p>
      <w:pPr>
        <w:keepNext w:val="0"/>
        <w:keepLines w:val="0"/>
        <w:pageBreakBefore w:val="0"/>
        <w:widowControl/>
        <w:kinsoku/>
        <w:wordWrap/>
        <w:overflowPunct/>
        <w:topLinePunct w:val="0"/>
        <w:autoSpaceDE/>
        <w:autoSpaceDN/>
        <w:bidi w:val="0"/>
        <w:adjustRightInd/>
        <w:snapToGrid/>
        <w:spacing w:line="960" w:lineRule="exact"/>
        <w:jc w:val="center"/>
        <w:textAlignment w:val="auto"/>
        <w:rPr>
          <w:rFonts w:ascii="楷体_GB2312" w:eastAsia="楷体_GB2312"/>
          <w:b/>
          <w:bCs/>
          <w:color w:val="auto"/>
          <w:sz w:val="72"/>
          <w:szCs w:val="72"/>
        </w:rPr>
      </w:pPr>
      <w:r>
        <w:rPr>
          <w:rFonts w:hint="eastAsia" w:ascii="楷体_GB2312" w:eastAsia="楷体_GB2312"/>
          <w:b/>
          <w:bCs/>
          <w:color w:val="auto"/>
          <w:sz w:val="84"/>
          <w:szCs w:val="84"/>
          <w:lang w:val="en-US" w:eastAsia="zh-CN"/>
        </w:rPr>
        <w:t xml:space="preserve"> </w:t>
      </w:r>
      <w:r>
        <w:rPr>
          <w:rFonts w:hint="eastAsia" w:ascii="楷体_GB2312" w:eastAsia="楷体_GB2312"/>
          <w:b/>
          <w:bCs/>
          <w:color w:val="auto"/>
          <w:sz w:val="72"/>
          <w:szCs w:val="72"/>
        </w:rPr>
        <w:t>磋</w:t>
      </w:r>
    </w:p>
    <w:p>
      <w:pPr>
        <w:keepNext w:val="0"/>
        <w:keepLines w:val="0"/>
        <w:pageBreakBefore w:val="0"/>
        <w:widowControl/>
        <w:kinsoku/>
        <w:wordWrap/>
        <w:overflowPunct/>
        <w:topLinePunct w:val="0"/>
        <w:autoSpaceDE/>
        <w:autoSpaceDN/>
        <w:bidi w:val="0"/>
        <w:adjustRightInd/>
        <w:snapToGrid/>
        <w:spacing w:line="960" w:lineRule="exact"/>
        <w:jc w:val="center"/>
        <w:textAlignment w:val="auto"/>
        <w:rPr>
          <w:rFonts w:ascii="楷体_GB2312" w:eastAsia="楷体_GB2312"/>
          <w:b/>
          <w:bCs/>
          <w:color w:val="auto"/>
          <w:sz w:val="72"/>
          <w:szCs w:val="72"/>
        </w:rPr>
      </w:pPr>
      <w:r>
        <w:rPr>
          <w:rFonts w:hint="eastAsia" w:ascii="楷体_GB2312" w:eastAsia="楷体_GB2312"/>
          <w:b/>
          <w:bCs/>
          <w:color w:val="auto"/>
          <w:sz w:val="72"/>
          <w:szCs w:val="72"/>
        </w:rPr>
        <w:t xml:space="preserve"> 商</w:t>
      </w:r>
    </w:p>
    <w:p>
      <w:pPr>
        <w:keepNext w:val="0"/>
        <w:keepLines w:val="0"/>
        <w:pageBreakBefore w:val="0"/>
        <w:widowControl/>
        <w:kinsoku/>
        <w:wordWrap/>
        <w:overflowPunct/>
        <w:topLinePunct w:val="0"/>
        <w:autoSpaceDE/>
        <w:autoSpaceDN/>
        <w:bidi w:val="0"/>
        <w:adjustRightInd/>
        <w:snapToGrid/>
        <w:spacing w:line="960" w:lineRule="exact"/>
        <w:jc w:val="center"/>
        <w:textAlignment w:val="auto"/>
        <w:rPr>
          <w:rFonts w:ascii="楷体_GB2312" w:eastAsia="楷体_GB2312"/>
          <w:b/>
          <w:bCs/>
          <w:color w:val="auto"/>
          <w:sz w:val="72"/>
          <w:szCs w:val="72"/>
        </w:rPr>
      </w:pPr>
      <w:r>
        <w:rPr>
          <w:rFonts w:hint="eastAsia" w:ascii="楷体_GB2312" w:eastAsia="楷体_GB2312"/>
          <w:b/>
          <w:bCs/>
          <w:color w:val="auto"/>
          <w:sz w:val="72"/>
          <w:szCs w:val="72"/>
        </w:rPr>
        <w:t xml:space="preserve"> 文</w:t>
      </w:r>
    </w:p>
    <w:p>
      <w:pPr>
        <w:keepNext w:val="0"/>
        <w:keepLines w:val="0"/>
        <w:pageBreakBefore w:val="0"/>
        <w:widowControl/>
        <w:kinsoku/>
        <w:wordWrap/>
        <w:overflowPunct/>
        <w:topLinePunct w:val="0"/>
        <w:autoSpaceDE/>
        <w:autoSpaceDN/>
        <w:bidi w:val="0"/>
        <w:adjustRightInd/>
        <w:snapToGrid/>
        <w:spacing w:line="960" w:lineRule="exact"/>
        <w:jc w:val="center"/>
        <w:textAlignment w:val="auto"/>
        <w:rPr>
          <w:rFonts w:hint="eastAsia" w:ascii="楷体_GB2312" w:eastAsia="楷体_GB2312"/>
          <w:b/>
          <w:bCs/>
          <w:color w:val="auto"/>
          <w:sz w:val="72"/>
          <w:szCs w:val="72"/>
        </w:rPr>
      </w:pPr>
      <w:r>
        <w:rPr>
          <w:rFonts w:hint="eastAsia" w:ascii="楷体_GB2312" w:eastAsia="楷体_GB2312"/>
          <w:b/>
          <w:bCs/>
          <w:color w:val="auto"/>
          <w:sz w:val="72"/>
          <w:szCs w:val="72"/>
        </w:rPr>
        <w:t xml:space="preserve"> 件</w:t>
      </w:r>
    </w:p>
    <w:p>
      <w:pPr>
        <w:pStyle w:val="2"/>
        <w:rPr>
          <w:rFonts w:hint="eastAsia" w:ascii="楷体_GB2312" w:eastAsia="楷体_GB2312"/>
          <w:b/>
          <w:bCs/>
          <w:color w:val="auto"/>
          <w:sz w:val="72"/>
          <w:szCs w:val="72"/>
        </w:rPr>
      </w:pPr>
    </w:p>
    <w:p>
      <w:pPr>
        <w:pStyle w:val="4"/>
        <w:rPr>
          <w:rFonts w:hint="eastAsia"/>
          <w:color w:val="auto"/>
        </w:rPr>
      </w:pPr>
    </w:p>
    <w:p>
      <w:pPr>
        <w:pStyle w:val="2"/>
        <w:rPr>
          <w:color w:val="auto"/>
        </w:rPr>
      </w:pPr>
    </w:p>
    <w:tbl>
      <w:tblPr>
        <w:tblStyle w:val="38"/>
        <w:tblW w:w="876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1" w:type="dxa"/>
            <w:tcBorders>
              <w:top w:val="nil"/>
              <w:left w:val="nil"/>
              <w:bottom w:val="nil"/>
              <w:right w:val="nil"/>
            </w:tcBorders>
            <w:vAlign w:val="center"/>
          </w:tcPr>
          <w:p>
            <w:pPr>
              <w:spacing w:line="360" w:lineRule="auto"/>
              <w:ind w:left="-209" w:leftChars="-100" w:hanging="1"/>
              <w:jc w:val="right"/>
              <w:rPr>
                <w:rFonts w:ascii="宋体" w:hAnsi="宋体"/>
                <w:color w:val="auto"/>
                <w:sz w:val="30"/>
                <w:szCs w:val="30"/>
              </w:rPr>
            </w:pPr>
            <w:r>
              <w:rPr>
                <w:rFonts w:hint="eastAsia" w:ascii="宋体" w:hAnsi="宋体"/>
                <w:color w:val="auto"/>
                <w:sz w:val="30"/>
                <w:szCs w:val="30"/>
              </w:rPr>
              <w:t>项 目 编 号：</w:t>
            </w:r>
          </w:p>
        </w:tc>
        <w:tc>
          <w:tcPr>
            <w:tcW w:w="6490" w:type="dxa"/>
            <w:tcBorders>
              <w:top w:val="nil"/>
              <w:left w:val="nil"/>
              <w:bottom w:val="nil"/>
              <w:right w:val="nil"/>
            </w:tcBorders>
            <w:vAlign w:val="center"/>
          </w:tcPr>
          <w:p>
            <w:pPr>
              <w:spacing w:line="360" w:lineRule="auto"/>
              <w:ind w:left="-73" w:leftChars="-35" w:firstLine="2"/>
              <w:jc w:val="both"/>
              <w:rPr>
                <w:rFonts w:hint="eastAsia" w:ascii="宋体" w:hAnsi="宋体" w:eastAsia="宋体"/>
                <w:color w:val="auto"/>
                <w:sz w:val="30"/>
                <w:szCs w:val="30"/>
                <w:lang w:eastAsia="zh-CN"/>
              </w:rPr>
            </w:pPr>
            <w:r>
              <w:rPr>
                <w:rFonts w:hint="eastAsia" w:ascii="宋体" w:hAnsi="宋体"/>
                <w:color w:val="auto"/>
                <w:sz w:val="30"/>
                <w:szCs w:val="30"/>
                <w:lang w:eastAsia="zh-CN"/>
              </w:rPr>
              <w:t>RYCG20210840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right"/>
        </w:trPr>
        <w:tc>
          <w:tcPr>
            <w:tcW w:w="2271" w:type="dxa"/>
            <w:tcBorders>
              <w:top w:val="nil"/>
              <w:left w:val="nil"/>
              <w:bottom w:val="nil"/>
              <w:right w:val="nil"/>
            </w:tcBorders>
            <w:vAlign w:val="center"/>
          </w:tcPr>
          <w:p>
            <w:pPr>
              <w:spacing w:line="360" w:lineRule="auto"/>
              <w:jc w:val="right"/>
              <w:rPr>
                <w:rFonts w:ascii="宋体" w:hAnsi="宋体"/>
                <w:color w:val="auto"/>
                <w:sz w:val="30"/>
                <w:szCs w:val="30"/>
              </w:rPr>
            </w:pPr>
            <w:r>
              <w:rPr>
                <w:rFonts w:hint="eastAsia" w:ascii="宋体" w:hAnsi="宋体"/>
                <w:color w:val="auto"/>
                <w:sz w:val="30"/>
                <w:szCs w:val="30"/>
              </w:rPr>
              <w:t>采 购 方 式：</w:t>
            </w:r>
          </w:p>
        </w:tc>
        <w:tc>
          <w:tcPr>
            <w:tcW w:w="6490" w:type="dxa"/>
            <w:tcBorders>
              <w:top w:val="nil"/>
              <w:left w:val="nil"/>
              <w:bottom w:val="nil"/>
              <w:right w:val="nil"/>
            </w:tcBorders>
            <w:vAlign w:val="center"/>
          </w:tcPr>
          <w:p>
            <w:pPr>
              <w:spacing w:line="360" w:lineRule="auto"/>
              <w:ind w:left="-73" w:leftChars="-35" w:firstLine="2"/>
              <w:jc w:val="both"/>
              <w:rPr>
                <w:rFonts w:ascii="宋体" w:hAnsi="宋体"/>
                <w:color w:val="auto"/>
                <w:sz w:val="30"/>
                <w:szCs w:val="30"/>
              </w:rPr>
            </w:pPr>
            <w:r>
              <w:rPr>
                <w:rFonts w:hint="eastAsia" w:ascii="宋体" w:hAnsi="宋体"/>
                <w:color w:val="auto"/>
                <w:sz w:val="30"/>
                <w:szCs w:val="3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1" w:type="dxa"/>
            <w:tcBorders>
              <w:top w:val="nil"/>
              <w:left w:val="nil"/>
              <w:bottom w:val="nil"/>
              <w:right w:val="nil"/>
            </w:tcBorders>
          </w:tcPr>
          <w:p>
            <w:pPr>
              <w:spacing w:line="360" w:lineRule="auto"/>
              <w:jc w:val="right"/>
              <w:rPr>
                <w:rFonts w:ascii="宋体" w:hAnsi="宋体"/>
                <w:color w:val="auto"/>
                <w:sz w:val="30"/>
                <w:szCs w:val="30"/>
              </w:rPr>
            </w:pPr>
            <w:r>
              <w:rPr>
                <w:rFonts w:hint="eastAsia" w:ascii="宋体" w:hAnsi="宋体"/>
                <w:color w:val="auto"/>
                <w:sz w:val="30"/>
                <w:szCs w:val="30"/>
              </w:rPr>
              <w:t>采   购   人：</w:t>
            </w:r>
          </w:p>
        </w:tc>
        <w:tc>
          <w:tcPr>
            <w:tcW w:w="6490" w:type="dxa"/>
            <w:tcBorders>
              <w:top w:val="nil"/>
              <w:left w:val="nil"/>
              <w:bottom w:val="nil"/>
              <w:right w:val="nil"/>
            </w:tcBorders>
            <w:vAlign w:val="center"/>
          </w:tcPr>
          <w:p>
            <w:pPr>
              <w:spacing w:line="360" w:lineRule="auto"/>
              <w:jc w:val="both"/>
              <w:rPr>
                <w:rFonts w:ascii="宋体" w:hAnsi="宋体"/>
                <w:color w:val="auto"/>
                <w:sz w:val="30"/>
                <w:szCs w:val="30"/>
              </w:rPr>
            </w:pPr>
            <w:r>
              <w:rPr>
                <w:rFonts w:hint="eastAsia" w:ascii="宋体" w:hAnsi="宋体"/>
                <w:color w:val="auto"/>
                <w:sz w:val="30"/>
                <w:szCs w:val="30"/>
              </w:rPr>
              <w:t>瑞安安阳中心城区开发建设中心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271" w:type="dxa"/>
            <w:tcBorders>
              <w:top w:val="nil"/>
              <w:left w:val="nil"/>
              <w:bottom w:val="nil"/>
              <w:right w:val="nil"/>
            </w:tcBorders>
            <w:vAlign w:val="center"/>
          </w:tcPr>
          <w:p>
            <w:pPr>
              <w:spacing w:line="360" w:lineRule="auto"/>
              <w:jc w:val="right"/>
              <w:rPr>
                <w:rFonts w:ascii="宋体" w:hAnsi="宋体"/>
                <w:color w:val="auto"/>
                <w:sz w:val="30"/>
                <w:szCs w:val="30"/>
              </w:rPr>
            </w:pPr>
            <w:r>
              <w:rPr>
                <w:rFonts w:hint="eastAsia" w:ascii="宋体" w:hAnsi="宋体"/>
                <w:color w:val="auto"/>
                <w:sz w:val="30"/>
                <w:szCs w:val="30"/>
              </w:rPr>
              <w:t>采购代理机构：</w:t>
            </w:r>
          </w:p>
        </w:tc>
        <w:tc>
          <w:tcPr>
            <w:tcW w:w="6490" w:type="dxa"/>
            <w:tcBorders>
              <w:top w:val="nil"/>
              <w:left w:val="nil"/>
              <w:bottom w:val="nil"/>
              <w:right w:val="nil"/>
            </w:tcBorders>
            <w:vAlign w:val="center"/>
          </w:tcPr>
          <w:p>
            <w:pPr>
              <w:spacing w:line="360" w:lineRule="auto"/>
              <w:jc w:val="both"/>
              <w:rPr>
                <w:rFonts w:ascii="宋体" w:hAnsi="宋体"/>
                <w:color w:val="auto"/>
                <w:sz w:val="30"/>
                <w:szCs w:val="30"/>
              </w:rPr>
            </w:pPr>
            <w:r>
              <w:rPr>
                <w:rFonts w:hint="eastAsia" w:ascii="宋体" w:hAnsi="宋体"/>
                <w:color w:val="auto"/>
                <w:sz w:val="30"/>
                <w:szCs w:val="30"/>
              </w:rPr>
              <w:t>浙江瑞扬工程咨询招标代理股份有限公司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761" w:type="dxa"/>
            <w:gridSpan w:val="2"/>
            <w:tcBorders>
              <w:top w:val="nil"/>
              <w:left w:val="nil"/>
              <w:bottom w:val="nil"/>
              <w:right w:val="nil"/>
            </w:tcBorders>
            <w:vAlign w:val="center"/>
          </w:tcPr>
          <w:p>
            <w:pPr>
              <w:spacing w:line="360" w:lineRule="auto"/>
              <w:ind w:firstLine="2550" w:firstLineChars="850"/>
              <w:rPr>
                <w:rFonts w:ascii="宋体" w:hAnsi="宋体"/>
                <w:color w:val="auto"/>
                <w:sz w:val="30"/>
                <w:szCs w:val="30"/>
              </w:rPr>
            </w:pPr>
            <w:r>
              <w:rPr>
                <w:rFonts w:hint="eastAsia" w:ascii="宋体" w:hAnsi="宋体"/>
                <w:color w:val="auto"/>
                <w:sz w:val="30"/>
                <w:szCs w:val="30"/>
              </w:rPr>
              <w:t xml:space="preserve">   二○二一年</w:t>
            </w:r>
            <w:r>
              <w:rPr>
                <w:rFonts w:hint="eastAsia" w:ascii="宋体" w:hAnsi="宋体"/>
                <w:color w:val="auto"/>
                <w:sz w:val="30"/>
                <w:szCs w:val="30"/>
                <w:lang w:val="en-US" w:eastAsia="zh-CN"/>
              </w:rPr>
              <w:t>十</w:t>
            </w:r>
            <w:r>
              <w:rPr>
                <w:rFonts w:hint="eastAsia" w:ascii="宋体" w:hAnsi="宋体"/>
                <w:color w:val="auto"/>
                <w:sz w:val="30"/>
                <w:szCs w:val="30"/>
              </w:rPr>
              <w:t>月</w:t>
            </w:r>
          </w:p>
        </w:tc>
      </w:tr>
    </w:tbl>
    <w:p>
      <w:pPr>
        <w:spacing w:beforeLines="100" w:afterLines="100" w:line="360" w:lineRule="auto"/>
        <w:jc w:val="center"/>
        <w:rPr>
          <w:b/>
          <w:color w:val="auto"/>
          <w:sz w:val="32"/>
          <w:szCs w:val="32"/>
        </w:rPr>
        <w:sectPr>
          <w:pgSz w:w="11906" w:h="16838"/>
          <w:pgMar w:top="1440" w:right="1800" w:bottom="1440" w:left="1843" w:header="680" w:footer="680" w:gutter="0"/>
          <w:pgBorders>
            <w:top w:val="none" w:sz="0" w:space="0"/>
            <w:left w:val="none" w:sz="0" w:space="0"/>
            <w:bottom w:val="none" w:sz="0" w:space="0"/>
            <w:right w:val="none" w:sz="0" w:space="0"/>
          </w:pgBorders>
          <w:pgNumType w:fmt="numberInDash" w:start="1"/>
          <w:cols w:space="720" w:num="1"/>
          <w:rtlGutter w:val="1"/>
          <w:docGrid w:type="lines" w:linePitch="312" w:charSpace="0"/>
        </w:sectPr>
      </w:pPr>
    </w:p>
    <w:p>
      <w:pPr>
        <w:tabs>
          <w:tab w:val="left" w:pos="2426"/>
          <w:tab w:val="center" w:pos="4191"/>
        </w:tabs>
        <w:spacing w:beforeLines="100" w:afterLines="100" w:line="360" w:lineRule="auto"/>
        <w:rPr>
          <w:b/>
          <w:color w:val="auto"/>
          <w:sz w:val="32"/>
          <w:szCs w:val="32"/>
        </w:rPr>
      </w:pPr>
      <w:r>
        <w:rPr>
          <w:rFonts w:hint="eastAsia"/>
          <w:b/>
          <w:color w:val="auto"/>
          <w:sz w:val="32"/>
          <w:szCs w:val="32"/>
        </w:rPr>
        <w:tab/>
      </w:r>
      <w:r>
        <w:rPr>
          <w:rFonts w:hint="eastAsia"/>
          <w:b/>
          <w:color w:val="auto"/>
          <w:sz w:val="32"/>
          <w:szCs w:val="32"/>
        </w:rPr>
        <w:tab/>
      </w:r>
      <w:r>
        <w:rPr>
          <w:rFonts w:hint="eastAsia"/>
          <w:b/>
          <w:color w:val="auto"/>
          <w:sz w:val="32"/>
          <w:szCs w:val="32"/>
        </w:rPr>
        <w:t>目    录</w:t>
      </w:r>
    </w:p>
    <w:p>
      <w:pPr>
        <w:pStyle w:val="27"/>
        <w:keepNext w:val="0"/>
        <w:keepLines w:val="0"/>
        <w:tabs>
          <w:tab w:val="right" w:leader="dot" w:pos="8504"/>
          <w:tab w:val="clear" w:pos="8948"/>
        </w:tabs>
        <w:kinsoku/>
        <w:wordWrap/>
        <w:overflowPunct/>
        <w:topLinePunct w:val="0"/>
        <w:autoSpaceDE/>
        <w:autoSpaceDN/>
        <w:bidi w:val="0"/>
        <w:spacing w:line="600" w:lineRule="exact"/>
        <w:textAlignment w:val="auto"/>
        <w:rPr>
          <w:color w:val="auto"/>
        </w:rPr>
      </w:pPr>
      <w:r>
        <w:rPr>
          <w:b w:val="0"/>
          <w:color w:val="auto"/>
          <w:kern w:val="2"/>
          <w:sz w:val="24"/>
          <w:szCs w:val="24"/>
        </w:rPr>
        <w:fldChar w:fldCharType="begin"/>
      </w:r>
      <w:r>
        <w:rPr>
          <w:b w:val="0"/>
          <w:color w:val="auto"/>
          <w:kern w:val="2"/>
          <w:sz w:val="24"/>
          <w:szCs w:val="24"/>
        </w:rPr>
        <w:instrText xml:space="preserve"> TOC \o "1-3" \h \z \u </w:instrText>
      </w:r>
      <w:r>
        <w:rPr>
          <w:b w:val="0"/>
          <w:color w:val="auto"/>
          <w:kern w:val="2"/>
          <w:sz w:val="24"/>
          <w:szCs w:val="24"/>
        </w:rPr>
        <w:fldChar w:fldCharType="separate"/>
      </w:r>
      <w:r>
        <w:rPr>
          <w:color w:val="auto"/>
          <w:kern w:val="2"/>
          <w:szCs w:val="24"/>
        </w:rPr>
        <w:fldChar w:fldCharType="begin"/>
      </w:r>
      <w:r>
        <w:rPr>
          <w:color w:val="auto"/>
          <w:kern w:val="2"/>
          <w:szCs w:val="24"/>
        </w:rPr>
        <w:instrText xml:space="preserve"> HYPERLINK \l _Toc23617 </w:instrText>
      </w:r>
      <w:r>
        <w:rPr>
          <w:color w:val="auto"/>
          <w:kern w:val="2"/>
          <w:szCs w:val="24"/>
        </w:rPr>
        <w:fldChar w:fldCharType="separate"/>
      </w:r>
      <w:r>
        <w:rPr>
          <w:rFonts w:hint="eastAsia" w:hAnsi="宋体"/>
          <w:color w:val="auto"/>
          <w:szCs w:val="36"/>
        </w:rPr>
        <w:t>第一部分  采购公告</w:t>
      </w:r>
      <w:r>
        <w:rPr>
          <w:color w:val="auto"/>
        </w:rPr>
        <w:tab/>
      </w:r>
      <w:r>
        <w:rPr>
          <w:color w:val="auto"/>
        </w:rPr>
        <w:fldChar w:fldCharType="begin"/>
      </w:r>
      <w:r>
        <w:rPr>
          <w:color w:val="auto"/>
        </w:rPr>
        <w:instrText xml:space="preserve"> PAGEREF _Toc23617 \h </w:instrText>
      </w:r>
      <w:r>
        <w:rPr>
          <w:color w:val="auto"/>
        </w:rPr>
        <w:fldChar w:fldCharType="separate"/>
      </w:r>
      <w:r>
        <w:rPr>
          <w:color w:val="auto"/>
        </w:rPr>
        <w:t>2</w:t>
      </w:r>
      <w:r>
        <w:rPr>
          <w:color w:val="auto"/>
        </w:rPr>
        <w:fldChar w:fldCharType="end"/>
      </w:r>
      <w:r>
        <w:rPr>
          <w:color w:val="auto"/>
          <w:kern w:val="2"/>
          <w:szCs w:val="24"/>
        </w:rPr>
        <w:fldChar w:fldCharType="end"/>
      </w:r>
    </w:p>
    <w:p>
      <w:pPr>
        <w:pStyle w:val="27"/>
        <w:keepNext w:val="0"/>
        <w:keepLines w:val="0"/>
        <w:tabs>
          <w:tab w:val="right" w:leader="dot" w:pos="8504"/>
          <w:tab w:val="clear" w:pos="8948"/>
        </w:tabs>
        <w:kinsoku/>
        <w:wordWrap/>
        <w:overflowPunct/>
        <w:topLinePunct w:val="0"/>
        <w:autoSpaceDE/>
        <w:autoSpaceDN/>
        <w:bidi w:val="0"/>
        <w:spacing w:line="600" w:lineRule="exact"/>
        <w:textAlignment w:val="auto"/>
        <w:rPr>
          <w:color w:val="auto"/>
        </w:rPr>
      </w:pPr>
      <w:r>
        <w:rPr>
          <w:color w:val="auto"/>
          <w:kern w:val="2"/>
          <w:szCs w:val="24"/>
        </w:rPr>
        <w:fldChar w:fldCharType="begin"/>
      </w:r>
      <w:r>
        <w:rPr>
          <w:color w:val="auto"/>
          <w:kern w:val="2"/>
          <w:szCs w:val="24"/>
        </w:rPr>
        <w:instrText xml:space="preserve"> HYPERLINK \l _Toc5975 </w:instrText>
      </w:r>
      <w:r>
        <w:rPr>
          <w:color w:val="auto"/>
          <w:kern w:val="2"/>
          <w:szCs w:val="24"/>
        </w:rPr>
        <w:fldChar w:fldCharType="separate"/>
      </w:r>
      <w:r>
        <w:rPr>
          <w:rFonts w:hint="eastAsia" w:hAnsi="宋体"/>
          <w:color w:val="auto"/>
          <w:szCs w:val="36"/>
        </w:rPr>
        <w:t>第二部分  磋商供应商须知</w:t>
      </w:r>
      <w:r>
        <w:rPr>
          <w:color w:val="auto"/>
        </w:rPr>
        <w:tab/>
      </w:r>
      <w:r>
        <w:rPr>
          <w:color w:val="auto"/>
        </w:rPr>
        <w:fldChar w:fldCharType="begin"/>
      </w:r>
      <w:r>
        <w:rPr>
          <w:color w:val="auto"/>
        </w:rPr>
        <w:instrText xml:space="preserve"> PAGEREF _Toc5975 \h </w:instrText>
      </w:r>
      <w:r>
        <w:rPr>
          <w:color w:val="auto"/>
        </w:rPr>
        <w:fldChar w:fldCharType="separate"/>
      </w:r>
      <w:r>
        <w:rPr>
          <w:color w:val="auto"/>
        </w:rPr>
        <w:t>5</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_Toc15443 </w:instrText>
      </w:r>
      <w:r>
        <w:rPr>
          <w:color w:val="auto"/>
          <w:kern w:val="2"/>
          <w:szCs w:val="24"/>
        </w:rPr>
        <w:fldChar w:fldCharType="separate"/>
      </w:r>
      <w:r>
        <w:rPr>
          <w:rFonts w:hint="eastAsia"/>
          <w:color w:val="auto"/>
          <w:szCs w:val="24"/>
        </w:rPr>
        <w:t>（一）</w:t>
      </w:r>
      <w:r>
        <w:rPr>
          <w:rFonts w:hint="eastAsia"/>
          <w:bCs w:val="0"/>
          <w:color w:val="auto"/>
          <w:szCs w:val="24"/>
        </w:rPr>
        <w:t>磋商须知前附表</w:t>
      </w:r>
      <w:r>
        <w:rPr>
          <w:color w:val="auto"/>
        </w:rPr>
        <w:tab/>
      </w:r>
      <w:r>
        <w:rPr>
          <w:color w:val="auto"/>
        </w:rPr>
        <w:fldChar w:fldCharType="begin"/>
      </w:r>
      <w:r>
        <w:rPr>
          <w:color w:val="auto"/>
        </w:rPr>
        <w:instrText xml:space="preserve"> PAGEREF _Toc15443 \h </w:instrText>
      </w:r>
      <w:r>
        <w:rPr>
          <w:color w:val="auto"/>
        </w:rPr>
        <w:fldChar w:fldCharType="separate"/>
      </w:r>
      <w:r>
        <w:rPr>
          <w:color w:val="auto"/>
        </w:rPr>
        <w:t>5</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_Toc5713 </w:instrText>
      </w:r>
      <w:r>
        <w:rPr>
          <w:color w:val="auto"/>
          <w:kern w:val="2"/>
          <w:szCs w:val="24"/>
        </w:rPr>
        <w:fldChar w:fldCharType="separate"/>
      </w:r>
      <w:r>
        <w:rPr>
          <w:rFonts w:hint="eastAsia" w:hAnsi="宋体"/>
          <w:color w:val="auto"/>
          <w:szCs w:val="36"/>
        </w:rPr>
        <w:t>附表一</w:t>
      </w:r>
      <w:r>
        <w:rPr>
          <w:rFonts w:hAnsi="宋体"/>
          <w:color w:val="auto"/>
          <w:szCs w:val="36"/>
        </w:rPr>
        <w:t xml:space="preserve"> </w:t>
      </w:r>
      <w:r>
        <w:rPr>
          <w:rFonts w:hint="eastAsia" w:hAnsi="宋体"/>
          <w:color w:val="auto"/>
          <w:szCs w:val="36"/>
        </w:rPr>
        <w:t>政府采购活动现场确认声明书</w:t>
      </w:r>
      <w:r>
        <w:rPr>
          <w:color w:val="auto"/>
        </w:rPr>
        <w:tab/>
      </w:r>
      <w:r>
        <w:rPr>
          <w:color w:val="auto"/>
        </w:rPr>
        <w:fldChar w:fldCharType="begin"/>
      </w:r>
      <w:r>
        <w:rPr>
          <w:color w:val="auto"/>
        </w:rPr>
        <w:instrText xml:space="preserve"> PAGEREF _Toc5713 \h </w:instrText>
      </w:r>
      <w:r>
        <w:rPr>
          <w:color w:val="auto"/>
        </w:rPr>
        <w:fldChar w:fldCharType="separate"/>
      </w:r>
      <w:r>
        <w:rPr>
          <w:color w:val="auto"/>
        </w:rPr>
        <w:t>10</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_Toc2673 </w:instrText>
      </w:r>
      <w:r>
        <w:rPr>
          <w:color w:val="auto"/>
          <w:kern w:val="2"/>
          <w:szCs w:val="24"/>
        </w:rPr>
        <w:fldChar w:fldCharType="separate"/>
      </w:r>
      <w:r>
        <w:rPr>
          <w:rFonts w:hint="eastAsia" w:hAnsi="宋体"/>
          <w:color w:val="auto"/>
          <w:szCs w:val="36"/>
        </w:rPr>
        <w:t>附表二 启用备份响应文件申请书</w:t>
      </w:r>
      <w:r>
        <w:rPr>
          <w:color w:val="auto"/>
        </w:rPr>
        <w:tab/>
      </w:r>
      <w:r>
        <w:rPr>
          <w:color w:val="auto"/>
        </w:rPr>
        <w:fldChar w:fldCharType="begin"/>
      </w:r>
      <w:r>
        <w:rPr>
          <w:color w:val="auto"/>
        </w:rPr>
        <w:instrText xml:space="preserve"> PAGEREF _Toc2673 \h </w:instrText>
      </w:r>
      <w:r>
        <w:rPr>
          <w:color w:val="auto"/>
        </w:rPr>
        <w:fldChar w:fldCharType="separate"/>
      </w:r>
      <w:r>
        <w:rPr>
          <w:color w:val="auto"/>
        </w:rPr>
        <w:t>11</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_Toc20729 </w:instrText>
      </w:r>
      <w:r>
        <w:rPr>
          <w:color w:val="auto"/>
          <w:kern w:val="2"/>
          <w:szCs w:val="24"/>
        </w:rPr>
        <w:fldChar w:fldCharType="separate"/>
      </w:r>
      <w:r>
        <w:rPr>
          <w:rFonts w:hint="eastAsia"/>
          <w:color w:val="auto"/>
          <w:szCs w:val="24"/>
        </w:rPr>
        <w:t>（二）总   则</w:t>
      </w:r>
      <w:r>
        <w:rPr>
          <w:color w:val="auto"/>
        </w:rPr>
        <w:tab/>
      </w:r>
      <w:r>
        <w:rPr>
          <w:color w:val="auto"/>
        </w:rPr>
        <w:fldChar w:fldCharType="begin"/>
      </w:r>
      <w:r>
        <w:rPr>
          <w:color w:val="auto"/>
        </w:rPr>
        <w:instrText xml:space="preserve"> PAGEREF _Toc20729 \h </w:instrText>
      </w:r>
      <w:r>
        <w:rPr>
          <w:color w:val="auto"/>
        </w:rPr>
        <w:fldChar w:fldCharType="separate"/>
      </w:r>
      <w:r>
        <w:rPr>
          <w:color w:val="auto"/>
        </w:rPr>
        <w:t>12</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_Toc22813 </w:instrText>
      </w:r>
      <w:r>
        <w:rPr>
          <w:color w:val="auto"/>
          <w:kern w:val="2"/>
          <w:szCs w:val="24"/>
        </w:rPr>
        <w:fldChar w:fldCharType="separate"/>
      </w:r>
      <w:r>
        <w:rPr>
          <w:rFonts w:hint="eastAsia"/>
          <w:color w:val="auto"/>
          <w:szCs w:val="24"/>
        </w:rPr>
        <w:t>（三）磋商文件说明</w:t>
      </w:r>
      <w:r>
        <w:rPr>
          <w:color w:val="auto"/>
        </w:rPr>
        <w:tab/>
      </w:r>
      <w:r>
        <w:rPr>
          <w:color w:val="auto"/>
        </w:rPr>
        <w:fldChar w:fldCharType="begin"/>
      </w:r>
      <w:r>
        <w:rPr>
          <w:color w:val="auto"/>
        </w:rPr>
        <w:instrText xml:space="preserve"> PAGEREF _Toc22813 \h </w:instrText>
      </w:r>
      <w:r>
        <w:rPr>
          <w:color w:val="auto"/>
        </w:rPr>
        <w:fldChar w:fldCharType="separate"/>
      </w:r>
      <w:r>
        <w:rPr>
          <w:color w:val="auto"/>
        </w:rPr>
        <w:t>14</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_Toc8233 </w:instrText>
      </w:r>
      <w:r>
        <w:rPr>
          <w:color w:val="auto"/>
          <w:kern w:val="2"/>
          <w:szCs w:val="24"/>
        </w:rPr>
        <w:fldChar w:fldCharType="separate"/>
      </w:r>
      <w:r>
        <w:rPr>
          <w:rFonts w:hint="eastAsia"/>
          <w:color w:val="auto"/>
          <w:szCs w:val="24"/>
        </w:rPr>
        <w:t>（四）磋商响应文件的编制</w:t>
      </w:r>
      <w:r>
        <w:rPr>
          <w:color w:val="auto"/>
        </w:rPr>
        <w:tab/>
      </w:r>
      <w:r>
        <w:rPr>
          <w:color w:val="auto"/>
        </w:rPr>
        <w:fldChar w:fldCharType="begin"/>
      </w:r>
      <w:r>
        <w:rPr>
          <w:color w:val="auto"/>
        </w:rPr>
        <w:instrText xml:space="preserve"> PAGEREF _Toc8233 \h </w:instrText>
      </w:r>
      <w:r>
        <w:rPr>
          <w:color w:val="auto"/>
        </w:rPr>
        <w:fldChar w:fldCharType="separate"/>
      </w:r>
      <w:r>
        <w:rPr>
          <w:color w:val="auto"/>
        </w:rPr>
        <w:t>14</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_Toc5259 </w:instrText>
      </w:r>
      <w:r>
        <w:rPr>
          <w:color w:val="auto"/>
          <w:kern w:val="2"/>
          <w:szCs w:val="24"/>
        </w:rPr>
        <w:fldChar w:fldCharType="separate"/>
      </w:r>
      <w:r>
        <w:rPr>
          <w:rFonts w:hint="eastAsia"/>
          <w:color w:val="auto"/>
          <w:szCs w:val="24"/>
        </w:rPr>
        <w:t>（五）磋商响应文件的递交</w:t>
      </w:r>
      <w:r>
        <w:rPr>
          <w:color w:val="auto"/>
        </w:rPr>
        <w:tab/>
      </w:r>
      <w:r>
        <w:rPr>
          <w:color w:val="auto"/>
        </w:rPr>
        <w:fldChar w:fldCharType="begin"/>
      </w:r>
      <w:r>
        <w:rPr>
          <w:color w:val="auto"/>
        </w:rPr>
        <w:instrText xml:space="preserve"> PAGEREF _Toc5259 \h </w:instrText>
      </w:r>
      <w:r>
        <w:rPr>
          <w:color w:val="auto"/>
        </w:rPr>
        <w:fldChar w:fldCharType="separate"/>
      </w:r>
      <w:r>
        <w:rPr>
          <w:color w:val="auto"/>
        </w:rPr>
        <w:t>17</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_Toc25350 </w:instrText>
      </w:r>
      <w:r>
        <w:rPr>
          <w:color w:val="auto"/>
          <w:kern w:val="2"/>
          <w:szCs w:val="24"/>
        </w:rPr>
        <w:fldChar w:fldCharType="separate"/>
      </w:r>
      <w:r>
        <w:rPr>
          <w:rFonts w:hint="eastAsia"/>
          <w:color w:val="auto"/>
          <w:szCs w:val="24"/>
        </w:rPr>
        <w:t>（六）磋商与评审</w:t>
      </w:r>
      <w:r>
        <w:rPr>
          <w:color w:val="auto"/>
        </w:rPr>
        <w:tab/>
      </w:r>
      <w:r>
        <w:rPr>
          <w:color w:val="auto"/>
        </w:rPr>
        <w:fldChar w:fldCharType="begin"/>
      </w:r>
      <w:r>
        <w:rPr>
          <w:color w:val="auto"/>
        </w:rPr>
        <w:instrText xml:space="preserve"> PAGEREF _Toc25350 \h </w:instrText>
      </w:r>
      <w:r>
        <w:rPr>
          <w:color w:val="auto"/>
        </w:rPr>
        <w:fldChar w:fldCharType="separate"/>
      </w:r>
      <w:r>
        <w:rPr>
          <w:color w:val="auto"/>
        </w:rPr>
        <w:t>18</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_Toc7198 </w:instrText>
      </w:r>
      <w:r>
        <w:rPr>
          <w:color w:val="auto"/>
          <w:kern w:val="2"/>
          <w:szCs w:val="24"/>
        </w:rPr>
        <w:fldChar w:fldCharType="separate"/>
      </w:r>
      <w:r>
        <w:rPr>
          <w:rFonts w:hint="eastAsia"/>
          <w:color w:val="auto"/>
          <w:szCs w:val="24"/>
        </w:rPr>
        <w:t>（七）授予合同</w:t>
      </w:r>
      <w:r>
        <w:rPr>
          <w:color w:val="auto"/>
        </w:rPr>
        <w:tab/>
      </w:r>
      <w:r>
        <w:rPr>
          <w:color w:val="auto"/>
        </w:rPr>
        <w:fldChar w:fldCharType="begin"/>
      </w:r>
      <w:r>
        <w:rPr>
          <w:color w:val="auto"/>
        </w:rPr>
        <w:instrText xml:space="preserve"> PAGEREF _Toc7198 \h </w:instrText>
      </w:r>
      <w:r>
        <w:rPr>
          <w:color w:val="auto"/>
        </w:rPr>
        <w:fldChar w:fldCharType="separate"/>
      </w:r>
      <w:r>
        <w:rPr>
          <w:color w:val="auto"/>
        </w:rPr>
        <w:t>23</w:t>
      </w:r>
      <w:r>
        <w:rPr>
          <w:color w:val="auto"/>
        </w:rPr>
        <w:fldChar w:fldCharType="end"/>
      </w:r>
      <w:r>
        <w:rPr>
          <w:color w:val="auto"/>
          <w:kern w:val="2"/>
          <w:szCs w:val="24"/>
        </w:rPr>
        <w:fldChar w:fldCharType="end"/>
      </w:r>
    </w:p>
    <w:p>
      <w:pPr>
        <w:pStyle w:val="27"/>
        <w:keepNext w:val="0"/>
        <w:keepLines w:val="0"/>
        <w:tabs>
          <w:tab w:val="right" w:leader="dot" w:pos="8504"/>
          <w:tab w:val="clear" w:pos="8948"/>
        </w:tabs>
        <w:kinsoku/>
        <w:wordWrap/>
        <w:overflowPunct/>
        <w:topLinePunct w:val="0"/>
        <w:autoSpaceDE/>
        <w:autoSpaceDN/>
        <w:bidi w:val="0"/>
        <w:spacing w:line="600" w:lineRule="exact"/>
        <w:textAlignment w:val="auto"/>
        <w:rPr>
          <w:color w:val="auto"/>
        </w:rPr>
      </w:pPr>
      <w:r>
        <w:rPr>
          <w:color w:val="auto"/>
          <w:kern w:val="2"/>
          <w:szCs w:val="24"/>
        </w:rPr>
        <w:fldChar w:fldCharType="begin"/>
      </w:r>
      <w:r>
        <w:rPr>
          <w:color w:val="auto"/>
          <w:kern w:val="2"/>
          <w:szCs w:val="24"/>
        </w:rPr>
        <w:instrText xml:space="preserve"> HYPERLINK \l _Toc19698 </w:instrText>
      </w:r>
      <w:r>
        <w:rPr>
          <w:color w:val="auto"/>
          <w:kern w:val="2"/>
          <w:szCs w:val="24"/>
        </w:rPr>
        <w:fldChar w:fldCharType="separate"/>
      </w:r>
      <w:r>
        <w:rPr>
          <w:rFonts w:hint="eastAsia" w:hAnsi="宋体"/>
          <w:color w:val="auto"/>
          <w:szCs w:val="36"/>
        </w:rPr>
        <w:t>第三部分  竞争性磋商内容及要求</w:t>
      </w:r>
      <w:r>
        <w:rPr>
          <w:color w:val="auto"/>
        </w:rPr>
        <w:tab/>
      </w:r>
      <w:r>
        <w:rPr>
          <w:color w:val="auto"/>
        </w:rPr>
        <w:fldChar w:fldCharType="begin"/>
      </w:r>
      <w:r>
        <w:rPr>
          <w:color w:val="auto"/>
        </w:rPr>
        <w:instrText xml:space="preserve"> PAGEREF _Toc19698 \h </w:instrText>
      </w:r>
      <w:r>
        <w:rPr>
          <w:color w:val="auto"/>
        </w:rPr>
        <w:fldChar w:fldCharType="separate"/>
      </w:r>
      <w:r>
        <w:rPr>
          <w:color w:val="auto"/>
        </w:rPr>
        <w:t>25</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_Toc2322 </w:instrText>
      </w:r>
      <w:r>
        <w:rPr>
          <w:color w:val="auto"/>
          <w:kern w:val="2"/>
          <w:szCs w:val="24"/>
        </w:rPr>
        <w:fldChar w:fldCharType="separate"/>
      </w:r>
      <w:r>
        <w:rPr>
          <w:rFonts w:hint="default" w:ascii="宋体" w:hAnsi="宋体"/>
          <w:color w:val="auto"/>
          <w:szCs w:val="22"/>
        </w:rPr>
        <w:t xml:space="preserve">（一） </w:t>
      </w:r>
      <w:r>
        <w:rPr>
          <w:rFonts w:hint="eastAsia" w:ascii="宋体" w:hAnsi="宋体"/>
          <w:color w:val="auto"/>
          <w:szCs w:val="22"/>
        </w:rPr>
        <w:t>概述</w:t>
      </w:r>
      <w:r>
        <w:rPr>
          <w:color w:val="auto"/>
        </w:rPr>
        <w:tab/>
      </w:r>
      <w:r>
        <w:rPr>
          <w:color w:val="auto"/>
        </w:rPr>
        <w:fldChar w:fldCharType="begin"/>
      </w:r>
      <w:r>
        <w:rPr>
          <w:color w:val="auto"/>
        </w:rPr>
        <w:instrText xml:space="preserve"> PAGEREF _Toc2322 \h </w:instrText>
      </w:r>
      <w:r>
        <w:rPr>
          <w:color w:val="auto"/>
        </w:rPr>
        <w:fldChar w:fldCharType="separate"/>
      </w:r>
      <w:r>
        <w:rPr>
          <w:color w:val="auto"/>
        </w:rPr>
        <w:t>25</w:t>
      </w:r>
      <w:r>
        <w:rPr>
          <w:color w:val="auto"/>
        </w:rPr>
        <w:fldChar w:fldCharType="end"/>
      </w:r>
      <w:r>
        <w:rPr>
          <w:color w:val="auto"/>
          <w:kern w:val="2"/>
          <w:szCs w:val="24"/>
        </w:rPr>
        <w:fldChar w:fldCharType="end"/>
      </w:r>
    </w:p>
    <w:p>
      <w:pPr>
        <w:pStyle w:val="32"/>
        <w:keepNext w:val="0"/>
        <w:keepLines w:val="0"/>
        <w:tabs>
          <w:tab w:val="right" w:leader="dot" w:pos="8504"/>
          <w:tab w:val="clear" w:pos="8948"/>
        </w:tabs>
        <w:kinsoku/>
        <w:wordWrap/>
        <w:overflowPunct/>
        <w:topLinePunct w:val="0"/>
        <w:autoSpaceDE/>
        <w:autoSpaceDN/>
        <w:bidi w:val="0"/>
        <w:spacing w:before="0" w:after="0" w:line="600" w:lineRule="exact"/>
        <w:textAlignment w:val="auto"/>
        <w:rPr>
          <w:color w:val="auto"/>
        </w:rPr>
      </w:pPr>
      <w:r>
        <w:rPr>
          <w:color w:val="auto"/>
          <w:kern w:val="2"/>
          <w:szCs w:val="24"/>
        </w:rPr>
        <w:fldChar w:fldCharType="begin"/>
      </w:r>
      <w:r>
        <w:rPr>
          <w:color w:val="auto"/>
          <w:kern w:val="2"/>
          <w:szCs w:val="24"/>
        </w:rPr>
        <w:instrText xml:space="preserve"> HYPERLINK \l _Toc13 </w:instrText>
      </w:r>
      <w:r>
        <w:rPr>
          <w:color w:val="auto"/>
          <w:kern w:val="2"/>
          <w:szCs w:val="24"/>
        </w:rPr>
        <w:fldChar w:fldCharType="separate"/>
      </w:r>
      <w:r>
        <w:rPr>
          <w:rFonts w:hint="default" w:ascii="宋体" w:hAnsi="宋体"/>
          <w:color w:val="auto"/>
          <w:szCs w:val="22"/>
        </w:rPr>
        <w:t xml:space="preserve">（二） </w:t>
      </w:r>
      <w:r>
        <w:rPr>
          <w:rFonts w:hint="eastAsia" w:ascii="宋体" w:hAnsi="宋体"/>
          <w:color w:val="auto"/>
          <w:szCs w:val="22"/>
        </w:rPr>
        <w:t>采购内容及相关要求</w:t>
      </w:r>
      <w:r>
        <w:rPr>
          <w:color w:val="auto"/>
        </w:rPr>
        <w:tab/>
      </w:r>
      <w:r>
        <w:rPr>
          <w:color w:val="auto"/>
        </w:rPr>
        <w:fldChar w:fldCharType="begin"/>
      </w:r>
      <w:r>
        <w:rPr>
          <w:color w:val="auto"/>
        </w:rPr>
        <w:instrText xml:space="preserve"> PAGEREF _Toc13 \h </w:instrText>
      </w:r>
      <w:r>
        <w:rPr>
          <w:color w:val="auto"/>
        </w:rPr>
        <w:fldChar w:fldCharType="separate"/>
      </w:r>
      <w:r>
        <w:rPr>
          <w:color w:val="auto"/>
        </w:rPr>
        <w:t>25</w:t>
      </w:r>
      <w:r>
        <w:rPr>
          <w:color w:val="auto"/>
        </w:rPr>
        <w:fldChar w:fldCharType="end"/>
      </w:r>
      <w:r>
        <w:rPr>
          <w:color w:val="auto"/>
          <w:kern w:val="2"/>
          <w:szCs w:val="24"/>
        </w:rPr>
        <w:fldChar w:fldCharType="end"/>
      </w:r>
    </w:p>
    <w:p>
      <w:pPr>
        <w:pStyle w:val="27"/>
        <w:keepNext w:val="0"/>
        <w:keepLines w:val="0"/>
        <w:tabs>
          <w:tab w:val="right" w:leader="dot" w:pos="8504"/>
          <w:tab w:val="clear" w:pos="8948"/>
        </w:tabs>
        <w:kinsoku/>
        <w:wordWrap/>
        <w:overflowPunct/>
        <w:topLinePunct w:val="0"/>
        <w:autoSpaceDE/>
        <w:autoSpaceDN/>
        <w:bidi w:val="0"/>
        <w:spacing w:line="600" w:lineRule="exact"/>
        <w:textAlignment w:val="auto"/>
        <w:rPr>
          <w:color w:val="auto"/>
        </w:rPr>
      </w:pPr>
      <w:r>
        <w:rPr>
          <w:color w:val="auto"/>
          <w:kern w:val="2"/>
          <w:szCs w:val="24"/>
        </w:rPr>
        <w:fldChar w:fldCharType="begin"/>
      </w:r>
      <w:r>
        <w:rPr>
          <w:color w:val="auto"/>
          <w:kern w:val="2"/>
          <w:szCs w:val="24"/>
        </w:rPr>
        <w:instrText xml:space="preserve"> HYPERLINK \l _Toc4983 </w:instrText>
      </w:r>
      <w:r>
        <w:rPr>
          <w:color w:val="auto"/>
          <w:kern w:val="2"/>
          <w:szCs w:val="24"/>
        </w:rPr>
        <w:fldChar w:fldCharType="separate"/>
      </w:r>
      <w:r>
        <w:rPr>
          <w:rFonts w:hint="eastAsia" w:ascii="宋体" w:hAnsi="宋体" w:eastAsia="宋体" w:cs="宋体"/>
          <w:color w:val="auto"/>
          <w:kern w:val="44"/>
          <w:szCs w:val="36"/>
          <w:highlight w:val="none"/>
          <w:lang w:val="en-US" w:eastAsia="zh-CN" w:bidi="ar-SA"/>
        </w:rPr>
        <w:t>第四部分  合同条款</w:t>
      </w:r>
      <w:r>
        <w:rPr>
          <w:color w:val="auto"/>
        </w:rPr>
        <w:tab/>
      </w:r>
      <w:r>
        <w:rPr>
          <w:color w:val="auto"/>
        </w:rPr>
        <w:fldChar w:fldCharType="begin"/>
      </w:r>
      <w:r>
        <w:rPr>
          <w:color w:val="auto"/>
        </w:rPr>
        <w:instrText xml:space="preserve"> PAGEREF _Toc4983 \h </w:instrText>
      </w:r>
      <w:r>
        <w:rPr>
          <w:color w:val="auto"/>
        </w:rPr>
        <w:fldChar w:fldCharType="separate"/>
      </w:r>
      <w:r>
        <w:rPr>
          <w:color w:val="auto"/>
        </w:rPr>
        <w:t>86</w:t>
      </w:r>
      <w:r>
        <w:rPr>
          <w:color w:val="auto"/>
        </w:rPr>
        <w:fldChar w:fldCharType="end"/>
      </w:r>
      <w:r>
        <w:rPr>
          <w:color w:val="auto"/>
          <w:kern w:val="2"/>
          <w:szCs w:val="24"/>
        </w:rPr>
        <w:fldChar w:fldCharType="end"/>
      </w:r>
    </w:p>
    <w:p>
      <w:pPr>
        <w:pStyle w:val="27"/>
        <w:keepNext w:val="0"/>
        <w:keepLines w:val="0"/>
        <w:tabs>
          <w:tab w:val="right" w:leader="dot" w:pos="8504"/>
          <w:tab w:val="clear" w:pos="8948"/>
        </w:tabs>
        <w:kinsoku/>
        <w:wordWrap/>
        <w:overflowPunct/>
        <w:topLinePunct w:val="0"/>
        <w:autoSpaceDE/>
        <w:autoSpaceDN/>
        <w:bidi w:val="0"/>
        <w:spacing w:line="600" w:lineRule="exact"/>
        <w:textAlignment w:val="auto"/>
        <w:rPr>
          <w:color w:val="auto"/>
        </w:rPr>
      </w:pPr>
      <w:r>
        <w:rPr>
          <w:color w:val="auto"/>
          <w:kern w:val="2"/>
          <w:szCs w:val="24"/>
        </w:rPr>
        <w:fldChar w:fldCharType="begin"/>
      </w:r>
      <w:r>
        <w:rPr>
          <w:color w:val="auto"/>
          <w:kern w:val="2"/>
          <w:szCs w:val="24"/>
        </w:rPr>
        <w:instrText xml:space="preserve"> HYPERLINK \l _Toc16598 </w:instrText>
      </w:r>
      <w:r>
        <w:rPr>
          <w:color w:val="auto"/>
          <w:kern w:val="2"/>
          <w:szCs w:val="24"/>
        </w:rPr>
        <w:fldChar w:fldCharType="separate"/>
      </w:r>
      <w:r>
        <w:rPr>
          <w:rFonts w:hint="eastAsia" w:hAnsi="宋体"/>
          <w:color w:val="auto"/>
          <w:szCs w:val="36"/>
        </w:rPr>
        <w:t>第五部分  磋商响应文件格式</w:t>
      </w:r>
      <w:r>
        <w:rPr>
          <w:color w:val="auto"/>
        </w:rPr>
        <w:tab/>
      </w:r>
      <w:r>
        <w:rPr>
          <w:color w:val="auto"/>
        </w:rPr>
        <w:fldChar w:fldCharType="begin"/>
      </w:r>
      <w:r>
        <w:rPr>
          <w:color w:val="auto"/>
        </w:rPr>
        <w:instrText xml:space="preserve"> PAGEREF _Toc16598 \h </w:instrText>
      </w:r>
      <w:r>
        <w:rPr>
          <w:color w:val="auto"/>
        </w:rPr>
        <w:fldChar w:fldCharType="separate"/>
      </w:r>
      <w:r>
        <w:rPr>
          <w:color w:val="auto"/>
        </w:rPr>
        <w:t>90</w:t>
      </w:r>
      <w:r>
        <w:rPr>
          <w:color w:val="auto"/>
        </w:rPr>
        <w:fldChar w:fldCharType="end"/>
      </w:r>
      <w:r>
        <w:rPr>
          <w:color w:val="auto"/>
          <w:kern w:val="2"/>
          <w:szCs w:val="24"/>
        </w:rPr>
        <w:fldChar w:fldCharType="end"/>
      </w:r>
    </w:p>
    <w:p>
      <w:pPr>
        <w:pStyle w:val="27"/>
        <w:keepNext w:val="0"/>
        <w:keepLines w:val="0"/>
        <w:tabs>
          <w:tab w:val="right" w:leader="dot" w:pos="8504"/>
          <w:tab w:val="clear" w:pos="8948"/>
        </w:tabs>
        <w:kinsoku/>
        <w:wordWrap/>
        <w:overflowPunct/>
        <w:topLinePunct w:val="0"/>
        <w:autoSpaceDE/>
        <w:autoSpaceDN/>
        <w:bidi w:val="0"/>
        <w:spacing w:line="600" w:lineRule="exact"/>
        <w:textAlignment w:val="auto"/>
        <w:rPr>
          <w:color w:val="auto"/>
        </w:rPr>
      </w:pPr>
      <w:r>
        <w:rPr>
          <w:color w:val="auto"/>
          <w:kern w:val="2"/>
          <w:szCs w:val="24"/>
        </w:rPr>
        <w:fldChar w:fldCharType="begin"/>
      </w:r>
      <w:r>
        <w:rPr>
          <w:color w:val="auto"/>
          <w:kern w:val="2"/>
          <w:szCs w:val="24"/>
        </w:rPr>
        <w:instrText xml:space="preserve"> HYPERLINK \l _Toc6718 </w:instrText>
      </w:r>
      <w:r>
        <w:rPr>
          <w:color w:val="auto"/>
          <w:kern w:val="2"/>
          <w:szCs w:val="24"/>
        </w:rPr>
        <w:fldChar w:fldCharType="separate"/>
      </w:r>
      <w:r>
        <w:rPr>
          <w:rFonts w:hint="eastAsia" w:hAnsi="宋体"/>
          <w:color w:val="auto"/>
          <w:szCs w:val="36"/>
        </w:rPr>
        <w:t>第六部分  评定办法</w:t>
      </w:r>
      <w:r>
        <w:rPr>
          <w:color w:val="auto"/>
        </w:rPr>
        <w:tab/>
      </w:r>
      <w:r>
        <w:rPr>
          <w:color w:val="auto"/>
        </w:rPr>
        <w:fldChar w:fldCharType="begin"/>
      </w:r>
      <w:r>
        <w:rPr>
          <w:color w:val="auto"/>
        </w:rPr>
        <w:instrText xml:space="preserve"> PAGEREF _Toc6718 \h </w:instrText>
      </w:r>
      <w:r>
        <w:rPr>
          <w:color w:val="auto"/>
        </w:rPr>
        <w:fldChar w:fldCharType="separate"/>
      </w:r>
      <w:r>
        <w:rPr>
          <w:color w:val="auto"/>
        </w:rPr>
        <w:t>106</w:t>
      </w:r>
      <w:r>
        <w:rPr>
          <w:color w:val="auto"/>
        </w:rPr>
        <w:fldChar w:fldCharType="end"/>
      </w:r>
      <w:r>
        <w:rPr>
          <w:color w:val="auto"/>
          <w:kern w:val="2"/>
          <w:szCs w:val="24"/>
        </w:rPr>
        <w:fldChar w:fldCharType="end"/>
      </w:r>
    </w:p>
    <w:p>
      <w:pPr>
        <w:pStyle w:val="5"/>
        <w:keepNext w:val="0"/>
        <w:keepLines w:val="0"/>
        <w:pageBreakBefore/>
        <w:kinsoku/>
        <w:wordWrap/>
        <w:overflowPunct/>
        <w:topLinePunct w:val="0"/>
        <w:autoSpaceDE/>
        <w:autoSpaceDN/>
        <w:bidi w:val="0"/>
        <w:spacing w:line="600" w:lineRule="exact"/>
        <w:jc w:val="center"/>
        <w:textAlignment w:val="auto"/>
        <w:rPr>
          <w:rFonts w:hAnsi="宋体"/>
          <w:color w:val="auto"/>
          <w:sz w:val="28"/>
          <w:szCs w:val="36"/>
        </w:rPr>
      </w:pPr>
      <w:r>
        <w:rPr>
          <w:color w:val="auto"/>
          <w:kern w:val="2"/>
          <w:szCs w:val="24"/>
        </w:rPr>
        <w:fldChar w:fldCharType="end"/>
      </w:r>
      <w:bookmarkStart w:id="1" w:name="_Toc23617"/>
      <w:r>
        <w:rPr>
          <w:rFonts w:hint="eastAsia" w:hAnsi="宋体"/>
          <w:color w:val="auto"/>
          <w:sz w:val="28"/>
          <w:szCs w:val="36"/>
        </w:rPr>
        <w:t>第一部分  采购公告</w:t>
      </w:r>
      <w:bookmarkEnd w:id="1"/>
    </w:p>
    <w:tbl>
      <w:tblPr>
        <w:tblStyle w:val="3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360" w:lineRule="auto"/>
              <w:jc w:val="both"/>
              <w:rPr>
                <w:rFonts w:ascii="宋体" w:hAnsi="宋体" w:cs="宋体"/>
                <w:color w:val="auto"/>
                <w:szCs w:val="21"/>
              </w:rPr>
            </w:pPr>
            <w:r>
              <w:rPr>
                <w:rFonts w:hint="eastAsia" w:ascii="宋体" w:hAnsi="宋体" w:cs="宋体"/>
                <w:color w:val="auto"/>
                <w:szCs w:val="21"/>
              </w:rPr>
              <w:t>项目</w:t>
            </w:r>
            <w:r>
              <w:rPr>
                <w:rFonts w:ascii="宋体" w:hAnsi="宋体" w:cs="宋体"/>
                <w:color w:val="auto"/>
                <w:szCs w:val="21"/>
              </w:rPr>
              <w:t>概况</w:t>
            </w:r>
          </w:p>
          <w:p>
            <w:pPr>
              <w:spacing w:line="360" w:lineRule="auto"/>
              <w:jc w:val="both"/>
              <w:rPr>
                <w:color w:val="auto"/>
              </w:rPr>
            </w:pPr>
            <w:r>
              <w:rPr>
                <w:rFonts w:hint="eastAsia" w:asciiTheme="minorEastAsia" w:hAnsiTheme="minorEastAsia" w:eastAsiaTheme="minorEastAsia"/>
                <w:color w:val="auto"/>
              </w:rPr>
              <w:t xml:space="preserve">   </w:t>
            </w:r>
            <w:r>
              <w:rPr>
                <w:rFonts w:hint="eastAsia" w:ascii="宋体" w:hAnsi="宋体" w:cs="宋体"/>
                <w:color w:val="auto"/>
                <w:sz w:val="21"/>
                <w:szCs w:val="21"/>
                <w:highlight w:val="none"/>
                <w:u w:val="single"/>
                <w:lang w:eastAsia="zh-CN"/>
              </w:rPr>
              <w:t>瑞安市阳光小学扩建工程智能化设备采购</w:t>
            </w:r>
            <w:r>
              <w:rPr>
                <w:rFonts w:ascii="宋体" w:hAnsi="宋体" w:cs="宋体"/>
                <w:color w:val="auto"/>
                <w:szCs w:val="21"/>
              </w:rPr>
              <w:t>的潜在供应商应在</w:t>
            </w:r>
            <w:r>
              <w:rPr>
                <w:rFonts w:hint="eastAsia" w:ascii="宋体" w:hAnsi="宋体" w:cs="宋体"/>
                <w:bCs/>
                <w:color w:val="auto"/>
                <w:szCs w:val="21"/>
                <w:u w:val="single"/>
              </w:rPr>
              <w:t>政府采购云平台（www.zcygov.cn）</w:t>
            </w:r>
            <w:r>
              <w:rPr>
                <w:rFonts w:hint="eastAsia" w:ascii="宋体" w:hAnsi="宋体" w:cs="宋体"/>
                <w:bCs/>
                <w:color w:val="auto"/>
                <w:szCs w:val="21"/>
              </w:rPr>
              <w:t>获取采购</w:t>
            </w:r>
            <w:r>
              <w:rPr>
                <w:rFonts w:ascii="宋体" w:hAnsi="宋体" w:cs="宋体"/>
                <w:bCs/>
                <w:color w:val="auto"/>
                <w:szCs w:val="21"/>
              </w:rPr>
              <w:t>文件，</w:t>
            </w:r>
            <w:r>
              <w:rPr>
                <w:rFonts w:hint="eastAsia" w:ascii="宋体" w:hAnsi="宋体" w:cs="宋体"/>
                <w:bCs/>
                <w:color w:val="auto"/>
                <w:szCs w:val="21"/>
              </w:rPr>
              <w:t>并于</w:t>
            </w:r>
            <w:r>
              <w:rPr>
                <w:rFonts w:hint="eastAsia" w:ascii="宋体" w:hAnsi="宋体" w:cs="宋体"/>
                <w:bCs/>
                <w:color w:val="auto"/>
                <w:szCs w:val="21"/>
                <w:u w:val="single"/>
              </w:rPr>
              <w:t>2021年</w:t>
            </w:r>
            <w:r>
              <w:rPr>
                <w:rFonts w:hint="eastAsia" w:ascii="宋体" w:hAnsi="宋体" w:cs="宋体"/>
                <w:bCs/>
                <w:color w:val="auto"/>
                <w:szCs w:val="21"/>
                <w:u w:val="single"/>
                <w:lang w:val="en-US" w:eastAsia="zh-CN"/>
              </w:rPr>
              <w:t>10</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21</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14</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3</w:t>
            </w:r>
            <w:r>
              <w:rPr>
                <w:rFonts w:hint="eastAsia" w:ascii="宋体" w:hAnsi="宋体" w:cs="宋体"/>
                <w:bCs/>
                <w:color w:val="auto"/>
                <w:szCs w:val="21"/>
                <w:u w:val="single"/>
              </w:rPr>
              <w:t>0分</w:t>
            </w:r>
            <w:r>
              <w:rPr>
                <w:rFonts w:ascii="宋体" w:hAnsi="宋体" w:cs="宋体"/>
                <w:bCs/>
                <w:color w:val="auto"/>
                <w:szCs w:val="21"/>
                <w:u w:val="single"/>
              </w:rPr>
              <w:t>（</w:t>
            </w:r>
            <w:r>
              <w:rPr>
                <w:rFonts w:hint="eastAsia" w:ascii="宋体" w:hAnsi="宋体" w:cs="宋体"/>
                <w:bCs/>
                <w:color w:val="auto"/>
                <w:szCs w:val="21"/>
                <w:u w:val="single"/>
              </w:rPr>
              <w:t>北京时间</w:t>
            </w:r>
            <w:r>
              <w:rPr>
                <w:rFonts w:ascii="宋体" w:hAnsi="宋体" w:cs="宋体"/>
                <w:bCs/>
                <w:color w:val="auto"/>
                <w:szCs w:val="21"/>
                <w:u w:val="single"/>
              </w:rPr>
              <w:t>）</w:t>
            </w:r>
            <w:r>
              <w:rPr>
                <w:rFonts w:hint="eastAsia" w:ascii="宋体" w:hAnsi="宋体" w:cs="宋体"/>
                <w:bCs/>
                <w:color w:val="auto"/>
                <w:szCs w:val="21"/>
              </w:rPr>
              <w:t>前</w:t>
            </w:r>
            <w:r>
              <w:rPr>
                <w:rFonts w:ascii="宋体" w:hAnsi="宋体" w:cs="宋体"/>
                <w:bCs/>
                <w:color w:val="auto"/>
                <w:szCs w:val="21"/>
              </w:rPr>
              <w:t>提交</w:t>
            </w:r>
            <w:r>
              <w:rPr>
                <w:rFonts w:hint="eastAsia" w:ascii="宋体" w:hAnsi="宋体" w:cs="宋体"/>
                <w:bCs/>
                <w:color w:val="auto"/>
                <w:szCs w:val="21"/>
              </w:rPr>
              <w:t>（上传）响应</w:t>
            </w:r>
            <w:r>
              <w:rPr>
                <w:rFonts w:ascii="宋体" w:hAnsi="宋体" w:cs="宋体"/>
                <w:bCs/>
                <w:color w:val="auto"/>
                <w:szCs w:val="21"/>
              </w:rPr>
              <w:t>文件。</w:t>
            </w:r>
          </w:p>
        </w:tc>
      </w:tr>
    </w:tbl>
    <w:p>
      <w:pPr>
        <w:pStyle w:val="58"/>
        <w:widowControl w:val="0"/>
        <w:numPr>
          <w:ilvl w:val="0"/>
          <w:numId w:val="2"/>
        </w:numPr>
        <w:tabs>
          <w:tab w:val="left" w:pos="426"/>
          <w:tab w:val="clear" w:pos="1100"/>
        </w:tabs>
        <w:spacing w:line="360" w:lineRule="auto"/>
        <w:ind w:hanging="1100" w:firstLineChars="0"/>
        <w:jc w:val="both"/>
        <w:rPr>
          <w:rFonts w:ascii="宋体" w:hAnsi="宋体" w:cs="宋体"/>
          <w:color w:val="auto"/>
          <w:szCs w:val="21"/>
        </w:rPr>
      </w:pPr>
      <w:r>
        <w:rPr>
          <w:rFonts w:hint="eastAsia" w:ascii="宋体" w:hAnsi="宋体"/>
          <w:b/>
          <w:color w:val="auto"/>
          <w:szCs w:val="21"/>
        </w:rPr>
        <w:t>项目基本</w:t>
      </w:r>
      <w:r>
        <w:rPr>
          <w:rFonts w:ascii="宋体" w:hAnsi="宋体"/>
          <w:b/>
          <w:color w:val="auto"/>
          <w:szCs w:val="21"/>
        </w:rPr>
        <w:t>情况</w:t>
      </w:r>
    </w:p>
    <w:p>
      <w:pPr>
        <w:pStyle w:val="58"/>
        <w:widowControl w:val="0"/>
        <w:tabs>
          <w:tab w:val="left" w:pos="426"/>
        </w:tabs>
        <w:spacing w:line="360" w:lineRule="auto"/>
        <w:jc w:val="both"/>
        <w:rPr>
          <w:rFonts w:hint="eastAsia" w:eastAsia="宋体"/>
          <w:color w:val="auto"/>
          <w:szCs w:val="21"/>
          <w:lang w:eastAsia="zh-CN"/>
        </w:rPr>
      </w:pPr>
      <w:r>
        <w:rPr>
          <w:rFonts w:hint="eastAsia" w:ascii="宋体" w:hAnsi="宋体"/>
          <w:color w:val="auto"/>
          <w:szCs w:val="21"/>
        </w:rPr>
        <w:t>项目</w:t>
      </w:r>
      <w:r>
        <w:rPr>
          <w:rFonts w:ascii="宋体" w:hAnsi="宋体"/>
          <w:color w:val="auto"/>
          <w:szCs w:val="21"/>
        </w:rPr>
        <w:t>编号：</w:t>
      </w:r>
      <w:r>
        <w:rPr>
          <w:rFonts w:hint="eastAsia" w:asciiTheme="minorEastAsia" w:hAnsiTheme="minorEastAsia" w:eastAsiaTheme="minorEastAsia"/>
          <w:color w:val="auto"/>
          <w:szCs w:val="21"/>
          <w:lang w:eastAsia="zh-CN"/>
        </w:rPr>
        <w:t>RYCG20210840</w:t>
      </w:r>
      <w:bookmarkStart w:id="172" w:name="_GoBack"/>
      <w:bookmarkEnd w:id="172"/>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项目</w:t>
      </w:r>
      <w:r>
        <w:rPr>
          <w:rFonts w:ascii="宋体" w:hAnsi="宋体"/>
          <w:color w:val="auto"/>
          <w:szCs w:val="21"/>
        </w:rPr>
        <w:t>名称：</w:t>
      </w:r>
      <w:r>
        <w:rPr>
          <w:rFonts w:hint="eastAsia" w:ascii="宋体" w:hAnsi="宋体"/>
          <w:color w:val="auto"/>
          <w:szCs w:val="21"/>
          <w:lang w:eastAsia="zh-CN"/>
        </w:rPr>
        <w:t>瑞安市阳光小学扩建工程智能化设备采购</w:t>
      </w:r>
    </w:p>
    <w:p>
      <w:pPr>
        <w:spacing w:line="360" w:lineRule="auto"/>
        <w:ind w:firstLine="420" w:firstLineChars="200"/>
        <w:rPr>
          <w:rFonts w:ascii="宋体" w:hAnsi="宋体"/>
          <w:color w:val="auto"/>
          <w:szCs w:val="21"/>
        </w:rPr>
      </w:pPr>
      <w:r>
        <w:rPr>
          <w:rFonts w:hint="eastAsia" w:ascii="宋体" w:hAnsi="宋体"/>
          <w:color w:val="auto"/>
          <w:szCs w:val="21"/>
        </w:rPr>
        <w:t>采购</w:t>
      </w:r>
      <w:r>
        <w:rPr>
          <w:rFonts w:ascii="宋体" w:hAnsi="宋体"/>
          <w:color w:val="auto"/>
          <w:szCs w:val="21"/>
        </w:rPr>
        <w:t>方式：竞争性磋商</w:t>
      </w:r>
    </w:p>
    <w:p>
      <w:pPr>
        <w:spacing w:line="360" w:lineRule="auto"/>
        <w:rPr>
          <w:rFonts w:ascii="宋体" w:hAnsi="宋体"/>
          <w:color w:val="auto"/>
          <w:szCs w:val="21"/>
        </w:rPr>
      </w:pPr>
      <w:r>
        <w:rPr>
          <w:rFonts w:hint="eastAsia" w:ascii="宋体" w:hAnsi="宋体"/>
          <w:color w:val="auto"/>
          <w:szCs w:val="21"/>
        </w:rPr>
        <w:t xml:space="preserve">    预算</w:t>
      </w:r>
      <w:r>
        <w:rPr>
          <w:rFonts w:ascii="宋体" w:hAnsi="宋体"/>
          <w:color w:val="auto"/>
          <w:szCs w:val="21"/>
        </w:rPr>
        <w:t>金额：</w:t>
      </w:r>
      <w:r>
        <w:rPr>
          <w:rFonts w:hint="eastAsia" w:ascii="宋体" w:hAnsi="宋体"/>
          <w:color w:val="auto"/>
          <w:szCs w:val="21"/>
          <w:lang w:eastAsia="zh-CN"/>
        </w:rPr>
        <w:t>274.2940</w:t>
      </w:r>
      <w:r>
        <w:rPr>
          <w:rFonts w:hint="eastAsia" w:ascii="宋体" w:hAnsi="宋体"/>
          <w:color w:val="auto"/>
          <w:szCs w:val="21"/>
        </w:rPr>
        <w:t>万元</w:t>
      </w:r>
    </w:p>
    <w:p>
      <w:pPr>
        <w:spacing w:line="360" w:lineRule="auto"/>
        <w:ind w:firstLine="420"/>
        <w:rPr>
          <w:rFonts w:hint="default" w:ascii="宋体" w:hAnsi="宋体" w:eastAsia="宋体"/>
          <w:color w:val="auto"/>
          <w:szCs w:val="21"/>
          <w:lang w:val="en-US" w:eastAsia="zh-CN"/>
        </w:rPr>
      </w:pPr>
      <w:r>
        <w:rPr>
          <w:rFonts w:hint="eastAsia" w:ascii="宋体" w:hAnsi="宋体"/>
          <w:color w:val="auto"/>
          <w:szCs w:val="21"/>
        </w:rPr>
        <w:t>最高</w:t>
      </w:r>
      <w:r>
        <w:rPr>
          <w:rFonts w:ascii="宋体" w:hAnsi="宋体"/>
          <w:color w:val="auto"/>
          <w:szCs w:val="21"/>
        </w:rPr>
        <w:t>限价：</w:t>
      </w:r>
      <w:r>
        <w:rPr>
          <w:rFonts w:hint="eastAsia" w:ascii="宋体" w:hAnsi="宋体"/>
          <w:color w:val="auto"/>
          <w:szCs w:val="21"/>
        </w:rPr>
        <w:t>274</w:t>
      </w:r>
      <w:r>
        <w:rPr>
          <w:rFonts w:hint="eastAsia" w:ascii="宋体" w:hAnsi="宋体"/>
          <w:color w:val="auto"/>
          <w:szCs w:val="21"/>
          <w:lang w:val="en-US" w:eastAsia="zh-CN"/>
        </w:rPr>
        <w:t>.</w:t>
      </w:r>
      <w:r>
        <w:rPr>
          <w:rFonts w:hint="eastAsia" w:ascii="宋体" w:hAnsi="宋体"/>
          <w:color w:val="auto"/>
          <w:szCs w:val="21"/>
        </w:rPr>
        <w:t>2940</w:t>
      </w:r>
      <w:r>
        <w:rPr>
          <w:rFonts w:hint="eastAsia" w:ascii="宋体" w:hAnsi="宋体"/>
          <w:color w:val="auto"/>
          <w:szCs w:val="21"/>
          <w:lang w:val="en-US" w:eastAsia="zh-CN"/>
        </w:rPr>
        <w:t xml:space="preserve"> </w:t>
      </w:r>
      <w:r>
        <w:rPr>
          <w:rFonts w:hint="eastAsia" w:ascii="宋体" w:hAnsi="宋体"/>
          <w:color w:val="auto"/>
          <w:szCs w:val="21"/>
        </w:rPr>
        <w:t>万元</w:t>
      </w:r>
    </w:p>
    <w:p>
      <w:pPr>
        <w:ind w:firstLine="420" w:firstLineChars="200"/>
        <w:rPr>
          <w:color w:val="auto"/>
        </w:rPr>
      </w:pPr>
      <w:bookmarkStart w:id="2" w:name="_Toc20855"/>
      <w:r>
        <w:rPr>
          <w:rFonts w:hint="eastAsia"/>
          <w:color w:val="auto"/>
        </w:rPr>
        <w:t>采购需求：</w:t>
      </w:r>
      <w:bookmarkEnd w:id="2"/>
    </w:p>
    <w:tbl>
      <w:tblPr>
        <w:tblStyle w:val="38"/>
        <w:tblW w:w="8910"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90"/>
        <w:gridCol w:w="735"/>
        <w:gridCol w:w="1035"/>
        <w:gridCol w:w="660"/>
        <w:gridCol w:w="349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标项序号</w:t>
            </w:r>
          </w:p>
        </w:tc>
        <w:tc>
          <w:tcPr>
            <w:tcW w:w="1590" w:type="dxa"/>
            <w:vAlign w:val="center"/>
          </w:tcPr>
          <w:p>
            <w:pPr>
              <w:spacing w:line="360" w:lineRule="auto"/>
              <w:ind w:firstLine="210" w:firstLineChars="10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标项名称</w:t>
            </w:r>
          </w:p>
        </w:tc>
        <w:tc>
          <w:tcPr>
            <w:tcW w:w="735"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数量</w:t>
            </w:r>
          </w:p>
        </w:tc>
        <w:tc>
          <w:tcPr>
            <w:tcW w:w="1035" w:type="dxa"/>
            <w:vAlign w:val="center"/>
          </w:tcPr>
          <w:p>
            <w:pPr>
              <w:spacing w:line="360" w:lineRule="auto"/>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预算金额（元）</w:t>
            </w:r>
          </w:p>
        </w:tc>
        <w:tc>
          <w:tcPr>
            <w:tcW w:w="660" w:type="dxa"/>
            <w:vAlign w:val="center"/>
          </w:tcPr>
          <w:p>
            <w:pPr>
              <w:spacing w:line="360" w:lineRule="auto"/>
              <w:jc w:val="center"/>
              <w:rPr>
                <w:rFonts w:asciiTheme="minorEastAsia" w:hAnsiTheme="minorEastAsia" w:eastAsiaTheme="minorEastAsia"/>
                <w:color w:val="auto"/>
              </w:rPr>
            </w:pPr>
            <w:r>
              <w:rPr>
                <w:rFonts w:hint="eastAsia" w:asciiTheme="minorEastAsia" w:hAnsiTheme="minorEastAsia" w:eastAsiaTheme="minorEastAsia"/>
                <w:color w:val="auto"/>
                <w:szCs w:val="21"/>
              </w:rPr>
              <w:t>单位</w:t>
            </w:r>
          </w:p>
        </w:tc>
        <w:tc>
          <w:tcPr>
            <w:tcW w:w="3495" w:type="dxa"/>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简要规格描述或标项基本概况介绍</w:t>
            </w:r>
          </w:p>
        </w:tc>
        <w:tc>
          <w:tcPr>
            <w:tcW w:w="720" w:type="dxa"/>
            <w:vAlign w:val="center"/>
          </w:tcPr>
          <w:p>
            <w:pPr>
              <w:spacing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7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210" w:firstLineChars="100"/>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olor w:val="auto"/>
                <w:szCs w:val="21"/>
                <w:lang w:eastAsia="zh-CN"/>
              </w:rPr>
            </w:pPr>
            <w:r>
              <w:rPr>
                <w:rFonts w:hint="eastAsia" w:cs="Arial" w:asciiTheme="minorEastAsia" w:hAnsiTheme="minorEastAsia" w:eastAsiaTheme="minorEastAsia"/>
                <w:color w:val="auto"/>
                <w:szCs w:val="21"/>
                <w:lang w:eastAsia="zh-CN"/>
              </w:rPr>
              <w:t>瑞安市阳光小学扩建工程智能化设备采购</w:t>
            </w:r>
          </w:p>
        </w:tc>
        <w:tc>
          <w:tcPr>
            <w:tcW w:w="73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035"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olor w:val="auto"/>
                <w:szCs w:val="21"/>
              </w:rPr>
            </w:pPr>
            <w:r>
              <w:rPr>
                <w:rFonts w:hint="eastAsia" w:ascii="宋体" w:hAnsi="宋体"/>
                <w:color w:val="auto"/>
                <w:szCs w:val="21"/>
              </w:rPr>
              <w:t>3038022</w:t>
            </w:r>
          </w:p>
        </w:tc>
        <w:tc>
          <w:tcPr>
            <w:tcW w:w="66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EastAsia" w:hAnsiTheme="minorEastAsia" w:eastAsiaTheme="minorEastAsia"/>
                <w:color w:val="auto"/>
              </w:rPr>
            </w:pPr>
            <w:r>
              <w:rPr>
                <w:rFonts w:hint="eastAsia" w:asciiTheme="minorEastAsia" w:hAnsiTheme="minorEastAsia" w:eastAsiaTheme="minorEastAsia"/>
                <w:color w:val="auto"/>
                <w:szCs w:val="21"/>
              </w:rPr>
              <w:t>项</w:t>
            </w:r>
          </w:p>
        </w:tc>
        <w:tc>
          <w:tcPr>
            <w:tcW w:w="3495"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Theme="minorEastAsia" w:hAnsiTheme="minorEastAsia" w:eastAsiaTheme="minorEastAsia"/>
                <w:color w:val="auto"/>
                <w:szCs w:val="21"/>
              </w:rPr>
            </w:pPr>
            <w:r>
              <w:rPr>
                <w:rFonts w:hint="eastAsia" w:ascii="宋体" w:hAnsi="宋体" w:eastAsia="宋体" w:cs="Arial"/>
                <w:color w:val="auto"/>
                <w:szCs w:val="21"/>
              </w:rPr>
              <w:t>包含：1、综合布线系统；2、计算机网络系统；3、视频监控系统；4、电子班牌系统；5、校园广播系统；6、停车场管理系统；7、LED信息发布系统；8、多媒体会议系统；9、UPS不间断电源</w:t>
            </w:r>
            <w:r>
              <w:rPr>
                <w:rFonts w:hint="eastAsia" w:ascii="宋体" w:hAnsi="宋体" w:cs="Arial"/>
                <w:color w:val="auto"/>
                <w:szCs w:val="21"/>
                <w:lang w:eastAsia="zh-CN"/>
              </w:rPr>
              <w:t>；</w:t>
            </w:r>
            <w:r>
              <w:rPr>
                <w:rFonts w:hint="eastAsia" w:ascii="宋体" w:hAnsi="宋体" w:cs="Arial"/>
                <w:color w:val="auto"/>
                <w:szCs w:val="21"/>
                <w:lang w:val="en-US" w:eastAsia="zh-CN"/>
              </w:rPr>
              <w:t>10、升降柱；11、</w:t>
            </w:r>
            <w:r>
              <w:rPr>
                <w:rFonts w:hint="eastAsia" w:ascii="宋体" w:hAnsi="宋体" w:eastAsia="宋体" w:cs="Arial"/>
                <w:color w:val="auto"/>
                <w:szCs w:val="21"/>
              </w:rPr>
              <w:t>舞台灯光系统；1</w:t>
            </w:r>
            <w:r>
              <w:rPr>
                <w:rFonts w:hint="eastAsia" w:ascii="宋体" w:hAnsi="宋体" w:cs="Arial"/>
                <w:color w:val="auto"/>
                <w:szCs w:val="21"/>
                <w:lang w:val="en-US" w:eastAsia="zh-CN"/>
              </w:rPr>
              <w:t>2</w:t>
            </w:r>
            <w:r>
              <w:rPr>
                <w:rFonts w:hint="eastAsia" w:ascii="宋体" w:hAnsi="宋体" w:eastAsia="宋体" w:cs="Arial"/>
                <w:color w:val="auto"/>
                <w:szCs w:val="21"/>
              </w:rPr>
              <w:t>、舞台器械系统。（具体详见磋商文件第三部分）。</w:t>
            </w:r>
          </w:p>
        </w:tc>
        <w:tc>
          <w:tcPr>
            <w:tcW w:w="720" w:type="dxa"/>
            <w:vAlign w:val="center"/>
          </w:tcPr>
          <w:p>
            <w:pPr>
              <w:spacing w:line="360" w:lineRule="auto"/>
              <w:jc w:val="center"/>
              <w:rPr>
                <w:rFonts w:ascii="宋体" w:hAnsi="宋体"/>
                <w:b/>
                <w:color w:val="auto"/>
                <w:szCs w:val="21"/>
              </w:rPr>
            </w:pP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ascii="Arial" w:hAnsi="Arial" w:cs="Arial"/>
          <w:color w:val="auto"/>
          <w:szCs w:val="21"/>
        </w:rPr>
      </w:pPr>
      <w:r>
        <w:rPr>
          <w:rFonts w:hint="eastAsia" w:ascii="宋体" w:hAnsi="宋体" w:cs="宋体"/>
          <w:b/>
          <w:color w:val="auto"/>
          <w:szCs w:val="21"/>
        </w:rPr>
        <w:t>合同履行期限：</w:t>
      </w:r>
      <w:r>
        <w:rPr>
          <w:rFonts w:hint="eastAsia" w:ascii="宋体" w:hAnsi="宋体" w:cs="宋体"/>
          <w:b w:val="0"/>
          <w:bCs/>
          <w:color w:val="auto"/>
          <w:szCs w:val="21"/>
        </w:rPr>
        <w:t>合同签订后90日历天内，送货到位并完成安装调试，并向采购人提供磋商文件规定的相关资料及必备的附件、配件等</w:t>
      </w:r>
      <w:r>
        <w:rPr>
          <w:rFonts w:hint="eastAsia" w:ascii="Arial" w:hAnsi="Arial" w:cs="Arial"/>
          <w:b w:val="0"/>
          <w:bCs/>
          <w:color w:val="auto"/>
          <w:szCs w:val="21"/>
        </w:rPr>
        <w:t>。</w:t>
      </w:r>
    </w:p>
    <w:p>
      <w:pPr>
        <w:spacing w:line="360" w:lineRule="auto"/>
        <w:rPr>
          <w:rFonts w:ascii="宋体" w:hAnsi="宋体" w:cs="宋体"/>
          <w:b/>
          <w:color w:val="auto"/>
          <w:szCs w:val="21"/>
        </w:rPr>
      </w:pPr>
      <w:r>
        <w:rPr>
          <w:rFonts w:hint="eastAsia" w:ascii="宋体" w:hAnsi="宋体"/>
          <w:color w:val="auto"/>
          <w:szCs w:val="21"/>
        </w:rPr>
        <w:t>本项目</w:t>
      </w:r>
      <w:r>
        <w:rPr>
          <w:rFonts w:ascii="宋体" w:hAnsi="宋体"/>
          <w:color w:val="auto"/>
          <w:szCs w:val="21"/>
        </w:rPr>
        <w:t>（</w:t>
      </w:r>
      <w:r>
        <w:rPr>
          <w:rFonts w:hint="eastAsia" w:ascii="宋体" w:hAnsi="宋体"/>
          <w:color w:val="auto"/>
          <w:szCs w:val="21"/>
        </w:rPr>
        <w:t>否</w:t>
      </w:r>
      <w:r>
        <w:rPr>
          <w:rFonts w:ascii="宋体" w:hAnsi="宋体"/>
          <w:color w:val="auto"/>
          <w:szCs w:val="21"/>
        </w:rPr>
        <w:t>）</w:t>
      </w:r>
      <w:r>
        <w:rPr>
          <w:rFonts w:hint="eastAsia" w:ascii="宋体" w:hAnsi="宋体"/>
          <w:color w:val="auto"/>
          <w:szCs w:val="21"/>
        </w:rPr>
        <w:t>接受</w:t>
      </w:r>
      <w:r>
        <w:rPr>
          <w:rFonts w:ascii="宋体" w:hAnsi="宋体"/>
          <w:color w:val="auto"/>
          <w:szCs w:val="21"/>
        </w:rPr>
        <w:t>联合体</w:t>
      </w:r>
      <w:r>
        <w:rPr>
          <w:rFonts w:hint="eastAsia" w:ascii="宋体" w:hAnsi="宋体"/>
          <w:color w:val="auto"/>
          <w:szCs w:val="21"/>
        </w:rPr>
        <w:t>。</w:t>
      </w:r>
    </w:p>
    <w:p>
      <w:pPr>
        <w:pStyle w:val="58"/>
        <w:widowControl w:val="0"/>
        <w:numPr>
          <w:ilvl w:val="0"/>
          <w:numId w:val="2"/>
        </w:numPr>
        <w:tabs>
          <w:tab w:val="left" w:pos="426"/>
          <w:tab w:val="clear" w:pos="1100"/>
        </w:tabs>
        <w:spacing w:line="360" w:lineRule="auto"/>
        <w:ind w:hanging="1100" w:firstLineChars="0"/>
        <w:jc w:val="both"/>
        <w:rPr>
          <w:rFonts w:ascii="宋体" w:hAnsi="宋体" w:cs="宋体"/>
          <w:color w:val="auto"/>
          <w:szCs w:val="21"/>
        </w:rPr>
      </w:pPr>
      <w:r>
        <w:rPr>
          <w:rFonts w:hint="eastAsia" w:ascii="宋体" w:hAnsi="宋体" w:cs="宋体"/>
          <w:b/>
          <w:bCs/>
          <w:color w:val="auto"/>
          <w:szCs w:val="21"/>
        </w:rPr>
        <w:t>申请人的资格要求:</w:t>
      </w:r>
    </w:p>
    <w:p>
      <w:pPr>
        <w:widowControl w:val="0"/>
        <w:numPr>
          <w:ilvl w:val="0"/>
          <w:numId w:val="3"/>
        </w:numPr>
        <w:tabs>
          <w:tab w:val="left" w:pos="420"/>
          <w:tab w:val="left" w:pos="1080"/>
        </w:tabs>
        <w:spacing w:line="360" w:lineRule="auto"/>
        <w:rPr>
          <w:rFonts w:ascii="宋体" w:hAnsi="宋体" w:cs="宋体"/>
          <w:color w:val="auto"/>
          <w:szCs w:val="21"/>
        </w:rPr>
      </w:pPr>
      <w:r>
        <w:rPr>
          <w:rFonts w:hint="eastAsia" w:ascii="宋体" w:hAnsi="宋体" w:cs="宋体"/>
          <w:color w:val="auto"/>
          <w:szCs w:val="21"/>
        </w:rPr>
        <w:t>满足《中华人民共和国政府采购法》第二十二条</w:t>
      </w:r>
      <w:r>
        <w:rPr>
          <w:rFonts w:hint="eastAsia" w:ascii="宋体" w:hAnsi="宋体" w:cs="宋体"/>
          <w:color w:val="auto"/>
          <w:szCs w:val="21"/>
          <w:lang w:val="en-US" w:eastAsia="zh-CN"/>
        </w:rPr>
        <w:t>等相关</w:t>
      </w:r>
      <w:r>
        <w:rPr>
          <w:rFonts w:hint="eastAsia" w:ascii="宋体" w:hAnsi="宋体" w:cs="宋体"/>
          <w:color w:val="auto"/>
          <w:szCs w:val="21"/>
        </w:rPr>
        <w:t>规定；未被信用中国网站（www.creditchina.gov.cn）列入失信被执行人、重大税收违法件当事人名单，未被中国政府采购网（www.ccgp.gov.cn）列入政府采购严重违法失信行为记录名单。</w:t>
      </w:r>
    </w:p>
    <w:p>
      <w:pPr>
        <w:widowControl w:val="0"/>
        <w:numPr>
          <w:ilvl w:val="0"/>
          <w:numId w:val="3"/>
        </w:numPr>
        <w:tabs>
          <w:tab w:val="left" w:pos="420"/>
          <w:tab w:val="left" w:pos="1080"/>
        </w:tabs>
        <w:spacing w:line="360" w:lineRule="auto"/>
        <w:rPr>
          <w:rFonts w:ascii="宋体" w:hAnsi="宋体" w:cs="宋体"/>
          <w:color w:val="auto"/>
          <w:szCs w:val="21"/>
        </w:rPr>
      </w:pPr>
      <w:r>
        <w:rPr>
          <w:rFonts w:hint="eastAsia" w:ascii="宋体" w:hAnsi="宋体" w:cs="宋体"/>
          <w:color w:val="auto"/>
          <w:szCs w:val="21"/>
        </w:rPr>
        <w:t>落实政府采购政策需满足的资格要求：无。</w:t>
      </w:r>
    </w:p>
    <w:p>
      <w:pPr>
        <w:widowControl w:val="0"/>
        <w:numPr>
          <w:ilvl w:val="0"/>
          <w:numId w:val="3"/>
        </w:numPr>
        <w:tabs>
          <w:tab w:val="left" w:pos="420"/>
          <w:tab w:val="left" w:pos="1080"/>
        </w:tabs>
        <w:spacing w:line="360" w:lineRule="auto"/>
        <w:rPr>
          <w:rFonts w:ascii="宋体" w:hAnsi="宋体" w:cs="宋体"/>
          <w:color w:val="auto"/>
          <w:szCs w:val="21"/>
        </w:rPr>
      </w:pPr>
      <w:r>
        <w:rPr>
          <w:rFonts w:hint="eastAsia" w:ascii="宋体" w:hAnsi="宋体" w:cs="宋体"/>
          <w:color w:val="auto"/>
          <w:szCs w:val="21"/>
        </w:rPr>
        <w:t>特定资格条件：无。</w:t>
      </w:r>
    </w:p>
    <w:p>
      <w:pPr>
        <w:pStyle w:val="58"/>
        <w:widowControl w:val="0"/>
        <w:numPr>
          <w:ilvl w:val="0"/>
          <w:numId w:val="2"/>
        </w:numPr>
        <w:tabs>
          <w:tab w:val="left" w:pos="426"/>
          <w:tab w:val="clear" w:pos="1100"/>
        </w:tabs>
        <w:spacing w:line="360" w:lineRule="auto"/>
        <w:ind w:hanging="1100" w:firstLineChars="0"/>
        <w:jc w:val="both"/>
        <w:rPr>
          <w:rFonts w:ascii="宋体" w:hAnsi="宋体" w:cs="宋体"/>
          <w:b/>
          <w:bCs/>
          <w:color w:val="auto"/>
          <w:szCs w:val="21"/>
        </w:rPr>
      </w:pPr>
      <w:r>
        <w:rPr>
          <w:rFonts w:hint="eastAsia" w:ascii="宋体" w:hAnsi="宋体" w:cs="宋体"/>
          <w:b/>
          <w:bCs/>
          <w:color w:val="auto"/>
          <w:szCs w:val="21"/>
        </w:rPr>
        <w:t>获取采购</w:t>
      </w:r>
      <w:r>
        <w:rPr>
          <w:rFonts w:ascii="宋体" w:hAnsi="宋体" w:cs="宋体"/>
          <w:b/>
          <w:bCs/>
          <w:color w:val="auto"/>
          <w:szCs w:val="21"/>
        </w:rPr>
        <w:t>文件</w:t>
      </w:r>
      <w:r>
        <w:rPr>
          <w:rFonts w:hint="eastAsia" w:ascii="宋体" w:hAnsi="宋体" w:cs="宋体"/>
          <w:b/>
          <w:bCs/>
          <w:color w:val="auto"/>
          <w:szCs w:val="21"/>
        </w:rPr>
        <w:t xml:space="preserve"> </w:t>
      </w:r>
    </w:p>
    <w:p>
      <w:pPr>
        <w:widowControl w:val="0"/>
        <w:tabs>
          <w:tab w:val="left" w:pos="420"/>
          <w:tab w:val="left" w:pos="1080"/>
        </w:tabs>
        <w:spacing w:line="360" w:lineRule="auto"/>
        <w:ind w:firstLine="420" w:firstLineChars="200"/>
        <w:rPr>
          <w:rFonts w:ascii="宋体" w:hAnsi="宋体" w:cs="宋体"/>
          <w:color w:val="auto"/>
          <w:szCs w:val="21"/>
        </w:rPr>
      </w:pPr>
      <w:r>
        <w:rPr>
          <w:rFonts w:hint="eastAsia" w:ascii="宋体" w:hAnsi="宋体" w:cs="宋体"/>
          <w:color w:val="auto"/>
          <w:szCs w:val="21"/>
        </w:rPr>
        <w:t>时间：</w:t>
      </w:r>
      <w:r>
        <w:rPr>
          <w:rFonts w:hint="eastAsia" w:ascii="宋体" w:hAnsi="宋体"/>
          <w:bCs/>
          <w:color w:val="auto"/>
          <w:szCs w:val="24"/>
        </w:rPr>
        <w:t>/</w:t>
      </w:r>
      <w:r>
        <w:rPr>
          <w:rFonts w:hint="eastAsia" w:ascii="宋体" w:hAnsi="宋体" w:cs="宋体"/>
          <w:color w:val="auto"/>
          <w:szCs w:val="21"/>
        </w:rPr>
        <w:t>至</w:t>
      </w:r>
      <w:r>
        <w:rPr>
          <w:rFonts w:hint="eastAsia" w:ascii="宋体" w:hAnsi="宋体" w:cs="宋体"/>
          <w:color w:val="auto"/>
          <w:szCs w:val="21"/>
          <w:u w:val="single"/>
        </w:rPr>
        <w:t>磋商</w:t>
      </w:r>
      <w:r>
        <w:rPr>
          <w:rFonts w:ascii="宋体" w:hAnsi="宋体" w:cs="宋体"/>
          <w:color w:val="auto"/>
          <w:szCs w:val="21"/>
          <w:u w:val="single"/>
        </w:rPr>
        <w:t>响应</w:t>
      </w:r>
      <w:r>
        <w:rPr>
          <w:rFonts w:hint="eastAsia" w:ascii="宋体" w:hAnsi="宋体" w:cs="宋体"/>
          <w:color w:val="auto"/>
          <w:szCs w:val="21"/>
          <w:u w:val="single"/>
        </w:rPr>
        <w:t>文件提交</w:t>
      </w:r>
      <w:r>
        <w:rPr>
          <w:rFonts w:ascii="宋体" w:hAnsi="宋体" w:cs="宋体"/>
          <w:color w:val="auto"/>
          <w:szCs w:val="21"/>
          <w:u w:val="single"/>
        </w:rPr>
        <w:t>截止时间前</w:t>
      </w:r>
      <w:r>
        <w:rPr>
          <w:rFonts w:hint="eastAsia" w:ascii="宋体" w:hAnsi="宋体" w:cs="宋体"/>
          <w:color w:val="auto"/>
          <w:szCs w:val="21"/>
          <w:u w:val="single"/>
        </w:rPr>
        <w:t>，</w:t>
      </w:r>
      <w:r>
        <w:rPr>
          <w:rFonts w:ascii="宋体" w:hAnsi="宋体" w:cs="宋体"/>
          <w:color w:val="auto"/>
          <w:szCs w:val="21"/>
        </w:rPr>
        <w:t>每天上午</w:t>
      </w:r>
      <w:r>
        <w:rPr>
          <w:rFonts w:ascii="宋体" w:hAnsi="宋体" w:cs="宋体"/>
          <w:color w:val="auto"/>
          <w:szCs w:val="21"/>
          <w:u w:val="single"/>
        </w:rPr>
        <w:t>0</w:t>
      </w:r>
      <w:r>
        <w:rPr>
          <w:rFonts w:hint="eastAsia" w:ascii="宋体" w:hAnsi="宋体" w:cs="宋体"/>
          <w:color w:val="auto"/>
          <w:szCs w:val="21"/>
          <w:u w:val="single"/>
        </w:rPr>
        <w:t>：00至</w:t>
      </w:r>
      <w:r>
        <w:rPr>
          <w:rFonts w:ascii="宋体" w:hAnsi="宋体" w:cs="宋体"/>
          <w:color w:val="auto"/>
          <w:szCs w:val="21"/>
          <w:u w:val="single"/>
        </w:rPr>
        <w:t>12</w:t>
      </w:r>
      <w:r>
        <w:rPr>
          <w:rFonts w:hint="eastAsia" w:ascii="宋体" w:hAnsi="宋体" w:cs="宋体"/>
          <w:color w:val="auto"/>
          <w:szCs w:val="21"/>
          <w:u w:val="single"/>
        </w:rPr>
        <w:t>:00，</w:t>
      </w:r>
      <w:r>
        <w:rPr>
          <w:rFonts w:ascii="宋体" w:hAnsi="宋体" w:cs="宋体"/>
          <w:color w:val="auto"/>
          <w:szCs w:val="21"/>
        </w:rPr>
        <w:t>下午</w:t>
      </w:r>
      <w:r>
        <w:rPr>
          <w:rFonts w:ascii="宋体" w:hAnsi="宋体" w:cs="宋体"/>
          <w:color w:val="auto"/>
          <w:szCs w:val="21"/>
          <w:u w:val="single"/>
        </w:rPr>
        <w:t>12</w:t>
      </w:r>
      <w:r>
        <w:rPr>
          <w:rFonts w:hint="eastAsia" w:ascii="宋体" w:hAnsi="宋体" w:cs="宋体"/>
          <w:color w:val="auto"/>
          <w:szCs w:val="21"/>
          <w:u w:val="single"/>
        </w:rPr>
        <w:t>:00至23:59</w:t>
      </w:r>
      <w:r>
        <w:rPr>
          <w:rFonts w:hint="eastAsia" w:ascii="宋体" w:hAnsi="宋体" w:cs="宋体"/>
          <w:color w:val="auto"/>
          <w:szCs w:val="21"/>
        </w:rPr>
        <w:t>（北京时间，线上获取法定节假日均可，线下获取文件法定节假日除外）。</w:t>
      </w:r>
    </w:p>
    <w:p>
      <w:pPr>
        <w:spacing w:line="360" w:lineRule="auto"/>
        <w:ind w:firstLine="316" w:firstLineChars="150"/>
        <w:rPr>
          <w:rFonts w:ascii="宋体" w:hAnsi="宋体" w:cs="宋体"/>
          <w:color w:val="auto"/>
          <w:szCs w:val="21"/>
        </w:rPr>
      </w:pPr>
      <w:r>
        <w:rPr>
          <w:rFonts w:hint="eastAsia" w:ascii="宋体" w:hAnsi="宋体" w:cs="宋体"/>
          <w:b/>
          <w:color w:val="auto"/>
          <w:szCs w:val="21"/>
        </w:rPr>
        <w:t>地点</w:t>
      </w:r>
      <w:r>
        <w:rPr>
          <w:rFonts w:ascii="宋体" w:hAnsi="宋体" w:cs="宋体"/>
          <w:b/>
          <w:color w:val="auto"/>
          <w:szCs w:val="21"/>
        </w:rPr>
        <w:t>：</w:t>
      </w:r>
      <w:r>
        <w:rPr>
          <w:rFonts w:hint="eastAsia" w:ascii="宋体" w:hAnsi="宋体" w:cs="宋体"/>
          <w:color w:val="auto"/>
          <w:szCs w:val="21"/>
        </w:rPr>
        <w:t>“政府采购云平台”在线获取。</w:t>
      </w:r>
    </w:p>
    <w:p>
      <w:pPr>
        <w:spacing w:line="360" w:lineRule="auto"/>
        <w:ind w:firstLine="316" w:firstLineChars="150"/>
        <w:rPr>
          <w:rFonts w:ascii="宋体" w:hAnsi="宋体" w:cs="宋体"/>
          <w:color w:val="auto"/>
          <w:szCs w:val="21"/>
        </w:rPr>
      </w:pPr>
      <w:r>
        <w:rPr>
          <w:rFonts w:hint="eastAsia" w:ascii="宋体" w:hAnsi="宋体" w:cs="宋体"/>
          <w:b/>
          <w:color w:val="auto"/>
          <w:szCs w:val="21"/>
        </w:rPr>
        <w:t>方式</w:t>
      </w:r>
      <w:r>
        <w:rPr>
          <w:rFonts w:ascii="宋体" w:hAnsi="宋体" w:cs="宋体"/>
          <w:b/>
          <w:color w:val="auto"/>
          <w:szCs w:val="21"/>
        </w:rPr>
        <w:t>：</w:t>
      </w:r>
      <w:r>
        <w:rPr>
          <w:rFonts w:hint="eastAsia"/>
          <w:color w:val="auto"/>
        </w:rPr>
        <w:t>本项目磋商文件实行“政府采购云平台”在线获取，不提供纸质磋商文件。</w:t>
      </w:r>
    </w:p>
    <w:p>
      <w:pPr>
        <w:spacing w:line="360" w:lineRule="auto"/>
        <w:ind w:firstLine="316" w:firstLineChars="150"/>
        <w:rPr>
          <w:rFonts w:ascii="宋体" w:hAnsi="宋体" w:cs="宋体"/>
          <w:color w:val="auto"/>
          <w:szCs w:val="21"/>
        </w:rPr>
      </w:pPr>
      <w:r>
        <w:rPr>
          <w:rFonts w:hint="eastAsia"/>
          <w:b/>
          <w:color w:val="auto"/>
        </w:rPr>
        <w:t>售价：</w:t>
      </w:r>
      <w:r>
        <w:rPr>
          <w:rFonts w:hint="eastAsia"/>
          <w:color w:val="auto"/>
        </w:rPr>
        <w:t>0元。</w:t>
      </w:r>
    </w:p>
    <w:p>
      <w:pPr>
        <w:pStyle w:val="58"/>
        <w:widowControl w:val="0"/>
        <w:numPr>
          <w:ilvl w:val="0"/>
          <w:numId w:val="2"/>
        </w:numPr>
        <w:tabs>
          <w:tab w:val="left" w:pos="426"/>
          <w:tab w:val="clear" w:pos="1100"/>
        </w:tabs>
        <w:spacing w:line="360" w:lineRule="auto"/>
        <w:ind w:hanging="1100" w:firstLineChars="0"/>
        <w:jc w:val="both"/>
        <w:rPr>
          <w:rFonts w:ascii="宋体" w:hAnsi="宋体"/>
          <w:bCs/>
          <w:color w:val="auto"/>
          <w:szCs w:val="21"/>
        </w:rPr>
      </w:pPr>
      <w:r>
        <w:rPr>
          <w:rFonts w:hint="eastAsia" w:ascii="宋体" w:hAnsi="宋体"/>
          <w:b/>
          <w:bCs/>
          <w:color w:val="auto"/>
          <w:szCs w:val="21"/>
        </w:rPr>
        <w:t>响应文件</w:t>
      </w:r>
      <w:r>
        <w:rPr>
          <w:rFonts w:ascii="宋体" w:hAnsi="宋体"/>
          <w:b/>
          <w:bCs/>
          <w:color w:val="auto"/>
          <w:szCs w:val="21"/>
        </w:rPr>
        <w:t>提交</w:t>
      </w:r>
    </w:p>
    <w:p>
      <w:pPr>
        <w:spacing w:line="360" w:lineRule="auto"/>
        <w:ind w:left="418" w:leftChars="199"/>
        <w:rPr>
          <w:rFonts w:asciiTheme="minorEastAsia" w:hAnsiTheme="minorEastAsia" w:eastAsiaTheme="minorEastAsia"/>
          <w:color w:val="auto"/>
        </w:rPr>
      </w:pPr>
      <w:r>
        <w:rPr>
          <w:rFonts w:hint="eastAsia" w:asciiTheme="minorEastAsia" w:hAnsiTheme="minorEastAsia" w:eastAsiaTheme="minorEastAsia"/>
          <w:b/>
          <w:bCs/>
          <w:color w:val="auto"/>
          <w:szCs w:val="21"/>
        </w:rPr>
        <w:t>截止时间</w:t>
      </w:r>
      <w:r>
        <w:rPr>
          <w:rFonts w:hint="eastAsia" w:asciiTheme="minorEastAsia" w:hAnsiTheme="minorEastAsia" w:eastAsiaTheme="minorEastAsia"/>
          <w:b/>
          <w:color w:val="auto"/>
          <w:szCs w:val="21"/>
        </w:rPr>
        <w:t>：</w:t>
      </w:r>
      <w:r>
        <w:rPr>
          <w:rFonts w:hint="eastAsia" w:asciiTheme="minorEastAsia" w:hAnsiTheme="minorEastAsia" w:eastAsiaTheme="minorEastAsia"/>
          <w:color w:val="auto"/>
          <w:u w:val="single"/>
        </w:rPr>
        <w:t>2021年</w:t>
      </w:r>
      <w:r>
        <w:rPr>
          <w:rFonts w:hint="eastAsia" w:asciiTheme="minorEastAsia" w:hAnsiTheme="minorEastAsia" w:eastAsiaTheme="minorEastAsia"/>
          <w:color w:val="auto"/>
          <w:u w:val="single"/>
          <w:lang w:val="en-US" w:eastAsia="zh-CN"/>
        </w:rPr>
        <w:t>10</w:t>
      </w:r>
      <w:r>
        <w:rPr>
          <w:rFonts w:hint="eastAsia" w:asciiTheme="minorEastAsia" w:hAnsiTheme="minorEastAsia" w:eastAsiaTheme="minorEastAsia"/>
          <w:color w:val="auto"/>
          <w:u w:val="single"/>
        </w:rPr>
        <w:t>月</w:t>
      </w:r>
      <w:r>
        <w:rPr>
          <w:rFonts w:hint="eastAsia" w:asciiTheme="minorEastAsia" w:hAnsiTheme="minorEastAsia" w:eastAsiaTheme="minorEastAsia"/>
          <w:color w:val="auto"/>
          <w:u w:val="single"/>
          <w:lang w:val="en-US" w:eastAsia="zh-CN"/>
        </w:rPr>
        <w:t>21</w:t>
      </w:r>
      <w:r>
        <w:rPr>
          <w:rFonts w:hint="eastAsia" w:asciiTheme="minorEastAsia" w:hAnsiTheme="minorEastAsia" w:eastAsiaTheme="minorEastAsia"/>
          <w:color w:val="auto"/>
          <w:u w:val="single"/>
        </w:rPr>
        <w:t>日</w:t>
      </w:r>
      <w:r>
        <w:rPr>
          <w:rFonts w:hint="eastAsia" w:asciiTheme="minorEastAsia" w:hAnsiTheme="minorEastAsia" w:eastAsiaTheme="minorEastAsia"/>
          <w:color w:val="auto"/>
          <w:u w:val="single"/>
          <w:lang w:val="en-US" w:eastAsia="zh-CN"/>
        </w:rPr>
        <w:t>14</w:t>
      </w:r>
      <w:r>
        <w:rPr>
          <w:rFonts w:hint="eastAsia" w:asciiTheme="minorEastAsia" w:hAnsiTheme="minorEastAsia" w:eastAsiaTheme="minorEastAsia"/>
          <w:color w:val="auto"/>
          <w:u w:val="single"/>
        </w:rPr>
        <w:t>点</w:t>
      </w:r>
      <w:r>
        <w:rPr>
          <w:rFonts w:hint="eastAsia" w:asciiTheme="minorEastAsia" w:hAnsiTheme="minorEastAsia" w:eastAsiaTheme="minorEastAsia"/>
          <w:color w:val="auto"/>
          <w:u w:val="single"/>
          <w:lang w:val="en-US" w:eastAsia="zh-CN"/>
        </w:rPr>
        <w:t>3</w:t>
      </w:r>
      <w:r>
        <w:rPr>
          <w:rFonts w:hint="eastAsia" w:asciiTheme="minorEastAsia" w:hAnsiTheme="minorEastAsia" w:eastAsiaTheme="minorEastAsia"/>
          <w:color w:val="auto"/>
          <w:u w:val="single"/>
        </w:rPr>
        <w:t>0分</w:t>
      </w:r>
      <w:r>
        <w:rPr>
          <w:rFonts w:asciiTheme="minorEastAsia" w:hAnsiTheme="minorEastAsia" w:eastAsiaTheme="minorEastAsia"/>
          <w:color w:val="auto"/>
        </w:rPr>
        <w:t>（</w:t>
      </w:r>
      <w:r>
        <w:rPr>
          <w:rFonts w:hint="eastAsia" w:asciiTheme="minorEastAsia" w:hAnsiTheme="minorEastAsia" w:eastAsiaTheme="minorEastAsia"/>
          <w:color w:val="auto"/>
        </w:rPr>
        <w:t>北京</w:t>
      </w:r>
      <w:r>
        <w:rPr>
          <w:rFonts w:asciiTheme="minorEastAsia" w:hAnsiTheme="minorEastAsia" w:eastAsiaTheme="minorEastAsia"/>
          <w:color w:val="auto"/>
        </w:rPr>
        <w:t>时间）</w:t>
      </w:r>
    </w:p>
    <w:p>
      <w:pPr>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rPr>
        <w:t>地点</w:t>
      </w:r>
      <w:r>
        <w:rPr>
          <w:rFonts w:asciiTheme="minorEastAsia" w:hAnsiTheme="minorEastAsia" w:eastAsiaTheme="minorEastAsia"/>
          <w:b/>
          <w:color w:val="auto"/>
        </w:rPr>
        <w:t>：</w:t>
      </w:r>
      <w:r>
        <w:rPr>
          <w:rFonts w:hint="eastAsia" w:cs="宋体" w:asciiTheme="minorEastAsia" w:hAnsiTheme="minorEastAsia" w:eastAsiaTheme="minorEastAsia"/>
          <w:bCs/>
          <w:color w:val="auto"/>
          <w:szCs w:val="21"/>
        </w:rPr>
        <w:t>政府采购云平台（</w:t>
      </w:r>
      <w:r>
        <w:rPr>
          <w:color w:val="auto"/>
        </w:rPr>
        <w:fldChar w:fldCharType="begin"/>
      </w:r>
      <w:r>
        <w:rPr>
          <w:color w:val="auto"/>
        </w:rPr>
        <w:instrText xml:space="preserve"> HYPERLINK "http://www.zcygov.cn" </w:instrText>
      </w:r>
      <w:r>
        <w:rPr>
          <w:color w:val="auto"/>
        </w:rPr>
        <w:fldChar w:fldCharType="separate"/>
      </w:r>
      <w:r>
        <w:rPr>
          <w:rStyle w:val="48"/>
          <w:rFonts w:hint="eastAsia" w:cs="宋体" w:asciiTheme="minorEastAsia" w:hAnsiTheme="minorEastAsia" w:eastAsiaTheme="minorEastAsia"/>
          <w:bCs/>
          <w:color w:val="auto"/>
          <w:szCs w:val="21"/>
        </w:rPr>
        <w:t>www.zcygov.cn</w:t>
      </w:r>
      <w:r>
        <w:rPr>
          <w:rStyle w:val="48"/>
          <w:rFonts w:hint="eastAsia" w:cs="宋体" w:asciiTheme="minorEastAsia" w:hAnsiTheme="minorEastAsia" w:eastAsiaTheme="minorEastAsia"/>
          <w:bCs/>
          <w:color w:val="auto"/>
          <w:szCs w:val="21"/>
        </w:rPr>
        <w:fldChar w:fldCharType="end"/>
      </w:r>
      <w:r>
        <w:rPr>
          <w:rFonts w:hint="eastAsia" w:cs="宋体" w:asciiTheme="minorEastAsia" w:hAnsiTheme="minorEastAsia" w:eastAsiaTheme="minorEastAsia"/>
          <w:bCs/>
          <w:color w:val="auto"/>
          <w:szCs w:val="21"/>
        </w:rPr>
        <w:t>）</w:t>
      </w:r>
    </w:p>
    <w:p>
      <w:pPr>
        <w:pStyle w:val="58"/>
        <w:widowControl w:val="0"/>
        <w:numPr>
          <w:ilvl w:val="0"/>
          <w:numId w:val="2"/>
        </w:numPr>
        <w:tabs>
          <w:tab w:val="left" w:pos="426"/>
          <w:tab w:val="clear" w:pos="1100"/>
        </w:tabs>
        <w:spacing w:line="360" w:lineRule="auto"/>
        <w:ind w:hanging="1100" w:firstLineChars="0"/>
        <w:jc w:val="both"/>
        <w:rPr>
          <w:rFonts w:asciiTheme="minorEastAsia" w:hAnsiTheme="minorEastAsia" w:eastAsiaTheme="minorEastAsia"/>
          <w:color w:val="auto"/>
          <w:szCs w:val="21"/>
        </w:rPr>
      </w:pPr>
      <w:r>
        <w:rPr>
          <w:rFonts w:hint="eastAsia" w:asciiTheme="minorEastAsia" w:hAnsiTheme="minorEastAsia" w:eastAsiaTheme="minorEastAsia"/>
          <w:b/>
          <w:color w:val="auto"/>
          <w:szCs w:val="21"/>
        </w:rPr>
        <w:t>开启</w:t>
      </w:r>
    </w:p>
    <w:p>
      <w:pPr>
        <w:tabs>
          <w:tab w:val="left" w:pos="420"/>
          <w:tab w:val="left" w:pos="525"/>
        </w:tabs>
        <w:spacing w:line="360" w:lineRule="auto"/>
        <w:ind w:firstLine="428" w:firstLineChars="203"/>
        <w:rPr>
          <w:rFonts w:asciiTheme="minorEastAsia" w:hAnsiTheme="minorEastAsia" w:eastAsiaTheme="minorEastAsia"/>
          <w:color w:val="auto"/>
        </w:rPr>
      </w:pPr>
      <w:r>
        <w:rPr>
          <w:rFonts w:hint="eastAsia" w:asciiTheme="minorEastAsia" w:hAnsiTheme="minorEastAsia" w:eastAsiaTheme="minorEastAsia"/>
          <w:b/>
          <w:color w:val="auto"/>
        </w:rPr>
        <w:t>时间：</w:t>
      </w:r>
      <w:r>
        <w:rPr>
          <w:rFonts w:hint="eastAsia" w:asciiTheme="minorEastAsia" w:hAnsiTheme="minorEastAsia" w:eastAsiaTheme="minorEastAsia"/>
          <w:color w:val="auto"/>
          <w:u w:val="single"/>
        </w:rPr>
        <w:t>2021年</w:t>
      </w:r>
      <w:r>
        <w:rPr>
          <w:rFonts w:hint="eastAsia" w:asciiTheme="minorEastAsia" w:hAnsiTheme="minorEastAsia" w:eastAsiaTheme="minorEastAsia"/>
          <w:color w:val="auto"/>
          <w:u w:val="single"/>
          <w:lang w:val="en-US" w:eastAsia="zh-CN"/>
        </w:rPr>
        <w:t>10</w:t>
      </w:r>
      <w:r>
        <w:rPr>
          <w:rFonts w:hint="eastAsia" w:asciiTheme="minorEastAsia" w:hAnsiTheme="minorEastAsia" w:eastAsiaTheme="minorEastAsia"/>
          <w:color w:val="auto"/>
          <w:u w:val="single"/>
        </w:rPr>
        <w:t>月</w:t>
      </w:r>
      <w:r>
        <w:rPr>
          <w:rFonts w:hint="eastAsia" w:asciiTheme="minorEastAsia" w:hAnsiTheme="minorEastAsia" w:eastAsiaTheme="minorEastAsia"/>
          <w:color w:val="auto"/>
          <w:u w:val="single"/>
          <w:lang w:val="en-US" w:eastAsia="zh-CN"/>
        </w:rPr>
        <w:t>21</w:t>
      </w:r>
      <w:r>
        <w:rPr>
          <w:rFonts w:hint="eastAsia" w:asciiTheme="minorEastAsia" w:hAnsiTheme="minorEastAsia" w:eastAsiaTheme="minorEastAsia"/>
          <w:color w:val="auto"/>
          <w:u w:val="single"/>
        </w:rPr>
        <w:t>日</w:t>
      </w:r>
      <w:r>
        <w:rPr>
          <w:rFonts w:hint="eastAsia" w:asciiTheme="minorEastAsia" w:hAnsiTheme="minorEastAsia" w:eastAsiaTheme="minorEastAsia"/>
          <w:color w:val="auto"/>
          <w:u w:val="single"/>
          <w:lang w:val="en-US" w:eastAsia="zh-CN"/>
        </w:rPr>
        <w:t>14</w:t>
      </w:r>
      <w:r>
        <w:rPr>
          <w:rFonts w:hint="eastAsia" w:asciiTheme="minorEastAsia" w:hAnsiTheme="minorEastAsia" w:eastAsiaTheme="minorEastAsia"/>
          <w:color w:val="auto"/>
          <w:u w:val="single"/>
        </w:rPr>
        <w:t>点</w:t>
      </w:r>
      <w:r>
        <w:rPr>
          <w:rFonts w:hint="eastAsia" w:asciiTheme="minorEastAsia" w:hAnsiTheme="minorEastAsia" w:eastAsiaTheme="minorEastAsia"/>
          <w:color w:val="auto"/>
          <w:u w:val="single"/>
          <w:lang w:val="en-US" w:eastAsia="zh-CN"/>
        </w:rPr>
        <w:t>3</w:t>
      </w:r>
      <w:r>
        <w:rPr>
          <w:rFonts w:hint="eastAsia" w:asciiTheme="minorEastAsia" w:hAnsiTheme="minorEastAsia" w:eastAsiaTheme="minorEastAsia"/>
          <w:color w:val="auto"/>
          <w:u w:val="single"/>
        </w:rPr>
        <w:t>0分</w:t>
      </w:r>
      <w:r>
        <w:rPr>
          <w:rFonts w:hint="eastAsia" w:asciiTheme="minorEastAsia" w:hAnsiTheme="minorEastAsia" w:eastAsiaTheme="minorEastAsia"/>
          <w:color w:val="auto"/>
        </w:rPr>
        <w:t>（北京时间）</w:t>
      </w:r>
    </w:p>
    <w:p>
      <w:pPr>
        <w:tabs>
          <w:tab w:val="left" w:pos="420"/>
          <w:tab w:val="left" w:pos="525"/>
        </w:tabs>
        <w:spacing w:line="360" w:lineRule="auto"/>
        <w:ind w:firstLine="422" w:firstLineChars="200"/>
        <w:rPr>
          <w:b/>
          <w:color w:val="auto"/>
        </w:rPr>
      </w:pPr>
      <w:r>
        <w:rPr>
          <w:rFonts w:hint="eastAsia"/>
          <w:b/>
          <w:color w:val="auto"/>
        </w:rPr>
        <w:t>地点：</w:t>
      </w:r>
      <w:r>
        <w:rPr>
          <w:rFonts w:hint="eastAsia" w:ascii="宋体" w:hAnsi="宋体" w:cs="宋体"/>
          <w:bCs/>
          <w:color w:val="auto"/>
          <w:szCs w:val="21"/>
        </w:rPr>
        <w:t>政府采购云平台（</w:t>
      </w:r>
      <w:r>
        <w:rPr>
          <w:color w:val="auto"/>
        </w:rPr>
        <w:fldChar w:fldCharType="begin"/>
      </w:r>
      <w:r>
        <w:rPr>
          <w:color w:val="auto"/>
        </w:rPr>
        <w:instrText xml:space="preserve"> HYPERLINK "http://www.zcygov.cn" </w:instrText>
      </w:r>
      <w:r>
        <w:rPr>
          <w:color w:val="auto"/>
        </w:rPr>
        <w:fldChar w:fldCharType="separate"/>
      </w:r>
      <w:r>
        <w:rPr>
          <w:rStyle w:val="48"/>
          <w:rFonts w:hint="eastAsia" w:ascii="宋体" w:hAnsi="宋体" w:cs="宋体"/>
          <w:bCs/>
          <w:color w:val="auto"/>
          <w:szCs w:val="21"/>
        </w:rPr>
        <w:t>www.zcygov.cn</w:t>
      </w:r>
      <w:r>
        <w:rPr>
          <w:rStyle w:val="48"/>
          <w:rFonts w:hint="eastAsia" w:ascii="宋体" w:hAnsi="宋体" w:cs="宋体"/>
          <w:bCs/>
          <w:color w:val="auto"/>
          <w:szCs w:val="21"/>
        </w:rPr>
        <w:fldChar w:fldCharType="end"/>
      </w:r>
      <w:r>
        <w:rPr>
          <w:rFonts w:hint="eastAsia" w:ascii="宋体" w:hAnsi="宋体" w:cs="宋体"/>
          <w:bCs/>
          <w:color w:val="auto"/>
          <w:szCs w:val="21"/>
        </w:rPr>
        <w:t>）</w:t>
      </w:r>
    </w:p>
    <w:p>
      <w:pPr>
        <w:pStyle w:val="58"/>
        <w:widowControl w:val="0"/>
        <w:numPr>
          <w:ilvl w:val="0"/>
          <w:numId w:val="2"/>
        </w:numPr>
        <w:tabs>
          <w:tab w:val="left" w:pos="426"/>
          <w:tab w:val="clear" w:pos="1100"/>
        </w:tabs>
        <w:spacing w:line="360" w:lineRule="auto"/>
        <w:ind w:hanging="1100" w:firstLineChars="0"/>
        <w:jc w:val="both"/>
        <w:rPr>
          <w:rFonts w:ascii="宋体" w:hAnsi="宋体"/>
          <w:color w:val="auto"/>
          <w:szCs w:val="21"/>
        </w:rPr>
      </w:pPr>
      <w:r>
        <w:rPr>
          <w:rFonts w:hint="eastAsia" w:ascii="宋体" w:hAnsi="宋体" w:cs="宋体"/>
          <w:b/>
          <w:color w:val="auto"/>
          <w:szCs w:val="21"/>
        </w:rPr>
        <w:t>公告期限</w:t>
      </w:r>
    </w:p>
    <w:p>
      <w:pPr>
        <w:tabs>
          <w:tab w:val="left" w:pos="420"/>
          <w:tab w:val="left" w:pos="525"/>
        </w:tabs>
        <w:spacing w:beforeLines="20" w:afterLines="20" w:line="360" w:lineRule="auto"/>
        <w:ind w:left="-420" w:leftChars="-200" w:firstLine="840" w:firstLineChars="400"/>
        <w:rPr>
          <w:rFonts w:ascii="宋体" w:hAnsi="宋体"/>
          <w:bCs/>
          <w:color w:val="auto"/>
          <w:szCs w:val="21"/>
        </w:rPr>
      </w:pPr>
      <w:r>
        <w:rPr>
          <w:rFonts w:hint="eastAsia" w:ascii="宋体" w:hAnsi="宋体" w:cs="宋体"/>
          <w:color w:val="auto"/>
          <w:szCs w:val="21"/>
        </w:rPr>
        <w:t>自本公告发布之日起3个工作日</w:t>
      </w:r>
      <w:r>
        <w:rPr>
          <w:rFonts w:hint="eastAsia" w:ascii="宋体" w:hAnsi="宋体"/>
          <w:bCs/>
          <w:color w:val="auto"/>
          <w:szCs w:val="21"/>
        </w:rPr>
        <w:t>。</w:t>
      </w:r>
    </w:p>
    <w:p>
      <w:pPr>
        <w:pStyle w:val="58"/>
        <w:widowControl w:val="0"/>
        <w:numPr>
          <w:ilvl w:val="0"/>
          <w:numId w:val="2"/>
        </w:numPr>
        <w:tabs>
          <w:tab w:val="left" w:pos="426"/>
          <w:tab w:val="clear" w:pos="1100"/>
        </w:tabs>
        <w:spacing w:line="360" w:lineRule="auto"/>
        <w:ind w:hanging="1100" w:firstLineChars="0"/>
        <w:jc w:val="both"/>
        <w:rPr>
          <w:rFonts w:ascii="宋体" w:hAnsi="宋体"/>
          <w:color w:val="auto"/>
          <w:szCs w:val="21"/>
        </w:rPr>
      </w:pPr>
      <w:r>
        <w:rPr>
          <w:rFonts w:ascii="宋体" w:hAnsi="宋体"/>
          <w:b/>
          <w:color w:val="auto"/>
          <w:szCs w:val="21"/>
        </w:rPr>
        <w:t>其他补充事宜</w:t>
      </w:r>
    </w:p>
    <w:p>
      <w:pPr>
        <w:widowControl w:val="0"/>
        <w:numPr>
          <w:ilvl w:val="0"/>
          <w:numId w:val="4"/>
        </w:numPr>
        <w:tabs>
          <w:tab w:val="left" w:pos="420"/>
          <w:tab w:val="left" w:pos="1080"/>
        </w:tabs>
        <w:spacing w:line="360" w:lineRule="auto"/>
        <w:ind w:right="-315" w:rightChars="-150"/>
        <w:rPr>
          <w:rFonts w:ascii="宋体" w:hAnsi="宋体" w:cs="宋体"/>
          <w:bCs/>
          <w:color w:val="auto"/>
          <w:szCs w:val="21"/>
        </w:rPr>
      </w:pPr>
      <w:r>
        <w:rPr>
          <w:rFonts w:hint="eastAsia" w:ascii="宋体" w:hAnsi="宋体" w:cs="宋体"/>
          <w:bCs/>
          <w:color w:val="auto"/>
          <w:szCs w:val="21"/>
        </w:rPr>
        <w:t>本项目通过“政府采购云平台（www.zcygov.cn）”实行在线投标响应（电子投标），供应商通过政采云平台下载安装“政采云电子交易客户端”制作响应文件，同时按照本采购文件和“政府采购云平台”的要求，编制并加密响应文件，供应商未按规定加密的响应文件，“政府采购云平台”将予以拒收。请供应商自行前往浙江省政府采购网下载并安装，下载网址（</w:t>
      </w:r>
      <w:r>
        <w:rPr>
          <w:color w:val="auto"/>
        </w:rPr>
        <w:fldChar w:fldCharType="begin"/>
      </w:r>
      <w:r>
        <w:rPr>
          <w:color w:val="auto"/>
        </w:rPr>
        <w:instrText xml:space="preserve"> HYPERLINK "http://zfcg.czt.zj.gov.cn/download/index.html?_=1571637782379），并按照本采购文件和" </w:instrText>
      </w:r>
      <w:r>
        <w:rPr>
          <w:color w:val="auto"/>
        </w:rPr>
        <w:fldChar w:fldCharType="separate"/>
      </w:r>
      <w:r>
        <w:rPr>
          <w:rStyle w:val="48"/>
          <w:rFonts w:hint="eastAsia" w:ascii="宋体" w:hAnsi="宋体" w:cs="宋体"/>
          <w:bCs/>
          <w:color w:val="auto"/>
          <w:szCs w:val="21"/>
        </w:rPr>
        <w:t>http://zfcg.czt.zj.gov.cn/download/index.html?_=1571637782379）。</w:t>
      </w:r>
      <w:r>
        <w:rPr>
          <w:rStyle w:val="48"/>
          <w:rFonts w:hint="eastAsia" w:ascii="宋体" w:hAnsi="宋体" w:cs="宋体"/>
          <w:bCs/>
          <w:color w:val="auto"/>
          <w:szCs w:val="21"/>
        </w:rPr>
        <w:fldChar w:fldCharType="end"/>
      </w:r>
    </w:p>
    <w:p>
      <w:pPr>
        <w:widowControl w:val="0"/>
        <w:numPr>
          <w:ilvl w:val="0"/>
          <w:numId w:val="4"/>
        </w:numPr>
        <w:tabs>
          <w:tab w:val="left" w:pos="420"/>
          <w:tab w:val="left" w:pos="1080"/>
        </w:tabs>
        <w:spacing w:line="360" w:lineRule="auto"/>
        <w:rPr>
          <w:bCs/>
          <w:color w:val="auto"/>
        </w:rPr>
      </w:pPr>
      <w:r>
        <w:rPr>
          <w:rFonts w:hint="eastAsia" w:ascii="宋体" w:hAnsi="宋体" w:cs="宋体"/>
          <w:bCs/>
          <w:color w:val="auto"/>
          <w:szCs w:val="21"/>
        </w:rPr>
        <w:t>供应商应在开标前完成CA数字证书办理，完成CA数字证书办理预计一周左右，请各供应商自行把握时间。</w:t>
      </w:r>
    </w:p>
    <w:p>
      <w:pPr>
        <w:widowControl w:val="0"/>
        <w:numPr>
          <w:ilvl w:val="0"/>
          <w:numId w:val="4"/>
        </w:numPr>
        <w:tabs>
          <w:tab w:val="left" w:pos="420"/>
          <w:tab w:val="left" w:pos="1080"/>
        </w:tabs>
        <w:spacing w:line="360" w:lineRule="auto"/>
        <w:rPr>
          <w:rFonts w:ascii="宋体" w:hAnsi="宋体"/>
          <w:color w:val="auto"/>
          <w:szCs w:val="21"/>
        </w:rPr>
      </w:pPr>
      <w:r>
        <w:rPr>
          <w:rFonts w:hint="eastAsia" w:ascii="宋体" w:hAnsi="宋体" w:cs="宋体"/>
          <w:bCs/>
          <w:color w:val="auto"/>
          <w:szCs w:val="21"/>
        </w:rPr>
        <w:t>供应商在使用系统进行投标的过程中遇到涉及平台使用的任何问题，可致电政采云平台技术支持热线咨询，联系方式：400-881-7190。</w:t>
      </w:r>
    </w:p>
    <w:p>
      <w:pPr>
        <w:widowControl w:val="0"/>
        <w:numPr>
          <w:ilvl w:val="0"/>
          <w:numId w:val="4"/>
        </w:numPr>
        <w:tabs>
          <w:tab w:val="left" w:pos="420"/>
          <w:tab w:val="left" w:pos="1080"/>
        </w:tabs>
        <w:spacing w:line="360" w:lineRule="auto"/>
        <w:rPr>
          <w:rFonts w:ascii="宋体" w:hAnsi="宋体"/>
          <w:color w:val="auto"/>
          <w:szCs w:val="21"/>
        </w:rPr>
      </w:pPr>
      <w:r>
        <w:rPr>
          <w:rFonts w:hint="eastAsia" w:ascii="宋体" w:hAnsi="宋体"/>
          <w:color w:val="auto"/>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val="0"/>
        <w:numPr>
          <w:ilvl w:val="0"/>
          <w:numId w:val="4"/>
        </w:numPr>
        <w:tabs>
          <w:tab w:val="left" w:pos="420"/>
          <w:tab w:val="left" w:pos="1080"/>
        </w:tabs>
        <w:spacing w:line="360" w:lineRule="auto"/>
        <w:rPr>
          <w:rFonts w:ascii="宋体" w:hAnsi="宋体"/>
          <w:color w:val="auto"/>
          <w:szCs w:val="21"/>
        </w:rPr>
      </w:pPr>
      <w:r>
        <w:rPr>
          <w:rFonts w:hint="eastAsia" w:ascii="宋体" w:hAnsi="宋体"/>
          <w:color w:val="auto"/>
          <w:szCs w:val="21"/>
        </w:rPr>
        <w:t>疫情防控期间，政府采购供应商可以通过登录“浙江政务服务网”（http://www.zjzwfw.gov.cn/），搜索关键字“政府采购投诉处理”，或者选择“部门服务—省财政厅—行政裁决—政府采购投诉处理”，点击“在线办理”，即可进行在线投诉。财政部门审查受理、处理决定等政府采购投诉处理相关文书均在线提交，政府采购投诉供应商明确表示需要邮寄的除外。</w:t>
      </w:r>
    </w:p>
    <w:p>
      <w:pPr>
        <w:widowControl w:val="0"/>
        <w:numPr>
          <w:ilvl w:val="0"/>
          <w:numId w:val="4"/>
        </w:numPr>
        <w:tabs>
          <w:tab w:val="left" w:pos="420"/>
          <w:tab w:val="left" w:pos="1080"/>
        </w:tabs>
        <w:spacing w:line="360" w:lineRule="auto"/>
        <w:rPr>
          <w:rFonts w:ascii="宋体" w:hAnsi="宋体"/>
          <w:color w:val="auto"/>
          <w:szCs w:val="21"/>
        </w:rPr>
      </w:pPr>
      <w:r>
        <w:rPr>
          <w:rFonts w:hint="eastAsia" w:ascii="宋体" w:hAnsi="宋体"/>
          <w:color w:val="auto"/>
          <w:szCs w:val="21"/>
        </w:rPr>
        <w:t>潜在供应商应当按照规定方式获取采购文件，未按照规定方式获取采购文件的，不得对采购文件提起质疑投诉。</w:t>
      </w:r>
    </w:p>
    <w:p>
      <w:pPr>
        <w:widowControl w:val="0"/>
        <w:numPr>
          <w:ilvl w:val="0"/>
          <w:numId w:val="4"/>
        </w:numPr>
        <w:tabs>
          <w:tab w:val="left" w:pos="420"/>
          <w:tab w:val="left" w:pos="1080"/>
        </w:tabs>
        <w:spacing w:line="360" w:lineRule="auto"/>
        <w:rPr>
          <w:rFonts w:ascii="宋体" w:hAnsi="宋体" w:cs="宋体"/>
          <w:color w:val="auto"/>
          <w:szCs w:val="21"/>
        </w:rPr>
      </w:pPr>
      <w:r>
        <w:rPr>
          <w:rFonts w:hint="eastAsia" w:ascii="宋体" w:hAnsi="宋体"/>
          <w:color w:val="auto"/>
          <w:szCs w:val="21"/>
        </w:rPr>
        <w:t>本项目执行促进中小企业发展、支持监狱企业发展、促进残疾人就业政府采购政策</w:t>
      </w:r>
      <w:r>
        <w:rPr>
          <w:rFonts w:hint="eastAsia" w:ascii="宋体" w:hAnsi="宋体" w:cs="宋体"/>
          <w:color w:val="auto"/>
          <w:szCs w:val="21"/>
        </w:rPr>
        <w:t>。</w:t>
      </w:r>
    </w:p>
    <w:p>
      <w:pPr>
        <w:widowControl w:val="0"/>
        <w:numPr>
          <w:ilvl w:val="0"/>
          <w:numId w:val="4"/>
        </w:numPr>
        <w:tabs>
          <w:tab w:val="left" w:pos="420"/>
          <w:tab w:val="left" w:pos="1080"/>
        </w:tabs>
        <w:spacing w:line="360" w:lineRule="auto"/>
        <w:rPr>
          <w:rFonts w:ascii="宋体" w:hAnsi="宋体" w:cs="宋体"/>
          <w:color w:val="auto"/>
          <w:szCs w:val="21"/>
        </w:rPr>
      </w:pPr>
      <w:r>
        <w:rPr>
          <w:rFonts w:hint="eastAsia" w:ascii="宋体" w:hAnsi="宋体"/>
          <w:color w:val="auto"/>
          <w:szCs w:val="21"/>
        </w:rPr>
        <w:t>本项目执行优先采购节能产品/强制采购节能产品、优先采购环境标志产品政策</w:t>
      </w:r>
      <w:r>
        <w:rPr>
          <w:rFonts w:hint="eastAsia" w:ascii="宋体" w:hAnsi="宋体" w:cs="宋体"/>
          <w:color w:val="auto"/>
          <w:szCs w:val="21"/>
        </w:rPr>
        <w:t>。</w:t>
      </w:r>
    </w:p>
    <w:p>
      <w:pPr>
        <w:pStyle w:val="58"/>
        <w:widowControl w:val="0"/>
        <w:numPr>
          <w:ilvl w:val="0"/>
          <w:numId w:val="2"/>
        </w:numPr>
        <w:tabs>
          <w:tab w:val="left" w:pos="426"/>
          <w:tab w:val="clear" w:pos="1100"/>
        </w:tabs>
        <w:spacing w:line="360" w:lineRule="auto"/>
        <w:ind w:hanging="1100" w:firstLineChars="0"/>
        <w:jc w:val="both"/>
        <w:rPr>
          <w:rFonts w:ascii="宋体" w:hAnsi="宋体"/>
          <w:b/>
          <w:color w:val="auto"/>
          <w:szCs w:val="21"/>
        </w:rPr>
      </w:pPr>
      <w:r>
        <w:rPr>
          <w:rFonts w:hint="eastAsia" w:ascii="宋体" w:hAnsi="宋体"/>
          <w:b/>
          <w:color w:val="auto"/>
          <w:szCs w:val="21"/>
        </w:rPr>
        <w:t>凡对本次采购提出询问，请按以下方式联系</w:t>
      </w:r>
    </w:p>
    <w:p>
      <w:pPr>
        <w:spacing w:line="360" w:lineRule="auto"/>
        <w:ind w:firstLine="210" w:firstLineChars="100"/>
        <w:rPr>
          <w:rFonts w:ascii="宋体" w:hAnsi="宋体"/>
          <w:color w:val="auto"/>
          <w:szCs w:val="21"/>
        </w:rPr>
      </w:pPr>
      <w:r>
        <w:rPr>
          <w:rFonts w:hint="eastAsia" w:ascii="宋体" w:hAnsi="宋体"/>
          <w:color w:val="auto"/>
          <w:szCs w:val="21"/>
        </w:rPr>
        <w:t>1、采购人信息</w:t>
      </w:r>
    </w:p>
    <w:p>
      <w:pPr>
        <w:spacing w:line="360" w:lineRule="auto"/>
        <w:ind w:firstLine="210" w:firstLineChars="100"/>
        <w:rPr>
          <w:rFonts w:hint="eastAsia" w:ascii="宋体" w:hAnsi="宋体" w:eastAsia="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瑞安安阳中心城区开发建设中心</w:t>
      </w:r>
    </w:p>
    <w:p>
      <w:pPr>
        <w:spacing w:line="360" w:lineRule="auto"/>
        <w:ind w:firstLine="210" w:firstLineChars="100"/>
        <w:rPr>
          <w:rFonts w:hint="eastAsia" w:ascii="宋体" w:hAnsi="宋体" w:eastAsia="宋体"/>
          <w:color w:val="auto"/>
          <w:szCs w:val="21"/>
          <w:lang w:eastAsia="zh-CN"/>
        </w:rPr>
      </w:pPr>
      <w:r>
        <w:rPr>
          <w:rFonts w:hint="eastAsia" w:ascii="宋体" w:hAnsi="宋体"/>
          <w:color w:val="auto"/>
          <w:szCs w:val="21"/>
        </w:rPr>
        <w:t>地址：</w:t>
      </w:r>
      <w:r>
        <w:rPr>
          <w:rFonts w:hint="eastAsia" w:ascii="宋体" w:hAnsi="宋体"/>
          <w:color w:val="auto"/>
          <w:szCs w:val="21"/>
          <w:lang w:eastAsia="zh-CN"/>
        </w:rPr>
        <w:t>瑞安市时代大厦15楼</w:t>
      </w:r>
    </w:p>
    <w:p>
      <w:pPr>
        <w:spacing w:line="360" w:lineRule="auto"/>
        <w:ind w:firstLine="210" w:firstLineChars="100"/>
        <w:rPr>
          <w:rFonts w:hint="eastAsia" w:ascii="宋体" w:hAnsi="宋体"/>
          <w:color w:val="auto"/>
          <w:szCs w:val="21"/>
        </w:rPr>
      </w:pPr>
      <w:r>
        <w:rPr>
          <w:rFonts w:hint="eastAsia" w:ascii="宋体" w:hAnsi="宋体"/>
          <w:color w:val="auto"/>
          <w:szCs w:val="21"/>
        </w:rPr>
        <w:t>项目联系人（询问）： 吴女士</w:t>
      </w:r>
    </w:p>
    <w:p>
      <w:pPr>
        <w:spacing w:line="360" w:lineRule="auto"/>
        <w:ind w:firstLine="210" w:firstLineChars="100"/>
        <w:rPr>
          <w:rFonts w:hint="eastAsia" w:ascii="宋体" w:hAnsi="宋体"/>
          <w:color w:val="auto"/>
          <w:szCs w:val="21"/>
        </w:rPr>
      </w:pPr>
      <w:r>
        <w:rPr>
          <w:rFonts w:hint="eastAsia" w:ascii="宋体" w:hAnsi="宋体"/>
          <w:color w:val="auto"/>
          <w:szCs w:val="21"/>
        </w:rPr>
        <w:t>项目联系方式（询问）：0577-66860128</w:t>
      </w:r>
    </w:p>
    <w:p>
      <w:pPr>
        <w:spacing w:line="360" w:lineRule="auto"/>
        <w:ind w:firstLine="210" w:firstLineChars="100"/>
        <w:rPr>
          <w:rFonts w:hint="eastAsia" w:ascii="宋体" w:hAnsi="宋体"/>
          <w:color w:val="auto"/>
          <w:szCs w:val="21"/>
        </w:rPr>
      </w:pPr>
      <w:r>
        <w:rPr>
          <w:rFonts w:hint="eastAsia" w:ascii="宋体" w:hAnsi="宋体"/>
          <w:color w:val="auto"/>
          <w:szCs w:val="21"/>
        </w:rPr>
        <w:t>质疑联系人：朱先生</w:t>
      </w:r>
    </w:p>
    <w:p>
      <w:pPr>
        <w:spacing w:line="360" w:lineRule="auto"/>
        <w:ind w:firstLine="210" w:firstLineChars="100"/>
        <w:rPr>
          <w:rFonts w:ascii="宋体" w:hAnsi="宋体"/>
          <w:color w:val="auto"/>
          <w:szCs w:val="21"/>
        </w:rPr>
      </w:pPr>
      <w:r>
        <w:rPr>
          <w:rFonts w:hint="eastAsia" w:ascii="宋体" w:hAnsi="宋体"/>
          <w:color w:val="auto"/>
          <w:szCs w:val="21"/>
        </w:rPr>
        <w:t>质疑联系方式：0577-66860177</w:t>
      </w:r>
    </w:p>
    <w:p>
      <w:pPr>
        <w:spacing w:line="360" w:lineRule="auto"/>
        <w:ind w:firstLine="210" w:firstLineChars="100"/>
        <w:rPr>
          <w:rFonts w:ascii="宋体" w:hAnsi="宋体" w:cs="宋体"/>
          <w:color w:val="auto"/>
          <w:szCs w:val="21"/>
        </w:rPr>
      </w:pPr>
      <w:r>
        <w:rPr>
          <w:rFonts w:hint="eastAsia" w:ascii="宋体" w:hAnsi="宋体"/>
          <w:color w:val="auto"/>
          <w:szCs w:val="21"/>
        </w:rPr>
        <w:t>2、采购代理</w:t>
      </w:r>
      <w:r>
        <w:rPr>
          <w:rFonts w:ascii="宋体" w:hAnsi="宋体"/>
          <w:color w:val="auto"/>
          <w:szCs w:val="21"/>
        </w:rPr>
        <w:t>机构信息</w:t>
      </w:r>
    </w:p>
    <w:p>
      <w:pPr>
        <w:spacing w:line="360" w:lineRule="auto"/>
        <w:ind w:left="210" w:leftChars="100"/>
        <w:rPr>
          <w:rFonts w:ascii="宋体" w:hAnsi="宋体"/>
          <w:color w:val="auto"/>
          <w:szCs w:val="21"/>
        </w:rPr>
      </w:pPr>
      <w:r>
        <w:rPr>
          <w:rFonts w:hint="eastAsia" w:ascii="宋体" w:hAnsi="宋体" w:cs="宋体"/>
          <w:color w:val="auto"/>
          <w:szCs w:val="21"/>
        </w:rPr>
        <w:t xml:space="preserve">名称：浙江瑞扬工程咨询招标代理股份有限公司 </w:t>
      </w:r>
    </w:p>
    <w:p>
      <w:pPr>
        <w:spacing w:line="360" w:lineRule="auto"/>
        <w:ind w:left="210" w:leftChars="100"/>
        <w:rPr>
          <w:rFonts w:ascii="宋体" w:hAnsi="宋体" w:cs="宋体"/>
          <w:color w:val="auto"/>
          <w:szCs w:val="21"/>
        </w:rPr>
      </w:pPr>
      <w:r>
        <w:rPr>
          <w:rFonts w:hint="eastAsia" w:ascii="宋体" w:hAnsi="宋体" w:cs="宋体"/>
          <w:color w:val="auto"/>
          <w:szCs w:val="21"/>
        </w:rPr>
        <w:t>地址</w:t>
      </w:r>
      <w:r>
        <w:rPr>
          <w:rFonts w:hint="eastAsia" w:ascii="宋体" w:hAnsi="宋体"/>
          <w:color w:val="auto"/>
          <w:szCs w:val="21"/>
        </w:rPr>
        <w:t>：</w:t>
      </w:r>
      <w:r>
        <w:rPr>
          <w:rFonts w:hint="eastAsia" w:ascii="宋体" w:hAnsi="宋体" w:cs="宋体"/>
          <w:color w:val="auto"/>
          <w:szCs w:val="21"/>
        </w:rPr>
        <w:t>瑞安市安福路28号三楼</w:t>
      </w:r>
    </w:p>
    <w:p>
      <w:pPr>
        <w:spacing w:line="360" w:lineRule="auto"/>
        <w:ind w:firstLine="210" w:firstLineChars="100"/>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olor w:val="auto"/>
          <w:szCs w:val="21"/>
          <w:lang w:eastAsia="zh-CN"/>
        </w:rPr>
        <w:t>王育彬</w:t>
      </w:r>
    </w:p>
    <w:p>
      <w:pPr>
        <w:spacing w:line="360" w:lineRule="auto"/>
        <w:ind w:firstLine="210" w:firstLineChars="100"/>
        <w:rPr>
          <w:rFonts w:hint="eastAsia" w:ascii="宋体" w:hAnsi="宋体" w:eastAsia="宋体"/>
          <w:color w:val="auto"/>
          <w:szCs w:val="21"/>
          <w:lang w:eastAsia="zh-CN"/>
        </w:rPr>
      </w:pPr>
      <w:r>
        <w:rPr>
          <w:rFonts w:hint="eastAsia" w:ascii="宋体" w:hAnsi="宋体"/>
          <w:color w:val="auto"/>
          <w:szCs w:val="21"/>
        </w:rPr>
        <w:t>联系电话：</w:t>
      </w:r>
      <w:r>
        <w:rPr>
          <w:rFonts w:hint="eastAsia" w:ascii="宋体" w:hAnsi="宋体"/>
          <w:color w:val="auto"/>
          <w:szCs w:val="21"/>
          <w:lang w:eastAsia="zh-CN"/>
        </w:rPr>
        <w:t>15990779588</w:t>
      </w:r>
    </w:p>
    <w:p>
      <w:pPr>
        <w:spacing w:line="360" w:lineRule="auto"/>
        <w:ind w:firstLine="210" w:firstLineChars="100"/>
        <w:rPr>
          <w:rFonts w:ascii="宋体" w:hAnsi="宋体"/>
          <w:color w:val="auto"/>
          <w:szCs w:val="21"/>
        </w:rPr>
      </w:pPr>
      <w:r>
        <w:rPr>
          <w:rFonts w:hint="eastAsia" w:ascii="宋体" w:hAnsi="宋体"/>
          <w:color w:val="auto"/>
          <w:szCs w:val="21"/>
        </w:rPr>
        <w:t>传真：0577-65802277</w:t>
      </w:r>
    </w:p>
    <w:p>
      <w:pPr>
        <w:spacing w:line="360" w:lineRule="auto"/>
        <w:ind w:firstLine="210" w:firstLineChars="100"/>
        <w:rPr>
          <w:rFonts w:hint="eastAsia" w:ascii="宋体" w:hAnsi="宋体" w:eastAsia="宋体"/>
          <w:color w:val="auto"/>
          <w:szCs w:val="21"/>
          <w:lang w:eastAsia="zh-CN"/>
        </w:rPr>
      </w:pPr>
      <w:r>
        <w:rPr>
          <w:rFonts w:hint="eastAsia" w:ascii="宋体" w:hAnsi="宋体"/>
          <w:color w:val="auto"/>
          <w:szCs w:val="21"/>
        </w:rPr>
        <w:t>质疑受理人：</w:t>
      </w:r>
      <w:r>
        <w:rPr>
          <w:rFonts w:hint="eastAsia" w:ascii="宋体" w:hAnsi="宋体"/>
          <w:color w:val="auto"/>
          <w:szCs w:val="21"/>
          <w:lang w:val="en-US" w:eastAsia="zh-CN"/>
        </w:rPr>
        <w:t>林慧静</w:t>
      </w:r>
    </w:p>
    <w:p>
      <w:pPr>
        <w:spacing w:line="360" w:lineRule="auto"/>
        <w:ind w:firstLine="210" w:firstLineChars="100"/>
        <w:rPr>
          <w:rFonts w:ascii="宋体" w:hAnsi="宋体"/>
          <w:color w:val="auto"/>
          <w:szCs w:val="21"/>
        </w:rPr>
      </w:pPr>
      <w:r>
        <w:rPr>
          <w:rFonts w:hint="eastAsia" w:ascii="宋体" w:hAnsi="宋体"/>
          <w:color w:val="auto"/>
          <w:szCs w:val="21"/>
        </w:rPr>
        <w:t>联系电话：0577-65802277</w:t>
      </w:r>
    </w:p>
    <w:p>
      <w:pPr>
        <w:spacing w:line="360" w:lineRule="auto"/>
        <w:ind w:firstLine="210" w:firstLineChars="100"/>
        <w:rPr>
          <w:rFonts w:ascii="宋体" w:hAnsi="宋体"/>
          <w:color w:val="auto"/>
          <w:szCs w:val="21"/>
        </w:rPr>
      </w:pPr>
      <w:r>
        <w:rPr>
          <w:rFonts w:hint="eastAsia" w:ascii="宋体" w:hAnsi="宋体"/>
          <w:color w:val="auto"/>
          <w:szCs w:val="21"/>
        </w:rPr>
        <w:t>3、同级政府采购监督管理部门</w:t>
      </w:r>
    </w:p>
    <w:p>
      <w:pPr>
        <w:spacing w:line="360" w:lineRule="auto"/>
        <w:ind w:left="210" w:leftChars="100"/>
        <w:rPr>
          <w:rFonts w:ascii="宋体" w:hAnsi="宋体" w:cs="宋体"/>
          <w:color w:val="auto"/>
          <w:szCs w:val="21"/>
        </w:rPr>
      </w:pPr>
      <w:r>
        <w:rPr>
          <w:rFonts w:hint="eastAsia" w:ascii="宋体" w:hAnsi="宋体"/>
          <w:color w:val="auto"/>
          <w:szCs w:val="21"/>
        </w:rPr>
        <w:t>名称：瑞安市</w:t>
      </w:r>
      <w:r>
        <w:rPr>
          <w:rFonts w:hint="eastAsia" w:ascii="宋体" w:hAnsi="宋体" w:cs="宋体"/>
          <w:color w:val="auto"/>
          <w:szCs w:val="21"/>
        </w:rPr>
        <w:t>财政局政府采购监管科</w:t>
      </w:r>
    </w:p>
    <w:p>
      <w:pPr>
        <w:spacing w:line="360" w:lineRule="auto"/>
        <w:ind w:firstLine="210" w:firstLineChars="100"/>
        <w:rPr>
          <w:rFonts w:ascii="宋体" w:hAnsi="宋体" w:cs="宋体"/>
          <w:color w:val="auto"/>
          <w:szCs w:val="21"/>
        </w:rPr>
      </w:pPr>
      <w:r>
        <w:rPr>
          <w:rFonts w:hint="eastAsia" w:ascii="宋体" w:hAnsi="宋体" w:cs="宋体"/>
          <w:color w:val="auto"/>
          <w:szCs w:val="21"/>
        </w:rPr>
        <w:t>联系人：张先生</w:t>
      </w:r>
    </w:p>
    <w:p>
      <w:pPr>
        <w:spacing w:line="360" w:lineRule="auto"/>
        <w:ind w:firstLine="210" w:firstLineChars="100"/>
        <w:rPr>
          <w:rFonts w:ascii="宋体" w:hAnsi="宋体" w:cs="宋体"/>
          <w:color w:val="auto"/>
          <w:szCs w:val="21"/>
        </w:rPr>
      </w:pPr>
      <w:r>
        <w:rPr>
          <w:rFonts w:hint="eastAsia" w:ascii="宋体" w:hAnsi="宋体" w:cs="宋体"/>
          <w:color w:val="auto"/>
          <w:szCs w:val="21"/>
        </w:rPr>
        <w:t>地址：瑞安市财政局大楼15楼</w:t>
      </w:r>
    </w:p>
    <w:p>
      <w:pPr>
        <w:spacing w:line="360" w:lineRule="auto"/>
        <w:rPr>
          <w:rFonts w:ascii="宋体" w:hAnsi="宋体" w:cs="宋体"/>
          <w:color w:val="auto"/>
          <w:szCs w:val="21"/>
        </w:rPr>
      </w:pPr>
      <w:r>
        <w:rPr>
          <w:rFonts w:hint="eastAsia" w:ascii="宋体" w:hAnsi="宋体" w:cs="宋体"/>
          <w:color w:val="auto"/>
          <w:szCs w:val="21"/>
        </w:rPr>
        <w:t xml:space="preserve">  联系电话：0577-65827567</w:t>
      </w:r>
    </w:p>
    <w:p>
      <w:pPr>
        <w:spacing w:line="360" w:lineRule="auto"/>
        <w:ind w:firstLine="210" w:firstLineChars="100"/>
        <w:rPr>
          <w:rFonts w:ascii="宋体" w:hAnsi="宋体" w:cs="宋体"/>
          <w:color w:val="auto"/>
          <w:szCs w:val="21"/>
        </w:rPr>
      </w:pPr>
      <w:r>
        <w:rPr>
          <w:rFonts w:hint="eastAsia" w:ascii="宋体" w:hAnsi="宋体" w:cs="宋体"/>
          <w:color w:val="auto"/>
          <w:szCs w:val="21"/>
        </w:rPr>
        <w:t>传真：0577-65827570</w:t>
      </w:r>
    </w:p>
    <w:p>
      <w:pPr>
        <w:spacing w:line="360" w:lineRule="auto"/>
        <w:rPr>
          <w:rFonts w:ascii="宋体" w:hAnsi="宋体" w:cs="宋体"/>
          <w:color w:val="auto"/>
          <w:szCs w:val="21"/>
        </w:rPr>
      </w:pPr>
      <w:r>
        <w:rPr>
          <w:rFonts w:hint="eastAsia" w:ascii="宋体" w:hAnsi="宋体" w:cs="宋体"/>
          <w:color w:val="auto"/>
          <w:szCs w:val="21"/>
        </w:rPr>
        <w:t xml:space="preserve">  </w:t>
      </w:r>
    </w:p>
    <w:p>
      <w:pPr>
        <w:spacing w:line="400" w:lineRule="exact"/>
        <w:ind w:right="630"/>
        <w:rPr>
          <w:rFonts w:ascii="宋体" w:hAnsi="宋体"/>
          <w:color w:val="auto"/>
          <w:szCs w:val="21"/>
        </w:rPr>
      </w:pPr>
    </w:p>
    <w:p>
      <w:pPr>
        <w:pStyle w:val="5"/>
        <w:keepNext w:val="0"/>
        <w:keepLines w:val="0"/>
        <w:pageBreakBefore/>
        <w:spacing w:beforeLines="100" w:afterLines="100" w:line="240" w:lineRule="auto"/>
        <w:jc w:val="center"/>
        <w:rPr>
          <w:rFonts w:hAnsi="宋体"/>
          <w:color w:val="auto"/>
          <w:sz w:val="28"/>
          <w:szCs w:val="36"/>
        </w:rPr>
      </w:pPr>
      <w:bookmarkStart w:id="3" w:name="_Toc5975"/>
      <w:r>
        <w:rPr>
          <w:rFonts w:hint="eastAsia" w:hAnsi="宋体"/>
          <w:color w:val="auto"/>
          <w:sz w:val="28"/>
          <w:szCs w:val="36"/>
        </w:rPr>
        <w:t>第二部分  磋商供应商须知</w:t>
      </w:r>
      <w:bookmarkEnd w:id="3"/>
    </w:p>
    <w:p>
      <w:pPr>
        <w:pStyle w:val="6"/>
        <w:spacing w:beforeLines="50" w:afterLines="50" w:line="240" w:lineRule="auto"/>
        <w:jc w:val="center"/>
        <w:rPr>
          <w:bCs w:val="0"/>
          <w:color w:val="auto"/>
          <w:sz w:val="24"/>
          <w:szCs w:val="24"/>
        </w:rPr>
      </w:pPr>
      <w:bookmarkStart w:id="4" w:name="_Toc18067416"/>
      <w:bookmarkStart w:id="5" w:name="_Toc15443"/>
      <w:r>
        <w:rPr>
          <w:rFonts w:hint="eastAsia"/>
          <w:color w:val="auto"/>
          <w:sz w:val="24"/>
          <w:szCs w:val="24"/>
        </w:rPr>
        <w:t>（一）</w:t>
      </w:r>
      <w:r>
        <w:rPr>
          <w:rFonts w:hint="eastAsia"/>
          <w:bCs w:val="0"/>
          <w:color w:val="auto"/>
          <w:sz w:val="24"/>
          <w:szCs w:val="24"/>
        </w:rPr>
        <w:t>磋商须知前附表</w:t>
      </w:r>
      <w:bookmarkEnd w:id="4"/>
      <w:bookmarkEnd w:id="5"/>
    </w:p>
    <w:tbl>
      <w:tblPr>
        <w:tblStyle w:val="38"/>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6"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b/>
                <w:color w:val="auto"/>
                <w:szCs w:val="21"/>
              </w:rPr>
            </w:pPr>
            <w:r>
              <w:rPr>
                <w:rFonts w:hint="eastAsia" w:ascii="宋体" w:hAnsi="宋体" w:cs="Arial"/>
                <w:b/>
                <w:color w:val="auto"/>
                <w:szCs w:val="21"/>
              </w:rPr>
              <w:t>项号</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b/>
                <w:color w:val="auto"/>
                <w:szCs w:val="21"/>
              </w:rPr>
            </w:pPr>
            <w:r>
              <w:rPr>
                <w:rFonts w:hint="eastAsia" w:ascii="宋体" w:hAnsi="宋体" w:cs="Arial"/>
                <w:b/>
                <w:color w:val="auto"/>
                <w:szCs w:val="21"/>
              </w:rPr>
              <w:t>内容</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b/>
                <w:color w:val="auto"/>
                <w:szCs w:val="21"/>
              </w:rPr>
            </w:pPr>
            <w:r>
              <w:rPr>
                <w:rFonts w:hint="eastAsia" w:ascii="宋体" w:hAnsi="宋体" w:cs="Arial"/>
                <w:b/>
                <w:color w:val="auto"/>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项目名称</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Arial"/>
                <w:color w:val="auto"/>
                <w:szCs w:val="21"/>
                <w:lang w:eastAsia="zh-CN"/>
              </w:rPr>
            </w:pPr>
            <w:r>
              <w:rPr>
                <w:rFonts w:hint="eastAsia" w:ascii="Arial" w:hAnsi="Arial" w:cs="Arial"/>
                <w:color w:val="auto"/>
                <w:szCs w:val="21"/>
                <w:lang w:eastAsia="zh-CN"/>
              </w:rPr>
              <w:t>瑞安市阳光小学扩建工程智能化设备采购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3"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项目编号</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Arial"/>
                <w:color w:val="auto"/>
                <w:szCs w:val="21"/>
                <w:lang w:eastAsia="zh-CN"/>
              </w:rPr>
            </w:pPr>
            <w:r>
              <w:rPr>
                <w:rFonts w:hint="eastAsia" w:ascii="Arial" w:hAnsi="Arial" w:cs="Arial"/>
                <w:color w:val="auto"/>
                <w:szCs w:val="21"/>
                <w:lang w:eastAsia="zh-CN"/>
              </w:rPr>
              <w:t>RYCG20210840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7"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3</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olor w:val="auto"/>
                <w:szCs w:val="21"/>
              </w:rPr>
              <w:t>资金来源</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宋体" w:hAnsi="宋体"/>
                <w:color w:val="auto"/>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4</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采购人</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olor w:val="auto"/>
                <w:szCs w:val="21"/>
                <w:lang w:eastAsia="zh-CN"/>
              </w:rPr>
            </w:pPr>
            <w:r>
              <w:rPr>
                <w:rFonts w:hint="eastAsia" w:ascii="宋体" w:hAnsi="宋体"/>
                <w:color w:val="auto"/>
                <w:szCs w:val="21"/>
              </w:rPr>
              <w:t>名称：</w:t>
            </w:r>
            <w:r>
              <w:rPr>
                <w:rFonts w:hint="eastAsia" w:ascii="宋体" w:hAnsi="宋体"/>
                <w:color w:val="auto"/>
                <w:szCs w:val="21"/>
                <w:lang w:eastAsia="zh-CN"/>
              </w:rPr>
              <w:t>瑞安安阳中心城区开发建设中心</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宋体"/>
                <w:color w:val="auto"/>
                <w:lang w:eastAsia="zh-CN"/>
              </w:rPr>
            </w:pPr>
            <w:r>
              <w:rPr>
                <w:rFonts w:hint="eastAsia" w:hAnsi="宋体"/>
                <w:color w:val="auto"/>
                <w:szCs w:val="21"/>
              </w:rPr>
              <w:t>地址：</w:t>
            </w:r>
            <w:r>
              <w:rPr>
                <w:rFonts w:hint="eastAsia" w:hAnsi="宋体"/>
                <w:color w:val="auto"/>
                <w:szCs w:val="21"/>
                <w:lang w:eastAsia="zh-CN"/>
              </w:rPr>
              <w:t>瑞安市时代大厦15楼</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吴女士</w:t>
            </w:r>
            <w:r>
              <w:rPr>
                <w:rFonts w:hint="eastAsia" w:ascii="宋体" w:hAnsi="宋体" w:cs="宋体"/>
                <w:color w:val="auto"/>
                <w:szCs w:val="21"/>
              </w:rPr>
              <w:t xml:space="preserve">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Arial" w:hAnsi="Arial" w:cs="Arial"/>
                <w:color w:val="auto"/>
                <w:szCs w:val="21"/>
              </w:rPr>
            </w:pPr>
            <w:r>
              <w:rPr>
                <w:rFonts w:hint="eastAsia" w:ascii="宋体" w:hAnsi="宋体" w:cs="宋体"/>
                <w:color w:val="auto"/>
                <w:szCs w:val="21"/>
              </w:rPr>
              <w:t>联系电话：</w:t>
            </w:r>
            <w:r>
              <w:rPr>
                <w:rFonts w:hint="eastAsia" w:ascii="宋体" w:hAnsi="宋体" w:cs="宋体"/>
                <w:color w:val="auto"/>
                <w:szCs w:val="21"/>
                <w:lang w:val="en-US" w:eastAsia="zh-CN"/>
              </w:rPr>
              <w:t>0577-</w:t>
            </w:r>
            <w:r>
              <w:rPr>
                <w:rFonts w:hint="eastAsia" w:ascii="宋体" w:hAnsi="宋体"/>
                <w:color w:val="auto"/>
                <w:szCs w:val="21"/>
              </w:rPr>
              <w:t>66860128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5</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采购代理机构</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名称：浙江瑞扬工程咨询招标代理股份有限公司</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地址：</w:t>
            </w:r>
            <w:r>
              <w:rPr>
                <w:rFonts w:hint="eastAsia" w:ascii="宋体" w:hAnsi="宋体"/>
                <w:bCs/>
                <w:color w:val="auto"/>
                <w:szCs w:val="21"/>
              </w:rPr>
              <w:t>瑞安市</w:t>
            </w:r>
            <w:r>
              <w:rPr>
                <w:rFonts w:hint="eastAsia" w:ascii="宋体" w:hAnsi="宋体" w:cs="Arial"/>
                <w:color w:val="auto"/>
                <w:szCs w:val="21"/>
              </w:rPr>
              <w:t>安福路28号三楼</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olor w:val="auto"/>
                <w:szCs w:val="21"/>
                <w:lang w:eastAsia="zh-CN"/>
              </w:rPr>
            </w:pPr>
            <w:r>
              <w:rPr>
                <w:rFonts w:hint="eastAsia" w:ascii="宋体" w:hAnsi="宋体"/>
                <w:color w:val="auto"/>
                <w:szCs w:val="21"/>
              </w:rPr>
              <w:t>联系人</w:t>
            </w:r>
            <w:r>
              <w:rPr>
                <w:rFonts w:hint="eastAsia" w:ascii="宋体" w:hAnsi="宋体" w:cs="宋体"/>
                <w:color w:val="auto"/>
                <w:szCs w:val="21"/>
              </w:rPr>
              <w:t>：</w:t>
            </w:r>
            <w:r>
              <w:rPr>
                <w:rFonts w:hint="eastAsia" w:ascii="宋体" w:hAnsi="宋体" w:cs="宋体"/>
                <w:color w:val="auto"/>
                <w:szCs w:val="21"/>
                <w:lang w:eastAsia="zh-CN"/>
              </w:rPr>
              <w:t>王育彬</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olor w:val="auto"/>
                <w:szCs w:val="21"/>
                <w:lang w:eastAsia="zh-CN"/>
              </w:rPr>
            </w:pPr>
            <w:r>
              <w:rPr>
                <w:rFonts w:hint="eastAsia" w:ascii="宋体" w:hAnsi="宋体"/>
                <w:color w:val="auto"/>
                <w:szCs w:val="21"/>
              </w:rPr>
              <w:t>联系电话</w:t>
            </w:r>
            <w:r>
              <w:rPr>
                <w:rFonts w:hint="eastAsia" w:ascii="宋体" w:hAnsi="宋体" w:cs="宋体"/>
                <w:color w:val="auto"/>
                <w:szCs w:val="21"/>
              </w:rPr>
              <w:t>：</w:t>
            </w:r>
            <w:r>
              <w:rPr>
                <w:rFonts w:hint="eastAsia" w:ascii="宋体" w:hAnsi="宋体" w:cs="宋体"/>
                <w:color w:val="auto"/>
                <w:szCs w:val="21"/>
                <w:lang w:eastAsia="zh-CN"/>
              </w:rPr>
              <w:t>15990779588</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s="宋体"/>
                <w:color w:val="auto"/>
                <w:szCs w:val="21"/>
              </w:rPr>
              <w:t>传真：0577-65802277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6</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采购内容</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宋体"/>
                <w:color w:val="auto"/>
                <w:szCs w:val="21"/>
              </w:rPr>
            </w:pPr>
            <w:r>
              <w:rPr>
                <w:rFonts w:hint="eastAsia" w:ascii="宋体" w:hAnsi="宋体" w:cs="宋体"/>
                <w:color w:val="auto"/>
                <w:szCs w:val="21"/>
                <w:highlight w:val="none"/>
                <w:lang w:eastAsia="zh-CN"/>
              </w:rPr>
              <w:t>包含：1、综合布线系统；2、计算机网络系统；3、视频监控系统；4、电子班牌系统；5、校园广播系统；6、停车场管理系统；7、LED信息发布系统；8、多媒体会议系统；9、UPS不间断电源；10、升降柱；11、舞台灯光系统；12、舞台器械系统。（具体详见磋商文件第三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6"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7</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磋商供应商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资格要求</w:t>
            </w:r>
          </w:p>
        </w:tc>
        <w:tc>
          <w:tcPr>
            <w:tcW w:w="6530" w:type="dxa"/>
            <w:vAlign w:val="center"/>
          </w:tcPr>
          <w:p>
            <w:pPr>
              <w:keepNext w:val="0"/>
              <w:keepLines w:val="0"/>
              <w:pageBreakBefore w:val="0"/>
              <w:widowControl/>
              <w:numPr>
                <w:ilvl w:val="0"/>
                <w:numId w:val="5"/>
              </w:numPr>
              <w:tabs>
                <w:tab w:val="left" w:pos="420"/>
                <w:tab w:val="left" w:pos="1080"/>
              </w:tabs>
              <w:kinsoku/>
              <w:wordWrap/>
              <w:overflowPunct/>
              <w:topLinePunct w:val="0"/>
              <w:autoSpaceDE/>
              <w:autoSpaceDN/>
              <w:bidi w:val="0"/>
              <w:adjustRightInd/>
              <w:snapToGrid/>
              <w:spacing w:line="320" w:lineRule="exact"/>
              <w:textAlignment w:val="auto"/>
              <w:rPr>
                <w:color w:val="auto"/>
              </w:rPr>
            </w:pPr>
            <w:r>
              <w:rPr>
                <w:rFonts w:hint="eastAsia"/>
                <w:color w:val="auto"/>
              </w:rPr>
              <w:t>满足《中华人民共和国政府采购法》第二十二条规定；未被信用中国网站（www.creditchina.gov.cn）列入失信被执行人、重大税收违法件当事人名单，未被中国政府采购网（www.ccgp.gov.cn）列入政府采购严重违法失信行为记录名单。</w:t>
            </w:r>
          </w:p>
          <w:p>
            <w:pPr>
              <w:keepNext w:val="0"/>
              <w:keepLines w:val="0"/>
              <w:pageBreakBefore w:val="0"/>
              <w:widowControl/>
              <w:tabs>
                <w:tab w:val="left" w:pos="420"/>
                <w:tab w:val="left" w:pos="1080"/>
              </w:tabs>
              <w:kinsoku/>
              <w:wordWrap/>
              <w:overflowPunct/>
              <w:topLinePunct w:val="0"/>
              <w:autoSpaceDE/>
              <w:autoSpaceDN/>
              <w:bidi w:val="0"/>
              <w:adjustRightInd/>
              <w:snapToGrid/>
              <w:spacing w:line="320" w:lineRule="exact"/>
              <w:textAlignment w:val="auto"/>
              <w:rPr>
                <w:color w:val="auto"/>
              </w:rPr>
            </w:pPr>
            <w:r>
              <w:rPr>
                <w:rFonts w:hint="eastAsia"/>
                <w:color w:val="auto"/>
              </w:rPr>
              <w:t>2、落实政府采购政策需满足的资格要求：无。</w:t>
            </w:r>
          </w:p>
          <w:p>
            <w:pPr>
              <w:keepNext w:val="0"/>
              <w:keepLines w:val="0"/>
              <w:pageBreakBefore w:val="0"/>
              <w:widowControl/>
              <w:tabs>
                <w:tab w:val="left" w:pos="420"/>
                <w:tab w:val="left" w:pos="1080"/>
              </w:tabs>
              <w:kinsoku/>
              <w:wordWrap/>
              <w:overflowPunct/>
              <w:topLinePunct w:val="0"/>
              <w:autoSpaceDE/>
              <w:autoSpaceDN/>
              <w:bidi w:val="0"/>
              <w:adjustRightInd/>
              <w:snapToGrid/>
              <w:spacing w:line="320" w:lineRule="exact"/>
              <w:textAlignment w:val="auto"/>
              <w:rPr>
                <w:color w:val="auto"/>
              </w:rPr>
            </w:pPr>
            <w:r>
              <w:rPr>
                <w:rFonts w:hint="eastAsia"/>
                <w:color w:val="auto"/>
              </w:rPr>
              <w:t>3、特定资格条件：无。</w:t>
            </w:r>
          </w:p>
          <w:p>
            <w:pPr>
              <w:keepNext w:val="0"/>
              <w:keepLines w:val="0"/>
              <w:pageBreakBefore w:val="0"/>
              <w:widowControl/>
              <w:tabs>
                <w:tab w:val="left" w:pos="420"/>
                <w:tab w:val="left" w:pos="1080"/>
              </w:tabs>
              <w:kinsoku/>
              <w:wordWrap/>
              <w:overflowPunct/>
              <w:topLinePunct w:val="0"/>
              <w:autoSpaceDE/>
              <w:autoSpaceDN/>
              <w:bidi w:val="0"/>
              <w:adjustRightInd/>
              <w:snapToGrid/>
              <w:spacing w:line="320" w:lineRule="exact"/>
              <w:textAlignment w:val="auto"/>
              <w:rPr>
                <w:color w:val="auto"/>
              </w:rPr>
            </w:pPr>
            <w:r>
              <w:rPr>
                <w:rFonts w:hint="eastAsia" w:hAnsi="宋体" w:cs="Arial"/>
                <w:b/>
                <w:color w:val="auto"/>
                <w:szCs w:val="21"/>
              </w:rPr>
              <w:t>4、本项目不接受联合体投标。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8</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踏勘现场</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 xml:space="preserve"> 不组织</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i/>
                <w:color w:val="auto"/>
                <w:szCs w:val="21"/>
              </w:rPr>
            </w:pPr>
            <w:r>
              <w:rPr>
                <w:rFonts w:hint="eastAsia" w:ascii="宋体" w:hAnsi="宋体"/>
                <w:color w:val="auto"/>
                <w:szCs w:val="21"/>
              </w:rPr>
              <w:t>□ 组织    踏勘时间</w:t>
            </w:r>
            <w:r>
              <w:rPr>
                <w:rFonts w:hint="eastAsia" w:ascii="宋体" w:hAnsi="宋体"/>
                <w:i/>
                <w:color w:val="auto"/>
                <w:szCs w:val="21"/>
              </w:rPr>
              <w:t xml:space="preserve">：            </w:t>
            </w:r>
            <w:r>
              <w:rPr>
                <w:rFonts w:ascii="宋体" w:hAnsi="宋体"/>
                <w:i/>
                <w:color w:val="auto"/>
                <w:szCs w:val="21"/>
              </w:rPr>
              <w:t xml:space="preserve"> </w:t>
            </w:r>
            <w:r>
              <w:rPr>
                <w:rFonts w:hint="eastAsia" w:ascii="宋体" w:hAnsi="宋体"/>
                <w:color w:val="auto"/>
                <w:szCs w:val="21"/>
              </w:rPr>
              <w:t xml:space="preserve">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9</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是否允许递交备选投标方案</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 xml:space="preserve"> 不允许</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i/>
                <w:color w:val="auto"/>
                <w:szCs w:val="21"/>
              </w:rPr>
            </w:pPr>
            <w:r>
              <w:rPr>
                <w:rFonts w:ascii="宋体" w:hAnsi="宋体"/>
                <w:color w:val="auto"/>
                <w:szCs w:val="21"/>
              </w:rPr>
              <w:t>□</w:t>
            </w:r>
            <w:r>
              <w:rPr>
                <w:rFonts w:hint="eastAsia" w:ascii="宋体" w:hAnsi="宋体"/>
                <w:color w:val="auto"/>
                <w:szCs w:val="21"/>
              </w:rPr>
              <w:t xml:space="preserve">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w:t>
            </w:r>
            <w:r>
              <w:rPr>
                <w:rFonts w:ascii="宋体" w:hAnsi="宋体" w:cs="Arial"/>
                <w:color w:val="auto"/>
                <w:szCs w:val="21"/>
              </w:rPr>
              <w:t>0</w:t>
            </w:r>
          </w:p>
        </w:tc>
        <w:tc>
          <w:tcPr>
            <w:tcW w:w="1920"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20" w:lineRule="exact"/>
              <w:jc w:val="center"/>
              <w:textAlignment w:val="auto"/>
              <w:rPr>
                <w:rFonts w:ascii="Arial" w:hAnsi="宋体" w:cs="Arial"/>
                <w:color w:val="auto"/>
                <w:szCs w:val="21"/>
              </w:rPr>
            </w:pPr>
            <w:r>
              <w:rPr>
                <w:rFonts w:hint="eastAsia" w:ascii="Arial" w:hAnsi="宋体" w:cs="Arial"/>
                <w:color w:val="auto"/>
                <w:szCs w:val="21"/>
              </w:rPr>
              <w:t>是否允许分包</w:t>
            </w:r>
          </w:p>
        </w:tc>
        <w:tc>
          <w:tcPr>
            <w:tcW w:w="6530"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ascii="Arial" w:hAnsi="Arial" w:cs="Arial"/>
                <w:color w:val="auto"/>
                <w:szCs w:val="21"/>
              </w:rPr>
            </w:pPr>
            <w:r>
              <w:rPr>
                <w:rFonts w:ascii="Arial" w:hAnsi="宋体" w:cs="Arial"/>
                <w:color w:val="auto"/>
                <w:szCs w:val="21"/>
              </w:rPr>
              <w:fldChar w:fldCharType="begin"/>
            </w:r>
            <w:r>
              <w:rPr>
                <w:rFonts w:hint="eastAsia" w:ascii="Arial" w:hAnsi="宋体" w:cs="Arial"/>
                <w:color w:val="auto"/>
                <w:szCs w:val="21"/>
              </w:rPr>
              <w:instrText xml:space="preserve">eq \o\ac(□,√)</w:instrText>
            </w:r>
            <w:r>
              <w:rPr>
                <w:rFonts w:ascii="Arial" w:hAnsi="宋体" w:cs="Arial"/>
                <w:color w:val="auto"/>
                <w:szCs w:val="21"/>
              </w:rPr>
              <w:fldChar w:fldCharType="end"/>
            </w:r>
            <w:r>
              <w:rPr>
                <w:rFonts w:ascii="Arial" w:hAnsi="宋体" w:cs="Arial"/>
                <w:color w:val="auto"/>
                <w:szCs w:val="21"/>
              </w:rPr>
              <w:t>不允许</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ascii="Arial" w:hAnsi="Arial" w:cs="Arial"/>
                <w:color w:val="auto"/>
                <w:sz w:val="36"/>
                <w:szCs w:val="21"/>
              </w:rPr>
            </w:pPr>
            <w:r>
              <w:rPr>
                <w:rFonts w:ascii="Arial" w:hAnsi="Arial" w:cs="Arial"/>
                <w:color w:val="auto"/>
                <w:sz w:val="36"/>
                <w:szCs w:val="21"/>
              </w:rPr>
              <w:t>□</w:t>
            </w:r>
            <w:r>
              <w:rPr>
                <w:rFonts w:ascii="Arial" w:hAnsi="宋体" w:cs="Arial"/>
                <w:color w:val="auto"/>
                <w:szCs w:val="21"/>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11</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报价货币</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仿宋_GB2312"/>
                <w:color w:val="auto"/>
                <w:szCs w:val="21"/>
              </w:rPr>
            </w:pPr>
            <w:r>
              <w:rPr>
                <w:rFonts w:hint="eastAsia" w:ascii="宋体" w:hAnsi="宋体"/>
                <w:color w:val="auto"/>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3"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12</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报价语言</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13</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b/>
                <w:color w:val="auto"/>
                <w:szCs w:val="21"/>
              </w:rPr>
              <w:t>采购代理机构指定邮箱</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color w:val="auto"/>
              </w:rPr>
              <w:fldChar w:fldCharType="begin"/>
            </w:r>
            <w:r>
              <w:rPr>
                <w:color w:val="auto"/>
              </w:rPr>
              <w:instrText xml:space="preserve"> HYPERLINK "mailto:153283989@qq.com" </w:instrText>
            </w:r>
            <w:r>
              <w:rPr>
                <w:color w:val="auto"/>
              </w:rPr>
              <w:fldChar w:fldCharType="separate"/>
            </w:r>
            <w:r>
              <w:rPr>
                <w:rStyle w:val="48"/>
                <w:rFonts w:hint="eastAsia" w:hAnsi="宋体" w:cs="宋体"/>
                <w:b/>
                <w:bCs/>
                <w:color w:val="auto"/>
                <w:szCs w:val="21"/>
                <w:lang w:val="en-US" w:eastAsia="zh-CN"/>
              </w:rPr>
              <w:t>168786754</w:t>
            </w:r>
            <w:r>
              <w:rPr>
                <w:rStyle w:val="48"/>
                <w:rFonts w:hAnsi="宋体" w:cs="宋体"/>
                <w:b/>
                <w:bCs/>
                <w:color w:val="auto"/>
                <w:szCs w:val="21"/>
              </w:rPr>
              <w:t>@qq</w:t>
            </w:r>
            <w:r>
              <w:rPr>
                <w:rStyle w:val="48"/>
                <w:rFonts w:hint="eastAsia" w:hAnsi="宋体" w:cs="宋体"/>
                <w:b/>
                <w:bCs/>
                <w:color w:val="auto"/>
                <w:szCs w:val="21"/>
              </w:rPr>
              <w:t>.com</w:t>
            </w:r>
            <w:r>
              <w:rPr>
                <w:rStyle w:val="48"/>
                <w:rFonts w:hint="eastAsia" w:hAnsi="宋体" w:cs="宋体"/>
                <w:b/>
                <w:bCs/>
                <w:color w:val="auto"/>
                <w:szCs w:val="21"/>
              </w:rPr>
              <w:fldChar w:fldCharType="end"/>
            </w:r>
            <w:r>
              <w:rPr>
                <w:rFonts w:hint="eastAsia" w:hAnsi="宋体" w:cs="宋体"/>
                <w:b/>
                <w:bCs/>
                <w:color w:val="auto"/>
                <w:szCs w:val="21"/>
              </w:rPr>
              <w:t>，本采购文件凡涉及采购代理机构指定邮箱的，均指该邮箱。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14</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磋商响应文件形式及提交</w:t>
            </w:r>
          </w:p>
        </w:tc>
        <w:tc>
          <w:tcPr>
            <w:tcW w:w="6530" w:type="dxa"/>
            <w:vAlign w:val="center"/>
          </w:tcPr>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jc w:val="both"/>
              <w:textAlignment w:val="auto"/>
              <w:rPr>
                <w:bCs/>
                <w:color w:val="auto"/>
                <w:szCs w:val="21"/>
              </w:rPr>
            </w:pPr>
            <w:r>
              <w:rPr>
                <w:rFonts w:hint="eastAsia"/>
                <w:bCs/>
                <w:color w:val="auto"/>
                <w:sz w:val="21"/>
                <w:szCs w:val="21"/>
              </w:rPr>
              <w:t>本项目实行远程电子投标。</w:t>
            </w:r>
          </w:p>
          <w:p>
            <w:pPr>
              <w:pStyle w:val="34"/>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firstLineChars="200"/>
              <w:jc w:val="both"/>
              <w:textAlignment w:val="auto"/>
              <w:rPr>
                <w:bCs/>
                <w:color w:val="auto"/>
                <w:sz w:val="21"/>
                <w:szCs w:val="21"/>
              </w:rPr>
            </w:pPr>
            <w:r>
              <w:rPr>
                <w:rFonts w:hint="eastAsia"/>
                <w:bCs/>
                <w:color w:val="auto"/>
                <w:sz w:val="21"/>
                <w:szCs w:val="21"/>
              </w:rPr>
              <w:t>供应商通过“政采云电子投标客户端”完成磋商响应文件编制，采用CA数字证书进行电子签章和加密并同时生成内容完全一致的“电子加密响应文件”和“备份响应文件”。</w:t>
            </w:r>
          </w:p>
          <w:p>
            <w:pPr>
              <w:keepNext w:val="0"/>
              <w:keepLines w:val="0"/>
              <w:pageBreakBefore w:val="0"/>
              <w:widowControl/>
              <w:numPr>
                <w:ilvl w:val="0"/>
                <w:numId w:val="6"/>
              </w:numPr>
              <w:kinsoku/>
              <w:wordWrap/>
              <w:overflowPunct/>
              <w:topLinePunct w:val="0"/>
              <w:autoSpaceDE/>
              <w:autoSpaceDN/>
              <w:bidi w:val="0"/>
              <w:adjustRightInd/>
              <w:snapToGrid/>
              <w:spacing w:line="320" w:lineRule="exact"/>
              <w:ind w:left="-59" w:leftChars="-28" w:right="105" w:rightChars="50" w:firstLine="375" w:firstLineChars="179"/>
              <w:jc w:val="both"/>
              <w:textAlignment w:val="auto"/>
              <w:rPr>
                <w:rFonts w:ascii="宋体" w:hAnsi="宋体" w:cs="宋体"/>
                <w:bCs/>
                <w:color w:val="auto"/>
                <w:szCs w:val="21"/>
              </w:rPr>
            </w:pPr>
            <w:r>
              <w:rPr>
                <w:rFonts w:hint="eastAsia" w:ascii="宋体" w:hAnsi="宋体" w:cs="宋体"/>
                <w:bCs/>
                <w:color w:val="auto"/>
                <w:szCs w:val="21"/>
              </w:rPr>
              <w:t>电子加密响应文件：指数据电文形式的</w:t>
            </w:r>
            <w:r>
              <w:rPr>
                <w:rFonts w:hint="eastAsia" w:ascii="宋体" w:hAnsi="宋体" w:cs="宋体"/>
                <w:bCs/>
                <w:color w:val="auto"/>
                <w:szCs w:val="21"/>
                <w:u w:val="single"/>
              </w:rPr>
              <w:t>后缀名.JMBS文件</w:t>
            </w:r>
            <w:r>
              <w:rPr>
                <w:rFonts w:hint="eastAsia" w:ascii="宋体" w:hAnsi="宋体" w:cs="宋体"/>
                <w:bCs/>
                <w:color w:val="auto"/>
                <w:szCs w:val="21"/>
              </w:rPr>
              <w:t>。供应商在磋商响应文件提交截止时间之前将生成的电子加密响应文件上传至政采云平台，供应商未按要求提交的电子加密响应文件，政采云平台将予以拒收。</w:t>
            </w:r>
          </w:p>
          <w:p>
            <w:pPr>
              <w:keepNext w:val="0"/>
              <w:keepLines w:val="0"/>
              <w:pageBreakBefore w:val="0"/>
              <w:widowControl/>
              <w:numPr>
                <w:ilvl w:val="0"/>
                <w:numId w:val="6"/>
              </w:numPr>
              <w:kinsoku/>
              <w:wordWrap/>
              <w:overflowPunct/>
              <w:topLinePunct w:val="0"/>
              <w:autoSpaceDE/>
              <w:autoSpaceDN/>
              <w:bidi w:val="0"/>
              <w:adjustRightInd/>
              <w:snapToGrid/>
              <w:spacing w:line="320" w:lineRule="exact"/>
              <w:ind w:left="-59" w:leftChars="-28" w:right="105" w:rightChars="50" w:firstLine="375" w:firstLineChars="179"/>
              <w:jc w:val="both"/>
              <w:textAlignment w:val="auto"/>
              <w:rPr>
                <w:rFonts w:ascii="宋体" w:hAnsi="宋体" w:cs="宋体"/>
                <w:bCs/>
                <w:color w:val="auto"/>
                <w:szCs w:val="21"/>
              </w:rPr>
            </w:pPr>
            <w:r>
              <w:rPr>
                <w:rFonts w:hint="eastAsia" w:ascii="宋体" w:hAnsi="宋体" w:cs="宋体"/>
                <w:bCs/>
                <w:color w:val="auto"/>
                <w:szCs w:val="21"/>
              </w:rPr>
              <w:t>备份响应文件：指数据电文形式的后缀名.BFBS文件。在供应商电子加密响应文件解密异常时应急使用。</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both"/>
              <w:textAlignment w:val="auto"/>
              <w:rPr>
                <w:rFonts w:ascii="宋体" w:hAnsi="宋体" w:cs="宋体"/>
                <w:b/>
                <w:color w:val="auto"/>
                <w:szCs w:val="21"/>
              </w:rPr>
            </w:pPr>
            <w:r>
              <w:rPr>
                <w:rFonts w:hint="eastAsia" w:ascii="宋体" w:hAnsi="宋体" w:cs="宋体"/>
                <w:bCs/>
                <w:color w:val="auto"/>
                <w:szCs w:val="21"/>
              </w:rPr>
              <w:t>建议供应商在磋商响应文件提交截止时间之前将备份响应文件以电子邮件方式提交至采购代理机构指定邮箱，邮件标题注明项目名称及供应商名称。提交的备份响应文件需打包压缩并加密，加密密码由供应商自行保管。如供应商多次提交文件，以采购代理机构指定邮箱收到的最近时间（磋商响应文件提交截止时间之前）的备份响应文件为准。</w:t>
            </w:r>
            <w:r>
              <w:rPr>
                <w:rFonts w:hint="eastAsia" w:ascii="宋体" w:hAnsi="宋体" w:cs="宋体"/>
                <w:b/>
                <w:color w:val="auto"/>
                <w:szCs w:val="21"/>
              </w:rPr>
              <w:t>供应商未在磋商响应文件提交截止时间之前将备份响应文件提交至采购代理机构指定邮箱的，视为无效备份响应文件。</w:t>
            </w:r>
          </w:p>
          <w:p>
            <w:pPr>
              <w:pStyle w:val="27"/>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cs="宋体"/>
                <w:bCs w:val="0"/>
                <w:color w:val="auto"/>
              </w:rPr>
              <w:t>3.磋商响应文件提交截止时间前，供应商仅提交了备份响应文件而未将电子加密响应文件上传至政府采购云平台的，投标无效</w:t>
            </w:r>
            <w:r>
              <w:rPr>
                <w:rFonts w:hint="eastAsia" w:cs="宋体"/>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15</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宋体" w:hAnsi="宋体" w:cs="宋体"/>
                <w:bCs/>
                <w:color w:val="auto"/>
                <w:szCs w:val="21"/>
              </w:rPr>
              <w:t>电子加密响应文件的解密和异常情况处理</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457" w:firstLineChars="218"/>
              <w:textAlignment w:val="auto"/>
              <w:rPr>
                <w:rFonts w:ascii="宋体" w:hAnsi="宋体" w:cs="宋体"/>
                <w:bCs/>
                <w:color w:val="auto"/>
                <w:szCs w:val="21"/>
              </w:rPr>
            </w:pPr>
            <w:r>
              <w:rPr>
                <w:rFonts w:hint="eastAsia" w:ascii="宋体" w:hAnsi="宋体" w:cs="宋体"/>
                <w:bCs/>
                <w:color w:val="auto"/>
                <w:szCs w:val="21"/>
              </w:rPr>
              <w:t>1、开标后，采购代理机构通过政采云平台向各供应商发出电子加密响应文件的解密通知，各供应商应当在接到解密通知后30分钟内自行完成电子加密响应文件的在线解密。电子加密响应文件已按时解密的，备份响应文件自动失效。</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宋体" w:hAnsi="宋体" w:cs="宋体"/>
                <w:bCs/>
                <w:color w:val="auto"/>
                <w:szCs w:val="21"/>
              </w:rPr>
            </w:pPr>
            <w:r>
              <w:rPr>
                <w:rFonts w:hint="eastAsia" w:ascii="宋体" w:hAnsi="宋体" w:cs="宋体"/>
                <w:bCs/>
                <w:color w:val="auto"/>
                <w:szCs w:val="21"/>
              </w:rPr>
              <w:t>2、电子加密响应文件未在规定时间内成功解密的，若供应商按要求提交了备份响应文件的，供应商可按照自身意愿确认是否同意由采购代理机构上传备份响应文件，如同意，供应商须填写《启用备份响应文件申请书》（详见本须知附表二），于解密失败之后、接到解密通知后</w:t>
            </w:r>
            <w:r>
              <w:rPr>
                <w:rFonts w:ascii="宋体" w:hAnsi="宋体" w:cs="宋体"/>
                <w:bCs/>
                <w:color w:val="auto"/>
                <w:szCs w:val="21"/>
              </w:rPr>
              <w:t>45</w:t>
            </w:r>
            <w:r>
              <w:rPr>
                <w:rFonts w:hint="eastAsia" w:ascii="宋体" w:hAnsi="宋体" w:cs="宋体"/>
                <w:bCs/>
                <w:color w:val="auto"/>
                <w:szCs w:val="21"/>
              </w:rPr>
              <w:t>分钟内以电子邮件方式传送至采购代理机构指定邮箱，由采购代理机构解压缩备份响应文件，按政采云平台操作规范将备份响应文件上传至政采云平台，上传成功后，电子加密响应文件自动失效；否则，视为响应文件撤回。</w:t>
            </w:r>
          </w:p>
          <w:p>
            <w:pPr>
              <w:keepNext w:val="0"/>
              <w:keepLines w:val="0"/>
              <w:pageBreakBefore w:val="0"/>
              <w:widowControl/>
              <w:kinsoku/>
              <w:wordWrap/>
              <w:overflowPunct/>
              <w:topLinePunct w:val="0"/>
              <w:autoSpaceDE/>
              <w:autoSpaceDN/>
              <w:bidi w:val="0"/>
              <w:adjustRightInd/>
              <w:snapToGrid/>
              <w:spacing w:line="320" w:lineRule="exact"/>
              <w:ind w:firstLine="422" w:firstLineChars="200"/>
              <w:textAlignment w:val="auto"/>
              <w:rPr>
                <w:rFonts w:ascii="宋体" w:hAnsi="宋体" w:cs="Arial"/>
                <w:color w:val="auto"/>
                <w:szCs w:val="21"/>
              </w:rPr>
            </w:pPr>
            <w:r>
              <w:rPr>
                <w:rFonts w:hint="eastAsia" w:ascii="宋体" w:hAnsi="宋体" w:cs="宋体"/>
                <w:b/>
                <w:color w:val="auto"/>
                <w:szCs w:val="21"/>
              </w:rPr>
              <w:t>3、供应商电子加密响应文件未在规定时间内成功解密的且未按要求提交了备份响应文件的，投标无效。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16</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磋商有效期</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宋体" w:hAnsi="宋体" w:cs="Arial"/>
                <w:color w:val="auto"/>
                <w:szCs w:val="21"/>
              </w:rPr>
              <w:t>磋商响应文件截止时间起90日历天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17</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签字或盖章要求</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ascii="宋体" w:hAnsi="宋体" w:cs="宋体"/>
                <w:color w:val="auto"/>
                <w:szCs w:val="21"/>
              </w:rPr>
              <w:t>磋商响应文件中所须加盖公章部分</w:t>
            </w:r>
            <w:r>
              <w:rPr>
                <w:rFonts w:hint="eastAsia" w:ascii="宋体" w:hAnsi="宋体" w:cs="宋体"/>
                <w:b/>
                <w:color w:val="auto"/>
                <w:szCs w:val="21"/>
              </w:rPr>
              <w:t>均采用</w:t>
            </w:r>
            <w:r>
              <w:rPr>
                <w:rFonts w:hint="eastAsia" w:ascii="宋体" w:hAnsi="宋体" w:cs="宋体"/>
                <w:b/>
                <w:bCs/>
                <w:color w:val="auto"/>
                <w:szCs w:val="21"/>
              </w:rPr>
              <w:t>CA电子签章或供应商公章</w:t>
            </w:r>
            <w:r>
              <w:rPr>
                <w:rFonts w:hint="eastAsia" w:ascii="宋体" w:hAnsi="宋体" w:cs="宋体"/>
                <w:color w:val="auto"/>
                <w:szCs w:val="21"/>
              </w:rPr>
              <w:t>；所涉及法定代表人或授权代表的签字（或盖章）均按磋商文件要求由法定代表人或授权代表本人签字（或盖章）。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0"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18</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磋商样品</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Arial" w:hAnsi="Arial" w:cs="Arial"/>
                <w:color w:val="auto"/>
                <w:szCs w:val="21"/>
              </w:rPr>
            </w:pPr>
            <w:r>
              <w:rPr>
                <w:rFonts w:ascii="Arial" w:hAnsi="宋体" w:cs="Arial"/>
                <w:color w:val="auto"/>
                <w:szCs w:val="21"/>
              </w:rPr>
              <w:fldChar w:fldCharType="begin"/>
            </w:r>
            <w:r>
              <w:rPr>
                <w:rFonts w:ascii="Arial" w:hAnsi="宋体" w:cs="Arial"/>
                <w:color w:val="auto"/>
                <w:szCs w:val="21"/>
              </w:rPr>
              <w:instrText xml:space="preserve"> </w:instrText>
            </w:r>
            <w:r>
              <w:rPr>
                <w:rFonts w:hint="eastAsia" w:ascii="Arial" w:hAnsi="宋体" w:cs="Arial"/>
                <w:color w:val="auto"/>
                <w:szCs w:val="21"/>
              </w:rPr>
              <w:instrText xml:space="preserve">eq \o\ac(□,√)</w:instrText>
            </w:r>
            <w:r>
              <w:rPr>
                <w:rFonts w:ascii="Arial" w:hAnsi="宋体" w:cs="Arial"/>
                <w:color w:val="auto"/>
                <w:szCs w:val="21"/>
              </w:rPr>
              <w:fldChar w:fldCharType="end"/>
            </w:r>
            <w:r>
              <w:rPr>
                <w:rFonts w:ascii="Arial" w:hAnsi="宋体" w:cs="Arial"/>
                <w:color w:val="auto"/>
                <w:szCs w:val="21"/>
              </w:rPr>
              <w:t>不需要</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Arial" w:hAnsi="Arial" w:cs="Arial"/>
                <w:color w:val="auto"/>
                <w:szCs w:val="21"/>
              </w:rPr>
            </w:pPr>
            <w:r>
              <w:rPr>
                <w:rFonts w:hint="eastAsia" w:ascii="宋体" w:hAnsi="宋体"/>
                <w:color w:val="auto"/>
                <w:szCs w:val="21"/>
              </w:rPr>
              <w:t>□</w:t>
            </w:r>
            <w:r>
              <w:rPr>
                <w:rFonts w:ascii="Arial" w:hAnsi="宋体" w:cs="Arial"/>
                <w:color w:val="auto"/>
                <w:szCs w:val="21"/>
              </w:rPr>
              <w:t>需要</w:t>
            </w:r>
            <w:r>
              <w:rPr>
                <w:rFonts w:hint="eastAsia" w:ascii="Arial" w:hAnsi="宋体" w:cs="Arial"/>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35"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19</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磋商保证金</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Arial" w:hAnsi="Arial" w:cs="Arial"/>
                <w:color w:val="auto"/>
                <w:szCs w:val="21"/>
              </w:rPr>
            </w:pPr>
            <w:r>
              <w:rPr>
                <w:rFonts w:ascii="Arial" w:hAnsi="宋体" w:cs="Arial"/>
                <w:color w:val="auto"/>
                <w:szCs w:val="21"/>
              </w:rPr>
              <w:fldChar w:fldCharType="begin"/>
            </w:r>
            <w:r>
              <w:rPr>
                <w:rFonts w:ascii="Arial" w:hAnsi="宋体" w:cs="Arial"/>
                <w:color w:val="auto"/>
                <w:szCs w:val="21"/>
              </w:rPr>
              <w:instrText xml:space="preserve"> </w:instrText>
            </w:r>
            <w:r>
              <w:rPr>
                <w:rFonts w:hint="eastAsia" w:ascii="Arial" w:hAnsi="宋体" w:cs="Arial"/>
                <w:color w:val="auto"/>
                <w:szCs w:val="21"/>
              </w:rPr>
              <w:instrText xml:space="preserve">eq \o\ac(□,√)</w:instrText>
            </w:r>
            <w:r>
              <w:rPr>
                <w:rFonts w:ascii="Arial" w:hAnsi="宋体" w:cs="Arial"/>
                <w:color w:val="auto"/>
                <w:szCs w:val="21"/>
              </w:rPr>
              <w:fldChar w:fldCharType="end"/>
            </w:r>
            <w:r>
              <w:rPr>
                <w:rFonts w:ascii="Arial" w:hAnsi="宋体" w:cs="Arial"/>
                <w:color w:val="auto"/>
                <w:szCs w:val="21"/>
              </w:rPr>
              <w:t>不需要</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Arial" w:hAnsi="Arial"/>
                <w:color w:val="auto"/>
              </w:rPr>
            </w:pPr>
            <w:r>
              <w:rPr>
                <w:rFonts w:ascii="宋体" w:hAnsi="宋体"/>
                <w:color w:val="auto"/>
                <w:szCs w:val="21"/>
              </w:rPr>
              <w:t>□</w:t>
            </w:r>
            <w:r>
              <w:rPr>
                <w:rFonts w:ascii="Arial" w:hAnsi="宋体" w:cs="Arial"/>
                <w:color w:val="auto"/>
                <w:szCs w:val="21"/>
              </w:rPr>
              <w:t>需要</w:t>
            </w:r>
            <w:r>
              <w:rPr>
                <w:rFonts w:hint="eastAsia" w:ascii="Arial" w:hAnsi="宋体" w:cs="Arial"/>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20</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hint="eastAsia" w:ascii="宋体" w:hAnsi="宋体"/>
                <w:color w:val="auto"/>
                <w:szCs w:val="21"/>
              </w:rPr>
              <w:t>履约担保</w:t>
            </w:r>
          </w:p>
        </w:tc>
        <w:tc>
          <w:tcPr>
            <w:tcW w:w="6530"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ascii="宋体" w:hAnsi="宋体" w:cs="Arial Unicode MS"/>
                <w:color w:val="auto"/>
                <w:szCs w:val="21"/>
              </w:rPr>
            </w:pPr>
            <w:r>
              <w:rPr>
                <w:rFonts w:hint="eastAsia" w:ascii="宋体" w:hAnsi="宋体" w:cs="Arial Unicode MS"/>
                <w:color w:val="auto"/>
                <w:sz w:val="18"/>
                <w:szCs w:val="21"/>
              </w:rPr>
              <w:fldChar w:fldCharType="begin"/>
            </w:r>
            <w:r>
              <w:rPr>
                <w:rFonts w:hint="eastAsia" w:ascii="宋体" w:hAnsi="宋体" w:cs="Arial Unicode MS"/>
                <w:color w:val="auto"/>
                <w:sz w:val="18"/>
                <w:szCs w:val="21"/>
              </w:rPr>
              <w:instrText xml:space="preserve"> eq \o\ac(</w:instrText>
            </w:r>
            <w:r>
              <w:rPr>
                <w:rFonts w:hint="eastAsia" w:ascii="宋体" w:hAnsi="宋体" w:cs="Arial Unicode MS"/>
                <w:color w:val="auto"/>
                <w:position w:val="-2"/>
                <w:sz w:val="24"/>
                <w:szCs w:val="21"/>
              </w:rPr>
              <w:instrText xml:space="preserve">□</w:instrText>
            </w:r>
            <w:r>
              <w:rPr>
                <w:rFonts w:hint="eastAsia" w:ascii="宋体" w:hAnsi="宋体" w:cs="Arial Unicode MS"/>
                <w:color w:val="auto"/>
                <w:sz w:val="18"/>
                <w:szCs w:val="21"/>
              </w:rPr>
              <w:instrText xml:space="preserve">)</w:instrText>
            </w:r>
            <w:r>
              <w:rPr>
                <w:rFonts w:hint="eastAsia" w:ascii="宋体" w:hAnsi="宋体" w:cs="Arial Unicode MS"/>
                <w:color w:val="auto"/>
                <w:sz w:val="18"/>
                <w:szCs w:val="21"/>
              </w:rPr>
              <w:fldChar w:fldCharType="end"/>
            </w:r>
            <w:r>
              <w:rPr>
                <w:rFonts w:hint="eastAsia" w:ascii="宋体" w:hAnsi="宋体" w:cs="Arial Unicode MS"/>
                <w:color w:val="auto"/>
                <w:sz w:val="18"/>
                <w:szCs w:val="21"/>
              </w:rPr>
              <w:t xml:space="preserve"> </w:t>
            </w:r>
            <w:r>
              <w:rPr>
                <w:rFonts w:hint="eastAsia" w:ascii="宋体" w:hAnsi="宋体" w:cs="Arial Unicode MS"/>
                <w:color w:val="auto"/>
                <w:szCs w:val="21"/>
              </w:rPr>
              <w:t>不需要</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s="Arial Unicode MS"/>
                <w:color w:val="auto"/>
                <w:sz w:val="22"/>
                <w:szCs w:val="21"/>
              </w:rPr>
              <w:sym w:font="Wingdings 2" w:char="0052"/>
            </w:r>
            <w:r>
              <w:rPr>
                <w:rFonts w:hint="eastAsia" w:ascii="宋体" w:hAnsi="宋体" w:cs="Arial Unicode MS"/>
                <w:color w:val="auto"/>
                <w:sz w:val="22"/>
                <w:szCs w:val="21"/>
              </w:rPr>
              <w:t xml:space="preserve"> </w:t>
            </w:r>
            <w:r>
              <w:rPr>
                <w:rFonts w:hint="eastAsia" w:ascii="宋体" w:hAnsi="宋体" w:cs="Arial Unicode MS"/>
                <w:color w:val="auto"/>
                <w:szCs w:val="21"/>
              </w:rPr>
              <w:t xml:space="preserve">需要 </w:t>
            </w:r>
            <w:r>
              <w:rPr>
                <w:rFonts w:hint="eastAsia" w:ascii="宋体" w:hAnsi="宋体" w:cs="Arial"/>
                <w:b/>
                <w:bCs/>
                <w:color w:val="auto"/>
                <w:szCs w:val="21"/>
              </w:rPr>
              <w:t>成交供应商须以银行转账/转帐支票/银行汇票/银行、保险公司出具的保函等形式向采购人提供</w:t>
            </w:r>
            <w:r>
              <w:rPr>
                <w:rFonts w:hint="eastAsia" w:ascii="宋体" w:hAnsi="宋体" w:cs="Arial"/>
                <w:b/>
                <w:bCs/>
                <w:color w:val="auto"/>
                <w:szCs w:val="21"/>
                <w:lang w:val="en-US" w:eastAsia="zh-CN"/>
              </w:rPr>
              <w:t>合同价款</w:t>
            </w:r>
            <w:r>
              <w:rPr>
                <w:rFonts w:hint="eastAsia" w:ascii="宋体" w:hAnsi="宋体" w:cs="Arial"/>
                <w:b/>
                <w:bCs/>
                <w:color w:val="auto"/>
                <w:szCs w:val="21"/>
              </w:rPr>
              <w:t>5%的履约担保。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5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21</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磋商文件获取时间及方式</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获取时间</w:t>
            </w:r>
            <w:r>
              <w:rPr>
                <w:rFonts w:hint="eastAsia" w:ascii="宋体" w:hAnsi="宋体" w:cs="Arial"/>
                <w:color w:val="auto"/>
                <w:szCs w:val="21"/>
              </w:rPr>
              <w:t>：/至磋商响应文件提交截止时间前。</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szCs w:val="21"/>
              </w:rPr>
            </w:pPr>
            <w:r>
              <w:rPr>
                <w:rFonts w:hint="eastAsia" w:ascii="宋体" w:hAnsi="宋体"/>
                <w:color w:val="auto"/>
                <w:szCs w:val="21"/>
              </w:rPr>
              <w:t>2、获取方式：</w:t>
            </w:r>
            <w:r>
              <w:rPr>
                <w:rFonts w:hint="eastAsia" w:ascii="宋体" w:hAnsi="宋体" w:cs="宋体"/>
                <w:color w:val="auto"/>
                <w:szCs w:val="21"/>
              </w:rPr>
              <w:t>“政府采购云平台”在线获取</w:t>
            </w:r>
            <w:r>
              <w:rPr>
                <w:rFonts w:hint="eastAsia" w:ascii="宋体" w:hAnsi="宋体"/>
                <w:color w:val="auto"/>
                <w:szCs w:val="21"/>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b/>
                <w:color w:val="auto"/>
                <w:szCs w:val="21"/>
              </w:rPr>
            </w:pPr>
            <w:r>
              <w:rPr>
                <w:rFonts w:hint="eastAsia" w:ascii="宋体" w:hAnsi="宋体" w:cs="宋体"/>
                <w:b/>
                <w:bCs/>
                <w:color w:val="auto"/>
                <w:szCs w:val="21"/>
              </w:rPr>
              <w:t>注：以上获取</w:t>
            </w:r>
            <w:r>
              <w:rPr>
                <w:rFonts w:hint="eastAsia" w:ascii="宋体" w:hAnsi="宋体"/>
                <w:b/>
                <w:color w:val="auto"/>
                <w:szCs w:val="21"/>
              </w:rPr>
              <w:t>磋商文件方式为依法</w:t>
            </w:r>
            <w:r>
              <w:rPr>
                <w:rFonts w:hint="eastAsia" w:ascii="宋体" w:hAnsi="宋体" w:cs="宋体"/>
                <w:b/>
                <w:bCs/>
                <w:color w:val="auto"/>
                <w:szCs w:val="21"/>
              </w:rPr>
              <w:t>获取</w:t>
            </w:r>
            <w:r>
              <w:rPr>
                <w:rFonts w:hint="eastAsia" w:ascii="宋体" w:hAnsi="宋体"/>
                <w:b/>
                <w:color w:val="auto"/>
                <w:szCs w:val="21"/>
              </w:rPr>
              <w:t>磋商文件方式，</w:t>
            </w:r>
            <w:r>
              <w:rPr>
                <w:rFonts w:hint="eastAsia" w:ascii="宋体" w:hAnsi="宋体" w:cs="宋体"/>
                <w:b/>
                <w:bCs/>
                <w:color w:val="auto"/>
                <w:szCs w:val="21"/>
              </w:rPr>
              <w:t>采购公告附件里的采购文件仅供阅览使用。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22</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磋商截止时间</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宋体" w:hAnsi="宋体" w:cs="Arial"/>
                <w:color w:val="auto"/>
                <w:szCs w:val="21"/>
              </w:rPr>
              <w:t>2021年10月21日14点30分止</w:t>
            </w:r>
            <w:r>
              <w:rPr>
                <w:rFonts w:ascii="宋体" w:hAnsi="宋体" w:cs="Arial"/>
                <w:color w:val="auto"/>
                <w:szCs w:val="21"/>
              </w:rPr>
              <w:t>(</w:t>
            </w:r>
            <w:r>
              <w:rPr>
                <w:rFonts w:hint="eastAsia" w:ascii="宋体" w:hAnsi="宋体" w:cs="Arial"/>
                <w:color w:val="auto"/>
                <w:szCs w:val="21"/>
              </w:rPr>
              <w:t>北京时间</w:t>
            </w:r>
            <w:r>
              <w:rPr>
                <w:rFonts w:ascii="宋体" w:hAnsi="宋体" w:cs="Arial"/>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23</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olor w:val="auto"/>
                <w:szCs w:val="21"/>
              </w:rPr>
              <w:t>磋商响应文件递交时间及地点</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u w:val="single"/>
              </w:rPr>
            </w:pPr>
            <w:r>
              <w:rPr>
                <w:rFonts w:hint="eastAsia" w:ascii="宋体" w:hAnsi="宋体" w:cs="宋体"/>
                <w:b/>
                <w:color w:val="auto"/>
                <w:szCs w:val="21"/>
              </w:rPr>
              <w:t>本项目实行电子投标，供应商应当在磋商响应文件提交截止时间前将加密的电子版磋商响应文件上传到政采云系统中。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24</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磋商响应文件解密开始时间</w:t>
            </w:r>
            <w:r>
              <w:rPr>
                <w:rFonts w:ascii="宋体" w:hAnsi="宋体" w:cs="Arial"/>
                <w:color w:val="auto"/>
                <w:szCs w:val="21"/>
              </w:rPr>
              <w:t>及</w:t>
            </w:r>
            <w:r>
              <w:rPr>
                <w:rFonts w:hint="eastAsia" w:ascii="宋体" w:hAnsi="宋体" w:cs="Arial"/>
                <w:color w:val="auto"/>
                <w:szCs w:val="21"/>
              </w:rPr>
              <w:t>磋商地点</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宋体" w:hAnsi="宋体" w:cs="Arial"/>
                <w:color w:val="auto"/>
                <w:szCs w:val="21"/>
              </w:rPr>
              <w:t>磋商响应文件解密开始时间：</w:t>
            </w:r>
            <w:r>
              <w:rPr>
                <w:rFonts w:hint="eastAsia" w:asciiTheme="minorEastAsia" w:hAnsiTheme="minorEastAsia" w:eastAsiaTheme="minorEastAsia"/>
                <w:color w:val="auto"/>
                <w:u w:val="single"/>
              </w:rPr>
              <w:t>2021年</w:t>
            </w:r>
            <w:r>
              <w:rPr>
                <w:rFonts w:hint="eastAsia" w:asciiTheme="minorEastAsia" w:hAnsiTheme="minorEastAsia" w:eastAsiaTheme="minorEastAsia"/>
                <w:color w:val="auto"/>
                <w:u w:val="single"/>
                <w:lang w:val="en-US" w:eastAsia="zh-CN"/>
              </w:rPr>
              <w:t>10</w:t>
            </w:r>
            <w:r>
              <w:rPr>
                <w:rFonts w:hint="eastAsia" w:asciiTheme="minorEastAsia" w:hAnsiTheme="minorEastAsia" w:eastAsiaTheme="minorEastAsia"/>
                <w:color w:val="auto"/>
                <w:u w:val="single"/>
              </w:rPr>
              <w:t>月</w:t>
            </w:r>
            <w:r>
              <w:rPr>
                <w:rFonts w:hint="eastAsia" w:asciiTheme="minorEastAsia" w:hAnsiTheme="minorEastAsia" w:eastAsiaTheme="minorEastAsia"/>
                <w:color w:val="auto"/>
                <w:u w:val="single"/>
                <w:lang w:val="en-US" w:eastAsia="zh-CN"/>
              </w:rPr>
              <w:t>21</w:t>
            </w:r>
            <w:r>
              <w:rPr>
                <w:rFonts w:hint="eastAsia" w:asciiTheme="minorEastAsia" w:hAnsiTheme="minorEastAsia" w:eastAsiaTheme="minorEastAsia"/>
                <w:color w:val="auto"/>
                <w:u w:val="single"/>
              </w:rPr>
              <w:t>日</w:t>
            </w:r>
            <w:r>
              <w:rPr>
                <w:rFonts w:hint="eastAsia" w:asciiTheme="minorEastAsia" w:hAnsiTheme="minorEastAsia" w:eastAsiaTheme="minorEastAsia"/>
                <w:color w:val="auto"/>
                <w:u w:val="single"/>
                <w:lang w:val="en-US" w:eastAsia="zh-CN"/>
              </w:rPr>
              <w:t>14</w:t>
            </w:r>
            <w:r>
              <w:rPr>
                <w:rFonts w:hint="eastAsia" w:asciiTheme="minorEastAsia" w:hAnsiTheme="minorEastAsia" w:eastAsiaTheme="minorEastAsia"/>
                <w:color w:val="auto"/>
                <w:u w:val="single"/>
              </w:rPr>
              <w:t>点</w:t>
            </w:r>
            <w:r>
              <w:rPr>
                <w:rFonts w:hint="eastAsia" w:asciiTheme="minorEastAsia" w:hAnsiTheme="minorEastAsia" w:eastAsiaTheme="minorEastAsia"/>
                <w:color w:val="auto"/>
                <w:u w:val="single"/>
                <w:lang w:val="en-US" w:eastAsia="zh-CN"/>
              </w:rPr>
              <w:t>3</w:t>
            </w:r>
            <w:r>
              <w:rPr>
                <w:rFonts w:hint="eastAsia" w:asciiTheme="minorEastAsia" w:hAnsiTheme="minorEastAsia" w:eastAsiaTheme="minorEastAsia"/>
                <w:color w:val="auto"/>
                <w:u w:val="single"/>
              </w:rPr>
              <w:t>0</w:t>
            </w:r>
            <w:r>
              <w:rPr>
                <w:rFonts w:hint="eastAsia" w:ascii="宋体" w:hAnsi="宋体" w:cs="Arial"/>
                <w:color w:val="auto"/>
                <w:szCs w:val="21"/>
              </w:rPr>
              <w:t>正</w:t>
            </w:r>
            <w:r>
              <w:rPr>
                <w:rFonts w:ascii="宋体" w:hAnsi="宋体" w:cs="Arial"/>
                <w:color w:val="auto"/>
                <w:szCs w:val="21"/>
              </w:rPr>
              <w:t xml:space="preserve"> (</w:t>
            </w:r>
            <w:r>
              <w:rPr>
                <w:rFonts w:hint="eastAsia" w:ascii="宋体" w:hAnsi="宋体" w:cs="Arial"/>
                <w:color w:val="auto"/>
                <w:szCs w:val="21"/>
              </w:rPr>
              <w:t>北京时间</w:t>
            </w:r>
            <w:r>
              <w:rPr>
                <w:rFonts w:ascii="宋体" w:hAnsi="宋体" w:cs="Arial"/>
                <w:color w:val="auto"/>
                <w:szCs w:val="21"/>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宋体" w:hAnsi="宋体"/>
                <w:color w:val="auto"/>
                <w:szCs w:val="21"/>
              </w:rPr>
              <w:t>磋商地点：</w:t>
            </w:r>
            <w:r>
              <w:rPr>
                <w:rFonts w:hint="eastAsia" w:ascii="宋体" w:hAnsi="宋体" w:cs="宋体"/>
                <w:color w:val="auto"/>
                <w:szCs w:val="21"/>
              </w:rPr>
              <w:t>政府采购云平台（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s="宋体"/>
                <w:color w:val="auto"/>
                <w:szCs w:val="21"/>
              </w:rPr>
              <w:t>www.zcygov.cn</w:t>
            </w:r>
            <w:r>
              <w:rPr>
                <w:rFonts w:hint="eastAsia" w:ascii="宋体" w:hAnsi="宋体" w:cs="宋体"/>
                <w:color w:val="auto"/>
                <w:szCs w:val="21"/>
              </w:rPr>
              <w:fldChar w:fldCharType="end"/>
            </w:r>
            <w:r>
              <w:rPr>
                <w:rFonts w:hint="eastAsia" w:ascii="宋体" w:hAnsi="宋体" w:cs="宋体"/>
                <w:color w:val="auto"/>
                <w:szCs w:val="21"/>
              </w:rPr>
              <w:t>）（线上）；瑞安市公共资源交易中心三楼开标室（线下）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25</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磋商程序</w:t>
            </w:r>
          </w:p>
        </w:tc>
        <w:tc>
          <w:tcPr>
            <w:tcW w:w="6530" w:type="dxa"/>
            <w:vAlign w:val="center"/>
          </w:tcPr>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olor w:val="auto"/>
              </w:rPr>
            </w:pPr>
            <w:r>
              <w:rPr>
                <w:rFonts w:hint="eastAsia" w:ascii="宋体" w:hAnsi="宋体"/>
                <w:color w:val="auto"/>
              </w:rPr>
              <w:t>采购代理机构按照磋商文件规定的时间通过政采云平台组织开标，所有磋商供应商准时在线参加。</w:t>
            </w:r>
          </w:p>
          <w:p>
            <w:pPr>
              <w:keepNext w:val="0"/>
              <w:keepLines w:val="0"/>
              <w:pageBreakBefore w:val="0"/>
              <w:widowControl/>
              <w:numPr>
                <w:ilvl w:val="0"/>
                <w:numId w:val="7"/>
              </w:numPr>
              <w:tabs>
                <w:tab w:val="left" w:pos="-6"/>
              </w:tabs>
              <w:kinsoku/>
              <w:wordWrap/>
              <w:overflowPunct/>
              <w:topLinePunct w:val="0"/>
              <w:autoSpaceDE/>
              <w:autoSpaceDN/>
              <w:bidi w:val="0"/>
              <w:adjustRightInd/>
              <w:snapToGrid/>
              <w:spacing w:line="320" w:lineRule="exact"/>
              <w:ind w:firstLine="0"/>
              <w:textAlignment w:val="auto"/>
              <w:rPr>
                <w:rFonts w:ascii="宋体" w:hAnsi="宋体"/>
                <w:color w:val="auto"/>
              </w:rPr>
            </w:pPr>
            <w:r>
              <w:rPr>
                <w:rFonts w:hint="eastAsia" w:ascii="宋体" w:hAnsi="宋体"/>
                <w:color w:val="auto"/>
              </w:rPr>
              <w:t>开标时，政采云平台自动提取所有磋商响应文件，提示采购代理机构和磋商供应商按磋商文件规定的方式和时间在线解密。磋商供应商在线解密的时间为磋商截止时间起30分钟。</w:t>
            </w:r>
          </w:p>
          <w:p>
            <w:pPr>
              <w:keepNext w:val="0"/>
              <w:keepLines w:val="0"/>
              <w:pageBreakBefore w:val="0"/>
              <w:widowControl/>
              <w:numPr>
                <w:ilvl w:val="0"/>
                <w:numId w:val="7"/>
              </w:numPr>
              <w:tabs>
                <w:tab w:val="left" w:pos="-6"/>
              </w:tabs>
              <w:kinsoku/>
              <w:wordWrap/>
              <w:overflowPunct/>
              <w:topLinePunct w:val="0"/>
              <w:autoSpaceDE/>
              <w:autoSpaceDN/>
              <w:bidi w:val="0"/>
              <w:adjustRightInd/>
              <w:snapToGrid/>
              <w:spacing w:line="320" w:lineRule="exact"/>
              <w:ind w:firstLine="0"/>
              <w:textAlignment w:val="auto"/>
              <w:rPr>
                <w:rFonts w:ascii="宋体" w:hAnsi="宋体"/>
                <w:color w:val="auto"/>
              </w:rPr>
            </w:pPr>
            <w:r>
              <w:rPr>
                <w:rFonts w:hint="eastAsia" w:ascii="宋体" w:hAnsi="宋体"/>
                <w:color w:val="auto"/>
              </w:rPr>
              <w:t>磋商供应商的电子磋商响应文件未在规定时间内成功解密的，</w:t>
            </w:r>
            <w:r>
              <w:rPr>
                <w:rFonts w:hint="eastAsia" w:ascii="宋体" w:hAnsi="宋体" w:cs="宋体"/>
                <w:bCs/>
                <w:color w:val="auto"/>
                <w:szCs w:val="21"/>
              </w:rPr>
              <w:t>供应商按要求提交了备份响应文件和解压缩密码的，</w:t>
            </w:r>
            <w:r>
              <w:rPr>
                <w:rFonts w:hint="eastAsia" w:ascii="宋体" w:hAnsi="宋体"/>
                <w:color w:val="auto"/>
              </w:rPr>
              <w:t>由采购代理机构按政采云平台操作规范将备份响应文件上传。</w:t>
            </w:r>
          </w:p>
          <w:p>
            <w:pPr>
              <w:keepNext w:val="0"/>
              <w:keepLines w:val="0"/>
              <w:pageBreakBefore w:val="0"/>
              <w:widowControl/>
              <w:numPr>
                <w:ilvl w:val="0"/>
                <w:numId w:val="7"/>
              </w:numPr>
              <w:tabs>
                <w:tab w:val="left" w:pos="-6"/>
              </w:tabs>
              <w:kinsoku/>
              <w:wordWrap/>
              <w:overflowPunct/>
              <w:topLinePunct w:val="0"/>
              <w:autoSpaceDE/>
              <w:autoSpaceDN/>
              <w:bidi w:val="0"/>
              <w:adjustRightInd/>
              <w:snapToGrid/>
              <w:spacing w:line="320" w:lineRule="exact"/>
              <w:ind w:firstLine="0"/>
              <w:textAlignment w:val="auto"/>
              <w:rPr>
                <w:rFonts w:cs="宋体"/>
                <w:b/>
                <w:color w:val="auto"/>
                <w:szCs w:val="21"/>
              </w:rPr>
            </w:pPr>
            <w:r>
              <w:rPr>
                <w:rFonts w:hint="eastAsia" w:cs="宋体"/>
                <w:b/>
                <w:color w:val="auto"/>
                <w:szCs w:val="21"/>
              </w:rPr>
              <w:t>解密结束后，各供应商授权代表完整填写《政府采购活动现场确认声明书》（详见本须知附表一）并签字后扫描，以电子邮件方式传送至采购代理机构指定电子邮箱。</w:t>
            </w:r>
          </w:p>
          <w:p>
            <w:pPr>
              <w:keepNext w:val="0"/>
              <w:keepLines w:val="0"/>
              <w:pageBreakBefore w:val="0"/>
              <w:widowControl/>
              <w:numPr>
                <w:ilvl w:val="0"/>
                <w:numId w:val="7"/>
              </w:numPr>
              <w:tabs>
                <w:tab w:val="left" w:pos="-6"/>
              </w:tabs>
              <w:kinsoku/>
              <w:wordWrap/>
              <w:overflowPunct/>
              <w:topLinePunct w:val="0"/>
              <w:autoSpaceDE/>
              <w:autoSpaceDN/>
              <w:bidi w:val="0"/>
              <w:adjustRightInd/>
              <w:snapToGrid/>
              <w:spacing w:line="320" w:lineRule="exact"/>
              <w:ind w:firstLine="0"/>
              <w:textAlignment w:val="auto"/>
              <w:rPr>
                <w:rFonts w:cs="宋体"/>
                <w:color w:val="auto"/>
                <w:szCs w:val="21"/>
              </w:rPr>
            </w:pPr>
            <w:r>
              <w:rPr>
                <w:rFonts w:cs="宋体"/>
                <w:color w:val="auto"/>
                <w:szCs w:val="21"/>
              </w:rPr>
              <w:t>磋商小组审阅响应文件</w:t>
            </w:r>
            <w:r>
              <w:rPr>
                <w:rFonts w:hint="eastAsia" w:cs="宋体"/>
                <w:color w:val="auto"/>
                <w:szCs w:val="21"/>
              </w:rPr>
              <w:t>。</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s="宋体"/>
                <w:color w:val="auto"/>
                <w:szCs w:val="21"/>
              </w:rPr>
            </w:pPr>
            <w:r>
              <w:rPr>
                <w:rFonts w:hint="eastAsia" w:ascii="宋体" w:hAnsi="宋体"/>
                <w:color w:val="auto"/>
                <w:szCs w:val="21"/>
              </w:rPr>
              <w:t>磋商小组分别与各供应商在线磋商并确定最终方案</w:t>
            </w:r>
            <w:r>
              <w:rPr>
                <w:rFonts w:hint="eastAsia" w:ascii="宋体" w:hAnsi="宋体" w:cs="宋体"/>
                <w:color w:val="auto"/>
                <w:szCs w:val="21"/>
              </w:rPr>
              <w:t>。</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s="宋体"/>
                <w:color w:val="auto"/>
                <w:szCs w:val="21"/>
              </w:rPr>
            </w:pPr>
            <w:r>
              <w:rPr>
                <w:rFonts w:hint="eastAsia" w:ascii="宋体" w:hAnsi="宋体" w:cs="宋体"/>
                <w:color w:val="auto"/>
                <w:szCs w:val="21"/>
              </w:rPr>
              <w:t>磋商小组根据磋商情况确定最终采购需求，供应商按照磋商文件的变动情况和磋商小组的要求重新提交响应文件。</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s="宋体"/>
                <w:color w:val="auto"/>
                <w:szCs w:val="21"/>
              </w:rPr>
            </w:pPr>
            <w:r>
              <w:rPr>
                <w:rFonts w:hint="eastAsia" w:ascii="宋体" w:hAnsi="宋体" w:cs="宋体"/>
                <w:color w:val="auto"/>
                <w:szCs w:val="21"/>
              </w:rPr>
              <w:t>磋商小组对资格文件进行评审。</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s="宋体"/>
                <w:color w:val="auto"/>
                <w:szCs w:val="21"/>
              </w:rPr>
            </w:pPr>
            <w:r>
              <w:rPr>
                <w:rFonts w:hint="eastAsia" w:ascii="宋体" w:hAnsi="宋体" w:cs="宋体"/>
                <w:color w:val="auto"/>
                <w:szCs w:val="21"/>
              </w:rPr>
              <w:t>磋商小组对商务技术响应文件进行评审。</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s="宋体"/>
                <w:b/>
                <w:color w:val="auto"/>
                <w:szCs w:val="21"/>
              </w:rPr>
            </w:pPr>
            <w:r>
              <w:rPr>
                <w:rFonts w:hint="eastAsia" w:ascii="宋体" w:hAnsi="宋体"/>
                <w:b/>
                <w:color w:val="auto"/>
                <w:szCs w:val="21"/>
              </w:rPr>
              <w:t>磋商小组要求所有实质性响应供应商进行线上最后报价</w:t>
            </w:r>
            <w:r>
              <w:rPr>
                <w:rFonts w:hint="eastAsia" w:ascii="宋体" w:hAnsi="宋体" w:cs="宋体"/>
                <w:b/>
                <w:color w:val="auto"/>
                <w:szCs w:val="21"/>
              </w:rPr>
              <w:t>，若供应商未在报价时限内提交最后报价的，投标无效。</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s="宋体"/>
                <w:color w:val="auto"/>
                <w:szCs w:val="21"/>
              </w:rPr>
            </w:pPr>
            <w:r>
              <w:rPr>
                <w:rFonts w:hint="eastAsia" w:ascii="宋体" w:hAnsi="宋体" w:cs="宋体"/>
                <w:color w:val="auto"/>
                <w:szCs w:val="21"/>
              </w:rPr>
              <w:t>由磋商小组采用综合评分法对提交最后报价的供应商的响应文件和最后报价进行综合评分。</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s="宋体"/>
                <w:color w:val="auto"/>
                <w:szCs w:val="21"/>
              </w:rPr>
            </w:pPr>
            <w:r>
              <w:rPr>
                <w:rFonts w:hint="eastAsia" w:ascii="宋体" w:hAnsi="宋体" w:cs="宋体"/>
                <w:color w:val="auto"/>
                <w:szCs w:val="21"/>
              </w:rPr>
              <w:t>磋商小组根据综合评分情况，按照评审得分由高到低顺序推荐成交候选供应商。</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ind w:firstLine="0"/>
              <w:textAlignment w:val="auto"/>
              <w:rPr>
                <w:rFonts w:ascii="宋体" w:hAnsi="宋体" w:cs="宋体"/>
                <w:color w:val="auto"/>
                <w:szCs w:val="21"/>
              </w:rPr>
            </w:pPr>
            <w:r>
              <w:rPr>
                <w:rFonts w:hint="eastAsia" w:ascii="宋体" w:hAnsi="宋体" w:cs="宋体"/>
                <w:color w:val="auto"/>
                <w:szCs w:val="21"/>
              </w:rPr>
              <w:t>在系统上公布评审结果。</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宋体" w:hAnsi="宋体" w:cs="宋体"/>
                <w:b/>
                <w:color w:val="auto"/>
                <w:szCs w:val="21"/>
              </w:rPr>
              <w:t>特别说明：政采云平台如对电子化开标及评审程序有调整的，按调整后的程序操作。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83"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26</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磋商小组的组建</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ascii="ˎ̥" w:hAnsi="ˎ̥"/>
                <w:color w:val="auto"/>
              </w:rPr>
              <w:t>磋商小组由采购人代表和评审专家共</w:t>
            </w:r>
            <w:r>
              <w:rPr>
                <w:rFonts w:hint="eastAsia" w:ascii="ˎ̥" w:hAnsi="ˎ̥"/>
                <w:color w:val="auto"/>
              </w:rPr>
              <w:t>3人及</w:t>
            </w:r>
            <w:r>
              <w:rPr>
                <w:rFonts w:ascii="ˎ̥" w:hAnsi="ˎ̥"/>
                <w:color w:val="auto"/>
              </w:rPr>
              <w:t>以上单数组成，其中评审专家人数不得少于磋商小组成员总数的2/3。采购人代表不得以评审专家身份参加本部门或本单位采购项目的评审。采购代理机构人员不得参加本机构代理的采购项目的评审。</w:t>
            </w:r>
            <w:r>
              <w:rPr>
                <w:rFonts w:hint="eastAsia" w:ascii="宋体" w:hAnsi="宋体" w:cs="Arial"/>
                <w:color w:val="auto"/>
                <w:szCs w:val="21"/>
              </w:rPr>
              <w:t>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27</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落实政府采购支持中小企业、监狱企业及残疾人福利性单位发展政策</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color w:val="auto"/>
              </w:rPr>
              <w:t>□  预留份额专门面向中小企业采购项目</w:t>
            </w:r>
          </w:p>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color w:val="auto"/>
              </w:rPr>
              <w:fldChar w:fldCharType="begin"/>
            </w:r>
            <w:r>
              <w:rPr>
                <w:rFonts w:hint="eastAsia"/>
                <w:color w:val="auto"/>
              </w:rPr>
              <w:instrText xml:space="preserve"> eq \o\ac(□,√)</w:instrText>
            </w:r>
            <w:r>
              <w:rPr>
                <w:rFonts w:hint="eastAsia"/>
                <w:color w:val="auto"/>
              </w:rPr>
              <w:fldChar w:fldCharType="end"/>
            </w:r>
            <w:r>
              <w:rPr>
                <w:rFonts w:hint="eastAsia"/>
                <w:color w:val="auto"/>
              </w:rPr>
              <w:t xml:space="preserve">  未预留份额专门面向中小企业采购项目</w:t>
            </w:r>
          </w:p>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b/>
                <w:bCs/>
                <w:color w:val="auto"/>
              </w:rPr>
              <w:t>本项目所属行业：工业</w:t>
            </w:r>
            <w:r>
              <w:rPr>
                <w:rFonts w:hint="eastAsia"/>
                <w:color w:val="auto"/>
              </w:rPr>
              <w:t>（中小微型企业划分标准参照国家统计局印发的《统计上大中小微型企业划分办法（2017）》，上述填写的所属行业详见《统计上大中小微型企业划分办法（2017）》附件)</w:t>
            </w:r>
          </w:p>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color w:val="auto"/>
              </w:rPr>
              <w:t>注：对于未预留份额专门面向中小企业采购的采购项目，以及预留份额项目中的非预留部分采购包，对小微企业报价给予 6% 的扣除，用扣除后的价格参加评审。</w:t>
            </w:r>
          </w:p>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color w:val="auto"/>
              </w:rPr>
              <w:t>监狱企业、残疾人福利性单位视同小型、微型企业，享受价格扣除。</w:t>
            </w:r>
          </w:p>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color w:val="auto"/>
              </w:rPr>
              <w:t>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1"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Arial"/>
                <w:color w:val="auto"/>
                <w:szCs w:val="21"/>
                <w:lang w:val="en-US" w:eastAsia="zh-CN"/>
              </w:rPr>
            </w:pPr>
            <w:r>
              <w:rPr>
                <w:rFonts w:hint="eastAsia" w:ascii="宋体" w:hAnsi="宋体" w:cs="Arial"/>
                <w:color w:val="auto"/>
                <w:szCs w:val="21"/>
                <w:lang w:val="en-US" w:eastAsia="zh-CN"/>
              </w:rPr>
              <w:t>28</w:t>
            </w:r>
          </w:p>
        </w:tc>
        <w:tc>
          <w:tcPr>
            <w:tcW w:w="1920" w:type="dxa"/>
            <w:vAlign w:val="center"/>
          </w:tcPr>
          <w:p>
            <w:pPr>
              <w:pStyle w:val="160"/>
              <w:pageBreakBefore w:val="0"/>
              <w:kinsoku/>
              <w:wordWrap/>
              <w:overflowPunct/>
              <w:topLinePunct w:val="0"/>
              <w:bidi w:val="0"/>
              <w:snapToGrid w:val="0"/>
              <w:spacing w:before="0" w:after="0" w:line="360" w:lineRule="exact"/>
              <w:jc w:val="center"/>
              <w:textAlignment w:val="auto"/>
              <w:rPr>
                <w:rFonts w:hint="eastAsia" w:ascii="宋体" w:hAnsi="宋体" w:cs="宋体"/>
                <w:b w:val="0"/>
                <w:color w:val="auto"/>
                <w:kern w:val="0"/>
                <w:sz w:val="21"/>
                <w:szCs w:val="21"/>
                <w:highlight w:val="none"/>
              </w:rPr>
            </w:pPr>
            <w:r>
              <w:rPr>
                <w:rFonts w:hint="eastAsia" w:ascii="宋体" w:hAnsi="宋体" w:cs="宋体"/>
                <w:b w:val="0"/>
                <w:color w:val="auto"/>
                <w:kern w:val="0"/>
                <w:sz w:val="21"/>
                <w:szCs w:val="21"/>
                <w:highlight w:val="none"/>
              </w:rPr>
              <w:t>环境标志产品</w:t>
            </w:r>
          </w:p>
          <w:p>
            <w:pPr>
              <w:pStyle w:val="160"/>
              <w:pageBreakBefore w:val="0"/>
              <w:kinsoku/>
              <w:wordWrap/>
              <w:overflowPunct/>
              <w:topLinePunct w:val="0"/>
              <w:bidi w:val="0"/>
              <w:snapToGrid w:val="0"/>
              <w:spacing w:before="0" w:after="0" w:line="360" w:lineRule="exact"/>
              <w:jc w:val="center"/>
              <w:textAlignment w:val="auto"/>
              <w:rPr>
                <w:rFonts w:hint="eastAsia" w:ascii="宋体" w:hAnsi="宋体" w:cs="Arial"/>
                <w:color w:val="auto"/>
                <w:szCs w:val="21"/>
              </w:rPr>
            </w:pPr>
            <w:r>
              <w:rPr>
                <w:rFonts w:hint="eastAsia" w:ascii="宋体" w:hAnsi="宋体" w:cs="宋体"/>
                <w:b w:val="0"/>
                <w:color w:val="auto"/>
                <w:kern w:val="0"/>
                <w:sz w:val="21"/>
                <w:szCs w:val="21"/>
                <w:highlight w:val="none"/>
              </w:rPr>
              <w:t>节能产品</w:t>
            </w:r>
          </w:p>
        </w:tc>
        <w:tc>
          <w:tcPr>
            <w:tcW w:w="6530" w:type="dxa"/>
            <w:vAlign w:val="center"/>
          </w:tcPr>
          <w:p>
            <w:pPr>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ascii="宋体" w:hAnsi="宋体" w:cs="宋体"/>
                <w:color w:val="auto"/>
                <w:szCs w:val="21"/>
                <w:highlight w:val="none"/>
              </w:rPr>
            </w:pPr>
            <w:r>
              <w:rPr>
                <w:rFonts w:hint="eastAsia" w:ascii="宋体" w:hAnsi="宋体" w:cs="宋体"/>
                <w:color w:val="auto"/>
                <w:szCs w:val="21"/>
                <w:highlight w:val="none"/>
              </w:rPr>
              <w:t>优先采购环境标志产品政策，节能产品政策</w:t>
            </w:r>
          </w:p>
          <w:p>
            <w:pPr>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不适用： </w:t>
            </w:r>
          </w:p>
          <w:p>
            <w:pPr>
              <w:pageBreakBefore w:val="0"/>
              <w:kinsoku/>
              <w:wordWrap/>
              <w:overflowPunct/>
              <w:topLinePunct w:val="0"/>
              <w:autoSpaceDE w:val="0"/>
              <w:autoSpaceDN w:val="0"/>
              <w:bidi w:val="0"/>
              <w:adjustRightInd w:val="0"/>
              <w:snapToGrid w:val="0"/>
              <w:spacing w:line="360" w:lineRule="exact"/>
              <w:ind w:right="105" w:rightChars="50"/>
              <w:textAlignment w:val="auto"/>
              <w:rPr>
                <w:rFonts w:hint="eastAsia"/>
                <w:color w:val="auto"/>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lang w:eastAsia="zh-CN"/>
              </w:rPr>
              <w:instrText xml:space="preserve">,</w:instrText>
            </w:r>
            <w:r>
              <w:rPr>
                <w:rFonts w:hint="eastAsia" w:ascii="宋体" w:hAnsi="宋体" w:cs="宋体"/>
                <w:color w:val="auto"/>
                <w:position w:val="2"/>
                <w:sz w:val="13"/>
                <w:szCs w:val="21"/>
                <w:highlight w:val="none"/>
                <w:lang w:eastAsia="zh-CN"/>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适用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4"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Arial"/>
                <w:color w:val="auto"/>
                <w:sz w:val="21"/>
                <w:szCs w:val="21"/>
                <w:lang w:val="en-US" w:eastAsia="zh-CN" w:bidi="ar-SA"/>
              </w:rPr>
            </w:pPr>
            <w:r>
              <w:rPr>
                <w:rFonts w:hint="eastAsia" w:ascii="宋体" w:hAnsi="宋体" w:cs="Arial"/>
                <w:color w:val="auto"/>
                <w:szCs w:val="21"/>
              </w:rPr>
              <w:t>29</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olor w:val="auto"/>
                <w:szCs w:val="21"/>
              </w:rPr>
              <w:t>诚信履约管理</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宋体" w:hAnsi="宋体" w:cs="Arial"/>
                <w:color w:val="auto"/>
                <w:szCs w:val="21"/>
              </w:rPr>
              <w:t xml:space="preserve">合同签订后，采购人依法加强对合同履约进行管理。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3"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Arial"/>
                <w:color w:val="auto"/>
                <w:sz w:val="21"/>
                <w:szCs w:val="21"/>
                <w:lang w:val="en-US" w:eastAsia="zh-CN" w:bidi="ar-SA"/>
              </w:rPr>
            </w:pPr>
            <w:r>
              <w:rPr>
                <w:rFonts w:hint="eastAsia" w:ascii="宋体" w:hAnsi="宋体" w:cs="Arial"/>
                <w:color w:val="auto"/>
                <w:szCs w:val="21"/>
              </w:rPr>
              <w:t>30</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szCs w:val="21"/>
              </w:rPr>
            </w:pPr>
            <w:r>
              <w:rPr>
                <w:rFonts w:ascii="宋体" w:hAnsi="宋体" w:cs="Arial"/>
                <w:color w:val="auto"/>
                <w:szCs w:val="21"/>
              </w:rPr>
              <w:t>解释</w:t>
            </w:r>
            <w:r>
              <w:rPr>
                <w:rFonts w:hint="eastAsia" w:ascii="宋体" w:hAnsi="宋体" w:cs="Arial"/>
                <w:color w:val="auto"/>
                <w:szCs w:val="21"/>
              </w:rPr>
              <w:t>权</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ascii="宋体" w:hAnsi="宋体" w:cs="Arial"/>
                <w:color w:val="auto"/>
                <w:szCs w:val="21"/>
              </w:rPr>
              <w:t>构成本磋商文件的各个组成文件应互为解释，互为说明；如有不明确或不一致，构成合同文件组成内容的，以合同文件约定内容为准；仅适用于</w:t>
            </w:r>
            <w:r>
              <w:rPr>
                <w:rFonts w:hint="eastAsia" w:ascii="宋体" w:hAnsi="宋体" w:cs="Arial"/>
                <w:color w:val="auto"/>
                <w:szCs w:val="21"/>
              </w:rPr>
              <w:t>磋商</w:t>
            </w:r>
            <w:r>
              <w:rPr>
                <w:rFonts w:ascii="宋体" w:hAnsi="宋体" w:cs="Arial"/>
                <w:color w:val="auto"/>
                <w:szCs w:val="21"/>
              </w:rPr>
              <w:t>阶段的约定，按</w:t>
            </w:r>
            <w:r>
              <w:rPr>
                <w:rFonts w:hint="eastAsia" w:ascii="宋体" w:hAnsi="宋体" w:cs="Arial"/>
                <w:color w:val="auto"/>
                <w:szCs w:val="21"/>
              </w:rPr>
              <w:t>采购</w:t>
            </w:r>
            <w:r>
              <w:rPr>
                <w:rFonts w:ascii="宋体" w:hAnsi="宋体" w:cs="Arial"/>
                <w:color w:val="auto"/>
                <w:szCs w:val="21"/>
              </w:rPr>
              <w:t>公告、磋商供应商须知、评</w:t>
            </w:r>
            <w:r>
              <w:rPr>
                <w:rFonts w:hint="eastAsia" w:ascii="宋体" w:hAnsi="宋体" w:cs="Arial"/>
                <w:color w:val="auto"/>
                <w:szCs w:val="21"/>
              </w:rPr>
              <w:t>定</w:t>
            </w:r>
            <w:r>
              <w:rPr>
                <w:rFonts w:ascii="宋体" w:hAnsi="宋体" w:cs="Arial"/>
                <w:color w:val="auto"/>
                <w:szCs w:val="21"/>
              </w:rPr>
              <w:t>办法、磋商响应文件格式的先后顺序解释；同一文件中就同一事项的约定不一致的，以逻辑顺序在后者为准；同一文件不同版本之间有不一致的，以形成时间在后者为准。按本款前述约定仍不能形成结论的，由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hAnsi="宋体" w:cs="Arial"/>
                <w:color w:val="auto"/>
                <w:szCs w:val="21"/>
              </w:rPr>
              <w:t>采购人</w:t>
            </w:r>
            <w:r>
              <w:rPr>
                <w:rFonts w:ascii="宋体" w:hAnsi="宋体" w:cs="Arial"/>
                <w:color w:val="auto"/>
                <w:szCs w:val="21"/>
              </w:rPr>
              <w:t>负责解释</w:t>
            </w: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Arial"/>
                <w:color w:val="auto"/>
                <w:szCs w:val="21"/>
                <w:lang w:val="en-US" w:eastAsia="zh-CN"/>
              </w:rPr>
            </w:pPr>
            <w:r>
              <w:rPr>
                <w:rFonts w:hint="eastAsia" w:ascii="宋体" w:hAnsi="宋体" w:cs="Arial"/>
                <w:color w:val="auto"/>
                <w:szCs w:val="21"/>
                <w:lang w:val="en-US" w:eastAsia="zh-CN"/>
              </w:rPr>
              <w:t>31</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 xml:space="preserve">合同管理                                                                                                                                                                                                                                                                                                                                                                                                                                                                                                                                                                                                                                                                                                                                                                                                                                                                                                                                                                                                                                                                                                                                                                                                                                                                                                                                                                                                                                                                                                                                                                                                                                                                                                                                                                                                                                                                                                                                                                                                                                                                                                                                                                                                                                                                                                                                                                                                       </w:t>
            </w:r>
          </w:p>
        </w:tc>
        <w:tc>
          <w:tcPr>
            <w:tcW w:w="6530"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Arial" w:hAnsi="Arial" w:cs="Arial"/>
                <w:color w:val="auto"/>
                <w:szCs w:val="21"/>
              </w:rPr>
            </w:pPr>
            <w:r>
              <w:rPr>
                <w:rFonts w:hint="eastAsia" w:ascii="Arial" w:hAnsi="Arial" w:cs="Arial"/>
                <w:color w:val="auto"/>
                <w:szCs w:val="21"/>
              </w:rPr>
              <w:t>1.成交供应商与采购人签订合同后，两个工作日内将合同在政采云平台上进行公示。</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color w:val="auto"/>
                <w:szCs w:val="21"/>
              </w:rPr>
            </w:pPr>
            <w:r>
              <w:rPr>
                <w:rFonts w:hint="eastAsia" w:ascii="Arial" w:hAnsi="Arial" w:cs="Arial"/>
                <w:color w:val="auto"/>
                <w:szCs w:val="21"/>
              </w:rPr>
              <w:t>2.采购人在合同签订后七个工作日内要及时向财政监督管理部门申请备案。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Arial"/>
                <w:color w:val="auto"/>
                <w:szCs w:val="21"/>
                <w:lang w:eastAsia="zh-CN"/>
              </w:rPr>
            </w:pPr>
            <w:r>
              <w:rPr>
                <w:rFonts w:hint="eastAsia" w:ascii="宋体" w:hAnsi="宋体" w:cs="Arial"/>
                <w:color w:val="auto"/>
                <w:szCs w:val="21"/>
              </w:rPr>
              <w:t>3</w:t>
            </w:r>
            <w:r>
              <w:rPr>
                <w:rFonts w:hint="eastAsia" w:ascii="宋体" w:hAnsi="宋体" w:cs="Arial"/>
                <w:color w:val="auto"/>
                <w:szCs w:val="21"/>
                <w:lang w:val="en-US" w:eastAsia="zh-CN"/>
              </w:rPr>
              <w:t>2</w:t>
            </w:r>
          </w:p>
        </w:tc>
        <w:tc>
          <w:tcPr>
            <w:tcW w:w="19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Arial"/>
                <w:color w:val="auto"/>
                <w:szCs w:val="21"/>
              </w:rPr>
            </w:pPr>
            <w:r>
              <w:rPr>
                <w:rFonts w:hint="eastAsia" w:ascii="宋体" w:hAnsi="宋体" w:cs="Arial"/>
                <w:color w:val="auto"/>
                <w:szCs w:val="21"/>
              </w:rPr>
              <w:t>温馨提醒</w:t>
            </w:r>
          </w:p>
        </w:tc>
        <w:tc>
          <w:tcPr>
            <w:tcW w:w="6530" w:type="dxa"/>
            <w:vAlign w:val="center"/>
          </w:tcPr>
          <w:p>
            <w:pPr>
              <w:keepNext w:val="0"/>
              <w:keepLines w:val="0"/>
              <w:pageBreakBefore w:val="0"/>
              <w:widowControl/>
              <w:numPr>
                <w:ilvl w:val="0"/>
                <w:numId w:val="8"/>
              </w:numPr>
              <w:kinsoku/>
              <w:wordWrap/>
              <w:overflowPunct/>
              <w:topLinePunct w:val="0"/>
              <w:autoSpaceDE/>
              <w:autoSpaceDN/>
              <w:bidi w:val="0"/>
              <w:adjustRightInd/>
              <w:snapToGrid/>
              <w:spacing w:line="320" w:lineRule="exact"/>
              <w:textAlignment w:val="auto"/>
              <w:rPr>
                <w:color w:val="auto"/>
              </w:rPr>
            </w:pPr>
            <w:r>
              <w:rPr>
                <w:rFonts w:hint="eastAsia"/>
                <w:color w:val="auto"/>
              </w:rPr>
              <w:t>请务必确保响应文件制作客户端为最新版本，旧版本可能导致响应文件解密失败。</w:t>
            </w:r>
          </w:p>
          <w:p>
            <w:pPr>
              <w:keepNext w:val="0"/>
              <w:keepLines w:val="0"/>
              <w:pageBreakBefore w:val="0"/>
              <w:widowControl/>
              <w:numPr>
                <w:ilvl w:val="0"/>
                <w:numId w:val="8"/>
              </w:numPr>
              <w:kinsoku/>
              <w:wordWrap/>
              <w:overflowPunct/>
              <w:topLinePunct w:val="0"/>
              <w:autoSpaceDE/>
              <w:autoSpaceDN/>
              <w:bidi w:val="0"/>
              <w:adjustRightInd/>
              <w:snapToGrid/>
              <w:spacing w:line="320" w:lineRule="exact"/>
              <w:textAlignment w:val="auto"/>
              <w:rPr>
                <w:color w:val="auto"/>
              </w:rPr>
            </w:pPr>
            <w:r>
              <w:rPr>
                <w:rFonts w:hint="eastAsia"/>
                <w:color w:val="auto"/>
              </w:rPr>
              <w:t>请务必确保响应文件制作时所用的 CA 锁与响应文件解密时的 CA 锁为同一把，否则可能导致响应文件解密失败。</w:t>
            </w:r>
          </w:p>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color w:val="auto"/>
              </w:rPr>
              <w:t>3、在磋商响应文件解密前，请务必检验 CA 锁与所用电脑的兼容性，部分电脑因 CA 驱动未正常安装、USB 接口兼容性差等原因可能造成响应文件解密失败。</w:t>
            </w:r>
          </w:p>
          <w:p>
            <w:pPr>
              <w:keepNext w:val="0"/>
              <w:keepLines w:val="0"/>
              <w:pageBreakBefore w:val="0"/>
              <w:widowControl/>
              <w:kinsoku/>
              <w:wordWrap/>
              <w:overflowPunct/>
              <w:topLinePunct w:val="0"/>
              <w:autoSpaceDE/>
              <w:autoSpaceDN/>
              <w:bidi w:val="0"/>
              <w:adjustRightInd/>
              <w:snapToGrid/>
              <w:spacing w:line="320" w:lineRule="exact"/>
              <w:textAlignment w:val="auto"/>
              <w:rPr>
                <w:color w:val="auto"/>
              </w:rPr>
            </w:pPr>
            <w:r>
              <w:rPr>
                <w:rFonts w:hint="eastAsia"/>
                <w:color w:val="auto"/>
              </w:rPr>
              <w:t>4、供应商未按采购文件规定及提醒操作的，引起的一切后果由供应商自行负责。</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s="Arial"/>
                <w:b/>
                <w:color w:val="auto"/>
                <w:szCs w:val="21"/>
              </w:rPr>
            </w:pPr>
            <w:r>
              <w:rPr>
                <w:rFonts w:hint="eastAsia"/>
                <w:color w:val="auto"/>
              </w:rPr>
              <w:t>5、成交供应商在领取成交通知书时提供全套纸质投标文件一正三副。</w:t>
            </w:r>
          </w:p>
        </w:tc>
      </w:tr>
    </w:tbl>
    <w:p>
      <w:pPr>
        <w:rPr>
          <w:rFonts w:ascii="宋体" w:hAnsi="宋体"/>
          <w:color w:val="auto"/>
          <w:szCs w:val="21"/>
        </w:rPr>
      </w:pPr>
    </w:p>
    <w:p>
      <w:pPr>
        <w:pStyle w:val="6"/>
        <w:keepNext w:val="0"/>
        <w:keepLines w:val="0"/>
        <w:pageBreakBefore/>
        <w:widowControl w:val="0"/>
        <w:tabs>
          <w:tab w:val="left" w:pos="840"/>
        </w:tabs>
        <w:adjustRightInd w:val="0"/>
        <w:snapToGrid w:val="0"/>
        <w:spacing w:beforeLines="100" w:afterLines="100" w:line="240" w:lineRule="auto"/>
        <w:jc w:val="center"/>
        <w:rPr>
          <w:rFonts w:hAnsi="宋体"/>
          <w:color w:val="auto"/>
          <w:sz w:val="28"/>
          <w:szCs w:val="36"/>
        </w:rPr>
      </w:pPr>
      <w:bookmarkStart w:id="6" w:name="_Toc592"/>
      <w:bookmarkStart w:id="7" w:name="_Toc5713"/>
      <w:bookmarkStart w:id="8" w:name="_Toc38808094"/>
      <w:bookmarkStart w:id="9" w:name="_Toc18067417"/>
      <w:r>
        <w:rPr>
          <w:rFonts w:hint="eastAsia" w:hAnsi="宋体"/>
          <w:color w:val="auto"/>
          <w:sz w:val="28"/>
          <w:szCs w:val="36"/>
        </w:rPr>
        <w:t>附表一</w:t>
      </w:r>
      <w:r>
        <w:rPr>
          <w:rFonts w:hAnsi="宋体"/>
          <w:color w:val="auto"/>
          <w:sz w:val="28"/>
          <w:szCs w:val="36"/>
        </w:rPr>
        <w:t xml:space="preserve"> </w:t>
      </w:r>
      <w:r>
        <w:rPr>
          <w:rFonts w:hint="eastAsia" w:hAnsi="宋体"/>
          <w:color w:val="auto"/>
          <w:sz w:val="28"/>
          <w:szCs w:val="36"/>
        </w:rPr>
        <w:t>政府采购活动现场确认声明书</w:t>
      </w:r>
      <w:bookmarkEnd w:id="6"/>
      <w:bookmarkEnd w:id="7"/>
      <w:bookmarkEnd w:id="8"/>
    </w:p>
    <w:p>
      <w:pPr>
        <w:pStyle w:val="64"/>
        <w:snapToGrid w:val="0"/>
        <w:spacing w:line="500" w:lineRule="exact"/>
        <w:rPr>
          <w:rFonts w:hint="default" w:hAnsi="宋体" w:cs="宋体"/>
          <w:b/>
          <w:color w:val="auto"/>
          <w:szCs w:val="21"/>
        </w:rPr>
      </w:pPr>
      <w:r>
        <w:rPr>
          <w:rFonts w:hAnsi="宋体" w:cs="宋体"/>
          <w:color w:val="auto"/>
          <w:kern w:val="0"/>
          <w:szCs w:val="21"/>
          <w:u w:val="single"/>
        </w:rPr>
        <w:t>浙江瑞扬工程咨询招标代理股份有限公司</w:t>
      </w:r>
      <w:r>
        <w:rPr>
          <w:rFonts w:hAnsi="宋体" w:cs="宋体"/>
          <w:color w:val="auto"/>
          <w:kern w:val="0"/>
          <w:szCs w:val="21"/>
        </w:rPr>
        <w:t>（采购组织机构名称）：</w:t>
      </w:r>
    </w:p>
    <w:p>
      <w:pPr>
        <w:pStyle w:val="64"/>
        <w:snapToGrid w:val="0"/>
        <w:spacing w:line="460" w:lineRule="exact"/>
        <w:ind w:left="19" w:leftChars="9" w:firstLine="415" w:firstLineChars="187"/>
        <w:rPr>
          <w:rFonts w:hint="default" w:hAnsi="宋体" w:cs="宋体"/>
          <w:color w:val="auto"/>
          <w:spacing w:val="6"/>
          <w:szCs w:val="21"/>
        </w:rPr>
      </w:pPr>
      <w:r>
        <w:rPr>
          <w:rFonts w:hAnsi="宋体" w:cs="宋体"/>
          <w:color w:val="auto"/>
          <w:spacing w:val="6"/>
          <w:szCs w:val="21"/>
        </w:rPr>
        <w:t>本人</w:t>
      </w:r>
      <w:r>
        <w:rPr>
          <w:rFonts w:hAnsi="宋体" w:cs="宋体"/>
          <w:color w:val="auto"/>
          <w:spacing w:val="6"/>
          <w:szCs w:val="21"/>
          <w:u w:val="single"/>
        </w:rPr>
        <w:t xml:space="preserve">           </w:t>
      </w:r>
      <w:r>
        <w:rPr>
          <w:rFonts w:hAnsi="宋体" w:cs="宋体"/>
          <w:color w:val="auto"/>
          <w:spacing w:val="6"/>
          <w:szCs w:val="21"/>
        </w:rPr>
        <w:t>（授权代表姓名），经由</w:t>
      </w:r>
      <w:r>
        <w:rPr>
          <w:rFonts w:hAnsi="宋体" w:cs="宋体"/>
          <w:color w:val="auto"/>
          <w:spacing w:val="6"/>
          <w:szCs w:val="21"/>
          <w:u w:val="single"/>
        </w:rPr>
        <w:t xml:space="preserve">                              （单位）</w:t>
      </w:r>
      <w:r>
        <w:rPr>
          <w:rFonts w:hAnsi="宋体" w:cs="宋体"/>
          <w:color w:val="auto"/>
          <w:spacing w:val="6"/>
          <w:szCs w:val="21"/>
        </w:rPr>
        <w:t>负责人</w:t>
      </w:r>
      <w:r>
        <w:rPr>
          <w:rFonts w:hAnsi="宋体" w:cs="宋体"/>
          <w:color w:val="auto"/>
          <w:spacing w:val="6"/>
          <w:szCs w:val="21"/>
          <w:u w:val="single"/>
        </w:rPr>
        <w:t xml:space="preserve">          </w:t>
      </w:r>
      <w:r>
        <w:rPr>
          <w:rFonts w:hAnsi="宋体" w:cs="宋体"/>
          <w:color w:val="auto"/>
          <w:spacing w:val="6"/>
          <w:szCs w:val="21"/>
        </w:rPr>
        <w:t>（法定代表人）合法授权参加</w:t>
      </w:r>
      <w:r>
        <w:rPr>
          <w:rFonts w:hAnsi="宋体" w:cs="宋体"/>
          <w:color w:val="auto"/>
          <w:spacing w:val="6"/>
          <w:szCs w:val="21"/>
          <w:u w:val="single"/>
        </w:rPr>
        <w:t xml:space="preserve">          </w:t>
      </w:r>
      <w:r>
        <w:rPr>
          <w:rFonts w:hAnsi="宋体" w:cs="宋体"/>
          <w:color w:val="auto"/>
          <w:spacing w:val="6"/>
          <w:szCs w:val="21"/>
        </w:rPr>
        <w:t>（编号：</w:t>
      </w:r>
      <w:r>
        <w:rPr>
          <w:rFonts w:hAnsi="宋体" w:cs="宋体"/>
          <w:color w:val="auto"/>
          <w:spacing w:val="6"/>
          <w:szCs w:val="21"/>
          <w:u w:val="single"/>
        </w:rPr>
        <w:t xml:space="preserve">      </w:t>
      </w:r>
      <w:r>
        <w:rPr>
          <w:rFonts w:hAnsi="宋体" w:cs="宋体"/>
          <w:color w:val="auto"/>
          <w:spacing w:val="6"/>
          <w:szCs w:val="21"/>
        </w:rPr>
        <w:t xml:space="preserve">）政府采购活动，经与本单位法人代表（负责人）联系确认，现就有关公平竞争事项郑重声明如下： </w:t>
      </w:r>
    </w:p>
    <w:p>
      <w:pPr>
        <w:pStyle w:val="65"/>
        <w:widowControl/>
        <w:numPr>
          <w:ilvl w:val="0"/>
          <w:numId w:val="9"/>
        </w:numPr>
        <w:snapToGrid w:val="0"/>
        <w:spacing w:line="460" w:lineRule="exact"/>
        <w:ind w:firstLine="396" w:firstLineChars="189"/>
        <w:rPr>
          <w:rFonts w:hint="default" w:ascii="宋体" w:hAnsi="宋体" w:cs="宋体"/>
          <w:color w:val="auto"/>
          <w:kern w:val="0"/>
          <w:szCs w:val="21"/>
        </w:rPr>
      </w:pPr>
      <w:r>
        <w:rPr>
          <w:rFonts w:ascii="宋体" w:hAnsi="宋体" w:cs="宋体"/>
          <w:color w:val="auto"/>
          <w:kern w:val="0"/>
          <w:szCs w:val="21"/>
        </w:rPr>
        <w:t>本单位与采购人之间 □不存在利害关系 □存在下列利害关系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pPr>
        <w:pStyle w:val="65"/>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A.投资关系    B.行政隶属关系    C.业务指导关系</w:t>
      </w:r>
    </w:p>
    <w:p>
      <w:pPr>
        <w:pStyle w:val="65"/>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D.其他可能</w:t>
      </w:r>
      <w:r>
        <w:rPr>
          <w:rFonts w:ascii="宋体" w:hAnsi="宋体" w:cs="宋体"/>
          <w:color w:val="auto"/>
          <w:szCs w:val="21"/>
        </w:rPr>
        <w:t>影响采购公正的</w:t>
      </w:r>
      <w:r>
        <w:rPr>
          <w:rFonts w:ascii="宋体" w:hAnsi="宋体" w:cs="宋体"/>
          <w:color w:val="auto"/>
          <w:kern w:val="0"/>
          <w:szCs w:val="21"/>
        </w:rPr>
        <w:t>利害关系</w:t>
      </w:r>
      <w:r>
        <w:rPr>
          <w:rFonts w:ascii="宋体" w:hAnsi="宋体" w:cs="宋体"/>
          <w:color w:val="auto"/>
          <w:kern w:val="0"/>
          <w:szCs w:val="21"/>
          <w:u w:val="single"/>
        </w:rPr>
        <w:t xml:space="preserve">（如有，请如实说明）                 </w:t>
      </w:r>
      <w:r>
        <w:rPr>
          <w:rFonts w:ascii="宋体" w:hAnsi="宋体" w:cs="宋体"/>
          <w:color w:val="auto"/>
          <w:kern w:val="0"/>
          <w:szCs w:val="21"/>
        </w:rPr>
        <w:t>。</w:t>
      </w:r>
    </w:p>
    <w:p>
      <w:pPr>
        <w:pStyle w:val="65"/>
        <w:widowControl/>
        <w:snapToGrid w:val="0"/>
        <w:spacing w:line="460" w:lineRule="exact"/>
        <w:rPr>
          <w:rFonts w:hint="default" w:ascii="宋体" w:hAnsi="宋体" w:cs="宋体"/>
          <w:color w:val="auto"/>
          <w:kern w:val="0"/>
          <w:szCs w:val="21"/>
        </w:rPr>
      </w:pPr>
      <w:r>
        <w:rPr>
          <w:rFonts w:ascii="宋体" w:hAnsi="宋体" w:cs="宋体"/>
          <w:color w:val="auto"/>
          <w:spacing w:val="6"/>
          <w:szCs w:val="21"/>
        </w:rPr>
        <w:t xml:space="preserve">   二、</w:t>
      </w:r>
      <w:r>
        <w:rPr>
          <w:rFonts w:ascii="宋体" w:hAnsi="宋体" w:cs="宋体"/>
          <w:color w:val="auto"/>
          <w:kern w:val="0"/>
          <w:szCs w:val="21"/>
        </w:rPr>
        <w:t>现已清楚知道参加本项目采购活动的其他所有供应商名称，本单位 □与其他所有供应商之间均不存在利害关系 □与</w:t>
      </w:r>
      <w:r>
        <w:rPr>
          <w:rFonts w:ascii="宋体" w:hAnsi="宋体" w:cs="宋体"/>
          <w:color w:val="auto"/>
          <w:kern w:val="0"/>
          <w:szCs w:val="21"/>
          <w:u w:val="single"/>
        </w:rPr>
        <w:t xml:space="preserve">           （供应商名称）</w:t>
      </w:r>
      <w:r>
        <w:rPr>
          <w:rFonts w:ascii="宋体" w:hAnsi="宋体" w:cs="宋体"/>
          <w:color w:val="auto"/>
          <w:kern w:val="0"/>
          <w:szCs w:val="21"/>
        </w:rPr>
        <w:t>之间存在下列利害关系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pPr>
        <w:pStyle w:val="64"/>
        <w:snapToGrid w:val="0"/>
        <w:spacing w:line="460" w:lineRule="exact"/>
        <w:rPr>
          <w:rFonts w:hint="default" w:hAnsi="宋体" w:cs="宋体"/>
          <w:color w:val="auto"/>
          <w:kern w:val="0"/>
          <w:szCs w:val="21"/>
        </w:rPr>
      </w:pPr>
      <w:r>
        <w:rPr>
          <w:rFonts w:hAnsi="宋体" w:cs="宋体"/>
          <w:color w:val="auto"/>
          <w:kern w:val="0"/>
          <w:szCs w:val="21"/>
        </w:rPr>
        <w:t xml:space="preserve">  A.法定代表人或负责人或实际控制人是同一人</w:t>
      </w:r>
    </w:p>
    <w:p>
      <w:pPr>
        <w:pStyle w:val="64"/>
        <w:snapToGrid w:val="0"/>
        <w:spacing w:line="460" w:lineRule="exact"/>
        <w:rPr>
          <w:rFonts w:hint="default" w:hAnsi="宋体" w:cs="宋体"/>
          <w:color w:val="auto"/>
          <w:spacing w:val="6"/>
          <w:szCs w:val="21"/>
        </w:rPr>
      </w:pPr>
      <w:r>
        <w:rPr>
          <w:rFonts w:hAnsi="宋体" w:cs="宋体"/>
          <w:color w:val="auto"/>
          <w:kern w:val="0"/>
          <w:szCs w:val="21"/>
        </w:rPr>
        <w:t xml:space="preserve">  B.法定代表人或负责人或实际控制人是夫妻关系</w:t>
      </w:r>
    </w:p>
    <w:p>
      <w:pPr>
        <w:pStyle w:val="64"/>
        <w:snapToGrid w:val="0"/>
        <w:spacing w:line="460" w:lineRule="exact"/>
        <w:rPr>
          <w:rFonts w:hint="default" w:hAnsi="宋体" w:cs="宋体"/>
          <w:color w:val="auto"/>
          <w:spacing w:val="6"/>
          <w:szCs w:val="21"/>
        </w:rPr>
      </w:pPr>
      <w:r>
        <w:rPr>
          <w:rFonts w:hAnsi="宋体" w:cs="宋体"/>
          <w:color w:val="auto"/>
          <w:kern w:val="0"/>
          <w:szCs w:val="21"/>
        </w:rPr>
        <w:t xml:space="preserve">  C.法定代表人或负责人或实际控制人是直系血亲关系</w:t>
      </w:r>
    </w:p>
    <w:p>
      <w:pPr>
        <w:pStyle w:val="64"/>
        <w:snapToGrid w:val="0"/>
        <w:spacing w:line="460" w:lineRule="exact"/>
        <w:rPr>
          <w:rFonts w:hint="default" w:hAnsi="宋体" w:cs="宋体"/>
          <w:color w:val="auto"/>
          <w:spacing w:val="6"/>
          <w:szCs w:val="21"/>
        </w:rPr>
      </w:pPr>
      <w:r>
        <w:rPr>
          <w:rFonts w:hAnsi="宋体" w:cs="宋体"/>
          <w:color w:val="auto"/>
          <w:kern w:val="0"/>
          <w:szCs w:val="21"/>
        </w:rPr>
        <w:t xml:space="preserve">  D.法定代表人或负责人或实际控制人存在三代以内旁系血亲关系</w:t>
      </w:r>
    </w:p>
    <w:p>
      <w:pPr>
        <w:pStyle w:val="64"/>
        <w:snapToGrid w:val="0"/>
        <w:spacing w:line="460" w:lineRule="exact"/>
        <w:rPr>
          <w:rFonts w:hint="default" w:hAnsi="宋体" w:cs="宋体"/>
          <w:color w:val="auto"/>
          <w:kern w:val="0"/>
          <w:szCs w:val="21"/>
        </w:rPr>
      </w:pPr>
      <w:r>
        <w:rPr>
          <w:rFonts w:hAnsi="宋体" w:cs="宋体"/>
          <w:color w:val="auto"/>
          <w:kern w:val="0"/>
          <w:szCs w:val="21"/>
        </w:rPr>
        <w:t xml:space="preserve">  E.法定代表人或负责人或实际控制人存在近姻亲关系</w:t>
      </w:r>
    </w:p>
    <w:p>
      <w:pPr>
        <w:pStyle w:val="64"/>
        <w:snapToGrid w:val="0"/>
        <w:spacing w:line="460" w:lineRule="exact"/>
        <w:rPr>
          <w:rFonts w:hint="default" w:hAnsi="宋体" w:cs="宋体"/>
          <w:color w:val="auto"/>
          <w:kern w:val="0"/>
          <w:szCs w:val="21"/>
        </w:rPr>
      </w:pPr>
      <w:r>
        <w:rPr>
          <w:rFonts w:hAnsi="宋体" w:cs="宋体"/>
          <w:color w:val="auto"/>
          <w:kern w:val="0"/>
          <w:szCs w:val="21"/>
        </w:rPr>
        <w:t xml:space="preserve">  F.法定代表人或负责人或实际控制人存在股份控制或实际控制关系</w:t>
      </w:r>
    </w:p>
    <w:p>
      <w:pPr>
        <w:pStyle w:val="64"/>
        <w:snapToGrid w:val="0"/>
        <w:spacing w:line="460" w:lineRule="exact"/>
        <w:rPr>
          <w:rFonts w:hint="default" w:hAnsi="宋体" w:cs="宋体"/>
          <w:color w:val="auto"/>
          <w:kern w:val="0"/>
          <w:szCs w:val="21"/>
        </w:rPr>
      </w:pPr>
      <w:r>
        <w:rPr>
          <w:rFonts w:hAnsi="宋体" w:cs="宋体"/>
          <w:color w:val="auto"/>
          <w:kern w:val="0"/>
          <w:szCs w:val="21"/>
        </w:rPr>
        <w:t xml:space="preserve">  </w:t>
      </w:r>
      <w:bookmarkStart w:id="10" w:name="_Toc25645"/>
      <w:bookmarkStart w:id="11" w:name="_Toc5689"/>
      <w:bookmarkStart w:id="12" w:name="_Toc12033"/>
      <w:bookmarkStart w:id="13" w:name="_Toc15012"/>
      <w:bookmarkStart w:id="14" w:name="_Toc9069"/>
      <w:r>
        <w:rPr>
          <w:rFonts w:hAnsi="宋体" w:cs="宋体"/>
          <w:color w:val="auto"/>
          <w:kern w:val="0"/>
          <w:szCs w:val="21"/>
        </w:rPr>
        <w:t>G.存在共同直接或间接投资设立子公司、联营企业和合营企业情况</w:t>
      </w:r>
      <w:bookmarkEnd w:id="10"/>
      <w:bookmarkEnd w:id="11"/>
      <w:bookmarkEnd w:id="12"/>
      <w:bookmarkEnd w:id="13"/>
      <w:bookmarkEnd w:id="14"/>
    </w:p>
    <w:p>
      <w:pPr>
        <w:pStyle w:val="64"/>
        <w:snapToGrid w:val="0"/>
        <w:spacing w:line="460" w:lineRule="exact"/>
        <w:rPr>
          <w:rFonts w:hint="default" w:hAnsi="宋体" w:cs="宋体"/>
          <w:color w:val="auto"/>
          <w:szCs w:val="21"/>
        </w:rPr>
      </w:pPr>
      <w:r>
        <w:rPr>
          <w:rFonts w:hAnsi="宋体" w:cs="宋体"/>
          <w:color w:val="auto"/>
          <w:kern w:val="0"/>
          <w:szCs w:val="21"/>
        </w:rPr>
        <w:t xml:space="preserve">  H.存在分级代理或代销关系、同一生产制造商关系、</w:t>
      </w:r>
      <w:r>
        <w:rPr>
          <w:rFonts w:hAnsi="宋体" w:cs="宋体"/>
          <w:color w:val="auto"/>
          <w:szCs w:val="21"/>
        </w:rPr>
        <w:t>管理关系、重要业务（占主营业务收入50%以上）或重要财务往来关系（如融资）等其他实质性控制关系</w:t>
      </w:r>
    </w:p>
    <w:p>
      <w:pPr>
        <w:pStyle w:val="64"/>
        <w:snapToGrid w:val="0"/>
        <w:spacing w:line="460" w:lineRule="exact"/>
        <w:rPr>
          <w:rFonts w:hint="default" w:hAnsi="宋体" w:cs="宋体"/>
          <w:color w:val="auto"/>
          <w:spacing w:val="6"/>
          <w:szCs w:val="21"/>
        </w:rPr>
      </w:pPr>
      <w:r>
        <w:rPr>
          <w:rFonts w:hAnsi="宋体" w:cs="宋体"/>
          <w:color w:val="auto"/>
          <w:szCs w:val="21"/>
        </w:rPr>
        <w:t xml:space="preserve">    I</w:t>
      </w:r>
      <w:r>
        <w:rPr>
          <w:rFonts w:hAnsi="宋体" w:cs="宋体"/>
          <w:color w:val="auto"/>
          <w:kern w:val="0"/>
          <w:szCs w:val="21"/>
        </w:rPr>
        <w:t>.</w:t>
      </w:r>
      <w:r>
        <w:rPr>
          <w:rFonts w:hAnsi="宋体" w:cs="宋体"/>
          <w:color w:val="auto"/>
          <w:szCs w:val="21"/>
        </w:rPr>
        <w:t>其他利害关系情况</w:t>
      </w:r>
      <w:r>
        <w:rPr>
          <w:rFonts w:hAnsi="宋体" w:cs="宋体"/>
          <w:color w:val="auto"/>
          <w:szCs w:val="21"/>
          <w:u w:val="single"/>
        </w:rPr>
        <w:t xml:space="preserve">                              </w:t>
      </w:r>
      <w:r>
        <w:rPr>
          <w:rFonts w:hAnsi="宋体" w:cs="宋体"/>
          <w:color w:val="auto"/>
          <w:kern w:val="0"/>
          <w:szCs w:val="21"/>
        </w:rPr>
        <w:t>。</w:t>
      </w:r>
    </w:p>
    <w:p>
      <w:pPr>
        <w:pStyle w:val="65"/>
        <w:widowControl/>
        <w:numPr>
          <w:ilvl w:val="0"/>
          <w:numId w:val="10"/>
        </w:numPr>
        <w:snapToGrid w:val="0"/>
        <w:spacing w:line="460" w:lineRule="exact"/>
        <w:ind w:firstLine="396" w:firstLineChars="189"/>
        <w:rPr>
          <w:rFonts w:hint="default" w:ascii="宋体" w:hAnsi="宋体" w:cs="宋体"/>
          <w:color w:val="auto"/>
          <w:kern w:val="0"/>
          <w:szCs w:val="21"/>
        </w:rPr>
      </w:pPr>
      <w:r>
        <w:rPr>
          <w:rFonts w:ascii="宋体" w:hAnsi="宋体" w:cs="宋体"/>
          <w:color w:val="auto"/>
          <w:szCs w:val="21"/>
        </w:rPr>
        <w:t>现已清楚知道并</w:t>
      </w:r>
      <w:r>
        <w:rPr>
          <w:rFonts w:ascii="宋体" w:hAnsi="宋体" w:cs="宋体"/>
          <w:color w:val="auto"/>
          <w:kern w:val="0"/>
          <w:szCs w:val="21"/>
        </w:rPr>
        <w:t>严格遵守政府采购法律法规和现场纪律。</w:t>
      </w:r>
    </w:p>
    <w:p>
      <w:pPr>
        <w:pStyle w:val="65"/>
        <w:widowControl/>
        <w:numPr>
          <w:ilvl w:val="0"/>
          <w:numId w:val="10"/>
        </w:numPr>
        <w:snapToGrid w:val="0"/>
        <w:spacing w:line="460" w:lineRule="exact"/>
        <w:ind w:firstLine="396" w:firstLineChars="189"/>
        <w:rPr>
          <w:rFonts w:hint="default" w:ascii="宋体" w:hAnsi="宋体" w:cs="宋体"/>
          <w:color w:val="auto"/>
          <w:kern w:val="0"/>
          <w:szCs w:val="21"/>
        </w:rPr>
      </w:pPr>
      <w:r>
        <w:rPr>
          <w:rFonts w:ascii="宋体" w:hAnsi="宋体" w:cs="宋体"/>
          <w:color w:val="auto"/>
          <w:kern w:val="0"/>
          <w:szCs w:val="21"/>
        </w:rPr>
        <w:t>我发现</w:t>
      </w:r>
      <w:r>
        <w:rPr>
          <w:rFonts w:ascii="宋体" w:hAnsi="宋体" w:cs="宋体"/>
          <w:color w:val="auto"/>
          <w:kern w:val="0"/>
          <w:szCs w:val="21"/>
          <w:u w:val="single"/>
        </w:rPr>
        <w:t xml:space="preserve">                    </w:t>
      </w:r>
      <w:r>
        <w:rPr>
          <w:rFonts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ascii="宋体" w:hAnsi="宋体" w:cs="宋体"/>
          <w:color w:val="auto"/>
          <w:kern w:val="0"/>
          <w:szCs w:val="21"/>
        </w:rPr>
        <w:t>项利害关系。</w:t>
      </w:r>
    </w:p>
    <w:p>
      <w:pPr>
        <w:pStyle w:val="64"/>
        <w:snapToGrid w:val="0"/>
        <w:spacing w:line="500" w:lineRule="exact"/>
        <w:ind w:firstLine="420" w:firstLineChars="200"/>
        <w:rPr>
          <w:rFonts w:hint="default" w:hAnsi="宋体" w:cs="宋体"/>
          <w:color w:val="auto"/>
          <w:szCs w:val="21"/>
        </w:rPr>
      </w:pPr>
      <w:r>
        <w:rPr>
          <w:rFonts w:hAnsi="宋体" w:cs="宋体"/>
          <w:color w:val="auto"/>
          <w:szCs w:val="21"/>
        </w:rPr>
        <w:t xml:space="preserve">                                          供应商代表签名：</w:t>
      </w:r>
    </w:p>
    <w:p>
      <w:pPr>
        <w:pStyle w:val="64"/>
        <w:snapToGrid w:val="0"/>
        <w:spacing w:line="500" w:lineRule="exact"/>
        <w:ind w:firstLine="4830" w:firstLineChars="2300"/>
        <w:rPr>
          <w:rFonts w:hint="default" w:hAnsi="宋体" w:cs="宋体"/>
          <w:color w:val="auto"/>
          <w:szCs w:val="21"/>
        </w:rPr>
      </w:pPr>
      <w:r>
        <w:rPr>
          <w:rFonts w:hAnsi="宋体" w:cs="宋体"/>
          <w:color w:val="auto"/>
          <w:szCs w:val="21"/>
        </w:rPr>
        <w:t>2021年   月   日</w:t>
      </w:r>
    </w:p>
    <w:p>
      <w:pPr>
        <w:pStyle w:val="64"/>
        <w:snapToGrid w:val="0"/>
        <w:spacing w:line="500" w:lineRule="exact"/>
        <w:rPr>
          <w:rFonts w:hint="default" w:hAnsi="宋体" w:cs="宋体"/>
          <w:color w:val="auto"/>
          <w:szCs w:val="21"/>
        </w:rPr>
        <w:sectPr>
          <w:headerReference r:id="rId3" w:type="default"/>
          <w:footerReference r:id="rId4" w:type="default"/>
          <w:pgSz w:w="11906" w:h="16838"/>
          <w:pgMar w:top="1588" w:right="1701" w:bottom="1418" w:left="1701" w:header="851" w:footer="737" w:gutter="0"/>
          <w:pgBorders>
            <w:top w:val="none" w:sz="0" w:space="0"/>
            <w:left w:val="none" w:sz="0" w:space="0"/>
            <w:bottom w:val="none" w:sz="0" w:space="0"/>
            <w:right w:val="none" w:sz="0" w:space="0"/>
          </w:pgBorders>
          <w:pgNumType w:fmt="decimal" w:start="1"/>
          <w:cols w:space="720" w:num="1"/>
          <w:docGrid w:linePitch="312" w:charSpace="0"/>
        </w:sectPr>
      </w:pPr>
    </w:p>
    <w:p>
      <w:pPr>
        <w:pStyle w:val="6"/>
        <w:keepNext w:val="0"/>
        <w:keepLines w:val="0"/>
        <w:pageBreakBefore/>
        <w:widowControl w:val="0"/>
        <w:tabs>
          <w:tab w:val="left" w:pos="840"/>
        </w:tabs>
        <w:adjustRightInd w:val="0"/>
        <w:snapToGrid w:val="0"/>
        <w:spacing w:beforeLines="100" w:afterLines="100" w:line="240" w:lineRule="auto"/>
        <w:jc w:val="center"/>
        <w:rPr>
          <w:rFonts w:hAnsi="宋体"/>
          <w:color w:val="auto"/>
          <w:sz w:val="28"/>
          <w:szCs w:val="36"/>
        </w:rPr>
      </w:pPr>
      <w:bookmarkStart w:id="15" w:name="_Toc2673"/>
      <w:bookmarkStart w:id="16" w:name="_Toc16361"/>
      <w:r>
        <w:rPr>
          <w:rFonts w:hint="eastAsia" w:hAnsi="宋体"/>
          <w:color w:val="auto"/>
          <w:sz w:val="28"/>
          <w:szCs w:val="36"/>
        </w:rPr>
        <w:t>附表二 启用备份响应文件申请书</w:t>
      </w:r>
      <w:bookmarkEnd w:id="15"/>
      <w:bookmarkEnd w:id="16"/>
    </w:p>
    <w:p>
      <w:pPr>
        <w:spacing w:line="360" w:lineRule="auto"/>
        <w:rPr>
          <w:rFonts w:ascii="宋体" w:hAnsi="宋体"/>
          <w:color w:val="auto"/>
          <w:szCs w:val="21"/>
        </w:rPr>
      </w:pPr>
      <w:r>
        <w:rPr>
          <w:rFonts w:hint="eastAsia" w:ascii="宋体" w:hAnsi="宋体"/>
          <w:color w:val="auto"/>
          <w:szCs w:val="21"/>
        </w:rPr>
        <w:t>浙江瑞扬工程咨询招标代理股份有限公司：</w:t>
      </w:r>
    </w:p>
    <w:p>
      <w:pPr>
        <w:spacing w:line="360" w:lineRule="auto"/>
        <w:rPr>
          <w:rFonts w:ascii="宋体" w:hAnsi="宋体"/>
          <w:bCs/>
          <w:color w:val="auto"/>
          <w:szCs w:val="21"/>
          <w:u w:val="single"/>
        </w:rPr>
      </w:pP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（采购人名称） </w:t>
      </w:r>
      <w:r>
        <w:rPr>
          <w:rFonts w:ascii="宋体" w:hAnsi="宋体"/>
          <w:bCs/>
          <w:color w:val="auto"/>
          <w:szCs w:val="21"/>
          <w:u w:val="single"/>
        </w:rPr>
        <w:t xml:space="preserve">                </w:t>
      </w:r>
      <w:r>
        <w:rPr>
          <w:rFonts w:hint="eastAsia" w:ascii="宋体" w:hAnsi="宋体"/>
          <w:color w:val="auto"/>
          <w:szCs w:val="21"/>
        </w:rPr>
        <w:t>：</w:t>
      </w:r>
    </w:p>
    <w:p>
      <w:pPr>
        <w:spacing w:line="360" w:lineRule="auto"/>
        <w:ind w:firstLine="420"/>
        <w:rPr>
          <w:rFonts w:ascii="宋体" w:hAnsi="宋体"/>
          <w:bCs/>
          <w:color w:val="auto"/>
          <w:szCs w:val="21"/>
          <w:u w:val="single"/>
        </w:rPr>
      </w:pPr>
      <w:r>
        <w:rPr>
          <w:rFonts w:hint="eastAsia" w:ascii="宋体" w:hAnsi="宋体"/>
          <w:bCs/>
          <w:color w:val="auto"/>
          <w:szCs w:val="21"/>
        </w:rPr>
        <w:t>我公司参与</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color w:val="auto"/>
          <w:szCs w:val="21"/>
          <w:u w:val="single"/>
        </w:rPr>
        <w:t xml:space="preserve">（项目名称） </w:t>
      </w:r>
      <w:r>
        <w:rPr>
          <w:rFonts w:ascii="宋体" w:hAnsi="宋体"/>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（项目编号：</w:t>
      </w:r>
      <w:r>
        <w:rPr>
          <w:rFonts w:hAnsi="宋体" w:cs="宋体"/>
          <w:color w:val="auto"/>
          <w:spacing w:val="6"/>
          <w:szCs w:val="21"/>
          <w:u w:val="single"/>
        </w:rPr>
        <w:t xml:space="preserve">          </w:t>
      </w:r>
      <w:r>
        <w:rPr>
          <w:rFonts w:hint="eastAsia" w:ascii="宋体" w:hAnsi="宋体"/>
          <w:bCs/>
          <w:color w:val="auto"/>
          <w:szCs w:val="21"/>
        </w:rPr>
        <w:t xml:space="preserve"> ）投标，已按本项目磋商文件要求提供备份响应文件。我方电子加密响应文件解密失败，现申请贵方启用备份响应文件上传至政采云平台，备份响应文件解压缩密码</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w:t>
      </w:r>
    </w:p>
    <w:p>
      <w:pPr>
        <w:spacing w:line="360" w:lineRule="auto"/>
        <w:ind w:firstLine="420"/>
        <w:rPr>
          <w:rFonts w:ascii="宋体" w:hAnsi="宋体"/>
          <w:bCs/>
          <w:color w:val="auto"/>
          <w:szCs w:val="21"/>
        </w:rPr>
      </w:pPr>
      <w:r>
        <w:rPr>
          <w:rFonts w:hint="eastAsia" w:ascii="宋体" w:hAnsi="宋体"/>
          <w:bCs/>
          <w:color w:val="auto"/>
          <w:szCs w:val="21"/>
        </w:rPr>
        <w:t>如备份响应文件上传失败，我方愿意承担一切风险和责任。</w:t>
      </w:r>
    </w:p>
    <w:p>
      <w:pPr>
        <w:spacing w:line="360" w:lineRule="auto"/>
        <w:ind w:firstLine="420"/>
        <w:rPr>
          <w:rFonts w:ascii="宋体" w:hAnsi="宋体"/>
          <w:bCs/>
          <w:color w:val="auto"/>
          <w:sz w:val="24"/>
        </w:rPr>
      </w:pPr>
    </w:p>
    <w:p>
      <w:pPr>
        <w:spacing w:line="360" w:lineRule="auto"/>
        <w:ind w:firstLine="420"/>
        <w:rPr>
          <w:rFonts w:ascii="宋体" w:hAnsi="宋体"/>
          <w:bCs/>
          <w:color w:val="auto"/>
          <w:sz w:val="24"/>
        </w:rPr>
      </w:pPr>
    </w:p>
    <w:p>
      <w:pPr>
        <w:spacing w:line="360" w:lineRule="auto"/>
        <w:rPr>
          <w:rFonts w:ascii="宋体" w:hAnsi="宋体"/>
          <w:bCs/>
          <w:color w:val="auto"/>
          <w:sz w:val="24"/>
        </w:rPr>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spacing w:line="360" w:lineRule="auto"/>
        <w:ind w:firstLine="420"/>
        <w:rPr>
          <w:rFonts w:ascii="宋体" w:hAnsi="宋体"/>
          <w:bCs/>
          <w:color w:val="auto"/>
          <w:szCs w:val="21"/>
        </w:rPr>
      </w:pPr>
      <w:r>
        <w:rPr>
          <w:rFonts w:hint="eastAsia" w:ascii="宋体" w:hAnsi="宋体"/>
          <w:bCs/>
          <w:color w:val="auto"/>
          <w:sz w:val="24"/>
        </w:rPr>
        <w:t xml:space="preserve"> </w:t>
      </w:r>
      <w:r>
        <w:rPr>
          <w:rFonts w:ascii="宋体" w:hAnsi="宋体"/>
          <w:bCs/>
          <w:color w:val="auto"/>
          <w:sz w:val="24"/>
        </w:rPr>
        <w:t xml:space="preserve">                                       </w:t>
      </w:r>
      <w:r>
        <w:rPr>
          <w:rFonts w:hint="eastAsia" w:ascii="宋体" w:hAnsi="宋体"/>
          <w:bCs/>
          <w:color w:val="auto"/>
          <w:szCs w:val="21"/>
        </w:rPr>
        <w:t>磋商供应商全称（盖章）：</w:t>
      </w:r>
    </w:p>
    <w:p>
      <w:pPr>
        <w:spacing w:line="360" w:lineRule="auto"/>
        <w:ind w:firstLine="420"/>
        <w:rPr>
          <w:rFonts w:ascii="宋体" w:hAnsi="宋体"/>
          <w:bCs/>
          <w:color w:val="auto"/>
          <w:szCs w:val="21"/>
        </w:rPr>
      </w:pPr>
      <w:r>
        <w:rPr>
          <w:rFonts w:hint="eastAsia" w:ascii="宋体" w:hAnsi="宋体"/>
          <w:bCs/>
          <w:color w:val="auto"/>
          <w:szCs w:val="21"/>
        </w:rPr>
        <w:t xml:space="preserve">                                         </w:t>
      </w:r>
    </w:p>
    <w:p>
      <w:pPr>
        <w:spacing w:line="360" w:lineRule="auto"/>
        <w:ind w:firstLine="5250" w:firstLineChars="2500"/>
        <w:rPr>
          <w:rFonts w:ascii="宋体" w:hAnsi="宋体"/>
          <w:bCs/>
          <w:color w:val="auto"/>
          <w:szCs w:val="21"/>
        </w:rPr>
      </w:pPr>
      <w:r>
        <w:rPr>
          <w:rFonts w:hint="eastAsia" w:ascii="宋体" w:hAnsi="宋体"/>
          <w:bCs/>
          <w:color w:val="auto"/>
          <w:szCs w:val="21"/>
        </w:rPr>
        <w:t>日     期：</w:t>
      </w:r>
    </w:p>
    <w:p>
      <w:pPr>
        <w:pStyle w:val="17"/>
        <w:spacing w:line="360" w:lineRule="auto"/>
        <w:rPr>
          <w:rFonts w:ascii="宋体" w:hAnsi="宋体" w:cs="宋体"/>
          <w:b/>
          <w:color w:val="auto"/>
          <w:szCs w:val="21"/>
        </w:rPr>
      </w:pPr>
    </w:p>
    <w:p>
      <w:pPr>
        <w:pStyle w:val="6"/>
        <w:spacing w:beforeLines="50" w:afterLines="50" w:line="240" w:lineRule="auto"/>
        <w:jc w:val="center"/>
        <w:rPr>
          <w:color w:val="auto"/>
          <w:sz w:val="24"/>
          <w:szCs w:val="24"/>
        </w:rPr>
      </w:pPr>
      <w:r>
        <w:rPr>
          <w:rFonts w:hint="eastAsia"/>
          <w:color w:val="auto"/>
          <w:sz w:val="24"/>
          <w:szCs w:val="24"/>
        </w:rPr>
        <w:br w:type="page"/>
      </w:r>
      <w:bookmarkStart w:id="17" w:name="_Toc20729"/>
      <w:r>
        <w:rPr>
          <w:rFonts w:hint="eastAsia"/>
          <w:color w:val="auto"/>
          <w:sz w:val="24"/>
          <w:szCs w:val="24"/>
        </w:rPr>
        <w:t>（二）总   则</w:t>
      </w:r>
      <w:bookmarkEnd w:id="9"/>
      <w:bookmarkEnd w:id="17"/>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说明</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本次竞争性磋商工作是按照《中华人民共和国政府采购法》、</w:t>
      </w:r>
      <w:r>
        <w:rPr>
          <w:rFonts w:hint="eastAsia" w:ascii="宋体" w:hAnsi="宋体" w:cs="宋体"/>
          <w:color w:val="auto"/>
          <w:szCs w:val="21"/>
        </w:rPr>
        <w:t>《政府采购竞争性磋商采购方式管理暂行办法》、</w:t>
      </w:r>
      <w:r>
        <w:rPr>
          <w:rFonts w:hint="eastAsia" w:ascii="宋体" w:hAnsi="宋体"/>
          <w:color w:val="auto"/>
        </w:rPr>
        <w:t>浙江省及项目所在地的有关政府采购规定，结合本项目的实际，组织和实施。</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资金来源：财政资金。</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定义及解释</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采购人：</w:t>
      </w:r>
      <w:r>
        <w:rPr>
          <w:rFonts w:hint="eastAsia" w:ascii="宋体" w:hAnsi="宋体"/>
          <w:color w:val="auto"/>
          <w:szCs w:val="21"/>
          <w:lang w:eastAsia="zh-CN"/>
        </w:rPr>
        <w:t>瑞安安阳中心城区开发建设中心</w:t>
      </w:r>
      <w:r>
        <w:rPr>
          <w:rFonts w:hint="eastAsia" w:ascii="宋体" w:hAnsi="宋体"/>
          <w:color w:val="auto"/>
        </w:rPr>
        <w:t>；</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采购代理机构：浙江瑞扬工程咨询招标代理股份有限公司；</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Arial" w:hAnsi="Arial"/>
          <w:color w:val="auto"/>
        </w:rPr>
        <w:t>磋商供应商：磋商供应商是响应采购、参加磋商竞争的依法成立的供应商；</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b/>
          <w:color w:val="auto"/>
        </w:rPr>
      </w:pPr>
      <w:r>
        <w:rPr>
          <w:rFonts w:hint="eastAsia"/>
          <w:b/>
          <w:color w:val="auto"/>
          <w:szCs w:val="21"/>
        </w:rPr>
        <w:t>电子加密响应文件：指通过“政采云电子交易客户端”完成响应文件编制后生成并加密的数据电文形式的响应文件，文件格式为.jmbs</w:t>
      </w:r>
      <w:r>
        <w:rPr>
          <w:rFonts w:hint="eastAsia" w:ascii="Arial" w:hAnsi="Arial" w:cs="Arial"/>
          <w:b/>
          <w:color w:val="auto"/>
        </w:rPr>
        <w:t>；</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b/>
          <w:color w:val="auto"/>
        </w:rPr>
      </w:pPr>
      <w:r>
        <w:rPr>
          <w:rFonts w:hint="eastAsia"/>
          <w:b/>
          <w:color w:val="auto"/>
          <w:szCs w:val="21"/>
        </w:rPr>
        <w:t>备份响应文件：指与“电子加密响应文件”同时生成的数据电文形式的电子文件，文件后缀格式为.bfbs，需打包压缩并加密</w:t>
      </w:r>
      <w:r>
        <w:rPr>
          <w:rFonts w:hint="eastAsia" w:ascii="Arial" w:hAnsi="Arial" w:cs="Arial"/>
          <w:b/>
          <w:color w:val="auto"/>
        </w:rPr>
        <w:t>；</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宋体" w:hAnsi="宋体"/>
          <w:b/>
          <w:color w:val="auto"/>
        </w:rPr>
        <w:t>电子签章</w:t>
      </w:r>
      <w:r>
        <w:rPr>
          <w:rFonts w:ascii="宋体" w:hAnsi="宋体"/>
          <w:b/>
          <w:color w:val="auto"/>
        </w:rPr>
        <w:t>：</w:t>
      </w:r>
      <w:r>
        <w:rPr>
          <w:rFonts w:hint="eastAsia" w:ascii="宋体" w:hAnsi="宋体"/>
          <w:b/>
          <w:color w:val="auto"/>
        </w:rPr>
        <w:t>磋商供应商</w:t>
      </w:r>
      <w:r>
        <w:rPr>
          <w:rFonts w:hint="eastAsia" w:ascii="宋体" w:hAnsi="宋体" w:cs="宋体"/>
          <w:b/>
          <w:bCs/>
          <w:color w:val="auto"/>
          <w:szCs w:val="21"/>
        </w:rPr>
        <w:t>通过</w:t>
      </w:r>
      <w:r>
        <w:rPr>
          <w:rFonts w:ascii="宋体" w:hAnsi="宋体" w:cs="宋体"/>
          <w:b/>
          <w:bCs/>
          <w:color w:val="auto"/>
          <w:szCs w:val="21"/>
        </w:rPr>
        <w:t>“</w:t>
      </w:r>
      <w:r>
        <w:rPr>
          <w:rFonts w:hint="eastAsia" w:ascii="宋体" w:hAnsi="宋体" w:cs="宋体"/>
          <w:b/>
          <w:bCs/>
          <w:color w:val="auto"/>
          <w:szCs w:val="21"/>
        </w:rPr>
        <w:t>政府采购</w:t>
      </w:r>
      <w:r>
        <w:rPr>
          <w:rFonts w:ascii="宋体" w:hAnsi="宋体" w:cs="宋体"/>
          <w:b/>
          <w:bCs/>
          <w:color w:val="auto"/>
          <w:szCs w:val="21"/>
        </w:rPr>
        <w:t>云平台”办理的CA锁进行的签章</w:t>
      </w:r>
      <w:r>
        <w:rPr>
          <w:rFonts w:hint="eastAsia" w:ascii="宋体" w:hAnsi="宋体" w:cs="宋体"/>
          <w:b/>
          <w:bCs/>
          <w:color w:val="auto"/>
          <w:szCs w:val="21"/>
        </w:rPr>
        <w:t>；</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Arial" w:hAnsi="Arial" w:cs="Arial"/>
          <w:color w:val="auto"/>
        </w:rPr>
        <w:t>成交供应商：系指在本次竞争性磋商中成交的磋商供应商；</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Arial" w:hAnsi="Arial" w:cs="Arial"/>
          <w:color w:val="auto"/>
        </w:rPr>
        <w:t>磋商小组：磋商小组是依《政府采购法》、《政府采购竞争性磋商采购方式管理暂行办法》组建的专门负责采购评审工作的临时性机构；</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Arial" w:hAnsi="Arial" w:cs="Arial"/>
          <w:color w:val="auto"/>
        </w:rPr>
        <w:t>日期：指公历日；</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Arial" w:hAnsi="Arial" w:cs="Arial"/>
          <w:color w:val="auto"/>
        </w:rPr>
        <w:t>合同：指由采购所产生的合同或合约文件。</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Arial" w:hAnsi="Arial" w:cs="Arial"/>
          <w:color w:val="auto"/>
        </w:rPr>
        <w:t>“书面形式”是指任何手写的、打印的或印刷的文件，包括电报和传真发送</w:t>
      </w:r>
      <w:r>
        <w:rPr>
          <w:rFonts w:hint="eastAsia" w:ascii="Arial" w:hAnsi="Arial"/>
          <w:color w:val="auto"/>
        </w:rPr>
        <w:t>。</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合格的磋商供应商</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s="宋体"/>
          <w:color w:val="auto"/>
          <w:szCs w:val="21"/>
        </w:rPr>
      </w:pPr>
      <w:r>
        <w:rPr>
          <w:rFonts w:hint="eastAsia" w:ascii="宋体" w:hAnsi="宋体" w:cs="宋体"/>
          <w:color w:val="auto"/>
          <w:szCs w:val="21"/>
        </w:rPr>
        <w:t>基本资格条件：</w:t>
      </w:r>
    </w:p>
    <w:p>
      <w:pPr>
        <w:pageBreakBefore w:val="0"/>
        <w:widowControl w:val="0"/>
        <w:tabs>
          <w:tab w:val="left" w:pos="540"/>
          <w:tab w:val="left" w:pos="1080"/>
        </w:tabs>
        <w:kinsoku/>
        <w:wordWrap/>
        <w:overflowPunct/>
        <w:topLinePunct w:val="0"/>
        <w:autoSpaceDE/>
        <w:autoSpaceDN/>
        <w:bidi w:val="0"/>
        <w:adjustRightInd/>
        <w:spacing w:line="400" w:lineRule="exact"/>
        <w:textAlignment w:val="auto"/>
        <w:rPr>
          <w:rFonts w:ascii="宋体" w:hAnsi="宋体" w:cs="宋体"/>
          <w:color w:val="auto"/>
          <w:szCs w:val="21"/>
        </w:rPr>
      </w:pPr>
      <w:r>
        <w:rPr>
          <w:rFonts w:hint="eastAsia" w:ascii="宋体" w:hAnsi="宋体" w:cs="宋体"/>
          <w:color w:val="auto"/>
          <w:szCs w:val="21"/>
        </w:rPr>
        <w:t xml:space="preserve">        （1）符合《中华人民共和国政府采购法》第二十二条规定；</w:t>
      </w:r>
    </w:p>
    <w:p>
      <w:pPr>
        <w:pageBreakBefore w:val="0"/>
        <w:widowControl w:val="0"/>
        <w:tabs>
          <w:tab w:val="left" w:pos="540"/>
          <w:tab w:val="left" w:pos="1080"/>
        </w:tabs>
        <w:kinsoku/>
        <w:wordWrap/>
        <w:overflowPunct/>
        <w:topLinePunct w:val="0"/>
        <w:autoSpaceDE/>
        <w:autoSpaceDN/>
        <w:bidi w:val="0"/>
        <w:adjustRightInd/>
        <w:spacing w:line="400" w:lineRule="exact"/>
        <w:ind w:left="991" w:hanging="991" w:hangingChars="472"/>
        <w:textAlignment w:val="auto"/>
        <w:rPr>
          <w:rFonts w:ascii="宋体" w:hAnsi="宋体" w:cs="宋体"/>
          <w:color w:val="auto"/>
          <w:szCs w:val="21"/>
        </w:rPr>
      </w:pPr>
      <w:r>
        <w:rPr>
          <w:rFonts w:hint="eastAsia" w:ascii="宋体" w:hAnsi="宋体" w:cs="宋体"/>
          <w:color w:val="auto"/>
          <w:szCs w:val="21"/>
        </w:rPr>
        <w:t xml:space="preserve">        （2）未被信用中国网站（www.creditchina.gov.cn）列入失信被执行人、重大税收违法件当事人名单，未被中国政府采购网（www.ccgp.gov.cn）列入政府采购严重违法失信行为记录名单。</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宋体" w:hAnsi="宋体" w:cs="宋体"/>
          <w:color w:val="auto"/>
          <w:szCs w:val="21"/>
        </w:rPr>
        <w:t>特定资格条件：无。</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s="Arial"/>
          <w:color w:val="auto"/>
        </w:rPr>
      </w:pPr>
      <w:r>
        <w:rPr>
          <w:rFonts w:hint="eastAsia" w:ascii="Arial" w:hAnsi="Arial" w:cs="Arial"/>
          <w:color w:val="auto"/>
        </w:rPr>
        <w:t>本项目不接受联合体投标。</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宋体" w:hAnsi="宋体" w:cs="Arial Unicode MS"/>
          <w:color w:val="auto"/>
          <w:szCs w:val="21"/>
        </w:rPr>
      </w:pPr>
      <w:r>
        <w:rPr>
          <w:rFonts w:hint="eastAsia" w:ascii="宋体" w:hAnsi="宋体" w:cs="宋体"/>
          <w:b/>
          <w:color w:val="auto"/>
          <w:sz w:val="24"/>
          <w:szCs w:val="22"/>
        </w:rPr>
        <w:t>中小企业认定</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s="宋体"/>
          <w:color w:val="auto"/>
          <w:szCs w:val="22"/>
        </w:rPr>
      </w:pPr>
      <w:r>
        <w:rPr>
          <w:rFonts w:hint="eastAsia" w:ascii="宋体" w:hAnsi="宋体" w:cs="宋体"/>
          <w:color w:val="auto"/>
          <w:szCs w:val="22"/>
        </w:rPr>
        <w:t>供应商提供的货物、工程或者服务符合下列情形的，享受本办法规定的中小企业扶持政策：</w:t>
      </w:r>
    </w:p>
    <w:p>
      <w:pPr>
        <w:pageBreakBefore w:val="0"/>
        <w:kinsoku/>
        <w:wordWrap/>
        <w:overflowPunct/>
        <w:topLinePunct w:val="0"/>
        <w:autoSpaceDE/>
        <w:autoSpaceDN/>
        <w:bidi w:val="0"/>
        <w:adjustRightInd/>
        <w:snapToGrid w:val="0"/>
        <w:spacing w:line="400" w:lineRule="exact"/>
        <w:ind w:left="840" w:leftChars="400"/>
        <w:jc w:val="both"/>
        <w:textAlignment w:val="auto"/>
        <w:rPr>
          <w:rFonts w:ascii="宋体" w:hAnsi="宋体" w:cs="宋体"/>
          <w:color w:val="auto"/>
          <w:szCs w:val="22"/>
        </w:rPr>
      </w:pPr>
      <w:r>
        <w:rPr>
          <w:rFonts w:hint="eastAsia" w:ascii="宋体" w:hAnsi="宋体" w:cs="宋体"/>
          <w:color w:val="auto"/>
          <w:szCs w:val="22"/>
        </w:rPr>
        <w:t>（一）在货物采购项目中，货物由中小企业制造，即货物由中小企业生产且使用该中小企业商号或者注册商标；</w:t>
      </w:r>
    </w:p>
    <w:p>
      <w:pPr>
        <w:pageBreakBefore w:val="0"/>
        <w:kinsoku/>
        <w:wordWrap/>
        <w:overflowPunct/>
        <w:topLinePunct w:val="0"/>
        <w:autoSpaceDE/>
        <w:autoSpaceDN/>
        <w:bidi w:val="0"/>
        <w:adjustRightInd/>
        <w:snapToGrid w:val="0"/>
        <w:spacing w:line="400" w:lineRule="exact"/>
        <w:ind w:firstLine="840" w:firstLineChars="400"/>
        <w:jc w:val="both"/>
        <w:textAlignment w:val="auto"/>
        <w:rPr>
          <w:rFonts w:ascii="宋体" w:hAnsi="宋体" w:cs="宋体"/>
          <w:color w:val="auto"/>
          <w:szCs w:val="22"/>
        </w:rPr>
      </w:pPr>
      <w:r>
        <w:rPr>
          <w:rFonts w:hint="eastAsia" w:ascii="宋体" w:hAnsi="宋体" w:cs="宋体"/>
          <w:color w:val="auto"/>
          <w:szCs w:val="22"/>
        </w:rPr>
        <w:t>（二）在工程采购项目中，工程由中小企业承建，即工程施工单位为中小企业；</w:t>
      </w:r>
    </w:p>
    <w:p>
      <w:pPr>
        <w:pageBreakBefore w:val="0"/>
        <w:kinsoku/>
        <w:wordWrap/>
        <w:overflowPunct/>
        <w:topLinePunct w:val="0"/>
        <w:autoSpaceDE/>
        <w:autoSpaceDN/>
        <w:bidi w:val="0"/>
        <w:adjustRightInd/>
        <w:snapToGrid w:val="0"/>
        <w:spacing w:line="400" w:lineRule="exact"/>
        <w:ind w:left="840" w:leftChars="400"/>
        <w:jc w:val="both"/>
        <w:textAlignment w:val="auto"/>
        <w:rPr>
          <w:rFonts w:ascii="Arial" w:hAnsi="Arial"/>
          <w:b/>
          <w:color w:val="auto"/>
          <w:sz w:val="24"/>
        </w:rPr>
      </w:pPr>
      <w:r>
        <w:rPr>
          <w:rFonts w:hint="eastAsia" w:ascii="宋体" w:hAnsi="宋体" w:cs="宋体"/>
          <w:color w:val="auto"/>
          <w:szCs w:val="22"/>
        </w:rPr>
        <w:t>（三）在服务采购项目中，服务由中小企业承接，即提供服务的人员为中小企业依照《中华人民共和国劳动合同法》订立劳动合同的从业人员。</w:t>
      </w:r>
    </w:p>
    <w:p>
      <w:pPr>
        <w:pageBreakBefore w:val="0"/>
        <w:numPr>
          <w:ilvl w:val="0"/>
          <w:numId w:val="11"/>
        </w:numPr>
        <w:kinsoku/>
        <w:wordWrap/>
        <w:overflowPunct/>
        <w:topLinePunct w:val="0"/>
        <w:autoSpaceDE/>
        <w:autoSpaceDN/>
        <w:bidi w:val="0"/>
        <w:adjustRightInd/>
        <w:spacing w:line="400" w:lineRule="exact"/>
        <w:textAlignment w:val="auto"/>
        <w:rPr>
          <w:rFonts w:ascii="Arial" w:hAnsi="Arial"/>
          <w:b/>
          <w:color w:val="auto"/>
          <w:sz w:val="24"/>
        </w:rPr>
      </w:pPr>
      <w:r>
        <w:rPr>
          <w:rFonts w:hint="eastAsia" w:ascii="Arial" w:hAnsi="Arial"/>
          <w:b/>
          <w:color w:val="auto"/>
          <w:sz w:val="24"/>
        </w:rPr>
        <w:t>信用查询</w:t>
      </w:r>
    </w:p>
    <w:p>
      <w:pPr>
        <w:pageBreakBefore w:val="0"/>
        <w:numPr>
          <w:ilvl w:val="1"/>
          <w:numId w:val="11"/>
        </w:numPr>
        <w:tabs>
          <w:tab w:val="left" w:pos="9373"/>
        </w:tabs>
        <w:kinsoku/>
        <w:wordWrap/>
        <w:overflowPunct/>
        <w:topLinePunct w:val="0"/>
        <w:autoSpaceDE/>
        <w:autoSpaceDN/>
        <w:bidi w:val="0"/>
        <w:adjustRightInd/>
        <w:snapToGrid w:val="0"/>
        <w:spacing w:line="400" w:lineRule="exact"/>
        <w:ind w:left="850" w:right="-67" w:rightChars="-32" w:hanging="850"/>
        <w:jc w:val="both"/>
        <w:textAlignment w:val="auto"/>
        <w:rPr>
          <w:rFonts w:ascii="宋体" w:hAnsi="宋体"/>
          <w:color w:val="auto"/>
          <w:szCs w:val="21"/>
        </w:rPr>
      </w:pPr>
      <w:r>
        <w:rPr>
          <w:rFonts w:hint="eastAsia" w:ascii="宋体" w:hAnsi="宋体"/>
          <w:color w:val="auto"/>
          <w:szCs w:val="21"/>
        </w:rPr>
        <w:t>信用信息查询的截止时点：</w:t>
      </w:r>
      <w:r>
        <w:rPr>
          <w:rFonts w:hint="eastAsia" w:ascii="宋体" w:hAnsi="宋体"/>
          <w:b/>
          <w:bCs/>
          <w:color w:val="auto"/>
          <w:szCs w:val="21"/>
        </w:rPr>
        <w:t>以开标当日采购代理机构核实的查询结果为准</w:t>
      </w:r>
      <w:r>
        <w:rPr>
          <w:rFonts w:hint="eastAsia" w:ascii="宋体" w:hAnsi="宋体"/>
          <w:color w:val="auto"/>
          <w:szCs w:val="21"/>
        </w:rPr>
        <w:t>。</w:t>
      </w:r>
    </w:p>
    <w:p>
      <w:pPr>
        <w:pageBreakBefore w:val="0"/>
        <w:numPr>
          <w:ilvl w:val="1"/>
          <w:numId w:val="11"/>
        </w:numPr>
        <w:tabs>
          <w:tab w:val="left" w:pos="9373"/>
        </w:tabs>
        <w:kinsoku/>
        <w:wordWrap/>
        <w:overflowPunct/>
        <w:topLinePunct w:val="0"/>
        <w:autoSpaceDE/>
        <w:autoSpaceDN/>
        <w:bidi w:val="0"/>
        <w:adjustRightInd/>
        <w:snapToGrid w:val="0"/>
        <w:spacing w:line="400" w:lineRule="exact"/>
        <w:ind w:left="850" w:right="-67" w:rightChars="-32" w:hanging="850"/>
        <w:jc w:val="both"/>
        <w:textAlignment w:val="auto"/>
        <w:rPr>
          <w:rFonts w:ascii="宋体" w:hAnsi="宋体"/>
          <w:color w:val="auto"/>
          <w:szCs w:val="21"/>
        </w:rPr>
      </w:pPr>
      <w:r>
        <w:rPr>
          <w:rFonts w:hint="eastAsia" w:ascii="宋体" w:hAnsi="宋体"/>
          <w:color w:val="auto"/>
          <w:szCs w:val="21"/>
        </w:rPr>
        <w:t>查询渠道与留存方式：采购代理机构登录“信用中国”（www.creditchina.gov.cn）、“中国政府采购网”（www.ccgp.gov.cn）网站查询各投标人信用记录，网页截图并打印存档。</w:t>
      </w:r>
    </w:p>
    <w:p>
      <w:pPr>
        <w:pageBreakBefore w:val="0"/>
        <w:numPr>
          <w:ilvl w:val="1"/>
          <w:numId w:val="11"/>
        </w:numPr>
        <w:tabs>
          <w:tab w:val="left" w:pos="9373"/>
        </w:tabs>
        <w:kinsoku/>
        <w:wordWrap/>
        <w:overflowPunct/>
        <w:topLinePunct w:val="0"/>
        <w:autoSpaceDE/>
        <w:autoSpaceDN/>
        <w:bidi w:val="0"/>
        <w:adjustRightInd/>
        <w:snapToGrid w:val="0"/>
        <w:spacing w:line="400" w:lineRule="exact"/>
        <w:ind w:left="850" w:right="-67" w:rightChars="-32" w:hanging="850"/>
        <w:jc w:val="both"/>
        <w:textAlignment w:val="auto"/>
        <w:rPr>
          <w:rFonts w:ascii="宋体" w:hAnsi="宋体"/>
          <w:color w:val="auto"/>
          <w:szCs w:val="21"/>
        </w:rPr>
      </w:pPr>
      <w:r>
        <w:rPr>
          <w:rFonts w:hint="eastAsia" w:ascii="宋体" w:hAnsi="宋体"/>
          <w:color w:val="auto"/>
          <w:szCs w:val="21"/>
        </w:rPr>
        <w:t>不良信用记录指：被列入失信被执行人、重大税收违法案件当事人名单、政府采购严重违法失信行为记录名单及其他不符合《中华人民共和国政府采购法》第二十二条规定条件。存在不良信用记录的投标人，将被拒绝参与政府采购活动。</w:t>
      </w:r>
    </w:p>
    <w:p>
      <w:pPr>
        <w:pageBreakBefore w:val="0"/>
        <w:numPr>
          <w:ilvl w:val="1"/>
          <w:numId w:val="11"/>
        </w:numPr>
        <w:tabs>
          <w:tab w:val="left" w:pos="9373"/>
        </w:tabs>
        <w:kinsoku/>
        <w:wordWrap/>
        <w:overflowPunct/>
        <w:topLinePunct w:val="0"/>
        <w:autoSpaceDE/>
        <w:autoSpaceDN/>
        <w:bidi w:val="0"/>
        <w:adjustRightInd/>
        <w:snapToGrid w:val="0"/>
        <w:spacing w:line="400" w:lineRule="exact"/>
        <w:ind w:left="850" w:right="-67" w:rightChars="-32" w:hanging="850"/>
        <w:jc w:val="both"/>
        <w:textAlignment w:val="auto"/>
        <w:rPr>
          <w:rFonts w:ascii="宋体" w:hAnsi="宋体"/>
          <w:color w:val="auto"/>
          <w:szCs w:val="21"/>
        </w:rPr>
      </w:pPr>
      <w:r>
        <w:rPr>
          <w:rFonts w:hint="eastAsia" w:ascii="宋体" w:hAnsi="宋体"/>
          <w:color w:val="auto"/>
          <w:szCs w:val="21"/>
        </w:rPr>
        <w:t>联合体投标时，采购代理机构将对所有联合体成员进行信用记录查询，联合体成员存在不良信用记录的，视同联合体存在不良信用记录。</w:t>
      </w:r>
    </w:p>
    <w:p>
      <w:pPr>
        <w:pageBreakBefore w:val="0"/>
        <w:numPr>
          <w:ilvl w:val="0"/>
          <w:numId w:val="11"/>
        </w:numPr>
        <w:kinsoku/>
        <w:wordWrap/>
        <w:overflowPunct/>
        <w:topLinePunct w:val="0"/>
        <w:autoSpaceDE/>
        <w:autoSpaceDN/>
        <w:bidi w:val="0"/>
        <w:adjustRightInd/>
        <w:spacing w:line="400" w:lineRule="exact"/>
        <w:textAlignment w:val="auto"/>
        <w:rPr>
          <w:rFonts w:ascii="Arial" w:hAnsi="Arial"/>
          <w:b/>
          <w:color w:val="auto"/>
          <w:sz w:val="24"/>
        </w:rPr>
      </w:pPr>
      <w:r>
        <w:rPr>
          <w:rFonts w:hint="eastAsia" w:ascii="Arial" w:hAnsi="Arial"/>
          <w:b/>
          <w:color w:val="auto"/>
          <w:sz w:val="24"/>
        </w:rPr>
        <w:t>保密与披露事项</w:t>
      </w:r>
    </w:p>
    <w:p>
      <w:pPr>
        <w:pageBreakBefore w:val="0"/>
        <w:numPr>
          <w:ilvl w:val="1"/>
          <w:numId w:val="11"/>
        </w:numPr>
        <w:kinsoku/>
        <w:wordWrap/>
        <w:overflowPunct/>
        <w:topLinePunct w:val="0"/>
        <w:autoSpaceDE/>
        <w:autoSpaceDN/>
        <w:bidi w:val="0"/>
        <w:adjustRightInd/>
        <w:spacing w:line="400" w:lineRule="exact"/>
        <w:textAlignment w:val="auto"/>
        <w:rPr>
          <w:rFonts w:ascii="Arial" w:hAnsi="Arial"/>
          <w:color w:val="auto"/>
        </w:rPr>
      </w:pPr>
      <w:r>
        <w:rPr>
          <w:rFonts w:hint="eastAsia" w:ascii="Arial" w:hAnsi="Arial"/>
          <w:color w:val="auto"/>
        </w:rPr>
        <w:t>磋商供应商不得串通，以不正当的手段妨碍排挤其他磋商供应商，扰乱市场，破坏公平竞争原则。</w:t>
      </w:r>
    </w:p>
    <w:p>
      <w:pPr>
        <w:pageBreakBefore w:val="0"/>
        <w:numPr>
          <w:ilvl w:val="1"/>
          <w:numId w:val="11"/>
        </w:numPr>
        <w:kinsoku/>
        <w:wordWrap/>
        <w:overflowPunct/>
        <w:topLinePunct w:val="0"/>
        <w:autoSpaceDE/>
        <w:autoSpaceDN/>
        <w:bidi w:val="0"/>
        <w:adjustRightInd/>
        <w:spacing w:line="400" w:lineRule="exact"/>
        <w:jc w:val="both"/>
        <w:textAlignment w:val="auto"/>
        <w:rPr>
          <w:rFonts w:ascii="Arial" w:hAnsi="Arial"/>
          <w:color w:val="auto"/>
        </w:rPr>
      </w:pPr>
      <w:r>
        <w:rPr>
          <w:rFonts w:hint="eastAsia" w:ascii="宋体" w:hAnsi="宋体"/>
          <w:color w:val="auto"/>
        </w:rPr>
        <w:t>磋商供应商自购买磋商文件之日起，须承诺承担本竞争性磋商项目下保密义务，不得将因本次竞争性磋商获得的信息向第三方外传</w:t>
      </w:r>
      <w:r>
        <w:rPr>
          <w:rFonts w:ascii="宋体" w:hAnsi="宋体"/>
          <w:color w:val="auto"/>
        </w:rPr>
        <w:t>。</w:t>
      </w:r>
    </w:p>
    <w:p>
      <w:pPr>
        <w:pageBreakBefore w:val="0"/>
        <w:numPr>
          <w:ilvl w:val="1"/>
          <w:numId w:val="11"/>
        </w:numPr>
        <w:kinsoku/>
        <w:wordWrap/>
        <w:overflowPunct/>
        <w:topLinePunct w:val="0"/>
        <w:autoSpaceDE/>
        <w:autoSpaceDN/>
        <w:bidi w:val="0"/>
        <w:adjustRightInd/>
        <w:spacing w:line="400" w:lineRule="exact"/>
        <w:jc w:val="both"/>
        <w:textAlignment w:val="auto"/>
        <w:rPr>
          <w:rFonts w:ascii="Arial" w:hAnsi="Arial"/>
          <w:color w:val="auto"/>
        </w:rPr>
      </w:pPr>
      <w:r>
        <w:rPr>
          <w:rFonts w:hint="eastAsia" w:ascii="宋体" w:hAnsi="宋体"/>
          <w:color w:val="auto"/>
        </w:rPr>
        <w:t>采购机构有权将磋商供应商提供的所有资料向其他政府部门或有关的非政府机构负责评审磋商响应文件的人员或与评标有关的人员披露</w:t>
      </w:r>
      <w:r>
        <w:rPr>
          <w:rFonts w:ascii="宋体" w:hAnsi="宋体"/>
          <w:color w:val="auto"/>
        </w:rPr>
        <w:t>。</w:t>
      </w:r>
    </w:p>
    <w:p>
      <w:pPr>
        <w:pageBreakBefore w:val="0"/>
        <w:numPr>
          <w:ilvl w:val="1"/>
          <w:numId w:val="11"/>
        </w:numPr>
        <w:kinsoku/>
        <w:wordWrap/>
        <w:overflowPunct/>
        <w:topLinePunct w:val="0"/>
        <w:autoSpaceDE/>
        <w:autoSpaceDN/>
        <w:bidi w:val="0"/>
        <w:adjustRightInd/>
        <w:spacing w:line="400" w:lineRule="exact"/>
        <w:jc w:val="both"/>
        <w:textAlignment w:val="auto"/>
        <w:rPr>
          <w:rFonts w:ascii="Arial" w:hAnsi="Arial"/>
          <w:color w:val="auto"/>
          <w:sz w:val="24"/>
        </w:rPr>
      </w:pPr>
      <w:r>
        <w:rPr>
          <w:rFonts w:hint="eastAsia" w:ascii="宋体" w:hAnsi="宋体"/>
          <w:color w:val="auto"/>
        </w:rPr>
        <w:t>采购机构有权在认为适当时，或在任何第三者提出要求（书面或其他方式）时，无须事先征求成交供应商同意而披露关于已订立合约的资料、成交供应商的名称及地址、成交服务的有关信息以及合约条款等</w:t>
      </w:r>
      <w:r>
        <w:rPr>
          <w:rFonts w:ascii="宋体" w:hAnsi="宋体"/>
          <w:color w:val="auto"/>
        </w:rPr>
        <w:t>。</w:t>
      </w:r>
    </w:p>
    <w:p>
      <w:pPr>
        <w:pageBreakBefore w:val="0"/>
        <w:numPr>
          <w:ilvl w:val="0"/>
          <w:numId w:val="11"/>
        </w:numPr>
        <w:kinsoku/>
        <w:wordWrap/>
        <w:overflowPunct/>
        <w:topLinePunct w:val="0"/>
        <w:autoSpaceDE/>
        <w:autoSpaceDN/>
        <w:bidi w:val="0"/>
        <w:adjustRightInd/>
        <w:spacing w:line="400" w:lineRule="exact"/>
        <w:textAlignment w:val="auto"/>
        <w:rPr>
          <w:rFonts w:ascii="Arial" w:hAnsi="Arial"/>
          <w:b/>
          <w:color w:val="auto"/>
          <w:sz w:val="24"/>
        </w:rPr>
      </w:pPr>
      <w:r>
        <w:rPr>
          <w:rFonts w:hint="eastAsia" w:ascii="Arial" w:hAnsi="Arial"/>
          <w:b/>
          <w:color w:val="auto"/>
          <w:sz w:val="24"/>
        </w:rPr>
        <w:t>磋商费用</w:t>
      </w:r>
    </w:p>
    <w:p>
      <w:pPr>
        <w:pageBreakBefore w:val="0"/>
        <w:numPr>
          <w:ilvl w:val="1"/>
          <w:numId w:val="11"/>
        </w:numPr>
        <w:kinsoku/>
        <w:wordWrap/>
        <w:overflowPunct/>
        <w:topLinePunct w:val="0"/>
        <w:autoSpaceDE/>
        <w:autoSpaceDN/>
        <w:bidi w:val="0"/>
        <w:adjustRightInd/>
        <w:spacing w:line="400" w:lineRule="exact"/>
        <w:textAlignment w:val="auto"/>
        <w:rPr>
          <w:rFonts w:ascii="Arial" w:hAnsi="Arial"/>
          <w:color w:val="auto"/>
        </w:rPr>
      </w:pPr>
      <w:r>
        <w:rPr>
          <w:rFonts w:hint="eastAsia" w:ascii="Arial" w:hAnsi="Arial"/>
          <w:color w:val="auto"/>
        </w:rPr>
        <w:t>磋商供应商应承担所有与编写和提交磋商响应文件有关的费用，不论磋商的结果如何，采购代理机构和采购人在任何情况下均无义务和责任承担这些费用。</w:t>
      </w:r>
    </w:p>
    <w:p>
      <w:pPr>
        <w:pageBreakBefore w:val="0"/>
        <w:numPr>
          <w:ilvl w:val="0"/>
          <w:numId w:val="11"/>
        </w:numPr>
        <w:kinsoku/>
        <w:wordWrap/>
        <w:overflowPunct/>
        <w:topLinePunct w:val="0"/>
        <w:autoSpaceDE/>
        <w:autoSpaceDN/>
        <w:bidi w:val="0"/>
        <w:adjustRightInd/>
        <w:spacing w:line="400" w:lineRule="exact"/>
        <w:textAlignment w:val="auto"/>
        <w:rPr>
          <w:rFonts w:ascii="Arial" w:hAnsi="Arial"/>
          <w:color w:val="auto"/>
        </w:rPr>
      </w:pPr>
      <w:r>
        <w:rPr>
          <w:rFonts w:hint="eastAsia" w:ascii="Arial" w:hAnsi="Arial"/>
          <w:b/>
          <w:color w:val="auto"/>
          <w:sz w:val="24"/>
        </w:rPr>
        <w:t>现场踏勘：</w:t>
      </w:r>
      <w:r>
        <w:rPr>
          <w:rFonts w:hint="eastAsia" w:ascii="Arial" w:hAnsi="Arial"/>
          <w:color w:val="auto"/>
        </w:rPr>
        <w:t>自行前往</w:t>
      </w:r>
    </w:p>
    <w:p>
      <w:pPr>
        <w:pageBreakBefore w:val="0"/>
        <w:numPr>
          <w:ilvl w:val="0"/>
          <w:numId w:val="11"/>
        </w:numPr>
        <w:kinsoku/>
        <w:wordWrap/>
        <w:overflowPunct/>
        <w:topLinePunct w:val="0"/>
        <w:autoSpaceDE/>
        <w:autoSpaceDN/>
        <w:bidi w:val="0"/>
        <w:adjustRightInd/>
        <w:spacing w:line="400" w:lineRule="exact"/>
        <w:textAlignment w:val="auto"/>
        <w:rPr>
          <w:rFonts w:ascii="宋体" w:hAnsi="宋体"/>
          <w:b/>
          <w:color w:val="auto"/>
          <w:sz w:val="24"/>
        </w:rPr>
      </w:pPr>
      <w:r>
        <w:rPr>
          <w:rFonts w:hint="eastAsia" w:ascii="宋体" w:hAnsi="宋体"/>
          <w:b/>
          <w:color w:val="auto"/>
          <w:sz w:val="24"/>
        </w:rPr>
        <w:t>磋商委托</w:t>
      </w:r>
    </w:p>
    <w:p>
      <w:pPr>
        <w:pageBreakBefore w:val="0"/>
        <w:numPr>
          <w:ilvl w:val="1"/>
          <w:numId w:val="11"/>
        </w:numPr>
        <w:kinsoku/>
        <w:wordWrap/>
        <w:overflowPunct/>
        <w:topLinePunct w:val="0"/>
        <w:autoSpaceDE/>
        <w:autoSpaceDN/>
        <w:bidi w:val="0"/>
        <w:adjustRightInd/>
        <w:spacing w:line="400" w:lineRule="exact"/>
        <w:textAlignment w:val="auto"/>
        <w:rPr>
          <w:rFonts w:ascii="宋体" w:hAnsi="宋体"/>
          <w:color w:val="auto"/>
        </w:rPr>
      </w:pPr>
      <w:r>
        <w:rPr>
          <w:rFonts w:hint="eastAsia" w:ascii="宋体" w:hAnsi="宋体"/>
          <w:color w:val="auto"/>
        </w:rPr>
        <w:t>如磋商供应商代表不是法定代表人，须持有《法定代表人授权委托书》。</w:t>
      </w:r>
      <w:r>
        <w:rPr>
          <w:rFonts w:hint="eastAsia" w:ascii="宋体" w:hAnsi="宋体"/>
          <w:b/>
          <w:color w:val="auto"/>
        </w:rPr>
        <w:t>授权委托书需具备以下几项条件：</w:t>
      </w:r>
    </w:p>
    <w:p>
      <w:pPr>
        <w:pageBreakBefore w:val="0"/>
        <w:kinsoku/>
        <w:wordWrap/>
        <w:overflowPunct/>
        <w:topLinePunct w:val="0"/>
        <w:autoSpaceDE/>
        <w:autoSpaceDN/>
        <w:bidi w:val="0"/>
        <w:adjustRightInd/>
        <w:spacing w:line="400" w:lineRule="exact"/>
        <w:ind w:left="840" w:leftChars="400"/>
        <w:textAlignment w:val="auto"/>
        <w:rPr>
          <w:rFonts w:ascii="宋体" w:hAnsi="宋体"/>
          <w:color w:val="auto"/>
        </w:rPr>
      </w:pPr>
      <w:r>
        <w:rPr>
          <w:rFonts w:hint="eastAsia" w:ascii="宋体" w:hAnsi="宋体"/>
          <w:color w:val="auto"/>
        </w:rPr>
        <w:t>a.加盖单位公章</w:t>
      </w:r>
    </w:p>
    <w:p>
      <w:pPr>
        <w:pageBreakBefore w:val="0"/>
        <w:kinsoku/>
        <w:wordWrap/>
        <w:overflowPunct/>
        <w:topLinePunct w:val="0"/>
        <w:autoSpaceDE/>
        <w:autoSpaceDN/>
        <w:bidi w:val="0"/>
        <w:adjustRightInd/>
        <w:spacing w:line="400" w:lineRule="exact"/>
        <w:ind w:left="840" w:leftChars="400"/>
        <w:textAlignment w:val="auto"/>
        <w:rPr>
          <w:rFonts w:ascii="宋体" w:hAnsi="宋体"/>
          <w:color w:val="auto"/>
        </w:rPr>
      </w:pPr>
      <w:r>
        <w:rPr>
          <w:rFonts w:hint="eastAsia" w:ascii="宋体" w:hAnsi="宋体"/>
          <w:color w:val="auto"/>
        </w:rPr>
        <w:t>b.法定代表人签字或盖章</w:t>
      </w:r>
    </w:p>
    <w:p>
      <w:pPr>
        <w:pageBreakBefore w:val="0"/>
        <w:kinsoku/>
        <w:wordWrap/>
        <w:overflowPunct/>
        <w:topLinePunct w:val="0"/>
        <w:autoSpaceDE/>
        <w:autoSpaceDN/>
        <w:bidi w:val="0"/>
        <w:adjustRightInd/>
        <w:spacing w:line="400" w:lineRule="exact"/>
        <w:ind w:left="840" w:leftChars="400"/>
        <w:textAlignment w:val="auto"/>
        <w:rPr>
          <w:rFonts w:ascii="宋体" w:hAnsi="宋体"/>
          <w:color w:val="auto"/>
        </w:rPr>
      </w:pPr>
      <w:r>
        <w:rPr>
          <w:rFonts w:hint="eastAsia" w:ascii="宋体" w:hAnsi="宋体"/>
          <w:color w:val="auto"/>
        </w:rPr>
        <w:t>C.授权代表身份证件。</w:t>
      </w:r>
    </w:p>
    <w:p>
      <w:pPr>
        <w:pStyle w:val="6"/>
        <w:pageBreakBefore w:val="0"/>
        <w:kinsoku/>
        <w:wordWrap/>
        <w:overflowPunct/>
        <w:topLinePunct w:val="0"/>
        <w:autoSpaceDE/>
        <w:autoSpaceDN/>
        <w:bidi w:val="0"/>
        <w:adjustRightInd/>
        <w:spacing w:before="0" w:after="0" w:line="400" w:lineRule="exact"/>
        <w:jc w:val="center"/>
        <w:textAlignment w:val="auto"/>
        <w:rPr>
          <w:color w:val="auto"/>
          <w:sz w:val="24"/>
          <w:szCs w:val="24"/>
        </w:rPr>
      </w:pPr>
      <w:bookmarkStart w:id="18" w:name="_Toc18067418"/>
      <w:bookmarkStart w:id="19" w:name="_Toc22813"/>
      <w:r>
        <w:rPr>
          <w:rFonts w:hint="eastAsia"/>
          <w:color w:val="auto"/>
          <w:sz w:val="24"/>
          <w:szCs w:val="24"/>
        </w:rPr>
        <w:t>（三）磋商文件说明</w:t>
      </w:r>
      <w:bookmarkEnd w:id="18"/>
      <w:bookmarkEnd w:id="19"/>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磋商文件构成</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color w:val="auto"/>
          <w:szCs w:val="21"/>
        </w:rPr>
        <w:t>磋商文件是用以阐明所需服务，以及竞争性磋商、磋商程序和相应的合同条款。“磋商文件”由下述部分组成：</w:t>
      </w:r>
    </w:p>
    <w:p>
      <w:pPr>
        <w:pageBreakBefore w:val="0"/>
        <w:kinsoku/>
        <w:wordWrap/>
        <w:overflowPunct/>
        <w:topLinePunct w:val="0"/>
        <w:autoSpaceDE/>
        <w:autoSpaceDN/>
        <w:bidi w:val="0"/>
        <w:adjustRightInd/>
        <w:snapToGrid w:val="0"/>
        <w:spacing w:line="400" w:lineRule="exact"/>
        <w:ind w:left="840" w:leftChars="400"/>
        <w:jc w:val="both"/>
        <w:textAlignment w:val="auto"/>
        <w:rPr>
          <w:color w:val="auto"/>
          <w:szCs w:val="21"/>
        </w:rPr>
      </w:pPr>
      <w:r>
        <w:rPr>
          <w:rFonts w:hint="eastAsia"/>
          <w:color w:val="auto"/>
          <w:szCs w:val="21"/>
        </w:rPr>
        <w:t>第一部分  采购公告</w:t>
      </w:r>
    </w:p>
    <w:p>
      <w:pPr>
        <w:pageBreakBefore w:val="0"/>
        <w:kinsoku/>
        <w:wordWrap/>
        <w:overflowPunct/>
        <w:topLinePunct w:val="0"/>
        <w:autoSpaceDE/>
        <w:autoSpaceDN/>
        <w:bidi w:val="0"/>
        <w:adjustRightInd/>
        <w:snapToGrid w:val="0"/>
        <w:spacing w:line="400" w:lineRule="exact"/>
        <w:ind w:left="840" w:leftChars="400"/>
        <w:jc w:val="both"/>
        <w:textAlignment w:val="auto"/>
        <w:rPr>
          <w:color w:val="auto"/>
          <w:szCs w:val="21"/>
        </w:rPr>
      </w:pPr>
      <w:r>
        <w:rPr>
          <w:rFonts w:hint="eastAsia"/>
          <w:color w:val="auto"/>
          <w:szCs w:val="21"/>
        </w:rPr>
        <w:t>第二部分  磋商供应商须知</w:t>
      </w:r>
    </w:p>
    <w:p>
      <w:pPr>
        <w:pageBreakBefore w:val="0"/>
        <w:kinsoku/>
        <w:wordWrap/>
        <w:overflowPunct/>
        <w:topLinePunct w:val="0"/>
        <w:autoSpaceDE/>
        <w:autoSpaceDN/>
        <w:bidi w:val="0"/>
        <w:adjustRightInd/>
        <w:snapToGrid w:val="0"/>
        <w:spacing w:line="400" w:lineRule="exact"/>
        <w:ind w:left="840" w:leftChars="400"/>
        <w:jc w:val="both"/>
        <w:textAlignment w:val="auto"/>
        <w:rPr>
          <w:color w:val="auto"/>
          <w:szCs w:val="21"/>
        </w:rPr>
      </w:pPr>
      <w:r>
        <w:rPr>
          <w:rFonts w:hint="eastAsia"/>
          <w:color w:val="auto"/>
          <w:szCs w:val="21"/>
        </w:rPr>
        <w:t>第三部分  竞争性磋商服务内容及要求</w:t>
      </w:r>
    </w:p>
    <w:p>
      <w:pPr>
        <w:pageBreakBefore w:val="0"/>
        <w:kinsoku/>
        <w:wordWrap/>
        <w:overflowPunct/>
        <w:topLinePunct w:val="0"/>
        <w:autoSpaceDE/>
        <w:autoSpaceDN/>
        <w:bidi w:val="0"/>
        <w:adjustRightInd/>
        <w:snapToGrid w:val="0"/>
        <w:spacing w:line="400" w:lineRule="exact"/>
        <w:ind w:left="840" w:leftChars="400"/>
        <w:jc w:val="both"/>
        <w:textAlignment w:val="auto"/>
        <w:rPr>
          <w:color w:val="auto"/>
          <w:szCs w:val="21"/>
        </w:rPr>
      </w:pPr>
      <w:r>
        <w:rPr>
          <w:rFonts w:hint="eastAsia"/>
          <w:color w:val="auto"/>
          <w:szCs w:val="21"/>
        </w:rPr>
        <w:t>第四部分  合同条款</w:t>
      </w:r>
    </w:p>
    <w:p>
      <w:pPr>
        <w:pageBreakBefore w:val="0"/>
        <w:kinsoku/>
        <w:wordWrap/>
        <w:overflowPunct/>
        <w:topLinePunct w:val="0"/>
        <w:autoSpaceDE/>
        <w:autoSpaceDN/>
        <w:bidi w:val="0"/>
        <w:adjustRightInd/>
        <w:snapToGrid w:val="0"/>
        <w:spacing w:line="400" w:lineRule="exact"/>
        <w:ind w:left="840" w:leftChars="400"/>
        <w:jc w:val="both"/>
        <w:textAlignment w:val="auto"/>
        <w:rPr>
          <w:color w:val="auto"/>
          <w:szCs w:val="21"/>
        </w:rPr>
      </w:pPr>
      <w:r>
        <w:rPr>
          <w:rFonts w:hint="eastAsia"/>
          <w:color w:val="auto"/>
          <w:szCs w:val="21"/>
        </w:rPr>
        <w:t>第五部分  磋商响应文件格式</w:t>
      </w:r>
    </w:p>
    <w:p>
      <w:pPr>
        <w:pageBreakBefore w:val="0"/>
        <w:kinsoku/>
        <w:wordWrap/>
        <w:overflowPunct/>
        <w:topLinePunct w:val="0"/>
        <w:autoSpaceDE/>
        <w:autoSpaceDN/>
        <w:bidi w:val="0"/>
        <w:adjustRightInd/>
        <w:snapToGrid w:val="0"/>
        <w:spacing w:line="400" w:lineRule="exact"/>
        <w:ind w:left="840" w:leftChars="400"/>
        <w:jc w:val="both"/>
        <w:textAlignment w:val="auto"/>
        <w:rPr>
          <w:color w:val="auto"/>
          <w:szCs w:val="21"/>
        </w:rPr>
      </w:pPr>
      <w:r>
        <w:rPr>
          <w:rFonts w:hint="eastAsia"/>
          <w:color w:val="auto"/>
          <w:szCs w:val="21"/>
        </w:rPr>
        <w:t>第六部分  评定办法</w:t>
      </w:r>
    </w:p>
    <w:p>
      <w:pPr>
        <w:pageBreakBefore w:val="0"/>
        <w:kinsoku/>
        <w:wordWrap/>
        <w:overflowPunct/>
        <w:topLinePunct w:val="0"/>
        <w:autoSpaceDE/>
        <w:autoSpaceDN/>
        <w:bidi w:val="0"/>
        <w:adjustRightInd/>
        <w:snapToGrid w:val="0"/>
        <w:spacing w:line="400" w:lineRule="exact"/>
        <w:ind w:left="840" w:leftChars="400"/>
        <w:jc w:val="both"/>
        <w:textAlignment w:val="auto"/>
        <w:rPr>
          <w:color w:val="auto"/>
          <w:szCs w:val="21"/>
        </w:rPr>
      </w:pPr>
      <w:r>
        <w:rPr>
          <w:rFonts w:hint="eastAsia"/>
          <w:color w:val="auto"/>
          <w:szCs w:val="21"/>
        </w:rPr>
        <w:t>第七部分  补充通知及答疑（若有）</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color w:val="auto"/>
          <w:szCs w:val="21"/>
        </w:rPr>
        <w:t>本磋商文件要求磋商供应商作出实质性响应的有关技术和商务条款，将在该条款前以“▲” 醒目标识。</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宋体" w:hAnsi="宋体"/>
          <w:b/>
          <w:color w:val="auto"/>
          <w:sz w:val="24"/>
        </w:rPr>
        <w:t>磋商文件的澄清或修改</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ascii="宋体" w:hAnsi="宋体"/>
          <w:color w:val="auto"/>
        </w:rPr>
        <w:t>提交首次响应文件截止之日前，</w:t>
      </w:r>
      <w:r>
        <w:rPr>
          <w:rFonts w:hint="eastAsia" w:ascii="宋体" w:hAnsi="宋体" w:cs="宋体"/>
          <w:color w:val="auto"/>
          <w:szCs w:val="21"/>
        </w:rPr>
        <w:t>采购人或者采购代理机构可以对已发出的磋商文件进行必要的澄清</w:t>
      </w:r>
      <w:r>
        <w:rPr>
          <w:rFonts w:hint="eastAsia" w:ascii="宋体" w:hAnsi="宋体"/>
          <w:color w:val="auto"/>
        </w:rPr>
        <w:t>或者修改；澄清或者修改在</w:t>
      </w:r>
      <w:r>
        <w:rPr>
          <w:rFonts w:hint="eastAsia" w:ascii="宋体" w:hAnsi="宋体"/>
          <w:color w:val="auto"/>
          <w:szCs w:val="21"/>
        </w:rPr>
        <w:t>“浙江省政府采购网”</w:t>
      </w:r>
      <w:r>
        <w:rPr>
          <w:rFonts w:hint="eastAsia" w:ascii="宋体" w:hAnsi="宋体"/>
          <w:color w:val="auto"/>
        </w:rPr>
        <w:t>上发布更正公告，潜在供应商请自行到</w:t>
      </w:r>
      <w:r>
        <w:rPr>
          <w:rFonts w:hint="eastAsia" w:ascii="宋体" w:hAnsi="宋体" w:cs="宋体"/>
          <w:color w:val="auto"/>
        </w:rPr>
        <w:t>政采云平台</w:t>
      </w:r>
      <w:r>
        <w:rPr>
          <w:rFonts w:hint="eastAsia" w:ascii="宋体" w:hAnsi="宋体"/>
          <w:color w:val="auto"/>
        </w:rPr>
        <w:t>下载</w:t>
      </w:r>
      <w:r>
        <w:rPr>
          <w:rFonts w:ascii="宋体" w:hAnsi="宋体"/>
          <w:color w:val="auto"/>
        </w:rPr>
        <w:t>澄清</w:t>
      </w:r>
      <w:r>
        <w:rPr>
          <w:rFonts w:hint="eastAsia" w:ascii="宋体" w:hAnsi="宋体"/>
          <w:color w:val="auto"/>
        </w:rPr>
        <w:t>（更正）</w:t>
      </w:r>
      <w:r>
        <w:rPr>
          <w:rFonts w:ascii="宋体" w:hAnsi="宋体"/>
          <w:color w:val="auto"/>
        </w:rPr>
        <w:t>文件</w:t>
      </w:r>
      <w:r>
        <w:rPr>
          <w:rFonts w:hint="eastAsia" w:ascii="宋体" w:hAnsi="宋体"/>
          <w:color w:val="auto"/>
        </w:rPr>
        <w:t>；澄清（更正）文件是磋商文件的组成部分，供应商应及时查看提醒信息，否则后果自行承担</w:t>
      </w:r>
      <w:r>
        <w:rPr>
          <w:rFonts w:hint="eastAsia"/>
          <w:color w:val="auto"/>
          <w:szCs w:val="21"/>
        </w:rPr>
        <w:t>。</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ascii="宋体" w:hAnsi="宋体" w:cs="宋体"/>
          <w:color w:val="auto"/>
          <w:szCs w:val="21"/>
        </w:rPr>
        <w:t>澄清或者修改的内容可能影响磋商响应文件编制的，采购人或者采购代理机构</w:t>
      </w:r>
      <w:r>
        <w:rPr>
          <w:rFonts w:ascii="宋体" w:hAnsi="宋体" w:cs="宋体"/>
          <w:color w:val="auto"/>
          <w:szCs w:val="21"/>
        </w:rPr>
        <w:t>可酌情推迟磋商响应文件提交截止时间和磋商响应文件开始解密时间</w:t>
      </w:r>
      <w:r>
        <w:rPr>
          <w:rFonts w:hint="eastAsia" w:ascii="宋体" w:hAnsi="宋体" w:cs="宋体"/>
          <w:color w:val="auto"/>
          <w:szCs w:val="21"/>
        </w:rPr>
        <w:t>，并在澄清公告中说明</w:t>
      </w:r>
      <w:r>
        <w:rPr>
          <w:rFonts w:hint="eastAsia"/>
          <w:color w:val="auto"/>
          <w:szCs w:val="21"/>
        </w:rPr>
        <w:t>。</w:t>
      </w:r>
    </w:p>
    <w:p>
      <w:pPr>
        <w:pStyle w:val="6"/>
        <w:pageBreakBefore w:val="0"/>
        <w:kinsoku/>
        <w:wordWrap/>
        <w:overflowPunct/>
        <w:topLinePunct w:val="0"/>
        <w:autoSpaceDE/>
        <w:autoSpaceDN/>
        <w:bidi w:val="0"/>
        <w:adjustRightInd/>
        <w:spacing w:before="0" w:after="0" w:line="400" w:lineRule="exact"/>
        <w:jc w:val="center"/>
        <w:textAlignment w:val="auto"/>
        <w:rPr>
          <w:color w:val="auto"/>
          <w:sz w:val="24"/>
          <w:szCs w:val="24"/>
        </w:rPr>
      </w:pPr>
      <w:bookmarkStart w:id="20" w:name="_Toc18067419"/>
      <w:bookmarkStart w:id="21" w:name="_Toc8233"/>
      <w:r>
        <w:rPr>
          <w:rFonts w:hint="eastAsia"/>
          <w:color w:val="auto"/>
          <w:sz w:val="24"/>
          <w:szCs w:val="24"/>
        </w:rPr>
        <w:t>（四）磋商响应文件的编制</w:t>
      </w:r>
      <w:bookmarkEnd w:id="20"/>
      <w:bookmarkEnd w:id="21"/>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bCs/>
          <w:color w:val="auto"/>
          <w:sz w:val="24"/>
        </w:rPr>
      </w:pPr>
      <w:r>
        <w:rPr>
          <w:rFonts w:hint="eastAsia" w:ascii="宋体" w:hAnsi="宋体"/>
          <w:b/>
          <w:bCs/>
          <w:color w:val="auto"/>
          <w:sz w:val="24"/>
        </w:rPr>
        <w:t>磋商响应</w:t>
      </w:r>
      <w:r>
        <w:rPr>
          <w:rFonts w:ascii="宋体" w:hAnsi="宋体"/>
          <w:b/>
          <w:bCs/>
          <w:color w:val="auto"/>
          <w:sz w:val="24"/>
        </w:rPr>
        <w:t>文件的</w:t>
      </w:r>
      <w:r>
        <w:rPr>
          <w:rFonts w:hint="eastAsia" w:ascii="宋体" w:hAnsi="宋体"/>
          <w:b/>
          <w:bCs/>
          <w:color w:val="auto"/>
          <w:sz w:val="24"/>
        </w:rPr>
        <w:t>说明</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宋体" w:hAnsi="宋体"/>
          <w:color w:val="auto"/>
        </w:rPr>
        <w:t>磋商响应</w:t>
      </w:r>
      <w:r>
        <w:rPr>
          <w:rFonts w:ascii="宋体" w:hAnsi="宋体"/>
          <w:color w:val="auto"/>
        </w:rPr>
        <w:t>文件应字迹清楚、内容齐全、不得涂改。如有修改，修改处须有法定代表人或其</w:t>
      </w:r>
      <w:r>
        <w:rPr>
          <w:rFonts w:hint="eastAsia" w:ascii="宋体" w:hAnsi="宋体"/>
          <w:color w:val="auto"/>
        </w:rPr>
        <w:t>同一</w:t>
      </w:r>
      <w:r>
        <w:rPr>
          <w:rFonts w:ascii="宋体" w:hAnsi="宋体"/>
          <w:color w:val="auto"/>
        </w:rPr>
        <w:t>授权代</w:t>
      </w:r>
      <w:r>
        <w:rPr>
          <w:rFonts w:hint="eastAsia" w:ascii="宋体" w:hAnsi="宋体"/>
          <w:color w:val="auto"/>
        </w:rPr>
        <w:t>表盖章（或签字）</w:t>
      </w:r>
      <w:r>
        <w:rPr>
          <w:rFonts w:ascii="宋体" w:hAnsi="宋体"/>
          <w:color w:val="auto"/>
        </w:rPr>
        <w:t>。</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宋体" w:hAnsi="宋体"/>
          <w:b/>
          <w:bCs/>
          <w:color w:val="auto"/>
          <w:sz w:val="24"/>
          <w:szCs w:val="24"/>
        </w:rPr>
      </w:pPr>
      <w:r>
        <w:rPr>
          <w:rFonts w:hint="eastAsia" w:ascii="宋体" w:hAnsi="宋体"/>
          <w:b/>
          <w:bCs/>
          <w:color w:val="auto"/>
          <w:sz w:val="24"/>
          <w:szCs w:val="24"/>
        </w:rPr>
        <w:t>磋商响应文件的形式</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s="宋体"/>
          <w:bCs/>
          <w:color w:val="auto"/>
          <w:szCs w:val="21"/>
        </w:rPr>
      </w:pPr>
      <w:r>
        <w:rPr>
          <w:rFonts w:hint="eastAsia" w:ascii="宋体" w:hAnsi="宋体" w:cs="宋体"/>
          <w:bCs/>
          <w:color w:val="auto"/>
          <w:szCs w:val="21"/>
        </w:rPr>
        <w:t>供应商通过“政采云电子投标客户端”完成磋商响应文件编制，采用CA数字证书进行电子签章和加密并同时生成内容完全一致的“电子加密响应文件”和“备份响应文件”。</w:t>
      </w:r>
    </w:p>
    <w:p>
      <w:pPr>
        <w:pageBreakBefore w:val="0"/>
        <w:widowControl w:val="0"/>
        <w:numPr>
          <w:ilvl w:val="0"/>
          <w:numId w:val="12"/>
        </w:numPr>
        <w:tabs>
          <w:tab w:val="left" w:pos="420"/>
          <w:tab w:val="clear" w:pos="0"/>
        </w:tabs>
        <w:kinsoku/>
        <w:wordWrap/>
        <w:overflowPunct/>
        <w:topLinePunct w:val="0"/>
        <w:autoSpaceDE/>
        <w:autoSpaceDN/>
        <w:bidi w:val="0"/>
        <w:adjustRightInd/>
        <w:spacing w:line="400" w:lineRule="exact"/>
        <w:ind w:left="397" w:leftChars="189" w:right="105" w:rightChars="50" w:firstLine="21" w:firstLineChars="10"/>
        <w:jc w:val="both"/>
        <w:textAlignment w:val="auto"/>
        <w:rPr>
          <w:rFonts w:ascii="宋体" w:hAnsi="宋体" w:cs="宋体"/>
          <w:bCs/>
          <w:color w:val="auto"/>
          <w:szCs w:val="21"/>
        </w:rPr>
      </w:pPr>
      <w:r>
        <w:rPr>
          <w:rFonts w:hint="eastAsia" w:ascii="宋体" w:hAnsi="宋体" w:cs="宋体"/>
          <w:bCs/>
          <w:color w:val="auto"/>
          <w:szCs w:val="21"/>
        </w:rPr>
        <w:t>电子加密响应文件：指数据电文形式的后缀名.JMBS文件。供应商在磋商响应文件提交截止时间之前将生成的电子加密响应文件上传至政采云平台，供应商未按要求提交的电子加密响应文件，政采云平台将予以拒收。</w:t>
      </w:r>
    </w:p>
    <w:p>
      <w:pPr>
        <w:pageBreakBefore w:val="0"/>
        <w:widowControl w:val="0"/>
        <w:numPr>
          <w:ilvl w:val="0"/>
          <w:numId w:val="12"/>
        </w:numPr>
        <w:tabs>
          <w:tab w:val="left" w:pos="420"/>
          <w:tab w:val="clear" w:pos="0"/>
        </w:tabs>
        <w:kinsoku/>
        <w:wordWrap/>
        <w:overflowPunct/>
        <w:topLinePunct w:val="0"/>
        <w:autoSpaceDE/>
        <w:autoSpaceDN/>
        <w:bidi w:val="0"/>
        <w:adjustRightInd/>
        <w:spacing w:line="400" w:lineRule="exact"/>
        <w:ind w:left="397" w:leftChars="189" w:right="105" w:rightChars="50" w:firstLine="21" w:firstLineChars="10"/>
        <w:jc w:val="both"/>
        <w:textAlignment w:val="auto"/>
        <w:rPr>
          <w:rFonts w:hint="eastAsia" w:ascii="宋体" w:hAnsi="宋体" w:eastAsia="宋体" w:cs="宋体"/>
          <w:bCs/>
          <w:color w:val="auto"/>
          <w:szCs w:val="21"/>
        </w:rPr>
      </w:pPr>
      <w:r>
        <w:rPr>
          <w:rFonts w:hint="eastAsia" w:ascii="宋体" w:hAnsi="宋体" w:eastAsia="宋体" w:cs="宋体"/>
          <w:bCs/>
          <w:color w:val="auto"/>
          <w:szCs w:val="21"/>
        </w:rPr>
        <w:t>备份响应文件：指数据电文形式的后缀名.BFBS文件。在供应商电子加密响应文件解密异常时应急使用。</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宋体" w:hAnsi="宋体"/>
          <w:b/>
          <w:bCs/>
          <w:color w:val="auto"/>
          <w:sz w:val="24"/>
        </w:rPr>
      </w:pPr>
      <w:r>
        <w:rPr>
          <w:rFonts w:hint="eastAsia" w:ascii="宋体" w:hAnsi="宋体"/>
          <w:b/>
          <w:bCs/>
          <w:color w:val="auto"/>
          <w:sz w:val="24"/>
        </w:rPr>
        <w:t>磋商响应文件的组成</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楷体_GB2312" w:eastAsia="楷体_GB2312"/>
          <w:color w:val="auto"/>
          <w:sz w:val="24"/>
        </w:rPr>
      </w:pPr>
      <w:r>
        <w:rPr>
          <w:rFonts w:hint="eastAsia" w:ascii="宋体" w:hAnsi="宋体"/>
          <w:color w:val="auto"/>
        </w:rPr>
        <w:t>磋商响应文件应包括“资格文件”、“商务技术响应文件”和“报价要求响应文件”三部分</w:t>
      </w:r>
      <w:r>
        <w:rPr>
          <w:rFonts w:hint="eastAsia" w:ascii="Arial" w:hAnsi="Arial"/>
          <w:color w:val="auto"/>
        </w:rPr>
        <w:t>：</w:t>
      </w:r>
      <w:r>
        <w:rPr>
          <w:rFonts w:hint="eastAsia" w:ascii="楷体_GB2312" w:eastAsia="楷体_GB2312"/>
          <w:color w:val="auto"/>
          <w:sz w:val="24"/>
        </w:rPr>
        <w:t xml:space="preserve"> </w:t>
      </w:r>
    </w:p>
    <w:p>
      <w:pPr>
        <w:pStyle w:val="55"/>
        <w:pageBreakBefore w:val="0"/>
        <w:kinsoku/>
        <w:wordWrap/>
        <w:overflowPunct/>
        <w:topLinePunct w:val="0"/>
        <w:autoSpaceDE/>
        <w:autoSpaceDN/>
        <w:bidi w:val="0"/>
        <w:adjustRightInd/>
        <w:spacing w:line="400" w:lineRule="exact"/>
        <w:textAlignment w:val="auto"/>
        <w:rPr>
          <w:rFonts w:ascii="Calibri" w:hAnsi="Calibri"/>
          <w:b/>
          <w:bCs/>
          <w:color w:val="auto"/>
          <w:kern w:val="0"/>
        </w:rPr>
      </w:pPr>
      <w:r>
        <w:rPr>
          <w:rFonts w:hint="eastAsia" w:ascii="Calibri" w:hAnsi="Calibri"/>
          <w:b/>
          <w:bCs/>
          <w:color w:val="auto"/>
          <w:kern w:val="0"/>
        </w:rPr>
        <w:t>一、资格</w:t>
      </w:r>
      <w:r>
        <w:rPr>
          <w:rFonts w:hint="eastAsia"/>
          <w:b/>
          <w:bCs/>
          <w:color w:val="auto"/>
          <w:kern w:val="0"/>
        </w:rPr>
        <w:t>响应</w:t>
      </w:r>
      <w:r>
        <w:rPr>
          <w:rFonts w:hint="eastAsia" w:ascii="Calibri" w:hAnsi="Calibri"/>
          <w:b/>
          <w:bCs/>
          <w:color w:val="auto"/>
          <w:kern w:val="0"/>
        </w:rPr>
        <w:t>部分</w:t>
      </w:r>
    </w:p>
    <w:p>
      <w:pPr>
        <w:pStyle w:val="55"/>
        <w:pageBreakBefore w:val="0"/>
        <w:kinsoku/>
        <w:wordWrap/>
        <w:overflowPunct/>
        <w:topLinePunct w:val="0"/>
        <w:autoSpaceDE/>
        <w:autoSpaceDN/>
        <w:bidi w:val="0"/>
        <w:adjustRightInd/>
        <w:spacing w:line="400" w:lineRule="exact"/>
        <w:textAlignment w:val="auto"/>
        <w:rPr>
          <w:b/>
          <w:bCs/>
          <w:color w:val="auto"/>
        </w:rPr>
      </w:pPr>
      <w:r>
        <w:rPr>
          <w:rFonts w:hint="eastAsia"/>
          <w:b/>
          <w:bCs/>
          <w:color w:val="auto"/>
        </w:rPr>
        <w:t>1.1基本资格条件</w:t>
      </w:r>
    </w:p>
    <w:p>
      <w:pPr>
        <w:pageBreakBefore w:val="0"/>
        <w:numPr>
          <w:ilvl w:val="0"/>
          <w:numId w:val="13"/>
        </w:numPr>
        <w:kinsoku/>
        <w:wordWrap/>
        <w:overflowPunct/>
        <w:topLinePunct w:val="0"/>
        <w:autoSpaceDE/>
        <w:autoSpaceDN/>
        <w:bidi w:val="0"/>
        <w:adjustRightInd/>
        <w:snapToGrid w:val="0"/>
        <w:spacing w:line="400" w:lineRule="exact"/>
        <w:ind w:hanging="712"/>
        <w:jc w:val="both"/>
        <w:textAlignment w:val="auto"/>
        <w:rPr>
          <w:rFonts w:ascii="宋体" w:hAnsi="宋体"/>
          <w:color w:val="auto"/>
          <w:szCs w:val="21"/>
        </w:rPr>
      </w:pPr>
      <w:r>
        <w:rPr>
          <w:rFonts w:hint="eastAsia" w:ascii="宋体" w:hAnsi="宋体"/>
          <w:color w:val="auto"/>
          <w:szCs w:val="21"/>
        </w:rPr>
        <w:t>供应商须在磋商响应文件中出具符合以下情况的证明材料（五选一）：</w:t>
      </w:r>
    </w:p>
    <w:p>
      <w:pPr>
        <w:pageBreakBefore w:val="0"/>
        <w:kinsoku/>
        <w:wordWrap/>
        <w:overflowPunct/>
        <w:topLinePunct w:val="0"/>
        <w:autoSpaceDE/>
        <w:autoSpaceDN/>
        <w:bidi w:val="0"/>
        <w:adjustRightInd/>
        <w:snapToGrid w:val="0"/>
        <w:spacing w:line="400" w:lineRule="exact"/>
        <w:ind w:left="840" w:leftChars="400"/>
        <w:jc w:val="both"/>
        <w:textAlignment w:val="auto"/>
        <w:rPr>
          <w:rFonts w:ascii="宋体" w:hAnsi="宋体"/>
          <w:color w:val="auto"/>
          <w:szCs w:val="21"/>
        </w:rPr>
      </w:pPr>
      <w:r>
        <w:rPr>
          <w:rFonts w:hint="eastAsia" w:ascii="宋体" w:hAnsi="宋体"/>
          <w:color w:val="auto"/>
          <w:szCs w:val="21"/>
        </w:rPr>
        <w:t>① 如供应商是企业（包括合伙企业），提供在工商部门注册的有效“企业法人营业执照”或“营业执照”；</w:t>
      </w:r>
    </w:p>
    <w:p>
      <w:pPr>
        <w:pageBreakBefore w:val="0"/>
        <w:kinsoku/>
        <w:wordWrap/>
        <w:overflowPunct/>
        <w:topLinePunct w:val="0"/>
        <w:autoSpaceDE/>
        <w:autoSpaceDN/>
        <w:bidi w:val="0"/>
        <w:adjustRightInd/>
        <w:snapToGrid w:val="0"/>
        <w:spacing w:line="400" w:lineRule="exact"/>
        <w:ind w:left="840" w:leftChars="400"/>
        <w:jc w:val="both"/>
        <w:textAlignment w:val="auto"/>
        <w:rPr>
          <w:rFonts w:ascii="宋体" w:hAnsi="宋体"/>
          <w:color w:val="auto"/>
          <w:szCs w:val="21"/>
        </w:rPr>
      </w:pPr>
      <w:r>
        <w:rPr>
          <w:rFonts w:hint="eastAsia" w:ascii="宋体" w:hAnsi="宋体"/>
          <w:color w:val="auto"/>
          <w:szCs w:val="21"/>
        </w:rPr>
        <w:t>② 如供应商是事业单位，提供有效的“事业单位法人证书”；</w:t>
      </w:r>
    </w:p>
    <w:p>
      <w:pPr>
        <w:pageBreakBefore w:val="0"/>
        <w:kinsoku/>
        <w:wordWrap/>
        <w:overflowPunct/>
        <w:topLinePunct w:val="0"/>
        <w:autoSpaceDE/>
        <w:autoSpaceDN/>
        <w:bidi w:val="0"/>
        <w:adjustRightInd/>
        <w:snapToGrid w:val="0"/>
        <w:spacing w:line="400" w:lineRule="exact"/>
        <w:ind w:left="840" w:leftChars="400"/>
        <w:jc w:val="both"/>
        <w:textAlignment w:val="auto"/>
        <w:rPr>
          <w:rFonts w:ascii="宋体" w:hAnsi="宋体"/>
          <w:color w:val="auto"/>
          <w:szCs w:val="21"/>
        </w:rPr>
      </w:pPr>
      <w:r>
        <w:rPr>
          <w:rFonts w:hint="eastAsia" w:ascii="宋体" w:hAnsi="宋体"/>
          <w:color w:val="auto"/>
          <w:szCs w:val="21"/>
        </w:rPr>
        <w:t>③ 如供应商是非企业专业服务机构的，提供执业许可证等证明文件；</w:t>
      </w:r>
    </w:p>
    <w:p>
      <w:pPr>
        <w:pageBreakBefore w:val="0"/>
        <w:kinsoku/>
        <w:wordWrap/>
        <w:overflowPunct/>
        <w:topLinePunct w:val="0"/>
        <w:autoSpaceDE/>
        <w:autoSpaceDN/>
        <w:bidi w:val="0"/>
        <w:adjustRightInd/>
        <w:snapToGrid w:val="0"/>
        <w:spacing w:line="400" w:lineRule="exact"/>
        <w:ind w:left="840" w:leftChars="400"/>
        <w:jc w:val="both"/>
        <w:textAlignment w:val="auto"/>
        <w:rPr>
          <w:rFonts w:ascii="宋体" w:hAnsi="宋体"/>
          <w:color w:val="auto"/>
          <w:szCs w:val="21"/>
        </w:rPr>
      </w:pPr>
      <w:r>
        <w:rPr>
          <w:rFonts w:hint="eastAsia" w:ascii="宋体" w:hAnsi="宋体"/>
          <w:color w:val="auto"/>
          <w:szCs w:val="21"/>
        </w:rPr>
        <w:t>④ 如供应商是个体工商户，提供有效的“个体工商户营业执照”；</w:t>
      </w:r>
    </w:p>
    <w:p>
      <w:pPr>
        <w:pageBreakBefore w:val="0"/>
        <w:kinsoku/>
        <w:wordWrap/>
        <w:overflowPunct/>
        <w:topLinePunct w:val="0"/>
        <w:autoSpaceDE/>
        <w:autoSpaceDN/>
        <w:bidi w:val="0"/>
        <w:adjustRightInd/>
        <w:snapToGrid w:val="0"/>
        <w:spacing w:line="400" w:lineRule="exact"/>
        <w:ind w:left="840" w:leftChars="400"/>
        <w:jc w:val="both"/>
        <w:textAlignment w:val="auto"/>
        <w:rPr>
          <w:rFonts w:ascii="宋体" w:hAnsi="宋体"/>
          <w:color w:val="auto"/>
          <w:szCs w:val="21"/>
        </w:rPr>
      </w:pPr>
      <w:r>
        <w:rPr>
          <w:rFonts w:hint="eastAsia" w:ascii="宋体" w:hAnsi="宋体"/>
          <w:color w:val="auto"/>
          <w:szCs w:val="21"/>
        </w:rPr>
        <w:t>⑤ 如供应商是自然人，提供有效的自然人身份证明（居民身份证正反面或公安机关出具的临时居民身份证正反面或港澳台胞证或证照）；</w:t>
      </w:r>
    </w:p>
    <w:p>
      <w:pPr>
        <w:pageBreakBefore w:val="0"/>
        <w:numPr>
          <w:ilvl w:val="0"/>
          <w:numId w:val="13"/>
        </w:numPr>
        <w:kinsoku/>
        <w:wordWrap/>
        <w:overflowPunct/>
        <w:topLinePunct w:val="0"/>
        <w:autoSpaceDE/>
        <w:autoSpaceDN/>
        <w:bidi w:val="0"/>
        <w:adjustRightInd/>
        <w:snapToGrid w:val="0"/>
        <w:spacing w:line="400" w:lineRule="exact"/>
        <w:ind w:hanging="712"/>
        <w:jc w:val="both"/>
        <w:textAlignment w:val="auto"/>
        <w:rPr>
          <w:rFonts w:ascii="宋体" w:hAnsi="宋体"/>
          <w:color w:val="auto"/>
          <w:szCs w:val="21"/>
        </w:rPr>
      </w:pPr>
      <w:r>
        <w:rPr>
          <w:rFonts w:hint="eastAsia" w:ascii="宋体" w:hAnsi="宋体"/>
          <w:color w:val="auto"/>
          <w:szCs w:val="21"/>
        </w:rPr>
        <w:t>关于《中华人民共和国政府采购法》第二十二条规定的承诺函；</w:t>
      </w:r>
    </w:p>
    <w:p>
      <w:pPr>
        <w:pageBreakBefore w:val="0"/>
        <w:kinsoku/>
        <w:wordWrap/>
        <w:overflowPunct/>
        <w:topLinePunct w:val="0"/>
        <w:autoSpaceDE/>
        <w:autoSpaceDN/>
        <w:bidi w:val="0"/>
        <w:adjustRightInd/>
        <w:snapToGrid w:val="0"/>
        <w:spacing w:line="400" w:lineRule="exact"/>
        <w:ind w:left="1138"/>
        <w:jc w:val="both"/>
        <w:textAlignment w:val="auto"/>
        <w:rPr>
          <w:rFonts w:ascii="宋体" w:hAnsi="宋体"/>
          <w:color w:val="auto"/>
          <w:szCs w:val="21"/>
        </w:rPr>
      </w:pPr>
      <w:r>
        <w:rPr>
          <w:rFonts w:hint="eastAsia" w:ascii="宋体" w:hAnsi="宋体"/>
          <w:color w:val="auto"/>
          <w:szCs w:val="21"/>
        </w:rPr>
        <w:t xml:space="preserve">                                               （见第五部分附件一）</w:t>
      </w:r>
    </w:p>
    <w:p>
      <w:pPr>
        <w:pStyle w:val="55"/>
        <w:pageBreakBefore w:val="0"/>
        <w:kinsoku/>
        <w:wordWrap/>
        <w:overflowPunct/>
        <w:topLinePunct w:val="0"/>
        <w:autoSpaceDE/>
        <w:autoSpaceDN/>
        <w:bidi w:val="0"/>
        <w:adjustRightInd/>
        <w:spacing w:line="400" w:lineRule="exact"/>
        <w:textAlignment w:val="auto"/>
        <w:rPr>
          <w:b/>
          <w:bCs/>
          <w:color w:val="auto"/>
        </w:rPr>
      </w:pPr>
      <w:r>
        <w:rPr>
          <w:rFonts w:hint="eastAsia"/>
          <w:b/>
          <w:bCs/>
          <w:color w:val="auto"/>
        </w:rPr>
        <w:t>1.2特定资格条件</w:t>
      </w:r>
    </w:p>
    <w:p>
      <w:pPr>
        <w:pageBreakBefore w:val="0"/>
        <w:numPr>
          <w:ilvl w:val="0"/>
          <w:numId w:val="14"/>
        </w:numPr>
        <w:kinsoku/>
        <w:wordWrap/>
        <w:overflowPunct/>
        <w:topLinePunct w:val="0"/>
        <w:autoSpaceDE/>
        <w:autoSpaceDN/>
        <w:bidi w:val="0"/>
        <w:adjustRightInd/>
        <w:snapToGrid w:val="0"/>
        <w:spacing w:line="400" w:lineRule="exact"/>
        <w:ind w:hanging="712"/>
        <w:jc w:val="both"/>
        <w:textAlignment w:val="auto"/>
        <w:rPr>
          <w:color w:val="auto"/>
          <w:szCs w:val="21"/>
        </w:rPr>
      </w:pPr>
      <w:r>
        <w:rPr>
          <w:rFonts w:hint="eastAsia" w:ascii="宋体" w:hAnsi="宋体" w:cs="宋体"/>
          <w:b/>
          <w:color w:val="auto"/>
          <w:szCs w:val="21"/>
        </w:rPr>
        <w:t>无。</w:t>
      </w:r>
    </w:p>
    <w:p>
      <w:pPr>
        <w:pStyle w:val="3"/>
        <w:pageBreakBefore w:val="0"/>
        <w:kinsoku/>
        <w:wordWrap/>
        <w:overflowPunct/>
        <w:topLinePunct w:val="0"/>
        <w:autoSpaceDE/>
        <w:autoSpaceDN/>
        <w:bidi w:val="0"/>
        <w:adjustRightInd/>
        <w:spacing w:line="400" w:lineRule="exact"/>
        <w:textAlignment w:val="auto"/>
        <w:rPr>
          <w:rFonts w:hint="eastAsia" w:ascii="Calibri" w:hAnsi="Calibri" w:eastAsia="宋体"/>
          <w:b/>
          <w:bCs/>
          <w:color w:val="auto"/>
          <w:kern w:val="0"/>
          <w:sz w:val="21"/>
          <w:szCs w:val="21"/>
          <w:lang w:eastAsia="zh-CN"/>
        </w:rPr>
      </w:pPr>
      <w:r>
        <w:rPr>
          <w:rFonts w:hint="eastAsia" w:ascii="Calibri" w:hAnsi="Calibri" w:eastAsia="宋体"/>
          <w:b/>
          <w:bCs/>
          <w:color w:val="auto"/>
          <w:kern w:val="0"/>
          <w:sz w:val="21"/>
          <w:szCs w:val="21"/>
        </w:rPr>
        <w:t>二、技术响应部分</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新宋体" w:hAnsi="新宋体" w:eastAsia="新宋体"/>
          <w:color w:val="auto"/>
          <w:szCs w:val="21"/>
        </w:rPr>
        <w:t>法定代表人授权委托书</w:t>
      </w:r>
      <w:r>
        <w:rPr>
          <w:rFonts w:hint="eastAsia" w:ascii="宋体" w:hAnsi="宋体"/>
          <w:color w:val="auto"/>
        </w:rPr>
        <w:t>（如有）</w:t>
      </w:r>
      <w:r>
        <w:rPr>
          <w:rFonts w:hint="eastAsia" w:ascii="新宋体" w:hAnsi="新宋体" w:eastAsia="新宋体"/>
          <w:color w:val="auto"/>
          <w:szCs w:val="21"/>
        </w:rPr>
        <w:t>；                    （见第五部分附件二）</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宋体" w:hAnsi="宋体" w:cs="宋体"/>
          <w:color w:val="auto"/>
          <w:szCs w:val="21"/>
        </w:rPr>
        <w:t xml:space="preserve">磋商函；                                          </w:t>
      </w:r>
      <w:r>
        <w:rPr>
          <w:rFonts w:hint="eastAsia" w:ascii="新宋体" w:hAnsi="新宋体" w:eastAsia="新宋体"/>
          <w:color w:val="auto"/>
          <w:szCs w:val="21"/>
        </w:rPr>
        <w:t>（见第五部分附件三）</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新宋体" w:hAnsi="新宋体" w:eastAsia="新宋体"/>
          <w:color w:val="auto"/>
          <w:szCs w:val="21"/>
        </w:rPr>
        <w:t xml:space="preserve">磋商供应商简介；                                          （格式自拟）                 </w:t>
      </w:r>
    </w:p>
    <w:p>
      <w:pPr>
        <w:pageBreakBefore w:val="0"/>
        <w:numPr>
          <w:ilvl w:val="0"/>
          <w:numId w:val="15"/>
        </w:numPr>
        <w:tabs>
          <w:tab w:val="left" w:pos="567"/>
          <w:tab w:val="clear" w:pos="420"/>
        </w:tabs>
        <w:kinsoku/>
        <w:wordWrap/>
        <w:overflowPunct/>
        <w:topLinePunct w:val="0"/>
        <w:autoSpaceDE/>
        <w:autoSpaceDN/>
        <w:bidi w:val="0"/>
        <w:adjustRightInd/>
        <w:snapToGrid w:val="0"/>
        <w:spacing w:line="400" w:lineRule="exact"/>
        <w:ind w:left="426" w:leftChars="0" w:firstLine="0" w:firstLineChars="0"/>
        <w:jc w:val="both"/>
        <w:textAlignment w:val="auto"/>
        <w:rPr>
          <w:rFonts w:ascii="新宋体" w:hAnsi="新宋体" w:eastAsia="新宋体"/>
          <w:color w:val="auto"/>
          <w:szCs w:val="21"/>
        </w:rPr>
      </w:pPr>
      <w:r>
        <w:rPr>
          <w:rFonts w:hint="eastAsia" w:ascii="新宋体" w:hAnsi="新宋体" w:eastAsia="新宋体"/>
          <w:color w:val="auto"/>
          <w:szCs w:val="21"/>
        </w:rPr>
        <w:t>建议与少量偏离表；                                 （见第五部分附件四）</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新宋体" w:hAnsi="新宋体" w:eastAsia="新宋体"/>
          <w:color w:val="auto"/>
          <w:szCs w:val="21"/>
        </w:rPr>
        <w:t>2018年1月1日以来同类项目业绩一览表；            （见第五部分附件五）</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宋体" w:hAnsi="宋体" w:cs="宋体"/>
          <w:color w:val="auto"/>
          <w:szCs w:val="21"/>
          <w:highlight w:val="none"/>
        </w:rPr>
        <w:t>本项目负责人资格情况表；                           （见第五部分附件</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lang w:eastAsia="zh-CN"/>
        </w:rPr>
        <w:t>）</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宋体" w:hAnsi="宋体" w:cs="宋体"/>
          <w:color w:val="auto"/>
          <w:szCs w:val="21"/>
          <w:highlight w:val="none"/>
        </w:rPr>
        <w:t>本项目服务人员汇总表；                              （见第五部分附件</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宋体" w:hAnsi="宋体" w:cs="宋体"/>
          <w:color w:val="auto"/>
          <w:highlight w:val="none"/>
        </w:rPr>
        <w:t>产品配置及主要技术参数表；                         （见</w:t>
      </w:r>
      <w:r>
        <w:rPr>
          <w:rFonts w:hint="eastAsia" w:ascii="宋体" w:hAnsi="宋体" w:cs="宋体"/>
          <w:color w:val="auto"/>
          <w:szCs w:val="21"/>
          <w:highlight w:val="none"/>
        </w:rPr>
        <w:t>第五部分</w:t>
      </w:r>
      <w:r>
        <w:rPr>
          <w:rFonts w:hint="eastAsia" w:ascii="宋体" w:hAnsi="宋体" w:cs="宋体"/>
          <w:color w:val="auto"/>
          <w:highlight w:val="none"/>
        </w:rPr>
        <w:t>附件</w:t>
      </w:r>
      <w:r>
        <w:rPr>
          <w:rFonts w:hint="eastAsia" w:ascii="宋体" w:hAnsi="宋体" w:cs="宋体"/>
          <w:color w:val="auto"/>
          <w:highlight w:val="none"/>
          <w:lang w:val="en-US" w:eastAsia="zh-CN"/>
        </w:rPr>
        <w:t>八</w:t>
      </w:r>
      <w:r>
        <w:rPr>
          <w:rFonts w:hint="eastAsia" w:ascii="宋体" w:hAnsi="宋体" w:cs="宋体"/>
          <w:color w:val="auto"/>
          <w:highlight w:val="none"/>
        </w:rPr>
        <w:t>）</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宋体" w:hAnsi="宋体" w:cs="宋体"/>
          <w:color w:val="auto"/>
          <w:highlight w:val="none"/>
        </w:rPr>
        <w:t>投标产品详细技术规格书及投标产品的主要技术、配置、性能、特点和质量水平的详细描述及产品样本图册；（如果资料提供不全，可能导致对供应商不利的评定）</w:t>
      </w:r>
      <w:r>
        <w:rPr>
          <w:rFonts w:hint="eastAsia" w:ascii="新宋体" w:hAnsi="新宋体" w:eastAsia="新宋体"/>
          <w:color w:val="auto"/>
          <w:szCs w:val="21"/>
        </w:rPr>
        <w:t xml:space="preserve">                                     </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新宋体" w:hAnsi="新宋体" w:eastAsia="新宋体"/>
          <w:color w:val="auto"/>
          <w:szCs w:val="21"/>
        </w:rPr>
        <w:t>随机备品、备件、专用工具清单；                     （见第五部分附件</w:t>
      </w:r>
      <w:r>
        <w:rPr>
          <w:rFonts w:hint="eastAsia" w:ascii="新宋体" w:hAnsi="新宋体" w:eastAsia="新宋体"/>
          <w:color w:val="auto"/>
          <w:szCs w:val="21"/>
          <w:lang w:val="en-US" w:eastAsia="zh-CN"/>
        </w:rPr>
        <w:t>九</w:t>
      </w:r>
      <w:r>
        <w:rPr>
          <w:rFonts w:hint="eastAsia" w:ascii="新宋体" w:hAnsi="新宋体" w:eastAsia="新宋体"/>
          <w:color w:val="auto"/>
          <w:szCs w:val="21"/>
        </w:rPr>
        <w:t xml:space="preserve">）  </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宋体" w:hAnsi="宋体" w:cs="宋体"/>
          <w:color w:val="auto"/>
          <w:highlight w:val="none"/>
        </w:rPr>
        <w:t xml:space="preserve">设备零件、易损件、备品备件报价表；         </w:t>
      </w:r>
      <w:r>
        <w:rPr>
          <w:rFonts w:hint="eastAsia" w:ascii="宋体" w:hAnsi="宋体" w:cs="宋体"/>
          <w:color w:val="auto"/>
          <w:highlight w:val="none"/>
          <w:lang w:val="en-US" w:eastAsia="zh-CN"/>
        </w:rPr>
        <w:t xml:space="preserve">      </w:t>
      </w:r>
      <w:r>
        <w:rPr>
          <w:rFonts w:hint="eastAsia" w:ascii="宋体" w:hAnsi="宋体" w:cs="宋体"/>
          <w:color w:val="auto"/>
          <w:highlight w:val="none"/>
        </w:rPr>
        <w:t>（见</w:t>
      </w:r>
      <w:r>
        <w:rPr>
          <w:rFonts w:hint="eastAsia" w:ascii="宋体" w:hAnsi="宋体" w:cs="宋体"/>
          <w:color w:val="auto"/>
          <w:szCs w:val="21"/>
          <w:highlight w:val="none"/>
        </w:rPr>
        <w:t>第五部分</w:t>
      </w:r>
      <w:r>
        <w:rPr>
          <w:rFonts w:hint="eastAsia" w:ascii="宋体" w:hAnsi="宋体" w:cs="宋体"/>
          <w:color w:val="auto"/>
          <w:highlight w:val="none"/>
        </w:rPr>
        <w:t>附件十）</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Arial" w:hAnsi="Arial" w:cs="Arial"/>
          <w:color w:val="auto"/>
          <w:szCs w:val="21"/>
          <w:highlight w:val="none"/>
        </w:rPr>
        <w:t>主要设备的选用情况；</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宋体" w:hAnsi="宋体" w:cs="宋体"/>
          <w:color w:val="auto"/>
          <w:szCs w:val="21"/>
          <w:highlight w:val="none"/>
        </w:rPr>
        <w:t>项目实施方案；</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新宋体" w:hAnsi="新宋体" w:eastAsia="新宋体"/>
          <w:color w:val="auto"/>
          <w:szCs w:val="21"/>
          <w:lang w:val="en-US" w:eastAsia="zh-CN"/>
        </w:rPr>
        <w:t>供货及验收方案；</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新宋体" w:hAnsi="新宋体" w:eastAsia="新宋体"/>
          <w:color w:val="auto"/>
          <w:szCs w:val="21"/>
          <w:lang w:val="en-US" w:eastAsia="zh-CN"/>
        </w:rPr>
        <w:t>与主体进度配合方案；</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宋体" w:hAnsi="宋体" w:cs="宋体"/>
          <w:color w:val="auto"/>
          <w:szCs w:val="21"/>
          <w:highlight w:val="none"/>
        </w:rPr>
        <w:t>售后服务承诺及相关保证措施；</w:t>
      </w:r>
    </w:p>
    <w:p>
      <w:pPr>
        <w:pageBreakBefore w:val="0"/>
        <w:numPr>
          <w:ilvl w:val="0"/>
          <w:numId w:val="15"/>
        </w:numPr>
        <w:kinsoku/>
        <w:wordWrap/>
        <w:overflowPunct/>
        <w:topLinePunct w:val="0"/>
        <w:autoSpaceDE/>
        <w:autoSpaceDN/>
        <w:bidi w:val="0"/>
        <w:adjustRightInd/>
        <w:snapToGrid w:val="0"/>
        <w:spacing w:line="400" w:lineRule="exact"/>
        <w:ind w:left="1132" w:leftChars="0" w:hanging="712" w:firstLineChars="0"/>
        <w:jc w:val="both"/>
        <w:textAlignment w:val="auto"/>
        <w:rPr>
          <w:rFonts w:ascii="新宋体" w:hAnsi="新宋体" w:eastAsia="新宋体"/>
          <w:color w:val="auto"/>
          <w:szCs w:val="21"/>
        </w:rPr>
      </w:pPr>
      <w:r>
        <w:rPr>
          <w:rFonts w:hint="eastAsia" w:ascii="新宋体" w:hAnsi="新宋体" w:eastAsia="新宋体"/>
          <w:color w:val="auto"/>
          <w:szCs w:val="21"/>
        </w:rPr>
        <w:t>磋商供应商认为需要提供的文件和资料。</w:t>
      </w:r>
    </w:p>
    <w:p>
      <w:pPr>
        <w:pStyle w:val="3"/>
        <w:pageBreakBefore w:val="0"/>
        <w:kinsoku/>
        <w:wordWrap/>
        <w:overflowPunct/>
        <w:topLinePunct w:val="0"/>
        <w:autoSpaceDE/>
        <w:autoSpaceDN/>
        <w:bidi w:val="0"/>
        <w:adjustRightInd/>
        <w:spacing w:line="400" w:lineRule="exact"/>
        <w:textAlignment w:val="auto"/>
        <w:rPr>
          <w:rFonts w:ascii="Calibri" w:hAnsi="Calibri" w:eastAsia="宋体"/>
          <w:b/>
          <w:bCs/>
          <w:color w:val="auto"/>
          <w:kern w:val="0"/>
          <w:sz w:val="21"/>
          <w:szCs w:val="21"/>
        </w:rPr>
      </w:pPr>
      <w:r>
        <w:rPr>
          <w:rFonts w:hint="eastAsia" w:ascii="Calibri" w:hAnsi="Calibri" w:eastAsia="宋体"/>
          <w:b/>
          <w:bCs/>
          <w:color w:val="auto"/>
          <w:kern w:val="0"/>
          <w:sz w:val="21"/>
          <w:szCs w:val="21"/>
        </w:rPr>
        <w:t>三、报价部分</w:t>
      </w:r>
    </w:p>
    <w:p>
      <w:pPr>
        <w:pageBreakBefore w:val="0"/>
        <w:numPr>
          <w:ilvl w:val="0"/>
          <w:numId w:val="16"/>
        </w:numPr>
        <w:kinsoku/>
        <w:wordWrap/>
        <w:overflowPunct/>
        <w:topLinePunct w:val="0"/>
        <w:autoSpaceDE/>
        <w:autoSpaceDN/>
        <w:bidi w:val="0"/>
        <w:adjustRightInd/>
        <w:snapToGrid w:val="0"/>
        <w:spacing w:line="400" w:lineRule="exact"/>
        <w:ind w:hanging="712"/>
        <w:jc w:val="both"/>
        <w:textAlignment w:val="auto"/>
        <w:rPr>
          <w:rFonts w:ascii="宋体" w:hAnsi="宋体" w:cs="宋体"/>
          <w:color w:val="auto"/>
          <w:szCs w:val="21"/>
        </w:rPr>
      </w:pPr>
      <w:r>
        <w:rPr>
          <w:rFonts w:hint="eastAsia" w:ascii="宋体" w:hAnsi="宋体" w:cs="宋体"/>
          <w:color w:val="auto"/>
          <w:szCs w:val="21"/>
        </w:rPr>
        <w:t xml:space="preserve">报价一览表；                                      </w:t>
      </w:r>
      <w:r>
        <w:rPr>
          <w:rFonts w:hint="eastAsia" w:ascii="宋体" w:hAnsi="宋体"/>
          <w:color w:val="auto"/>
          <w:szCs w:val="21"/>
        </w:rPr>
        <w:t>（见</w:t>
      </w:r>
      <w:r>
        <w:rPr>
          <w:rFonts w:hint="eastAsia"/>
          <w:color w:val="auto"/>
          <w:szCs w:val="21"/>
        </w:rPr>
        <w:t>第五部分</w:t>
      </w:r>
      <w:r>
        <w:rPr>
          <w:rFonts w:hint="eastAsia" w:ascii="宋体" w:hAnsi="宋体"/>
          <w:color w:val="auto"/>
          <w:szCs w:val="21"/>
        </w:rPr>
        <w:t>附件</w:t>
      </w:r>
      <w:r>
        <w:rPr>
          <w:rFonts w:hint="eastAsia" w:ascii="宋体" w:hAnsi="宋体"/>
          <w:color w:val="auto"/>
          <w:szCs w:val="21"/>
          <w:lang w:val="en-US" w:eastAsia="zh-CN"/>
        </w:rPr>
        <w:t>十一</w:t>
      </w:r>
      <w:r>
        <w:rPr>
          <w:rFonts w:hint="eastAsia" w:ascii="宋体" w:hAnsi="宋体"/>
          <w:color w:val="auto"/>
          <w:szCs w:val="21"/>
        </w:rPr>
        <w:t>）</w:t>
      </w:r>
    </w:p>
    <w:p>
      <w:pPr>
        <w:pageBreakBefore w:val="0"/>
        <w:numPr>
          <w:ilvl w:val="0"/>
          <w:numId w:val="16"/>
        </w:numPr>
        <w:kinsoku/>
        <w:wordWrap/>
        <w:overflowPunct/>
        <w:topLinePunct w:val="0"/>
        <w:autoSpaceDE/>
        <w:autoSpaceDN/>
        <w:bidi w:val="0"/>
        <w:adjustRightInd/>
        <w:snapToGrid w:val="0"/>
        <w:spacing w:line="400" w:lineRule="exact"/>
        <w:ind w:hanging="712"/>
        <w:jc w:val="both"/>
        <w:textAlignment w:val="auto"/>
        <w:rPr>
          <w:rFonts w:ascii="宋体" w:hAnsi="宋体" w:cs="宋体"/>
          <w:color w:val="auto"/>
          <w:szCs w:val="21"/>
        </w:rPr>
      </w:pPr>
      <w:r>
        <w:rPr>
          <w:rFonts w:hint="eastAsia" w:ascii="宋体" w:hAnsi="宋体"/>
          <w:color w:val="auto"/>
          <w:szCs w:val="21"/>
          <w:lang w:val="en-US" w:eastAsia="zh-CN"/>
        </w:rPr>
        <w:t xml:space="preserve">报价明细表；                                     </w:t>
      </w:r>
      <w:r>
        <w:rPr>
          <w:rFonts w:hint="eastAsia" w:ascii="宋体" w:hAnsi="宋体" w:cs="宋体"/>
          <w:color w:val="auto"/>
          <w:szCs w:val="21"/>
          <w:highlight w:val="none"/>
        </w:rPr>
        <w:t>（见第五部分附件十</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w:t>
      </w:r>
    </w:p>
    <w:p>
      <w:pPr>
        <w:pageBreakBefore w:val="0"/>
        <w:numPr>
          <w:ilvl w:val="0"/>
          <w:numId w:val="16"/>
        </w:numPr>
        <w:kinsoku/>
        <w:wordWrap/>
        <w:overflowPunct/>
        <w:topLinePunct w:val="0"/>
        <w:autoSpaceDE/>
        <w:autoSpaceDN/>
        <w:bidi w:val="0"/>
        <w:adjustRightInd/>
        <w:snapToGrid w:val="0"/>
        <w:spacing w:line="400" w:lineRule="exact"/>
        <w:ind w:hanging="712"/>
        <w:jc w:val="both"/>
        <w:textAlignment w:val="auto"/>
        <w:rPr>
          <w:rFonts w:ascii="宋体" w:hAnsi="宋体" w:cs="宋体"/>
          <w:color w:val="auto"/>
          <w:szCs w:val="21"/>
        </w:rPr>
      </w:pPr>
      <w:r>
        <w:rPr>
          <w:rFonts w:hint="eastAsia" w:ascii="宋体" w:hAnsi="宋体" w:cs="宋体"/>
          <w:color w:val="auto"/>
          <w:szCs w:val="21"/>
        </w:rPr>
        <w:t>中小企业声明函（如有）；（小微企业投标时适用）    （见第五部分附件</w:t>
      </w:r>
      <w:r>
        <w:rPr>
          <w:rFonts w:hint="eastAsia" w:ascii="宋体" w:hAnsi="宋体" w:cs="宋体"/>
          <w:color w:val="auto"/>
          <w:szCs w:val="21"/>
          <w:lang w:val="en-US" w:eastAsia="zh-CN"/>
        </w:rPr>
        <w:t>十三</w:t>
      </w:r>
      <w:r>
        <w:rPr>
          <w:rFonts w:hint="eastAsia" w:ascii="宋体" w:hAnsi="宋体" w:cs="宋体"/>
          <w:color w:val="auto"/>
          <w:szCs w:val="21"/>
        </w:rPr>
        <w:t>）</w:t>
      </w:r>
    </w:p>
    <w:p>
      <w:pPr>
        <w:pageBreakBefore w:val="0"/>
        <w:numPr>
          <w:ilvl w:val="0"/>
          <w:numId w:val="16"/>
        </w:numPr>
        <w:kinsoku/>
        <w:wordWrap/>
        <w:overflowPunct/>
        <w:topLinePunct w:val="0"/>
        <w:autoSpaceDE/>
        <w:autoSpaceDN/>
        <w:bidi w:val="0"/>
        <w:adjustRightInd/>
        <w:snapToGrid w:val="0"/>
        <w:spacing w:line="400" w:lineRule="exact"/>
        <w:ind w:hanging="712"/>
        <w:jc w:val="both"/>
        <w:textAlignment w:val="auto"/>
        <w:rPr>
          <w:rFonts w:ascii="宋体" w:hAnsi="宋体" w:cs="宋体"/>
          <w:color w:val="auto"/>
          <w:szCs w:val="21"/>
        </w:rPr>
      </w:pPr>
      <w:r>
        <w:rPr>
          <w:rFonts w:hint="eastAsia" w:ascii="宋体" w:hAnsi="宋体" w:cs="宋体"/>
          <w:color w:val="auto"/>
          <w:szCs w:val="21"/>
        </w:rPr>
        <w:t>残疾人福利性单位声明函；（残疾人福利性单位投标时适用）</w:t>
      </w:r>
    </w:p>
    <w:p>
      <w:pPr>
        <w:pageBreakBefore w:val="0"/>
        <w:tabs>
          <w:tab w:val="left" w:pos="420"/>
        </w:tabs>
        <w:kinsoku/>
        <w:wordWrap/>
        <w:overflowPunct/>
        <w:topLinePunct w:val="0"/>
        <w:autoSpaceDE/>
        <w:autoSpaceDN/>
        <w:bidi w:val="0"/>
        <w:adjustRightInd/>
        <w:snapToGrid w:val="0"/>
        <w:spacing w:line="400" w:lineRule="exact"/>
        <w:ind w:firstLine="630" w:firstLineChars="300"/>
        <w:jc w:val="both"/>
        <w:textAlignment w:val="auto"/>
        <w:rPr>
          <w:rFonts w:ascii="宋体" w:hAnsi="宋体" w:cs="宋体"/>
          <w:color w:val="auto"/>
          <w:szCs w:val="21"/>
        </w:rPr>
      </w:pPr>
      <w:r>
        <w:rPr>
          <w:rFonts w:hint="eastAsia" w:ascii="宋体" w:hAnsi="宋体" w:cs="宋体"/>
          <w:color w:val="auto"/>
          <w:szCs w:val="21"/>
        </w:rPr>
        <w:t xml:space="preserve">                                                   </w:t>
      </w:r>
      <w:r>
        <w:rPr>
          <w:rFonts w:hint="eastAsia" w:ascii="Arial" w:hAnsi="宋体" w:cs="Arial"/>
          <w:color w:val="auto"/>
          <w:szCs w:val="22"/>
        </w:rPr>
        <w:t>（见第五部分附件十</w:t>
      </w:r>
      <w:r>
        <w:rPr>
          <w:rFonts w:hint="eastAsia" w:ascii="Arial" w:hAnsi="宋体" w:cs="Arial"/>
          <w:color w:val="auto"/>
          <w:szCs w:val="22"/>
          <w:lang w:val="en-US" w:eastAsia="zh-CN"/>
        </w:rPr>
        <w:t>四</w:t>
      </w:r>
      <w:r>
        <w:rPr>
          <w:rFonts w:hint="eastAsia" w:ascii="Arial" w:hAnsi="宋体" w:cs="Arial"/>
          <w:color w:val="auto"/>
          <w:szCs w:val="22"/>
        </w:rPr>
        <w:t>）</w:t>
      </w:r>
    </w:p>
    <w:p>
      <w:pPr>
        <w:pageBreakBefore w:val="0"/>
        <w:numPr>
          <w:ilvl w:val="0"/>
          <w:numId w:val="16"/>
        </w:numPr>
        <w:tabs>
          <w:tab w:val="clear" w:pos="420"/>
        </w:tabs>
        <w:kinsoku/>
        <w:wordWrap/>
        <w:overflowPunct/>
        <w:topLinePunct w:val="0"/>
        <w:autoSpaceDE/>
        <w:autoSpaceDN/>
        <w:bidi w:val="0"/>
        <w:adjustRightInd/>
        <w:snapToGrid w:val="0"/>
        <w:spacing w:line="400" w:lineRule="exact"/>
        <w:ind w:left="426" w:firstLine="0"/>
        <w:jc w:val="both"/>
        <w:textAlignment w:val="auto"/>
        <w:rPr>
          <w:rFonts w:ascii="Arial" w:hAnsi="宋体" w:cs="Arial"/>
          <w:color w:val="auto"/>
          <w:szCs w:val="22"/>
        </w:rPr>
      </w:pPr>
      <w:r>
        <w:rPr>
          <w:rFonts w:hint="eastAsia" w:ascii="宋体" w:hAnsi="宋体" w:cs="宋体"/>
          <w:color w:val="auto"/>
          <w:szCs w:val="21"/>
        </w:rPr>
        <w:t>省</w:t>
      </w:r>
      <w:r>
        <w:rPr>
          <w:rFonts w:hint="eastAsia" w:ascii="Arial" w:hAnsi="宋体" w:cs="Arial"/>
          <w:color w:val="auto"/>
          <w:szCs w:val="22"/>
        </w:rPr>
        <w:t>级以上监狱管理局、戒毒管理局（含新疆生产建设兵团）出具的属于监狱企业的证明文件（监狱企业投标时适用）；</w:t>
      </w:r>
    </w:p>
    <w:p>
      <w:pPr>
        <w:pageBreakBefore w:val="0"/>
        <w:numPr>
          <w:ilvl w:val="0"/>
          <w:numId w:val="16"/>
        </w:numPr>
        <w:kinsoku/>
        <w:wordWrap/>
        <w:overflowPunct/>
        <w:topLinePunct w:val="0"/>
        <w:autoSpaceDE/>
        <w:autoSpaceDN/>
        <w:bidi w:val="0"/>
        <w:adjustRightInd/>
        <w:snapToGrid w:val="0"/>
        <w:spacing w:line="400" w:lineRule="exact"/>
        <w:ind w:hanging="712"/>
        <w:jc w:val="both"/>
        <w:textAlignment w:val="auto"/>
        <w:rPr>
          <w:b/>
          <w:bCs/>
          <w:color w:val="auto"/>
          <w:szCs w:val="21"/>
        </w:rPr>
      </w:pPr>
      <w:r>
        <w:rPr>
          <w:rFonts w:hint="eastAsia" w:ascii="宋体" w:hAnsi="宋体" w:cs="宋体"/>
          <w:color w:val="auto"/>
          <w:szCs w:val="21"/>
        </w:rPr>
        <w:t>磋商供应商针对报价需要说明的其他文件和说明（如有）；     （格式自拟）</w:t>
      </w:r>
    </w:p>
    <w:p>
      <w:pPr>
        <w:pStyle w:val="17"/>
        <w:pageBreakBefore w:val="0"/>
        <w:kinsoku/>
        <w:wordWrap/>
        <w:overflowPunct/>
        <w:topLinePunct w:val="0"/>
        <w:autoSpaceDE/>
        <w:autoSpaceDN/>
        <w:bidi w:val="0"/>
        <w:adjustRightInd/>
        <w:spacing w:after="0" w:line="400" w:lineRule="exact"/>
        <w:textAlignment w:val="auto"/>
        <w:rPr>
          <w:color w:val="auto"/>
        </w:rPr>
      </w:pPr>
      <w:r>
        <w:rPr>
          <w:rFonts w:hint="eastAsia"/>
          <w:b/>
          <w:color w:val="auto"/>
        </w:rPr>
        <w:t>备注：以上所需的各种证书、证件、证明等须为扫描件并加盖磋商供应商有效的公章，如遇年检或换证等特殊情况须按要求提供相应的证明材料。</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宋体" w:hAnsi="宋体"/>
          <w:b/>
          <w:bCs/>
          <w:color w:val="auto"/>
          <w:sz w:val="24"/>
        </w:rPr>
      </w:pPr>
      <w:r>
        <w:rPr>
          <w:rFonts w:hint="eastAsia" w:ascii="宋体" w:hAnsi="宋体"/>
          <w:b/>
          <w:bCs/>
          <w:color w:val="auto"/>
          <w:sz w:val="24"/>
        </w:rPr>
        <w:t>磋商响应格式填写说明</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宋体" w:hAnsi="宋体"/>
          <w:color w:val="auto"/>
        </w:rPr>
        <w:t>磋商供应商应在认真阅读磋商文件所有内容的基础上，按照磋商文件中</w:t>
      </w:r>
      <w:r>
        <w:rPr>
          <w:rFonts w:hint="eastAsia" w:ascii="宋体" w:hAnsi="宋体"/>
          <w:color w:val="auto"/>
          <w:szCs w:val="22"/>
        </w:rPr>
        <w:t>规定的格式和顺序编制电子加密响应文件</w:t>
      </w:r>
      <w:r>
        <w:rPr>
          <w:rFonts w:hint="eastAsia" w:ascii="宋体" w:hAnsi="宋体"/>
          <w:b/>
          <w:bCs/>
          <w:color w:val="auto"/>
          <w:szCs w:val="22"/>
        </w:rPr>
        <w:t>并进行关联定位</w:t>
      </w:r>
      <w:r>
        <w:rPr>
          <w:rFonts w:hint="eastAsia" w:ascii="宋体" w:hAnsi="宋体"/>
          <w:color w:val="auto"/>
          <w:szCs w:val="22"/>
        </w:rPr>
        <w:t>，混乱的编排或关联导致磋商响应文件被误读或采购人查找不到有效文件是磋商供应商的风险</w:t>
      </w:r>
      <w:r>
        <w:rPr>
          <w:rFonts w:hint="eastAsia" w:ascii="宋体" w:hAnsi="宋体"/>
          <w:color w:val="auto"/>
        </w:rPr>
        <w:t>。</w:t>
      </w:r>
      <w:r>
        <w:rPr>
          <w:rFonts w:hint="eastAsia" w:ascii="宋体" w:hAnsi="宋体" w:cs="新宋体"/>
          <w:color w:val="auto"/>
          <w:sz w:val="22"/>
        </w:rPr>
        <w:t>未提供格式的，请各磋商单位自行拟定格式</w:t>
      </w:r>
      <w:r>
        <w:rPr>
          <w:rFonts w:hint="eastAsia" w:ascii="Arial" w:hAnsi="Arial"/>
          <w:color w:val="auto"/>
        </w:rPr>
        <w:t>。</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新宋体" w:hAnsi="新宋体" w:eastAsia="新宋体" w:cs="新宋体"/>
          <w:color w:val="auto"/>
          <w:sz w:val="22"/>
        </w:rPr>
        <w:t>磋商响应文件内容不完整、编排混乱导致磋商响应文件被误读、漏读或者查找不到相关内容的，由磋商供应商自行负责。</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ascii="Arial" w:hAnsi="宋体" w:cs="Arial"/>
          <w:color w:val="auto"/>
        </w:rPr>
        <w:t>磋商响应文件</w:t>
      </w:r>
      <w:r>
        <w:rPr>
          <w:rFonts w:hint="eastAsia" w:ascii="宋体" w:hAnsi="宋体" w:cs="Arial Unicode MS"/>
          <w:color w:val="auto"/>
        </w:rPr>
        <w:t>须对磋商文件中的内容做出实质性和完整的响应（文中带“▲”标识），否则其投标将被</w:t>
      </w:r>
      <w:r>
        <w:rPr>
          <w:rFonts w:hint="eastAsia" w:ascii="宋体" w:hAnsi="宋体"/>
          <w:color w:val="auto"/>
        </w:rPr>
        <w:t>否决</w:t>
      </w:r>
      <w:r>
        <w:rPr>
          <w:rFonts w:hint="eastAsia" w:ascii="宋体" w:hAnsi="宋体" w:cs="Arial Unicode MS"/>
          <w:color w:val="auto"/>
        </w:rPr>
        <w:t>。如果磋商响应文件填报的内容资料不详，或没有提供磋商文件中所要求的全部资料及数据，将可能会导致评标委员会作出对其不利的判断和分析</w:t>
      </w:r>
      <w:r>
        <w:rPr>
          <w:rFonts w:hint="eastAsia" w:ascii="Arial" w:hAnsi="Arial"/>
          <w:color w:val="auto"/>
        </w:rPr>
        <w:t>。</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磋商有效期</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szCs w:val="21"/>
        </w:rPr>
      </w:pPr>
      <w:r>
        <w:rPr>
          <w:rFonts w:hint="eastAsia" w:ascii="宋体" w:hAnsi="宋体"/>
          <w:color w:val="auto"/>
          <w:szCs w:val="21"/>
        </w:rPr>
        <w:t>提交磋商响应文件截止日起90日历天，磋商响应文件应保持有效。磋商有效期比规定期限短的将被视为非响应磋商而予以否决。</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rPr>
      </w:pPr>
      <w:r>
        <w:rPr>
          <w:rFonts w:hint="eastAsia" w:ascii="宋体" w:hAnsi="宋体"/>
          <w:color w:val="auto"/>
          <w:szCs w:val="21"/>
        </w:rPr>
        <w:t>特殊情况下，采购人可于磋商有效期满之前要求磋商供应商同意延长有效期，要求与答复均应为书面形式。磋商供应商可拒绝前述要求。对于同意该要求的磋商供应商，既不要求也不允许其修改最终磋商响应文件</w:t>
      </w:r>
      <w:r>
        <w:rPr>
          <w:rFonts w:hint="eastAsia" w:ascii="宋体" w:hAnsi="宋体"/>
          <w:color w:val="auto"/>
        </w:rPr>
        <w:t>。</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szCs w:val="24"/>
        </w:rPr>
        <w:t>磋商报价</w:t>
      </w:r>
    </w:p>
    <w:p>
      <w:pPr>
        <w:pageBreakBefore w:val="0"/>
        <w:widowControl w:val="0"/>
        <w:numPr>
          <w:ilvl w:val="1"/>
          <w:numId w:val="11"/>
        </w:numPr>
        <w:tabs>
          <w:tab w:val="left" w:pos="1470"/>
        </w:tabs>
        <w:kinsoku/>
        <w:wordWrap/>
        <w:overflowPunct/>
        <w:topLinePunct w:val="0"/>
        <w:autoSpaceDE/>
        <w:autoSpaceDN/>
        <w:bidi w:val="0"/>
        <w:adjustRightInd/>
        <w:snapToGrid w:val="0"/>
        <w:spacing w:line="400" w:lineRule="exact"/>
        <w:jc w:val="both"/>
        <w:textAlignment w:val="auto"/>
        <w:rPr>
          <w:rFonts w:ascii="宋体" w:hAnsi="宋体"/>
          <w:color w:val="auto"/>
          <w:szCs w:val="21"/>
        </w:rPr>
      </w:pPr>
      <w:r>
        <w:rPr>
          <w:rFonts w:hint="eastAsia" w:ascii="宋体" w:hAnsi="宋体"/>
          <w:color w:val="auto"/>
          <w:szCs w:val="21"/>
        </w:rPr>
        <w:t>磋商供应商提供的服务（或货物或工程）价格应该用人民币投标。</w:t>
      </w:r>
      <w:r>
        <w:rPr>
          <w:rFonts w:ascii="宋体" w:hAnsi="宋体"/>
          <w:color w:val="auto"/>
          <w:szCs w:val="21"/>
        </w:rPr>
        <w:t>投标价格应该已经扣除所有</w:t>
      </w:r>
      <w:r>
        <w:rPr>
          <w:rFonts w:hint="eastAsia" w:ascii="宋体" w:hAnsi="宋体"/>
          <w:color w:val="auto"/>
          <w:szCs w:val="21"/>
        </w:rPr>
        <w:t>商业</w:t>
      </w:r>
      <w:r>
        <w:rPr>
          <w:rFonts w:ascii="宋体" w:hAnsi="宋体"/>
          <w:color w:val="auto"/>
          <w:szCs w:val="21"/>
        </w:rPr>
        <w:t>折扣以及现金折扣。投标报价应包括</w:t>
      </w:r>
      <w:r>
        <w:rPr>
          <w:rFonts w:hint="eastAsia" w:ascii="宋体" w:hAnsi="宋体"/>
          <w:color w:val="auto"/>
          <w:szCs w:val="21"/>
        </w:rPr>
        <w:t>服务</w:t>
      </w:r>
      <w:r>
        <w:rPr>
          <w:rFonts w:ascii="宋体" w:hAnsi="宋体"/>
          <w:color w:val="auto"/>
          <w:szCs w:val="21"/>
        </w:rPr>
        <w:t>所需缴纳的所有税费</w:t>
      </w:r>
      <w:r>
        <w:rPr>
          <w:rFonts w:hint="eastAsia" w:ascii="宋体" w:hAnsi="宋体"/>
          <w:color w:val="auto"/>
          <w:szCs w:val="21"/>
        </w:rPr>
        <w:t>和</w:t>
      </w:r>
      <w:r>
        <w:rPr>
          <w:rFonts w:ascii="宋体" w:hAnsi="宋体"/>
          <w:color w:val="auto"/>
          <w:szCs w:val="21"/>
        </w:rPr>
        <w:t>一切费用</w:t>
      </w:r>
      <w:r>
        <w:rPr>
          <w:rFonts w:hint="eastAsia" w:ascii="宋体" w:hAnsi="宋体"/>
          <w:color w:val="auto"/>
          <w:szCs w:val="21"/>
        </w:rPr>
        <w:t>，费用包括送达使用单位指定地点的一切费用。</w:t>
      </w:r>
    </w:p>
    <w:p>
      <w:pPr>
        <w:pageBreakBefore w:val="0"/>
        <w:widowControl w:val="0"/>
        <w:numPr>
          <w:ilvl w:val="1"/>
          <w:numId w:val="11"/>
        </w:numPr>
        <w:tabs>
          <w:tab w:val="left" w:pos="1470"/>
        </w:tabs>
        <w:kinsoku/>
        <w:wordWrap/>
        <w:overflowPunct/>
        <w:topLinePunct w:val="0"/>
        <w:autoSpaceDE/>
        <w:autoSpaceDN/>
        <w:bidi w:val="0"/>
        <w:adjustRightInd/>
        <w:snapToGrid w:val="0"/>
        <w:spacing w:line="400" w:lineRule="exact"/>
        <w:jc w:val="both"/>
        <w:textAlignment w:val="auto"/>
        <w:rPr>
          <w:rFonts w:ascii="宋体" w:hAnsi="宋体"/>
          <w:color w:val="auto"/>
          <w:szCs w:val="21"/>
        </w:rPr>
      </w:pPr>
      <w:r>
        <w:rPr>
          <w:rFonts w:hint="eastAsia" w:ascii="宋体" w:hAnsi="宋体"/>
          <w:color w:val="auto"/>
          <w:szCs w:val="21"/>
        </w:rPr>
        <w:t>根据本次竞争性磋商采购工作要求，最后只允许有一个磋商报价，磋商供应商应在各自技术和商务占优势的基础上并充分考虑本项目的重要性，在磋商结束后提供给采购机构及采购人最优惠的磋商价格。</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szCs w:val="21"/>
        </w:rPr>
      </w:pPr>
      <w:r>
        <w:rPr>
          <w:rFonts w:hint="eastAsia" w:ascii="宋体" w:hAnsi="宋体"/>
          <w:color w:val="auto"/>
          <w:szCs w:val="21"/>
        </w:rPr>
        <w:t>最后的磋商报价低于首次报价，其报价明细表中各项报价需另行明确，各项报价均按比例下调。</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b/>
          <w:color w:val="auto"/>
          <w:sz w:val="24"/>
        </w:rPr>
        <w:t>磋商响应文件的签署</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bCs/>
          <w:color w:val="auto"/>
        </w:rPr>
      </w:pPr>
      <w:r>
        <w:rPr>
          <w:rFonts w:hint="eastAsia" w:ascii="宋体" w:hAnsi="宋体" w:cs="宋体"/>
          <w:color w:val="auto"/>
          <w:szCs w:val="21"/>
        </w:rPr>
        <w:t>磋商响应文件中所须加盖公章部分</w:t>
      </w:r>
      <w:r>
        <w:rPr>
          <w:rFonts w:hint="eastAsia" w:ascii="宋体" w:hAnsi="宋体" w:cs="宋体"/>
          <w:b/>
          <w:color w:val="auto"/>
          <w:szCs w:val="21"/>
        </w:rPr>
        <w:t>均采用CA电子签章或供应商</w:t>
      </w:r>
      <w:r>
        <w:rPr>
          <w:rFonts w:ascii="宋体" w:hAnsi="宋体" w:cs="宋体"/>
          <w:b/>
          <w:color w:val="auto"/>
          <w:szCs w:val="21"/>
        </w:rPr>
        <w:t>公章</w:t>
      </w:r>
      <w:r>
        <w:rPr>
          <w:rFonts w:hint="eastAsia" w:ascii="宋体" w:hAnsi="宋体" w:cs="宋体"/>
          <w:color w:val="auto"/>
          <w:szCs w:val="21"/>
        </w:rPr>
        <w:t>；所涉及法定代表人或授权代表的签字（或盖章）均按磋商文件要求由法定代表人或授权代表本人签字（或盖章）</w:t>
      </w:r>
      <w:r>
        <w:rPr>
          <w:rFonts w:hint="eastAsia" w:ascii="宋体" w:hAnsi="宋体"/>
          <w:color w:val="auto"/>
          <w:szCs w:val="21"/>
        </w:rPr>
        <w:t>。</w:t>
      </w:r>
    </w:p>
    <w:p>
      <w:pPr>
        <w:pageBreakBefore w:val="0"/>
        <w:numPr>
          <w:ilvl w:val="0"/>
          <w:numId w:val="11"/>
        </w:numPr>
        <w:kinsoku/>
        <w:wordWrap/>
        <w:overflowPunct/>
        <w:topLinePunct w:val="0"/>
        <w:autoSpaceDE/>
        <w:autoSpaceDN/>
        <w:bidi w:val="0"/>
        <w:adjustRightInd/>
        <w:snapToGrid w:val="0"/>
        <w:spacing w:line="400" w:lineRule="exact"/>
        <w:jc w:val="both"/>
        <w:textAlignment w:val="auto"/>
        <w:rPr>
          <w:rFonts w:ascii="Arial" w:hAnsi="Arial"/>
          <w:b/>
          <w:bCs/>
          <w:color w:val="auto"/>
          <w:sz w:val="24"/>
        </w:rPr>
      </w:pPr>
      <w:r>
        <w:rPr>
          <w:rFonts w:hint="eastAsia" w:ascii="宋体" w:hAnsi="宋体"/>
          <w:b/>
          <w:bCs/>
          <w:color w:val="auto"/>
          <w:sz w:val="24"/>
        </w:rPr>
        <w:t>知识产权</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color w:val="auto"/>
          <w:szCs w:val="21"/>
        </w:rPr>
        <w:t>供应商应保证，采购人在中华人民共和国使用货物和服务的任何一部分时，免受第三方提出侵犯其专利权、商标权或其它知识产权的起诉。</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ascii="宋体" w:hAnsi="宋体"/>
          <w:color w:val="auto"/>
          <w:szCs w:val="21"/>
        </w:rPr>
        <w:t>磋商供应商应对采购人在使用该产品时所涉及到的专利权负责，不损害采购人的利益。</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color w:val="auto"/>
          <w:szCs w:val="21"/>
        </w:rPr>
        <w:t>报价应包括所有应支付的对专利权和版权、设计或其他知识产权而需要向其他方支付的版税。</w:t>
      </w:r>
    </w:p>
    <w:p>
      <w:pPr>
        <w:pageBreakBefore w:val="0"/>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color w:val="auto"/>
          <w:szCs w:val="21"/>
        </w:rPr>
        <w:t>磋商供应商</w:t>
      </w:r>
      <w:r>
        <w:rPr>
          <w:color w:val="auto"/>
          <w:szCs w:val="21"/>
        </w:rPr>
        <w:t>提供得货物中如使用其他公司的相关专利，应在</w:t>
      </w:r>
      <w:r>
        <w:rPr>
          <w:rFonts w:hint="eastAsia"/>
          <w:color w:val="auto"/>
          <w:szCs w:val="21"/>
        </w:rPr>
        <w:t>磋商响应文件</w:t>
      </w:r>
      <w:r>
        <w:rPr>
          <w:color w:val="auto"/>
          <w:szCs w:val="21"/>
        </w:rPr>
        <w:t>中出示相关授权，如未出示但使用了其他公司的专利，导致供应商中标而引起相关</w:t>
      </w:r>
      <w:r>
        <w:rPr>
          <w:rFonts w:hint="eastAsia"/>
          <w:color w:val="auto"/>
          <w:szCs w:val="21"/>
        </w:rPr>
        <w:t>诉讼</w:t>
      </w:r>
      <w:r>
        <w:rPr>
          <w:color w:val="auto"/>
          <w:szCs w:val="21"/>
        </w:rPr>
        <w:t>，由</w:t>
      </w:r>
      <w:r>
        <w:rPr>
          <w:rFonts w:hint="eastAsia"/>
          <w:color w:val="auto"/>
          <w:szCs w:val="21"/>
        </w:rPr>
        <w:t>磋商供应商</w:t>
      </w:r>
      <w:r>
        <w:rPr>
          <w:color w:val="auto"/>
          <w:szCs w:val="21"/>
        </w:rPr>
        <w:t>承担。</w:t>
      </w:r>
    </w:p>
    <w:p>
      <w:pPr>
        <w:pStyle w:val="6"/>
        <w:spacing w:beforeLines="50" w:afterLines="50" w:line="240" w:lineRule="auto"/>
        <w:jc w:val="center"/>
        <w:rPr>
          <w:color w:val="auto"/>
          <w:sz w:val="24"/>
          <w:szCs w:val="24"/>
        </w:rPr>
      </w:pPr>
      <w:bookmarkStart w:id="22" w:name="_Toc5259"/>
      <w:bookmarkStart w:id="23" w:name="_Toc18067420"/>
      <w:r>
        <w:rPr>
          <w:rFonts w:hint="eastAsia"/>
          <w:color w:val="auto"/>
          <w:sz w:val="24"/>
          <w:szCs w:val="24"/>
        </w:rPr>
        <w:t>（五）磋商响应文件的递交</w:t>
      </w:r>
      <w:bookmarkEnd w:id="22"/>
      <w:bookmarkEnd w:id="23"/>
    </w:p>
    <w:p>
      <w:pPr>
        <w:pageBreakBefore w:val="0"/>
        <w:widowControl/>
        <w:numPr>
          <w:ilvl w:val="0"/>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b/>
          <w:color w:val="auto"/>
          <w:sz w:val="24"/>
        </w:rPr>
        <w:t>磋商响应文件的递交</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color w:val="auto"/>
          <w:szCs w:val="21"/>
        </w:rPr>
        <w:t>供应商在磋商响应文件提交截止时间之前将生成的电子加密响应文件上传至政采云平台，供应商未按要求提交的电子加密响应文件，政采云平台将予以拒收。</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color w:val="auto"/>
        </w:rPr>
      </w:pPr>
      <w:r>
        <w:rPr>
          <w:rFonts w:hint="eastAsia" w:ascii="宋体" w:hAnsi="宋体" w:cs="宋体"/>
          <w:bCs/>
          <w:color w:val="auto"/>
          <w:szCs w:val="21"/>
        </w:rPr>
        <w:t>建议供应商在磋商响应文件提交截止时间之前将备份响应文件以电子邮件方式提交至采购代理机构指定邮箱，邮件标题注明项目名称及供应商名称。提交的备份响应文件需打包压缩并加密，加密密码由供应商自行保管。如供应商多次提交文件，以采购代理机构指定邮箱收到的最近时间（磋商响应文件提交截止时间之前）的备份响应文件为准。</w:t>
      </w:r>
      <w:r>
        <w:rPr>
          <w:rFonts w:hint="eastAsia" w:ascii="宋体" w:hAnsi="宋体" w:cs="宋体"/>
          <w:b/>
          <w:color w:val="auto"/>
          <w:szCs w:val="21"/>
        </w:rPr>
        <w:t>供应商未按要求提交备份响应文件的，视为无效备份响应文件。</w:t>
      </w:r>
    </w:p>
    <w:p>
      <w:pPr>
        <w:pageBreakBefore w:val="0"/>
        <w:widowControl/>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磋商响应文件的补充、修改与撤回</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宋体" w:hAnsi="宋体" w:cs="宋体"/>
          <w:color w:val="auto"/>
          <w:szCs w:val="21"/>
        </w:rPr>
      </w:pPr>
      <w:r>
        <w:rPr>
          <w:rFonts w:hint="eastAsia" w:ascii="宋体" w:hAnsi="宋体" w:cs="宋体"/>
          <w:color w:val="auto"/>
          <w:szCs w:val="21"/>
        </w:rPr>
        <w:t>供应商在响应截止时间前可以补充、修改或者撤回电子加密响应文件。补充或者修改电子加密响应文件的，应当先行撤回原文件，补充、修改后重新传输提交。供应商需按要求重新发送最新的备份响应文件。响应截止时间前未完成传输的，视为撤回响应文件。响应截止时间后提交的响应文件，将被政采云平台拒收。</w:t>
      </w:r>
    </w:p>
    <w:p>
      <w:pPr>
        <w:pageBreakBefore w:val="0"/>
        <w:widowControl/>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磋商截止时间</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本次采购的磋商开始时间及磋商响应文件提交截止时间：见本磋商文件“采购公告”。采购代理机构收到磋商响应文件的时间不得迟于规定的截止时间。</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在推迟了磋商开始时间的情况下，采购代理机构、采购人和磋商供应商受制约的所有权利和义务均应延长至新的截止时间。</w:t>
      </w:r>
    </w:p>
    <w:p>
      <w:pPr>
        <w:pStyle w:val="6"/>
        <w:pageBreakBefore w:val="0"/>
        <w:widowControl/>
        <w:kinsoku/>
        <w:wordWrap/>
        <w:overflowPunct/>
        <w:topLinePunct w:val="0"/>
        <w:autoSpaceDE/>
        <w:autoSpaceDN/>
        <w:bidi w:val="0"/>
        <w:adjustRightInd/>
        <w:spacing w:before="0" w:after="0" w:line="400" w:lineRule="exact"/>
        <w:jc w:val="center"/>
        <w:textAlignment w:val="auto"/>
        <w:rPr>
          <w:color w:val="auto"/>
          <w:sz w:val="24"/>
          <w:szCs w:val="24"/>
        </w:rPr>
      </w:pPr>
      <w:bookmarkStart w:id="24" w:name="_Toc18067421"/>
      <w:bookmarkStart w:id="25" w:name="_Toc25350"/>
      <w:r>
        <w:rPr>
          <w:rFonts w:hint="eastAsia"/>
          <w:color w:val="auto"/>
          <w:sz w:val="24"/>
          <w:szCs w:val="24"/>
        </w:rPr>
        <w:t>（六）磋商与评审</w:t>
      </w:r>
      <w:bookmarkEnd w:id="24"/>
      <w:bookmarkEnd w:id="25"/>
    </w:p>
    <w:p>
      <w:pPr>
        <w:pageBreakBefore w:val="0"/>
        <w:widowControl/>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磋商</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磋商时间和地点：见本磋商文件“采购公告”。</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color w:val="auto"/>
        </w:rPr>
        <w:t>采购组织机构将按照磋商文件规定的时间通过“政府采购云平台”组织开标、开启磋商响应文件，磋商供应商均应登录政采云平台准时在线参加。</w:t>
      </w:r>
      <w:r>
        <w:rPr>
          <w:rFonts w:hint="eastAsia" w:ascii="宋体" w:hAnsi="宋体" w:cs="Arial"/>
          <w:b/>
          <w:bCs/>
          <w:color w:val="auto"/>
          <w:szCs w:val="21"/>
        </w:rPr>
        <w:t>供应商未在线参加开标的</w:t>
      </w:r>
      <w:r>
        <w:rPr>
          <w:rFonts w:hint="eastAsia" w:ascii="宋体" w:hAnsi="宋体"/>
          <w:b/>
          <w:bCs/>
          <w:color w:val="auto"/>
          <w:szCs w:val="21"/>
        </w:rPr>
        <w:t>，视同认可开标结果，事后不得对采购相关人员、开标过程和开标结果提出异议，同时供应商因未在线参加开标而导致响应文件无法按时解密等一切后果由供应商自行承担</w:t>
      </w:r>
      <w:r>
        <w:rPr>
          <w:rFonts w:hint="eastAsia" w:ascii="Arial" w:hAnsi="Arial"/>
          <w:color w:val="auto"/>
        </w:rPr>
        <w:t>。</w:t>
      </w:r>
    </w:p>
    <w:p>
      <w:pPr>
        <w:pageBreakBefore w:val="0"/>
        <w:widowControl/>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磋商小组</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color w:val="auto"/>
        </w:rPr>
      </w:pPr>
      <w:r>
        <w:rPr>
          <w:rFonts w:hint="eastAsia" w:ascii="Arial" w:hAnsi="Arial"/>
          <w:color w:val="auto"/>
        </w:rPr>
        <w:t>本次采购依法组建磋商小组。</w:t>
      </w:r>
      <w:r>
        <w:rPr>
          <w:color w:val="auto"/>
        </w:rPr>
        <w:t>磋商小组由采购人的代表和有关专家共</w:t>
      </w:r>
      <w:r>
        <w:rPr>
          <w:rFonts w:hint="eastAsia"/>
          <w:color w:val="auto"/>
        </w:rPr>
        <w:t>三人及</w:t>
      </w:r>
      <w:r>
        <w:rPr>
          <w:color w:val="auto"/>
        </w:rPr>
        <w:t>以上的单数组成，其中专家的人数不得少于成员总数的三分之二</w:t>
      </w:r>
      <w:r>
        <w:rPr>
          <w:rFonts w:hint="eastAsia" w:ascii="宋体" w:hAnsi="宋体"/>
          <w:color w:val="auto"/>
        </w:rPr>
        <w:t>。</w:t>
      </w:r>
    </w:p>
    <w:p>
      <w:pPr>
        <w:pageBreakBefore w:val="0"/>
        <w:widowControl/>
        <w:numPr>
          <w:ilvl w:val="0"/>
          <w:numId w:val="11"/>
        </w:numPr>
        <w:kinsoku/>
        <w:wordWrap/>
        <w:overflowPunct/>
        <w:topLinePunct w:val="0"/>
        <w:autoSpaceDE/>
        <w:autoSpaceDN/>
        <w:bidi w:val="0"/>
        <w:adjustRightInd/>
        <w:spacing w:line="400" w:lineRule="exact"/>
        <w:textAlignment w:val="auto"/>
        <w:rPr>
          <w:rFonts w:ascii="Arial" w:hAnsi="Arial"/>
          <w:b/>
          <w:color w:val="auto"/>
          <w:sz w:val="24"/>
        </w:rPr>
      </w:pPr>
      <w:r>
        <w:rPr>
          <w:rFonts w:hint="eastAsia" w:ascii="Arial" w:hAnsi="Arial"/>
          <w:b/>
          <w:color w:val="auto"/>
          <w:sz w:val="24"/>
        </w:rPr>
        <w:t>磋商工作程序</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宋体" w:hAnsi="宋体" w:cs="宋体"/>
          <w:color w:val="auto"/>
          <w:szCs w:val="21"/>
        </w:rPr>
      </w:pPr>
      <w:r>
        <w:rPr>
          <w:rFonts w:hint="eastAsia" w:ascii="宋体" w:hAnsi="宋体" w:cs="宋体"/>
          <w:color w:val="auto"/>
          <w:szCs w:val="21"/>
        </w:rPr>
        <w:t>采购代理机构按照磋商文件规定的时间通过政采云平台组织开标，所有供应商准时在线参加。</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color w:val="auto"/>
        </w:rPr>
      </w:pPr>
      <w:r>
        <w:rPr>
          <w:rFonts w:hint="eastAsia" w:ascii="宋体" w:hAnsi="宋体" w:cs="宋体"/>
          <w:color w:val="auto"/>
          <w:szCs w:val="21"/>
        </w:rPr>
        <w:t>开标后，采购代理机构通过政采云平台向各供应商发出电子加密响应文件的解密通知，各供应商代表应当在接到解密通知后30分钟内自行完成电子加密响应文件的在线解密</w:t>
      </w:r>
      <w:r>
        <w:rPr>
          <w:rFonts w:hint="eastAsia" w:hAnsi="宋体"/>
          <w:color w:val="auto"/>
          <w:szCs w:val="21"/>
        </w:rPr>
        <w:t>。</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color w:val="auto"/>
          <w:szCs w:val="21"/>
        </w:rPr>
      </w:pPr>
      <w:r>
        <w:rPr>
          <w:rFonts w:hint="eastAsia" w:ascii="宋体" w:hAnsi="宋体"/>
          <w:color w:val="auto"/>
        </w:rPr>
        <w:t>解密结束后，供应商代表完整填写</w:t>
      </w:r>
      <w:r>
        <w:rPr>
          <w:rFonts w:hint="eastAsia" w:ascii="宋体" w:hAnsi="宋体"/>
          <w:color w:val="auto"/>
          <w:szCs w:val="22"/>
        </w:rPr>
        <w:t>《政府采购活动现场确认声明书</w:t>
      </w:r>
      <w:r>
        <w:rPr>
          <w:rFonts w:hint="eastAsia" w:ascii="宋体" w:hAnsi="宋体"/>
          <w:color w:val="auto"/>
        </w:rPr>
        <w:t>》并签字后扫描，以电子邮件方式提交至采购代理机构指定邮箱。</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szCs w:val="22"/>
        </w:rPr>
      </w:pPr>
      <w:r>
        <w:rPr>
          <w:rFonts w:hint="eastAsia" w:ascii="Arial" w:hAnsi="Arial"/>
          <w:color w:val="auto"/>
        </w:rPr>
        <w:t>磋商小组所有成员集中与单一磋商供应商分别进行在线磋商（如磋商小组一致认定某磋商供应商提供的磋商响应文件的技术和服务要求均满足磋商文件的要求，可不再分别磋商），并确定最终方案。在磋商中，磋商的任何一方不得透露与磋商有关的其他磋商供应商的技术资料、价格和其他信息。</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szCs w:val="22"/>
        </w:rPr>
      </w:pPr>
      <w:r>
        <w:rPr>
          <w:rFonts w:hint="eastAsia" w:ascii="宋体" w:hAnsi="宋体" w:cs="宋体"/>
          <w:snapToGrid w:val="0"/>
          <w:color w:val="auto"/>
          <w:szCs w:val="21"/>
        </w:rPr>
        <w:t>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szCs w:val="21"/>
        </w:rPr>
      </w:pPr>
      <w:r>
        <w:rPr>
          <w:rFonts w:hint="eastAsia" w:ascii="宋体" w:hAnsi="宋体" w:cs="宋体"/>
          <w:snapToGrid w:val="0"/>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b/>
          <w:bCs/>
          <w:color w:val="auto"/>
          <w:szCs w:val="21"/>
        </w:rPr>
        <w:t>磋商小组将以书面形式（或通过“政府采购云平台”在线询标）要求磋商供应商在规定的时间内作出必要的澄清、说明或者补正。磋商供应商的澄清、说明或者补正应当采用书面（或通过“政府采购云平台”在线答复）形式提交，由法定代表人或其授权的代表签字（或盖章）或加盖单位公章。磋商供应商的澄清、说明或者补正不得超出响应文件的范围或者改变响应文件的实质性内容。</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宋体" w:hAnsi="宋体" w:cs="宋体"/>
          <w:snapToGrid w:val="0"/>
          <w:color w:val="auto"/>
          <w:szCs w:val="21"/>
        </w:rPr>
      </w:pPr>
      <w:r>
        <w:rPr>
          <w:rFonts w:hint="eastAsia" w:ascii="宋体" w:hAnsi="宋体" w:cs="宋体"/>
          <w:snapToGrid w:val="0"/>
          <w:color w:val="auto"/>
          <w:szCs w:val="21"/>
        </w:rPr>
        <w:t>磋商结束后，磋商小组要求所有实质性响应供应商进行线上最后报价，若供应商未在报价时限内提交最后报价的，投标无效。</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pPr>
        <w:pageBreakBefore w:val="0"/>
        <w:widowControl/>
        <w:numPr>
          <w:ilvl w:val="2"/>
          <w:numId w:val="11"/>
        </w:numPr>
        <w:tabs>
          <w:tab w:val="left" w:pos="0"/>
          <w:tab w:val="clear" w:pos="720"/>
        </w:tabs>
        <w:kinsoku/>
        <w:wordWrap/>
        <w:overflowPunct/>
        <w:topLinePunct w:val="0"/>
        <w:autoSpaceDE/>
        <w:autoSpaceDN/>
        <w:bidi w:val="0"/>
        <w:adjustRightInd/>
        <w:snapToGrid w:val="0"/>
        <w:spacing w:line="400" w:lineRule="exact"/>
        <w:ind w:left="851" w:hanging="851"/>
        <w:jc w:val="both"/>
        <w:textAlignment w:val="auto"/>
        <w:rPr>
          <w:color w:val="auto"/>
        </w:rPr>
      </w:pPr>
      <w:r>
        <w:rPr>
          <w:rFonts w:hint="eastAsia" w:ascii="宋体" w:hAnsi="宋体"/>
          <w:snapToGrid w:val="0"/>
          <w:color w:val="auto"/>
          <w:szCs w:val="21"/>
          <w:lang w:val="en-US" w:eastAsia="zh-CN"/>
        </w:rPr>
        <w:t xml:space="preserve">   </w:t>
      </w:r>
      <w:r>
        <w:rPr>
          <w:rFonts w:hint="eastAsia" w:ascii="宋体" w:hAnsi="宋体"/>
          <w:snapToGrid w:val="0"/>
          <w:color w:val="auto"/>
          <w:szCs w:val="21"/>
        </w:rPr>
        <w:t>经磋商确定</w:t>
      </w:r>
      <w:r>
        <w:rPr>
          <w:rFonts w:hint="eastAsia" w:ascii="宋体" w:hAnsi="宋体"/>
          <w:bCs/>
          <w:snapToGrid w:val="0"/>
          <w:color w:val="auto"/>
          <w:szCs w:val="21"/>
        </w:rPr>
        <w:t>最终采购需求和提交最后报价的供应商后，由磋商小组采用综合评分法对提交最后报价的供应商的响应文件和最后报价进行综合评分</w:t>
      </w:r>
      <w:r>
        <w:rPr>
          <w:rFonts w:hint="eastAsia" w:ascii="宋体" w:hAnsi="宋体" w:cs="Arial"/>
          <w:bCs/>
          <w:color w:val="auto"/>
          <w:kern w:val="28"/>
        </w:rPr>
        <w:t>。</w:t>
      </w:r>
    </w:p>
    <w:p>
      <w:pPr>
        <w:pageBreakBefore w:val="0"/>
        <w:widowControl/>
        <w:numPr>
          <w:ilvl w:val="0"/>
          <w:numId w:val="11"/>
        </w:numPr>
        <w:kinsoku/>
        <w:wordWrap/>
        <w:overflowPunct/>
        <w:topLinePunct w:val="0"/>
        <w:autoSpaceDE/>
        <w:autoSpaceDN/>
        <w:bidi w:val="0"/>
        <w:adjustRightInd/>
        <w:spacing w:line="400" w:lineRule="exact"/>
        <w:textAlignment w:val="auto"/>
        <w:rPr>
          <w:rFonts w:ascii="Arial" w:hAnsi="Arial"/>
          <w:b/>
          <w:color w:val="auto"/>
          <w:sz w:val="24"/>
        </w:rPr>
      </w:pPr>
      <w:r>
        <w:rPr>
          <w:rFonts w:hint="eastAsia" w:ascii="Arial" w:hAnsi="Arial"/>
          <w:b/>
          <w:color w:val="auto"/>
        </w:rPr>
        <w:t>评审</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磋商供应商或采购组织单位有下列情形之一的，应按串通行为认定：</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 xml:space="preserve">不同磋商供应商的磋商响应文件由同一单位或人员编制的； </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不同磋商供应商委托同一单位或人员办理投标事宜的；</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 xml:space="preserve">不同磋商供应商的磋商响应文件中的内容出现非正常的一致，或者报价细目呈明显规律性变化，或在完全可比的情况下投标报价均高于市场平均价的； </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不同磋商供应商的磋商响应文件载明的项目管理或实施人员出现同一单位的工作人员或同一人的；</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 xml:space="preserve">不同磋商供应商的授权代表为同一单位的工作人员的； </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 xml:space="preserve">不同磋商供应商的磋商响应文件相互混装，或在一个磋商供应商的磋商响应文件内遗留有其他磋商供应商的签名、盖章等不属于本磋商供应商参加政府采购必需的信息资料的； </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 xml:space="preserve">采购响应截止时间后，采购组织单位协助磋商供应商撤换或更改磋商响应文件的； </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采购组织单位泄露有意向参加政府采购的磋商供应商名称、数量等应当保密的事项的；</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宋体" w:hAnsi="宋体"/>
          <w:color w:val="auto"/>
        </w:rPr>
        <w:t>不同磋商供应商之间私下达成书面或口头协议，指定一家磋商供应商成交或轮流成交的；</w:t>
      </w:r>
    </w:p>
    <w:p>
      <w:pPr>
        <w:pageBreakBefore w:val="0"/>
        <w:widowControl/>
        <w:numPr>
          <w:ilvl w:val="0"/>
          <w:numId w:val="17"/>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宋体" w:hAnsi="宋体"/>
          <w:color w:val="auto"/>
        </w:rPr>
        <w:t>法律、法规或规章规定的其他串通行为。</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在磋商时下列情况按照无效投标处理：</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投标报价不是固定价的或超过预算金额的</w:t>
      </w:r>
      <w:r>
        <w:rPr>
          <w:rFonts w:hint="eastAsia"/>
          <w:color w:val="auto"/>
          <w:szCs w:val="22"/>
          <w:lang w:val="en-US" w:eastAsia="zh-CN"/>
        </w:rPr>
        <w:t>或超过最高限价</w:t>
      </w:r>
      <w:r>
        <w:rPr>
          <w:color w:val="auto"/>
          <w:szCs w:val="22"/>
        </w:rPr>
        <w:t>；</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在报价评审中，发现价格计算有误，又不接受评标委员会修正的报价或报价明显不合理而磋商供应商不能合理说明的；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主要采购服务的技术规格和参数不满足采购内容及技术要求以及商务有重大偏离或保留的；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在符合性评审中，磋商小组认定磋商响应文件任一项评审因素不符合磋商文件要求的；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在资格评审中，磋商小组认定磋商响应文件任一项评审因素不符合磋商文件要求的；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 xml:space="preserve">磋商响应文件中需签字或盖章的地方未加盖磋商供应商单位全称的公章，或未经法定代表人或其授权代表签字或盖章； </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授权代表签字且未提供有效法定代表人授权委托书的；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磋商小组认为磋商响应文件未实质性响应采购文件的要求的；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磋商响应文件中含有采购人不能接受的附加条件的；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未在报价时限内提交最后报价的；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电子磋商响应文件解密失败的，且未在规定时间内提交备份响应文件的；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仅提交备份磋商响应文件的；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未按规定提供关于《中华人民共和国政府采购法》第二十二条规定的承诺函的；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单位负责人为同一人或存在直接控股、管理关系的不同供应商，则所涉供应商投标均为无效。</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磋商响应文件存在一个或一个以上备选（替代）投标方案的；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在磋商结束前，磋商供应商发生重大变化或变更，未及时告知采购人或不再具备磋商文件规定的资格条件或者其投标影响招标公正性的；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磋商小组认为磋商供应商的报价明显低于其他通过符合性审查供应商的报价，有可能影响产品质量或者不能诚信履约的，应当要求其在磋商现场合理时间内作出书面说明，必要时提交相关证明材料，供应商不能证明其报价合理性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存在串标、抬标或弄虚作假情况的；</w:t>
      </w:r>
    </w:p>
    <w:p>
      <w:pPr>
        <w:pageBreakBefore w:val="0"/>
        <w:widowControl/>
        <w:numPr>
          <w:ilvl w:val="0"/>
          <w:numId w:val="18"/>
        </w:numPr>
        <w:kinsoku/>
        <w:wordWrap/>
        <w:overflowPunct/>
        <w:topLinePunct w:val="0"/>
        <w:autoSpaceDE/>
        <w:autoSpaceDN/>
        <w:bidi w:val="0"/>
        <w:adjustRightInd/>
        <w:snapToGrid w:val="0"/>
        <w:spacing w:line="400" w:lineRule="exact"/>
        <w:jc w:val="both"/>
        <w:textAlignment w:val="auto"/>
        <w:rPr>
          <w:color w:val="auto"/>
          <w:szCs w:val="22"/>
        </w:rPr>
      </w:pPr>
      <w:r>
        <w:rPr>
          <w:rFonts w:hint="eastAsia"/>
          <w:color w:val="auto"/>
          <w:szCs w:val="22"/>
        </w:rPr>
        <w:t>不符合法律、法规和磋商文件中规定的其他实质性要求的。</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宋体" w:hAnsi="宋体"/>
          <w:color w:val="auto"/>
          <w:szCs w:val="21"/>
        </w:rPr>
        <w:t>磋商小组根据综合评分情况，按照评审总得分由高到低顺序推荐3名以上成交候选供应商，并编写评审报告。评审总得分相同的，按照最后报价由低到高顺序排列；评审总得分且最后报价</w:t>
      </w:r>
      <w:r>
        <w:rPr>
          <w:rFonts w:ascii="宋体" w:hAnsi="宋体"/>
          <w:color w:val="auto"/>
          <w:szCs w:val="21"/>
        </w:rPr>
        <w:t>相同</w:t>
      </w:r>
      <w:r>
        <w:rPr>
          <w:rFonts w:hint="eastAsia" w:ascii="宋体" w:hAnsi="宋体"/>
          <w:color w:val="auto"/>
          <w:szCs w:val="21"/>
        </w:rPr>
        <w:t>的</w:t>
      </w:r>
      <w:r>
        <w:rPr>
          <w:rFonts w:ascii="宋体" w:hAnsi="宋体"/>
          <w:color w:val="auto"/>
          <w:szCs w:val="21"/>
        </w:rPr>
        <w:t>，由</w:t>
      </w:r>
      <w:r>
        <w:rPr>
          <w:rFonts w:hint="eastAsia" w:ascii="宋体" w:hAnsi="宋体"/>
          <w:color w:val="auto"/>
          <w:szCs w:val="21"/>
        </w:rPr>
        <w:t>磋商小组按照技术、商务得分由高到低顺序推荐；评审总得分、最后报价及技术、商务得分均相同时，由采购人决定排名</w:t>
      </w:r>
      <w:r>
        <w:rPr>
          <w:rFonts w:ascii="ˎ̥" w:hAnsi="ˎ̥"/>
          <w:color w:val="auto"/>
        </w:rPr>
        <w:t>。</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szCs w:val="21"/>
        </w:rPr>
        <w:t>如果候选成交人的报价高于最高限价或明显偏离市场正常价格时，磋商小组将取消其成交资格并对受影响的供应商不承担任何责任，也无义务向受影响的供应商解释采取这一行动的理由</w:t>
      </w:r>
      <w:r>
        <w:rPr>
          <w:rFonts w:hint="eastAsia" w:ascii="Arial" w:hAnsi="Arial"/>
          <w:color w:val="auto"/>
        </w:rPr>
        <w:t>。</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color w:val="auto"/>
        </w:rPr>
      </w:pPr>
      <w:r>
        <w:rPr>
          <w:rFonts w:ascii="ˎ̥" w:hAnsi="ˎ̥"/>
          <w:b/>
          <w:color w:val="auto"/>
        </w:rPr>
        <w:t>提供相同品牌产品且通过资格审查、符合性审查的不同</w:t>
      </w:r>
      <w:r>
        <w:rPr>
          <w:rFonts w:hint="eastAsia" w:ascii="ˎ̥" w:hAnsi="ˎ̥"/>
          <w:b/>
          <w:color w:val="auto"/>
        </w:rPr>
        <w:t>供应商</w:t>
      </w:r>
      <w:r>
        <w:rPr>
          <w:rFonts w:ascii="ˎ̥" w:hAnsi="ˎ̥"/>
          <w:b/>
          <w:color w:val="auto"/>
        </w:rPr>
        <w:t>参加同一合同项下投标的，按一家</w:t>
      </w:r>
      <w:r>
        <w:rPr>
          <w:rFonts w:hint="eastAsia" w:ascii="ˎ̥" w:hAnsi="ˎ̥"/>
          <w:b/>
          <w:color w:val="auto"/>
        </w:rPr>
        <w:t>供应商</w:t>
      </w:r>
      <w:r>
        <w:rPr>
          <w:rFonts w:ascii="ˎ̥" w:hAnsi="ˎ̥"/>
          <w:b/>
          <w:color w:val="auto"/>
        </w:rPr>
        <w:t>计算，评审后得分最高的同品牌</w:t>
      </w:r>
      <w:r>
        <w:rPr>
          <w:rFonts w:hint="eastAsia" w:ascii="ˎ̥" w:hAnsi="ˎ̥"/>
          <w:b/>
          <w:color w:val="auto"/>
        </w:rPr>
        <w:t>磋商供应商</w:t>
      </w:r>
      <w:r>
        <w:rPr>
          <w:rFonts w:ascii="ˎ̥" w:hAnsi="ˎ̥"/>
          <w:b/>
          <w:color w:val="auto"/>
        </w:rPr>
        <w:t>获得</w:t>
      </w:r>
      <w:r>
        <w:rPr>
          <w:rFonts w:hint="eastAsia" w:ascii="ˎ̥" w:hAnsi="ˎ̥"/>
          <w:b/>
          <w:color w:val="auto"/>
        </w:rPr>
        <w:t>成交供应商</w:t>
      </w:r>
      <w:r>
        <w:rPr>
          <w:rFonts w:ascii="ˎ̥" w:hAnsi="ˎ̥"/>
          <w:b/>
          <w:color w:val="auto"/>
        </w:rPr>
        <w:t>推荐资格；评审得分相同的，</w:t>
      </w:r>
      <w:r>
        <w:rPr>
          <w:rFonts w:hint="eastAsia" w:ascii="Arial" w:hAnsi="Arial"/>
          <w:b/>
          <w:color w:val="auto"/>
        </w:rPr>
        <w:t>按照最后报价由低到高顺序排列；评审得分且最后报价</w:t>
      </w:r>
      <w:r>
        <w:rPr>
          <w:b/>
          <w:color w:val="auto"/>
        </w:rPr>
        <w:t>相同</w:t>
      </w:r>
      <w:r>
        <w:rPr>
          <w:rFonts w:hint="eastAsia"/>
          <w:b/>
          <w:color w:val="auto"/>
        </w:rPr>
        <w:t>的</w:t>
      </w:r>
      <w:r>
        <w:rPr>
          <w:b/>
          <w:color w:val="auto"/>
        </w:rPr>
        <w:t>，由</w:t>
      </w:r>
      <w:r>
        <w:rPr>
          <w:rFonts w:hint="eastAsia"/>
          <w:b/>
          <w:color w:val="auto"/>
        </w:rPr>
        <w:t>磋商小组按照资技术商务得分由高到低顺序推荐；评审得分、最后报价及技术商务得分均相同时，由采购人随机抽取决定。</w:t>
      </w:r>
      <w:r>
        <w:rPr>
          <w:rFonts w:ascii="ˎ̥" w:hAnsi="ˎ̥"/>
          <w:b/>
          <w:color w:val="auto"/>
        </w:rPr>
        <w:t>其他同品牌</w:t>
      </w:r>
      <w:r>
        <w:rPr>
          <w:rFonts w:hint="eastAsia" w:ascii="ˎ̥" w:hAnsi="ˎ̥"/>
          <w:b/>
          <w:color w:val="auto"/>
        </w:rPr>
        <w:t>磋商供应商</w:t>
      </w:r>
      <w:r>
        <w:rPr>
          <w:rFonts w:ascii="ˎ̥" w:hAnsi="ˎ̥"/>
          <w:b/>
          <w:color w:val="auto"/>
        </w:rPr>
        <w:t>不作为中标候选</w:t>
      </w:r>
      <w:r>
        <w:rPr>
          <w:rFonts w:hint="eastAsia" w:ascii="ˎ̥" w:hAnsi="ˎ̥"/>
          <w:b/>
          <w:color w:val="auto"/>
        </w:rPr>
        <w:t>供应商</w:t>
      </w:r>
      <w:r>
        <w:rPr>
          <w:rFonts w:hint="eastAsia" w:ascii="Arial" w:hAnsi="Arial"/>
          <w:b/>
          <w:color w:val="auto"/>
        </w:rPr>
        <w:t>。若项目为非单一产品采购项目，采购人根据项目技术构成、产品价格比重等确定核心产品，并在招标文件第三部分采购清单中注明。核心产品的数量确定为多个时,所有核心产品均为相同品牌才视为核心产品品牌相同。多家投标人提供的核心产品品牌相同的，按上述规定处理。</w:t>
      </w:r>
    </w:p>
    <w:p>
      <w:pPr>
        <w:pageBreakBefore w:val="0"/>
        <w:widowControl/>
        <w:numPr>
          <w:ilvl w:val="0"/>
          <w:numId w:val="11"/>
        </w:numPr>
        <w:kinsoku/>
        <w:wordWrap/>
        <w:overflowPunct/>
        <w:topLinePunct w:val="0"/>
        <w:autoSpaceDE/>
        <w:autoSpaceDN/>
        <w:bidi w:val="0"/>
        <w:adjustRightInd/>
        <w:spacing w:line="400" w:lineRule="exact"/>
        <w:jc w:val="both"/>
        <w:textAlignment w:val="auto"/>
        <w:rPr>
          <w:rFonts w:ascii="Arial" w:hAnsi="Arial"/>
          <w:b/>
          <w:color w:val="auto"/>
          <w:szCs w:val="21"/>
        </w:rPr>
      </w:pPr>
      <w:r>
        <w:rPr>
          <w:rFonts w:hint="eastAsia" w:ascii="Arial" w:hAnsi="Arial"/>
          <w:b/>
          <w:color w:val="auto"/>
          <w:szCs w:val="21"/>
        </w:rPr>
        <w:t>出现以下情形，导致电子交易平台无法正常运行，或者无法保证电子交易的公平、公正和安全时，中止电子交易活动：</w:t>
      </w:r>
    </w:p>
    <w:p>
      <w:pPr>
        <w:pageBreakBefore w:val="0"/>
        <w:widowControl/>
        <w:numPr>
          <w:ilvl w:val="0"/>
          <w:numId w:val="19"/>
        </w:numPr>
        <w:tabs>
          <w:tab w:val="left" w:pos="425"/>
          <w:tab w:val="left" w:pos="851"/>
        </w:tabs>
        <w:kinsoku/>
        <w:wordWrap/>
        <w:overflowPunct/>
        <w:topLinePunct w:val="0"/>
        <w:autoSpaceDE/>
        <w:autoSpaceDN/>
        <w:bidi w:val="0"/>
        <w:adjustRightInd/>
        <w:spacing w:line="400" w:lineRule="exact"/>
        <w:ind w:left="995" w:leftChars="1" w:hanging="993" w:hangingChars="471"/>
        <w:textAlignment w:val="auto"/>
        <w:rPr>
          <w:rFonts w:hAnsi="宋体"/>
          <w:b/>
          <w:color w:val="auto"/>
        </w:rPr>
      </w:pPr>
      <w:r>
        <w:rPr>
          <w:rFonts w:hint="eastAsia" w:hAnsi="宋体"/>
          <w:b/>
          <w:color w:val="auto"/>
        </w:rPr>
        <w:t>电子交易平台发生故障而无法登录访问的；</w:t>
      </w:r>
    </w:p>
    <w:p>
      <w:pPr>
        <w:pageBreakBefore w:val="0"/>
        <w:widowControl/>
        <w:numPr>
          <w:ilvl w:val="0"/>
          <w:numId w:val="19"/>
        </w:numPr>
        <w:tabs>
          <w:tab w:val="left" w:pos="425"/>
          <w:tab w:val="left" w:pos="851"/>
        </w:tabs>
        <w:kinsoku/>
        <w:wordWrap/>
        <w:overflowPunct/>
        <w:topLinePunct w:val="0"/>
        <w:autoSpaceDE/>
        <w:autoSpaceDN/>
        <w:bidi w:val="0"/>
        <w:adjustRightInd/>
        <w:spacing w:line="400" w:lineRule="exact"/>
        <w:ind w:left="995" w:leftChars="1" w:hanging="993" w:hangingChars="471"/>
        <w:textAlignment w:val="auto"/>
        <w:rPr>
          <w:rFonts w:hAnsi="宋体"/>
          <w:b/>
          <w:color w:val="auto"/>
        </w:rPr>
      </w:pPr>
      <w:r>
        <w:rPr>
          <w:rFonts w:hint="eastAsia" w:hAnsi="宋体"/>
          <w:b/>
          <w:color w:val="auto"/>
        </w:rPr>
        <w:t>电子交易平台应用或数据库出现错误，不能进行正常操作的；</w:t>
      </w:r>
    </w:p>
    <w:p>
      <w:pPr>
        <w:pageBreakBefore w:val="0"/>
        <w:widowControl/>
        <w:numPr>
          <w:ilvl w:val="0"/>
          <w:numId w:val="19"/>
        </w:numPr>
        <w:tabs>
          <w:tab w:val="left" w:pos="425"/>
          <w:tab w:val="left" w:pos="851"/>
        </w:tabs>
        <w:kinsoku/>
        <w:wordWrap/>
        <w:overflowPunct/>
        <w:topLinePunct w:val="0"/>
        <w:autoSpaceDE/>
        <w:autoSpaceDN/>
        <w:bidi w:val="0"/>
        <w:adjustRightInd/>
        <w:spacing w:line="400" w:lineRule="exact"/>
        <w:ind w:left="995" w:leftChars="1" w:hanging="993" w:hangingChars="471"/>
        <w:textAlignment w:val="auto"/>
        <w:rPr>
          <w:rFonts w:hAnsi="宋体"/>
          <w:b/>
          <w:color w:val="auto"/>
        </w:rPr>
      </w:pPr>
      <w:r>
        <w:rPr>
          <w:rFonts w:hint="eastAsia" w:hAnsi="宋体"/>
          <w:b/>
          <w:color w:val="auto"/>
        </w:rPr>
        <w:t>电子交易平台发现严重安全漏洞，有潜在泄密危险的；</w:t>
      </w:r>
    </w:p>
    <w:p>
      <w:pPr>
        <w:pageBreakBefore w:val="0"/>
        <w:widowControl/>
        <w:numPr>
          <w:ilvl w:val="0"/>
          <w:numId w:val="19"/>
        </w:numPr>
        <w:tabs>
          <w:tab w:val="left" w:pos="425"/>
          <w:tab w:val="left" w:pos="851"/>
        </w:tabs>
        <w:kinsoku/>
        <w:wordWrap/>
        <w:overflowPunct/>
        <w:topLinePunct w:val="0"/>
        <w:autoSpaceDE/>
        <w:autoSpaceDN/>
        <w:bidi w:val="0"/>
        <w:adjustRightInd/>
        <w:spacing w:line="400" w:lineRule="exact"/>
        <w:ind w:left="995" w:leftChars="1" w:hanging="993" w:hangingChars="471"/>
        <w:textAlignment w:val="auto"/>
        <w:rPr>
          <w:rFonts w:hAnsi="宋体"/>
          <w:b/>
          <w:color w:val="auto"/>
        </w:rPr>
      </w:pPr>
      <w:r>
        <w:rPr>
          <w:rFonts w:hint="eastAsia" w:hAnsi="宋体"/>
          <w:b/>
          <w:color w:val="auto"/>
        </w:rPr>
        <w:t>病毒发作导致不能进行正常操作的；</w:t>
      </w:r>
    </w:p>
    <w:p>
      <w:pPr>
        <w:pageBreakBefore w:val="0"/>
        <w:widowControl/>
        <w:numPr>
          <w:ilvl w:val="0"/>
          <w:numId w:val="19"/>
        </w:numPr>
        <w:tabs>
          <w:tab w:val="left" w:pos="425"/>
          <w:tab w:val="left" w:pos="851"/>
        </w:tabs>
        <w:kinsoku/>
        <w:wordWrap/>
        <w:overflowPunct/>
        <w:topLinePunct w:val="0"/>
        <w:autoSpaceDE/>
        <w:autoSpaceDN/>
        <w:bidi w:val="0"/>
        <w:adjustRightInd/>
        <w:spacing w:line="400" w:lineRule="exact"/>
        <w:ind w:left="995" w:leftChars="1" w:hanging="993" w:hangingChars="471"/>
        <w:textAlignment w:val="auto"/>
        <w:rPr>
          <w:rFonts w:hAnsi="宋体"/>
          <w:b/>
          <w:color w:val="auto"/>
        </w:rPr>
      </w:pPr>
      <w:r>
        <w:rPr>
          <w:rFonts w:hint="eastAsia" w:hAnsi="宋体"/>
          <w:b/>
          <w:color w:val="auto"/>
        </w:rPr>
        <w:t>其他无法保证电子交易的公平、公正和安全的情况。</w:t>
      </w:r>
    </w:p>
    <w:p>
      <w:pPr>
        <w:pStyle w:val="63"/>
        <w:pageBreakBefore w:val="0"/>
        <w:widowControl/>
        <w:kinsoku/>
        <w:wordWrap/>
        <w:overflowPunct/>
        <w:topLinePunct w:val="0"/>
        <w:autoSpaceDE/>
        <w:autoSpaceDN/>
        <w:bidi w:val="0"/>
        <w:adjustRightInd/>
        <w:snapToGrid w:val="0"/>
        <w:spacing w:line="400" w:lineRule="exact"/>
        <w:ind w:right="-86" w:rightChars="-41" w:firstLine="843" w:firstLineChars="400"/>
        <w:textAlignment w:val="auto"/>
        <w:rPr>
          <w:rFonts w:hAnsi="宋体"/>
          <w:b/>
          <w:bCs/>
          <w:color w:val="auto"/>
        </w:rPr>
      </w:pPr>
      <w:r>
        <w:rPr>
          <w:rFonts w:hint="eastAsia" w:hAnsi="宋体"/>
          <w:b/>
          <w:bCs/>
          <w:color w:val="auto"/>
        </w:rPr>
        <w:t>出现前款规定情形，不影响采购公平、公正性的，采购代理机构可以待上述情形消</w:t>
      </w:r>
    </w:p>
    <w:p>
      <w:pPr>
        <w:pStyle w:val="63"/>
        <w:pageBreakBefore w:val="0"/>
        <w:widowControl/>
        <w:kinsoku/>
        <w:wordWrap/>
        <w:overflowPunct/>
        <w:topLinePunct w:val="0"/>
        <w:autoSpaceDE/>
        <w:autoSpaceDN/>
        <w:bidi w:val="0"/>
        <w:adjustRightInd/>
        <w:snapToGrid w:val="0"/>
        <w:spacing w:line="400" w:lineRule="exact"/>
        <w:ind w:right="-86" w:rightChars="-41" w:firstLine="843" w:firstLineChars="400"/>
        <w:textAlignment w:val="auto"/>
        <w:rPr>
          <w:rFonts w:hAnsi="宋体"/>
          <w:b/>
          <w:bCs/>
          <w:color w:val="auto"/>
        </w:rPr>
      </w:pPr>
      <w:r>
        <w:rPr>
          <w:rFonts w:hint="eastAsia" w:hAnsi="宋体"/>
          <w:b/>
          <w:bCs/>
          <w:color w:val="auto"/>
        </w:rPr>
        <w:t>除后继续组织电子交易活动，也可以决定某些环节以纸质形式进行；影响或可能影</w:t>
      </w:r>
    </w:p>
    <w:p>
      <w:pPr>
        <w:pStyle w:val="63"/>
        <w:pageBreakBefore w:val="0"/>
        <w:widowControl/>
        <w:kinsoku/>
        <w:wordWrap/>
        <w:overflowPunct/>
        <w:topLinePunct w:val="0"/>
        <w:autoSpaceDE/>
        <w:autoSpaceDN/>
        <w:bidi w:val="0"/>
        <w:adjustRightInd/>
        <w:snapToGrid w:val="0"/>
        <w:spacing w:line="400" w:lineRule="exact"/>
        <w:ind w:right="-86" w:rightChars="-41" w:firstLine="843" w:firstLineChars="400"/>
        <w:textAlignment w:val="auto"/>
        <w:rPr>
          <w:b/>
          <w:bCs/>
          <w:color w:val="auto"/>
        </w:rPr>
      </w:pPr>
      <w:r>
        <w:rPr>
          <w:rFonts w:hint="eastAsia" w:hAnsi="宋体"/>
          <w:b/>
          <w:bCs/>
          <w:color w:val="auto"/>
        </w:rPr>
        <w:t>响采购公平、公正性的，重新采购。</w:t>
      </w:r>
    </w:p>
    <w:p>
      <w:pPr>
        <w:pageBreakBefore w:val="0"/>
        <w:widowControl/>
        <w:numPr>
          <w:ilvl w:val="0"/>
          <w:numId w:val="11"/>
        </w:numPr>
        <w:kinsoku/>
        <w:wordWrap/>
        <w:overflowPunct/>
        <w:topLinePunct w:val="0"/>
        <w:autoSpaceDE/>
        <w:autoSpaceDN/>
        <w:bidi w:val="0"/>
        <w:adjustRightInd/>
        <w:spacing w:line="400" w:lineRule="exact"/>
        <w:jc w:val="both"/>
        <w:textAlignment w:val="auto"/>
        <w:rPr>
          <w:rFonts w:ascii="Arial" w:hAnsi="Arial"/>
          <w:b/>
          <w:bCs/>
          <w:color w:val="auto"/>
          <w:sz w:val="24"/>
        </w:rPr>
      </w:pPr>
      <w:r>
        <w:rPr>
          <w:rFonts w:hint="eastAsia" w:ascii="Arial" w:hAnsi="Arial"/>
          <w:b/>
          <w:color w:val="auto"/>
          <w:sz w:val="24"/>
        </w:rPr>
        <w:t>成交供应商的确定</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采购机构按磋商小组的评审结果，确定第一成交预选供应商为成交供应商，当第一成交预选供应商因故不能成交时，可以确定第二成交预选供应商为成交供应商，以此类推。</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采购机构将在 “浙江省政府采购网”（网址：http://zfcg.czt.zj.gov.cn/）上发布《成交结果公示》，公告期限为1个工作日。</w:t>
      </w:r>
    </w:p>
    <w:p>
      <w:pPr>
        <w:pageBreakBefore w:val="0"/>
        <w:widowControl/>
        <w:numPr>
          <w:ilvl w:val="0"/>
          <w:numId w:val="11"/>
        </w:numPr>
        <w:kinsoku/>
        <w:wordWrap/>
        <w:overflowPunct/>
        <w:topLinePunct w:val="0"/>
        <w:autoSpaceDE/>
        <w:autoSpaceDN/>
        <w:bidi w:val="0"/>
        <w:adjustRightInd/>
        <w:spacing w:line="400" w:lineRule="exact"/>
        <w:jc w:val="both"/>
        <w:textAlignment w:val="auto"/>
        <w:rPr>
          <w:rFonts w:ascii="Arial" w:hAnsi="Arial"/>
          <w:b/>
          <w:bCs/>
          <w:color w:val="auto"/>
          <w:sz w:val="24"/>
        </w:rPr>
      </w:pPr>
      <w:r>
        <w:rPr>
          <w:rFonts w:ascii="宋体" w:hAnsi="宋体"/>
          <w:b/>
          <w:bCs/>
          <w:color w:val="auto"/>
          <w:sz w:val="24"/>
        </w:rPr>
        <w:t>评标过程保密</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磋商之后，直到授予磋商供应商合同止，凡是属于审查、澄清、评价和比较磋商的有关资料以及授标意向等，均不得向磋商供应商或其他无关的人员透露。</w:t>
      </w:r>
    </w:p>
    <w:p>
      <w:pPr>
        <w:pageBreakBefore w:val="0"/>
        <w:widowControl/>
        <w:numPr>
          <w:ilvl w:val="0"/>
          <w:numId w:val="11"/>
        </w:numPr>
        <w:kinsoku/>
        <w:wordWrap/>
        <w:overflowPunct/>
        <w:topLinePunct w:val="0"/>
        <w:autoSpaceDE/>
        <w:autoSpaceDN/>
        <w:bidi w:val="0"/>
        <w:adjustRightInd/>
        <w:spacing w:line="400" w:lineRule="exact"/>
        <w:jc w:val="both"/>
        <w:textAlignment w:val="auto"/>
        <w:rPr>
          <w:rFonts w:ascii="Arial" w:hAnsi="Arial"/>
          <w:b/>
          <w:color w:val="auto"/>
          <w:sz w:val="24"/>
        </w:rPr>
      </w:pPr>
      <w:r>
        <w:rPr>
          <w:rFonts w:hint="eastAsia" w:ascii="Arial" w:hAnsi="Arial"/>
          <w:b/>
          <w:color w:val="auto"/>
          <w:sz w:val="24"/>
        </w:rPr>
        <w:t>否决任何或所有磋商的权利</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磋商小组经评审，认为所有磋商都不符合磋商文件要求的，可以否决所有磋商。</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磋商，并宣布采购无效，对受影响的磋商供应商不承担任何责任，也无义务向受影响的磋商供应商解释采取这一行动的理由。</w:t>
      </w:r>
    </w:p>
    <w:p>
      <w:pPr>
        <w:pageBreakBefore w:val="0"/>
        <w:widowControl/>
        <w:numPr>
          <w:ilvl w:val="0"/>
          <w:numId w:val="11"/>
        </w:numPr>
        <w:kinsoku/>
        <w:wordWrap/>
        <w:overflowPunct/>
        <w:topLinePunct w:val="0"/>
        <w:autoSpaceDE/>
        <w:autoSpaceDN/>
        <w:bidi w:val="0"/>
        <w:adjustRightInd/>
        <w:spacing w:line="400" w:lineRule="exact"/>
        <w:jc w:val="both"/>
        <w:textAlignment w:val="auto"/>
        <w:rPr>
          <w:rFonts w:ascii="Arial" w:hAnsi="Arial"/>
          <w:b/>
          <w:color w:val="auto"/>
          <w:sz w:val="24"/>
        </w:rPr>
      </w:pPr>
      <w:r>
        <w:rPr>
          <w:rFonts w:hint="eastAsia" w:ascii="Arial" w:hAnsi="Arial"/>
          <w:b/>
          <w:color w:val="auto"/>
          <w:sz w:val="24"/>
        </w:rPr>
        <w:t>质疑与投诉</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Arial" w:hAnsi="Arial"/>
          <w:color w:val="auto"/>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ascii="Arial" w:hAnsi="Arial"/>
          <w:color w:val="auto"/>
        </w:rPr>
        <w:t>对</w:t>
      </w:r>
      <w:r>
        <w:rPr>
          <w:rFonts w:hint="eastAsia" w:ascii="Arial" w:hAnsi="Arial"/>
          <w:color w:val="auto"/>
        </w:rPr>
        <w:t>采购</w:t>
      </w:r>
      <w:r>
        <w:rPr>
          <w:rFonts w:ascii="Arial" w:hAnsi="Arial"/>
          <w:color w:val="auto"/>
        </w:rPr>
        <w:t>公告信息（含供应商资格条件）</w:t>
      </w:r>
      <w:r>
        <w:rPr>
          <w:rFonts w:hint="eastAsia" w:ascii="Arial" w:hAnsi="Arial"/>
          <w:color w:val="auto"/>
        </w:rPr>
        <w:t>或网上下载的采购</w:t>
      </w:r>
      <w:r>
        <w:rPr>
          <w:rFonts w:ascii="Arial" w:hAnsi="Arial"/>
          <w:color w:val="auto"/>
        </w:rPr>
        <w:t>文件提出质疑的，质疑期限自</w:t>
      </w:r>
      <w:r>
        <w:rPr>
          <w:rFonts w:hint="eastAsia" w:ascii="Arial" w:hAnsi="Arial"/>
          <w:color w:val="auto"/>
        </w:rPr>
        <w:t>采购</w:t>
      </w:r>
      <w:r>
        <w:rPr>
          <w:rFonts w:ascii="Arial" w:hAnsi="Arial"/>
          <w:color w:val="auto"/>
        </w:rPr>
        <w:t>公告</w:t>
      </w:r>
      <w:r>
        <w:rPr>
          <w:rFonts w:hint="eastAsia" w:ascii="Arial" w:hAnsi="Arial"/>
          <w:color w:val="auto"/>
        </w:rPr>
        <w:t>或采购</w:t>
      </w:r>
      <w:r>
        <w:rPr>
          <w:rFonts w:ascii="Arial" w:hAnsi="Arial"/>
          <w:color w:val="auto"/>
        </w:rPr>
        <w:t>文件发布之日起计算。对</w:t>
      </w:r>
      <w:r>
        <w:rPr>
          <w:rFonts w:hint="eastAsia" w:ascii="Arial" w:hAnsi="Arial"/>
          <w:color w:val="auto"/>
        </w:rPr>
        <w:t>实行申请获取的采购</w:t>
      </w:r>
      <w:r>
        <w:rPr>
          <w:rFonts w:ascii="Arial" w:hAnsi="Arial"/>
          <w:color w:val="auto"/>
        </w:rPr>
        <w:t>文件提出质疑的，质疑期限自供应商获得</w:t>
      </w:r>
      <w:r>
        <w:rPr>
          <w:rFonts w:hint="eastAsia" w:ascii="Arial" w:hAnsi="Arial"/>
          <w:color w:val="auto"/>
        </w:rPr>
        <w:t>采购</w:t>
      </w:r>
      <w:r>
        <w:rPr>
          <w:rFonts w:ascii="Arial" w:hAnsi="Arial"/>
          <w:color w:val="auto"/>
        </w:rPr>
        <w:t>文件之日起计算，且应当在采购响应截止时间之前提出，否则，被质疑人可不予</w:t>
      </w:r>
      <w:r>
        <w:rPr>
          <w:rFonts w:hint="eastAsia" w:ascii="Arial" w:hAnsi="Arial"/>
          <w:color w:val="auto"/>
        </w:rPr>
        <w:t>受理。</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宋体" w:hAnsi="宋体"/>
          <w:color w:val="auto"/>
          <w:szCs w:val="21"/>
        </w:rPr>
        <w:t>疫情防控期间，政府采购供应商可以通过登录“浙江政务服务网”（http://www.zjzwfw.gov.cn/），搜索关键字“政府采购投诉处理”，或者选择“部</w:t>
      </w:r>
      <w:r>
        <w:rPr>
          <w:rFonts w:hint="eastAsia" w:ascii="宋体" w:hAnsi="宋体"/>
          <w:color w:val="auto"/>
          <w:szCs w:val="21"/>
          <w:lang w:val="en-US" w:eastAsia="zh-CN"/>
        </w:rPr>
        <w:t>门服务</w:t>
      </w:r>
      <w:r>
        <w:rPr>
          <w:rFonts w:hint="eastAsia" w:ascii="宋体" w:hAnsi="宋体"/>
          <w:color w:val="auto"/>
          <w:szCs w:val="21"/>
        </w:rPr>
        <w:t>—省财政厅—行政裁决—政府采购投诉处理”，点击“在线办理”，即可进行在线投诉。财政部门审查受理、处理决定等政府采购投诉处理相关文书均在线送达，政府采购投诉供应商明确表示需要邮寄的除外</w:t>
      </w:r>
      <w:r>
        <w:rPr>
          <w:rFonts w:hint="eastAsia" w:ascii="Arial" w:hAnsi="Arial"/>
          <w:color w:val="auto"/>
        </w:rPr>
        <w:t>。</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color w:val="auto"/>
        </w:rPr>
      </w:pPr>
      <w:r>
        <w:rPr>
          <w:rFonts w:hint="eastAsia" w:ascii="宋体" w:hAnsi="宋体"/>
          <w:color w:val="auto"/>
        </w:rPr>
        <w:t>质疑、投诉应当采用书面形式，质疑书、投诉书均应明确阐述磋商文件、磋商过程和成交结果中使自己合法权益受到损害的实质性内容，提供相关事实、依据和证据及其来源或线索，便于有关单位调查、答复和处理。磋商供应商在法定质疑期内应一次性提出针对同一采购程序环节的质疑。</w:t>
      </w:r>
      <w:r>
        <w:rPr>
          <w:rFonts w:hint="eastAsia" w:ascii="宋体" w:hAnsi="宋体"/>
          <w:color w:val="auto"/>
          <w:szCs w:val="21"/>
        </w:rPr>
        <w:t>质疑函范本、投诉书范本请到浙江政府采购网下载专区下载</w:t>
      </w:r>
      <w:r>
        <w:rPr>
          <w:rFonts w:hint="eastAsia" w:ascii="Arial" w:hAnsi="Arial"/>
          <w:color w:val="auto"/>
        </w:rPr>
        <w:t>。</w:t>
      </w:r>
    </w:p>
    <w:p>
      <w:pPr>
        <w:pageBreakBefore w:val="0"/>
        <w:widowControl/>
        <w:numPr>
          <w:ilvl w:val="0"/>
          <w:numId w:val="20"/>
        </w:numPr>
        <w:tabs>
          <w:tab w:val="left" w:pos="425"/>
          <w:tab w:val="left" w:pos="1133"/>
        </w:tabs>
        <w:kinsoku/>
        <w:wordWrap/>
        <w:overflowPunct/>
        <w:topLinePunct w:val="0"/>
        <w:autoSpaceDE/>
        <w:autoSpaceDN/>
        <w:bidi w:val="0"/>
        <w:adjustRightInd/>
        <w:spacing w:line="400" w:lineRule="exact"/>
        <w:ind w:left="1453" w:leftChars="392" w:hanging="630" w:hangingChars="300"/>
        <w:textAlignment w:val="auto"/>
        <w:rPr>
          <w:rFonts w:ascii="Arial" w:hAnsi="Arial"/>
          <w:color w:val="auto"/>
        </w:rPr>
      </w:pPr>
      <w:r>
        <w:rPr>
          <w:rFonts w:hint="eastAsia" w:ascii="Arial" w:hAnsi="Arial"/>
          <w:color w:val="auto"/>
        </w:rPr>
        <w:t>质疑受理机构：浙江瑞扬工程咨询招标代理股份有限公司</w:t>
      </w:r>
    </w:p>
    <w:p>
      <w:pPr>
        <w:pageBreakBefore w:val="0"/>
        <w:widowControl/>
        <w:tabs>
          <w:tab w:val="left" w:pos="425"/>
          <w:tab w:val="left" w:pos="1133"/>
        </w:tabs>
        <w:kinsoku/>
        <w:wordWrap/>
        <w:overflowPunct/>
        <w:topLinePunct w:val="0"/>
        <w:autoSpaceDE/>
        <w:autoSpaceDN/>
        <w:bidi w:val="0"/>
        <w:adjustRightInd/>
        <w:spacing w:line="400" w:lineRule="exact"/>
        <w:ind w:left="1453"/>
        <w:textAlignment w:val="auto"/>
        <w:rPr>
          <w:rFonts w:ascii="Arial" w:hAnsi="Arial"/>
          <w:color w:val="auto"/>
        </w:rPr>
      </w:pPr>
      <w:r>
        <w:rPr>
          <w:rFonts w:hint="eastAsia" w:ascii="Arial" w:hAnsi="Arial"/>
          <w:color w:val="auto"/>
        </w:rPr>
        <w:t>受理地址：瑞安市安福路28号三楼</w:t>
      </w:r>
    </w:p>
    <w:p>
      <w:pPr>
        <w:pageBreakBefore w:val="0"/>
        <w:widowControl/>
        <w:tabs>
          <w:tab w:val="left" w:pos="425"/>
          <w:tab w:val="left" w:pos="1133"/>
        </w:tabs>
        <w:kinsoku/>
        <w:wordWrap/>
        <w:overflowPunct/>
        <w:topLinePunct w:val="0"/>
        <w:autoSpaceDE/>
        <w:autoSpaceDN/>
        <w:bidi w:val="0"/>
        <w:adjustRightInd/>
        <w:spacing w:line="400" w:lineRule="exact"/>
        <w:ind w:firstLine="1470" w:firstLineChars="700"/>
        <w:textAlignment w:val="auto"/>
        <w:rPr>
          <w:rFonts w:ascii="Arial" w:hAnsi="Arial"/>
          <w:color w:val="auto"/>
        </w:rPr>
      </w:pPr>
      <w:r>
        <w:rPr>
          <w:rFonts w:hint="eastAsia" w:ascii="Arial" w:hAnsi="Arial"/>
          <w:color w:val="auto"/>
        </w:rPr>
        <w:t>受理电话：</w:t>
      </w:r>
      <w:r>
        <w:rPr>
          <w:rFonts w:ascii="Arial" w:hAnsi="Arial"/>
          <w:color w:val="auto"/>
        </w:rPr>
        <w:t>0577-65802277</w:t>
      </w:r>
    </w:p>
    <w:p>
      <w:pPr>
        <w:pageBreakBefore w:val="0"/>
        <w:widowControl/>
        <w:numPr>
          <w:ilvl w:val="0"/>
          <w:numId w:val="20"/>
        </w:numPr>
        <w:tabs>
          <w:tab w:val="left" w:pos="425"/>
          <w:tab w:val="left" w:pos="1133"/>
        </w:tabs>
        <w:kinsoku/>
        <w:wordWrap/>
        <w:overflowPunct/>
        <w:topLinePunct w:val="0"/>
        <w:autoSpaceDE/>
        <w:autoSpaceDN/>
        <w:bidi w:val="0"/>
        <w:adjustRightInd/>
        <w:spacing w:line="400" w:lineRule="exact"/>
        <w:ind w:left="1453" w:leftChars="392" w:hanging="630" w:hangingChars="300"/>
        <w:textAlignment w:val="auto"/>
        <w:rPr>
          <w:rFonts w:ascii="Arial" w:hAnsi="Arial"/>
          <w:color w:val="auto"/>
        </w:rPr>
      </w:pPr>
      <w:r>
        <w:rPr>
          <w:rFonts w:hint="eastAsia" w:ascii="Arial" w:hAnsi="Arial"/>
          <w:color w:val="auto"/>
        </w:rPr>
        <w:t>质疑受理机构：</w:t>
      </w:r>
      <w:r>
        <w:rPr>
          <w:rFonts w:hint="eastAsia" w:ascii="Arial" w:hAnsi="Arial"/>
          <w:color w:val="auto"/>
          <w:lang w:eastAsia="zh-CN"/>
        </w:rPr>
        <w:t>瑞安安阳中心城区开发建设中心</w:t>
      </w:r>
    </w:p>
    <w:p>
      <w:pPr>
        <w:pageBreakBefore w:val="0"/>
        <w:widowControl/>
        <w:tabs>
          <w:tab w:val="left" w:pos="425"/>
          <w:tab w:val="left" w:pos="1133"/>
        </w:tabs>
        <w:kinsoku/>
        <w:wordWrap/>
        <w:overflowPunct/>
        <w:topLinePunct w:val="0"/>
        <w:autoSpaceDE/>
        <w:autoSpaceDN/>
        <w:bidi w:val="0"/>
        <w:adjustRightInd/>
        <w:spacing w:line="400" w:lineRule="exact"/>
        <w:ind w:left="1418"/>
        <w:textAlignment w:val="auto"/>
        <w:rPr>
          <w:rFonts w:hint="eastAsia" w:ascii="Arial" w:hAnsi="Arial" w:eastAsia="宋体"/>
          <w:color w:val="auto"/>
          <w:lang w:eastAsia="zh-CN"/>
        </w:rPr>
      </w:pPr>
      <w:r>
        <w:rPr>
          <w:rFonts w:hint="eastAsia" w:ascii="Arial" w:hAnsi="Arial"/>
          <w:color w:val="auto"/>
        </w:rPr>
        <w:t>受理地址：</w:t>
      </w:r>
      <w:r>
        <w:rPr>
          <w:rFonts w:hint="eastAsia" w:ascii="Arial" w:hAnsi="Arial"/>
          <w:color w:val="auto"/>
          <w:lang w:eastAsia="zh-CN"/>
        </w:rPr>
        <w:t>瑞安市时代大厦15楼</w:t>
      </w:r>
    </w:p>
    <w:p>
      <w:pPr>
        <w:pageBreakBefore w:val="0"/>
        <w:widowControl/>
        <w:tabs>
          <w:tab w:val="left" w:pos="425"/>
          <w:tab w:val="left" w:pos="1133"/>
        </w:tabs>
        <w:kinsoku/>
        <w:wordWrap/>
        <w:overflowPunct/>
        <w:topLinePunct w:val="0"/>
        <w:autoSpaceDE/>
        <w:autoSpaceDN/>
        <w:bidi w:val="0"/>
        <w:adjustRightInd/>
        <w:spacing w:line="400" w:lineRule="exact"/>
        <w:ind w:left="1418"/>
        <w:textAlignment w:val="auto"/>
        <w:rPr>
          <w:rFonts w:ascii="Arial" w:hAnsi="Arial"/>
          <w:color w:val="auto"/>
        </w:rPr>
      </w:pPr>
      <w:r>
        <w:rPr>
          <w:rFonts w:hint="eastAsia" w:ascii="Arial" w:hAnsi="Arial"/>
          <w:color w:val="auto"/>
        </w:rPr>
        <w:t>受理电话：0577-66860177</w:t>
      </w:r>
    </w:p>
    <w:p>
      <w:pPr>
        <w:pageBreakBefore w:val="0"/>
        <w:widowControl/>
        <w:numPr>
          <w:ilvl w:val="0"/>
          <w:numId w:val="20"/>
        </w:numPr>
        <w:tabs>
          <w:tab w:val="left" w:pos="425"/>
          <w:tab w:val="left" w:pos="1133"/>
        </w:tabs>
        <w:kinsoku/>
        <w:wordWrap/>
        <w:overflowPunct/>
        <w:topLinePunct w:val="0"/>
        <w:autoSpaceDE/>
        <w:autoSpaceDN/>
        <w:bidi w:val="0"/>
        <w:adjustRightInd/>
        <w:spacing w:line="400" w:lineRule="exact"/>
        <w:ind w:left="1453" w:leftChars="392" w:hanging="630" w:hangingChars="300"/>
        <w:textAlignment w:val="auto"/>
        <w:rPr>
          <w:rFonts w:ascii="Arial" w:hAnsi="Arial"/>
          <w:color w:val="auto"/>
        </w:rPr>
      </w:pPr>
      <w:r>
        <w:rPr>
          <w:rFonts w:hint="eastAsia" w:ascii="Arial" w:hAnsi="Arial"/>
          <w:color w:val="auto"/>
        </w:rPr>
        <w:t>投诉受理机构：瑞安市财政局政府采购监管科</w:t>
      </w:r>
    </w:p>
    <w:p>
      <w:pPr>
        <w:pageBreakBefore w:val="0"/>
        <w:widowControl/>
        <w:tabs>
          <w:tab w:val="left" w:pos="425"/>
          <w:tab w:val="left" w:pos="1133"/>
        </w:tabs>
        <w:kinsoku/>
        <w:wordWrap/>
        <w:overflowPunct/>
        <w:topLinePunct w:val="0"/>
        <w:autoSpaceDE/>
        <w:autoSpaceDN/>
        <w:bidi w:val="0"/>
        <w:adjustRightInd/>
        <w:spacing w:line="400" w:lineRule="exact"/>
        <w:ind w:left="1418"/>
        <w:textAlignment w:val="auto"/>
        <w:rPr>
          <w:rFonts w:ascii="Arial" w:hAnsi="Arial"/>
          <w:color w:val="auto"/>
        </w:rPr>
      </w:pPr>
      <w:r>
        <w:rPr>
          <w:rFonts w:hint="eastAsia" w:ascii="Arial" w:hAnsi="Arial"/>
          <w:color w:val="auto"/>
        </w:rPr>
        <w:t>投诉地址：瑞安市财政局大楼15楼</w:t>
      </w:r>
    </w:p>
    <w:p>
      <w:pPr>
        <w:pageBreakBefore w:val="0"/>
        <w:widowControl/>
        <w:tabs>
          <w:tab w:val="left" w:pos="425"/>
          <w:tab w:val="left" w:pos="1133"/>
        </w:tabs>
        <w:kinsoku/>
        <w:wordWrap/>
        <w:overflowPunct/>
        <w:topLinePunct w:val="0"/>
        <w:autoSpaceDE/>
        <w:autoSpaceDN/>
        <w:bidi w:val="0"/>
        <w:adjustRightInd/>
        <w:spacing w:line="400" w:lineRule="exact"/>
        <w:ind w:left="1418"/>
        <w:textAlignment w:val="auto"/>
        <w:rPr>
          <w:rFonts w:ascii="Arial" w:hAnsi="Arial"/>
          <w:color w:val="auto"/>
        </w:rPr>
      </w:pPr>
      <w:r>
        <w:rPr>
          <w:rFonts w:hint="eastAsia" w:ascii="Arial" w:hAnsi="Arial"/>
          <w:color w:val="auto"/>
        </w:rPr>
        <w:t>投诉电话：0577-65827570</w:t>
      </w:r>
    </w:p>
    <w:p>
      <w:pPr>
        <w:pStyle w:val="6"/>
        <w:pageBreakBefore w:val="0"/>
        <w:widowControl/>
        <w:kinsoku/>
        <w:wordWrap/>
        <w:overflowPunct/>
        <w:topLinePunct w:val="0"/>
        <w:autoSpaceDE/>
        <w:autoSpaceDN/>
        <w:bidi w:val="0"/>
        <w:adjustRightInd/>
        <w:spacing w:before="0" w:after="0" w:line="400" w:lineRule="exact"/>
        <w:jc w:val="center"/>
        <w:textAlignment w:val="auto"/>
        <w:rPr>
          <w:color w:val="auto"/>
          <w:sz w:val="24"/>
          <w:szCs w:val="24"/>
        </w:rPr>
      </w:pPr>
      <w:bookmarkStart w:id="26" w:name="_Toc7198"/>
      <w:bookmarkStart w:id="27" w:name="_Toc18067422"/>
      <w:r>
        <w:rPr>
          <w:rFonts w:hint="eastAsia"/>
          <w:color w:val="auto"/>
          <w:sz w:val="24"/>
          <w:szCs w:val="24"/>
        </w:rPr>
        <w:t>（七）授予合同</w:t>
      </w:r>
      <w:bookmarkEnd w:id="26"/>
      <w:bookmarkEnd w:id="27"/>
    </w:p>
    <w:p>
      <w:pPr>
        <w:pageBreakBefore w:val="0"/>
        <w:widowControl/>
        <w:numPr>
          <w:ilvl w:val="0"/>
          <w:numId w:val="11"/>
        </w:numPr>
        <w:kinsoku/>
        <w:wordWrap/>
        <w:overflowPunct/>
        <w:topLinePunct w:val="0"/>
        <w:autoSpaceDE/>
        <w:autoSpaceDN/>
        <w:bidi w:val="0"/>
        <w:adjustRightInd/>
        <w:spacing w:line="400" w:lineRule="exact"/>
        <w:jc w:val="both"/>
        <w:textAlignment w:val="auto"/>
        <w:rPr>
          <w:rFonts w:ascii="Arial" w:hAnsi="Arial"/>
          <w:color w:val="auto"/>
        </w:rPr>
      </w:pPr>
      <w:r>
        <w:rPr>
          <w:rFonts w:hint="eastAsia" w:ascii="Arial" w:hAnsi="Arial"/>
          <w:b/>
          <w:color w:val="auto"/>
          <w:sz w:val="24"/>
        </w:rPr>
        <w:t>成交通知</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hint="eastAsia" w:ascii="Arial" w:hAnsi="Arial"/>
          <w:color w:val="auto"/>
        </w:rPr>
        <w:t>在磋商有效期期满之前，采购机构将用书面形式向获接受的成交供应商发出书面的《成交通知书》。《成交通知书》将是合同的一个组成部分。</w:t>
      </w:r>
    </w:p>
    <w:p>
      <w:pPr>
        <w:pageBreakBefore w:val="0"/>
        <w:widowControl/>
        <w:numPr>
          <w:ilvl w:val="0"/>
          <w:numId w:val="11"/>
        </w:numPr>
        <w:kinsoku/>
        <w:wordWrap/>
        <w:overflowPunct/>
        <w:topLinePunct w:val="0"/>
        <w:autoSpaceDE/>
        <w:autoSpaceDN/>
        <w:bidi w:val="0"/>
        <w:adjustRightInd/>
        <w:snapToGrid w:val="0"/>
        <w:spacing w:line="400" w:lineRule="exact"/>
        <w:jc w:val="both"/>
        <w:textAlignment w:val="auto"/>
        <w:rPr>
          <w:rFonts w:ascii="宋体" w:hAnsi="宋体"/>
          <w:color w:val="auto"/>
        </w:rPr>
      </w:pPr>
      <w:r>
        <w:rPr>
          <w:rFonts w:hint="eastAsia" w:ascii="Arial" w:hAnsi="Arial"/>
          <w:b/>
          <w:color w:val="auto"/>
          <w:sz w:val="24"/>
        </w:rPr>
        <w:t>签订合同</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sz w:val="24"/>
        </w:rPr>
      </w:pPr>
      <w:r>
        <w:rPr>
          <w:rFonts w:hint="eastAsia" w:ascii="宋体" w:hAnsi="宋体"/>
          <w:color w:val="auto"/>
        </w:rPr>
        <w:t>成交供应商按《成交通知书》指定的时间、地点与采购人直接签订合同。</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sz w:val="24"/>
        </w:rPr>
      </w:pPr>
      <w:r>
        <w:rPr>
          <w:rFonts w:hint="eastAsia" w:ascii="宋体" w:hAnsi="宋体"/>
          <w:color w:val="auto"/>
        </w:rPr>
        <w:t>磋商文件、成交供应商的磋商响应文件及其澄清文件等，均为签订经济合同的依据。成交供应商自发出成交通知书后</w:t>
      </w:r>
      <w:r>
        <w:rPr>
          <w:rFonts w:ascii="宋体" w:hAnsi="宋体"/>
          <w:color w:val="auto"/>
        </w:rPr>
        <w:t>30</w:t>
      </w:r>
      <w:r>
        <w:rPr>
          <w:rFonts w:hint="eastAsia" w:ascii="宋体" w:hAnsi="宋体"/>
          <w:color w:val="auto"/>
        </w:rPr>
        <w:t>天内与采购人签订合同。</w:t>
      </w:r>
    </w:p>
    <w:p>
      <w:pPr>
        <w:pageBreakBefore w:val="0"/>
        <w:widowControl/>
        <w:numPr>
          <w:ilvl w:val="1"/>
          <w:numId w:val="11"/>
        </w:numPr>
        <w:kinsoku/>
        <w:wordWrap/>
        <w:overflowPunct/>
        <w:topLinePunct w:val="0"/>
        <w:autoSpaceDE/>
        <w:autoSpaceDN/>
        <w:bidi w:val="0"/>
        <w:adjustRightInd/>
        <w:snapToGrid w:val="0"/>
        <w:spacing w:line="400" w:lineRule="exact"/>
        <w:jc w:val="both"/>
        <w:textAlignment w:val="auto"/>
        <w:rPr>
          <w:rFonts w:ascii="Arial" w:hAnsi="Arial"/>
          <w:color w:val="auto"/>
          <w:sz w:val="24"/>
        </w:rPr>
      </w:pPr>
      <w:r>
        <w:rPr>
          <w:rFonts w:hint="eastAsia" w:ascii="宋体" w:hAnsi="宋体"/>
          <w:color w:val="auto"/>
        </w:rPr>
        <w:t>成交供应商不遵守磋商文件或磋商书的要约、承诺，擅自修改报价或在发出成交通知书</w:t>
      </w:r>
      <w:r>
        <w:rPr>
          <w:rFonts w:ascii="宋体" w:hAnsi="宋体"/>
          <w:color w:val="auto"/>
        </w:rPr>
        <w:t>30</w:t>
      </w:r>
      <w:r>
        <w:rPr>
          <w:rFonts w:hint="eastAsia" w:ascii="宋体" w:hAnsi="宋体"/>
          <w:color w:val="auto"/>
        </w:rPr>
        <w:t>天内，借故拖延、拒签合同者，采购机构取消该单位的成交权，另选其它磋商供应商成交。</w:t>
      </w:r>
    </w:p>
    <w:p>
      <w:pPr>
        <w:pageBreakBefore w:val="0"/>
        <w:widowControl/>
        <w:numPr>
          <w:ilvl w:val="1"/>
          <w:numId w:val="11"/>
        </w:numPr>
        <w:kinsoku/>
        <w:wordWrap/>
        <w:overflowPunct/>
        <w:topLinePunct w:val="0"/>
        <w:autoSpaceDE/>
        <w:autoSpaceDN/>
        <w:bidi w:val="0"/>
        <w:adjustRightInd/>
        <w:snapToGrid w:val="0"/>
        <w:spacing w:line="400" w:lineRule="exact"/>
        <w:ind w:left="850" w:hanging="850"/>
        <w:jc w:val="both"/>
        <w:textAlignment w:val="auto"/>
        <w:rPr>
          <w:rFonts w:ascii="宋体" w:hAnsi="宋体" w:cs="Arial Unicode MS"/>
          <w:color w:val="auto"/>
        </w:rPr>
      </w:pPr>
      <w:r>
        <w:rPr>
          <w:rFonts w:hint="eastAsia" w:ascii="宋体" w:hAnsi="宋体" w:cs="Arial Unicode MS"/>
          <w:color w:val="auto"/>
          <w:kern w:val="2"/>
          <w:szCs w:val="22"/>
        </w:rPr>
        <w:t>享受扶持政策获得政府采购合同的，小微企业不得将合同分包给大中型企业，中型企业不得将合同分包给大型企业。</w:t>
      </w:r>
    </w:p>
    <w:p>
      <w:pPr>
        <w:pageBreakBefore w:val="0"/>
        <w:widowControl/>
        <w:numPr>
          <w:ilvl w:val="1"/>
          <w:numId w:val="11"/>
        </w:numPr>
        <w:kinsoku/>
        <w:wordWrap/>
        <w:overflowPunct/>
        <w:topLinePunct w:val="0"/>
        <w:autoSpaceDE/>
        <w:autoSpaceDN/>
        <w:bidi w:val="0"/>
        <w:adjustRightInd/>
        <w:snapToGrid w:val="0"/>
        <w:spacing w:line="400" w:lineRule="exact"/>
        <w:ind w:left="850" w:hanging="850"/>
        <w:jc w:val="both"/>
        <w:textAlignment w:val="auto"/>
        <w:rPr>
          <w:color w:val="auto"/>
        </w:rPr>
      </w:pPr>
      <w:r>
        <w:rPr>
          <w:rFonts w:hint="eastAsia" w:ascii="宋体" w:hAnsi="宋体" w:cs="Arial Unicode MS"/>
          <w:color w:val="auto"/>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ageBreakBefore w:val="0"/>
        <w:widowControl/>
        <w:numPr>
          <w:ilvl w:val="0"/>
          <w:numId w:val="11"/>
        </w:numPr>
        <w:kinsoku/>
        <w:wordWrap/>
        <w:overflowPunct/>
        <w:topLinePunct w:val="0"/>
        <w:autoSpaceDE/>
        <w:autoSpaceDN/>
        <w:bidi w:val="0"/>
        <w:adjustRightInd/>
        <w:snapToGrid w:val="0"/>
        <w:spacing w:line="400" w:lineRule="exact"/>
        <w:jc w:val="both"/>
        <w:textAlignment w:val="auto"/>
        <w:rPr>
          <w:rFonts w:ascii="Arial" w:hAnsi="Arial"/>
          <w:b/>
          <w:color w:val="auto"/>
          <w:sz w:val="24"/>
        </w:rPr>
      </w:pPr>
      <w:r>
        <w:rPr>
          <w:rFonts w:hint="eastAsia" w:ascii="Arial" w:hAnsi="Arial"/>
          <w:b/>
          <w:color w:val="auto"/>
          <w:sz w:val="24"/>
        </w:rPr>
        <w:t>采购结果通知</w:t>
      </w:r>
    </w:p>
    <w:p>
      <w:pPr>
        <w:pageBreakBefore w:val="0"/>
        <w:widowControl/>
        <w:kinsoku/>
        <w:wordWrap/>
        <w:overflowPunct/>
        <w:topLinePunct w:val="0"/>
        <w:autoSpaceDE/>
        <w:autoSpaceDN/>
        <w:bidi w:val="0"/>
        <w:adjustRightInd/>
        <w:snapToGrid w:val="0"/>
        <w:spacing w:line="400" w:lineRule="exact"/>
        <w:ind w:left="840" w:leftChars="400"/>
        <w:jc w:val="both"/>
        <w:textAlignment w:val="auto"/>
        <w:rPr>
          <w:rFonts w:ascii="宋体" w:hAnsi="宋体"/>
          <w:color w:val="auto"/>
        </w:rPr>
      </w:pPr>
      <w:r>
        <w:rPr>
          <w:rFonts w:hint="eastAsia" w:ascii="Arial" w:hAnsi="Arial"/>
          <w:color w:val="auto"/>
        </w:rPr>
        <w:t>采购机构在发出《成交通知书》的同时在“浙江省政府采购网” （网址：http://zfcg.czt.zj.gov.cn/</w:t>
      </w:r>
      <w:r>
        <w:rPr>
          <w:rFonts w:ascii="Arial" w:hAnsi="Arial"/>
          <w:color w:val="auto"/>
        </w:rPr>
        <w:t>）</w:t>
      </w:r>
      <w:r>
        <w:rPr>
          <w:rFonts w:hint="eastAsia" w:ascii="宋体" w:hAnsi="宋体"/>
          <w:color w:val="auto"/>
        </w:rPr>
        <w:t>发布成交公告。</w:t>
      </w:r>
    </w:p>
    <w:p>
      <w:pPr>
        <w:pageBreakBefore w:val="0"/>
        <w:widowControl/>
        <w:numPr>
          <w:ilvl w:val="0"/>
          <w:numId w:val="11"/>
        </w:numPr>
        <w:kinsoku/>
        <w:wordWrap/>
        <w:overflowPunct/>
        <w:topLinePunct w:val="0"/>
        <w:autoSpaceDE/>
        <w:autoSpaceDN/>
        <w:bidi w:val="0"/>
        <w:adjustRightInd/>
        <w:snapToGrid w:val="0"/>
        <w:spacing w:line="400" w:lineRule="exact"/>
        <w:jc w:val="both"/>
        <w:textAlignment w:val="auto"/>
        <w:rPr>
          <w:rFonts w:ascii="Arial" w:hAnsi="Arial"/>
          <w:color w:val="auto"/>
        </w:rPr>
      </w:pPr>
      <w:r>
        <w:rPr>
          <w:rFonts w:ascii="Arial" w:hAnsi="Arial"/>
          <w:b/>
          <w:color w:val="auto"/>
          <w:sz w:val="24"/>
        </w:rPr>
        <w:t>代理服务费</w:t>
      </w:r>
    </w:p>
    <w:p>
      <w:pPr>
        <w:pageBreakBefore w:val="0"/>
        <w:widowControl/>
        <w:kinsoku/>
        <w:wordWrap/>
        <w:overflowPunct/>
        <w:topLinePunct w:val="0"/>
        <w:autoSpaceDE/>
        <w:autoSpaceDN/>
        <w:bidi w:val="0"/>
        <w:adjustRightInd/>
        <w:snapToGrid w:val="0"/>
        <w:spacing w:line="400" w:lineRule="exact"/>
        <w:ind w:left="840" w:leftChars="400"/>
        <w:textAlignment w:val="auto"/>
        <w:rPr>
          <w:rFonts w:ascii="Arial" w:hAnsi="宋体" w:cs="Arial"/>
          <w:color w:val="auto"/>
        </w:rPr>
      </w:pPr>
      <w:bookmarkStart w:id="28" w:name="_Toc306200953"/>
      <w:r>
        <w:rPr>
          <w:rFonts w:hint="eastAsia" w:ascii="宋体" w:hAnsi="宋体"/>
          <w:b/>
          <w:bCs/>
          <w:color w:val="auto"/>
        </w:rPr>
        <w:t>本次采购代理服务费由成交供应商支付，代理服务费按发改办价格（2003）857号文件及国家计委印发的《招标代理服务收费管理暂行办法》计价格【2002】1980号文件的收费标准收取，</w:t>
      </w:r>
      <w:r>
        <w:rPr>
          <w:rFonts w:hint="eastAsia" w:ascii="宋体" w:hAnsi="宋体"/>
          <w:b/>
          <w:bCs/>
          <w:color w:val="auto"/>
          <w:lang w:val="en-US" w:eastAsia="zh-CN"/>
        </w:rPr>
        <w:t>不足捌仟元整按捌仟元整计取</w:t>
      </w:r>
      <w:r>
        <w:rPr>
          <w:rFonts w:hint="eastAsia" w:ascii="宋体" w:hAnsi="宋体"/>
          <w:b/>
          <w:bCs/>
          <w:color w:val="auto"/>
        </w:rPr>
        <w:t>，</w:t>
      </w:r>
      <w:r>
        <w:rPr>
          <w:rFonts w:ascii="Arial" w:hAnsi="Arial" w:cs="Arial"/>
          <w:b/>
          <w:color w:val="auto"/>
          <w:sz w:val="22"/>
          <w:szCs w:val="22"/>
        </w:rPr>
        <w:t>采购代理服务费不在报价中单列</w:t>
      </w:r>
      <w:r>
        <w:rPr>
          <w:rFonts w:hint="eastAsia" w:ascii="Arial" w:hAnsi="Arial" w:cs="Arial"/>
          <w:b/>
          <w:color w:val="auto"/>
          <w:sz w:val="22"/>
          <w:szCs w:val="22"/>
        </w:rPr>
        <w:t>（各磋商供应商应在报价中予以考虑）</w:t>
      </w:r>
      <w:r>
        <w:rPr>
          <w:rFonts w:ascii="Arial" w:hAnsi="Arial" w:cs="Arial"/>
          <w:b/>
          <w:color w:val="auto"/>
          <w:sz w:val="22"/>
          <w:szCs w:val="22"/>
        </w:rPr>
        <w:t>，该费用必须在领取</w:t>
      </w:r>
      <w:r>
        <w:rPr>
          <w:rFonts w:hint="eastAsia" w:ascii="Arial" w:hAnsi="Arial" w:cs="Arial"/>
          <w:b/>
          <w:color w:val="auto"/>
          <w:sz w:val="22"/>
          <w:szCs w:val="22"/>
        </w:rPr>
        <w:t>成交通知书</w:t>
      </w:r>
      <w:r>
        <w:rPr>
          <w:rFonts w:ascii="Arial" w:hAnsi="Arial" w:cs="Arial"/>
          <w:b/>
          <w:color w:val="auto"/>
          <w:sz w:val="22"/>
          <w:szCs w:val="22"/>
        </w:rPr>
        <w:t>前付清</w:t>
      </w:r>
      <w:r>
        <w:rPr>
          <w:rFonts w:ascii="Arial" w:hAnsi="Arial" w:cs="Arial"/>
          <w:color w:val="auto"/>
          <w:sz w:val="22"/>
          <w:szCs w:val="22"/>
        </w:rPr>
        <w:t>。</w:t>
      </w:r>
    </w:p>
    <w:p>
      <w:pPr>
        <w:pStyle w:val="5"/>
        <w:keepNext w:val="0"/>
        <w:keepLines w:val="0"/>
        <w:pageBreakBefore/>
        <w:spacing w:beforeLines="100" w:afterLines="100" w:line="240" w:lineRule="auto"/>
        <w:jc w:val="center"/>
        <w:rPr>
          <w:rFonts w:hAnsi="宋体"/>
          <w:color w:val="auto"/>
          <w:sz w:val="28"/>
          <w:szCs w:val="36"/>
        </w:rPr>
      </w:pPr>
      <w:bookmarkStart w:id="29" w:name="_Toc19698"/>
      <w:r>
        <w:rPr>
          <w:rFonts w:hint="eastAsia" w:hAnsi="宋体"/>
          <w:color w:val="auto"/>
          <w:sz w:val="28"/>
          <w:szCs w:val="36"/>
        </w:rPr>
        <w:t>第三部分  竞争性磋商内容及要求</w:t>
      </w:r>
      <w:bookmarkEnd w:id="29"/>
    </w:p>
    <w:bookmarkEnd w:id="28"/>
    <w:p>
      <w:pPr>
        <w:numPr>
          <w:ilvl w:val="0"/>
          <w:numId w:val="21"/>
        </w:numPr>
        <w:spacing w:beforeLines="50" w:afterLines="50" w:line="360" w:lineRule="exact"/>
        <w:jc w:val="center"/>
        <w:outlineLvl w:val="1"/>
        <w:rPr>
          <w:rFonts w:ascii="宋体" w:hAnsi="宋体"/>
          <w:b/>
          <w:color w:val="auto"/>
          <w:sz w:val="24"/>
          <w:szCs w:val="22"/>
        </w:rPr>
      </w:pPr>
      <w:bookmarkStart w:id="30" w:name="_Toc534715367"/>
      <w:bookmarkStart w:id="31" w:name="_Toc5624937"/>
      <w:bookmarkStart w:id="32" w:name="_Toc2322"/>
      <w:bookmarkStart w:id="33" w:name="_Toc21529815"/>
      <w:bookmarkStart w:id="34" w:name="_Toc14937258"/>
      <w:bookmarkStart w:id="35" w:name="_Toc23168040"/>
      <w:bookmarkStart w:id="36" w:name="_Toc19007652"/>
      <w:bookmarkStart w:id="37" w:name="_Toc17992967"/>
      <w:bookmarkStart w:id="38" w:name="_Toc8307799"/>
      <w:bookmarkStart w:id="39" w:name="_Toc14794621"/>
      <w:bookmarkStart w:id="40" w:name="_Toc25251149"/>
      <w:bookmarkStart w:id="41" w:name="_Toc534365175"/>
      <w:bookmarkStart w:id="42" w:name="_Toc5287468"/>
      <w:bookmarkStart w:id="43" w:name="_Toc8137050"/>
      <w:bookmarkStart w:id="44" w:name="_Toc534703928"/>
      <w:bookmarkStart w:id="45" w:name="_Toc1732759"/>
      <w:bookmarkStart w:id="46" w:name="_Toc488242717"/>
      <w:bookmarkStart w:id="47" w:name="_Toc1732702"/>
      <w:bookmarkStart w:id="48" w:name="_Toc17975035"/>
      <w:bookmarkStart w:id="49" w:name="_Toc489608343"/>
      <w:bookmarkStart w:id="50" w:name="_Toc9501"/>
      <w:bookmarkStart w:id="51" w:name="_Toc71800211"/>
      <w:bookmarkStart w:id="52" w:name="_Toc16244273"/>
      <w:r>
        <w:rPr>
          <w:rFonts w:hint="eastAsia" w:ascii="宋体" w:hAnsi="宋体"/>
          <w:b/>
          <w:color w:val="auto"/>
          <w:sz w:val="24"/>
          <w:szCs w:val="22"/>
        </w:rPr>
        <w:t>概述</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widowControl w:val="0"/>
        <w:numPr>
          <w:ilvl w:val="1"/>
          <w:numId w:val="22"/>
        </w:numPr>
        <w:tabs>
          <w:tab w:val="left" w:pos="567"/>
          <w:tab w:val="clear" w:pos="950"/>
        </w:tabs>
        <w:snapToGrid w:val="0"/>
        <w:spacing w:line="360" w:lineRule="auto"/>
        <w:ind w:left="567" w:hanging="567"/>
        <w:jc w:val="both"/>
        <w:rPr>
          <w:rFonts w:ascii="Arial" w:hAnsi="Arial" w:cs="Arial"/>
          <w:color w:val="auto"/>
          <w:szCs w:val="21"/>
        </w:rPr>
      </w:pPr>
      <w:bookmarkStart w:id="53" w:name="_Toc14794628"/>
      <w:bookmarkStart w:id="54" w:name="_Toc25251150"/>
      <w:bookmarkStart w:id="55" w:name="_Toc534703929"/>
      <w:bookmarkStart w:id="56" w:name="_Toc534715368"/>
      <w:bookmarkStart w:id="57" w:name="_Toc17992974"/>
      <w:bookmarkStart w:id="58" w:name="_Toc14937265"/>
      <w:bookmarkStart w:id="59" w:name="_Toc8307806"/>
      <w:bookmarkStart w:id="60" w:name="_Toc489608344"/>
      <w:bookmarkStart w:id="61" w:name="_Toc1732760"/>
      <w:bookmarkStart w:id="62" w:name="_Toc534365176"/>
      <w:bookmarkStart w:id="63" w:name="_Toc5287475"/>
      <w:bookmarkStart w:id="64" w:name="_Toc5624944"/>
      <w:bookmarkStart w:id="65" w:name="_Toc23168047"/>
      <w:bookmarkStart w:id="66" w:name="_Toc1732703"/>
      <w:bookmarkStart w:id="67" w:name="_Toc658"/>
      <w:bookmarkStart w:id="68" w:name="_Toc8137057"/>
      <w:bookmarkStart w:id="69" w:name="_Toc488242718"/>
      <w:bookmarkStart w:id="70" w:name="_Toc19007659"/>
      <w:bookmarkStart w:id="71" w:name="_Toc21529822"/>
      <w:bookmarkStart w:id="72" w:name="_Toc17975042"/>
      <w:r>
        <w:rPr>
          <w:rFonts w:ascii="Arial" w:hAnsi="Arial" w:cs="Arial"/>
          <w:color w:val="auto"/>
          <w:szCs w:val="21"/>
        </w:rPr>
        <w:t>磋商供应商必须完成招标内容和合同规定义务，不允许只对部分内容进行报价。</w:t>
      </w:r>
    </w:p>
    <w:p>
      <w:pPr>
        <w:widowControl w:val="0"/>
        <w:numPr>
          <w:ilvl w:val="1"/>
          <w:numId w:val="22"/>
        </w:numPr>
        <w:tabs>
          <w:tab w:val="left" w:pos="567"/>
          <w:tab w:val="clear" w:pos="950"/>
        </w:tabs>
        <w:snapToGrid w:val="0"/>
        <w:spacing w:line="360" w:lineRule="auto"/>
        <w:ind w:left="567" w:hanging="567"/>
        <w:jc w:val="both"/>
        <w:rPr>
          <w:rFonts w:ascii="Arial" w:hAnsi="Arial" w:cs="Arial"/>
          <w:color w:val="auto"/>
          <w:szCs w:val="21"/>
        </w:rPr>
      </w:pPr>
      <w:r>
        <w:rPr>
          <w:rFonts w:ascii="Arial" w:hAnsi="Arial" w:cs="Arial"/>
          <w:b/>
          <w:color w:val="auto"/>
          <w:szCs w:val="21"/>
        </w:rPr>
        <w:t>现场踏勘：各磋商供应商于投标截止时间前自行到现场进行踏勘 ，以获取本次投标所需的现场资料及数据，磋商供应商若未到现场踏勘，引起的一切后果均由其自行负责，由此造成投标价的偏差均不予调整。现场踏勘费用自理。</w:t>
      </w:r>
    </w:p>
    <w:p>
      <w:pPr>
        <w:widowControl w:val="0"/>
        <w:numPr>
          <w:ilvl w:val="1"/>
          <w:numId w:val="22"/>
        </w:numPr>
        <w:tabs>
          <w:tab w:val="left" w:pos="567"/>
          <w:tab w:val="clear" w:pos="950"/>
        </w:tabs>
        <w:snapToGrid w:val="0"/>
        <w:spacing w:line="360" w:lineRule="auto"/>
        <w:ind w:left="567" w:hanging="567"/>
        <w:jc w:val="both"/>
        <w:rPr>
          <w:rFonts w:ascii="Arial" w:hAnsi="Arial" w:cs="Arial"/>
          <w:color w:val="auto"/>
          <w:szCs w:val="21"/>
        </w:rPr>
      </w:pPr>
      <w:r>
        <w:rPr>
          <w:rFonts w:hint="eastAsia" w:ascii="Arial" w:hAnsi="Arial" w:cs="Arial"/>
          <w:bCs/>
          <w:color w:val="auto"/>
        </w:rPr>
        <w:t>磋商供应商需按磋商文件的要求完成采购工作。</w:t>
      </w:r>
      <w:r>
        <w:rPr>
          <w:rFonts w:ascii="Arial" w:hAnsi="Arial" w:cs="Arial"/>
          <w:bCs/>
          <w:color w:val="auto"/>
        </w:rPr>
        <w:t>按工作顺序提交所需的无论其是否被明细列在合同文件中的所有资料，提供的服务必须满足磋商文件中提出的相关要求。</w:t>
      </w:r>
    </w:p>
    <w:p>
      <w:pPr>
        <w:widowControl w:val="0"/>
        <w:numPr>
          <w:ilvl w:val="1"/>
          <w:numId w:val="22"/>
        </w:numPr>
        <w:tabs>
          <w:tab w:val="left" w:pos="567"/>
          <w:tab w:val="clear" w:pos="950"/>
        </w:tabs>
        <w:snapToGrid w:val="0"/>
        <w:spacing w:line="360" w:lineRule="auto"/>
        <w:ind w:left="567" w:hanging="567"/>
        <w:jc w:val="both"/>
        <w:rPr>
          <w:rFonts w:ascii="Arial" w:hAnsi="Arial" w:cs="Arial"/>
          <w:color w:val="auto"/>
          <w:szCs w:val="21"/>
        </w:rPr>
      </w:pPr>
      <w:r>
        <w:rPr>
          <w:rFonts w:ascii="Arial" w:hAnsi="Arial" w:cs="Arial"/>
          <w:color w:val="auto"/>
          <w:szCs w:val="21"/>
        </w:rPr>
        <w:t>在投标之前，磋商供应商须仔细阅读磋商文件，如发现有任何疑问、冲突或技术问题，磋商供应商在答疑截止时间前以书面形式向采购代理机构提出。逾期采购人不再作答复，有关风险及责任由磋商供应商自行承担。</w:t>
      </w:r>
    </w:p>
    <w:p>
      <w:pPr>
        <w:widowControl w:val="0"/>
        <w:numPr>
          <w:ilvl w:val="1"/>
          <w:numId w:val="22"/>
        </w:numPr>
        <w:tabs>
          <w:tab w:val="left" w:pos="567"/>
          <w:tab w:val="clear" w:pos="950"/>
        </w:tabs>
        <w:snapToGrid w:val="0"/>
        <w:spacing w:line="360" w:lineRule="auto"/>
        <w:ind w:left="567" w:hanging="567"/>
        <w:jc w:val="both"/>
        <w:rPr>
          <w:bCs/>
          <w:color w:val="auto"/>
        </w:rPr>
      </w:pPr>
      <w:r>
        <w:rPr>
          <w:rFonts w:hint="eastAsia"/>
          <w:bCs/>
          <w:color w:val="auto"/>
        </w:rPr>
        <w:t>本项目优先采购本国货物和服务，必须进行的技术引进和转让需符合国家政策和有利于国内行业的发展。项目中涉及到的设备、材料属于政府采购节能产品、环境标志产品的，要求符合相关规定。</w:t>
      </w:r>
    </w:p>
    <w:p>
      <w:pPr>
        <w:widowControl w:val="0"/>
        <w:numPr>
          <w:ilvl w:val="1"/>
          <w:numId w:val="22"/>
        </w:numPr>
        <w:tabs>
          <w:tab w:val="left" w:pos="567"/>
          <w:tab w:val="clear" w:pos="950"/>
        </w:tabs>
        <w:snapToGrid w:val="0"/>
        <w:spacing w:line="360" w:lineRule="auto"/>
        <w:ind w:left="567" w:hanging="567"/>
        <w:jc w:val="both"/>
        <w:rPr>
          <w:color w:val="auto"/>
        </w:rPr>
      </w:pPr>
      <w:r>
        <w:rPr>
          <w:rFonts w:hint="eastAsia" w:ascii="宋体" w:hAnsi="宋体"/>
          <w:bCs/>
          <w:color w:val="auto"/>
          <w:kern w:val="2"/>
          <w:szCs w:val="21"/>
        </w:rPr>
        <w:t>鼓励在采购活动中允许中小企业引入信用担保手段，为中小企业在投标（响应）保证、履约保证等方面提供专业化服务。鼓励中小企业依法合规通过政府采购合同融资。</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Pr>
        <w:numPr>
          <w:ilvl w:val="0"/>
          <w:numId w:val="21"/>
        </w:numPr>
        <w:spacing w:beforeLines="50" w:afterLines="50" w:line="360" w:lineRule="exact"/>
        <w:jc w:val="center"/>
        <w:outlineLvl w:val="1"/>
        <w:rPr>
          <w:rFonts w:ascii="宋体" w:hAnsi="宋体"/>
          <w:b/>
          <w:color w:val="auto"/>
          <w:sz w:val="24"/>
          <w:szCs w:val="22"/>
        </w:rPr>
      </w:pPr>
      <w:bookmarkStart w:id="73" w:name="_Toc16454"/>
      <w:bookmarkStart w:id="74" w:name="_Toc10997"/>
      <w:bookmarkStart w:id="75" w:name="_Toc482110327"/>
      <w:bookmarkStart w:id="76" w:name="_Toc13"/>
      <w:bookmarkStart w:id="77" w:name="_Toc71800212"/>
      <w:bookmarkStart w:id="78" w:name="_Toc449096868"/>
      <w:bookmarkStart w:id="79" w:name="_Toc449096819"/>
      <w:bookmarkStart w:id="80" w:name="_Toc487006674"/>
      <w:bookmarkStart w:id="81" w:name="_Toc477504805"/>
      <w:bookmarkStart w:id="82" w:name="_Toc21529894"/>
      <w:bookmarkStart w:id="83" w:name="_Toc481592093"/>
      <w:r>
        <w:rPr>
          <w:rFonts w:hint="eastAsia" w:ascii="宋体" w:hAnsi="宋体"/>
          <w:b/>
          <w:color w:val="auto"/>
          <w:sz w:val="24"/>
          <w:szCs w:val="22"/>
        </w:rPr>
        <w:t>采购内容</w:t>
      </w:r>
      <w:bookmarkEnd w:id="73"/>
      <w:bookmarkEnd w:id="74"/>
      <w:bookmarkEnd w:id="75"/>
      <w:r>
        <w:rPr>
          <w:rFonts w:hint="eastAsia" w:ascii="宋体" w:hAnsi="宋体"/>
          <w:b/>
          <w:color w:val="auto"/>
          <w:sz w:val="24"/>
          <w:szCs w:val="22"/>
        </w:rPr>
        <w:t>及相关要求</w:t>
      </w:r>
      <w:bookmarkEnd w:id="76"/>
      <w:bookmarkEnd w:id="77"/>
    </w:p>
    <w:p>
      <w:pPr>
        <w:keepNext w:val="0"/>
        <w:keepLines w:val="0"/>
        <w:pageBreakBefore w:val="0"/>
        <w:numPr>
          <w:ilvl w:val="0"/>
          <w:numId w:val="23"/>
        </w:numPr>
        <w:tabs>
          <w:tab w:val="left" w:pos="1320"/>
        </w:tabs>
        <w:kinsoku/>
        <w:wordWrap/>
        <w:overflowPunct/>
        <w:topLinePunct w:val="0"/>
        <w:bidi w:val="0"/>
        <w:spacing w:line="400" w:lineRule="exact"/>
        <w:ind w:left="0" w:leftChars="0" w:right="210" w:rightChars="100" w:firstLine="361" w:firstLineChars="150"/>
        <w:rPr>
          <w:rFonts w:hint="eastAsia"/>
          <w:color w:val="auto"/>
        </w:rPr>
      </w:pPr>
      <w:bookmarkStart w:id="84" w:name="_Toc29856"/>
      <w:r>
        <w:rPr>
          <w:rFonts w:hint="eastAsia" w:ascii="宋体" w:hAnsi="宋体" w:eastAsia="宋体" w:cs="宋体"/>
          <w:b/>
          <w:color w:val="auto"/>
          <w:sz w:val="24"/>
          <w:szCs w:val="24"/>
          <w:highlight w:val="none"/>
          <w:lang w:val="en-US" w:eastAsia="zh-CN"/>
        </w:rPr>
        <w:t>采购内容：</w:t>
      </w:r>
    </w:p>
    <w:p>
      <w:pPr>
        <w:keepNext w:val="0"/>
        <w:keepLines w:val="0"/>
        <w:pageBreakBefore w:val="0"/>
        <w:numPr>
          <w:ilvl w:val="0"/>
          <w:numId w:val="0"/>
        </w:numPr>
        <w:tabs>
          <w:tab w:val="left" w:pos="1320"/>
        </w:tabs>
        <w:kinsoku/>
        <w:wordWrap/>
        <w:overflowPunct/>
        <w:topLinePunct w:val="0"/>
        <w:bidi w:val="0"/>
        <w:spacing w:line="400" w:lineRule="exact"/>
        <w:ind w:left="0" w:leftChars="0" w:right="210" w:rightChars="100" w:firstLine="735" w:firstLineChars="350"/>
        <w:rPr>
          <w:rFonts w:hint="eastAsia"/>
          <w:color w:val="auto"/>
        </w:rPr>
      </w:pPr>
      <w:r>
        <w:rPr>
          <w:rFonts w:hint="eastAsia" w:ascii="宋体" w:hAnsi="宋体" w:eastAsia="宋体" w:cs="Arial"/>
          <w:color w:val="auto"/>
          <w:szCs w:val="21"/>
          <w:lang w:val="en-US" w:eastAsia="zh-CN"/>
        </w:rPr>
        <w:t>采购内容</w:t>
      </w:r>
      <w:r>
        <w:rPr>
          <w:rFonts w:hint="eastAsia" w:ascii="宋体" w:hAnsi="宋体" w:eastAsia="宋体" w:cs="Arial"/>
          <w:color w:val="auto"/>
          <w:szCs w:val="21"/>
        </w:rPr>
        <w:t>：1、综合布线系统；2、计算机网络系统；3、视频监控系统；4、电子班牌系统；5、校园广播系统；6、停车场管理系统；7、LED信息发布系统；8、多媒体会议系统；9、UPS不间断电源</w:t>
      </w:r>
      <w:r>
        <w:rPr>
          <w:rFonts w:hint="eastAsia" w:ascii="宋体" w:hAnsi="宋体" w:cs="Arial"/>
          <w:color w:val="auto"/>
          <w:szCs w:val="21"/>
          <w:lang w:eastAsia="zh-CN"/>
        </w:rPr>
        <w:t>；</w:t>
      </w:r>
      <w:r>
        <w:rPr>
          <w:rFonts w:hint="eastAsia" w:ascii="宋体" w:hAnsi="宋体" w:cs="Arial"/>
          <w:color w:val="auto"/>
          <w:szCs w:val="21"/>
          <w:lang w:val="en-US" w:eastAsia="zh-CN"/>
        </w:rPr>
        <w:t>10、升降柱；11、</w:t>
      </w:r>
      <w:r>
        <w:rPr>
          <w:rFonts w:hint="eastAsia" w:ascii="宋体" w:hAnsi="宋体" w:eastAsia="宋体" w:cs="Arial"/>
          <w:color w:val="auto"/>
          <w:szCs w:val="21"/>
        </w:rPr>
        <w:t>舞台灯光系统；1</w:t>
      </w:r>
      <w:r>
        <w:rPr>
          <w:rFonts w:hint="eastAsia" w:ascii="宋体" w:hAnsi="宋体" w:cs="Arial"/>
          <w:color w:val="auto"/>
          <w:szCs w:val="21"/>
          <w:lang w:val="en-US" w:eastAsia="zh-CN"/>
        </w:rPr>
        <w:t>2</w:t>
      </w:r>
      <w:r>
        <w:rPr>
          <w:rFonts w:hint="eastAsia" w:ascii="宋体" w:hAnsi="宋体" w:eastAsia="宋体" w:cs="Arial"/>
          <w:color w:val="auto"/>
          <w:szCs w:val="21"/>
        </w:rPr>
        <w:t>、舞台器械系统。</w:t>
      </w:r>
    </w:p>
    <w:p>
      <w:pPr>
        <w:keepNext w:val="0"/>
        <w:keepLines w:val="0"/>
        <w:pageBreakBefore w:val="0"/>
        <w:numPr>
          <w:ilvl w:val="0"/>
          <w:numId w:val="23"/>
        </w:numPr>
        <w:tabs>
          <w:tab w:val="left" w:pos="1320"/>
        </w:tabs>
        <w:kinsoku/>
        <w:wordWrap/>
        <w:overflowPunct/>
        <w:topLinePunct w:val="0"/>
        <w:bidi w:val="0"/>
        <w:spacing w:line="400" w:lineRule="exact"/>
        <w:ind w:left="0" w:leftChars="0" w:right="210" w:rightChars="100"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项目总体要求</w:t>
      </w:r>
    </w:p>
    <w:p>
      <w:pPr>
        <w:keepNext w:val="0"/>
        <w:keepLines w:val="0"/>
        <w:pageBreakBefore w:val="0"/>
        <w:numPr>
          <w:ilvl w:val="0"/>
          <w:numId w:val="24"/>
        </w:numPr>
        <w:tabs>
          <w:tab w:val="left" w:pos="420"/>
        </w:tabs>
        <w:kinsoku/>
        <w:wordWrap/>
        <w:overflowPunct/>
        <w:topLinePunct w:val="0"/>
        <w:bidi w:val="0"/>
        <w:spacing w:line="400" w:lineRule="exact"/>
        <w:ind w:left="0" w:right="210" w:rightChars="100" w:firstLine="315" w:firstLineChars="1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所列仅为主要设备的基本要求，磋商供应商须按有关标准及规范完成本次招标设备的制造与供货、运输（含保险、装卸车）、安装、调试与检验、通过有关部门验收、质保期服务、设备终身维修等各项工作，并保证设备使用的安全性与可靠性。</w:t>
      </w:r>
    </w:p>
    <w:p>
      <w:pPr>
        <w:keepNext w:val="0"/>
        <w:keepLines w:val="0"/>
        <w:pageBreakBefore w:val="0"/>
        <w:numPr>
          <w:ilvl w:val="0"/>
          <w:numId w:val="24"/>
        </w:numPr>
        <w:tabs>
          <w:tab w:val="left" w:pos="420"/>
        </w:tabs>
        <w:kinsoku/>
        <w:wordWrap/>
        <w:overflowPunct/>
        <w:topLinePunct w:val="0"/>
        <w:bidi w:val="0"/>
        <w:spacing w:line="400" w:lineRule="exact"/>
        <w:ind w:left="0" w:right="210" w:rightChars="100" w:firstLine="315" w:firstLineChars="150"/>
        <w:jc w:val="both"/>
        <w:rPr>
          <w:rFonts w:hint="eastAsia" w:ascii="宋体" w:hAnsi="宋体" w:eastAsia="宋体" w:cs="宋体"/>
          <w:color w:val="auto"/>
          <w:szCs w:val="22"/>
          <w:highlight w:val="none"/>
          <w:u w:val="single"/>
        </w:rPr>
      </w:pPr>
      <w:r>
        <w:rPr>
          <w:rFonts w:hint="eastAsia" w:ascii="宋体" w:hAnsi="宋体" w:eastAsia="宋体" w:cs="宋体"/>
          <w:color w:val="auto"/>
          <w:szCs w:val="21"/>
          <w:highlight w:val="none"/>
        </w:rPr>
        <w:t>采购人有权根据使用要求，改变采购数量，按实际到货数量结算。本项目</w:t>
      </w:r>
      <w:r>
        <w:rPr>
          <w:rFonts w:hint="eastAsia" w:ascii="宋体" w:hAnsi="宋体" w:cs="宋体"/>
          <w:color w:val="auto"/>
          <w:szCs w:val="21"/>
          <w:highlight w:val="none"/>
          <w:lang w:val="en-US" w:eastAsia="zh-CN"/>
        </w:rPr>
        <w:t>已</w:t>
      </w:r>
      <w:r>
        <w:rPr>
          <w:rFonts w:hint="eastAsia" w:ascii="宋体" w:hAnsi="宋体" w:eastAsia="宋体" w:cs="宋体"/>
          <w:color w:val="auto"/>
          <w:szCs w:val="21"/>
          <w:highlight w:val="none"/>
        </w:rPr>
        <w:t>包含安装完成应用所需的一切费用，各磋商供应商应实地踏勘，认真核算所需费用，凡未列入的，将被视为均已包含在投标报价中。</w:t>
      </w:r>
    </w:p>
    <w:p>
      <w:pPr>
        <w:keepNext w:val="0"/>
        <w:keepLines w:val="0"/>
        <w:pageBreakBefore w:val="0"/>
        <w:numPr>
          <w:ilvl w:val="0"/>
          <w:numId w:val="23"/>
        </w:numPr>
        <w:tabs>
          <w:tab w:val="left" w:pos="1320"/>
        </w:tabs>
        <w:kinsoku/>
        <w:wordWrap/>
        <w:overflowPunct/>
        <w:topLinePunct w:val="0"/>
        <w:bidi w:val="0"/>
        <w:spacing w:line="400" w:lineRule="exact"/>
        <w:ind w:left="0" w:leftChars="0" w:right="210" w:rightChars="100"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工作范围及要求</w:t>
      </w:r>
    </w:p>
    <w:p>
      <w:pPr>
        <w:keepNext w:val="0"/>
        <w:keepLines w:val="0"/>
        <w:pageBreakBefore w:val="0"/>
        <w:kinsoku/>
        <w:wordWrap/>
        <w:overflowPunct/>
        <w:topLinePunct w:val="0"/>
        <w:bidi w:val="0"/>
        <w:adjustRightInd w:val="0"/>
        <w:snapToGrid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根据中磋商文件，各磋商供应商须按国家有关标准及规范完成下列工作：</w:t>
      </w:r>
    </w:p>
    <w:p>
      <w:pPr>
        <w:keepNext w:val="0"/>
        <w:keepLines w:val="0"/>
        <w:pageBreakBefore w:val="0"/>
        <w:widowControl w:val="0"/>
        <w:numPr>
          <w:ilvl w:val="0"/>
          <w:numId w:val="25"/>
        </w:numPr>
        <w:kinsoku/>
        <w:wordWrap/>
        <w:overflowPunct/>
        <w:topLinePunct w:val="0"/>
        <w:bidi w:val="0"/>
        <w:snapToGrid w:val="0"/>
        <w:spacing w:before="0" w:beforeLines="0" w:after="0" w:afterLines="0" w:line="400" w:lineRule="exact"/>
        <w:ind w:left="0" w:leftChars="0" w:right="210" w:rightChars="100" w:firstLine="316"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设备（材料）要求</w:t>
      </w:r>
    </w:p>
    <w:p>
      <w:pPr>
        <w:keepNext w:val="0"/>
        <w:keepLines w:val="0"/>
        <w:pageBreakBefore w:val="0"/>
        <w:numPr>
          <w:ilvl w:val="0"/>
          <w:numId w:val="26"/>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磋商供应商投标提供的设备必须是厂商原装的、全新的，型号、性能及指标符合国家及磋商文件提出的有关技术、质量、安全标准。</w:t>
      </w:r>
    </w:p>
    <w:p>
      <w:pPr>
        <w:keepNext w:val="0"/>
        <w:keepLines w:val="0"/>
        <w:pageBreakBefore w:val="0"/>
        <w:numPr>
          <w:ilvl w:val="0"/>
          <w:numId w:val="26"/>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所有设备在开箱检验时必须完好，无破损，配置与装箱单相符。数量、质量及性能不低于本磋商文件提出的要求。</w:t>
      </w:r>
    </w:p>
    <w:p>
      <w:pPr>
        <w:keepNext w:val="0"/>
        <w:keepLines w:val="0"/>
        <w:pageBreakBefore w:val="0"/>
        <w:numPr>
          <w:ilvl w:val="0"/>
          <w:numId w:val="26"/>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设备外观清洁，标记编号以及盘面显示等字体清晰，明确。铭牌、使用指示、警告指示应以中文或英文及易懂的通用符号来表示；应准确无误地表明设备之型号、规格、制造厂及生产或出厂日期。</w:t>
      </w:r>
    </w:p>
    <w:p>
      <w:pPr>
        <w:keepNext w:val="0"/>
        <w:keepLines w:val="0"/>
        <w:pageBreakBefore w:val="0"/>
        <w:numPr>
          <w:ilvl w:val="0"/>
          <w:numId w:val="26"/>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对于影响设备正常工作的必要组成部分，无论在技术规范中指出与否，磋商供应商都应提供并在投标文件中明确列出。</w:t>
      </w:r>
    </w:p>
    <w:p>
      <w:pPr>
        <w:keepNext w:val="0"/>
        <w:keepLines w:val="0"/>
        <w:pageBreakBefore w:val="0"/>
        <w:numPr>
          <w:ilvl w:val="0"/>
          <w:numId w:val="26"/>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所有货物提供出厂合格证等质量证明文件，国外生产的必须有合法的进货渠道证明，如海关报关单、原产地证明、商检证明等。</w:t>
      </w:r>
    </w:p>
    <w:p>
      <w:pPr>
        <w:keepNext w:val="0"/>
        <w:keepLines w:val="0"/>
        <w:pageBreakBefore w:val="0"/>
        <w:widowControl w:val="0"/>
        <w:numPr>
          <w:ilvl w:val="0"/>
          <w:numId w:val="25"/>
        </w:numPr>
        <w:kinsoku/>
        <w:wordWrap/>
        <w:overflowPunct/>
        <w:topLinePunct w:val="0"/>
        <w:bidi w:val="0"/>
        <w:snapToGrid w:val="0"/>
        <w:spacing w:before="0" w:beforeLines="0" w:after="0" w:afterLines="0" w:line="400" w:lineRule="exact"/>
        <w:ind w:left="0" w:leftChars="0" w:right="210" w:rightChars="100" w:firstLine="316"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数量调整</w:t>
      </w:r>
    </w:p>
    <w:p>
      <w:pPr>
        <w:keepNext w:val="0"/>
        <w:keepLines w:val="0"/>
        <w:pageBreakBefore w:val="0"/>
        <w:widowControl w:val="0"/>
        <w:kinsoku/>
        <w:wordWrap/>
        <w:overflowPunct/>
        <w:topLinePunct w:val="0"/>
        <w:bidi w:val="0"/>
        <w:snapToGrid w:val="0"/>
        <w:spacing w:before="0" w:beforeLines="0" w:after="0" w:afterLines="0" w:line="400" w:lineRule="exact"/>
        <w:ind w:left="0" w:right="210" w:rightChars="100" w:firstLine="315"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b/>
          <w:color w:val="auto"/>
          <w:sz w:val="21"/>
          <w:szCs w:val="21"/>
          <w:highlight w:val="none"/>
          <w:lang w:val="en-US" w:eastAsia="zh-CN" w:bidi="ar-SA"/>
        </w:rPr>
        <w:t>采购人保留在签约时调整部分设备数量和服务的权力，磋商供应商应对清单中设备和服务明细报价，按投标单价不变的前提下进行调整，不得拒绝。</w:t>
      </w:r>
    </w:p>
    <w:p>
      <w:pPr>
        <w:keepNext w:val="0"/>
        <w:keepLines w:val="0"/>
        <w:pageBreakBefore w:val="0"/>
        <w:widowControl w:val="0"/>
        <w:numPr>
          <w:ilvl w:val="0"/>
          <w:numId w:val="25"/>
        </w:numPr>
        <w:kinsoku/>
        <w:wordWrap/>
        <w:overflowPunct/>
        <w:topLinePunct w:val="0"/>
        <w:bidi w:val="0"/>
        <w:snapToGrid w:val="0"/>
        <w:spacing w:before="0" w:beforeLines="0" w:after="0" w:afterLines="0" w:line="400" w:lineRule="exact"/>
        <w:ind w:left="0" w:leftChars="0" w:right="210" w:rightChars="100" w:firstLine="316"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安装及调试、验收</w:t>
      </w:r>
    </w:p>
    <w:p>
      <w:pPr>
        <w:keepNext w:val="0"/>
        <w:keepLines w:val="0"/>
        <w:pageBreakBefore w:val="0"/>
        <w:numPr>
          <w:ilvl w:val="0"/>
          <w:numId w:val="27"/>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应派采购人认可的有经验和能力、具有相应资质的技术人员，负责系统设备安装工作，在设备安装期间应充分了解设备安装进度要求，解决安装中出现的技术问题。磋商供应商应自行承担选派专业人员的住宿、就餐和交通等费用。</w:t>
      </w:r>
    </w:p>
    <w:p>
      <w:pPr>
        <w:keepNext w:val="0"/>
        <w:keepLines w:val="0"/>
        <w:pageBreakBefore w:val="0"/>
        <w:numPr>
          <w:ilvl w:val="0"/>
          <w:numId w:val="27"/>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磋商供应商负责设备的安装、调试，直至通过有关部门的验收。</w:t>
      </w:r>
    </w:p>
    <w:p>
      <w:pPr>
        <w:keepNext w:val="0"/>
        <w:keepLines w:val="0"/>
        <w:pageBreakBefore w:val="0"/>
        <w:numPr>
          <w:ilvl w:val="0"/>
          <w:numId w:val="27"/>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调试所需专用工具设施物料由磋商供应商自备、自费运到现场，完工后自费搬走。</w:t>
      </w:r>
    </w:p>
    <w:p>
      <w:pPr>
        <w:keepNext w:val="0"/>
        <w:keepLines w:val="0"/>
        <w:pageBreakBefore w:val="0"/>
        <w:numPr>
          <w:ilvl w:val="0"/>
          <w:numId w:val="27"/>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安装完成后，进行调试、验收按国家有关规范标准（国家无验收规范标准的按双方合同规定的要求）进行。</w:t>
      </w:r>
    </w:p>
    <w:p>
      <w:pPr>
        <w:keepNext w:val="0"/>
        <w:keepLines w:val="0"/>
        <w:pageBreakBefore w:val="0"/>
        <w:numPr>
          <w:ilvl w:val="0"/>
          <w:numId w:val="27"/>
        </w:numPr>
        <w:tabs>
          <w:tab w:val="left" w:pos="420"/>
        </w:tabs>
        <w:kinsoku/>
        <w:wordWrap/>
        <w:overflowPunct/>
        <w:topLinePunct w:val="0"/>
        <w:bidi w:val="0"/>
        <w:spacing w:line="400" w:lineRule="exact"/>
        <w:ind w:left="0" w:right="210" w:rightChars="100" w:firstLine="315" w:firstLineChars="150"/>
        <w:rPr>
          <w:rFonts w:hint="eastAsia" w:ascii="Times New Roman" w:hAnsi="Times New Roman" w:eastAsia="宋体"/>
          <w:color w:val="auto"/>
          <w:highlight w:val="none"/>
        </w:rPr>
      </w:pPr>
      <w:r>
        <w:rPr>
          <w:rFonts w:hint="eastAsia" w:ascii="宋体" w:hAnsi="宋体" w:eastAsia="宋体" w:cs="宋体"/>
          <w:color w:val="auto"/>
          <w:szCs w:val="21"/>
          <w:highlight w:val="none"/>
        </w:rPr>
        <w:t>设备的拆箱、通电、调试等各项工作由磋商供应商负责，但必须在采购人指定人员的参与下进行。在实际实施前必须经采购人同意</w:t>
      </w:r>
      <w:r>
        <w:rPr>
          <w:rFonts w:hint="eastAsia" w:ascii="宋体" w:hAnsi="宋体" w:cs="宋体"/>
          <w:color w:val="auto"/>
          <w:szCs w:val="21"/>
          <w:highlight w:val="none"/>
          <w:lang w:val="en-US" w:eastAsia="zh-CN"/>
        </w:rPr>
        <w:t>后</w:t>
      </w:r>
      <w:r>
        <w:rPr>
          <w:rFonts w:hint="eastAsia" w:ascii="宋体" w:hAnsi="宋体" w:eastAsia="宋体" w:cs="宋体"/>
          <w:color w:val="auto"/>
          <w:szCs w:val="21"/>
          <w:highlight w:val="none"/>
        </w:rPr>
        <w:t>方可进行。调试的原始记录须经各方签字后作为验收的文件之一。</w:t>
      </w:r>
    </w:p>
    <w:p>
      <w:pPr>
        <w:keepNext w:val="0"/>
        <w:keepLines w:val="0"/>
        <w:pageBreakBefore w:val="0"/>
        <w:numPr>
          <w:ilvl w:val="0"/>
          <w:numId w:val="27"/>
        </w:numPr>
        <w:tabs>
          <w:tab w:val="left" w:pos="420"/>
        </w:tabs>
        <w:kinsoku/>
        <w:wordWrap/>
        <w:overflowPunct/>
        <w:topLinePunct w:val="0"/>
        <w:bidi w:val="0"/>
        <w:spacing w:line="400" w:lineRule="exact"/>
        <w:ind w:left="0" w:right="210" w:rightChars="100" w:firstLine="316" w:firstLineChars="150"/>
        <w:rPr>
          <w:rFonts w:hint="eastAsia" w:ascii="Times New Roman" w:hAnsi="Times New Roman" w:eastAsia="宋体"/>
          <w:b/>
          <w:bCs/>
          <w:color w:val="auto"/>
          <w:highlight w:val="none"/>
          <w:u w:val="none"/>
        </w:rPr>
      </w:pPr>
      <w:r>
        <w:rPr>
          <w:rFonts w:hint="eastAsia" w:ascii="Times New Roman" w:hAnsi="Times New Roman" w:eastAsia="宋体"/>
          <w:b/>
          <w:bCs/>
          <w:color w:val="auto"/>
          <w:highlight w:val="none"/>
          <w:u w:val="none"/>
          <w:lang w:val="en-US" w:eastAsia="zh-CN"/>
        </w:rPr>
        <w:t>成交供应商</w:t>
      </w:r>
      <w:r>
        <w:rPr>
          <w:rFonts w:hint="eastAsia" w:ascii="Times New Roman" w:hAnsi="Times New Roman" w:eastAsia="宋体"/>
          <w:b/>
          <w:bCs/>
          <w:color w:val="auto"/>
          <w:highlight w:val="none"/>
          <w:u w:val="none"/>
        </w:rPr>
        <w:t>需提供系统平台的数据接口和联网硬件设备的控制管理接口，并提供接口文档。</w:t>
      </w:r>
      <w:r>
        <w:rPr>
          <w:rFonts w:hint="eastAsia" w:ascii="Times New Roman" w:hAnsi="Times New Roman" w:eastAsia="宋体"/>
          <w:b/>
          <w:bCs/>
          <w:color w:val="auto"/>
          <w:highlight w:val="none"/>
          <w:u w:val="none"/>
          <w:lang w:val="en-US" w:eastAsia="zh-CN"/>
        </w:rPr>
        <w:t>采购人</w:t>
      </w:r>
      <w:r>
        <w:rPr>
          <w:rFonts w:hint="eastAsia" w:ascii="Times New Roman" w:hAnsi="Times New Roman" w:eastAsia="宋体"/>
          <w:b/>
          <w:bCs/>
          <w:color w:val="auto"/>
          <w:highlight w:val="none"/>
          <w:u w:val="none"/>
        </w:rPr>
        <w:t>因后期其他项目建设需要，</w:t>
      </w:r>
      <w:r>
        <w:rPr>
          <w:rFonts w:hint="eastAsia" w:ascii="Times New Roman" w:hAnsi="Times New Roman" w:eastAsia="宋体"/>
          <w:b/>
          <w:bCs/>
          <w:color w:val="auto"/>
          <w:highlight w:val="none"/>
          <w:u w:val="none"/>
          <w:lang w:val="en-US" w:eastAsia="zh-CN"/>
        </w:rPr>
        <w:t>成交供应商</w:t>
      </w:r>
      <w:r>
        <w:rPr>
          <w:rFonts w:hint="eastAsia" w:ascii="Times New Roman" w:hAnsi="Times New Roman" w:eastAsia="宋体"/>
          <w:b/>
          <w:bCs/>
          <w:color w:val="auto"/>
          <w:highlight w:val="none"/>
          <w:u w:val="none"/>
        </w:rPr>
        <w:t>应无条件、无偿安排技术支持人员配合</w:t>
      </w:r>
      <w:r>
        <w:rPr>
          <w:rFonts w:hint="eastAsia" w:ascii="Times New Roman" w:hAnsi="Times New Roman" w:eastAsia="宋体"/>
          <w:b/>
          <w:bCs/>
          <w:color w:val="auto"/>
          <w:highlight w:val="none"/>
          <w:u w:val="none"/>
          <w:lang w:val="en-US" w:eastAsia="zh-CN"/>
        </w:rPr>
        <w:t>采购人</w:t>
      </w:r>
      <w:r>
        <w:rPr>
          <w:rFonts w:hint="eastAsia" w:ascii="Times New Roman" w:hAnsi="Times New Roman" w:eastAsia="宋体"/>
          <w:b/>
          <w:bCs/>
          <w:color w:val="auto"/>
          <w:highlight w:val="none"/>
          <w:u w:val="none"/>
        </w:rPr>
        <w:t>调试。</w:t>
      </w:r>
    </w:p>
    <w:p>
      <w:pPr>
        <w:keepNext w:val="0"/>
        <w:keepLines w:val="0"/>
        <w:pageBreakBefore w:val="0"/>
        <w:widowControl w:val="0"/>
        <w:numPr>
          <w:ilvl w:val="0"/>
          <w:numId w:val="25"/>
        </w:numPr>
        <w:kinsoku/>
        <w:wordWrap/>
        <w:overflowPunct/>
        <w:topLinePunct w:val="0"/>
        <w:bidi w:val="0"/>
        <w:snapToGrid w:val="0"/>
        <w:spacing w:before="0" w:beforeLines="0" w:after="0" w:afterLines="0" w:line="400" w:lineRule="exact"/>
        <w:ind w:left="0" w:leftChars="0" w:right="210" w:rightChars="100" w:firstLine="316"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售后服务</w:t>
      </w:r>
    </w:p>
    <w:p>
      <w:pPr>
        <w:keepNext w:val="0"/>
        <w:keepLines w:val="0"/>
        <w:pageBreakBefore w:val="0"/>
        <w:numPr>
          <w:ilvl w:val="0"/>
          <w:numId w:val="28"/>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须提供经调试、试运行、验收合格后，质保期按磋商文件标内说明执行。(磋商供应商可根据自身实力作出更长时间的质保承诺)。在此期间，磋商供应商应免费处理因质量发生的故障，并进行正常保养。</w:t>
      </w:r>
    </w:p>
    <w:p>
      <w:pPr>
        <w:keepNext w:val="0"/>
        <w:keepLines w:val="0"/>
        <w:pageBreakBefore w:val="0"/>
        <w:numPr>
          <w:ilvl w:val="0"/>
          <w:numId w:val="28"/>
        </w:numPr>
        <w:tabs>
          <w:tab w:val="left" w:pos="420"/>
        </w:tabs>
        <w:kinsoku/>
        <w:wordWrap/>
        <w:overflowPunct/>
        <w:topLinePunct w:val="0"/>
        <w:bidi w:val="0"/>
        <w:spacing w:line="400" w:lineRule="exact"/>
        <w:ind w:left="0" w:right="210" w:rightChars="100" w:firstLine="316" w:firstLineChars="15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所有投标设备均须安装调试并经验收合格后提供</w:t>
      </w:r>
      <w:r>
        <w:rPr>
          <w:rFonts w:hint="eastAsia" w:ascii="宋体" w:hAnsi="宋体" w:cs="宋体"/>
          <w:b/>
          <w:bCs/>
          <w:color w:val="auto"/>
          <w:szCs w:val="21"/>
          <w:highlight w:val="none"/>
          <w:lang w:val="en-US" w:eastAsia="zh-CN"/>
        </w:rPr>
        <w:t>不少于</w:t>
      </w:r>
      <w:r>
        <w:rPr>
          <w:rFonts w:hint="eastAsia" w:ascii="宋体" w:hAnsi="宋体" w:eastAsia="宋体" w:cs="宋体"/>
          <w:b/>
          <w:bCs/>
          <w:color w:val="auto"/>
          <w:szCs w:val="21"/>
          <w:highlight w:val="none"/>
        </w:rPr>
        <w:t>两年</w:t>
      </w:r>
      <w:r>
        <w:rPr>
          <w:rFonts w:hint="eastAsia" w:ascii="宋体" w:hAnsi="宋体" w:cs="宋体"/>
          <w:b/>
          <w:bCs/>
          <w:color w:val="auto"/>
          <w:szCs w:val="21"/>
          <w:highlight w:val="none"/>
          <w:lang w:val="en-US" w:eastAsia="zh-CN"/>
        </w:rPr>
        <w:t>免费</w:t>
      </w:r>
      <w:r>
        <w:rPr>
          <w:rFonts w:hint="eastAsia" w:ascii="宋体" w:hAnsi="宋体" w:eastAsia="宋体" w:cs="宋体"/>
          <w:b/>
          <w:bCs/>
          <w:color w:val="auto"/>
          <w:szCs w:val="21"/>
          <w:highlight w:val="none"/>
        </w:rPr>
        <w:t>质保期</w:t>
      </w:r>
      <w:r>
        <w:rPr>
          <w:rFonts w:hint="eastAsia" w:ascii="宋体" w:hAnsi="宋体" w:eastAsia="宋体" w:cs="宋体"/>
          <w:color w:val="auto"/>
          <w:szCs w:val="21"/>
          <w:highlight w:val="none"/>
        </w:rPr>
        <w:t>（免费上门服务），终身维修（质保期外，中标单位收取相应成本费），要求2小时内响应、8小时内上门、24小时内修复。在此期间，磋商供应商应免费处理发生的各类故障，并进行正常保养。同时，成交供应商必须有可靠的服务保障，能提供正常的技术、备品备件服务。</w:t>
      </w:r>
    </w:p>
    <w:p>
      <w:pPr>
        <w:keepNext w:val="0"/>
        <w:keepLines w:val="0"/>
        <w:pageBreakBefore w:val="0"/>
        <w:numPr>
          <w:ilvl w:val="0"/>
          <w:numId w:val="28"/>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成交供应商提供的设备，必须符合磋商文件及其投标文件规定的要求，如有不符，采购人可以无条件退货，造成的损失由成交供应商承担。</w:t>
      </w:r>
    </w:p>
    <w:p>
      <w:pPr>
        <w:keepNext w:val="0"/>
        <w:keepLines w:val="0"/>
        <w:pageBreakBefore w:val="0"/>
        <w:numPr>
          <w:ilvl w:val="0"/>
          <w:numId w:val="28"/>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磋商供应商、供货人名称必须一致，否则作违约处理，其履约保证金不予退还。</w:t>
      </w:r>
    </w:p>
    <w:p>
      <w:pPr>
        <w:keepNext w:val="0"/>
        <w:keepLines w:val="0"/>
        <w:pageBreakBefore w:val="0"/>
        <w:widowControl w:val="0"/>
        <w:numPr>
          <w:ilvl w:val="0"/>
          <w:numId w:val="25"/>
        </w:numPr>
        <w:kinsoku/>
        <w:wordWrap/>
        <w:overflowPunct/>
        <w:topLinePunct w:val="0"/>
        <w:bidi w:val="0"/>
        <w:snapToGrid w:val="0"/>
        <w:spacing w:before="0" w:beforeLines="0" w:after="0" w:afterLines="0" w:line="400" w:lineRule="exact"/>
        <w:ind w:left="0" w:leftChars="0" w:right="210" w:rightChars="100" w:firstLine="316"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供货期限</w:t>
      </w:r>
    </w:p>
    <w:p>
      <w:pPr>
        <w:pStyle w:val="18"/>
        <w:keepNext w:val="0"/>
        <w:keepLines w:val="0"/>
        <w:pageBreakBefore w:val="0"/>
        <w:widowControl w:val="0"/>
        <w:numPr>
          <w:ilvl w:val="0"/>
          <w:numId w:val="0"/>
        </w:numPr>
        <w:kinsoku/>
        <w:wordWrap/>
        <w:overflowPunct/>
        <w:topLinePunct w:val="0"/>
        <w:bidi w:val="0"/>
        <w:spacing w:line="400" w:lineRule="exact"/>
        <w:ind w:left="0" w:right="210" w:rightChars="100"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合同签订后</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0日历天内，送货到位并</w:t>
      </w:r>
      <w:r>
        <w:rPr>
          <w:rFonts w:hint="eastAsia" w:ascii="宋体" w:hAnsi="宋体" w:cs="宋体"/>
          <w:color w:val="auto"/>
          <w:szCs w:val="21"/>
          <w:highlight w:val="none"/>
          <w:lang w:val="en-US" w:eastAsia="zh-CN"/>
        </w:rPr>
        <w:t>完成</w:t>
      </w:r>
      <w:r>
        <w:rPr>
          <w:rFonts w:hint="eastAsia" w:ascii="宋体" w:hAnsi="宋体" w:eastAsia="宋体" w:cs="宋体"/>
          <w:color w:val="auto"/>
          <w:szCs w:val="21"/>
          <w:highlight w:val="none"/>
        </w:rPr>
        <w:t>安装调试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并向采购人提供磋商文件规定的相关资料及必备的附件、配件等。</w:t>
      </w:r>
    </w:p>
    <w:p>
      <w:pPr>
        <w:keepNext w:val="0"/>
        <w:keepLines w:val="0"/>
        <w:pageBreakBefore w:val="0"/>
        <w:widowControl w:val="0"/>
        <w:numPr>
          <w:ilvl w:val="0"/>
          <w:numId w:val="25"/>
        </w:numPr>
        <w:kinsoku/>
        <w:wordWrap/>
        <w:overflowPunct/>
        <w:topLinePunct w:val="0"/>
        <w:bidi w:val="0"/>
        <w:snapToGrid w:val="0"/>
        <w:spacing w:before="0" w:beforeLines="0" w:after="0" w:afterLines="0" w:line="400" w:lineRule="exact"/>
        <w:ind w:left="0" w:leftChars="0" w:right="210" w:rightChars="100" w:firstLine="316"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付款方式：</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履约担保：签订合同后，</w:t>
      </w:r>
      <w:r>
        <w:rPr>
          <w:rFonts w:hint="eastAsia" w:ascii="宋体" w:hAnsi="宋体" w:cs="宋体"/>
          <w:b/>
          <w:bCs/>
          <w:color w:val="auto"/>
          <w:szCs w:val="21"/>
          <w:highlight w:val="none"/>
          <w:lang w:val="en-US" w:eastAsia="zh-CN"/>
        </w:rPr>
        <w:t>成交</w:t>
      </w:r>
      <w:r>
        <w:rPr>
          <w:rFonts w:hint="eastAsia" w:ascii="宋体" w:hAnsi="宋体" w:eastAsia="宋体" w:cs="宋体"/>
          <w:b/>
          <w:bCs/>
          <w:color w:val="auto"/>
          <w:szCs w:val="21"/>
          <w:highlight w:val="none"/>
        </w:rPr>
        <w:t>供应商以银行转账、转账支票、银行汇票/银行、保险公司出具的保函形式向招标人提供合同价5%的履约担保。</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①若以银行转账/转帐支票/银行汇票等非现金形式提交的：</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1）应当从承包人基本户转出；</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2）履约担保的退还：</w:t>
      </w:r>
      <w:r>
        <w:rPr>
          <w:rFonts w:hint="eastAsia" w:ascii="宋体" w:hAnsi="宋体" w:cs="宋体"/>
          <w:color w:val="auto"/>
          <w:szCs w:val="21"/>
          <w:highlight w:val="none"/>
          <w:u w:val="single"/>
        </w:rPr>
        <w:t>待</w:t>
      </w:r>
      <w:r>
        <w:rPr>
          <w:rFonts w:hint="eastAsia" w:ascii="宋体" w:hAnsi="宋体" w:cs="宋体"/>
          <w:color w:val="auto"/>
          <w:szCs w:val="21"/>
          <w:highlight w:val="none"/>
          <w:u w:val="single"/>
          <w:lang w:val="en-US" w:eastAsia="zh-CN"/>
        </w:rPr>
        <w:t>质保期满后</w:t>
      </w:r>
      <w:r>
        <w:rPr>
          <w:rFonts w:hint="eastAsia" w:ascii="宋体" w:hAnsi="宋体" w:cs="宋体"/>
          <w:color w:val="auto"/>
          <w:szCs w:val="21"/>
          <w:highlight w:val="none"/>
          <w:u w:val="single"/>
        </w:rPr>
        <w:t>无息退还</w:t>
      </w:r>
      <w:r>
        <w:rPr>
          <w:rFonts w:hint="eastAsia" w:ascii="宋体" w:hAnsi="宋体" w:eastAsia="宋体" w:cs="宋体"/>
          <w:color w:val="auto"/>
          <w:szCs w:val="21"/>
          <w:highlight w:val="none"/>
          <w:u w:val="single"/>
        </w:rPr>
        <w:t>。</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②若采用银行、保险公司出具的保函形式提交的，应满足以下几个条件：</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1）见索即付保函：即在承包人没有实施合同或者未履行合同义务时，发包人不需要出具任何证明和理由，只要看到承包人违约，就可对保函进行收兑。</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2）保函期限：保函的期限自合同生效之日起至</w:t>
      </w:r>
      <w:r>
        <w:rPr>
          <w:rFonts w:hint="eastAsia" w:ascii="宋体" w:hAnsi="宋体" w:eastAsia="宋体" w:cs="宋体"/>
          <w:color w:val="auto"/>
          <w:szCs w:val="21"/>
          <w:highlight w:val="none"/>
          <w:lang w:val="en-US" w:eastAsia="zh-CN"/>
        </w:rPr>
        <w:t>质保期满</w:t>
      </w:r>
      <w:r>
        <w:rPr>
          <w:rFonts w:hint="eastAsia" w:ascii="宋体" w:hAnsi="宋体" w:eastAsia="宋体" w:cs="宋体"/>
          <w:color w:val="auto"/>
          <w:szCs w:val="21"/>
          <w:highlight w:val="none"/>
        </w:rPr>
        <w:t>后止。</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3）如果由于工期延误或银行、保险公司出具机构要求分期出具保函的，则在前一份保函有效期满之日2个月前必须重新出具相同内容的保函。</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eastAsia" w:ascii="宋体" w:hAnsi="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2.合同签订生效后15日内支付</w:t>
      </w:r>
      <w:r>
        <w:rPr>
          <w:rFonts w:hint="eastAsia" w:ascii="宋体" w:hAnsi="宋体" w:cs="宋体"/>
          <w:b/>
          <w:bCs/>
          <w:color w:val="auto"/>
          <w:szCs w:val="21"/>
          <w:highlight w:val="none"/>
          <w:lang w:val="en-US" w:eastAsia="zh-CN"/>
        </w:rPr>
        <w:t>合同价</w:t>
      </w:r>
      <w:r>
        <w:rPr>
          <w:rFonts w:hint="eastAsia" w:ascii="宋体" w:hAnsi="宋体" w:eastAsia="宋体" w:cs="宋体"/>
          <w:b/>
          <w:bCs/>
          <w:color w:val="auto"/>
          <w:szCs w:val="21"/>
          <w:highlight w:val="none"/>
          <w:lang w:val="en-US" w:eastAsia="zh-CN"/>
        </w:rPr>
        <w:t>的30%作为预付款（预付款抵作进度款</w:t>
      </w:r>
      <w:r>
        <w:rPr>
          <w:rFonts w:hint="eastAsia" w:ascii="宋体" w:hAnsi="宋体" w:cs="宋体"/>
          <w:b/>
          <w:bCs/>
          <w:color w:val="auto"/>
          <w:szCs w:val="21"/>
          <w:highlight w:val="none"/>
          <w:lang w:val="en-US" w:eastAsia="zh-CN"/>
        </w:rPr>
        <w:t>，具体拨付时间视财政资金到位情况执行。</w:t>
      </w: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设备安装调试完毕</w:t>
      </w:r>
      <w:r>
        <w:rPr>
          <w:rFonts w:hint="eastAsia" w:ascii="宋体" w:hAnsi="宋体" w:eastAsia="宋体" w:cs="宋体"/>
          <w:b/>
          <w:bCs/>
          <w:color w:val="auto"/>
          <w:szCs w:val="21"/>
          <w:highlight w:val="none"/>
          <w:lang w:val="en-US" w:eastAsia="zh-CN"/>
        </w:rPr>
        <w:t>后10</w:t>
      </w:r>
      <w:r>
        <w:rPr>
          <w:rFonts w:hint="eastAsia" w:ascii="宋体" w:hAnsi="宋体" w:cs="宋体"/>
          <w:b/>
          <w:bCs/>
          <w:color w:val="auto"/>
          <w:szCs w:val="21"/>
          <w:highlight w:val="none"/>
          <w:lang w:val="en-US" w:eastAsia="zh-CN"/>
        </w:rPr>
        <w:t>个工作日内</w:t>
      </w:r>
      <w:r>
        <w:rPr>
          <w:rFonts w:hint="eastAsia" w:ascii="宋体" w:hAnsi="宋体" w:eastAsia="宋体" w:cs="宋体"/>
          <w:b/>
          <w:bCs/>
          <w:color w:val="auto"/>
          <w:szCs w:val="21"/>
          <w:highlight w:val="none"/>
          <w:lang w:val="en-US" w:eastAsia="zh-CN"/>
        </w:rPr>
        <w:t>向成交供应商支付</w:t>
      </w:r>
      <w:r>
        <w:rPr>
          <w:rFonts w:hint="eastAsia" w:ascii="宋体" w:hAnsi="宋体" w:cs="宋体"/>
          <w:b/>
          <w:bCs/>
          <w:color w:val="auto"/>
          <w:szCs w:val="21"/>
          <w:highlight w:val="none"/>
          <w:lang w:val="en-US" w:eastAsia="zh-CN"/>
        </w:rPr>
        <w:t>至</w:t>
      </w:r>
      <w:r>
        <w:rPr>
          <w:rFonts w:hint="eastAsia" w:ascii="宋体" w:hAnsi="宋体" w:eastAsia="宋体" w:cs="宋体"/>
          <w:b/>
          <w:bCs/>
          <w:color w:val="auto"/>
          <w:szCs w:val="21"/>
          <w:highlight w:val="none"/>
          <w:lang w:val="en-US" w:eastAsia="zh-CN"/>
        </w:rPr>
        <w:t>合同价款</w:t>
      </w:r>
      <w:r>
        <w:rPr>
          <w:rFonts w:hint="eastAsia" w:ascii="宋体" w:hAnsi="宋体" w:cs="宋体"/>
          <w:b/>
          <w:bCs/>
          <w:color w:val="auto"/>
          <w:szCs w:val="21"/>
          <w:highlight w:val="none"/>
          <w:lang w:val="en-US" w:eastAsia="zh-CN"/>
        </w:rPr>
        <w:t>的60</w:t>
      </w:r>
      <w:r>
        <w:rPr>
          <w:rFonts w:hint="eastAsia" w:ascii="宋体" w:hAnsi="宋体" w:eastAsia="宋体" w:cs="宋体"/>
          <w:b/>
          <w:bCs/>
          <w:color w:val="auto"/>
          <w:szCs w:val="21"/>
          <w:highlight w:val="none"/>
          <w:lang w:val="en-US" w:eastAsia="zh-CN"/>
        </w:rPr>
        <w:t>%</w:t>
      </w:r>
      <w:r>
        <w:rPr>
          <w:rFonts w:hint="eastAsia" w:ascii="宋体" w:hAnsi="宋体" w:cs="宋体"/>
          <w:b/>
          <w:bCs/>
          <w:color w:val="auto"/>
          <w:szCs w:val="21"/>
          <w:highlight w:val="none"/>
          <w:lang w:val="en-US" w:eastAsia="zh-CN"/>
        </w:rPr>
        <w:t>；</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rPr>
        <w:t>完成结算办理资料归档后，10个工作日内支付至</w:t>
      </w:r>
      <w:r>
        <w:rPr>
          <w:rFonts w:hint="eastAsia" w:ascii="宋体" w:hAnsi="宋体" w:cs="宋体"/>
          <w:b/>
          <w:bCs/>
          <w:color w:val="auto"/>
          <w:szCs w:val="21"/>
          <w:highlight w:val="none"/>
          <w:lang w:val="en-US" w:eastAsia="zh-CN"/>
        </w:rPr>
        <w:t>实际结算价款</w:t>
      </w:r>
      <w:r>
        <w:rPr>
          <w:rFonts w:hint="eastAsia" w:ascii="宋体" w:hAnsi="宋体" w:eastAsia="宋体" w:cs="宋体"/>
          <w:b/>
          <w:bCs/>
          <w:color w:val="auto"/>
          <w:szCs w:val="21"/>
          <w:highlight w:val="none"/>
        </w:rPr>
        <w:t>的100%（成交供应商必须开具合同金额100%的正式税务发票）</w:t>
      </w:r>
      <w:r>
        <w:rPr>
          <w:rFonts w:hint="eastAsia" w:ascii="宋体" w:hAnsi="宋体" w:cs="宋体"/>
          <w:b/>
          <w:bCs/>
          <w:color w:val="auto"/>
          <w:szCs w:val="21"/>
          <w:highlight w:val="none"/>
          <w:lang w:eastAsia="zh-CN"/>
        </w:rPr>
        <w:t>。</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注：对于满足合同约定支付条件的，采购人自收到发票后15日内将资金支付到合同约定的成交供应商账户。</w:t>
      </w:r>
    </w:p>
    <w:p>
      <w:pPr>
        <w:keepNext w:val="0"/>
        <w:keepLines w:val="0"/>
        <w:pageBreakBefore w:val="0"/>
        <w:widowControl w:val="0"/>
        <w:numPr>
          <w:ilvl w:val="0"/>
          <w:numId w:val="25"/>
        </w:numPr>
        <w:kinsoku/>
        <w:wordWrap/>
        <w:overflowPunct/>
        <w:topLinePunct w:val="0"/>
        <w:bidi w:val="0"/>
        <w:snapToGrid w:val="0"/>
        <w:spacing w:before="0" w:beforeLines="0" w:after="0" w:afterLines="0" w:line="400" w:lineRule="exact"/>
        <w:ind w:left="0" w:leftChars="0" w:right="210" w:rightChars="100" w:firstLine="316"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技术培训要求</w:t>
      </w:r>
    </w:p>
    <w:p>
      <w:pPr>
        <w:keepNext w:val="0"/>
        <w:keepLines w:val="0"/>
        <w:pageBreakBefore w:val="0"/>
        <w:numPr>
          <w:ilvl w:val="0"/>
          <w:numId w:val="29"/>
        </w:numPr>
        <w:kinsoku/>
        <w:wordWrap/>
        <w:overflowPunct/>
        <w:topLinePunct w:val="0"/>
        <w:autoSpaceDE w:val="0"/>
        <w:autoSpaceDN w:val="0"/>
        <w:bidi w:val="0"/>
        <w:adjustRightInd w:val="0"/>
        <w:spacing w:line="400" w:lineRule="exact"/>
        <w:ind w:left="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培训地点：设备安装现场或协商安排</w:t>
      </w:r>
      <w:r>
        <w:rPr>
          <w:rFonts w:hint="eastAsia" w:ascii="宋体" w:hAnsi="宋体" w:cs="宋体"/>
          <w:color w:val="auto"/>
          <w:szCs w:val="21"/>
          <w:highlight w:val="none"/>
          <w:lang w:val="en-US" w:eastAsia="zh-CN"/>
        </w:rPr>
        <w:t>的地点</w:t>
      </w:r>
      <w:r>
        <w:rPr>
          <w:rFonts w:hint="eastAsia" w:ascii="宋体" w:hAnsi="宋体" w:eastAsia="宋体" w:cs="宋体"/>
          <w:color w:val="auto"/>
          <w:szCs w:val="21"/>
          <w:highlight w:val="none"/>
        </w:rPr>
        <w:t>。</w:t>
      </w:r>
    </w:p>
    <w:p>
      <w:pPr>
        <w:keepNext w:val="0"/>
        <w:keepLines w:val="0"/>
        <w:pageBreakBefore w:val="0"/>
        <w:numPr>
          <w:ilvl w:val="0"/>
          <w:numId w:val="29"/>
        </w:numPr>
        <w:kinsoku/>
        <w:wordWrap/>
        <w:overflowPunct/>
        <w:topLinePunct w:val="0"/>
        <w:autoSpaceDE w:val="0"/>
        <w:autoSpaceDN w:val="0"/>
        <w:bidi w:val="0"/>
        <w:adjustRightInd w:val="0"/>
        <w:spacing w:line="400" w:lineRule="exact"/>
        <w:ind w:left="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间：在采购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指定时间提供免费（讲义、资料）培训服务。</w:t>
      </w:r>
    </w:p>
    <w:p>
      <w:pPr>
        <w:keepNext w:val="0"/>
        <w:keepLines w:val="0"/>
        <w:pageBreakBefore w:val="0"/>
        <w:numPr>
          <w:ilvl w:val="0"/>
          <w:numId w:val="29"/>
        </w:numPr>
        <w:kinsoku/>
        <w:wordWrap/>
        <w:overflowPunct/>
        <w:topLinePunct w:val="0"/>
        <w:autoSpaceDE w:val="0"/>
        <w:autoSpaceDN w:val="0"/>
        <w:bidi w:val="0"/>
        <w:adjustRightInd w:val="0"/>
        <w:spacing w:line="400" w:lineRule="exact"/>
        <w:ind w:left="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培训计划：应包括以下内容：</w:t>
      </w:r>
    </w:p>
    <w:p>
      <w:pPr>
        <w:keepNext w:val="0"/>
        <w:keepLines w:val="0"/>
        <w:pageBreakBefore w:val="0"/>
        <w:numPr>
          <w:ilvl w:val="0"/>
          <w:numId w:val="30"/>
        </w:numPr>
        <w:kinsoku/>
        <w:wordWrap/>
        <w:overflowPunct/>
        <w:topLinePunct w:val="0"/>
        <w:autoSpaceDE w:val="0"/>
        <w:autoSpaceDN w:val="0"/>
        <w:bidi w:val="0"/>
        <w:adjustRightInd w:val="0"/>
        <w:spacing w:line="400" w:lineRule="exact"/>
        <w:ind w:left="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设备的工作原理和技术性能。</w:t>
      </w:r>
    </w:p>
    <w:p>
      <w:pPr>
        <w:keepNext w:val="0"/>
        <w:keepLines w:val="0"/>
        <w:pageBreakBefore w:val="0"/>
        <w:numPr>
          <w:ilvl w:val="0"/>
          <w:numId w:val="30"/>
        </w:numPr>
        <w:kinsoku/>
        <w:wordWrap/>
        <w:overflowPunct/>
        <w:topLinePunct w:val="0"/>
        <w:autoSpaceDE w:val="0"/>
        <w:autoSpaceDN w:val="0"/>
        <w:bidi w:val="0"/>
        <w:adjustRightInd w:val="0"/>
        <w:spacing w:line="400" w:lineRule="exact"/>
        <w:ind w:left="0" w:leftChars="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设备安装、测试。</w:t>
      </w:r>
    </w:p>
    <w:p>
      <w:pPr>
        <w:keepNext w:val="0"/>
        <w:keepLines w:val="0"/>
        <w:pageBreakBefore w:val="0"/>
        <w:numPr>
          <w:ilvl w:val="0"/>
          <w:numId w:val="0"/>
        </w:numPr>
        <w:kinsoku/>
        <w:wordWrap/>
        <w:overflowPunct/>
        <w:topLinePunct w:val="0"/>
        <w:autoSpaceDE w:val="0"/>
        <w:autoSpaceDN w:val="0"/>
        <w:bidi w:val="0"/>
        <w:adjustRightInd w:val="0"/>
        <w:spacing w:line="400" w:lineRule="exact"/>
        <w:ind w:leftChars="150" w:right="210" w:rightChars="1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3）设备维护、操作等。</w:t>
      </w:r>
    </w:p>
    <w:p>
      <w:pPr>
        <w:keepNext w:val="0"/>
        <w:keepLines w:val="0"/>
        <w:pageBreakBefore w:val="0"/>
        <w:kinsoku/>
        <w:wordWrap/>
        <w:overflowPunct/>
        <w:topLinePunct w:val="0"/>
        <w:autoSpaceDE w:val="0"/>
        <w:autoSpaceDN w:val="0"/>
        <w:bidi w:val="0"/>
        <w:adjustRightInd w:val="0"/>
        <w:spacing w:line="400" w:lineRule="exact"/>
        <w:ind w:left="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4）提供以下必要的培训资料、文件和设施：</w:t>
      </w:r>
    </w:p>
    <w:p>
      <w:pPr>
        <w:keepNext w:val="0"/>
        <w:keepLines w:val="0"/>
        <w:pageBreakBefore w:val="0"/>
        <w:kinsoku/>
        <w:wordWrap/>
        <w:overflowPunct/>
        <w:topLinePunct w:val="0"/>
        <w:autoSpaceDE w:val="0"/>
        <w:autoSpaceDN w:val="0"/>
        <w:bidi w:val="0"/>
        <w:adjustRightInd w:val="0"/>
        <w:spacing w:line="400" w:lineRule="exact"/>
        <w:ind w:left="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rPr>
        <w:t>负责对采购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进行全面的技术培训，使采购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达到能独立进行管理、维护和故障处理等工作，以便采购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所使用的硬件、软件产品能够正常、安全地运行。如果采购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在短时间内不能完全接受系统所有内容，</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rPr>
        <w:t>有义务多次讲解；</w:t>
      </w:r>
    </w:p>
    <w:p>
      <w:pPr>
        <w:keepNext w:val="0"/>
        <w:keepLines w:val="0"/>
        <w:pageBreakBefore w:val="0"/>
        <w:kinsoku/>
        <w:wordWrap/>
        <w:overflowPunct/>
        <w:topLinePunct w:val="0"/>
        <w:autoSpaceDE w:val="0"/>
        <w:autoSpaceDN w:val="0"/>
        <w:bidi w:val="0"/>
        <w:adjustRightInd w:val="0"/>
        <w:spacing w:line="400" w:lineRule="exact"/>
        <w:ind w:left="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rPr>
        <w:t>的培训对象为系统使用的系统管理员、系统操作员，</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rPr>
        <w:t>需提供培训教材。</w:t>
      </w:r>
    </w:p>
    <w:p>
      <w:pPr>
        <w:keepNext w:val="0"/>
        <w:keepLines w:val="0"/>
        <w:pageBreakBefore w:val="0"/>
        <w:numPr>
          <w:ilvl w:val="0"/>
          <w:numId w:val="29"/>
        </w:numPr>
        <w:kinsoku/>
        <w:wordWrap/>
        <w:overflowPunct/>
        <w:topLinePunct w:val="0"/>
        <w:autoSpaceDE w:val="0"/>
        <w:autoSpaceDN w:val="0"/>
        <w:bidi w:val="0"/>
        <w:adjustRightInd w:val="0"/>
        <w:spacing w:line="400" w:lineRule="exact"/>
        <w:ind w:left="0" w:right="210" w:rightChars="100" w:firstLine="315" w:firstLineChars="1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旨在提供更好的其他方式培训。</w:t>
      </w:r>
    </w:p>
    <w:p>
      <w:pPr>
        <w:keepNext w:val="0"/>
        <w:keepLines w:val="0"/>
        <w:pageBreakBefore w:val="0"/>
        <w:widowControl w:val="0"/>
        <w:numPr>
          <w:ilvl w:val="0"/>
          <w:numId w:val="25"/>
        </w:numPr>
        <w:kinsoku/>
        <w:wordWrap/>
        <w:overflowPunct/>
        <w:topLinePunct w:val="0"/>
        <w:bidi w:val="0"/>
        <w:snapToGrid w:val="0"/>
        <w:spacing w:before="0" w:beforeLines="0" w:after="0" w:afterLines="0" w:line="400" w:lineRule="exact"/>
        <w:ind w:left="0" w:leftChars="0" w:right="210" w:rightChars="100" w:firstLine="316" w:firstLineChars="150"/>
        <w:jc w:val="both"/>
        <w:rPr>
          <w:rFonts w:hint="eastAsia" w:ascii="宋体" w:hAnsi="宋体" w:eastAsia="宋体" w:cs="宋体"/>
          <w:b/>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其他要求：</w:t>
      </w:r>
    </w:p>
    <w:p>
      <w:pPr>
        <w:keepNext w:val="0"/>
        <w:keepLines w:val="0"/>
        <w:pageBreakBefore w:val="0"/>
        <w:numPr>
          <w:ilvl w:val="0"/>
          <w:numId w:val="31"/>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磋商供应商所投标货物的性能参数不得低于本项目的技术要求和档次。</w:t>
      </w:r>
    </w:p>
    <w:p>
      <w:pPr>
        <w:keepNext w:val="0"/>
        <w:keepLines w:val="0"/>
        <w:pageBreakBefore w:val="0"/>
        <w:numPr>
          <w:ilvl w:val="0"/>
          <w:numId w:val="31"/>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成交供应商在签订合同时，若坚持提出附加条件和不合理要求，中标资格将被取消，该成交供应商对由此产生的一切后果负责。</w:t>
      </w:r>
    </w:p>
    <w:p>
      <w:pPr>
        <w:keepNext w:val="0"/>
        <w:keepLines w:val="0"/>
        <w:pageBreakBefore w:val="0"/>
        <w:numPr>
          <w:ilvl w:val="0"/>
          <w:numId w:val="31"/>
        </w:numPr>
        <w:tabs>
          <w:tab w:val="left" w:pos="420"/>
        </w:tabs>
        <w:kinsoku/>
        <w:wordWrap/>
        <w:overflowPunct/>
        <w:topLinePunct w:val="0"/>
        <w:bidi w:val="0"/>
        <w:spacing w:line="400" w:lineRule="exact"/>
        <w:ind w:left="0" w:right="210" w:rightChars="100"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货物由采购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验收。</w:t>
      </w:r>
    </w:p>
    <w:p>
      <w:pPr>
        <w:keepNext w:val="0"/>
        <w:keepLines w:val="0"/>
        <w:pageBreakBefore w:val="0"/>
        <w:numPr>
          <w:ilvl w:val="0"/>
          <w:numId w:val="0"/>
        </w:numPr>
        <w:tabs>
          <w:tab w:val="left" w:pos="1320"/>
        </w:tabs>
        <w:kinsoku/>
        <w:wordWrap/>
        <w:overflowPunct/>
        <w:topLinePunct w:val="0"/>
        <w:bidi w:val="0"/>
        <w:spacing w:line="400" w:lineRule="exact"/>
        <w:ind w:right="210" w:rightChars="1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三、招标清单</w:t>
      </w:r>
      <w:r>
        <w:rPr>
          <w:rFonts w:hint="eastAsia" w:ascii="宋体" w:hAnsi="宋体" w:cs="宋体"/>
          <w:b/>
          <w:color w:val="auto"/>
          <w:sz w:val="24"/>
          <w:szCs w:val="24"/>
          <w:highlight w:val="none"/>
          <w:lang w:val="en-US" w:eastAsia="zh-CN"/>
        </w:rPr>
        <w:t>、材料推荐品牌</w:t>
      </w:r>
      <w:r>
        <w:rPr>
          <w:rFonts w:hint="eastAsia" w:ascii="宋体" w:hAnsi="宋体" w:eastAsia="宋体" w:cs="宋体"/>
          <w:b/>
          <w:color w:val="auto"/>
          <w:sz w:val="24"/>
          <w:szCs w:val="24"/>
          <w:highlight w:val="none"/>
          <w:lang w:val="en-US" w:eastAsia="zh-CN"/>
        </w:rPr>
        <w:t>及技术</w:t>
      </w:r>
      <w:r>
        <w:rPr>
          <w:rFonts w:hint="eastAsia" w:ascii="宋体" w:hAnsi="宋体" w:cs="宋体"/>
          <w:b/>
          <w:color w:val="auto"/>
          <w:sz w:val="24"/>
          <w:szCs w:val="24"/>
          <w:highlight w:val="none"/>
          <w:lang w:val="en-US" w:eastAsia="zh-CN"/>
        </w:rPr>
        <w:t>参数</w:t>
      </w:r>
      <w:r>
        <w:rPr>
          <w:rFonts w:hint="eastAsia" w:ascii="宋体" w:hAnsi="宋体" w:eastAsia="宋体" w:cs="宋体"/>
          <w:b/>
          <w:color w:val="auto"/>
          <w:sz w:val="24"/>
          <w:szCs w:val="24"/>
          <w:highlight w:val="none"/>
          <w:lang w:val="en-US" w:eastAsia="zh-CN"/>
        </w:rPr>
        <w:t>要求如下：</w:t>
      </w:r>
    </w:p>
    <w:p>
      <w:pPr>
        <w:keepNext w:val="0"/>
        <w:keepLines w:val="0"/>
        <w:pageBreakBefore w:val="0"/>
        <w:numPr>
          <w:ilvl w:val="0"/>
          <w:numId w:val="0"/>
        </w:numPr>
        <w:tabs>
          <w:tab w:val="left" w:pos="1320"/>
        </w:tabs>
        <w:kinsoku/>
        <w:wordWrap/>
        <w:overflowPunct/>
        <w:topLinePunct w:val="0"/>
        <w:bidi w:val="0"/>
        <w:spacing w:line="400" w:lineRule="exact"/>
        <w:ind w:right="210" w:rightChars="100"/>
        <w:rPr>
          <w:rFonts w:hint="default" w:ascii="宋体" w:hAnsi="宋体" w:eastAsia="宋体"/>
          <w:b/>
          <w:bCs/>
          <w:color w:val="auto"/>
          <w:szCs w:val="21"/>
          <w:lang w:val="en-US" w:eastAsia="zh-CN"/>
        </w:rPr>
      </w:pPr>
      <w:r>
        <w:rPr>
          <w:rFonts w:hint="eastAsia"/>
          <w:b/>
          <w:bCs/>
          <w:color w:val="auto"/>
          <w:lang w:val="en-US" w:eastAsia="zh-CN"/>
        </w:rPr>
        <w:t>1、招标清单</w:t>
      </w:r>
    </w:p>
    <w:p>
      <w:pPr>
        <w:keepNext w:val="0"/>
        <w:keepLines w:val="0"/>
        <w:pageBreakBefore w:val="0"/>
        <w:numPr>
          <w:ilvl w:val="0"/>
          <w:numId w:val="0"/>
        </w:numPr>
        <w:tabs>
          <w:tab w:val="left" w:pos="420"/>
        </w:tabs>
        <w:kinsoku/>
        <w:wordWrap/>
        <w:overflowPunct/>
        <w:topLinePunct w:val="0"/>
        <w:bidi w:val="0"/>
        <w:spacing w:line="400" w:lineRule="exact"/>
        <w:ind w:right="210" w:rightChars="100"/>
        <w:rPr>
          <w:rFonts w:hint="eastAsia" w:ascii="宋体" w:hAnsi="宋体"/>
          <w:b/>
          <w:bCs/>
          <w:color w:val="auto"/>
          <w:szCs w:val="21"/>
          <w:lang w:eastAsia="zh-CN"/>
        </w:rPr>
      </w:pPr>
      <w:r>
        <w:rPr>
          <w:rFonts w:hint="eastAsia" w:ascii="宋体" w:hAnsi="宋体"/>
          <w:b/>
          <w:bCs/>
          <w:color w:val="auto"/>
          <w:szCs w:val="21"/>
          <w:lang w:val="en-US" w:eastAsia="zh-CN"/>
        </w:rPr>
        <w:t>说明：</w:t>
      </w:r>
      <w:r>
        <w:rPr>
          <w:rFonts w:hint="eastAsia" w:ascii="宋体" w:hAnsi="宋体"/>
          <w:b/>
          <w:bCs/>
          <w:color w:val="auto"/>
          <w:szCs w:val="21"/>
          <w:lang w:eastAsia="zh-CN"/>
        </w:rPr>
        <w:t>①本次招标设备与学校</w:t>
      </w:r>
      <w:r>
        <w:rPr>
          <w:rFonts w:hint="eastAsia" w:ascii="宋体" w:hAnsi="宋体"/>
          <w:b/>
          <w:bCs/>
          <w:color w:val="auto"/>
          <w:szCs w:val="21"/>
          <w:lang w:val="en-US" w:eastAsia="zh-CN"/>
        </w:rPr>
        <w:t>及教育局</w:t>
      </w:r>
      <w:r>
        <w:rPr>
          <w:rFonts w:hint="eastAsia" w:ascii="宋体" w:hAnsi="宋体"/>
          <w:b/>
          <w:bCs/>
          <w:color w:val="auto"/>
          <w:szCs w:val="21"/>
          <w:lang w:eastAsia="zh-CN"/>
        </w:rPr>
        <w:t>原有设备连接的部分，需无条件兼容，</w:t>
      </w:r>
      <w:r>
        <w:rPr>
          <w:rFonts w:hint="eastAsia" w:ascii="宋体" w:hAnsi="宋体"/>
          <w:b/>
          <w:bCs/>
          <w:color w:val="auto"/>
          <w:szCs w:val="21"/>
          <w:lang w:val="en-US" w:eastAsia="zh-CN"/>
        </w:rPr>
        <w:t>其中产生的所有费用均由中标供应商自行承担</w:t>
      </w:r>
      <w:r>
        <w:rPr>
          <w:rFonts w:hint="eastAsia" w:ascii="宋体" w:hAnsi="宋体"/>
          <w:b/>
          <w:bCs/>
          <w:color w:val="auto"/>
          <w:szCs w:val="21"/>
          <w:lang w:eastAsia="zh-CN"/>
        </w:rPr>
        <w:t>；</w:t>
      </w:r>
    </w:p>
    <w:p>
      <w:pPr>
        <w:keepNext w:val="0"/>
        <w:keepLines w:val="0"/>
        <w:pageBreakBefore w:val="0"/>
        <w:numPr>
          <w:ilvl w:val="0"/>
          <w:numId w:val="0"/>
        </w:numPr>
        <w:tabs>
          <w:tab w:val="left" w:pos="420"/>
        </w:tabs>
        <w:kinsoku/>
        <w:wordWrap/>
        <w:overflowPunct/>
        <w:topLinePunct w:val="0"/>
        <w:bidi w:val="0"/>
        <w:spacing w:line="400" w:lineRule="exact"/>
        <w:ind w:right="210" w:rightChars="100"/>
        <w:rPr>
          <w:rFonts w:hint="eastAsia" w:ascii="宋体" w:hAnsi="宋体"/>
          <w:b/>
          <w:bCs/>
          <w:color w:val="auto"/>
          <w:szCs w:val="21"/>
          <w:lang w:eastAsia="zh-CN"/>
        </w:rPr>
      </w:pPr>
      <w:r>
        <w:rPr>
          <w:rFonts w:hint="eastAsia" w:ascii="宋体" w:hAnsi="宋体"/>
          <w:b/>
          <w:bCs/>
          <w:color w:val="auto"/>
          <w:szCs w:val="21"/>
          <w:lang w:eastAsia="zh-CN"/>
        </w:rPr>
        <w:t>②</w:t>
      </w:r>
      <w:r>
        <w:rPr>
          <w:rFonts w:hint="eastAsia" w:ascii="宋体" w:hAnsi="宋体"/>
          <w:b/>
          <w:bCs/>
          <w:color w:val="auto"/>
          <w:szCs w:val="21"/>
          <w:lang w:val="en-US" w:eastAsia="zh-CN"/>
        </w:rPr>
        <w:t>校园广播系统原品牌为FIFI，视频监控系统原品牌为海康威视。</w:t>
      </w:r>
    </w:p>
    <w:p>
      <w:pPr>
        <w:keepNext w:val="0"/>
        <w:keepLines w:val="0"/>
        <w:pageBreakBefore w:val="0"/>
        <w:numPr>
          <w:ilvl w:val="0"/>
          <w:numId w:val="0"/>
        </w:numPr>
        <w:tabs>
          <w:tab w:val="left" w:pos="420"/>
        </w:tabs>
        <w:kinsoku/>
        <w:wordWrap/>
        <w:overflowPunct/>
        <w:topLinePunct w:val="0"/>
        <w:bidi w:val="0"/>
        <w:spacing w:line="400" w:lineRule="exact"/>
        <w:ind w:right="210" w:rightChars="100"/>
        <w:rPr>
          <w:rFonts w:hint="eastAsia" w:ascii="宋体" w:hAnsi="宋体"/>
          <w:b/>
          <w:bCs/>
          <w:color w:val="auto"/>
          <w:szCs w:val="21"/>
          <w:lang w:eastAsia="zh-CN"/>
        </w:rPr>
      </w:pPr>
      <w:r>
        <w:rPr>
          <w:rFonts w:hint="eastAsia" w:ascii="宋体" w:hAnsi="宋体"/>
          <w:b/>
          <w:bCs/>
          <w:color w:val="auto"/>
          <w:szCs w:val="21"/>
          <w:lang w:eastAsia="zh-CN"/>
        </w:rPr>
        <w:t>③智能设备纳入本次磋商范围，智能化管线以及多媒体教学一体机不纳入本次磋商范围；</w:t>
      </w:r>
    </w:p>
    <w:p>
      <w:pPr>
        <w:keepNext w:val="0"/>
        <w:keepLines w:val="0"/>
        <w:pageBreakBefore w:val="0"/>
        <w:numPr>
          <w:ilvl w:val="0"/>
          <w:numId w:val="0"/>
        </w:numPr>
        <w:tabs>
          <w:tab w:val="left" w:pos="420"/>
        </w:tabs>
        <w:kinsoku/>
        <w:wordWrap/>
        <w:overflowPunct/>
        <w:topLinePunct w:val="0"/>
        <w:bidi w:val="0"/>
        <w:spacing w:line="400" w:lineRule="exact"/>
        <w:ind w:right="210" w:rightChars="100"/>
        <w:rPr>
          <w:rFonts w:hint="default"/>
          <w:color w:val="auto"/>
          <w:lang w:val="en-US" w:eastAsia="zh-CN"/>
        </w:rPr>
      </w:pPr>
      <w:r>
        <w:rPr>
          <w:rFonts w:hint="eastAsia" w:ascii="宋体" w:hAnsi="宋体"/>
          <w:b/>
          <w:bCs/>
          <w:color w:val="auto"/>
          <w:szCs w:val="21"/>
          <w:lang w:eastAsia="zh-CN"/>
        </w:rPr>
        <w:t>④原有机房内的光纤配线架不纳入本次磋商范围</w:t>
      </w:r>
      <w:r>
        <w:rPr>
          <w:rFonts w:hint="eastAsia" w:ascii="宋体" w:hAnsi="宋体" w:eastAsia="宋体"/>
          <w:b/>
          <w:bCs/>
          <w:color w:val="auto"/>
          <w:szCs w:val="21"/>
          <w:lang w:eastAsia="zh-CN"/>
        </w:rPr>
        <w:t>。</w:t>
      </w:r>
    </w:p>
    <w:tbl>
      <w:tblPr>
        <w:tblStyle w:val="38"/>
        <w:tblW w:w="8955" w:type="dxa"/>
        <w:tblInd w:w="-2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500"/>
        <w:gridCol w:w="5302"/>
        <w:gridCol w:w="592"/>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名称</w:t>
            </w:r>
          </w:p>
        </w:tc>
        <w:tc>
          <w:tcPr>
            <w:tcW w:w="53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项目描述</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单位</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18"/>
                <w:szCs w:val="18"/>
                <w:u w:val="none"/>
              </w:rPr>
            </w:pPr>
          </w:p>
        </w:tc>
        <w:tc>
          <w:tcPr>
            <w:tcW w:w="53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单口铜地插网络信息点安装，具体参数详见磋商文件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双口铜地插网络信息点安装，具体参数详见磋商文件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双口网络信息点，具体参数详见磋商文件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网络信息点，具体参数详见磋商文件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6类24口非屏蔽模块配线架（含模块），具体参数详见磋商文件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机架式11型1条语音配线架，具体参数详见磋商文件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配线架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12口机架式光纤终端盒，具体参数详见磋商文件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线管理器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19英寸金属1U理线器，具体参数详见磋商文件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跳线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六类非屏蔽2米跳线，具体参数详见磋商文件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跳线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RJ45-11跳线，具体参数详见磋商文件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布放尾纤</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LC单模双芯尾纤，具体参数详见磋商文件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布放尾纤</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LC-LC单模双芯光纤跳线，具体参数详见磋商文件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机柜、机架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42U服务器机柜600*600*2000，具体参数详见磋商文件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光纤连接</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光纤连接熔接，含光纤适配器</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芯</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二、计算机网络系统-互联网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48口千兆管理型交换机，具体参数详见磋商文件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24口千兆管理型交换机，具体参数详见磋商文件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24口千兆管理型交换机（POE），具体参数详见磋商文件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接口卡</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千兆单模光模块，具体参数详见磋商文件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集线器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无线室内AP，无线AP控制授权，具体参数详见磋商文件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集线器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无线室外AP含AP电源模块，无线AP控制授权，具体参数详见磋商文件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AC控制器，具体参数详见磋商文件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三、计算机网络系统-设备网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48口千兆管理型交换机，具体参数详见磋商文件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48口千兆管理型交换机（POE），具体参数详见磋商文件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24口千兆管理型交换机（POE），具体参数详见磋商文件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接口卡</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千兆单模光模块，具体参数详见磋商文件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监控摄像设备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高清枪式摄像，含支架，护罩，镜头，具体参数详见磋商文件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监控摄像设备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室外枪式摄像机，含支架，护罩，镜头，具体参数详见磋商文件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室外防雷镀锌钢管立杆3.5m（带二合一防雷器），含室外监控立杆水泥基础，具体参数详见磋商文件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收发器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光纤收发器，具体参数详见磋商文件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监控摄像设备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电梯半球摄像机，具体参数详见磋商文件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分线接线箱（盒）</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室外监控系统设备箱600*600*800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播控设备安装、调试</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楼层叠加器，具体参数详见磋商文件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录像设备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32路硬盘录像机（8盘位），8盘位内配套8块6T监控硬盘，具体参数详见磋商文件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安全防范分系统调试</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电视监视系统调试</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五、电子班牌系统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服务器显示设备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19寸触控班牌机，内集成摄像头、考勤读卡器、PM2.5监测器，具体参数详见磋商文件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智慧班牌系统，具体参数详见磋商文件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信息显示客户端软件，具体参数详见磋商文件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教务系统二次数据接口（定制），具体参数详见磋商文件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考勤系统二次数据接口（定制），具体参数详见磋商文件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六、校园广播系统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IP网络终端功放，具体参数详见磋商文件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壁挂音箱，具体参数详见磋商文件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IPH网络音箱,具体参数详见磋商文件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分线接线箱（盒）</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校园广播系统设备箱600*600*800</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机柜、机架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广播机柜 24U，具体参数详见磋商文件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寻呼话筒，具体参数详见磋商文件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网络服务器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管理电脑，具体参数详见磋商文件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室外音柱安装，报价包含2.5m室外镀锌钢管立管以及水泥基础，具体参数详见磋商文件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合并式功放650W，具体参数详见磋商文件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IP终端，具体参数详见磋商文件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无线话筒含话筒天线，具体参数详见磋商文件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背景音乐系统调试</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分区试响调试</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七、停车场管理系统（对内）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智能挡车器，具体参数详见磋商文件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挡车器栏杆以及折臂套件，具体参数详见磋商文件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防砸电磁检测器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防砸电磁检测器，具体参数详见磋商文件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入口车牌识别一体机，具体参数详见磋商文件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出口车牌识别一体机，具体参数详见磋商文件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防砸地感线圈</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防砸地感线圈，具体参数详见磋商文件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触发地磁检测器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触发地磁检测器，具体参数详见磋商文件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触发地感线圈</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触发地感线圈，具体参数详见磋商文件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停车场管理软件，具体参数详见磋商文件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软件客户端，具体参数详见磋商文件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停车岗亭</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停车场岗亭、安全岛以及水泥基础，具体参数详见磋商文件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收发器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光纤收发器(工业级)单模千兆，具体参数详见磋商文件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8口交换机（工业级）千兆，具体参数详见磋商文件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安全防范分系统调试</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停车场管理系统~≤1进1出</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八、停车场管理系统（对外收费系统）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智能挡车器，具体参数详见磋商文件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挡车器栏杆以及折臂套件，具体参数详见磋商文件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防砸电磁检测器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防砸电磁检测器，具体参数详见磋商文件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入口车牌识别一体机，具体参数详见磋商文件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出口车牌识别一体机，具体参数详见磋商文件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防砸地感线圈</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防砸地感线圈，具体参数详见磋商文件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触发地磁检测器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触发地磁检测器，具体参数详见磋商文件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触发地感线圈</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触发地感线圈，具体参数详见磋商文件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卷</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停车场管理软件含对外收费，具体参数详见磋商文件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软件客户端，具体参数详见磋商文件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停车岗亭</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停车场岗亭、安全岛以及水泥基础，具体参数详见磋商文件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收发器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光纤收发器(工业级)单模千兆，具体参数详见磋商文件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交换机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8口交换机（工业级）千兆，具体参数详见磋商文件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安全防范分系统调试</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停车场管理系统~≤1进1出</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九、LED信息发布系统(外墙户外全彩显示屏）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称：P4显示设备（室外）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 格：4.48m*2.88m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 积：12.9m2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4、备 注：含镀锌方钢构架框架、开关电源5V4A、电源连接线、钛金不锈钢外装饰、通讯线、动力线、压条、音频线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视频处理器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视频处理器，具体参数详见磋商文件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发送卡，具体参数详见磋商文件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接收卡，具体参数详见磋商文件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配电箱安装 25KW，具体参数详见磋商文件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功放150W，报价包含配套管线，具体参数详见磋商文件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音柱50W，报价包含配套管线，具体参数详见磋商文件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网络服务器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管理电脑 独立显卡,DVI\HDMI\VGA，具体参数详见磋商文件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十、LED信息发布系统(运动场北面全彩显示屏）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称：P4显示设备（室外）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 格：6.4m*3.84m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 积：24.57m2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4、备 注：含铝合金框架、开关电源5V4A、电源连接线、镀锌方钢架构、钛金不锈钢外装饰、通讯线、动力线、压条、音频线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视频处理器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视频处理器，具体参数详见磋商文件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发送卡，具体参数详见磋商文件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接收卡，具体参数详见磋商文件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配电箱安装 25KW，具体参数详见磋商文件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功放150W，报价包含配套管线，具体参数详见磋商文件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音柱50W，报价包含配套管线，具体参数详见磋商文件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网络服务器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管理电脑 独立显卡,DVI\HDMI\VGA，具体参数详见磋商文件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十一、LED信息发布系统(报告厅全彩显示屏）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称：P2.5显示设备（室内）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 格：2.18*6.34m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 积：13.8m2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4、备 注：含镀锌方钢架构框架、开关电源5V4A、电源连接线、钛金不锈钢外装饰、通讯线、动力线、压条、音频线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视频处理器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视频处理器，具体参数详见磋商文件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发送卡，具体参数详见磋商文件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接收卡，具体参数详见磋商文件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网络服务器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管理电脑 独立显卡,DVI\HDMI\VGA，具体参数详见磋商文件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十二、LED信息发布系统(校门口单红条形显示屏)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称：P10单红显示屏(室外)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 格：12.25m*.73m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 积：8.94m2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4、备 注：含铝合金框架、开关电源5V4A、电源连接线、防水板隔离板、通讯线、动力线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控制系统(异步显示)，具体参数详见磋商文件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十三、LED信息发布系统(报告厅单红条形显示屏)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称：P10单红显示屏（室内）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 格：13.85m*0.375m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3、面 积：5.2m2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4、备 注：含铝合金框架、开关电源5V4A、电源连接线、防水板隔离板、通讯线、动力线、压条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控制系统(异步显示)，具体参数详见磋商文件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十四、机房装修（机房工程）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接地母线敷设 ZR-BVR-6、ZR-BVR-16、ZR-BVR-50,按一次性包干计入，后期不做调整，具体参数详见磋商文件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接地母线敷设 40*4紫铜排具体参数详见磋商文件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等电位端子箱、 测试板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LEB局部等电位端子箱，具体参数详见磋商文件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十五、多媒体会议系统(中型会议室)-380人报告厅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视频控制设备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无缝高清矩阵切换器，具体参数详见磋商文件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嵌入式控制面板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嵌入式控制面板，具体参数详见磋商文件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HDMI无缝高清输入卡</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HDMI无缝高清输入卡，具体参数详见磋商文件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HDBaseT无缝高清输入卡</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HDBaseT无缝高清输入卡，具体参数详见磋商文件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HDMI无缝高清输出卡</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HDMI无缝高清输出卡，具体参数详见磋商文件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收发器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高清信号发送器、接收器，具体参数详见磋商文件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会议主席单元含连接线，具体参数详见磋商文件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会议代表单元含连接线，具体参数详见磋商文件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插座</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多媒体插座，含模块面板及底盒，具体参数详见磋商文件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抑制器，具体参数详见磋商文件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线阵全频音箱含配件，具体参数详见磋商文件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线阵低频音箱含配件,具体参数详见磋商文件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专业功放输出功率（立体声/并联8Ω×2：900W×2），具体参数详见磋商文件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辅助声扩音箱含支架，具体参数详见磋商文件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专业功放（立体声/并联8Ω×2：700×2W），具体参数详见磋商文件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台唇扩声音箱含支架，具体参数详见磋商文件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专业功放（立体声/并联8Ω×2：500W×2），具体参数详见磋商文件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返听音箱含支架，具体参数详见磋商文件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均衡器,具体参数详见磋商文件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超低频音箱含支架，具体参数详见磋商文件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专业功放(立体声/并联8Ω×2：1200W×2)，具体参数详见磋商文件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音频处理器，具体参数详见磋商文件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调音台，具体参数详见磋商文件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DVD播放器,具体参数详见磋商文件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无线手持话筒含支架,具体参数详见磋商文件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无线桌面话筒,具体参数详见磋商文件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无线头戴话筒,具体参数详见磋商文件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天线分配器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天线分配器,具体参数详见磋商文件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话筒天线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对数指向性天线,具体参数详见磋商文件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电源时序器，具体参数详见磋商文件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网络中控主机，具体参数详见磋商文件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无线触摸屏，具体参数详见磋商文件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网络系统及设备联调</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无线路由器，具体参数详见磋商文件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7英寸彩色触摸屏，具体参数详见磋商文件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控制器含8根红外发射棒，具体参数详见磋商文件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系统软件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编程软件，具体参数详见磋商文件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机柜、机架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42U服务器机柜600*600*2000，具体参数详见磋商文件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盘、箱、柜</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中型会议室操作台安装，1.5米*0.8米*0.75米，具体参数详见磋商文件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5米音频连接线莲花（RCA）-莲花，具体参数详见磋商文件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5米音频连接线：莲花（RCA）-6.35话筒插头，具体参数详见磋商文件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1.8米音频连接线：卡侬头（母）-卡侬头（公），具体参数详见磋商文件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5米音频连接线：3.5（耳机插头）-双6.35话筒插头，具体参数详见磋商文件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5米音频连接线：卡侬头（母）-卡侬头（公），具体参数详见磋商文件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5米音频连接线：6.35话筒插头-卡侬头（公），具体参数详见磋商文件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电源插头</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电源插头，具体参数详见磋商文件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音响插头</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音响插头，具体参数详见磋商文件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十六、多媒体会议系统(教师会议室)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服务器显示设备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86寸会议一体机安装，报价含配套支架，具体参数详见图纸</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专业音箱150W，具体参数详见磋商文件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背景音乐系统设备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主功放（立体声/并联8Ω×2：200W×2），具体参数详见磋商文件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话筒前级，具体参数详见磋商文件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调音台，具体参数详见磋商文件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一拖四无线话筒，具体参数详见磋商文件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YH电源时序器，具体参数详见磋商文件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机柜、机架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会议机柜 24U，具体参数详见磋商文件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1.8米音频连接线：莲花（RCA）-6.35话筒插头，具体参数详见磋商文件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1.8米音频连接线：卡侬头（母）-卡侬头（公），具体参数详见磋商文件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视频连接线VGA(3+6)，具体参数详见磋商文件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音频连接线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视频连接线HDMI，具体参数详见磋商文件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插座</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弹起式桌插安装，具体参数详见磋商文件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信息插座</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单孔网络信息点，具体参数详见磋商文件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十七、舞台灯光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装饰灯</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1、装饰灯名称：LED成像灯(面光)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2、装饰灯规格：300W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装饰灯</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1、装饰灯名称：大功率LED户内束光灯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2、规格：90×3W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装饰灯</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1、装饰灯名称：大功率LED户内束光灯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2、规格：COB白光200W 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装饰灯</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1、装饰灯名称：三基色冷光灯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2、光源:2835/0.5W LED暖白+冷白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装饰灯</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1、装饰灯名称：1200电脑摇头灯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2、光源:200W 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装饰灯</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1、装饰灯名称：200电脑摇头灯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2、光源:光源:17R/YODN MSD 350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装饰灯</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1、装饰灯名称：LED散光灯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2、光源:108*3W 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扩声系统设备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直通箱安装，具体参数详见图纸</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电脑灯光控制台</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电脑灯光控制台安装，具体参数详见图纸</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效果烟机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称：烟雾机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效果泡机</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称：300W效果泡机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灯光控台</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称：灯光控台 1024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信号放大器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称：信号放大器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大灯勾</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称：灯钩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安全绳</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称：灯具保险绳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烟油(瓶)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称：烟油(瓶)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泡泡水(瓶)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1、名 称：泡泡水(瓶)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瓶</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十八、UPS系统(15KVA)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Ups不间断电源及其附属设备安装</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UPS主机(15KVA)，含管线连接,具体参数详见磋商文件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Ups不间断电源及其附属设备安装</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电源电池安装 12V 100AH,具体参数详见磋商文件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蓄电池屏（柜）</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蓄电池柜 16节/每柜,具体参数详见磋商文件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UPS不间断电源-配电箱，具体参数详见磋商文件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十九、UPS系统(6KVA)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Ups不间断电源及其附属设备安装</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UPS主机(6KVA)，含管线连接,具体参数详见磋商文件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Ups不间断电源及其附属设备安装</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电源电池安装 12V 65AH,具体参数详见磋商文件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蓄电池屏（柜）</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蓄电池柜 16节/每柜,具体参数详见磋商文件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配电箱</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UPS不间断电源-配电箱，具体参数详见磋商文件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二十、机房装修（原广播机房工程）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防静电活动地板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防静电活动地板，含地面防尘漆、保温、墙边支撑、风口等，具体参数详见磋商文件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接地母线敷设 ZR-BVR-6、ZR-BVR-16、ZR-BVR-500,按一次性包干计入，后期不做调整，具体参数详见磋商文件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接地母线敷设 40*4紫铜排具体参数详见磋商文件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等电位端子箱、 测试板</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LEB局部等电位端子箱，具体参数详见磋商文件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二十一、智能升降路桩系统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智能升降路桩</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8根智能升降路桩为一套，含管线预埋以及升降路桩安装调试费用，费用按一次性包干计入，价格后期不做调整，具体参数详见磋商文件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软件</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智能升降路桩控制系统安装，具体参数详见磋商文件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二十四、视频监控系统（门卫室）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电视墙</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视频监控墙由6套49寸拼接屏组成，含模块化支架、模块化底座以及视频线，具体参数详见磋商文件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播控设备安装、调试</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8路解码器，具体参数详见磋商文件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视频控制设备</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控制键盘安装，具体参数详见磋商文件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盘、箱、柜</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视频监控操作台安装，1.8米*0.8米*0.75米，具体参数详见磋商文件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网络服务器</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管理电脑，具体参数详见磋商文件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二十四、舞台机械设备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大幕机</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舞台大幕机安装，具体参数详见磋商文件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三角轨道</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1.安装类型：吊挂安装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2.轨道尺寸：14.8m，单边尺寸：8.4m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3.配件包括：设备所需的辅助配件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吊杆机（多层缠绕）</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1.安装类型：轨道安装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2.载荷：4.0kn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3.运行速度：0.015-0.15m/s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4.电源：380V/50Hz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5.功率：P4/1.1KW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6.吊点数：6个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7.定位精度：≤±5mm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8.配件：双重限位开关，冲顶开关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吊杆机（多层缠绕）</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1.安装类型：轨道安装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2.载荷：8.0kn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3.运行速度：0.015-0.15m/s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4.电源：380V/50Hzzt</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5.功率：P4/2.2KW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6.吊点数：6个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7.定位精度：≤±5mm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8.配件：双重限位开关，冲顶开关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杆体</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杆体安装，报价包含设备所需的辅助配件，具体参数详见磋商文件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舞台5合1控制箱</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舞台5合1控制箱安装，报价包含八路可编程控制箱、ZT四路接触器控制箱、ZT两路对开幕变频控制机箱、八路急停控制箱以及触摸屏控制盒，具体参数详见磋商文件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cs="Arial"/>
                <w:i w:val="0"/>
                <w:iCs w:val="0"/>
                <w:color w:val="auto"/>
                <w:sz w:val="20"/>
                <w:szCs w:val="20"/>
                <w:u w:val="none"/>
              </w:rPr>
            </w:pPr>
            <w:r>
              <w:rPr>
                <w:rFonts w:hint="default" w:ascii="Arial" w:hAnsi="Arial" w:eastAsia="宋体" w:cs="Arial"/>
                <w:i w:val="0"/>
                <w:iCs w:val="0"/>
                <w:color w:val="auto"/>
                <w:kern w:val="0"/>
                <w:sz w:val="20"/>
                <w:szCs w:val="20"/>
                <w:u w:val="none"/>
                <w:lang w:val="en-US" w:eastAsia="zh-CN" w:bidi="ar"/>
              </w:rPr>
              <w:t>配电箱</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成套钢制配电箱</w:t>
            </w:r>
            <w:r>
              <w:rPr>
                <w:rFonts w:hint="default" w:ascii="Arial" w:hAnsi="Arial" w:eastAsia="宋体" w:cs="Arial"/>
                <w:i w:val="0"/>
                <w:iCs w:val="0"/>
                <w:color w:val="auto"/>
                <w:kern w:val="0"/>
                <w:sz w:val="20"/>
                <w:szCs w:val="20"/>
                <w:u w:val="none"/>
                <w:lang w:val="en-US" w:eastAsia="zh-CN" w:bidi="ar"/>
              </w:rPr>
              <w:t>1AK-1</w:t>
            </w:r>
            <w:r>
              <w:rPr>
                <w:rFonts w:hint="eastAsia" w:ascii="宋体" w:hAnsi="宋体" w:eastAsia="宋体" w:cs="宋体"/>
                <w:i w:val="0"/>
                <w:iCs w:val="0"/>
                <w:color w:val="auto"/>
                <w:kern w:val="0"/>
                <w:sz w:val="20"/>
                <w:szCs w:val="20"/>
                <w:u w:val="none"/>
                <w:lang w:val="en-US" w:eastAsia="zh-CN" w:bidi="ar"/>
              </w:rPr>
              <w:t>安装，具体参数详见磋商文件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会标幕</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枣红色金丝绒前檐幕（含衬里）安装，</w:t>
            </w:r>
            <w:r>
              <w:rPr>
                <w:rFonts w:hint="default" w:ascii="Arial" w:hAnsi="Arial" w:eastAsia="宋体" w:cs="Arial"/>
                <w:i w:val="0"/>
                <w:iCs w:val="0"/>
                <w:color w:val="auto"/>
                <w:kern w:val="0"/>
                <w:sz w:val="20"/>
                <w:szCs w:val="20"/>
                <w:u w:val="none"/>
                <w:lang w:val="en-US" w:eastAsia="zh-CN" w:bidi="ar"/>
              </w:rPr>
              <w:t>12*1.5*3</w:t>
            </w:r>
            <w:r>
              <w:rPr>
                <w:rFonts w:hint="eastAsia" w:ascii="宋体" w:hAnsi="宋体" w:eastAsia="宋体" w:cs="宋体"/>
                <w:i w:val="0"/>
                <w:iCs w:val="0"/>
                <w:color w:val="auto"/>
                <w:kern w:val="0"/>
                <w:sz w:val="20"/>
                <w:szCs w:val="20"/>
                <w:u w:val="none"/>
                <w:lang w:val="en-US" w:eastAsia="zh-CN" w:bidi="ar"/>
              </w:rPr>
              <w:t>（长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高</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折），具体参数详见磋商文件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大幕</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枣红色金丝绒大幕（含衬里）安装，</w:t>
            </w:r>
            <w:r>
              <w:rPr>
                <w:rFonts w:hint="default" w:ascii="Arial" w:hAnsi="Arial" w:eastAsia="宋体" w:cs="Arial"/>
                <w:i w:val="0"/>
                <w:iCs w:val="0"/>
                <w:color w:val="auto"/>
                <w:kern w:val="0"/>
                <w:sz w:val="20"/>
                <w:szCs w:val="20"/>
                <w:u w:val="none"/>
                <w:lang w:val="en-US" w:eastAsia="zh-CN" w:bidi="ar"/>
              </w:rPr>
              <w:t>6*3.9*2*3</w:t>
            </w:r>
            <w:r>
              <w:rPr>
                <w:rFonts w:hint="eastAsia" w:ascii="宋体" w:hAnsi="宋体" w:eastAsia="宋体" w:cs="宋体"/>
                <w:i w:val="0"/>
                <w:iCs w:val="0"/>
                <w:color w:val="auto"/>
                <w:kern w:val="0"/>
                <w:sz w:val="20"/>
                <w:szCs w:val="20"/>
                <w:u w:val="none"/>
                <w:lang w:val="en-US" w:eastAsia="zh-CN" w:bidi="ar"/>
              </w:rPr>
              <w:t>（长</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高</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块</w:t>
            </w:r>
            <w:r>
              <w:rPr>
                <w:rFonts w:hint="default" w:ascii="Arial" w:hAnsi="Arial" w:eastAsia="宋体" w:cs="Arial"/>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折），具体参数详见磋商文件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底幕</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湖蓝色金丝绒二幕（含衬里）安装，6*3.9*2*3（长*高*块*折），具体参数详见磋商文件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横条幕</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墨绿色金丝绒横条幕安装，12*1.5*2*3（长*高*块*折），具体参数详见磋商文件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侧条幕</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墨绿色金丝绒侧条幕安装，1.5*3.9*4*3（长*高*块*折），具体参数详见磋商文件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白色底幕</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白色底幕安装，12*3.9（长*高），具体参数详见磋商文件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m2</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舞台专用钢结构</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舞台专用钢结构安装，具体参数详见磋商文件</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辅材</w:t>
            </w:r>
          </w:p>
        </w:tc>
        <w:tc>
          <w:tcPr>
            <w:tcW w:w="5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电缆、钢丝绳、线材、桥架、管材、五金件等预埋筋</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bl>
    <w:p>
      <w:pPr>
        <w:keepNext w:val="0"/>
        <w:keepLines w:val="0"/>
        <w:pageBreakBefore w:val="0"/>
        <w:numPr>
          <w:ilvl w:val="0"/>
          <w:numId w:val="0"/>
        </w:numPr>
        <w:tabs>
          <w:tab w:val="left" w:pos="420"/>
        </w:tabs>
        <w:kinsoku/>
        <w:wordWrap/>
        <w:overflowPunct/>
        <w:topLinePunct w:val="0"/>
        <w:bidi w:val="0"/>
        <w:spacing w:line="400" w:lineRule="exact"/>
        <w:ind w:right="210" w:rightChars="100"/>
        <w:rPr>
          <w:rFonts w:hint="eastAsia"/>
          <w:color w:val="auto"/>
        </w:rPr>
      </w:pPr>
    </w:p>
    <w:p>
      <w:pPr>
        <w:keepNext w:val="0"/>
        <w:keepLines w:val="0"/>
        <w:pageBreakBefore w:val="0"/>
        <w:numPr>
          <w:ilvl w:val="0"/>
          <w:numId w:val="0"/>
        </w:numPr>
        <w:tabs>
          <w:tab w:val="left" w:pos="420"/>
        </w:tabs>
        <w:kinsoku/>
        <w:wordWrap/>
        <w:overflowPunct/>
        <w:topLinePunct w:val="0"/>
        <w:bidi w:val="0"/>
        <w:spacing w:line="400" w:lineRule="exact"/>
        <w:ind w:leftChars="0" w:right="210" w:rightChars="100"/>
        <w:rPr>
          <w:rFonts w:hint="eastAsia" w:ascii="宋体" w:hAnsi="宋体"/>
          <w:b/>
          <w:bCs/>
          <w:color w:val="auto"/>
          <w:szCs w:val="21"/>
          <w:lang w:val="en-US" w:eastAsia="zh-CN"/>
        </w:rPr>
      </w:pPr>
      <w:r>
        <w:rPr>
          <w:rFonts w:hint="eastAsia" w:ascii="宋体" w:hAnsi="宋体"/>
          <w:b/>
          <w:bCs/>
          <w:color w:val="auto"/>
          <w:szCs w:val="21"/>
          <w:lang w:val="en-US" w:eastAsia="zh-CN"/>
        </w:rPr>
        <w:t>2、材料推荐品牌表：</w:t>
      </w:r>
    </w:p>
    <w:tbl>
      <w:tblPr>
        <w:tblStyle w:val="38"/>
        <w:tblW w:w="9000" w:type="dxa"/>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710"/>
        <w:gridCol w:w="720"/>
        <w:gridCol w:w="1200"/>
        <w:gridCol w:w="1215"/>
        <w:gridCol w:w="1245"/>
        <w:gridCol w:w="123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材料名称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品牌1及型号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品牌2及型号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品牌3及型号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品牌4及型号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三、弱电部分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综合布线系统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普天天纪</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背景音乐系统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DSPPA</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FIFI</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TKAUDIO</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液晶拼接屏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TCL</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海康威视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视频监控系统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海康威视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宇视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希捷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西部数据</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计算机网络系统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锐捷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管理电脑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联想</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惠普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戴尔</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停车场管理系统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科拓</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UPS不间断电源系统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科士达</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防雷器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易龙</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抗静电地板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华徽</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LED显示屏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利亚德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洲明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电子班牌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希沃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校校网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升降桩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励擎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海康威视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大华</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会议扩声系统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DSPPA</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ITC</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TKAUDIO</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中控系统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DSPPA</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ITC</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TKAUDIO</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矩阵切换系统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DSPPA</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ITC</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TKAUDIO</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舞台灯光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珠江灯光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ITC</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明道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会议室一体机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maxhub</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海康威视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舞台机械、幕布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甘工舞台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艺声艺演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6"/>
                <w:szCs w:val="16"/>
                <w:u w:val="none"/>
              </w:rPr>
            </w:pPr>
          </w:p>
        </w:tc>
      </w:tr>
    </w:tbl>
    <w:p>
      <w:pPr>
        <w:keepNext w:val="0"/>
        <w:keepLines w:val="0"/>
        <w:pageBreakBefore w:val="0"/>
        <w:numPr>
          <w:ilvl w:val="0"/>
          <w:numId w:val="0"/>
        </w:numPr>
        <w:tabs>
          <w:tab w:val="left" w:pos="420"/>
        </w:tabs>
        <w:kinsoku/>
        <w:wordWrap/>
        <w:overflowPunct/>
        <w:topLinePunct w:val="0"/>
        <w:bidi w:val="0"/>
        <w:spacing w:line="400" w:lineRule="exact"/>
        <w:ind w:leftChars="0" w:right="210" w:rightChars="100"/>
        <w:rPr>
          <w:rFonts w:hint="eastAsia" w:ascii="宋体" w:hAnsi="宋体"/>
          <w:b/>
          <w:bCs/>
          <w:color w:val="auto"/>
          <w:szCs w:val="21"/>
        </w:rPr>
      </w:pPr>
      <w:r>
        <w:rPr>
          <w:rFonts w:hint="eastAsia" w:ascii="宋体" w:hAnsi="宋体"/>
          <w:b/>
          <w:bCs/>
          <w:color w:val="auto"/>
          <w:szCs w:val="21"/>
        </w:rPr>
        <w:t>注：</w:t>
      </w:r>
      <w:r>
        <w:rPr>
          <w:rFonts w:hint="eastAsia" w:ascii="宋体" w:hAnsi="宋体"/>
          <w:b/>
          <w:bCs/>
          <w:color w:val="auto"/>
          <w:szCs w:val="21"/>
          <w:lang w:eastAsia="zh-CN"/>
        </w:rPr>
        <w:t>①</w:t>
      </w:r>
      <w:r>
        <w:rPr>
          <w:rFonts w:hint="eastAsia" w:ascii="宋体" w:hAnsi="宋体"/>
          <w:b/>
          <w:bCs/>
          <w:color w:val="auto"/>
          <w:szCs w:val="21"/>
        </w:rPr>
        <w:t>以上所列材料均采用优等品。</w:t>
      </w:r>
    </w:p>
    <w:p>
      <w:pPr>
        <w:keepNext w:val="0"/>
        <w:keepLines w:val="0"/>
        <w:pageBreakBefore w:val="0"/>
        <w:numPr>
          <w:ilvl w:val="0"/>
          <w:numId w:val="0"/>
        </w:numPr>
        <w:tabs>
          <w:tab w:val="left" w:pos="420"/>
        </w:tabs>
        <w:kinsoku/>
        <w:wordWrap/>
        <w:overflowPunct/>
        <w:topLinePunct w:val="0"/>
        <w:bidi w:val="0"/>
        <w:spacing w:line="400" w:lineRule="exact"/>
        <w:ind w:leftChars="0" w:right="210" w:rightChars="100"/>
        <w:rPr>
          <w:rFonts w:hint="eastAsia" w:ascii="宋体" w:hAnsi="宋体"/>
          <w:b/>
          <w:bCs/>
          <w:color w:val="auto"/>
          <w:szCs w:val="21"/>
        </w:rPr>
      </w:pPr>
      <w:r>
        <w:rPr>
          <w:rFonts w:hint="eastAsia" w:ascii="宋体" w:hAnsi="宋体"/>
          <w:b/>
          <w:bCs/>
          <w:color w:val="auto"/>
          <w:szCs w:val="21"/>
          <w:lang w:eastAsia="zh-CN"/>
        </w:rPr>
        <w:t>②</w:t>
      </w:r>
      <w:r>
        <w:rPr>
          <w:rFonts w:hint="eastAsia" w:ascii="宋体" w:hAnsi="宋体"/>
          <w:b/>
          <w:bCs/>
          <w:color w:val="auto"/>
          <w:szCs w:val="21"/>
        </w:rPr>
        <w:t>由于</w:t>
      </w:r>
      <w:r>
        <w:rPr>
          <w:rFonts w:hint="eastAsia" w:ascii="宋体" w:hAnsi="宋体"/>
          <w:b/>
          <w:bCs/>
          <w:color w:val="auto"/>
          <w:szCs w:val="21"/>
          <w:lang w:val="en-US" w:eastAsia="zh-CN"/>
        </w:rPr>
        <w:t>中标供应商</w:t>
      </w:r>
      <w:r>
        <w:rPr>
          <w:rFonts w:hint="eastAsia" w:ascii="宋体" w:hAnsi="宋体"/>
          <w:b/>
          <w:bCs/>
          <w:color w:val="auto"/>
          <w:szCs w:val="21"/>
        </w:rPr>
        <w:t>未经</w:t>
      </w:r>
      <w:r>
        <w:rPr>
          <w:rFonts w:hint="eastAsia" w:ascii="宋体" w:hAnsi="宋体"/>
          <w:b/>
          <w:bCs/>
          <w:color w:val="auto"/>
          <w:szCs w:val="21"/>
          <w:lang w:val="en-US" w:eastAsia="zh-CN"/>
        </w:rPr>
        <w:t>采购人</w:t>
      </w:r>
      <w:r>
        <w:rPr>
          <w:rFonts w:hint="eastAsia" w:ascii="宋体" w:hAnsi="宋体"/>
          <w:b/>
          <w:bCs/>
          <w:color w:val="auto"/>
          <w:szCs w:val="21"/>
        </w:rPr>
        <w:t>确认擅自订货的，业主将对此不予计价。</w:t>
      </w:r>
    </w:p>
    <w:p>
      <w:pPr>
        <w:keepNext w:val="0"/>
        <w:keepLines w:val="0"/>
        <w:pageBreakBefore w:val="0"/>
        <w:numPr>
          <w:ilvl w:val="0"/>
          <w:numId w:val="0"/>
        </w:numPr>
        <w:tabs>
          <w:tab w:val="left" w:pos="420"/>
        </w:tabs>
        <w:kinsoku/>
        <w:wordWrap/>
        <w:overflowPunct/>
        <w:topLinePunct w:val="0"/>
        <w:bidi w:val="0"/>
        <w:spacing w:line="400" w:lineRule="exact"/>
        <w:ind w:leftChars="0" w:right="210" w:rightChars="100"/>
        <w:jc w:val="left"/>
        <w:rPr>
          <w:rFonts w:hint="eastAsia" w:ascii="宋体" w:hAnsi="宋体"/>
          <w:b/>
          <w:bCs/>
          <w:color w:val="auto"/>
          <w:szCs w:val="21"/>
        </w:rPr>
      </w:pPr>
      <w:r>
        <w:rPr>
          <w:rFonts w:hint="eastAsia" w:ascii="宋体" w:hAnsi="宋体"/>
          <w:b/>
          <w:bCs/>
          <w:color w:val="auto"/>
          <w:szCs w:val="21"/>
          <w:lang w:eastAsia="zh-CN"/>
        </w:rPr>
        <w:t>③</w:t>
      </w:r>
      <w:r>
        <w:rPr>
          <w:rFonts w:hint="eastAsia" w:ascii="宋体" w:hAnsi="宋体"/>
          <w:b/>
          <w:bCs/>
          <w:color w:val="auto"/>
          <w:szCs w:val="21"/>
        </w:rPr>
        <w:t>工程材料进场投入使用前均需经过报验手续，将相关材料的品牌资料及质量检验报告等资料及</w:t>
      </w:r>
      <w:r>
        <w:rPr>
          <w:rFonts w:hint="eastAsia" w:ascii="宋体" w:hAnsi="宋体"/>
          <w:b/>
          <w:bCs/>
          <w:color w:val="auto"/>
          <w:szCs w:val="21"/>
          <w:lang w:val="en-US" w:eastAsia="zh-CN"/>
        </w:rPr>
        <w:t>采购人</w:t>
      </w:r>
      <w:r>
        <w:rPr>
          <w:rFonts w:hint="eastAsia" w:ascii="宋体" w:hAnsi="宋体"/>
          <w:b/>
          <w:bCs/>
          <w:color w:val="auto"/>
          <w:szCs w:val="21"/>
        </w:rPr>
        <w:t>确定后方可使用，否则</w:t>
      </w:r>
      <w:r>
        <w:rPr>
          <w:rFonts w:hint="eastAsia" w:ascii="宋体" w:hAnsi="宋体"/>
          <w:b/>
          <w:bCs/>
          <w:color w:val="auto"/>
          <w:szCs w:val="21"/>
          <w:lang w:val="en-US" w:eastAsia="zh-CN"/>
        </w:rPr>
        <w:t>采购人</w:t>
      </w:r>
      <w:r>
        <w:rPr>
          <w:rFonts w:hint="eastAsia" w:ascii="宋体" w:hAnsi="宋体"/>
          <w:b/>
          <w:bCs/>
          <w:color w:val="auto"/>
          <w:szCs w:val="21"/>
        </w:rPr>
        <w:t xml:space="preserve">将对此不予计价。                                                                                                                              </w:t>
      </w:r>
      <w:r>
        <w:rPr>
          <w:rFonts w:hint="eastAsia" w:ascii="宋体" w:hAnsi="宋体"/>
          <w:b/>
          <w:bCs/>
          <w:color w:val="auto"/>
          <w:szCs w:val="21"/>
          <w:lang w:eastAsia="zh-CN"/>
        </w:rPr>
        <w:t>④</w:t>
      </w:r>
      <w:r>
        <w:rPr>
          <w:rFonts w:hint="eastAsia" w:ascii="宋体" w:hAnsi="宋体"/>
          <w:b/>
          <w:bCs/>
          <w:color w:val="auto"/>
          <w:szCs w:val="21"/>
          <w:lang w:val="en-US" w:eastAsia="zh-CN"/>
        </w:rPr>
        <w:t>中标供应商</w:t>
      </w:r>
      <w:r>
        <w:rPr>
          <w:rFonts w:hint="eastAsia" w:ascii="宋体" w:hAnsi="宋体"/>
          <w:b/>
          <w:bCs/>
          <w:color w:val="auto"/>
          <w:szCs w:val="21"/>
        </w:rPr>
        <w:t>可采用相当于或优于以上品牌。</w:t>
      </w:r>
      <w:r>
        <w:rPr>
          <w:rFonts w:hint="eastAsia" w:ascii="宋体" w:hAnsi="宋体"/>
          <w:b/>
          <w:bCs/>
          <w:color w:val="auto"/>
          <w:szCs w:val="21"/>
        </w:rPr>
        <w:br w:type="textWrapping"/>
      </w:r>
    </w:p>
    <w:p>
      <w:pPr>
        <w:keepNext w:val="0"/>
        <w:keepLines w:val="0"/>
        <w:pageBreakBefore w:val="0"/>
        <w:numPr>
          <w:ilvl w:val="0"/>
          <w:numId w:val="0"/>
        </w:numPr>
        <w:tabs>
          <w:tab w:val="left" w:pos="420"/>
        </w:tabs>
        <w:kinsoku/>
        <w:wordWrap/>
        <w:overflowPunct/>
        <w:topLinePunct w:val="0"/>
        <w:bidi w:val="0"/>
        <w:spacing w:line="400" w:lineRule="exact"/>
        <w:ind w:leftChars="0" w:right="210" w:rightChars="100"/>
        <w:jc w:val="left"/>
        <w:rPr>
          <w:rFonts w:hint="default"/>
          <w:color w:val="auto"/>
          <w:lang w:val="en-US" w:eastAsia="zh-CN"/>
        </w:rPr>
      </w:pPr>
      <w:r>
        <w:rPr>
          <w:rFonts w:hint="eastAsia" w:ascii="宋体" w:hAnsi="宋体"/>
          <w:b/>
          <w:bCs/>
          <w:color w:val="auto"/>
          <w:szCs w:val="21"/>
          <w:lang w:val="en-US" w:eastAsia="zh-CN"/>
        </w:rPr>
        <w:t>3、技术参数要求：</w:t>
      </w:r>
    </w:p>
    <w:p>
      <w:pPr>
        <w:widowControl/>
        <w:jc w:val="center"/>
        <w:textAlignment w:val="center"/>
        <w:rPr>
          <w:rFonts w:ascii="宋体" w:hAnsi="宋体" w:eastAsia="宋体" w:cs="宋体"/>
          <w:b/>
          <w:color w:val="auto"/>
          <w:kern w:val="0"/>
          <w:sz w:val="28"/>
          <w:szCs w:val="28"/>
        </w:rPr>
      </w:pPr>
      <w:r>
        <w:rPr>
          <w:rFonts w:hint="eastAsia" w:ascii="宋体" w:hAnsi="宋体" w:eastAsia="宋体" w:cs="宋体"/>
          <w:b/>
          <w:color w:val="auto"/>
          <w:kern w:val="0"/>
          <w:sz w:val="28"/>
          <w:szCs w:val="28"/>
        </w:rPr>
        <w:t>一、综合布线系统</w:t>
      </w:r>
    </w:p>
    <w:tbl>
      <w:tblPr>
        <w:tblStyle w:val="38"/>
        <w:tblW w:w="9168" w:type="dxa"/>
        <w:jc w:val="center"/>
        <w:tblLayout w:type="fixed"/>
        <w:tblCellMar>
          <w:top w:w="0" w:type="dxa"/>
          <w:left w:w="0" w:type="dxa"/>
          <w:bottom w:w="0" w:type="dxa"/>
          <w:right w:w="0" w:type="dxa"/>
        </w:tblCellMar>
      </w:tblPr>
      <w:tblGrid>
        <w:gridCol w:w="1440"/>
        <w:gridCol w:w="7728"/>
      </w:tblGrid>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kern w:val="2"/>
                <w:sz w:val="20"/>
                <w:szCs w:val="20"/>
              </w:rPr>
            </w:pPr>
            <w:r>
              <w:rPr>
                <w:rFonts w:hint="eastAsia" w:ascii="宋体" w:hAnsi="宋体" w:eastAsia="宋体" w:cs="宋体"/>
                <w:b/>
                <w:color w:val="auto"/>
                <w:kern w:val="0"/>
                <w:sz w:val="20"/>
                <w:szCs w:val="20"/>
              </w:rPr>
              <w:t>设备名称</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kern w:val="2"/>
                <w:sz w:val="20"/>
                <w:szCs w:val="20"/>
              </w:rPr>
            </w:pPr>
            <w:r>
              <w:rPr>
                <w:rFonts w:hint="eastAsia" w:ascii="宋体" w:hAnsi="宋体" w:eastAsia="宋体" w:cs="宋体"/>
                <w:b/>
                <w:color w:val="auto"/>
                <w:kern w:val="0"/>
                <w:sz w:val="20"/>
                <w:szCs w:val="20"/>
              </w:rPr>
              <w:t>参数</w:t>
            </w:r>
          </w:p>
        </w:tc>
      </w:tr>
      <w:tr>
        <w:tblPrEx>
          <w:tblCellMar>
            <w:top w:w="0" w:type="dxa"/>
            <w:left w:w="0" w:type="dxa"/>
            <w:bottom w:w="0" w:type="dxa"/>
            <w:right w:w="0" w:type="dxa"/>
          </w:tblCellMar>
        </w:tblPrEx>
        <w:trPr>
          <w:trHeight w:val="2005"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单孔网络面板</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1、面板使用优质PC材料，光泽度好，耐冲击，抗老化， 塑料件阻燃等级：UL 94-V2</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面板规格为国际标准的86*86mm，外观为圆角造型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面板信息口向下倾斜的安装方式，有利于保证跳线的弯曲半径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4、面板配有固定式百褶胶透明防尘门，多次折弯不易断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面板装配彩色模块后能够通过透明防尘门了解模块的颜色，以在工作区通过模块的颜色来区分不同网段</w:t>
            </w:r>
          </w:p>
        </w:tc>
      </w:tr>
      <w:tr>
        <w:tblPrEx>
          <w:tblCellMar>
            <w:top w:w="0" w:type="dxa"/>
            <w:left w:w="0" w:type="dxa"/>
            <w:bottom w:w="0" w:type="dxa"/>
            <w:right w:w="0" w:type="dxa"/>
          </w:tblCellMar>
        </w:tblPrEx>
        <w:trPr>
          <w:trHeight w:val="2239"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双孔网络面板</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1、面板使用优质PC材料，光泽度好，耐冲击，抗老化， 塑料件阻燃等级：UL 94-V2</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面板规格为国际标准的86*86mm，外观为圆角造型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面板信息口向下倾斜的安装方式，有利于保证跳线的弯曲半径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面板配有固定式透明防尘门，有效防止灰尘进入，防尘门采用PP材料，多次折弯不易断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面板装配彩色模块后能够通过透明防尘门了解模块的颜色，以在工作区通过模块的颜色来区分不同网段</w:t>
            </w:r>
          </w:p>
        </w:tc>
      </w:tr>
      <w:tr>
        <w:tblPrEx>
          <w:tblCellMar>
            <w:top w:w="0" w:type="dxa"/>
            <w:left w:w="0" w:type="dxa"/>
            <w:bottom w:w="0" w:type="dxa"/>
            <w:right w:w="0" w:type="dxa"/>
          </w:tblCellMar>
        </w:tblPrEx>
        <w:trPr>
          <w:trHeight w:val="3205"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地插</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材料：地插面板采用优质黄铜，优质冷轧钢板并经过喷漆处理，内部塑料件为PC/ABS</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塑料件阻燃等级：UL 94-V2</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地插面板采用正方形弹起式设计，美观大方</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4、地插面板采用开关控制开合，无卡死现象，并采用阻尼式设计，避免迅速弹出时误伤到人员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5、地插采用防渗漏设计，地插关闭时水不易进入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6、面板的尺寸规格为120*120mm（长*宽），底盒的尺寸规格为：100*100*60mm（长*宽*深）</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7、面板使用优质黄铜，表面经过特殊处理，经久耐用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 底盒采用优质冷轧钢板并经过喷漆处理，抗腐蚀性强</w:t>
            </w:r>
          </w:p>
        </w:tc>
      </w:tr>
      <w:tr>
        <w:tblPrEx>
          <w:tblCellMar>
            <w:top w:w="0" w:type="dxa"/>
            <w:left w:w="0" w:type="dxa"/>
            <w:bottom w:w="0" w:type="dxa"/>
            <w:right w:w="0" w:type="dxa"/>
          </w:tblCellMar>
        </w:tblPrEx>
        <w:trPr>
          <w:trHeight w:val="4231"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六类非屏蔽模块</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参考标准：YD/T 1019、YD/T 926、TIA/EIA568C、ISO/IEC11801、GB/T 19666、IEC60332、IEC61034、IEC60754</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产品包装：纸箱包装（305米）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阻燃等级：IEC60332-1、IEC60332-2</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4、 导体直径 0.57-0.58mm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外护套材料 PE</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6、 导体线规 23AWG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 外护套直径 约6.5mm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8、 绝缘材料 PE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 外护套厚度 ≥0.55mm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10、 绝缘直径  1.0±0.02mm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 结构    U/UTP</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12 填充   十字骨架  PE </w:t>
            </w:r>
          </w:p>
        </w:tc>
      </w:tr>
      <w:tr>
        <w:tblPrEx>
          <w:tblCellMar>
            <w:top w:w="0" w:type="dxa"/>
            <w:left w:w="0" w:type="dxa"/>
            <w:bottom w:w="0" w:type="dxa"/>
            <w:right w:w="0" w:type="dxa"/>
          </w:tblCellMar>
        </w:tblPrEx>
        <w:trPr>
          <w:trHeight w:val="4361"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六类4对非屏蔽双绞线</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1、参考标准：YD/T 1019、YD/T 926、TIA/EIA568C、ISO/IEC11801、GB/T 19666、IEC60332、IEC61034、IEC60754</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2、产品包装：纸箱包装（305米）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3、阻燃等级：IEC60332-1、IEC60332-2</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4、导体直径 0.57-0.58mm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5、外护套材料 PE</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6、导体线规 23AWG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7、外护套直径 约6.5mm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8、绝缘材料 PE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9、外护套厚度 ≥0.55mm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10、绝缘直径  1.0±0.02mm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11、结构    U/UTP</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12 填充   十字骨架  PE </w:t>
            </w:r>
          </w:p>
        </w:tc>
      </w:tr>
      <w:tr>
        <w:tblPrEx>
          <w:tblCellMar>
            <w:top w:w="0" w:type="dxa"/>
            <w:left w:w="0" w:type="dxa"/>
            <w:bottom w:w="0" w:type="dxa"/>
            <w:right w:w="0" w:type="dxa"/>
          </w:tblCellMar>
        </w:tblPrEx>
        <w:trPr>
          <w:trHeight w:val="3462"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50对大对数电缆</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参考标准：YD/T 1019、YD/T 926</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产品包装：卷轴包装（305米）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阻燃等级：满足YD/T 1019中对阻燃的要求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4、 导体直径 ≥0.5mm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外护套材料 PVC</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6、 导体线规 24AWG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7、外护套直径 约16.0mm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8、绝缘材料 PE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 外护套厚度 ≥0.55mm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 绝缘直径 0.85±0.02mm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 结构     U/UTP</w:t>
            </w:r>
          </w:p>
        </w:tc>
      </w:tr>
      <w:tr>
        <w:tblPrEx>
          <w:tblCellMar>
            <w:top w:w="0" w:type="dxa"/>
            <w:left w:w="0" w:type="dxa"/>
            <w:bottom w:w="0" w:type="dxa"/>
            <w:right w:w="0" w:type="dxa"/>
          </w:tblCellMar>
        </w:tblPrEx>
        <w:trPr>
          <w:trHeight w:val="2880"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100对大对数电缆</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参考标准：YD/T 1019、YD/T 926</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产品包装：卷轴包装（305米）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阻燃等级：满足YD/T 1019中对阻燃的要求</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4、 导体直径 ≥0.5mm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外护套材料 PVC</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6、 导体线规 24AWG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7、外护套直径 约16.0mm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 xml:space="preserve">8、绝缘材料 PE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 外护套厚度 ≥0.55mm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 绝缘直径 0.85±0.02mm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 结构     U/UTP</w:t>
            </w:r>
          </w:p>
        </w:tc>
      </w:tr>
      <w:tr>
        <w:tblPrEx>
          <w:tblCellMar>
            <w:top w:w="0" w:type="dxa"/>
            <w:left w:w="0" w:type="dxa"/>
            <w:bottom w:w="0" w:type="dxa"/>
            <w:right w:w="0" w:type="dxa"/>
          </w:tblCellMar>
        </w:tblPrEx>
        <w:trPr>
          <w:trHeight w:val="2888"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12芯单模光缆</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1、产品符合YD/T769-2010、YD/T 908-2011、GB/T9771.3-2008、GB/T12357.1-2004等标准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2、具有很好的机械性能和温度特性，可在-40℃～+70℃环境下使用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3、松套管材料本身具有很好的耐水解性能和较高的强度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管内充以特种油膏，对光纤进行了关键性保护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5、光缆采用双面涂塑光带提高光缆的抗潮能力</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6、采用两根平行钢丝保证光缆的抗拉强度</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7、护套采用PE护套能够很好的防紫外线辐射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8、直径小，重量轻，容易敷设；</w:t>
            </w:r>
          </w:p>
        </w:tc>
      </w:tr>
      <w:tr>
        <w:tblPrEx>
          <w:tblCellMar>
            <w:top w:w="0" w:type="dxa"/>
            <w:left w:w="0" w:type="dxa"/>
            <w:bottom w:w="0" w:type="dxa"/>
            <w:right w:w="0" w:type="dxa"/>
          </w:tblCellMar>
        </w:tblPrEx>
        <w:trPr>
          <w:trHeight w:val="3360"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六类非屏蔽24口配线架</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材料：配线架架体材料为冷轧钢板，塑料件为PC/ABS合金，8P8C插座簧片镀金50U''；</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塑料件阻燃等级：UL 94-V0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执行标准：YD/T 926.3、ISO/IEC 11801、TIA/EIA 568C.2</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4、19英寸24位RJ45设计，占机柜1U空间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配线架架体采用冷轧钢板，钢板经脱脂、酸洗、磷化和静电喷塑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6、配线架采用整体PCB式设计，后部为通用110接线方式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 配线架带有透明标签管理区域，方便端口信息管理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8、 兼容568A和568B两种接续标准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9、 模块后部具有带理线功能的压线盖，保证电缆端接的可靠性和电气性能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10、内部采用专门设计8P8C插座，插座内部为6类RJ45模块核心，电气性能优异，插座接触部分镀金50U''</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11、兼容RJ45和RJ11插头，不会影响簧片的接触可靠性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12、配线架带宽250MHz，符合最新国际和国家标准</w:t>
            </w:r>
          </w:p>
        </w:tc>
      </w:tr>
      <w:tr>
        <w:tblPrEx>
          <w:tblCellMar>
            <w:top w:w="0" w:type="dxa"/>
            <w:left w:w="0" w:type="dxa"/>
            <w:bottom w:w="0" w:type="dxa"/>
            <w:right w:w="0" w:type="dxa"/>
          </w:tblCellMar>
        </w:tblPrEx>
        <w:trPr>
          <w:trHeight w:val="2636"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机架式110型100条语音配线架</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 xml:space="preserve">1、 材料：塑料件为PC/ABS合金，簧片镀银50U''  </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塑料件阻燃等级：UL 94-V0</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执行标准：YD/T 926.3、ISO/IEC 11801、TIA/EIA 568C.2</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适合于语音大对数电缆的端接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每100回线的套件包含5只4对和1只5对110接线排，采用通用110接线工具端接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 性能为超五类，模块带宽100MHz，符合最新国际和国家标准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7、19英寸标准机柜安装，占1U</w:t>
            </w:r>
          </w:p>
        </w:tc>
      </w:tr>
      <w:tr>
        <w:tblPrEx>
          <w:tblCellMar>
            <w:top w:w="0" w:type="dxa"/>
            <w:left w:w="0" w:type="dxa"/>
            <w:bottom w:w="0" w:type="dxa"/>
            <w:right w:w="0" w:type="dxa"/>
          </w:tblCellMar>
        </w:tblPrEx>
        <w:trPr>
          <w:trHeight w:val="2249"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12口机架式光纤终端盒</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产品符合YD/T 778-2011 《光纤配线架》行业标准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结构简单可靠，性价比高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3、采用全对称设计，左右两侧均可进缆和出纤，支持多种进缆方式以及左右出纤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配置丰富，兼容多种光缆以及适配器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5、安装侧耳设置多个安装位置，可用于机柜及ODF架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6、可根据光缆类型选配相应一体化托盘套件。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7、可安装室外光缆固定组件，满足室外光缆进缆固定需求。</w:t>
            </w:r>
          </w:p>
        </w:tc>
      </w:tr>
      <w:tr>
        <w:tblPrEx>
          <w:tblCellMar>
            <w:top w:w="0" w:type="dxa"/>
            <w:left w:w="0" w:type="dxa"/>
            <w:bottom w:w="0" w:type="dxa"/>
            <w:right w:w="0" w:type="dxa"/>
          </w:tblCellMar>
        </w:tblPrEx>
        <w:trPr>
          <w:trHeight w:val="1655"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19英寸金属1U理线器</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材料：架体为冷轧钢板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2、19英寸设计，占机柜1U空间</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3、安装板架体采用冷轧钢板，钢板经脱脂、酸洗、磷化和静电喷塑</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4、线环式设计，操作简便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5、理线架架体部分的钢板厚度1.5mm，线环厚度是2mm</w:t>
            </w:r>
          </w:p>
        </w:tc>
      </w:tr>
      <w:tr>
        <w:tblPrEx>
          <w:tblCellMar>
            <w:top w:w="0" w:type="dxa"/>
            <w:left w:w="0" w:type="dxa"/>
            <w:bottom w:w="0" w:type="dxa"/>
            <w:right w:w="0" w:type="dxa"/>
          </w:tblCellMar>
        </w:tblPrEx>
        <w:trPr>
          <w:trHeight w:val="1997"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LC双工光纤适配器</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1、采用优质陶瓷套筒</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2、产品符合YD/T1272.1-2003行业标准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机械耐久性：＞500次，插入损耗变化量＜0.2dB，回波损耗变化量＜5dB；</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4、插入损耗：＜0.2dB（单模）、小于0.1dB（多模）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互换性：变化量＜0.1dB</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5、工作温度：-25℃至70℃</w:t>
            </w:r>
          </w:p>
        </w:tc>
      </w:tr>
      <w:tr>
        <w:tblPrEx>
          <w:tblCellMar>
            <w:top w:w="0" w:type="dxa"/>
            <w:left w:w="0" w:type="dxa"/>
            <w:bottom w:w="0" w:type="dxa"/>
            <w:right w:w="0" w:type="dxa"/>
          </w:tblCellMar>
        </w:tblPrEx>
        <w:trPr>
          <w:trHeight w:val="2309"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LC单模双芯尾纤</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1、产品符合YD/T1272.1-2003、YD/T1258.3-2009、GB/T12357.1-2004标准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2、连接器采用句型结构及弹性卡子锁紧结构,防拉设计，防腐蚀主体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低损耗连接，高反射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单芯，双芯和多芯组件适用于标准及定制构型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单模G652D，多模OM1\OM2\OM3\OM4</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6、连接器：UPC，插入损耗： ≤0.2dB，回波损耗： ≥40dB，重复性： ≤0.2dB，互换性： ≤0.5dB，工作温度 -25～+70℃，储存温度： -25～+70℃；</w:t>
            </w:r>
          </w:p>
        </w:tc>
      </w:tr>
      <w:tr>
        <w:tblPrEx>
          <w:tblCellMar>
            <w:top w:w="0" w:type="dxa"/>
            <w:left w:w="0" w:type="dxa"/>
            <w:bottom w:w="0" w:type="dxa"/>
            <w:right w:w="0" w:type="dxa"/>
          </w:tblCellMar>
        </w:tblPrEx>
        <w:trPr>
          <w:trHeight w:val="2264"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LC-LC单模双芯光纤跳线</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1、产品符合YD/T1272.1-2003、YD/T1258.3-2009、GB/T12357.1-2004标准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2、连接器采用句型结构及弹性卡子锁紧结构,防拉设计，防腐蚀主体</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低损耗连接，高反射</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单芯，双芯和多芯组件适用于标准及定制构型</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单模G652D，多模OM1\OM2\OM3\OM4</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6、连接器：UPC，插入损耗： ≤0.2dB，回波损耗： ≥40dB，重复性： ≤0.2dB，互换性： ≤0.5dB，工作温度 -25～+70℃，储存温度： -25～+70℃；</w:t>
            </w:r>
          </w:p>
        </w:tc>
      </w:tr>
      <w:tr>
        <w:tblPrEx>
          <w:tblCellMar>
            <w:top w:w="0" w:type="dxa"/>
            <w:left w:w="0" w:type="dxa"/>
            <w:bottom w:w="0" w:type="dxa"/>
            <w:right w:w="0" w:type="dxa"/>
          </w:tblCellMar>
        </w:tblPrEx>
        <w:trPr>
          <w:trHeight w:val="3360"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42U机柜</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材料</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优质冷轧钢板，粉喷前钢板厚度：框架1.2mm,方孔条2.0mm，侧门1.2mm，前后门1.2mm。可关闭的上部、下部多处走线通道，底部大走线孔尺寸可按需调制。机柜的层板各承受不低于200KG的重量，分多层后，整柜共承受不低于800KG的重量，静压24小时不受影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表面处理</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板材通过严格的脱脂、酸洗、防锈磷化、纯水清洗后，再进行静电喷塑。喷塑厚度为80um-100um。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颜色</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RAL9004(黑色)</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配件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1) 高度≥1800mm的机柜标配3块固定托盘；高度＜1800mm的机柜标配1块固定托盘。</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2) 深度≥800mm的机柜标配4个风扇；深度＜800mm的机柜标配2个风扇。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3) 42U及以上高度的机柜标配40套浮动螺母；42U以下高度的标配20套浮动螺母。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4) 800mm宽度的机柜前部左右标配钣金式带盖板的垂直理线槽。</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5) 每台机柜标配1个6位电源插座、4个支撑脚和4个脚轮。</w:t>
            </w:r>
          </w:p>
        </w:tc>
      </w:tr>
      <w:tr>
        <w:tblPrEx>
          <w:tblCellMar>
            <w:top w:w="0" w:type="dxa"/>
            <w:left w:w="0" w:type="dxa"/>
            <w:bottom w:w="0" w:type="dxa"/>
            <w:right w:w="0" w:type="dxa"/>
          </w:tblCellMar>
        </w:tblPrEx>
        <w:trPr>
          <w:trHeight w:val="495"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110-110非屏蔽跳线,2米</w:t>
            </w:r>
          </w:p>
        </w:tc>
        <w:tc>
          <w:tcPr>
            <w:tcW w:w="77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1、 依据标准ANSI/TIA-568-C.2，同时符合标准ISO/IEC 11801、YD/T926.3</w:t>
            </w:r>
          </w:p>
        </w:tc>
      </w:tr>
    </w:tbl>
    <w:p>
      <w:pPr>
        <w:widowControl w:val="0"/>
        <w:numPr>
          <w:ilvl w:val="0"/>
          <w:numId w:val="32"/>
        </w:numPr>
        <w:jc w:val="center"/>
        <w:rPr>
          <w:rFonts w:eastAsia="宋体" w:cs="Times New Roman"/>
          <w:b/>
          <w:bCs/>
          <w:color w:val="auto"/>
          <w:kern w:val="2"/>
          <w:sz w:val="28"/>
          <w:szCs w:val="28"/>
        </w:rPr>
      </w:pPr>
      <w:r>
        <w:rPr>
          <w:rFonts w:hint="eastAsia" w:eastAsia="宋体" w:cs="Times New Roman"/>
          <w:b/>
          <w:bCs/>
          <w:color w:val="auto"/>
          <w:kern w:val="2"/>
          <w:sz w:val="28"/>
          <w:szCs w:val="28"/>
        </w:rPr>
        <w:t>计算机网络系统</w:t>
      </w:r>
    </w:p>
    <w:tbl>
      <w:tblPr>
        <w:tblStyle w:val="38"/>
        <w:tblW w:w="9065" w:type="dxa"/>
        <w:jc w:val="center"/>
        <w:tblLayout w:type="fixed"/>
        <w:tblCellMar>
          <w:top w:w="0" w:type="dxa"/>
          <w:left w:w="0" w:type="dxa"/>
          <w:bottom w:w="0" w:type="dxa"/>
          <w:right w:w="0" w:type="dxa"/>
        </w:tblCellMar>
      </w:tblPr>
      <w:tblGrid>
        <w:gridCol w:w="1456"/>
        <w:gridCol w:w="1305"/>
        <w:gridCol w:w="6304"/>
      </w:tblGrid>
      <w:tr>
        <w:tblPrEx>
          <w:tblCellMar>
            <w:top w:w="0" w:type="dxa"/>
            <w:left w:w="0" w:type="dxa"/>
            <w:bottom w:w="0" w:type="dxa"/>
            <w:right w:w="0" w:type="dxa"/>
          </w:tblCellMar>
        </w:tblPrEx>
        <w:trPr>
          <w:trHeight w:val="285" w:hRule="atLeast"/>
          <w:jc w:val="center"/>
        </w:trPr>
        <w:tc>
          <w:tcPr>
            <w:tcW w:w="14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kern w:val="2"/>
                <w:sz w:val="20"/>
                <w:szCs w:val="20"/>
              </w:rPr>
            </w:pPr>
            <w:r>
              <w:rPr>
                <w:rFonts w:hint="eastAsia" w:ascii="宋体" w:hAnsi="宋体" w:eastAsia="宋体" w:cs="宋体"/>
                <w:b/>
                <w:color w:val="auto"/>
                <w:kern w:val="0"/>
                <w:sz w:val="20"/>
                <w:szCs w:val="20"/>
              </w:rPr>
              <w:t>设备名称</w:t>
            </w:r>
          </w:p>
        </w:tc>
        <w:tc>
          <w:tcPr>
            <w:tcW w:w="76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kern w:val="2"/>
                <w:sz w:val="20"/>
                <w:szCs w:val="20"/>
              </w:rPr>
            </w:pPr>
            <w:r>
              <w:rPr>
                <w:rFonts w:hint="eastAsia" w:ascii="宋体" w:hAnsi="宋体" w:eastAsia="宋体" w:cs="宋体"/>
                <w:b/>
                <w:color w:val="auto"/>
                <w:kern w:val="0"/>
                <w:sz w:val="20"/>
                <w:szCs w:val="20"/>
              </w:rPr>
              <w:t>参数</w:t>
            </w:r>
          </w:p>
        </w:tc>
      </w:tr>
      <w:tr>
        <w:tblPrEx>
          <w:tblCellMar>
            <w:top w:w="0" w:type="dxa"/>
            <w:left w:w="0" w:type="dxa"/>
            <w:bottom w:w="0" w:type="dxa"/>
            <w:right w:w="0" w:type="dxa"/>
          </w:tblCellMar>
        </w:tblPrEx>
        <w:trPr>
          <w:trHeight w:val="285"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48口千兆交换机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交换容量</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u w:val="none"/>
                <w:lang w:val="en-US" w:eastAsia="zh-CN" w:bidi="ar"/>
              </w:rPr>
              <w:t>交换容量≥336Gbps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包转发率</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u w:val="none"/>
                <w:lang w:val="en-US" w:eastAsia="zh-CN" w:bidi="ar"/>
              </w:rPr>
              <w:t>包转发率≥166Mpps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端口类型</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微软雅黑" w:cs="宋体"/>
                <w:color w:val="auto"/>
                <w:kern w:val="2"/>
                <w:sz w:val="20"/>
                <w:szCs w:val="20"/>
                <w:u w:val="none"/>
                <w:lang w:val="en-US" w:eastAsia="zh-CN" w:bidi="ar"/>
              </w:rPr>
              <w:t>≥</w:t>
            </w:r>
            <w:r>
              <w:rPr>
                <w:rFonts w:hint="eastAsia" w:ascii="宋体" w:hAnsi="宋体" w:eastAsia="宋体" w:cs="宋体"/>
                <w:color w:val="auto"/>
                <w:kern w:val="2"/>
                <w:sz w:val="20"/>
                <w:szCs w:val="20"/>
                <w:u w:val="none"/>
                <w:lang w:val="en-US" w:eastAsia="zh-CN" w:bidi="ar"/>
              </w:rPr>
              <w:t>48个千兆电口，</w:t>
            </w:r>
            <w:r>
              <w:rPr>
                <w:rFonts w:hint="eastAsia" w:ascii="宋体" w:hAnsi="宋体" w:eastAsia="微软雅黑" w:cs="宋体"/>
                <w:color w:val="auto"/>
                <w:kern w:val="2"/>
                <w:sz w:val="20"/>
                <w:szCs w:val="20"/>
                <w:u w:val="none"/>
                <w:lang w:val="en-US" w:eastAsia="zh-CN" w:bidi="ar"/>
              </w:rPr>
              <w:t>≥4</w:t>
            </w:r>
            <w:r>
              <w:rPr>
                <w:rFonts w:hint="eastAsia" w:ascii="宋体" w:hAnsi="宋体" w:eastAsia="宋体" w:cs="宋体"/>
                <w:color w:val="auto"/>
                <w:kern w:val="2"/>
                <w:sz w:val="20"/>
                <w:szCs w:val="20"/>
                <w:u w:val="none"/>
                <w:lang w:val="en-US" w:eastAsia="zh-CN" w:bidi="ar"/>
              </w:rPr>
              <w:t>个千兆SFP端口</w:t>
            </w:r>
          </w:p>
        </w:tc>
      </w:tr>
      <w:tr>
        <w:tblPrEx>
          <w:tblCellMar>
            <w:top w:w="0" w:type="dxa"/>
            <w:left w:w="0" w:type="dxa"/>
            <w:bottom w:w="0" w:type="dxa"/>
            <w:right w:w="0" w:type="dxa"/>
          </w:tblCellMar>
        </w:tblPrEx>
        <w:trPr>
          <w:trHeight w:val="57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三层功能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支持静态路由、RIP、RIPng、OSPF</w:t>
            </w:r>
          </w:p>
        </w:tc>
      </w:tr>
      <w:tr>
        <w:tblPrEx>
          <w:tblCellMar>
            <w:top w:w="0" w:type="dxa"/>
            <w:left w:w="0" w:type="dxa"/>
            <w:bottom w:w="0" w:type="dxa"/>
            <w:right w:w="0" w:type="dxa"/>
          </w:tblCellMar>
        </w:tblPrEx>
        <w:trPr>
          <w:trHeight w:val="142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组播</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支持IGMP v1/v2/v3 Snooping</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支持VLAN内组播转发和组播多VLAN复制</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支持捆绑端口的组播负载分担</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支持可控组播</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基于端口的组播流量统计</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微软雅黑" w:hAnsi="微软雅黑" w:eastAsia="微软雅黑" w:cs="微软雅黑"/>
                <w:color w:val="auto"/>
                <w:kern w:val="2"/>
                <w:sz w:val="18"/>
                <w:szCs w:val="18"/>
              </w:rPr>
              <w:t>ERPS</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实现ERPS功能，能够快速阻断环路，链路收敛时间≤50ms</w:t>
            </w:r>
          </w:p>
        </w:tc>
      </w:tr>
      <w:tr>
        <w:tblPrEx>
          <w:tblCellMar>
            <w:top w:w="0" w:type="dxa"/>
            <w:left w:w="0" w:type="dxa"/>
            <w:bottom w:w="0" w:type="dxa"/>
            <w:right w:w="0" w:type="dxa"/>
          </w:tblCellMar>
        </w:tblPrEx>
        <w:trPr>
          <w:trHeight w:val="142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虚拟化</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支持智能堆叠，堆叠后逻辑上虚拟为一台设备，具有统一的表项和管理，堆叠系统通过多台成员设备之间冗余备份</w:t>
            </w:r>
            <w:r>
              <w:rPr>
                <w:rFonts w:hint="eastAsia" w:ascii="宋体" w:hAnsi="宋体" w:eastAsia="宋体" w:cs="宋体"/>
                <w:color w:val="auto"/>
                <w:kern w:val="0"/>
                <w:sz w:val="20"/>
                <w:szCs w:val="20"/>
              </w:rPr>
              <w:br w:type="textWrapping"/>
            </w:r>
            <w:r>
              <w:rPr>
                <w:rFonts w:hint="eastAsia" w:ascii="微软雅黑" w:hAnsi="微软雅黑" w:eastAsia="微软雅黑" w:cs="微软雅黑"/>
                <w:color w:val="auto"/>
                <w:kern w:val="2"/>
                <w:sz w:val="18"/>
                <w:szCs w:val="18"/>
              </w:rPr>
              <w:t>最大堆叠台数≥9台</w:t>
            </w:r>
            <w:r>
              <w:rPr>
                <w:rFonts w:hint="eastAsia" w:ascii="宋体" w:hAnsi="宋体" w:eastAsia="宋体" w:cs="宋体"/>
                <w:color w:val="auto"/>
                <w:kern w:val="0"/>
                <w:sz w:val="20"/>
                <w:szCs w:val="20"/>
              </w:rPr>
              <w:br w:type="textWrapping"/>
            </w:r>
            <w:r>
              <w:rPr>
                <w:rFonts w:hint="eastAsia" w:ascii="微软雅黑" w:hAnsi="微软雅黑" w:eastAsia="微软雅黑" w:cs="微软雅黑"/>
                <w:color w:val="auto"/>
                <w:kern w:val="2"/>
                <w:sz w:val="18"/>
                <w:szCs w:val="18"/>
              </w:rPr>
              <w:t>支持完善的堆叠分裂检测机制，堆叠分裂后能自动完成MAC和IP地址的重配置，无需手动干预</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SDN</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default" w:ascii="宋体" w:hAnsi="宋体" w:eastAsia="宋体" w:cs="宋体"/>
                <w:color w:val="auto"/>
                <w:kern w:val="2"/>
                <w:sz w:val="20"/>
                <w:szCs w:val="20"/>
                <w:u w:val="none"/>
              </w:rPr>
              <w:t>支持Openflow 1.3标准</w:t>
            </w:r>
          </w:p>
        </w:tc>
      </w:tr>
      <w:tr>
        <w:tblPrEx>
          <w:tblCellMar>
            <w:top w:w="0" w:type="dxa"/>
            <w:left w:w="0" w:type="dxa"/>
            <w:bottom w:w="0" w:type="dxa"/>
            <w:right w:w="0" w:type="dxa"/>
          </w:tblCellMar>
        </w:tblPrEx>
        <w:trPr>
          <w:trHeight w:val="285"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48口千兆交换机（POE）</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交换容量</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default" w:ascii="宋体" w:hAnsi="宋体" w:eastAsia="宋体" w:cs="宋体"/>
                <w:color w:val="auto"/>
                <w:kern w:val="2"/>
                <w:sz w:val="20"/>
                <w:szCs w:val="20"/>
                <w:u w:val="none"/>
              </w:rPr>
              <w:t>交换容量≥337Gbps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包转发率</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default" w:ascii="宋体" w:hAnsi="宋体" w:eastAsia="宋体" w:cs="宋体"/>
                <w:color w:val="auto"/>
                <w:kern w:val="2"/>
                <w:sz w:val="20"/>
                <w:szCs w:val="20"/>
                <w:u w:val="none"/>
              </w:rPr>
              <w:t>包转发率≥85Mpps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端口类型</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微软雅黑" w:cs="宋体"/>
                <w:color w:val="auto"/>
                <w:kern w:val="2"/>
                <w:sz w:val="20"/>
                <w:szCs w:val="20"/>
                <w:u w:val="none"/>
                <w:lang w:val="en-US" w:eastAsia="zh-CN" w:bidi="ar"/>
              </w:rPr>
              <w:t>≥</w:t>
            </w:r>
            <w:r>
              <w:rPr>
                <w:rFonts w:hint="eastAsia" w:ascii="宋体" w:hAnsi="宋体" w:eastAsia="宋体" w:cs="宋体"/>
                <w:color w:val="auto"/>
                <w:kern w:val="2"/>
                <w:sz w:val="20"/>
                <w:szCs w:val="20"/>
                <w:u w:val="none"/>
                <w:lang w:val="en-US" w:eastAsia="zh-CN" w:bidi="ar"/>
              </w:rPr>
              <w:t>48个千兆电口，</w:t>
            </w:r>
            <w:r>
              <w:rPr>
                <w:rFonts w:hint="eastAsia" w:ascii="宋体" w:hAnsi="宋体" w:eastAsia="微软雅黑" w:cs="宋体"/>
                <w:color w:val="auto"/>
                <w:kern w:val="2"/>
                <w:sz w:val="20"/>
                <w:szCs w:val="20"/>
                <w:u w:val="none"/>
                <w:lang w:val="en-US" w:eastAsia="zh-CN" w:bidi="ar"/>
              </w:rPr>
              <w:t>≥</w:t>
            </w:r>
            <w:r>
              <w:rPr>
                <w:rFonts w:hint="eastAsia" w:ascii="宋体" w:hAnsi="宋体" w:eastAsia="宋体" w:cs="宋体"/>
                <w:color w:val="auto"/>
                <w:kern w:val="2"/>
                <w:sz w:val="20"/>
                <w:szCs w:val="20"/>
                <w:u w:val="none"/>
                <w:lang w:val="en-US" w:eastAsia="zh-CN" w:bidi="ar"/>
              </w:rPr>
              <w:t>4个千兆SFP端口</w:t>
            </w:r>
            <w:r>
              <w:rPr>
                <w:rFonts w:hint="default" w:ascii="宋体" w:hAnsi="宋体" w:eastAsia="宋体" w:cs="宋体"/>
                <w:color w:val="auto"/>
                <w:kern w:val="2"/>
                <w:sz w:val="20"/>
                <w:szCs w:val="20"/>
                <w:u w:val="none"/>
                <w:lang w:val="en-US" w:eastAsia="zh-CN" w:bidi="ar"/>
              </w:rPr>
              <w:t xml:space="preserve">  </w:t>
            </w:r>
            <w:r>
              <w:rPr>
                <w:rFonts w:hint="eastAsia" w:ascii="宋体" w:hAnsi="宋体" w:eastAsia="宋体" w:cs="宋体"/>
                <w:color w:val="auto"/>
                <w:kern w:val="2"/>
                <w:sz w:val="20"/>
                <w:szCs w:val="20"/>
                <w:u w:val="none"/>
                <w:lang w:val="en-US" w:eastAsia="zh-CN" w:bidi="ar"/>
              </w:rPr>
              <w:t>总供电功率≥380W</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PoE</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支持PoE（802.3af）和PoE+（802.3at）</w:t>
            </w:r>
          </w:p>
        </w:tc>
      </w:tr>
      <w:tr>
        <w:tblPrEx>
          <w:tblCellMar>
            <w:top w:w="0" w:type="dxa"/>
            <w:left w:w="0" w:type="dxa"/>
            <w:bottom w:w="0" w:type="dxa"/>
            <w:right w:w="0" w:type="dxa"/>
          </w:tblCellMar>
        </w:tblPrEx>
        <w:trPr>
          <w:trHeight w:val="38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三层功能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支持静态路由、RIP、RIPng、OSPF</w:t>
            </w:r>
          </w:p>
        </w:tc>
      </w:tr>
      <w:tr>
        <w:tblPrEx>
          <w:tblCellMar>
            <w:top w:w="0" w:type="dxa"/>
            <w:left w:w="0" w:type="dxa"/>
            <w:bottom w:w="0" w:type="dxa"/>
            <w:right w:w="0" w:type="dxa"/>
          </w:tblCellMar>
        </w:tblPrEx>
        <w:trPr>
          <w:trHeight w:val="285"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24口千兆交换机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交换容量</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u w:val="none"/>
                <w:lang w:val="en-US" w:eastAsia="zh-CN" w:bidi="ar"/>
              </w:rPr>
              <w:t>交换容量≥336Gbps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包转发率</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u w:val="none"/>
                <w:lang w:val="en-US" w:eastAsia="zh-CN" w:bidi="ar"/>
              </w:rPr>
              <w:t>包转发率≥126Mpps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端口类型</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微软雅黑" w:cs="宋体"/>
                <w:color w:val="auto"/>
                <w:kern w:val="2"/>
                <w:sz w:val="20"/>
                <w:szCs w:val="20"/>
                <w:u w:val="none"/>
                <w:lang w:val="en-US" w:eastAsia="zh-CN" w:bidi="ar"/>
              </w:rPr>
              <w:t>≥</w:t>
            </w:r>
            <w:r>
              <w:rPr>
                <w:rFonts w:hint="default" w:ascii="宋体" w:hAnsi="宋体" w:eastAsia="宋体" w:cs="宋体"/>
                <w:color w:val="auto"/>
                <w:kern w:val="2"/>
                <w:sz w:val="20"/>
                <w:szCs w:val="20"/>
                <w:u w:val="none"/>
              </w:rPr>
              <w:t>24个千兆电口，</w:t>
            </w:r>
            <w:r>
              <w:rPr>
                <w:rFonts w:hint="eastAsia" w:ascii="宋体" w:hAnsi="宋体" w:eastAsia="微软雅黑" w:cs="宋体"/>
                <w:color w:val="auto"/>
                <w:kern w:val="2"/>
                <w:sz w:val="20"/>
                <w:szCs w:val="20"/>
                <w:u w:val="none"/>
                <w:lang w:val="en-US" w:eastAsia="zh-CN" w:bidi="ar"/>
              </w:rPr>
              <w:t>≥</w:t>
            </w:r>
            <w:r>
              <w:rPr>
                <w:rFonts w:hint="default" w:ascii="宋体" w:hAnsi="宋体" w:eastAsia="宋体" w:cs="宋体"/>
                <w:color w:val="auto"/>
                <w:kern w:val="2"/>
                <w:sz w:val="20"/>
                <w:szCs w:val="20"/>
                <w:u w:val="none"/>
              </w:rPr>
              <w:t>4个千兆SFP</w:t>
            </w:r>
          </w:p>
        </w:tc>
      </w:tr>
      <w:tr>
        <w:tblPrEx>
          <w:tblCellMar>
            <w:top w:w="0" w:type="dxa"/>
            <w:left w:w="0" w:type="dxa"/>
            <w:bottom w:w="0" w:type="dxa"/>
            <w:right w:w="0" w:type="dxa"/>
          </w:tblCellMar>
        </w:tblPrEx>
        <w:trPr>
          <w:trHeight w:val="47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三层功能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支持静态路由、RIP、RIPng、OSPF</w:t>
            </w:r>
          </w:p>
        </w:tc>
      </w:tr>
      <w:tr>
        <w:tblPrEx>
          <w:tblCellMar>
            <w:top w:w="0" w:type="dxa"/>
            <w:left w:w="0" w:type="dxa"/>
            <w:bottom w:w="0" w:type="dxa"/>
            <w:right w:w="0" w:type="dxa"/>
          </w:tblCellMar>
        </w:tblPrEx>
        <w:trPr>
          <w:trHeight w:val="482"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微软雅黑" w:hAnsi="微软雅黑" w:eastAsia="微软雅黑" w:cs="微软雅黑"/>
                <w:color w:val="auto"/>
                <w:kern w:val="2"/>
                <w:sz w:val="18"/>
                <w:szCs w:val="18"/>
              </w:rPr>
              <w:t>ERPS</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u w:val="none"/>
              </w:rPr>
              <w:t>实现ERPS功能，能够快速阻断环路，链路收敛时间≤50ms</w:t>
            </w:r>
          </w:p>
        </w:tc>
      </w:tr>
      <w:tr>
        <w:tblPrEx>
          <w:tblCellMar>
            <w:top w:w="0" w:type="dxa"/>
            <w:left w:w="0" w:type="dxa"/>
            <w:bottom w:w="0" w:type="dxa"/>
            <w:right w:w="0" w:type="dxa"/>
          </w:tblCellMar>
        </w:tblPrEx>
        <w:trPr>
          <w:trHeight w:val="142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虚拟化</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u w:val="none"/>
              </w:rPr>
              <w:t>支持智能堆叠，堆叠后逻辑上虚拟为一台设备，具有统一的表项和管理，堆叠系统通过多台成员设备之间冗余备份</w:t>
            </w:r>
            <w:r>
              <w:rPr>
                <w:rFonts w:hint="eastAsia" w:ascii="宋体" w:hAnsi="宋体" w:eastAsia="宋体" w:cs="宋体"/>
                <w:color w:val="auto"/>
                <w:kern w:val="2"/>
                <w:sz w:val="20"/>
                <w:szCs w:val="20"/>
                <w:u w:val="none"/>
              </w:rPr>
              <w:br w:type="textWrapping"/>
            </w:r>
            <w:r>
              <w:rPr>
                <w:rFonts w:hint="eastAsia" w:ascii="宋体" w:hAnsi="宋体" w:eastAsia="宋体" w:cs="宋体"/>
                <w:color w:val="auto"/>
                <w:kern w:val="2"/>
                <w:sz w:val="20"/>
                <w:szCs w:val="20"/>
                <w:u w:val="none"/>
              </w:rPr>
              <w:t>最大堆叠台数≥9台</w:t>
            </w:r>
            <w:r>
              <w:rPr>
                <w:rFonts w:hint="eastAsia" w:ascii="宋体" w:hAnsi="宋体" w:eastAsia="宋体" w:cs="宋体"/>
                <w:color w:val="auto"/>
                <w:kern w:val="2"/>
                <w:sz w:val="20"/>
                <w:szCs w:val="20"/>
                <w:u w:val="none"/>
              </w:rPr>
              <w:br w:type="textWrapping"/>
            </w:r>
            <w:r>
              <w:rPr>
                <w:rFonts w:hint="eastAsia" w:ascii="宋体" w:hAnsi="宋体" w:eastAsia="宋体" w:cs="宋体"/>
                <w:color w:val="auto"/>
                <w:kern w:val="2"/>
                <w:sz w:val="20"/>
                <w:szCs w:val="20"/>
                <w:u w:val="none"/>
              </w:rPr>
              <w:t>支持完善的堆叠分裂检测机制，堆叠分裂后能自动完成MAC和IP地址的重配置，无需手动干预</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节能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default" w:ascii="宋体" w:hAnsi="宋体" w:eastAsia="宋体" w:cs="宋体"/>
                <w:color w:val="auto"/>
                <w:kern w:val="2"/>
                <w:sz w:val="20"/>
                <w:szCs w:val="20"/>
                <w:u w:val="none"/>
              </w:rPr>
              <w:t>支持802.3az能效以太网EEE，节能环保</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SDN</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default" w:ascii="宋体" w:hAnsi="宋体" w:eastAsia="宋体" w:cs="宋体"/>
                <w:color w:val="auto"/>
                <w:kern w:val="2"/>
                <w:sz w:val="20"/>
                <w:szCs w:val="20"/>
                <w:u w:val="none"/>
              </w:rPr>
              <w:t>支持Openflow 1.3标准</w:t>
            </w:r>
          </w:p>
        </w:tc>
      </w:tr>
      <w:tr>
        <w:tblPrEx>
          <w:tblCellMar>
            <w:top w:w="0" w:type="dxa"/>
            <w:left w:w="0" w:type="dxa"/>
            <w:bottom w:w="0" w:type="dxa"/>
            <w:right w:w="0" w:type="dxa"/>
          </w:tblCellMar>
        </w:tblPrEx>
        <w:trPr>
          <w:trHeight w:val="285"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24口千兆交换机（POE）</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交换容量</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88"/>
              <w:jc w:val="both"/>
              <w:rPr>
                <w:rFonts w:ascii="微软雅黑" w:hAnsi="微软雅黑" w:eastAsia="微软雅黑" w:cs="微软雅黑"/>
                <w:color w:val="auto"/>
                <w:sz w:val="18"/>
                <w:szCs w:val="18"/>
              </w:rPr>
            </w:pPr>
            <w:r>
              <w:rPr>
                <w:rFonts w:hint="eastAsia" w:ascii="宋体" w:hAnsi="宋体" w:eastAsia="宋体" w:cs="宋体"/>
                <w:color w:val="auto"/>
                <w:sz w:val="20"/>
                <w:szCs w:val="20"/>
                <w:u w:val="none"/>
                <w:lang w:val="en-US" w:eastAsia="zh-CN" w:bidi="ar"/>
              </w:rPr>
              <w:t>交换容量≥336Gbps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包转发率</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88"/>
              <w:jc w:val="both"/>
              <w:rPr>
                <w:rFonts w:ascii="微软雅黑" w:hAnsi="微软雅黑" w:eastAsia="微软雅黑" w:cs="微软雅黑"/>
                <w:color w:val="auto"/>
                <w:sz w:val="18"/>
                <w:szCs w:val="18"/>
              </w:rPr>
            </w:pPr>
            <w:r>
              <w:rPr>
                <w:rFonts w:hint="eastAsia" w:ascii="宋体" w:hAnsi="宋体" w:eastAsia="宋体" w:cs="宋体"/>
                <w:color w:val="auto"/>
                <w:sz w:val="20"/>
                <w:szCs w:val="20"/>
                <w:u w:val="none"/>
                <w:lang w:val="en-US" w:eastAsia="zh-CN" w:bidi="ar"/>
              </w:rPr>
              <w:t>包转发率≥126Mpps</w:t>
            </w:r>
          </w:p>
        </w:tc>
      </w:tr>
      <w:tr>
        <w:tblPrEx>
          <w:tblCellMar>
            <w:top w:w="0" w:type="dxa"/>
            <w:left w:w="0" w:type="dxa"/>
            <w:bottom w:w="0" w:type="dxa"/>
            <w:right w:w="0" w:type="dxa"/>
          </w:tblCellMar>
        </w:tblPrEx>
        <w:trPr>
          <w:trHeight w:val="419"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端口类型</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微软雅黑" w:cs="宋体"/>
                <w:color w:val="auto"/>
                <w:kern w:val="2"/>
                <w:sz w:val="20"/>
                <w:szCs w:val="20"/>
                <w:u w:val="none"/>
                <w:lang w:val="en-US" w:eastAsia="zh-CN" w:bidi="ar"/>
              </w:rPr>
              <w:t>≥</w:t>
            </w:r>
            <w:r>
              <w:rPr>
                <w:rFonts w:hint="eastAsia" w:ascii="宋体" w:hAnsi="宋体" w:eastAsia="宋体" w:cs="宋体"/>
                <w:color w:val="auto"/>
                <w:kern w:val="2"/>
                <w:sz w:val="20"/>
                <w:szCs w:val="20"/>
                <w:u w:val="none"/>
                <w:lang w:val="en-US" w:eastAsia="zh-CN" w:bidi="ar"/>
              </w:rPr>
              <w:t>24个千兆电口，</w:t>
            </w:r>
            <w:r>
              <w:rPr>
                <w:rFonts w:hint="eastAsia" w:ascii="宋体" w:hAnsi="宋体" w:eastAsia="微软雅黑" w:cs="宋体"/>
                <w:color w:val="auto"/>
                <w:kern w:val="2"/>
                <w:sz w:val="20"/>
                <w:szCs w:val="20"/>
                <w:u w:val="none"/>
                <w:lang w:val="en-US" w:eastAsia="zh-CN" w:bidi="ar"/>
              </w:rPr>
              <w:t>≥</w:t>
            </w:r>
            <w:r>
              <w:rPr>
                <w:rFonts w:hint="eastAsia" w:ascii="宋体" w:hAnsi="宋体" w:eastAsia="宋体" w:cs="宋体"/>
                <w:color w:val="auto"/>
                <w:kern w:val="2"/>
                <w:sz w:val="20"/>
                <w:szCs w:val="20"/>
                <w:u w:val="none"/>
                <w:lang w:val="en-US" w:eastAsia="zh-CN" w:bidi="ar"/>
              </w:rPr>
              <w:t>4个千兆SFP</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PoE</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支持PoE（802.3af）和PoE+（802.3at）</w:t>
            </w:r>
          </w:p>
        </w:tc>
      </w:tr>
      <w:tr>
        <w:tblPrEx>
          <w:tblCellMar>
            <w:top w:w="0" w:type="dxa"/>
            <w:left w:w="0" w:type="dxa"/>
            <w:bottom w:w="0" w:type="dxa"/>
            <w:right w:w="0" w:type="dxa"/>
          </w:tblCellMar>
        </w:tblPrEx>
        <w:trPr>
          <w:trHeight w:val="57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三层功能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支持静态路由</w:t>
            </w:r>
          </w:p>
        </w:tc>
      </w:tr>
      <w:tr>
        <w:tblPrEx>
          <w:tblCellMar>
            <w:top w:w="0" w:type="dxa"/>
            <w:left w:w="0" w:type="dxa"/>
            <w:bottom w:w="0" w:type="dxa"/>
            <w:right w:w="0" w:type="dxa"/>
          </w:tblCellMar>
        </w:tblPrEx>
        <w:trPr>
          <w:trHeight w:val="199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安全功能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支持防止DOS、ARP攻击功能、ICMP防攻击</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支持端口隔离、端口安全、Sticky MAC</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支持DHCP Relay、DHCP Server、DHCP Snooping支持AAA认证，支持Radius、HWTACACS、NAC等多种方式</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支持CPU保护功能，支持CPU攻击防范：支持CPCAR，支持CPU队列限速</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支持基于第二层、第三层和第四层的ACL</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支持IP/Port/MAC的绑定功能</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可靠性</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default" w:ascii="宋体" w:hAnsi="宋体" w:eastAsia="宋体" w:cs="宋体"/>
                <w:color w:val="auto"/>
                <w:kern w:val="2"/>
                <w:sz w:val="20"/>
                <w:szCs w:val="20"/>
                <w:u w:val="none"/>
              </w:rPr>
              <w:t>支持G.8032开放环网协议</w:t>
            </w:r>
          </w:p>
        </w:tc>
      </w:tr>
      <w:tr>
        <w:tblPrEx>
          <w:tblCellMar>
            <w:top w:w="0" w:type="dxa"/>
            <w:left w:w="0" w:type="dxa"/>
            <w:bottom w:w="0" w:type="dxa"/>
            <w:right w:w="0" w:type="dxa"/>
          </w:tblCellMar>
        </w:tblPrEx>
        <w:trPr>
          <w:trHeight w:val="285"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AC控制器</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管理AP数</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最大管理AP数量≥256，本次配置48个A</w:t>
            </w:r>
            <w:r>
              <w:rPr>
                <w:rFonts w:hint="eastAsia" w:ascii="宋体" w:hAnsi="宋体" w:eastAsia="宋体" w:cs="宋体"/>
                <w:color w:val="auto"/>
                <w:kern w:val="2"/>
                <w:sz w:val="20"/>
                <w:szCs w:val="20"/>
                <w:u w:val="none"/>
                <w:lang w:val="en-US" w:eastAsia="zh-CN" w:bidi="ar"/>
              </w:rPr>
              <w:t>P管理许可</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接入用户数</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最大接入用户数量≥4K</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转发性能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转发能力≥4 Gbps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端口要求</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微软雅黑" w:hAnsi="微软雅黑" w:eastAsia="微软雅黑" w:cs="微软雅黑"/>
                <w:color w:val="auto"/>
                <w:kern w:val="2"/>
                <w:sz w:val="18"/>
                <w:szCs w:val="18"/>
              </w:rPr>
              <w:t>≥</w:t>
            </w:r>
            <w:r>
              <w:rPr>
                <w:rFonts w:hint="eastAsia" w:ascii="宋体" w:hAnsi="宋体" w:eastAsia="宋体" w:cs="宋体"/>
                <w:color w:val="auto"/>
                <w:kern w:val="0"/>
                <w:sz w:val="20"/>
                <w:szCs w:val="20"/>
              </w:rPr>
              <w:t xml:space="preserve">2个10GE光口, </w:t>
            </w:r>
            <w:r>
              <w:rPr>
                <w:rFonts w:hint="eastAsia" w:ascii="微软雅黑" w:hAnsi="微软雅黑" w:eastAsia="微软雅黑" w:cs="微软雅黑"/>
                <w:color w:val="auto"/>
                <w:kern w:val="2"/>
                <w:sz w:val="18"/>
                <w:szCs w:val="18"/>
              </w:rPr>
              <w:t>≥</w:t>
            </w:r>
            <w:r>
              <w:rPr>
                <w:rFonts w:hint="eastAsia" w:ascii="宋体" w:hAnsi="宋体" w:eastAsia="宋体" w:cs="宋体"/>
                <w:color w:val="auto"/>
                <w:kern w:val="0"/>
                <w:sz w:val="20"/>
                <w:szCs w:val="20"/>
              </w:rPr>
              <w:t>8个GE电口</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组网能力</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支持标准IETF 5415 CAPWAP协议，AP和AC之间支持L2/L3层网络拓扑，为提高网络安全，AP与控制器之间能够支持DTLS对CAPWAP隧道进行加密处理。</w:t>
            </w:r>
          </w:p>
        </w:tc>
      </w:tr>
      <w:tr>
        <w:tblPrEx>
          <w:tblCellMar>
            <w:top w:w="0" w:type="dxa"/>
            <w:left w:w="0" w:type="dxa"/>
            <w:bottom w:w="0" w:type="dxa"/>
            <w:right w:w="0" w:type="dxa"/>
          </w:tblCellMar>
        </w:tblPrEx>
        <w:trPr>
          <w:trHeight w:val="474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功能特性</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支持基于802.11k 和 802.11v协议的智能漫游，使低漫游灵敏度的客户端能漫游到最佳AP</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支持应用识别（如QQ、BT、微信等），能针对识别出的不同应用设定相应管控策略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支持语音视频业务增强，在有线和无线侧提升语音视频业务的转发优先级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支持EoGRE，两台AC可以跨越二层通信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支持Navigator AC，可将访客流量通过CAPWAP隧道引入Navigator AC，隔离访客的业务流量；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支持VIP用户识别和优先调度，VIP用户可无视任何限速策略，并可获得空口报文的优先级提升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支持URL过滤，允许或禁止用户访问某些网页资源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支持反病毒功能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支持入侵防御，检测和中止入侵行为（包括缓冲区溢出攻击、木马、蠕虫等）</w:t>
            </w:r>
          </w:p>
        </w:tc>
      </w:tr>
      <w:tr>
        <w:tblPrEx>
          <w:tblCellMar>
            <w:top w:w="0" w:type="dxa"/>
            <w:left w:w="0" w:type="dxa"/>
            <w:bottom w:w="0" w:type="dxa"/>
            <w:right w:w="0" w:type="dxa"/>
          </w:tblCellMar>
        </w:tblPrEx>
        <w:trPr>
          <w:trHeight w:val="85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可靠性</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支持设备冗余备份功能，可支持1+1或N+1备份，并支持主备AC间配置同步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支持广域认证逃生，在CAPWAP链路路故障后，MAC 或者 802.1x 认证逃⽣到本地认证；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支持双电源备份；支持电源模块热插拔时单电源供电</w:t>
            </w:r>
          </w:p>
        </w:tc>
      </w:tr>
      <w:tr>
        <w:tblPrEx>
          <w:tblCellMar>
            <w:top w:w="0" w:type="dxa"/>
            <w:left w:w="0" w:type="dxa"/>
            <w:bottom w:w="0" w:type="dxa"/>
            <w:right w:w="0" w:type="dxa"/>
          </w:tblCellMar>
        </w:tblPrEx>
        <w:trPr>
          <w:trHeight w:val="1403"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管理特性</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支持CLI、SNMP V1/V2/V3，支持WEB管理、SSH管理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提供整体无线网络性能监控，支持对AC/AP/射频/终端的性能监控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支持可视化故障诊断，对用户、AP、AC的故障呈现故障根因和处理建议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支持智能升级，自动从云端下载最新软件，按照计划升级</w:t>
            </w:r>
          </w:p>
        </w:tc>
      </w:tr>
      <w:tr>
        <w:tblPrEx>
          <w:tblCellMar>
            <w:top w:w="0" w:type="dxa"/>
            <w:left w:w="0" w:type="dxa"/>
            <w:bottom w:w="0" w:type="dxa"/>
            <w:right w:w="0" w:type="dxa"/>
          </w:tblCellMar>
        </w:tblPrEx>
        <w:trPr>
          <w:trHeight w:val="22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无线室外AP</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default" w:ascii="宋体" w:hAnsi="宋体" w:eastAsia="宋体" w:cs="宋体"/>
                <w:color w:val="auto"/>
                <w:kern w:val="2"/>
                <w:sz w:val="20"/>
                <w:szCs w:val="20"/>
              </w:rPr>
            </w:pPr>
            <w:r>
              <w:rPr>
                <w:rFonts w:hint="eastAsia" w:ascii="宋体" w:hAnsi="宋体" w:eastAsia="宋体" w:cs="宋体"/>
                <w:color w:val="auto"/>
                <w:kern w:val="2"/>
                <w:sz w:val="20"/>
                <w:szCs w:val="20"/>
                <w:u w:val="none"/>
              </w:rPr>
              <w:t>协议标准</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default"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支持802.11a/n/ac/ac wave2协议标准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支持2.4GHz/5GHz双频段同时工作</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用户接入</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支持最大接入用户数≥512个</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无线性能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支持120个⽤户同时点播720P高清视频不卡顿</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射频</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支持MU-MIMO，2空间流，整机速率≥1.2Gbps</w:t>
            </w:r>
          </w:p>
        </w:tc>
      </w:tr>
      <w:tr>
        <w:tblPrEx>
          <w:tblCellMar>
            <w:top w:w="0" w:type="dxa"/>
            <w:left w:w="0" w:type="dxa"/>
            <w:bottom w:w="0" w:type="dxa"/>
            <w:right w:w="0" w:type="dxa"/>
          </w:tblCellMar>
        </w:tblPrEx>
        <w:trPr>
          <w:trHeight w:val="57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default" w:ascii="宋体" w:hAnsi="宋体" w:eastAsia="宋体" w:cs="宋体"/>
                <w:color w:val="auto"/>
                <w:kern w:val="2"/>
                <w:sz w:val="20"/>
                <w:szCs w:val="20"/>
              </w:rPr>
            </w:pPr>
            <w:r>
              <w:rPr>
                <w:rFonts w:hint="eastAsia" w:ascii="宋体" w:hAnsi="宋体" w:eastAsia="宋体" w:cs="宋体"/>
                <w:color w:val="auto"/>
                <w:kern w:val="2"/>
                <w:sz w:val="20"/>
                <w:szCs w:val="20"/>
                <w:u w:val="none"/>
              </w:rPr>
              <w:t>接口</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default"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2个10/100/1000M自适应以太网接口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1个SFP光接口</w:t>
            </w:r>
          </w:p>
        </w:tc>
      </w:tr>
      <w:tr>
        <w:tblPrEx>
          <w:tblCellMar>
            <w:top w:w="0" w:type="dxa"/>
            <w:left w:w="0" w:type="dxa"/>
            <w:bottom w:w="0" w:type="dxa"/>
            <w:right w:w="0" w:type="dxa"/>
          </w:tblCellMar>
        </w:tblPrEx>
        <w:trPr>
          <w:trHeight w:val="57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天线</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内置定向天线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发射功率≥27dBm，支持按1dB步长调整发射功率</w:t>
            </w:r>
          </w:p>
        </w:tc>
      </w:tr>
      <w:tr>
        <w:tblPrEx>
          <w:tblCellMar>
            <w:top w:w="0" w:type="dxa"/>
            <w:left w:w="0" w:type="dxa"/>
            <w:bottom w:w="0" w:type="dxa"/>
            <w:right w:w="0" w:type="dxa"/>
          </w:tblCellMar>
        </w:tblPrEx>
        <w:trPr>
          <w:trHeight w:val="85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环境参数</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工作温度-40℃～+65℃</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IP67防水防尘等级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内置5KA天馈防雷，以太网接口6KA/6KV防雷</w:t>
            </w:r>
          </w:p>
        </w:tc>
      </w:tr>
      <w:tr>
        <w:tblPrEx>
          <w:tblCellMar>
            <w:top w:w="0" w:type="dxa"/>
            <w:left w:w="0" w:type="dxa"/>
            <w:bottom w:w="0" w:type="dxa"/>
            <w:right w:w="0" w:type="dxa"/>
          </w:tblCellMar>
        </w:tblPrEx>
        <w:trPr>
          <w:trHeight w:val="57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可靠性</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支持广域逃生，本地转发模式下，AP与AC连接中断后，原有用户在线、新用户正常接入</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AP在两个无线控制器间双机热备倒换，链路倒换时间小于10ms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供电</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POE+供电，满足802.3at以太网供电标准</w:t>
            </w:r>
          </w:p>
        </w:tc>
      </w:tr>
      <w:tr>
        <w:tblPrEx>
          <w:tblCellMar>
            <w:top w:w="0" w:type="dxa"/>
            <w:left w:w="0" w:type="dxa"/>
            <w:bottom w:w="0" w:type="dxa"/>
            <w:right w:w="0" w:type="dxa"/>
          </w:tblCellMar>
        </w:tblPrEx>
        <w:trPr>
          <w:trHeight w:val="570" w:hRule="atLeast"/>
          <w:jc w:val="center"/>
        </w:trPr>
        <w:tc>
          <w:tcPr>
            <w:tcW w:w="145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无线AP</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协议标准</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支持802.11a/n/ac/ac wave2协议标准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支持2.4GHz/5GHz双频段同时工作</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用户接入</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支持最大接入用户数≥512个</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宋体" w:hAnsi="宋体" w:eastAsia="宋体" w:cs="宋体"/>
                <w:color w:val="auto"/>
                <w:kern w:val="0"/>
                <w:sz w:val="20"/>
                <w:szCs w:val="20"/>
              </w:rPr>
            </w:pPr>
            <w:r>
              <w:rPr>
                <w:rFonts w:hint="eastAsia" w:ascii="宋体" w:hAnsi="宋体" w:eastAsia="宋体" w:cs="宋体"/>
                <w:i w:val="0"/>
                <w:color w:val="auto"/>
                <w:kern w:val="0"/>
                <w:sz w:val="20"/>
                <w:szCs w:val="20"/>
                <w:u w:val="none"/>
                <w:lang w:val="en-US" w:eastAsia="zh-CN" w:bidi="ar"/>
              </w:rPr>
              <w:t>无线性能</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支持120个⽤户同时点播720P高清视频不卡顿</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射频</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支持MU-MIMO，2空间流，整机速率≥1.2Gbps</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接口</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1个10/100/1000M自适应以太网接口</w:t>
            </w:r>
          </w:p>
        </w:tc>
      </w:tr>
      <w:tr>
        <w:tblPrEx>
          <w:tblCellMar>
            <w:top w:w="0" w:type="dxa"/>
            <w:left w:w="0" w:type="dxa"/>
            <w:bottom w:w="0" w:type="dxa"/>
            <w:right w:w="0" w:type="dxa"/>
          </w:tblCellMar>
        </w:tblPrEx>
        <w:trPr>
          <w:trHeight w:val="57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天线</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内置全向天线</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发射功率≥20dBm，支持按1dB步长调整发射功率</w:t>
            </w:r>
          </w:p>
        </w:tc>
      </w:tr>
      <w:tr>
        <w:tblPrEx>
          <w:tblCellMar>
            <w:top w:w="0" w:type="dxa"/>
            <w:left w:w="0" w:type="dxa"/>
            <w:bottom w:w="0" w:type="dxa"/>
            <w:right w:w="0" w:type="dxa"/>
          </w:tblCellMar>
        </w:tblPrEx>
        <w:trPr>
          <w:trHeight w:val="285"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工作温度</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工作温度-10°C~55°C</w:t>
            </w:r>
          </w:p>
        </w:tc>
      </w:tr>
      <w:tr>
        <w:tblPrEx>
          <w:tblCellMar>
            <w:top w:w="0" w:type="dxa"/>
            <w:left w:w="0" w:type="dxa"/>
            <w:bottom w:w="0" w:type="dxa"/>
            <w:right w:w="0" w:type="dxa"/>
          </w:tblCellMar>
        </w:tblPrEx>
        <w:trPr>
          <w:trHeight w:val="570" w:hRule="atLeast"/>
          <w:jc w:val="center"/>
        </w:trPr>
        <w:tc>
          <w:tcPr>
            <w:tcW w:w="145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jc w:val="center"/>
              <w:rPr>
                <w:rFonts w:ascii="宋体" w:hAnsi="宋体" w:eastAsia="宋体" w:cs="宋体"/>
                <w:color w:val="auto"/>
                <w:kern w:val="2"/>
                <w:sz w:val="20"/>
                <w:szCs w:val="20"/>
              </w:rPr>
            </w:pP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color w:val="auto"/>
                <w:kern w:val="0"/>
                <w:sz w:val="20"/>
                <w:szCs w:val="20"/>
              </w:rPr>
              <w:t>可靠性</w:t>
            </w:r>
          </w:p>
        </w:tc>
        <w:tc>
          <w:tcPr>
            <w:tcW w:w="63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1个10/100/1000M自适应以太网接口</w:t>
            </w:r>
          </w:p>
        </w:tc>
      </w:tr>
    </w:tbl>
    <w:p>
      <w:pPr>
        <w:widowControl w:val="0"/>
        <w:jc w:val="center"/>
        <w:rPr>
          <w:rFonts w:hint="eastAsia" w:eastAsia="宋体" w:cs="Times New Roman"/>
          <w:b/>
          <w:bCs/>
          <w:color w:val="auto"/>
          <w:kern w:val="2"/>
          <w:sz w:val="28"/>
          <w:szCs w:val="28"/>
        </w:rPr>
      </w:pPr>
      <w:r>
        <w:rPr>
          <w:rFonts w:hint="eastAsia" w:eastAsia="宋体" w:cs="Times New Roman"/>
          <w:b/>
          <w:bCs/>
          <w:color w:val="auto"/>
          <w:kern w:val="2"/>
          <w:sz w:val="28"/>
          <w:szCs w:val="28"/>
        </w:rPr>
        <w:t>三、视频监控系统</w:t>
      </w:r>
    </w:p>
    <w:tbl>
      <w:tblPr>
        <w:tblStyle w:val="38"/>
        <w:tblW w:w="9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0"/>
        <w:gridCol w:w="7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枪式摄像机</w:t>
            </w:r>
          </w:p>
        </w:tc>
        <w:tc>
          <w:tcPr>
            <w:tcW w:w="7675"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200万 1/2.7" CMOS ICR红外阵列网络摄像机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最低照度: 彩色：0.01 Lux @（F1.2，AGC ON），0 Lux with IR</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宽动态: 120 dB</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焦距&amp;视场角: 4 mm，水平视场角：87.3°【6 mm（53.9°），8 mm（40.9°），12 mm（25.4°）可选】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防补光过曝: 支持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红外波长范围: 850 nm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补光灯类型: 红外灯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补光距离: 最远可达50 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最大图像尺寸: 1920 × 1080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视频压缩标准: 主码流：H.265/H.264</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网络: 1个RJ45 10 M/100 M自适应以太网口（无link灯）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存储温湿度: -30 ℃~60 ℃，湿度小于95%（无凝结）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启动及工作温湿度: -30 ℃~60 ℃，湿度小于95%（无凝结）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供电方式: DC：12 V ± 25%，支持防反接保护; PoE：802.3af，Class 3</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电流及功耗: DC：12 V，0.50 A，最大功耗：6 W; PoE：802.3af，36 V~57 V，0.19 A~0.12 A，最大功耗：7 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电源接口类型: Ø5.5 mm圆口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0" w:hRule="atLeast"/>
          <w:jc w:val="center"/>
        </w:trPr>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室外枪式摄像机</w:t>
            </w:r>
          </w:p>
        </w:tc>
        <w:tc>
          <w:tcPr>
            <w:tcW w:w="7675"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bidi="ar"/>
              </w:rPr>
              <w:t>200万 1/2.7" CMOS ICR红外阵列网络摄像机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最低照度: 彩色：0.01 Lux @（F1.2，AGC ON），0 Lux with IR</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宽动态: 120 dB</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焦距&amp;视场角: 4 mm，水平视场角：87.3°【6 mm（53.9°），8 mm（40.9°），12 mm（25.4°）可选】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防补光过曝: 支持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红外波长范围: 850 nm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补光灯类型: 红外灯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补光距离: 最远可达50 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最大图像尺寸: 1920 × 1080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视频压缩标准: 主码流：H.265/H.264</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网络: 1个RJ45 10 M/100 M自适应以太网口（无link灯）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存储温湿度: -30 ℃~60 ℃，湿度小于95%（无凝结）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启动及工作温湿度: -30 ℃~60 ℃，湿度小于95%（无凝结）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供电方式: DC：12 V ± 25%，支持防反接保护; PoE：802.3af，Class 3</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电流及功耗: DC：12 V，0.50 A，最大功耗：6 W; PoE：802.3af，36 V~57 V，0.19 A~0.12 A，最大功耗：7 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电源接口类型: Ø5.5 mm圆口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440"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电梯半球摄像机</w:t>
            </w:r>
          </w:p>
        </w:tc>
        <w:tc>
          <w:tcPr>
            <w:tcW w:w="7675"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200 万 1/2.7" CMOS ICR 日夜型半球型网络摄像机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最低照度: 彩色：0.01 Lux @（F1.2，AGC ON），0 Lux with IR</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宽动态: 120 dB</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调节角度: 水平：0°~360°，垂直：0°~75°，旋转：0°~360°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焦距&amp;视场角: 2.8 mm，水平视场角：107.1°【4 mm（87.3°），6 mm（53.9°），8 mm（40.9°）可选】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防补光过曝: 支持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红外波长范围: 850 nm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补光灯类型: 红外灯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补光距离: 最远可达30 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最大图像尺寸: 1920 × 1080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视频压缩标准: 主码流：H.265/H.264</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音频: 内置1个麦克风</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网络: 1个RJ45 10 M/100 M（无link灯），自适应以太网口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存储温湿度: -30 ℃~60 ℃，湿度小于95%（无凝结）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启动及工作温湿度: -30 ℃~60 ℃，湿度小于95%（无凝结）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供电方式: DC：12 V ± 25%，支持防反接保护; PoE：802.3af，Class 3</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电流及功耗: DC：12 V，0.50 A，最大功耗：6 W; PoE：802.3af，36 V~57 V，0.19 A~0.12 A，最大功耗：7.0 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电源接口类型: Ø5.5 mm圆口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32路硬盘录像机（8盘位）</w:t>
            </w:r>
          </w:p>
        </w:tc>
        <w:tc>
          <w:tcPr>
            <w:tcW w:w="7675"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硬件规格：</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2U标准机架式</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2个HDMI，2个VGA,HDMI+VGA组内同源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8盘位，内置8块6T盘</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2个千兆网口</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2个USB2.0接口、1个USB3.0接口</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1个eSATA接口</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报警IO：16进4路（可选配8出）</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软件性能：</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输入带宽：256M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32路H.264、H.265混合接入</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最大支持8×1080P解码</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支持H.265、H.264解码</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Smart 2.0/整机热备/ANR/智能检索/智能回放/车牌检索/人脸检索/热度图/客流量统计/分时段回放/超高倍速回放/双系统备份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硬盘</w:t>
            </w:r>
          </w:p>
        </w:tc>
        <w:tc>
          <w:tcPr>
            <w:tcW w:w="7675" w:type="dxa"/>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6TB 256MB 5400转 SATA 垂直 机械 PMR CMR</w:t>
            </w:r>
          </w:p>
        </w:tc>
      </w:tr>
    </w:tbl>
    <w:p>
      <w:pPr>
        <w:widowControl w:val="0"/>
        <w:jc w:val="center"/>
        <w:rPr>
          <w:rFonts w:hint="eastAsia" w:eastAsia="宋体" w:cs="Times New Roman"/>
          <w:b/>
          <w:bCs/>
          <w:color w:val="auto"/>
          <w:kern w:val="2"/>
          <w:sz w:val="28"/>
          <w:szCs w:val="28"/>
        </w:rPr>
      </w:pPr>
      <w:r>
        <w:rPr>
          <w:rFonts w:hint="eastAsia" w:eastAsia="宋体" w:cs="Times New Roman"/>
          <w:b/>
          <w:bCs/>
          <w:color w:val="auto"/>
          <w:kern w:val="2"/>
          <w:sz w:val="28"/>
          <w:szCs w:val="28"/>
        </w:rPr>
        <w:t>四、电子班牌系统</w:t>
      </w:r>
    </w:p>
    <w:tbl>
      <w:tblPr>
        <w:tblStyle w:val="38"/>
        <w:tblW w:w="9158" w:type="dxa"/>
        <w:jc w:val="center"/>
        <w:tblLayout w:type="autofit"/>
        <w:tblCellMar>
          <w:top w:w="0" w:type="dxa"/>
          <w:left w:w="0" w:type="dxa"/>
          <w:bottom w:w="0" w:type="dxa"/>
          <w:right w:w="0" w:type="dxa"/>
        </w:tblCellMar>
      </w:tblPr>
      <w:tblGrid>
        <w:gridCol w:w="1440"/>
        <w:gridCol w:w="7718"/>
      </w:tblGrid>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rPr>
              <w:t>设备名称</w:t>
            </w:r>
          </w:p>
        </w:tc>
        <w:tc>
          <w:tcPr>
            <w:tcW w:w="7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rPr>
              <w:t>参数</w:t>
            </w:r>
          </w:p>
        </w:tc>
      </w:tr>
      <w:tr>
        <w:tblPrEx>
          <w:tblCellMar>
            <w:top w:w="0" w:type="dxa"/>
            <w:left w:w="0" w:type="dxa"/>
            <w:bottom w:w="0" w:type="dxa"/>
            <w:right w:w="0" w:type="dxa"/>
          </w:tblCellMar>
        </w:tblPrEx>
        <w:trPr>
          <w:trHeight w:val="5429"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智慧班牌机</w:t>
            </w:r>
          </w:p>
        </w:tc>
        <w:tc>
          <w:tcPr>
            <w:tcW w:w="7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1、处理器:主频≥1.6GHz，≥八核。</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2、RAM：≥2GB，DDR3；ROM≥16GB。</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3、显示屏≥21.5英寸，LED，分辨率支持1920x1080，电容式十点触摸屏。</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4、网络支持WIFI，标准RJ45以太网接口。</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5、接口类型支持：USB、HDMI。</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6、内置MIC。</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7、摄像头支持200万，可以选500万、800万摄像头，支持1080P@30fps或以下 H.264编码。</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8、视频格式支持MP4、MOV、3GP，AVI。</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9、音频格式MP3,MP2,AAC,M4AAV,WMA,FLAC,APE。</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10、图片格式JPG, JPEG, GIF, BMP, PNG等</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11.操作系统Android 4.4.2以上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12.自弹式TF卡插座，最高支持32GB TF卡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13.内置IC卡读卡器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14.终端内部，采用安全供电，供电电压不超过12V</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15.终端不能有电源开关，支持根据供电自动开启和关闭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16.终端软件支持云端远程升级，无须现场操作                                                                                      </w:t>
            </w:r>
          </w:p>
        </w:tc>
      </w:tr>
      <w:tr>
        <w:tblPrEx>
          <w:tblCellMar>
            <w:top w:w="0" w:type="dxa"/>
            <w:left w:w="0" w:type="dxa"/>
            <w:bottom w:w="0" w:type="dxa"/>
            <w:right w:w="0" w:type="dxa"/>
          </w:tblCellMar>
        </w:tblPrEx>
        <w:trPr>
          <w:trHeight w:val="3572"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智慧班牌系统</w:t>
            </w:r>
          </w:p>
        </w:tc>
        <w:tc>
          <w:tcPr>
            <w:tcW w:w="7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 系统架构</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（1）系统可支持安卓系统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（2）班牌支持扫码绑定，解绑，改绑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（3）须支持云端（互联网）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（4）须支持区域化分层级管理功能。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1模式显示：需要支持根据学校教学场景切换不同显示页面，包含但不限于班牌模式、考试模式、紧急通知模式、校宣模式、上课模式等；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2班牌模式必须含有以下信息：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 基础信息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支持实时显示教室基础信息，可以显示校徽、学校名称、教室名称等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公告信息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可以发布校内公告，包括学校通知、最新资讯等，辅助学校进行日常行政通知、校园活动通知。支持权限管理，可根据不同年级、班级发布不同的通知。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倒计时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系统支持实时呈现效果活动倒计时，提醒师生重要事件节点，例如：校庆、考试、毕业典礼等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天气、时间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支持通过互联网获取天气预报信息实时显示；支持班牌显示时间信息，通过网络同步服务器时间自动校时，支持通过系统对接获取校园校时钟对时。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课表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支持显示教室课表信息；班牌显示当前教室本周课程表，显示内容包括上课时间、课程名称、任课教师等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班级考勤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班牌界面可以通过手机端实时对学生进行在线考勤，考勤信息会自动同步汇总到班牌显示，可以设置不同时间段的考勤类型，支持在后台导出考勤汇总报表。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 考勤汇总</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通过管理平台系统设定考勤时间段，手机端根据考勤时间段展示考勤状态，并将考勤数据实时班牌呈现,支持显示不同考勤状态，分别包含正常、迟到、请假、缺卡。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学生或者老师可以查询之前的签到数据。</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8）</w:t>
            </w:r>
            <w:r>
              <w:rPr>
                <w:rFonts w:hint="eastAsia" w:ascii="宋体" w:hAnsi="宋体" w:eastAsia="宋体" w:cs="宋体"/>
                <w:color w:val="auto"/>
                <w:kern w:val="0"/>
                <w:sz w:val="20"/>
                <w:szCs w:val="20"/>
                <w:lang w:bidi="ar"/>
              </w:rPr>
              <w:t>放学</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支持根据到离校时间显示放学状态，支持放学、留堂、待放学三种状态，支持放学信息同步推送给家长，支持班牌上展示班级的孩子放学情况，支持班牌上展示各个班级的放学状态</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9）</w:t>
            </w:r>
            <w:r>
              <w:rPr>
                <w:rFonts w:hint="eastAsia" w:ascii="宋体" w:hAnsi="宋体" w:eastAsia="宋体" w:cs="宋体"/>
                <w:color w:val="auto"/>
                <w:kern w:val="0"/>
                <w:sz w:val="20"/>
                <w:szCs w:val="20"/>
                <w:lang w:bidi="ar"/>
              </w:rPr>
              <w:t>路队</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支持对各班进行路队自定义排序，支持班牌上显示全校的路队排序信息</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10）</w:t>
            </w:r>
            <w:r>
              <w:rPr>
                <w:rFonts w:hint="eastAsia" w:ascii="宋体" w:hAnsi="宋体" w:eastAsia="宋体" w:cs="宋体"/>
                <w:color w:val="auto"/>
                <w:kern w:val="0"/>
                <w:sz w:val="20"/>
                <w:szCs w:val="20"/>
                <w:lang w:bidi="ar"/>
              </w:rPr>
              <w:t>社团选拔</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多课程信息同时发布，支持一键导入所有课程信息，支持适选范围学生设置，支持上课时间、地点、任课老师、课程简介说明设置，支持社团课程选择人数上限设置，支持学生申报社团课程数量设置，支持预录取学生设置，支持学生申报社团课程数量设置，支持补录设置，支持录取名单查看及导出，支持家长用同一账号为多孩子进行选课，</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w:t>
            </w: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 终端设置</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管理员通过密码支持进入终端设置界面，可以查看当前终端基础设置信息；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可支持终端页面模块修改，壁纸修改等操作。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3考试模式必须含有以下信息：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通过管理平台系统配置、设定，根据考试时间，可以满屏显示考试前的通知消息，也可以显示考试的详细消息和考试倒计时。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4上课模式必须包含以下信息：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通过运营平台设置，班牌可以在上课时间显示不同的上课模式展示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上课时支持巡堂功能，通过手机进行上课的巡堂，评价老师的上课情况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5欢迎词模式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开启班牌机的欢迎模式，管理员或老师可通过管理平台发布欢迎语，可支持发布内容自定义编辑，可支持按照班级发布，也可支持按照教室发布。</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6校宣模式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在无课程时，班牌机也可作为校宣发布屏使用，支持发布图片、视频、文字、网页等内容；</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7紧急通知模式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在遇到重大紧急事项时，班牌机也可作为紧急播放终端发布校园紧急信息，自动覆盖当前播放的模式内容；当播放通知时间结束界面自动跳回原播放界面。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智慧班牌系统必须兼容多媒体功能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系统操作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1、终端管理：支持定时开关机，支持远程重启。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2、终端显示：显示屏幕划分成多个区域，每个区域可根据客户需求播放不同的内容，可设置不同大小，实现所见即所得；</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3、素材管理：支持各种视频、音频、图片、网页、新闻、天气、PPT和PDF等多种播放内容。</w:t>
            </w:r>
            <w:r>
              <w:rPr>
                <w:rFonts w:hint="eastAsia" w:ascii="宋体" w:hAnsi="宋体" w:eastAsia="宋体" w:cs="宋体"/>
                <w:color w:val="auto"/>
                <w:kern w:val="0"/>
                <w:sz w:val="20"/>
                <w:szCs w:val="20"/>
                <w:lang w:bidi="ar"/>
              </w:rPr>
              <w:br w:type="textWrapping"/>
            </w:r>
            <w:r>
              <w:rPr>
                <w:rFonts w:hint="eastAsia" w:ascii="宋体" w:hAnsi="宋体" w:cs="宋体"/>
                <w:color w:val="auto"/>
                <w:kern w:val="0"/>
                <w:sz w:val="20"/>
                <w:szCs w:val="20"/>
                <w:lang w:val="en-US" w:eastAsia="zh-CN" w:bidi="ar"/>
              </w:rPr>
              <w:t>4</w:t>
            </w:r>
            <w:r>
              <w:rPr>
                <w:rFonts w:hint="eastAsia" w:ascii="宋体" w:hAnsi="宋体" w:eastAsia="宋体" w:cs="宋体"/>
                <w:color w:val="auto"/>
                <w:kern w:val="0"/>
                <w:sz w:val="20"/>
                <w:szCs w:val="20"/>
                <w:lang w:bidi="ar"/>
              </w:rPr>
              <w:t>、终端显示：显示屏幕划分成多个区域，每个区域可根据客户需求播放不同的多媒体节目，可设置不同大小，实现所见即所得。</w:t>
            </w:r>
            <w:r>
              <w:rPr>
                <w:rFonts w:hint="eastAsia" w:ascii="宋体" w:hAnsi="宋体" w:eastAsia="宋体" w:cs="宋体"/>
                <w:color w:val="auto"/>
                <w:kern w:val="0"/>
                <w:sz w:val="20"/>
                <w:szCs w:val="20"/>
                <w:lang w:bidi="ar"/>
              </w:rPr>
              <w:br w:type="textWrapping"/>
            </w:r>
            <w:r>
              <w:rPr>
                <w:rFonts w:hint="eastAsia" w:ascii="宋体" w:hAnsi="宋体" w:cs="宋体"/>
                <w:color w:val="auto"/>
                <w:kern w:val="0"/>
                <w:sz w:val="20"/>
                <w:szCs w:val="20"/>
                <w:lang w:val="en-US" w:eastAsia="zh-CN" w:bidi="ar"/>
              </w:rPr>
              <w:t>5</w:t>
            </w:r>
            <w:r>
              <w:rPr>
                <w:rFonts w:hint="eastAsia" w:ascii="宋体" w:hAnsi="宋体" w:eastAsia="宋体" w:cs="宋体"/>
                <w:color w:val="auto"/>
                <w:kern w:val="0"/>
                <w:sz w:val="20"/>
                <w:szCs w:val="20"/>
                <w:lang w:bidi="ar"/>
              </w:rPr>
              <w:t xml:space="preserve">、终端管理：支持定时开关机、软件自动升级等功能。                                               </w:t>
            </w:r>
          </w:p>
        </w:tc>
      </w:tr>
      <w:tr>
        <w:tblPrEx>
          <w:tblCellMar>
            <w:top w:w="0" w:type="dxa"/>
            <w:left w:w="0" w:type="dxa"/>
            <w:bottom w:w="0" w:type="dxa"/>
            <w:right w:w="0" w:type="dxa"/>
          </w:tblCellMar>
        </w:tblPrEx>
        <w:trPr>
          <w:trHeight w:val="2072"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考勤管理系统</w:t>
            </w:r>
          </w:p>
        </w:tc>
        <w:tc>
          <w:tcPr>
            <w:tcW w:w="7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（1）刷卡考勤：在终端刷卡区域，进行刷卡考勤签到，系统自动识别身份，实现一步到位，刷卡登录。</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（2）数据上传：考勤数据实时上传后方管理平台，平台自动进行考勤统计，终端可实时统计数据，终端展示考勤统计。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（3）考勤统计：考勤数据实时显示到班牌上，统计结果可按照日、月、班级结果统计并进行表格导出以便后续教学使用。</w:t>
            </w:r>
          </w:p>
        </w:tc>
      </w:tr>
      <w:tr>
        <w:tblPrEx>
          <w:tblCellMar>
            <w:top w:w="0" w:type="dxa"/>
            <w:left w:w="0" w:type="dxa"/>
            <w:bottom w:w="0" w:type="dxa"/>
            <w:right w:w="0" w:type="dxa"/>
          </w:tblCellMar>
        </w:tblPrEx>
        <w:trPr>
          <w:trHeight w:val="330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人脸识别及活体检测</w:t>
            </w:r>
          </w:p>
        </w:tc>
        <w:tc>
          <w:tcPr>
            <w:tcW w:w="7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支持在运营平台批量导入人脸数据</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支持同时导入学生和老师的人脸数据</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支持导入不成功可以下载错误信息进行查看</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支持单个添加人脸图片</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支持在班牌上进行人脸测温</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支持人脸测温报表在班牌展示</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刷脸算法采用活体级安全算法，支持活体检测和3D结构光，避免人为作假风险。</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录入人脸后，学校期间不用多次录入，系统自动学习，避免重复劳动。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数据自动传输后台</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便于统计报表输出，不再手工登记；</w:t>
            </w:r>
          </w:p>
        </w:tc>
      </w:tr>
      <w:tr>
        <w:tblPrEx>
          <w:tblCellMar>
            <w:top w:w="0" w:type="dxa"/>
            <w:left w:w="0" w:type="dxa"/>
            <w:bottom w:w="0" w:type="dxa"/>
            <w:right w:w="0" w:type="dxa"/>
          </w:tblCellMar>
        </w:tblPrEx>
        <w:trPr>
          <w:trHeight w:val="696"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客户端授权软件</w:t>
            </w:r>
          </w:p>
        </w:tc>
        <w:tc>
          <w:tcPr>
            <w:tcW w:w="7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支持所有用户通过如下方式登录使用：iOS、Android、微信小程序、钉钉、web</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+客户端版本支持自动迭代更新，不需人员到场维护，提高维护速度</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支持一个用户具有多角色，即同时是老师和家长，只需进行一键切换身份即可，无须在不同账号之间切换登录</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支持一个家长一个账号同时管理多个学生，使用一个账户无需在不同账号之间切换登录即可管理多个学生</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支持用户在主界面直接新建业务发布多选班级或者全选所管理班级（如：班牌发布、分享、通知、作业等等）不需要进入群组发布，操作简单便捷，方便管理</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支持同时查看多个班级所发布的消息内容，无需进入每个班级进行查看</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支持平台分级管理，即学校管理员、部门管理员、班级管理员等，分别具有不同范围和级别的管理权限</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支持用户自己对发布的内容进行删除，以及支持管理员删除相关的不健康内容</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支持自定义部门和班级的排序（数据库帮忙修改）</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支持灵活的应用管理，即在不同班级或部门，管理员可以打开或关闭某个应用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支持按不同级别范围，统计并输出详细的应用报表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为学校提供和教学相关的管理功能，包括教学时间、教学场所、授课信息、课表、职称管理、班牌管理等</w:t>
            </w:r>
          </w:p>
        </w:tc>
      </w:tr>
    </w:tbl>
    <w:p>
      <w:pPr>
        <w:widowControl w:val="0"/>
        <w:jc w:val="center"/>
        <w:rPr>
          <w:rFonts w:hint="eastAsia" w:eastAsia="宋体" w:cs="Times New Roman"/>
          <w:b/>
          <w:bCs/>
          <w:color w:val="auto"/>
          <w:kern w:val="2"/>
          <w:sz w:val="28"/>
          <w:szCs w:val="28"/>
        </w:rPr>
      </w:pPr>
      <w:r>
        <w:rPr>
          <w:rFonts w:hint="eastAsia" w:eastAsia="宋体" w:cs="Times New Roman"/>
          <w:b/>
          <w:bCs/>
          <w:color w:val="auto"/>
          <w:kern w:val="2"/>
          <w:sz w:val="28"/>
          <w:szCs w:val="28"/>
        </w:rPr>
        <w:t>五、校园广播系统</w:t>
      </w:r>
    </w:p>
    <w:tbl>
      <w:tblPr>
        <w:tblStyle w:val="38"/>
        <w:tblW w:w="9063" w:type="dxa"/>
        <w:jc w:val="center"/>
        <w:tblLayout w:type="autofit"/>
        <w:tblCellMar>
          <w:top w:w="0" w:type="dxa"/>
          <w:left w:w="0" w:type="dxa"/>
          <w:bottom w:w="0" w:type="dxa"/>
          <w:right w:w="0" w:type="dxa"/>
        </w:tblCellMar>
      </w:tblPr>
      <w:tblGrid>
        <w:gridCol w:w="1480"/>
        <w:gridCol w:w="7583"/>
      </w:tblGrid>
      <w:tr>
        <w:tblPrEx>
          <w:tblCellMar>
            <w:top w:w="0" w:type="dxa"/>
            <w:left w:w="0" w:type="dxa"/>
            <w:bottom w:w="0" w:type="dxa"/>
            <w:right w:w="0" w:type="dxa"/>
          </w:tblCellMar>
        </w:tblPrEx>
        <w:trPr>
          <w:trHeight w:val="285" w:hRule="atLeast"/>
          <w:jc w:val="center"/>
        </w:trPr>
        <w:tc>
          <w:tcPr>
            <w:tcW w:w="1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设备名称</w:t>
            </w:r>
          </w:p>
        </w:tc>
        <w:tc>
          <w:tcPr>
            <w:tcW w:w="7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参数</w:t>
            </w:r>
          </w:p>
        </w:tc>
      </w:tr>
      <w:tr>
        <w:tblPrEx>
          <w:tblCellMar>
            <w:top w:w="0" w:type="dxa"/>
            <w:left w:w="0" w:type="dxa"/>
            <w:bottom w:w="0" w:type="dxa"/>
            <w:right w:w="0" w:type="dxa"/>
          </w:tblCellMar>
        </w:tblPrEx>
        <w:trPr>
          <w:trHeight w:val="421"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IP网络终端功放</w:t>
            </w:r>
          </w:p>
        </w:tc>
        <w:tc>
          <w:tcPr>
            <w:tcW w:w="7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1.标准19英寸机架设计，黑色氧化铝拉丝面板，坚固的抽手，专业的机械组装工艺。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2.工业级3.4英寸LCD显示屏，可以清晰显示大多数点阵图案和机器工作状态；配备红外遥控器，点播服务器节目库任意内容，可控制播放/暂停，操作灵活简单。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3.设备采用嵌入式计算机技术和DSP音频处理技术设计，支持协议：TCP/IP，UDP，音频格式：MP3</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4.网络接口：标准RJ45输入，内置1路网络硬件音频解码模块，支持TCP/IP、UDP，实现网络化传输16位CD音质的音频信号。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5.内置高保真专业模拟功放，具有60W定阻(4-16Ω)及定压（70V、100V）功率输出。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6.1路线路（AUX）和1路话筒（MIC）输入接口，具有独立的音量和高低音调节电位器控制，支持断网本地寻呼功能。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7.1路EMC输入接口，输入紧急报警语音信号为直通，具有最高优先级。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8.2路音频信号辅助输出接口，可扩展外接功率放大器，标准的莲花座接口，布线连接非常方便。</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9.1路三线制音控强切输出接口，无需强切电源。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10.内置智能电源管理，无音乐或呼叫时，自动切断功放电源，有信号时自动打开功放电源，支持IP软件编程预打开功放电源功能。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11.内置3级优先设置：EMC为最高优先。网络报警信号优先MIC,AUX和网络背景音乐信号。MIC优先AUX和网络背景音乐信号。AUX和网络背景音乐为同级，无任何优先。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12.支持缄默强度预置减少功能，支持背景伴奏预置功能；支持状态灯显示，包括电平指示灯、保护指示灯、待机指示灯等。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13.兼容路由器、交换机、网桥网关、Modem、Internet、2G、3G、4G等任意网络结构。</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14.数字化产品，扩容方便，不受地理位置限制，无需增加机房管理设备，采用共网免线路施工的设计理念，安装简便。</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15.支持广播系统对终端进行远程固件升级，无需到终端本地升级，减轻维护人员工作强度。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16.具有USB播放功能，接入U盘。可遥控播放任意一首歌曲和播放上一曲、下一曲、暂停、停止等功能（或选择面板按键操作）。</w:t>
            </w:r>
          </w:p>
        </w:tc>
      </w:tr>
      <w:tr>
        <w:tblPrEx>
          <w:tblCellMar>
            <w:top w:w="0" w:type="dxa"/>
            <w:left w:w="0" w:type="dxa"/>
            <w:bottom w:w="0" w:type="dxa"/>
            <w:right w:w="0" w:type="dxa"/>
          </w:tblCellMar>
        </w:tblPrEx>
        <w:trPr>
          <w:trHeight w:val="312"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壁挂音箱</w:t>
            </w:r>
          </w:p>
        </w:tc>
        <w:tc>
          <w:tcPr>
            <w:tcW w:w="7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i w:val="0"/>
                <w:color w:val="auto"/>
                <w:kern w:val="0"/>
                <w:sz w:val="20"/>
                <w:szCs w:val="20"/>
                <w:u w:val="none"/>
                <w:lang w:val="en-US" w:eastAsia="zh-CN" w:bidi="ar"/>
              </w:rPr>
              <w:t>1．额定功率（70V）：1.5W,3W,5W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2．灵敏度≥88dB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3．频率响应：130-18KHz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4．喇叭单元：6.5"×1</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5．防护等级：IP×5防尘</w:t>
            </w:r>
          </w:p>
        </w:tc>
      </w:tr>
      <w:tr>
        <w:tblPrEx>
          <w:tblCellMar>
            <w:top w:w="0" w:type="dxa"/>
            <w:left w:w="0" w:type="dxa"/>
            <w:bottom w:w="0" w:type="dxa"/>
            <w:right w:w="0" w:type="dxa"/>
          </w:tblCellMar>
        </w:tblPrEx>
        <w:trPr>
          <w:trHeight w:val="1641"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IPH网络音箱</w:t>
            </w:r>
          </w:p>
        </w:tc>
        <w:tc>
          <w:tcPr>
            <w:tcW w:w="7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3"/>
              </w:numPr>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设备壁挂式设计，设备采用嵌入式计算机技术和DSP音频处理技术设计,内置1路网络硬件音频解码模块,具有1路RJ45网络接口，100Mbps传输速率。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2.支持1路音频线路输入接口，具有独立的音量调节功能。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3.设备集成有数字功放，功率≥2×20W，具有1个主音箱和1个副音箱。</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4.设备具有1路100V定压信号备份输入，网络异常的状态下，切换到备份通道。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5.设备内置有主备切换检测模块，在断网或断电的故障情况下，实现自动切换到100V定压备份通道，主备切换过程无卡顿、不掉字；在通网或通电情况下，恢复主通道。</w:t>
            </w:r>
          </w:p>
          <w:p>
            <w:pPr>
              <w:widowControl/>
              <w:numPr>
                <w:ilvl w:val="0"/>
                <w:numId w:val="0"/>
              </w:numPr>
              <w:jc w:val="left"/>
              <w:textAlignment w:val="center"/>
              <w:rPr>
                <w:rFonts w:hint="eastAsia"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6.支持通过后台软件对终端进行远程固件升级。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7.频率响应范围80Hz～16KHz，信噪比＞65dB，谐波失真≤1%，AUX输入灵敏度：350mV，音频模式支持16位CD音质，支持MP3音频格式。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8.设备内置2.4G无线音频模块，2.40MHz—2.53MHz传输频率，配备头戴式话筒，支持音量调节。</w:t>
            </w:r>
          </w:p>
        </w:tc>
      </w:tr>
      <w:tr>
        <w:tblPrEx>
          <w:tblCellMar>
            <w:top w:w="0" w:type="dxa"/>
            <w:left w:w="0" w:type="dxa"/>
            <w:bottom w:w="0" w:type="dxa"/>
            <w:right w:w="0" w:type="dxa"/>
          </w:tblCellMar>
        </w:tblPrEx>
        <w:trPr>
          <w:trHeight w:val="1250"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寻呼话筒 </w:t>
            </w:r>
          </w:p>
        </w:tc>
        <w:tc>
          <w:tcPr>
            <w:tcW w:w="7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i w:val="0"/>
                <w:color w:val="auto"/>
                <w:kern w:val="0"/>
                <w:sz w:val="20"/>
                <w:szCs w:val="20"/>
                <w:u w:val="none"/>
                <w:lang w:val="en-US" w:eastAsia="zh-CN" w:bidi="ar"/>
              </w:rPr>
              <w:t>高品质话筒，内置两种钟声。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按钟声可自动打开和关闭话筒。                                                                                                                                                                                  频响：100-16,000Hz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阻抗：600Ω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灵敏度(at 1KHz)：-50dB±1dB</w:t>
            </w:r>
          </w:p>
        </w:tc>
      </w:tr>
      <w:tr>
        <w:tblPrEx>
          <w:tblCellMar>
            <w:top w:w="0" w:type="dxa"/>
            <w:left w:w="0" w:type="dxa"/>
            <w:bottom w:w="0" w:type="dxa"/>
            <w:right w:w="0" w:type="dxa"/>
          </w:tblCellMar>
        </w:tblPrEx>
        <w:trPr>
          <w:trHeight w:val="1440"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室外音柱</w:t>
            </w:r>
          </w:p>
        </w:tc>
        <w:tc>
          <w:tcPr>
            <w:tcW w:w="75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1．额定功率（100V）：22.5W,45W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2．额定功率（70V）：11.2W,22.5W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3．灵敏度≥88dB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4．频率响应：50-18KHz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5．喇叭单元：4"×4,2.5"×1</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6．防护等级：IP66</w:t>
            </w:r>
          </w:p>
        </w:tc>
      </w:tr>
      <w:tr>
        <w:tblPrEx>
          <w:tblCellMar>
            <w:top w:w="0" w:type="dxa"/>
            <w:left w:w="0" w:type="dxa"/>
            <w:bottom w:w="0" w:type="dxa"/>
            <w:right w:w="0" w:type="dxa"/>
          </w:tblCellMar>
        </w:tblPrEx>
        <w:trPr>
          <w:trHeight w:val="470"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合并式功放</w:t>
            </w:r>
          </w:p>
        </w:tc>
        <w:tc>
          <w:tcPr>
            <w:tcW w:w="75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i w:val="0"/>
                <w:color w:val="auto"/>
                <w:kern w:val="0"/>
                <w:sz w:val="20"/>
                <w:szCs w:val="20"/>
                <w:u w:val="none"/>
                <w:lang w:val="en-US" w:eastAsia="zh-CN" w:bidi="ar"/>
              </w:rPr>
              <w:t>1.标准19英寸工业机箱设计；额定输出功率：650W，扬声器输出：70V, 100V &amp; 4～16Ω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2.3通道麦克风TRS端子输入，2通道 Aux输入，1通道EMC输入；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3.2通道Mic Line输入（MIC2/MIC3通道的线路输入，灵敏度为775mv）；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4.带3级优先功能，其中Mic 1具有最高优先级别，EMC属第二优先级别，其他通道属第三优先级别；</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5.Mic 1-3, Aux 1-2音量调节旋钮，总音量调节旋钮和高音、低音音调调节旋钮；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6.设备具有良好的短路、过载、过热等自我保护；</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7.2种功率输出方式：定压输出100V、70V和定阻输出4～16Ω。</w:t>
            </w:r>
          </w:p>
        </w:tc>
      </w:tr>
      <w:tr>
        <w:tblPrEx>
          <w:tblCellMar>
            <w:top w:w="0" w:type="dxa"/>
            <w:left w:w="0" w:type="dxa"/>
            <w:bottom w:w="0" w:type="dxa"/>
            <w:right w:w="0" w:type="dxa"/>
          </w:tblCellMar>
        </w:tblPrEx>
        <w:trPr>
          <w:trHeight w:val="4111"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无线话筒</w:t>
            </w:r>
          </w:p>
        </w:tc>
        <w:tc>
          <w:tcPr>
            <w:tcW w:w="75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1、频率范围：610-890MHz</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2、通道数量：≥2个</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3、频道数量：≥200个，可以多台扩展使用，手持频道通用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4、叠机最少≥12台，可以400台同时使用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5、PLL锁相环技术：频率稳定度&lt;±100Hz</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6、红外线自动对频和手动调频</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7、三重自动静噪控制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8、两通道Line混合输出，XLR独立输出</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9、发射LCD显示频道和电池电量</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10、工作距离：室内大于100米；室外大于300米</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11、系统使用环境：温度-20℃-+40℃，相对湿度85%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12、信噪比：&lt;-95dB</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13、失真度：≤1%</w:t>
            </w:r>
          </w:p>
        </w:tc>
      </w:tr>
      <w:tr>
        <w:tblPrEx>
          <w:tblCellMar>
            <w:top w:w="0" w:type="dxa"/>
            <w:left w:w="0" w:type="dxa"/>
            <w:bottom w:w="0" w:type="dxa"/>
            <w:right w:w="0" w:type="dxa"/>
          </w:tblCellMar>
        </w:tblPrEx>
        <w:trPr>
          <w:trHeight w:val="2880"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IP终端</w:t>
            </w:r>
          </w:p>
        </w:tc>
        <w:tc>
          <w:tcPr>
            <w:tcW w:w="75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1.设备采用标准19英寸机架设计，带有≥3.4英寸LCD显示屏。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2.具有1路RJ45网络接口，100Mbps传输速率，内置1路网络硬件音频解码模块，谐波失真≤0.3%。</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3.支持≥1路线路输入和≥1路话筒输入接口，可独立调节音量；支高低音调节电位器控制，高音提升、衰减：±10dB，低音提升、衰减：±10dB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4.具有≥1路EMC输入接口，具有最高优先级；具有≥2路音频输出接口。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5.具有2路三线制强切输出接口，无需强切电源。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6.支持2路电源输出插座，内置智能电源管理，无音乐或呼叫时，自动切断输出座电源，有信号时自动打开输出座电源。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7.支持通过后台软件对终端进行远程固件升级。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8.频率响应范围80Hz～16KHz，信噪比＞65dB，谐波失真≤0.3%。</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9.EMC输入灵敏度：775mV(非平衡）、 AUX输入灵敏度：350mV(非平衡）、MIC输入灵敏度：5mV(非平衡），AUX输出幅度：1000mV 、AUX输出阻抗：470Ω</w:t>
            </w:r>
          </w:p>
        </w:tc>
      </w:tr>
      <w:tr>
        <w:tblPrEx>
          <w:tblCellMar>
            <w:top w:w="0" w:type="dxa"/>
            <w:left w:w="0" w:type="dxa"/>
            <w:bottom w:w="0" w:type="dxa"/>
            <w:right w:w="0" w:type="dxa"/>
          </w:tblCellMar>
        </w:tblPrEx>
        <w:trPr>
          <w:trHeight w:val="960" w:hRule="atLeast"/>
          <w:jc w:val="center"/>
        </w:trPr>
        <w:tc>
          <w:tcPr>
            <w:tcW w:w="1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话筒天线 </w:t>
            </w:r>
          </w:p>
        </w:tc>
        <w:tc>
          <w:tcPr>
            <w:tcW w:w="75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auto"/>
                <w:kern w:val="2"/>
                <w:sz w:val="20"/>
                <w:szCs w:val="20"/>
              </w:rPr>
            </w:pPr>
            <w:r>
              <w:rPr>
                <w:rFonts w:hint="eastAsia" w:ascii="宋体" w:hAnsi="宋体" w:eastAsia="宋体" w:cs="宋体"/>
                <w:i w:val="0"/>
                <w:color w:val="auto"/>
                <w:kern w:val="0"/>
                <w:sz w:val="20"/>
                <w:szCs w:val="20"/>
                <w:u w:val="none"/>
                <w:lang w:val="en-US" w:eastAsia="zh-CN" w:bidi="ar"/>
              </w:rPr>
              <w:t>1.宽频定向天线680-960MHz；适用于GSM,CDMA,WCDMA,WLAN,LTE网络；频带范围：680~960MHz，增益：11dB。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2.输入阻抗：50Ω，水平面波源宽度：60°、垂直面波源宽度： 50°，前后比： ＞18.驻波比： ＜1.5，模化形式： 垂直，最大功率可达50W。</w:t>
            </w:r>
          </w:p>
        </w:tc>
      </w:tr>
    </w:tbl>
    <w:p>
      <w:pPr>
        <w:widowControl/>
        <w:jc w:val="left"/>
        <w:textAlignment w:val="center"/>
        <w:rPr>
          <w:rFonts w:hint="eastAsia" w:ascii="宋体" w:hAnsi="宋体" w:eastAsia="宋体" w:cs="宋体"/>
          <w:color w:val="auto"/>
          <w:kern w:val="0"/>
          <w:sz w:val="20"/>
          <w:szCs w:val="20"/>
          <w:lang w:val="en-US" w:eastAsia="zh-CN" w:bidi="ar"/>
        </w:rPr>
      </w:pPr>
    </w:p>
    <w:p>
      <w:pPr>
        <w:widowControl w:val="0"/>
        <w:jc w:val="center"/>
        <w:rPr>
          <w:rFonts w:hint="eastAsia" w:eastAsia="宋体" w:cs="Times New Roman"/>
          <w:b/>
          <w:bCs/>
          <w:color w:val="auto"/>
          <w:kern w:val="2"/>
          <w:sz w:val="28"/>
          <w:szCs w:val="28"/>
        </w:rPr>
      </w:pPr>
      <w:r>
        <w:rPr>
          <w:rFonts w:hint="eastAsia" w:eastAsia="宋体" w:cs="Times New Roman"/>
          <w:b/>
          <w:bCs/>
          <w:color w:val="auto"/>
          <w:kern w:val="2"/>
          <w:sz w:val="28"/>
          <w:szCs w:val="28"/>
        </w:rPr>
        <w:t>六、停车场管理系统</w:t>
      </w:r>
    </w:p>
    <w:tbl>
      <w:tblPr>
        <w:tblStyle w:val="38"/>
        <w:tblW w:w="8995" w:type="dxa"/>
        <w:jc w:val="center"/>
        <w:tblLayout w:type="autofit"/>
        <w:tblCellMar>
          <w:top w:w="0" w:type="dxa"/>
          <w:left w:w="0" w:type="dxa"/>
          <w:bottom w:w="0" w:type="dxa"/>
          <w:right w:w="0" w:type="dxa"/>
        </w:tblCellMar>
      </w:tblPr>
      <w:tblGrid>
        <w:gridCol w:w="1440"/>
        <w:gridCol w:w="7555"/>
      </w:tblGrid>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设备名称</w:t>
            </w:r>
          </w:p>
        </w:tc>
        <w:tc>
          <w:tcPr>
            <w:tcW w:w="7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参数</w:t>
            </w:r>
          </w:p>
        </w:tc>
      </w:tr>
      <w:tr>
        <w:tblPrEx>
          <w:tblCellMar>
            <w:top w:w="0" w:type="dxa"/>
            <w:left w:w="0" w:type="dxa"/>
            <w:bottom w:w="0" w:type="dxa"/>
            <w:right w:w="0" w:type="dxa"/>
          </w:tblCellMar>
        </w:tblPrEx>
        <w:trPr>
          <w:trHeight w:val="5591"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ascii="Arial" w:hAnsi="Arial" w:eastAsia="宋体" w:cs="Arial"/>
                <w:color w:val="auto"/>
                <w:kern w:val="0"/>
                <w:sz w:val="20"/>
                <w:szCs w:val="20"/>
                <w:lang w:bidi="ar"/>
              </w:rPr>
              <w:t>智能挡车器</w:t>
            </w:r>
          </w:p>
        </w:tc>
        <w:tc>
          <w:tcPr>
            <w:tcW w:w="7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【抓拍显示道闸一体机】</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高度集成：快速道闸、智能抓拍机、补光灯、LED屏、防砸雷达、求助按钮、语音播报、语音对讲于一体</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快速通行：集成行星齿轮道闸，传动效率高，性能稳定，快速抬杆慢速落杆，实现快速通行</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高清晰：400万像素高清摄像机，最大分辨率可达2688*1520，帧率高达25fps；</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低照度效果：1/3"逐行扫描CMOS，成像效果好，0.022Lux低照度监控效果，夜间看的更清；</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显示屏：LED版：支持四行四字双色LED屏，显示内容可灵活配置</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补光灯：内置9颗高亮LED灯，智能补光技术，支持时控和光控</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调试方便：采用3.1-6mm电动变焦镜头，支持软件自动调焦，调试更加方便，场景适应性更广；</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车辆结构化：支持车型识别，车标识别，车身颜色识别，子品牌检测</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黑白名单控制：支持黑、白名单的导入及对比，可直接联动道闸开闸，支持脱机运行；</w:t>
            </w:r>
          </w:p>
          <w:p>
            <w:pPr>
              <w:widowControl/>
              <w:jc w:val="left"/>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多种触发模式：支持视频触发、线圈触发、雷达触发等多种触发模式；捕获率高，纯视频识别，纯视频抓拍时可捕获无车牌，捕获率99.9%以上</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防跟车模式：支持视频防跟车、雷达/线圈防跟车两种模式，对于连续过车的场景，可实现跟车不落杆，有效解决拥堵问题；</w:t>
            </w:r>
          </w:p>
        </w:tc>
      </w:tr>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ascii="Arial" w:hAnsi="Arial" w:eastAsia="宋体" w:cs="Arial"/>
                <w:color w:val="auto"/>
                <w:kern w:val="0"/>
                <w:sz w:val="20"/>
                <w:szCs w:val="20"/>
                <w:lang w:bidi="ar"/>
              </w:rPr>
              <w:t>防砸地磁检测器</w:t>
            </w:r>
          </w:p>
        </w:tc>
        <w:tc>
          <w:tcPr>
            <w:tcW w:w="7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【触发雷达】</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采用</w:t>
            </w:r>
            <w:r>
              <w:rPr>
                <w:rFonts w:ascii="Arial" w:hAnsi="Arial" w:eastAsia="宋体" w:cs="Arial"/>
                <w:color w:val="auto"/>
                <w:kern w:val="0"/>
                <w:sz w:val="20"/>
                <w:szCs w:val="20"/>
                <w:lang w:bidi="ar"/>
              </w:rPr>
              <w:t>79GHz MMIC</w:t>
            </w:r>
            <w:r>
              <w:rPr>
                <w:rFonts w:hint="eastAsia" w:ascii="宋体" w:hAnsi="宋体" w:eastAsia="宋体" w:cs="宋体"/>
                <w:color w:val="auto"/>
                <w:kern w:val="0"/>
                <w:sz w:val="20"/>
                <w:szCs w:val="20"/>
                <w:lang w:bidi="ar"/>
              </w:rPr>
              <w:t>技术，分辨率更高，检测更稳定；</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雷达检测距离可调，检测宽度可调，操作方便，通用性强；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提供</w:t>
            </w:r>
            <w:r>
              <w:rPr>
                <w:rFonts w:ascii="Arial" w:hAnsi="Arial" w:eastAsia="宋体" w:cs="Arial"/>
                <w:color w:val="auto"/>
                <w:kern w:val="0"/>
                <w:sz w:val="20"/>
                <w:szCs w:val="20"/>
                <w:lang w:bidi="ar"/>
              </w:rPr>
              <w:t>RS485</w:t>
            </w:r>
            <w:r>
              <w:rPr>
                <w:rFonts w:hint="eastAsia" w:ascii="宋体" w:hAnsi="宋体" w:eastAsia="宋体" w:cs="宋体"/>
                <w:color w:val="auto"/>
                <w:kern w:val="0"/>
                <w:sz w:val="20"/>
                <w:szCs w:val="20"/>
                <w:lang w:bidi="ar"/>
              </w:rPr>
              <w:t>串口或者</w:t>
            </w:r>
            <w:r>
              <w:rPr>
                <w:rFonts w:ascii="Arial" w:hAnsi="Arial" w:eastAsia="宋体" w:cs="Arial"/>
                <w:color w:val="auto"/>
                <w:kern w:val="0"/>
                <w:sz w:val="20"/>
                <w:szCs w:val="20"/>
                <w:lang w:bidi="ar"/>
              </w:rPr>
              <w:t>WIFI</w:t>
            </w:r>
            <w:r>
              <w:rPr>
                <w:rFonts w:hint="eastAsia" w:ascii="宋体" w:hAnsi="宋体" w:eastAsia="宋体" w:cs="宋体"/>
                <w:color w:val="auto"/>
                <w:kern w:val="0"/>
                <w:sz w:val="20"/>
                <w:szCs w:val="20"/>
                <w:lang w:bidi="ar"/>
              </w:rPr>
              <w:t>通讯功能，</w:t>
            </w:r>
            <w:r>
              <w:rPr>
                <w:rFonts w:ascii="Arial" w:hAnsi="Arial" w:eastAsia="宋体" w:cs="Arial"/>
                <w:color w:val="auto"/>
                <w:kern w:val="0"/>
                <w:sz w:val="20"/>
                <w:szCs w:val="20"/>
                <w:lang w:bidi="ar"/>
              </w:rPr>
              <w:t>WIFI</w:t>
            </w:r>
            <w:r>
              <w:rPr>
                <w:rFonts w:hint="eastAsia" w:ascii="宋体" w:hAnsi="宋体" w:eastAsia="宋体" w:cs="宋体"/>
                <w:color w:val="auto"/>
                <w:kern w:val="0"/>
                <w:sz w:val="20"/>
                <w:szCs w:val="20"/>
                <w:lang w:bidi="ar"/>
              </w:rPr>
              <w:t>版本配备手机</w:t>
            </w:r>
            <w:r>
              <w:rPr>
                <w:rFonts w:ascii="Arial" w:hAnsi="Arial" w:eastAsia="宋体" w:cs="Arial"/>
                <w:color w:val="auto"/>
                <w:kern w:val="0"/>
                <w:sz w:val="20"/>
                <w:szCs w:val="20"/>
                <w:lang w:bidi="ar"/>
              </w:rPr>
              <w:t>APP</w:t>
            </w:r>
            <w:r>
              <w:rPr>
                <w:rFonts w:hint="eastAsia" w:ascii="宋体" w:hAnsi="宋体" w:eastAsia="宋体" w:cs="宋体"/>
                <w:color w:val="auto"/>
                <w:kern w:val="0"/>
                <w:sz w:val="20"/>
                <w:szCs w:val="20"/>
                <w:lang w:bidi="ar"/>
              </w:rPr>
              <w:t>，可对雷达进行在线调试、固件升级，操作更方便；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具备检测车和人功能，支持单人过滤。</w:t>
            </w:r>
          </w:p>
        </w:tc>
      </w:tr>
      <w:tr>
        <w:tblPrEx>
          <w:tblCellMar>
            <w:top w:w="0" w:type="dxa"/>
            <w:left w:w="0" w:type="dxa"/>
            <w:bottom w:w="0" w:type="dxa"/>
            <w:right w:w="0" w:type="dxa"/>
          </w:tblCellMar>
        </w:tblPrEx>
        <w:trPr>
          <w:trHeight w:val="4623"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Arial" w:hAnsi="Arial" w:eastAsia="宋体" w:cs="Arial"/>
                <w:color w:val="auto"/>
                <w:kern w:val="0"/>
                <w:sz w:val="20"/>
                <w:szCs w:val="20"/>
                <w:lang w:bidi="ar"/>
              </w:rPr>
              <w:t>管理终端</w:t>
            </w:r>
          </w:p>
        </w:tc>
        <w:tc>
          <w:tcPr>
            <w:tcW w:w="7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【出入口控制终端】【固态硬盘】【不含软件】【预装正版WIN10系统】【需用户自配显示器、键鼠】</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CPU：Apollo Lake J3455平台处理器 ；</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内存：4GB；</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标配128G SSD，可额外选配一块3.5寸机械硬盘（需下配置单，并备注说明硬盘容量）；</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其他接口：6个1000Mbps自适应网口（G2~G6为交换机，G1为独立网口，支持双网隔离）、2个RS232、2个RS485、4个USB3.0；4个开关量输入，4个继电器开关量输出、1个VGA输出接口，1路内置预留SATA接口、1个HDMI输出接口</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平台功能：支持上传至智能停车场管理系统；支持上传至其他中心管理系统（需定制）；</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远程管理：支持远程进行权限设置或维护管理；</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工作电压:主机12VDC，外接220VAC电源适配器；</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功耗:平均25w，最高50w；</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工作环境温度:-10 ℃～50 ℃；</w:t>
            </w:r>
          </w:p>
          <w:p>
            <w:pPr>
              <w:widowControl/>
              <w:jc w:val="left"/>
              <w:textAlignment w:val="center"/>
              <w:rPr>
                <w:rFonts w:ascii="Arial" w:hAnsi="Arial" w:eastAsia="宋体" w:cs="Arial"/>
                <w:color w:val="auto"/>
                <w:kern w:val="2"/>
                <w:sz w:val="20"/>
                <w:szCs w:val="20"/>
              </w:rPr>
            </w:pPr>
            <w:r>
              <w:rPr>
                <w:rFonts w:hint="eastAsia" w:ascii="Arial" w:hAnsi="Arial" w:eastAsia="宋体" w:cs="Arial"/>
                <w:color w:val="auto"/>
                <w:kern w:val="2"/>
                <w:sz w:val="20"/>
                <w:szCs w:val="20"/>
              </w:rPr>
              <w:t>工作环境湿度:10%~90%@40℃，无凝结；</w:t>
            </w:r>
          </w:p>
          <w:p>
            <w:pPr>
              <w:widowControl/>
              <w:jc w:val="left"/>
              <w:textAlignment w:val="center"/>
              <w:rPr>
                <w:rFonts w:hint="eastAsia" w:ascii="宋体" w:hAnsi="宋体" w:eastAsia="宋体" w:cs="宋体"/>
                <w:color w:val="auto"/>
                <w:kern w:val="2"/>
                <w:sz w:val="20"/>
                <w:szCs w:val="20"/>
                <w:lang w:eastAsia="zh-CN"/>
              </w:rPr>
            </w:pPr>
            <w:r>
              <w:rPr>
                <w:rFonts w:hint="eastAsia" w:ascii="Arial" w:hAnsi="Arial" w:eastAsia="宋体" w:cs="Arial"/>
                <w:color w:val="auto"/>
                <w:kern w:val="2"/>
                <w:sz w:val="20"/>
                <w:szCs w:val="20"/>
              </w:rPr>
              <w:t>功能特性：无风扇设计，集成交换机、485接口、报警2进4出、视频HDMI及VGA接</w:t>
            </w:r>
            <w:r>
              <w:rPr>
                <w:rFonts w:hint="eastAsia" w:ascii="Arial" w:hAnsi="Arial" w:eastAsia="宋体" w:cs="Arial"/>
                <w:color w:val="auto"/>
                <w:kern w:val="2"/>
                <w:sz w:val="20"/>
                <w:szCs w:val="20"/>
                <w:lang w:eastAsia="zh-CN"/>
              </w:rPr>
              <w:t>口</w:t>
            </w:r>
          </w:p>
        </w:tc>
      </w:tr>
      <w:tr>
        <w:tblPrEx>
          <w:tblCellMar>
            <w:top w:w="0" w:type="dxa"/>
            <w:left w:w="0" w:type="dxa"/>
            <w:bottom w:w="0" w:type="dxa"/>
            <w:right w:w="0" w:type="dxa"/>
          </w:tblCellMar>
        </w:tblPrEx>
        <w:trPr>
          <w:trHeight w:val="11629"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ascii="Arial" w:hAnsi="Arial" w:eastAsia="宋体" w:cs="Arial"/>
                <w:color w:val="auto"/>
                <w:kern w:val="0"/>
                <w:sz w:val="20"/>
                <w:szCs w:val="20"/>
                <w:lang w:bidi="ar"/>
              </w:rPr>
              <w:t>停车场管理软件</w:t>
            </w:r>
          </w:p>
        </w:tc>
        <w:tc>
          <w:tcPr>
            <w:tcW w:w="7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停车场车辆收费管理学校、医院等停车场停车收费场景</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一、车辆充值管理</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 xml:space="preserve">1、支持对车辆进行批量充值、包期充值、对车主进行储值账户充值；支持充值退款和删除包期 </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2、固定车包期规则支持闲时月包，包期类型可以自定义：可以按照日期、星期设置不同时间段的收费策略，其余时段按照临时车收费</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二、收费规则管理</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1、支持车辆群组管理，车辆群组收费规则和放行规则配置</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2、支持多种收费规则包括：按日夜组合收费，按单位时间段收费，按总计时长收费，按次收费，按停车时间收费，支持跨天连续计时收费，计费时长不按日分割</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三、停车收费方式管理</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1、支持岗亭缴费，车主出场时，在岗亭客户端缴费，支持现金/支付宝/微信的交付方式，通过扫码枪扫支付宝/微信的付款码进行缴费，并支持小票打印</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2、支持人工缴费，车主在场内在中央缴费窗口，进行人工缴费，缴费之后在规定时间内出场。支持现金/支付宝/微信，车主扫描二维码进行支付</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3、支持自助寻车机缴费，车主在自助寻车机上寻车时，可以进行缴费，缴费之后在规定时间内出场。支持支付宝/微信，车主扫描二维码进行支付</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4、支持收费宝缴费，当道闸故障或场内拥堵时，保安通过手持单兵进行收费，收费后，车辆在规定的时间内出场。支持现金/支付宝/微信，收费宝扫车主的付款码进行收费</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5、支持手机H5页面缴费，停车场内张贴二维码，车主通过扫描二维码进入手机H5页面，输入车牌后进行缴费，缴费后，车辆在规定的时间内出场。支持支付宝/微信</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6、支持无人值守场景下，无牌车车主，可扫描车道二维码进行车辆进出和自助缴费，有牌车车主扫描车道二维码进行缴费后放行。支持异常情况下，通过票箱/可视对讲机，呼叫中心管理员，中心管理员对车辆进行校正车牌、手动放行、入场人工匹配的操作</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7、支持ETC停车付费，</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8、支持平台中心服务离线后车辆进出仍能正常收费，中心服务恢复后同步收费和出场纪录</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四、岗亭收费员交接班管理</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1、支持岗亭收费员交接班时，进行应收金额、优惠金额、全免金额和实收金额的交接对账</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2、支持在平台查询和统计交接班</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五、收费记录查询</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1、支持支持多种记录查询包括：充值退款记录、临时车缴费记录、优惠券记录、交接班记录查询</w:t>
            </w:r>
          </w:p>
          <w:p>
            <w:pPr>
              <w:widowControl/>
              <w:jc w:val="left"/>
              <w:textAlignment w:val="center"/>
              <w:rPr>
                <w:rFonts w:ascii="宋体" w:hAnsi="宋体" w:eastAsia="宋体" w:cs="宋体"/>
                <w:color w:val="auto"/>
                <w:kern w:val="2"/>
                <w:sz w:val="20"/>
                <w:szCs w:val="20"/>
              </w:rPr>
            </w:pPr>
            <w:r>
              <w:rPr>
                <w:rFonts w:hint="eastAsia" w:ascii="宋体" w:hAnsi="宋体" w:eastAsia="宋体" w:cs="宋体"/>
                <w:color w:val="auto"/>
                <w:kern w:val="2"/>
                <w:sz w:val="20"/>
                <w:szCs w:val="20"/>
              </w:rPr>
              <w:t>六、收费报表统计</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1、支持按日、月、年、自定义时间进行报表统计，报表包含收费报表统计、账户收费报表统计、临时车缴费统计</w:t>
            </w:r>
          </w:p>
        </w:tc>
      </w:tr>
      <w:tr>
        <w:tblPrEx>
          <w:tblCellMar>
            <w:top w:w="0" w:type="dxa"/>
            <w:left w:w="0" w:type="dxa"/>
            <w:bottom w:w="0" w:type="dxa"/>
            <w:right w:w="0" w:type="dxa"/>
          </w:tblCellMar>
        </w:tblPrEx>
        <w:trPr>
          <w:trHeight w:val="769"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管理服务器</w:t>
            </w:r>
          </w:p>
        </w:tc>
        <w:tc>
          <w:tcPr>
            <w:tcW w:w="7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HG7169(24核2.2GHz)×1/64G DDR4/600G 10K SAS×4(RAID_10)/SAS_HBA/1GbE×2/550W(1+1)/2U/16DIMM</w:t>
            </w:r>
          </w:p>
        </w:tc>
      </w:tr>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auto"/>
                <w:kern w:val="0"/>
                <w:sz w:val="20"/>
                <w:szCs w:val="20"/>
                <w:lang w:bidi="ar"/>
              </w:rPr>
            </w:pPr>
            <w:r>
              <w:rPr>
                <w:rFonts w:hint="eastAsia" w:ascii="宋体" w:hAnsi="宋体" w:eastAsia="宋体" w:cs="宋体"/>
                <w:color w:val="auto"/>
                <w:kern w:val="0"/>
                <w:sz w:val="20"/>
                <w:szCs w:val="20"/>
                <w:lang w:bidi="ar"/>
              </w:rPr>
              <w:t>显示器</w:t>
            </w:r>
          </w:p>
        </w:tc>
        <w:tc>
          <w:tcPr>
            <w:tcW w:w="7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19.5寸显示器</w:t>
            </w:r>
          </w:p>
        </w:tc>
      </w:tr>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200" w:firstLineChars="100"/>
              <w:jc w:val="both"/>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鼠标、键盘</w:t>
            </w:r>
          </w:p>
        </w:tc>
        <w:tc>
          <w:tcPr>
            <w:tcW w:w="7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USB接口鼠标键盘</w:t>
            </w:r>
          </w:p>
        </w:tc>
      </w:tr>
    </w:tbl>
    <w:p>
      <w:pPr>
        <w:widowControl w:val="0"/>
        <w:jc w:val="center"/>
        <w:rPr>
          <w:rFonts w:hint="eastAsia" w:eastAsia="宋体" w:cs="Times New Roman"/>
          <w:b/>
          <w:bCs/>
          <w:color w:val="auto"/>
          <w:kern w:val="2"/>
          <w:sz w:val="28"/>
          <w:szCs w:val="28"/>
        </w:rPr>
      </w:pPr>
    </w:p>
    <w:p>
      <w:pPr>
        <w:widowControl w:val="0"/>
        <w:jc w:val="center"/>
        <w:rPr>
          <w:rFonts w:hint="eastAsia" w:eastAsia="宋体" w:cs="Times New Roman"/>
          <w:b/>
          <w:bCs/>
          <w:color w:val="auto"/>
          <w:kern w:val="2"/>
          <w:sz w:val="28"/>
          <w:szCs w:val="28"/>
        </w:rPr>
      </w:pPr>
      <w:r>
        <w:rPr>
          <w:rFonts w:hint="eastAsia" w:eastAsia="宋体" w:cs="Times New Roman"/>
          <w:b/>
          <w:bCs/>
          <w:color w:val="auto"/>
          <w:kern w:val="2"/>
          <w:sz w:val="28"/>
          <w:szCs w:val="28"/>
        </w:rPr>
        <w:t>七、LED信息发布系统</w:t>
      </w:r>
    </w:p>
    <w:tbl>
      <w:tblPr>
        <w:tblStyle w:val="38"/>
        <w:tblW w:w="5545" w:type="pct"/>
        <w:jc w:val="center"/>
        <w:tblLayout w:type="autofit"/>
        <w:tblCellMar>
          <w:top w:w="0" w:type="dxa"/>
          <w:left w:w="0" w:type="dxa"/>
          <w:bottom w:w="0" w:type="dxa"/>
          <w:right w:w="0" w:type="dxa"/>
        </w:tblCellMar>
      </w:tblPr>
      <w:tblGrid>
        <w:gridCol w:w="1438"/>
        <w:gridCol w:w="7759"/>
      </w:tblGrid>
      <w:tr>
        <w:tblPrEx>
          <w:tblCellMar>
            <w:top w:w="0" w:type="dxa"/>
            <w:left w:w="0" w:type="dxa"/>
            <w:bottom w:w="0" w:type="dxa"/>
            <w:right w:w="0" w:type="dxa"/>
          </w:tblCellMar>
        </w:tblPrEx>
        <w:trPr>
          <w:trHeight w:val="285"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设备名称</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参数</w:t>
            </w:r>
          </w:p>
        </w:tc>
      </w:tr>
      <w:tr>
        <w:tblPrEx>
          <w:tblCellMar>
            <w:top w:w="0" w:type="dxa"/>
            <w:left w:w="0" w:type="dxa"/>
            <w:bottom w:w="0" w:type="dxa"/>
            <w:right w:w="0" w:type="dxa"/>
          </w:tblCellMar>
        </w:tblPrEx>
        <w:trPr>
          <w:trHeight w:val="285"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校门口外墙户外全彩显示屏P4</w:t>
            </w:r>
          </w:p>
        </w:tc>
      </w:tr>
      <w:tr>
        <w:tblPrEx>
          <w:tblCellMar>
            <w:top w:w="0" w:type="dxa"/>
            <w:left w:w="0" w:type="dxa"/>
            <w:bottom w:w="0" w:type="dxa"/>
            <w:right w:w="0" w:type="dxa"/>
          </w:tblCellMar>
        </w:tblPrEx>
        <w:trPr>
          <w:trHeight w:val="144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硬件规格</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1）主屏体面积：4.48m（宽）*2.88m（高）=12.9㎡</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2）点间距：4mm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3）物理像素点：≥62500点/m2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4）像素构成：SMD表贴三合一</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5）灯珠颜色：黑灯，表面黑色雾化处理，表面不反光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模组尺寸:320*160*18mm</w:t>
            </w:r>
          </w:p>
        </w:tc>
      </w:tr>
      <w:tr>
        <w:tblPrEx>
          <w:tblCellMar>
            <w:top w:w="0" w:type="dxa"/>
            <w:left w:w="0" w:type="dxa"/>
            <w:bottom w:w="0" w:type="dxa"/>
            <w:right w:w="0" w:type="dxa"/>
          </w:tblCellMar>
        </w:tblPrEx>
        <w:trPr>
          <w:trHeight w:val="2221"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性能指标</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 xml:space="preserve">单元板：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像数点间距：4mm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像素密度：62500Dots/㎡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像素构成：1R1G1B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单元板分辨率：80*40=3200 Dots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尺寸(长*宽*厚) ：320mm*160mm*18mm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重量：0.52Kg±0.05Kg</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结构特点：灯驱合一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最大电流：10.34A±0.1A</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输入电压(直流) ：4.5V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驱动方式：1/10扫恒流驱动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单元板功率：≤47W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箱体(长*宽*厚) ：960mm*800mm*80mm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平均功耗（1/3）：230W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箱体分辨率：240*200=48000 Dots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配电功率：（最大功耗/78%） 702W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箱体面积：0.768㎡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箱体重量：23.5Kg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最大功耗：691W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屏体：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亮度：≥5000 cd/㎡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亮度均匀性：＞0.95</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屏幕水平视角：140±10度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屏幕垂直视角：130±10度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最佳视距：≥ 4m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盲点率：小于万分之三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使用环境：室外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系统控制参数：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灰度等级：红、绿、蓝各14-16bits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显示颜色：43980亿种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换帖频率：≥60 帧/秒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刷新频率：≥1920Hz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控制方式：计算机控制，逐点一一对应，视频同步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亮度调节：256 级手动/自动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输入信号：DVI/VGA，视频(多种制式)、RGBHV、复合视频信号、S-VIDEO、YpbPr(HDTV)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系统特性：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使用寿命： ≥10万小时 平均无故障时间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衰减率(工作3年) ： ≤15％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离散失控点 ：＜0.0003，出厂时为0 盲点率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工作温度范围： -20至40℃ 工作湿度范围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防护性能： 超温/过载/掉电/图像补偿/各种校正技术/过流/过压/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屏幕水平平整度：＜1mm/㎡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屏幕垂直平整度：＜1mm/㎡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防水等级：IP65；</w:t>
            </w:r>
          </w:p>
        </w:tc>
      </w:tr>
      <w:tr>
        <w:tblPrEx>
          <w:tblCellMar>
            <w:top w:w="0" w:type="dxa"/>
            <w:left w:w="0" w:type="dxa"/>
            <w:bottom w:w="0" w:type="dxa"/>
            <w:right w:w="0" w:type="dxa"/>
          </w:tblCellMar>
        </w:tblPrEx>
        <w:trPr>
          <w:trHeight w:val="1548"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控制系统及软件功能</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灵活的编排和发布节目，预览播放画面，监控节目及播放状态，定时远程开关机管理维护，定时或紧急插入发布节目或内容等，基于TCP/IP网络的控制管理和发布，含远程指令模块，实时网页接入模块等，支持各类多媒体节目及格式，不需要转换格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灯点定位、行列识别、曝光自动控制、自动校正，LED单点自检、通讯检测、电源检测、温度监控等；</w:t>
            </w:r>
          </w:p>
        </w:tc>
      </w:tr>
      <w:tr>
        <w:tblPrEx>
          <w:tblCellMar>
            <w:top w:w="0" w:type="dxa"/>
            <w:left w:w="0" w:type="dxa"/>
            <w:bottom w:w="0" w:type="dxa"/>
            <w:right w:w="0" w:type="dxa"/>
          </w:tblCellMar>
        </w:tblPrEx>
        <w:trPr>
          <w:trHeight w:val="720" w:hRule="atLeast"/>
          <w:jc w:val="center"/>
        </w:trPr>
        <w:tc>
          <w:tcPr>
            <w:tcW w:w="7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音箱、功放</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音箱:额定功率40W,最大功率60W,70V-100V定压输出,尺寸735*222*120。功放:额定输出150W，线路输出500NV,U盘MP3播放，设有3路话筒输入，2路辅助输入，1路辅助输出，有4-16欧定阻输出，70V-100V定压输出，输出短路，过热，过载，报警保护。</w:t>
            </w:r>
          </w:p>
        </w:tc>
      </w:tr>
      <w:tr>
        <w:tblPrEx>
          <w:tblCellMar>
            <w:top w:w="0" w:type="dxa"/>
            <w:left w:w="0" w:type="dxa"/>
            <w:bottom w:w="0" w:type="dxa"/>
            <w:right w:w="0" w:type="dxa"/>
          </w:tblCellMar>
        </w:tblPrEx>
        <w:trPr>
          <w:trHeight w:val="1412"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接收卡</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1、集成16 个标准HUB75 接口，免接HUB 板，支持16组、32组多种数据模式。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2、采用千兆网口,可以连接PC 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3、支持接收卡预存画面设置。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4、支持灯板Flash 管理。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5、支持温度、电压、网线通讯和视频源信号状态检测。</w:t>
            </w:r>
          </w:p>
        </w:tc>
      </w:tr>
      <w:tr>
        <w:tblPrEx>
          <w:tblCellMar>
            <w:top w:w="0" w:type="dxa"/>
            <w:left w:w="0" w:type="dxa"/>
            <w:bottom w:w="0" w:type="dxa"/>
            <w:right w:w="0" w:type="dxa"/>
          </w:tblCellMar>
        </w:tblPrEx>
        <w:trPr>
          <w:trHeight w:val="3708"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二合一LED视频控制器</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1、支持多达 5 路输入接口，包括 1 路 DVI，1 路 HDMI1.3，1 路 VGA，1 路 USB 播放，1 路 CVBS，选配 1 路 Android 子卡。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2、支持窗口位置、大小调整及窗口截取功能。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3、安装 Android 子卡后，Android 播放源模式下，支持使用鼠标进行控制，支持输入源一键切换。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4、支持外置独立音频，支持输入分辨率预设及自定义调节。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5、支持画面全屏缩放、点对点缩放、自定义缩放三种缩放模式，支持快捷点屏，简单操作即可完成屏体配置。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6、支持2个网口输出，最大带载130万像素，支持创建6个用户场景作为模板保存，可直接调用，方便使用。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7、支持连接控台设备。支持屏体参数调整，例如亮度、Gamma 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8、前面板直观的 OLED 显示界面，清晰的按键灯提示，简化了系统的控制操作。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9、安装 Android 子卡后，支持无线投屏，可投放手机或 Pad 画面。      </w:t>
            </w:r>
          </w:p>
        </w:tc>
      </w:tr>
      <w:tr>
        <w:tblPrEx>
          <w:tblCellMar>
            <w:top w:w="0" w:type="dxa"/>
            <w:left w:w="0" w:type="dxa"/>
            <w:bottom w:w="0" w:type="dxa"/>
            <w:right w:w="0" w:type="dxa"/>
          </w:tblCellMar>
        </w:tblPrEx>
        <w:trPr>
          <w:trHeight w:val="519"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主控服务器</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color w:val="auto"/>
                <w:kern w:val="0"/>
                <w:sz w:val="20"/>
                <w:szCs w:val="20"/>
                <w:lang w:bidi="ar"/>
              </w:rPr>
              <w:t>I5 8G 256G独立显卡，DVI\HDMI\VGA</w:t>
            </w:r>
          </w:p>
        </w:tc>
      </w:tr>
      <w:tr>
        <w:tblPrEx>
          <w:tblCellMar>
            <w:top w:w="0" w:type="dxa"/>
            <w:left w:w="0" w:type="dxa"/>
            <w:bottom w:w="0" w:type="dxa"/>
            <w:right w:w="0" w:type="dxa"/>
          </w:tblCellMar>
        </w:tblPrEx>
        <w:trPr>
          <w:trHeight w:val="35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多功能配电控制箱</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color w:val="auto"/>
                <w:kern w:val="0"/>
                <w:sz w:val="20"/>
                <w:szCs w:val="20"/>
                <w:lang w:bidi="ar"/>
              </w:rPr>
              <w:t>1、20KW,具备过压、过流、欠压、缺相、短路、断路保护与报警功能,具备分步延时起动和分步延时断电的功能。</w:t>
            </w:r>
          </w:p>
        </w:tc>
      </w:tr>
      <w:tr>
        <w:tblPrEx>
          <w:tblCellMar>
            <w:top w:w="0" w:type="dxa"/>
            <w:left w:w="0" w:type="dxa"/>
            <w:bottom w:w="0" w:type="dxa"/>
            <w:right w:w="0" w:type="dxa"/>
          </w:tblCellMar>
        </w:tblPrEx>
        <w:trPr>
          <w:trHeight w:val="37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b/>
                <w:bCs/>
                <w:i w:val="0"/>
                <w:color w:val="auto"/>
                <w:kern w:val="0"/>
                <w:sz w:val="20"/>
                <w:szCs w:val="20"/>
                <w:u w:val="none"/>
                <w:lang w:val="en-US" w:eastAsia="zh-CN" w:bidi="ar"/>
              </w:rPr>
              <w:t>运动场北面全彩显示屏P4</w:t>
            </w:r>
          </w:p>
        </w:tc>
      </w:tr>
      <w:tr>
        <w:tblPrEx>
          <w:tblCellMar>
            <w:top w:w="0" w:type="dxa"/>
            <w:left w:w="0" w:type="dxa"/>
            <w:bottom w:w="0" w:type="dxa"/>
            <w:right w:w="0" w:type="dxa"/>
          </w:tblCellMar>
        </w:tblPrEx>
        <w:trPr>
          <w:trHeight w:val="384"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硬件规格</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1）主屏体面积：6.4m（宽）*3.84m（高）=24.57㎡</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2）点间距：4mm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3）物理像素点：≥62500点/m2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4）像素构成：SMD表贴三合一</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5）灯珠颜色：黑灯，表面黑色雾化处理，表面不反光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模组尺寸:320*160*18mm</w:t>
            </w:r>
          </w:p>
        </w:tc>
      </w:tr>
      <w:tr>
        <w:tblPrEx>
          <w:tblCellMar>
            <w:top w:w="0" w:type="dxa"/>
            <w:left w:w="0" w:type="dxa"/>
            <w:bottom w:w="0" w:type="dxa"/>
            <w:right w:w="0" w:type="dxa"/>
          </w:tblCellMar>
        </w:tblPrEx>
        <w:trPr>
          <w:trHeight w:val="100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性能指标</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 xml:space="preserve">单元板：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像数点间距：4mm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像素密度：62500Dots/㎡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像素构成：1R1G1B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单元板分辨率：80*40=3200 Dots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尺寸(长*宽*厚) ：320mm*160mm*18mm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重量：0.52Kg±0.05Kg</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结构特点：灯驱合一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最大电流：10.34A±0.1A</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输入电压(直流) ：4.5V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驱动方式：1/10扫恒流驱动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单元板功率：≤47W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箱体(长*宽*厚) ：960mm*800mm*80mm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平均功耗（1/3）：230W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箱体分辨率：240*200=48000 Dots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配电功率：（最大功耗/78%） 702W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箱体面积：0.768㎡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箱体重量：23.5Kg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最大功耗：691W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屏体：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亮度：≥5000 cd/㎡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亮度均匀性：＞0.95</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屏幕水平视角：140±10度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屏幕垂直视角：130±10度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最佳视距：≥ 4m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盲点率：小于万分之三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使用环境：室外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系统控制参数：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灰度等级：红、绿、蓝各14-16bits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显示颜色：43980亿种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换帖频率：≥60 帧/秒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刷新频率：≥1920Hz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控制方式：计算机控制，逐点一一对应，视频同步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亮度调节：256 级手动/自动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输入信号：DVI/VGA，视频(多种制式)、RGBHV、复合视频信号、S-VIDEO、YpbPr(HDTV)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系统特性：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使用寿命： ≥10万小时 平均无故障时间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衰减率(工作3年) ： ≤15％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离散失控点 ：＜0.0003，出厂时为0 盲点率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工作温度范围： -20至40℃ 工作湿度范围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防护性能： 超温/过载/掉电/图像补偿/各种校正技术/过流/过压/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屏幕水平平整度：＜1mm/㎡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屏幕垂直平整度：＜1mm/㎡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防水等级：IP65；</w:t>
            </w:r>
          </w:p>
        </w:tc>
      </w:tr>
      <w:tr>
        <w:tblPrEx>
          <w:tblCellMar>
            <w:top w:w="0" w:type="dxa"/>
            <w:left w:w="0" w:type="dxa"/>
            <w:bottom w:w="0" w:type="dxa"/>
            <w:right w:w="0" w:type="dxa"/>
          </w:tblCellMar>
        </w:tblPrEx>
        <w:trPr>
          <w:trHeight w:val="1248"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控制系统及软件功能</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灵活的编排和发布节目，预览播放画面，监控节目及播放状态，定时远程开关机管理维护，定时或紧急插入发布节目或内容等，基于TCP/IP网络的控制管理和发布，含远程指令模块，实时网页接入模块等，支持各类多媒体节目及格式，不需要转换格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灯点定位、行列识别、曝光自动控制、自动校正，LED单点自检、通讯检测、电源检测、温度监控等；</w:t>
            </w:r>
          </w:p>
        </w:tc>
      </w:tr>
      <w:tr>
        <w:tblPrEx>
          <w:tblCellMar>
            <w:top w:w="0" w:type="dxa"/>
            <w:left w:w="0" w:type="dxa"/>
            <w:bottom w:w="0" w:type="dxa"/>
            <w:right w:w="0" w:type="dxa"/>
          </w:tblCellMar>
        </w:tblPrEx>
        <w:trPr>
          <w:trHeight w:val="72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音箱、功放</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音箱:额定功率40W,最大功率60W,70V-100V定压输出,尺寸735*222*120。功放:额定输出150W，线路输出500NV,U盘MP3播放，设有3路话筒输入，2路辅助输入，1路辅助输出，有4-16欧定阻输出，70V-100V定压输出，输出短路，过热，过载，报警保护。</w:t>
            </w:r>
          </w:p>
        </w:tc>
      </w:tr>
      <w:tr>
        <w:tblPrEx>
          <w:tblCellMar>
            <w:top w:w="0" w:type="dxa"/>
            <w:left w:w="0" w:type="dxa"/>
            <w:bottom w:w="0" w:type="dxa"/>
            <w:right w:w="0" w:type="dxa"/>
          </w:tblCellMar>
        </w:tblPrEx>
        <w:trPr>
          <w:trHeight w:val="1156"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接收卡</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1、集成16 个标准HUB75 接口，免接HUB 板，支持16组、32组多种数据模式。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2、采用千兆网口,可以连接PC 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3、支持接收卡预存画面设置。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4、支持灯板Flash 管理。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5、支持温度、电压、网线通讯和视频源信号状态检测。</w:t>
            </w:r>
          </w:p>
        </w:tc>
      </w:tr>
      <w:tr>
        <w:tblPrEx>
          <w:tblCellMar>
            <w:top w:w="0" w:type="dxa"/>
            <w:left w:w="0" w:type="dxa"/>
            <w:bottom w:w="0" w:type="dxa"/>
            <w:right w:w="0" w:type="dxa"/>
          </w:tblCellMar>
        </w:tblPrEx>
        <w:trPr>
          <w:trHeight w:val="89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二合一LED视频控制器</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1、支持多达 5 路输入接口，包括 1 路 DVI，1 路 HDMI1.3，1 路 VGA，1 路 USB 播放，1 路 CVBS，选配 1 路 Android 子卡。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2、支持窗口位置、大小调整及窗口截取功能。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3、安装 Android 子卡后，Android 播放源模式下，支持使用鼠标进行控制，支持输入源一键切换。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4、支持外置独立音频，支持输入分辨率预设及自定义调节。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5、支持画面全屏缩放、点对点缩放、自定义缩放三种缩放模式，支持快捷点屏，简单操作即可完成屏体配置。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 2 个网口输出，最大带载 130 万像素，支持创建 6 个用户场景作为模板保存，可直接调用，方便使用。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7、支持连接控台设备。支持屏体参数调整，例如亮度、Gamma 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8、前面板直观的 OLED 显示界面，清晰的按键灯提示，简化了系统的控制操作。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9、安装 Android 子卡后，支持无线投屏，可投放手机或 Pad 画面。   </w:t>
            </w:r>
          </w:p>
        </w:tc>
      </w:tr>
      <w:tr>
        <w:tblPrEx>
          <w:tblCellMar>
            <w:top w:w="0" w:type="dxa"/>
            <w:left w:w="0" w:type="dxa"/>
            <w:bottom w:w="0" w:type="dxa"/>
            <w:right w:w="0" w:type="dxa"/>
          </w:tblCellMar>
        </w:tblPrEx>
        <w:trPr>
          <w:trHeight w:val="505"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主控服务器</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color w:val="auto"/>
                <w:kern w:val="0"/>
                <w:sz w:val="20"/>
                <w:szCs w:val="20"/>
                <w:lang w:bidi="ar"/>
              </w:rPr>
              <w:t>I5 8G 256G独立显卡，DVI\HDMI\VGA</w:t>
            </w:r>
          </w:p>
        </w:tc>
      </w:tr>
      <w:tr>
        <w:tblPrEx>
          <w:tblCellMar>
            <w:top w:w="0" w:type="dxa"/>
            <w:left w:w="0" w:type="dxa"/>
            <w:bottom w:w="0" w:type="dxa"/>
            <w:right w:w="0" w:type="dxa"/>
          </w:tblCellMar>
        </w:tblPrEx>
        <w:trPr>
          <w:trHeight w:val="77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多功能配电控制箱</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color w:val="auto"/>
                <w:kern w:val="0"/>
                <w:sz w:val="20"/>
                <w:szCs w:val="20"/>
                <w:lang w:bidi="ar"/>
              </w:rPr>
              <w:t>1、20KW,具备过压、过流、欠压、缺相、短路、断路保护与报警功能,具备分步延时起动和分步延时断电的功能。</w:t>
            </w:r>
          </w:p>
        </w:tc>
      </w:tr>
      <w:tr>
        <w:tblPrEx>
          <w:tblCellMar>
            <w:top w:w="0" w:type="dxa"/>
            <w:left w:w="0" w:type="dxa"/>
            <w:bottom w:w="0" w:type="dxa"/>
            <w:right w:w="0" w:type="dxa"/>
          </w:tblCellMar>
        </w:tblPrEx>
        <w:trPr>
          <w:trHeight w:val="31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b/>
                <w:bCs/>
                <w:i w:val="0"/>
                <w:color w:val="auto"/>
                <w:kern w:val="0"/>
                <w:sz w:val="20"/>
                <w:szCs w:val="20"/>
                <w:u w:val="none"/>
                <w:lang w:val="en-US" w:eastAsia="zh-CN" w:bidi="ar"/>
              </w:rPr>
              <w:t>报告厅全彩显示屏P2.5</w:t>
            </w:r>
          </w:p>
        </w:tc>
      </w:tr>
      <w:tr>
        <w:tblPrEx>
          <w:tblCellMar>
            <w:top w:w="0" w:type="dxa"/>
            <w:left w:w="0" w:type="dxa"/>
            <w:bottom w:w="0" w:type="dxa"/>
            <w:right w:w="0" w:type="dxa"/>
          </w:tblCellMar>
        </w:tblPrEx>
        <w:trPr>
          <w:trHeight w:val="144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硬件规格</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1）主屏体面积：6.34m（宽）*2.18m（高）=13.8㎡</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2）点间距：2.5mm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3）物理像素点：≥160000点/m2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4）像素构成：SMD表贴三合一</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5）灯珠颜色：黑灯，表面黑色雾化处理，表面不反光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模组尺寸:320*160*18mm</w:t>
            </w:r>
          </w:p>
        </w:tc>
      </w:tr>
      <w:tr>
        <w:tblPrEx>
          <w:tblCellMar>
            <w:top w:w="0" w:type="dxa"/>
            <w:left w:w="0" w:type="dxa"/>
            <w:bottom w:w="0" w:type="dxa"/>
            <w:right w:w="0" w:type="dxa"/>
          </w:tblCellMar>
        </w:tblPrEx>
        <w:trPr>
          <w:trHeight w:val="1459"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性能指标</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 xml:space="preserve">单元板：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像数点间距：2.5mm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像素密度：160000Dots/㎡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像素构成：1R1G1B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单元板分辨率：128*64=8192 Dots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尺寸(长*宽*厚) ：320mm*160mm*18mm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重量：0.45kg±0.01kg</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结构特点：灯驱合一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最大电流：6.94A±0.1A</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输入电压(直流) ：4.5V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驱动方式：1/32扫恒流驱动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单元板功率：≤24W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屏体：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亮度：≥600 cd/㎡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亮度均匀性：＞0.95</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屏幕水平视角：140±10度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屏幕垂直视角：130±10度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最佳视距：≥2. 5m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盲点率：小于万分之三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使用环境：多功能厅</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系统控制参数：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灰度等级：红、绿、蓝各12-14bits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显示颜色：43980亿种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换帖频率：≥60帧/秒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刷新频率：≥1920Hz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控制方式：计算机控制，逐点一一对应，视频同步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亮度调节：256 级手动/自动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输入信号：DVI/VGA，视频(多种制式)、RGBHV、复合视频信号、S-VIDEO、YpbPr(HDTV)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系统特性：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使用寿命： ≥10万小时 平均无故障时间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衰减率(工作3年) ： ≤15％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离散失控点 ：＜0.0003，出厂时为0 盲点率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工作温度范围： -20至40℃ 工作湿度范围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防护性能： 超温/过载/掉电/图像补偿/各种校正技术/过流/过压/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屏幕水平平整度：＜1mm/㎡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屏幕垂直平整度：＜1mm/㎡</w:t>
            </w:r>
          </w:p>
        </w:tc>
      </w:tr>
      <w:tr>
        <w:tblPrEx>
          <w:tblCellMar>
            <w:top w:w="0" w:type="dxa"/>
            <w:left w:w="0" w:type="dxa"/>
            <w:bottom w:w="0" w:type="dxa"/>
            <w:right w:w="0" w:type="dxa"/>
          </w:tblCellMar>
        </w:tblPrEx>
        <w:trPr>
          <w:trHeight w:val="1532"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控制系统及软件功能</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灵活的编排和发布节目，预览播放画面，监控节目及播放状态，定时远程开关机管理维护，定时或紧急插入发布节目或内容等，基于TCP/IP网络的控制管理和发布，含远程指令模块，实时网页接入模块等，支持各类多媒体节目及格式，不需要转换格式；</w:t>
            </w:r>
          </w:p>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灯点定位、行列识别、曝光自动控制、自动校正，LED单点自检、通讯检测、电源检测、温度监控等；</w:t>
            </w:r>
          </w:p>
        </w:tc>
      </w:tr>
      <w:tr>
        <w:tblPrEx>
          <w:tblCellMar>
            <w:top w:w="0" w:type="dxa"/>
            <w:left w:w="0" w:type="dxa"/>
            <w:bottom w:w="0" w:type="dxa"/>
            <w:right w:w="0" w:type="dxa"/>
          </w:tblCellMar>
        </w:tblPrEx>
        <w:trPr>
          <w:trHeight w:val="1628"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接收卡</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1、集成16 个标准HUB75 接口，免接HUB 板，支持16组、32组多种数据模式。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2、采用千兆网口,可以连接PC 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3、支持接收卡预存画面设置。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4、支持灯板Flash 管理。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5、支持温度、电压、网线通讯和视频源信号状态检测。</w:t>
            </w:r>
          </w:p>
        </w:tc>
      </w:tr>
      <w:tr>
        <w:tblPrEx>
          <w:tblCellMar>
            <w:top w:w="0" w:type="dxa"/>
            <w:left w:w="0" w:type="dxa"/>
            <w:bottom w:w="0" w:type="dxa"/>
            <w:right w:w="0" w:type="dxa"/>
          </w:tblCellMar>
        </w:tblPrEx>
        <w:trPr>
          <w:trHeight w:val="1208"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二合一LED视频控制器</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1、支持多达 5 路输入接口，包括 1 路 DVI，1 路 HDMI1.3，1 路 VGA，1 路 USB 播放，1 路 CVBS，选配 1 路 Android 子卡。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2、支持窗口位置、大小调整及窗口截取功能。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3、安装 Android 子卡后，Android 播放源模式下，支持使用鼠标进行控制，支持输入源一键切换。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4、支持外置独立音频，支持输入分辨率预设及自定义调节。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5、支持画面全屏缩放、点对点缩放、自定义缩放三种缩放模式，支持快捷点屏，简单操作即可完成屏体配置。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6、支持2个网口输出，最大带载 130 万像素，支持创建6个用户场景作为模板保存，可直接调用，方便使用。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7、支持连接控台设备。支持屏体参数调整，例如亮度、Gamma 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8、前面板直观的 OLED 显示界面，清晰的按键灯提示，简化了系统的控制操作。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9、安装 Android 子卡后，支持无线投屏，可投放手机或 Pad 画面。   </w:t>
            </w:r>
          </w:p>
        </w:tc>
      </w:tr>
      <w:tr>
        <w:tblPrEx>
          <w:tblCellMar>
            <w:top w:w="0" w:type="dxa"/>
            <w:left w:w="0" w:type="dxa"/>
            <w:bottom w:w="0" w:type="dxa"/>
            <w:right w:w="0" w:type="dxa"/>
          </w:tblCellMar>
        </w:tblPrEx>
        <w:trPr>
          <w:trHeight w:val="56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主控服务器</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color w:val="auto"/>
                <w:kern w:val="0"/>
                <w:sz w:val="20"/>
                <w:szCs w:val="20"/>
                <w:lang w:bidi="ar"/>
              </w:rPr>
              <w:t>I5 8G 256G独立显卡，DVI\HDMI\VGA</w:t>
            </w:r>
          </w:p>
        </w:tc>
      </w:tr>
      <w:tr>
        <w:tblPrEx>
          <w:tblCellMar>
            <w:top w:w="0" w:type="dxa"/>
            <w:left w:w="0" w:type="dxa"/>
            <w:bottom w:w="0" w:type="dxa"/>
            <w:right w:w="0" w:type="dxa"/>
          </w:tblCellMar>
        </w:tblPrEx>
        <w:trPr>
          <w:trHeight w:val="1200" w:hRule="atLeast"/>
          <w:jc w:val="center"/>
        </w:trPr>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多功能配电控制箱</w:t>
            </w:r>
          </w:p>
        </w:tc>
        <w:tc>
          <w:tcPr>
            <w:tcW w:w="4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20KW,具备过压、过流、欠压、缺相、短路、断路保护与报警功能,具备分步延时起动和分步延时断电的功能。通过智能PLC分步上电模块和远程电源管理软件,对配电柜控制，可实现玩程开关机功能，自带温度监测、烟雾侦测。</w:t>
            </w:r>
          </w:p>
        </w:tc>
      </w:tr>
    </w:tbl>
    <w:p>
      <w:pPr>
        <w:widowControl w:val="0"/>
        <w:jc w:val="both"/>
        <w:rPr>
          <w:rFonts w:eastAsia="宋体" w:cs="Times New Roman"/>
          <w:color w:val="auto"/>
          <w:kern w:val="2"/>
          <w:szCs w:val="24"/>
        </w:rPr>
      </w:pPr>
      <w:r>
        <w:rPr>
          <w:rFonts w:eastAsia="宋体" w:cs="Times New Roman"/>
          <w:color w:val="auto"/>
          <w:kern w:val="2"/>
          <w:szCs w:val="24"/>
        </w:rPr>
        <w:br w:type="textWrapping"/>
      </w:r>
    </w:p>
    <w:tbl>
      <w:tblPr>
        <w:tblStyle w:val="38"/>
        <w:tblW w:w="5585" w:type="pct"/>
        <w:jc w:val="center"/>
        <w:tblLayout w:type="autofit"/>
        <w:tblCellMar>
          <w:top w:w="0" w:type="dxa"/>
          <w:left w:w="0" w:type="dxa"/>
          <w:bottom w:w="0" w:type="dxa"/>
          <w:right w:w="0" w:type="dxa"/>
        </w:tblCellMar>
      </w:tblPr>
      <w:tblGrid>
        <w:gridCol w:w="1430"/>
        <w:gridCol w:w="7833"/>
      </w:tblGrid>
      <w:tr>
        <w:tblPrEx>
          <w:tblCellMar>
            <w:top w:w="0" w:type="dxa"/>
            <w:left w:w="0" w:type="dxa"/>
            <w:bottom w:w="0" w:type="dxa"/>
            <w:right w:w="0" w:type="dxa"/>
          </w:tblCellMar>
        </w:tblPrEx>
        <w:trPr>
          <w:trHeight w:val="426" w:hRule="atLeast"/>
          <w:jc w:val="center"/>
        </w:trPr>
        <w:tc>
          <w:tcPr>
            <w:tcW w:w="5000" w:type="pct"/>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0"/>
                <w:szCs w:val="20"/>
                <w:lang w:bidi="ar"/>
              </w:rPr>
              <w:t>校门口P10单红条形显示屏、报告厅P10条形显示屏</w:t>
            </w:r>
          </w:p>
        </w:tc>
      </w:tr>
      <w:tr>
        <w:tblPrEx>
          <w:tblCellMar>
            <w:top w:w="0" w:type="dxa"/>
            <w:left w:w="0" w:type="dxa"/>
            <w:bottom w:w="0" w:type="dxa"/>
            <w:right w:w="0" w:type="dxa"/>
          </w:tblCellMar>
        </w:tblPrEx>
        <w:trPr>
          <w:trHeight w:val="567" w:hRule="atLeast"/>
          <w:jc w:val="center"/>
        </w:trPr>
        <w:tc>
          <w:tcPr>
            <w:tcW w:w="7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户外表贴</w:t>
            </w:r>
          </w:p>
        </w:tc>
        <w:tc>
          <w:tcPr>
            <w:tcW w:w="422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1.像素间距:10mm；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.成像原理：LED主动发光；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.像素密度：10000 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val="en-US" w:eastAsia="zh-CN" w:bidi="ar"/>
              </w:rPr>
              <w:t>4</w:t>
            </w:r>
            <w:r>
              <w:rPr>
                <w:rFonts w:hint="eastAsia" w:ascii="宋体" w:hAnsi="宋体" w:eastAsia="宋体" w:cs="宋体"/>
                <w:color w:val="auto"/>
                <w:kern w:val="0"/>
                <w:sz w:val="20"/>
                <w:szCs w:val="20"/>
                <w:lang w:bidi="ar"/>
              </w:rPr>
              <w:t>.亮度：≥1600 cd/m²；</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.水平视角：≥120°，垂直视角：≥120°；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val="en-US" w:eastAsia="zh-CN" w:bidi="ar"/>
              </w:rPr>
              <w:t>6</w:t>
            </w:r>
            <w:r>
              <w:rPr>
                <w:rFonts w:hint="eastAsia" w:ascii="宋体" w:hAnsi="宋体" w:eastAsia="宋体" w:cs="宋体"/>
                <w:color w:val="auto"/>
                <w:kern w:val="0"/>
                <w:sz w:val="20"/>
                <w:szCs w:val="20"/>
                <w:lang w:bidi="ar"/>
              </w:rPr>
              <w:t>.平均功率：195W/㎡，最大功率：390 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val="en-US" w:eastAsia="zh-CN" w:bidi="ar"/>
              </w:rPr>
              <w:t>7</w:t>
            </w:r>
            <w:r>
              <w:rPr>
                <w:rFonts w:hint="eastAsia" w:ascii="宋体" w:hAnsi="宋体" w:eastAsia="宋体" w:cs="宋体"/>
                <w:color w:val="auto"/>
                <w:kern w:val="0"/>
                <w:sz w:val="20"/>
                <w:szCs w:val="20"/>
                <w:lang w:bidi="ar"/>
              </w:rPr>
              <w:t>.扫描方式:1/4扫描；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val="en-US" w:eastAsia="zh-CN" w:bidi="ar"/>
              </w:rPr>
              <w:t>8</w:t>
            </w:r>
            <w:r>
              <w:rPr>
                <w:rFonts w:hint="eastAsia" w:ascii="宋体" w:hAnsi="宋体" w:eastAsia="宋体" w:cs="宋体"/>
                <w:color w:val="auto"/>
                <w:kern w:val="0"/>
                <w:sz w:val="20"/>
                <w:szCs w:val="20"/>
                <w:lang w:bidi="ar"/>
              </w:rPr>
              <w:t>.工作环境温度：-40℃至+80℃；</w:t>
            </w:r>
          </w:p>
        </w:tc>
      </w:tr>
      <w:tr>
        <w:tblPrEx>
          <w:tblCellMar>
            <w:top w:w="0" w:type="dxa"/>
            <w:left w:w="0" w:type="dxa"/>
            <w:bottom w:w="0" w:type="dxa"/>
            <w:right w:w="0" w:type="dxa"/>
          </w:tblCellMar>
        </w:tblPrEx>
        <w:trPr>
          <w:trHeight w:val="567" w:hRule="atLeast"/>
          <w:jc w:val="center"/>
        </w:trPr>
        <w:tc>
          <w:tcPr>
            <w:tcW w:w="77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控制卡</w:t>
            </w:r>
          </w:p>
        </w:tc>
        <w:tc>
          <w:tcPr>
            <w:tcW w:w="422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无线WIFI系列</w:t>
            </w:r>
          </w:p>
        </w:tc>
      </w:tr>
    </w:tbl>
    <w:p>
      <w:pPr>
        <w:widowControl w:val="0"/>
        <w:jc w:val="center"/>
        <w:rPr>
          <w:rFonts w:hint="eastAsia" w:eastAsia="宋体" w:cs="Times New Roman"/>
          <w:b/>
          <w:bCs/>
          <w:color w:val="auto"/>
          <w:kern w:val="2"/>
          <w:sz w:val="28"/>
          <w:szCs w:val="28"/>
        </w:rPr>
      </w:pPr>
    </w:p>
    <w:p>
      <w:pPr>
        <w:widowControl w:val="0"/>
        <w:jc w:val="center"/>
        <w:rPr>
          <w:rFonts w:hint="eastAsia" w:eastAsia="宋体" w:cs="Times New Roman"/>
          <w:b/>
          <w:bCs/>
          <w:color w:val="auto"/>
          <w:kern w:val="2"/>
          <w:sz w:val="28"/>
          <w:szCs w:val="28"/>
        </w:rPr>
      </w:pPr>
      <w:r>
        <w:rPr>
          <w:rFonts w:hint="eastAsia" w:eastAsia="宋体" w:cs="Times New Roman"/>
          <w:b/>
          <w:bCs/>
          <w:color w:val="auto"/>
          <w:kern w:val="2"/>
          <w:sz w:val="28"/>
          <w:szCs w:val="28"/>
        </w:rPr>
        <w:t>八、多媒体会议系统</w:t>
      </w:r>
    </w:p>
    <w:tbl>
      <w:tblPr>
        <w:tblStyle w:val="38"/>
        <w:tblW w:w="9273" w:type="dxa"/>
        <w:jc w:val="center"/>
        <w:tblLayout w:type="autofit"/>
        <w:tblCellMar>
          <w:top w:w="0" w:type="dxa"/>
          <w:left w:w="0" w:type="dxa"/>
          <w:bottom w:w="0" w:type="dxa"/>
          <w:right w:w="0" w:type="dxa"/>
        </w:tblCellMar>
      </w:tblPr>
      <w:tblGrid>
        <w:gridCol w:w="1440"/>
        <w:gridCol w:w="7833"/>
      </w:tblGrid>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设备名称</w:t>
            </w:r>
          </w:p>
        </w:tc>
        <w:tc>
          <w:tcPr>
            <w:tcW w:w="7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参数</w:t>
            </w:r>
          </w:p>
        </w:tc>
      </w:tr>
      <w:tr>
        <w:tblPrEx>
          <w:tblCellMar>
            <w:top w:w="0" w:type="dxa"/>
            <w:left w:w="0" w:type="dxa"/>
            <w:bottom w:w="0" w:type="dxa"/>
            <w:right w:w="0" w:type="dxa"/>
          </w:tblCellMar>
        </w:tblPrEx>
        <w:trPr>
          <w:trHeight w:val="285"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1、380人报告厅</w:t>
            </w:r>
          </w:p>
        </w:tc>
      </w:tr>
      <w:tr>
        <w:tblPrEx>
          <w:tblCellMar>
            <w:top w:w="0" w:type="dxa"/>
            <w:left w:w="0" w:type="dxa"/>
            <w:bottom w:w="0" w:type="dxa"/>
            <w:right w:w="0" w:type="dxa"/>
          </w:tblCellMar>
        </w:tblPrEx>
        <w:trPr>
          <w:trHeight w:val="285"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矩阵切换系统</w:t>
            </w:r>
          </w:p>
        </w:tc>
      </w:tr>
      <w:tr>
        <w:tblPrEx>
          <w:tblCellMar>
            <w:top w:w="0" w:type="dxa"/>
            <w:left w:w="0" w:type="dxa"/>
            <w:bottom w:w="0" w:type="dxa"/>
            <w:right w:w="0" w:type="dxa"/>
          </w:tblCellMar>
        </w:tblPrEx>
        <w:trPr>
          <w:trHeight w:val="4259"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无缝高清矩阵切换器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1、矩阵采用纯硬件标准化机箱设计，支持配置16×16路信号切换，支持HDMI、DVI、VGA、SDI、HDBaseT、光纤的任意输入/输出信号卡，其中DVI输入卡兼容CVBS，YUV,S-VIDEO信号，VGA输入/输出卡均兼容CVBS，YUV,S-VIDEO。</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板卡模块化设计，支持接入4块输入卡、4块输出卡、1块控制卡；通过定制配置各类相同或不同的输入输出卡可以组成单一接口类型或多接口类型的矩阵，如HDMI矩阵，DVI矩阵，VGA矩阵，YUV矩阵，Video矩阵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3、支持1080P分辨率，最大可支持4Kx2K。支持断电记忆功能，免除上电重复设置动作。支持智能温控，控制矩阵风扇的运行；系统内可存储多组预切换指令，调用时可以一键切换。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4、支持模拟音频与HDMI内嵌音频选择输入、支持模拟音频与HDMI内嵌音频同时输出。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5、支持接入1块控制板卡，具有1路RS-232、1路RS-485、1路TCP/IP端口（PC软件）。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6、HDBaseT输入输出信号支持双向 RS-232 和双向 IR 信号传输，可对RS-232和IR 信号选择随视频信号切换，或分离切换模式，支持POC对外供电。</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7、支持KVM坐席管理功能，通过一套键盘鼠标显示器切换、管理多台计算机设备。</w:t>
            </w:r>
          </w:p>
        </w:tc>
      </w:tr>
      <w:tr>
        <w:tblPrEx>
          <w:tblCellMar>
            <w:top w:w="0" w:type="dxa"/>
            <w:left w:w="0" w:type="dxa"/>
            <w:bottom w:w="0" w:type="dxa"/>
            <w:right w:w="0" w:type="dxa"/>
          </w:tblCellMar>
        </w:tblPrEx>
        <w:trPr>
          <w:trHeight w:val="96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嵌入式控制面板</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1.支持由矩阵主机远程供电，无需配独立适配器。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2.支持编程图片、图形、文字、按键等更具人性化的界面。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3.面板显示屏尺寸为3.5英寸，TFT液晶屏。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4.分辨率支持320*240。</w:t>
            </w:r>
          </w:p>
        </w:tc>
      </w:tr>
      <w:tr>
        <w:tblPrEx>
          <w:tblCellMar>
            <w:top w:w="0" w:type="dxa"/>
            <w:left w:w="0" w:type="dxa"/>
            <w:bottom w:w="0" w:type="dxa"/>
            <w:right w:w="0" w:type="dxa"/>
          </w:tblCellMar>
        </w:tblPrEx>
        <w:trPr>
          <w:trHeight w:val="96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HDMI无缝高清输入卡</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1.支持4路HDMI-A母接口和3.5mm音频座，支持模拟音频与HDMI内嵌音频选择输入；支持热插拔。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2.支持快速无缝切换，无闪烁，无黑屏。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3.支持断电现场切换记忆保护功能，特有ESD静电保护功能。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4.兼容HDMI1.3a的标准，HDCP1.3协议，DVI1.0协议。最大支持分辨率：1920X1200P@60。</w:t>
            </w:r>
          </w:p>
        </w:tc>
      </w:tr>
      <w:tr>
        <w:tblPrEx>
          <w:tblCellMar>
            <w:top w:w="0" w:type="dxa"/>
            <w:left w:w="0" w:type="dxa"/>
            <w:bottom w:w="0" w:type="dxa"/>
            <w:right w:w="0" w:type="dxa"/>
          </w:tblCellMar>
        </w:tblPrEx>
        <w:trPr>
          <w:trHeight w:val="12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HDBaseT无缝高清输入卡</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1.支持4路高速RJ45接口输入，兼容HDBaseT协议，支持热插拔，支持红外串口透传。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2.支持快速无缝切换（优点），无闪烁，无黑屏。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3.支持断电现场切换记忆保护功能，特有ESD静电保护功能。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4.支持KVM坐席管理，通过一套键盘鼠标显示器切换、管理多台计算机设备。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5.采用CAT5e/6线材输入最长距离达100M，输入支持分辨率1920x1200P@60。</w:t>
            </w:r>
          </w:p>
        </w:tc>
      </w:tr>
      <w:tr>
        <w:tblPrEx>
          <w:tblCellMar>
            <w:top w:w="0" w:type="dxa"/>
            <w:left w:w="0" w:type="dxa"/>
            <w:bottom w:w="0" w:type="dxa"/>
            <w:right w:w="0" w:type="dxa"/>
          </w:tblCellMar>
        </w:tblPrEx>
        <w:trPr>
          <w:trHeight w:val="96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HDMI无缝高清输出卡</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1.支持4路HDMI-A母接口和3.5mm音频座，支持模拟音频与HDMI内嵌音频同时输出。支持热插拔。</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2.支持快速无缝切换，无闪烁，无黑屏。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3.支持断电现场切换记忆保护功能，特有ESD静电保护功能。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4.兼容HDMI1.3a的标准，HDCP1.3协议，DVI1.0协议。支持倍线功能，最高分辨率支持1080P。</w:t>
            </w:r>
          </w:p>
        </w:tc>
      </w:tr>
      <w:tr>
        <w:tblPrEx>
          <w:tblCellMar>
            <w:top w:w="0" w:type="dxa"/>
            <w:left w:w="0" w:type="dxa"/>
            <w:bottom w:w="0" w:type="dxa"/>
            <w:right w:w="0" w:type="dxa"/>
          </w:tblCellMar>
        </w:tblPrEx>
        <w:trPr>
          <w:trHeight w:val="19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高清信号发送器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1.支持先进的HDBaseT传输技术，10.2Gbps传输速率，信号无压缩、无损耗、无延时。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2.支持HDMI 1.4标准（兼容DVI 1.0）和HDCP 1.4标准。支持3840x2160@30Hz的分辨率。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3.支持HDMI和DVI视频接口，可自由选择切换。支持HDMI监视输出口；支持画中画预览功能。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4.HDMI线可支持20米，传输距离远，网线长度可达150米。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5.支持将音频数据嵌入视频数据，音视频信号同步传输。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6.支持红外信号的双向透传功能，并且支持38KHz载波调制。支持RS232串口数据的双向透传功能，波特率可高达600000bps。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7.支持EDID学习和记忆功能。</w:t>
            </w:r>
          </w:p>
        </w:tc>
      </w:tr>
      <w:tr>
        <w:tblPrEx>
          <w:tblCellMar>
            <w:top w:w="0" w:type="dxa"/>
            <w:left w:w="0" w:type="dxa"/>
            <w:bottom w:w="0" w:type="dxa"/>
            <w:right w:w="0" w:type="dxa"/>
          </w:tblCellMar>
        </w:tblPrEx>
        <w:trPr>
          <w:trHeight w:val="19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高清信号接收器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1.支持先进的HDBaseT传输技术，10.2Gbps传输速率，信号无压缩、无损耗、无延时。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2.支持HDMI 1.4标准（兼容DVI 1.0）和HDCP 1.4标准，支持3840x2160@30Hz的分辨率。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3.支持HDMI和DVI视频接口，支持两路视频同时输出，支持HDMI备用输入口。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4.HDMI线可支持20米，传输距离远，网线长度可达150米。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5.支持从视频中实时提取音频数据，同步输出。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6.支持红外信号的双向透传功能，并且支持38KHz载波调制。支持RS232串口数据的双向透传功能，波特率可高达600000bps。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7.支持EDID学习和记忆功能。</w:t>
            </w:r>
          </w:p>
        </w:tc>
      </w:tr>
      <w:tr>
        <w:tblPrEx>
          <w:tblCellMar>
            <w:top w:w="0" w:type="dxa"/>
            <w:left w:w="0" w:type="dxa"/>
            <w:bottom w:w="0" w:type="dxa"/>
            <w:right w:w="0" w:type="dxa"/>
          </w:tblCellMar>
        </w:tblPrEx>
        <w:trPr>
          <w:trHeight w:val="285"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会议系统</w:t>
            </w:r>
          </w:p>
        </w:tc>
      </w:tr>
      <w:tr>
        <w:tblPrEx>
          <w:tblCellMar>
            <w:top w:w="0" w:type="dxa"/>
            <w:left w:w="0" w:type="dxa"/>
            <w:bottom w:w="0" w:type="dxa"/>
            <w:right w:w="0" w:type="dxa"/>
          </w:tblCellMar>
        </w:tblPrEx>
        <w:trPr>
          <w:trHeight w:val="1571"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YH会议系统主机</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YH会议系统主机采用5GHz的通信频段，拥有更强的抗干扰能力，提供更大的带宽和传输速度，并不受移动电话和其他蓝牙设备干扰，确保实现最佳的信号接收。采用128位AES加密技术，支持WPA/WPA2无线安全技术，防止窃听和非授权访问，提供更高的会议系统机密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2、内置高性能双CPU处理器，支持8KHz至96KHz范围内的采样速率，并支持数字音量控制。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WiFi会议系统和全数字会议系统同时使用（有线会议单元和WiFi会议单元同时使用）。具有一键关机所有无线单元功能。具有1路USB接口，支持插入U盘设备进行录音功能，支持播放背景音乐功能。具有≥两路功放输出接口，可接驳两个定阻音箱。</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5、遵循规范：IEC60914，兼容GBT15381-94标准；支持同声传译功能，支持四种话筒管理模式：FIFO/NORMAL/VOICE(声控)/APPLY。具有1路EXTENSION 口，可用于连接扩展主机。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7、PC软件端可查看无线单元的电池电量、WiFi信号等信息状态。具有一键关机所有无线单元功能。支持中英文语言界面切换。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8、具有丰富的会议应用功能，支持投票表决功能、会议签到功能、5段EQ调节功能、广播短消息、茶水申请服务等，支持会议信息导出，满足日常会议应用所需。</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9、频率响应范围20Hz~20KHz，总谐波失真&lt;0.05%，信噪比&gt;85dB(A)，动态范围&gt;80dB。</w:t>
            </w:r>
          </w:p>
        </w:tc>
      </w:tr>
      <w:tr>
        <w:tblPrEx>
          <w:tblCellMar>
            <w:top w:w="0" w:type="dxa"/>
            <w:left w:w="0" w:type="dxa"/>
            <w:bottom w:w="0" w:type="dxa"/>
            <w:right w:w="0" w:type="dxa"/>
          </w:tblCellMar>
        </w:tblPrEx>
        <w:trPr>
          <w:trHeight w:val="4261"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会议主席单元</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1.麦克风类型：心型指向性驻极体；高于CD 的音质,清晰明亮，内部具有DSP 音频处理，没有“噗噗”的低频冲击声；内置高保真扬声器，并具有音量调节，具有抑制啸叫功能，当话筒打开时，内置的扬声器会自动关闭。</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2.采用100M网络传输，实现手拉手级联，长距离输对音质不会有任何影响；采用电容触摸按键，可有效杜绝按键敲击声，保障会场环境良好，支持触摸按键签到功能。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3.遵循规范：IEC60914，采用心型指向性驻极体麦克风。</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4.代表单元具有计时发言功能；代表机具有申请发言功能，可通过带屏或带“3”号键的主席单元同意申请，或者通过PC软件同意；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5.具有3.5mm 立体声输出插座，可做录音及连接耳机用。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6.支持声控功能，在声控模式下，代表单元可声控打开话筒且声控灵敏度可调节，代表话筒打开后，连续30秒（默认，此时间可设置）不说话则自动关闭话筒。</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7.具有5段EQ调节功能，后台软件可针对发言者的声音特点调节不同的音效，可达到完美的效果。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8.席单元具备优先权功能，可关闭正在发言的所有代表话筒</w:t>
            </w:r>
          </w:p>
        </w:tc>
      </w:tr>
      <w:tr>
        <w:tblPrEx>
          <w:tblCellMar>
            <w:top w:w="0" w:type="dxa"/>
            <w:left w:w="0" w:type="dxa"/>
            <w:bottom w:w="0" w:type="dxa"/>
            <w:right w:w="0" w:type="dxa"/>
          </w:tblCellMar>
        </w:tblPrEx>
        <w:trPr>
          <w:trHeight w:val="31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会议代表单元</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1.麦克风类型：心型指向性驻极体；高于CD 的音质,清晰明亮，内部具有DSP 音频处理，没有“噗噗”的低频冲击声；内置高保真扬声器，并具有音量调节，具有抑制啸叫功能，当话筒打开时，内置的扬声器会自动关闭。</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2.采用100M网络传输，实现手拉手级联，长距离输对音质不会有任何影响；采用电容触摸按键，可有效杜绝按键敲击声，保障会场环境良好，支持触摸按键签到功能。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3.遵循规范：IEC60914，采用心型指向性驻极体麦克风。</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4.代表单元具有计时发言功能；代表机具有申请发言功能，可通过带屏或带“3”号键的主席单元同意申请，或者通过PC软件同意；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5.具有3.5mm 立体声输出插座，可做录音及连接耳机用。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6.支持声控功能，在声控模式下，代表单元可声控打开话筒且声控灵敏度可调节，代表话筒打开后，连续30秒（默认，此时间可设置）不说话则自动关闭话筒。</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7.具有5段EQ调节功能，后台软件可针对发言者的声音特点调节不同的音效，可达到完美的效果。</w:t>
            </w:r>
          </w:p>
        </w:tc>
      </w:tr>
      <w:tr>
        <w:tblPrEx>
          <w:tblCellMar>
            <w:top w:w="0" w:type="dxa"/>
            <w:left w:w="0" w:type="dxa"/>
            <w:bottom w:w="0" w:type="dxa"/>
            <w:right w:w="0" w:type="dxa"/>
          </w:tblCellMar>
        </w:tblPrEx>
        <w:trPr>
          <w:trHeight w:val="14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抑制器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1.采用96KHz采样频率，32-bit DSP处理器，24-bitA/D及D/A转换，支持数字信号输入输出通道提供coaxial，AES及光纤接口。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2.支持144 x 32的LCD显示屏显示参数功能，提供4段LED显示输出电平；每通道24个LED灯显示啸叫抑制状态数量；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3.每通道支持压缩、限幅、噪声门、功能设置，可切换工作模式为直通或反馈抑制；可任意编辑固定和动态反馈点数量，可一键清除啸叫点；单机可存储30组用户程序。</w:t>
            </w:r>
          </w:p>
        </w:tc>
      </w:tr>
      <w:tr>
        <w:tblPrEx>
          <w:tblCellMar>
            <w:top w:w="0" w:type="dxa"/>
            <w:left w:w="0" w:type="dxa"/>
            <w:bottom w:w="0" w:type="dxa"/>
            <w:right w:w="0" w:type="dxa"/>
          </w:tblCellMar>
        </w:tblPrEx>
        <w:trPr>
          <w:trHeight w:val="285" w:hRule="atLeast"/>
          <w:jc w:val="center"/>
        </w:trPr>
        <w:tc>
          <w:tcPr>
            <w:tcW w:w="9273"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专业扩声系统</w:t>
            </w:r>
          </w:p>
        </w:tc>
      </w:tr>
      <w:tr>
        <w:tblPrEx>
          <w:tblCellMar>
            <w:top w:w="0" w:type="dxa"/>
            <w:left w:w="0" w:type="dxa"/>
            <w:bottom w:w="0" w:type="dxa"/>
            <w:right w:w="0" w:type="dxa"/>
          </w:tblCellMar>
        </w:tblPrEx>
        <w:trPr>
          <w:trHeight w:val="19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线阵音箱</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1.箱体采用进口桦木制作、耐磨喷漆处理；由二个8寸（200mm）的高配置钕磁低频驱动器以及一个75mm钕磁高频驱动器组成。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2.采用吊装组合线阵设计，允许0-14度范围调整音箱覆盖区域；具备组合紧凑、轻便、工程组装简便快捷等优点。专业吊挂件组合，简易快捷的吊挂方式，易于音响工程装配。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3.功率≥600W；标称阻抗：8Ω。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4.频率范围：60Hz-20KHz，灵敏度≥103dB (1M/1W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5.低频扬声器：8"*2，高频扬声器：77mm（3"）压缩驱动器*1，水平覆盖角(-6dB)≥110°；垂直覆盖角(-6dB)≥随线阵尺寸和倾斜角度而变化。</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线阵音箱</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1.音箱类型为超低频音箱，低频扬声器：18"*1。</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2.功率≥600W、标称阻抗：8Ω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3.频率范围：40Hz-1KHz，灵敏度≥101dB(1M/1W)。</w:t>
            </w:r>
          </w:p>
        </w:tc>
      </w:tr>
      <w:tr>
        <w:tblPrEx>
          <w:tblCellMar>
            <w:top w:w="0" w:type="dxa"/>
            <w:left w:w="0" w:type="dxa"/>
            <w:bottom w:w="0" w:type="dxa"/>
            <w:right w:w="0" w:type="dxa"/>
          </w:tblCellMar>
        </w:tblPrEx>
        <w:trPr>
          <w:trHeight w:val="3683"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专业功放</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1.工业造型铝面板，专业设计坚固面耐用，面板防尘网可折洗结构设计。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2.开机软启动，防止开机时向电网吸收大电流，干扰其它用电设备。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3.智能控制强制散热设计，连接座：XLR 、TRS接口。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4.内置智能压限系统，控制功率模块及扬声器系统在安全范围内工作。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5.输出功率（20Hz-20KHz/THD≤1％）：立体声/并联8Ω×2：900W×2，立体声/并联4Ω×2：1350W×2，立体声/并联2Ω×2：2000W×2，桥接8Ω：2600W，桥接4Ω：4000W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6.多种模式：立体声、桥接、并行。</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7.充沛储备功率，可以带2R低阻输出，高保真的音质完美还原音源品质，可让演员发挥淋漓尽致。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8.高品质变压器和低阻大容量电解滤波，保证大动态工作应付自如。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9.H类高效的功率放大电路，完善可靠的安全保护措施和工作状态指示（短路、过载、直流和过热保护、变压器过热保护），让用户放心使用。</w:t>
            </w:r>
          </w:p>
        </w:tc>
      </w:tr>
      <w:tr>
        <w:tblPrEx>
          <w:tblCellMar>
            <w:top w:w="0" w:type="dxa"/>
            <w:left w:w="0" w:type="dxa"/>
            <w:bottom w:w="0" w:type="dxa"/>
            <w:right w:w="0" w:type="dxa"/>
          </w:tblCellMar>
        </w:tblPrEx>
        <w:trPr>
          <w:trHeight w:val="14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专业音箱</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1．阻抗：8Ω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2．频响：40Hz-20KHz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3．额定功率：500W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4．灵敏度：100dB/W/M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5．覆盖角度：(H)90°(V)80°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6．高音：1.7"压缩高音单元×1；低音：15"低音×1</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支架</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1.固定面板尺寸（长*宽）:240mm*130mm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2.臂杆长度:440mm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3.箱体固定杆长度:165mm</w:t>
            </w:r>
          </w:p>
        </w:tc>
      </w:tr>
      <w:tr>
        <w:tblPrEx>
          <w:tblCellMar>
            <w:top w:w="0" w:type="dxa"/>
            <w:left w:w="0" w:type="dxa"/>
            <w:bottom w:w="0" w:type="dxa"/>
            <w:right w:w="0" w:type="dxa"/>
          </w:tblCellMar>
        </w:tblPrEx>
        <w:trPr>
          <w:trHeight w:val="19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专业功放</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2.采用智能控制强制散热设计，具有风机噪音小，散热效率高等特点；具有完善可靠的安全保护措施和工作状态指示（短路、过载、直流和过热保护，变压器过热保护），让用户放心使用。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3.输出功率:立体声/并联8Ω:700W*2.立体声/并联4Ω:1050W*2.桥接8Ω:2100W。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4.采用标准XLR+TRS1/4” 复合多功能输入接口，更加方便不同用户需求。智能削峰限幅器，控制功率模块及扬声器系统在安全范围内工作。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5.信噪比≥95dB、频响:20Hz-20KHz(+0dB/-2dB)；分离度≥80dB、失真度≤0.05%。</w:t>
            </w:r>
          </w:p>
        </w:tc>
      </w:tr>
      <w:tr>
        <w:tblPrEx>
          <w:tblCellMar>
            <w:top w:w="0" w:type="dxa"/>
            <w:left w:w="0" w:type="dxa"/>
            <w:bottom w:w="0" w:type="dxa"/>
            <w:right w:w="0" w:type="dxa"/>
          </w:tblCellMar>
        </w:tblPrEx>
        <w:trPr>
          <w:trHeight w:val="14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专业音箱</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1．阻抗：8Ω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2．频响：45Hz-20KHz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3．额定功率：300W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4．灵敏度：98dB/W/M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5．覆盖角度：(H)90°(V)80°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6．高音：1.7"压缩高音单元×1；低音：10"低音×1</w:t>
            </w:r>
          </w:p>
        </w:tc>
      </w:tr>
      <w:tr>
        <w:tblPrEx>
          <w:tblCellMar>
            <w:top w:w="0" w:type="dxa"/>
            <w:left w:w="0" w:type="dxa"/>
            <w:bottom w:w="0" w:type="dxa"/>
            <w:right w:w="0" w:type="dxa"/>
          </w:tblCellMar>
        </w:tblPrEx>
        <w:trPr>
          <w:trHeight w:val="19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专业功放</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2.采用智能控制强制散热设计，具有风机噪音小，散热效率高等特点；具有完善可靠的安全保护措施和工作状态指示（短路、过载、直流和过热保护，变压器过热保护），让用户放心使用。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3.输出功率:立体声/并联8Ω:500W*2.立体声/并联4Ω:730W*2.桥接8Ω:1460W。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4.采用标准XLR+TRS1/4” 复合多功能输入接口，更加方便不同用户需求。智能削峰限幅器，控制功率模块及扬声器系统在安全范围内工作。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5.信噪比≥95dB、频响:20Hz-20KHz(+0dB/-2dB)；分离度≥80dB、失真度≤0.05%。</w:t>
            </w:r>
          </w:p>
        </w:tc>
      </w:tr>
      <w:tr>
        <w:tblPrEx>
          <w:tblCellMar>
            <w:top w:w="0" w:type="dxa"/>
            <w:left w:w="0" w:type="dxa"/>
            <w:bottom w:w="0" w:type="dxa"/>
            <w:right w:w="0" w:type="dxa"/>
          </w:tblCellMar>
        </w:tblPrEx>
        <w:trPr>
          <w:trHeight w:val="14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专业音箱</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1.阻抗：8Ω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2.频响：50Hz-20KHz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3.额定功率：400W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4.灵敏度：99dB/W/M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5.覆盖角度：(H)80°(V)60°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6.高音：1.7"压缩高音单元×1；低音：12"低音×1</w:t>
            </w:r>
          </w:p>
        </w:tc>
      </w:tr>
      <w:tr>
        <w:tblPrEx>
          <w:tblCellMar>
            <w:top w:w="0" w:type="dxa"/>
            <w:left w:w="0" w:type="dxa"/>
            <w:bottom w:w="0" w:type="dxa"/>
            <w:right w:w="0" w:type="dxa"/>
          </w:tblCellMar>
        </w:tblPrEx>
        <w:trPr>
          <w:trHeight w:val="47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专业功放</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1.两声道功放有三档输入灵敏度选择（支持0.775V/1V/1.44V），可轻松接纳宽幅度范围信号源输入。输入座接地脚接地和悬浮控制。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2.采用智能控制强制散热设计，具有风机噪音小，散热效率高等特点；具有完善可靠的安全保护措施和工作状态指示（短路、过载、直流和过热保护，变压器过热保护），让用户放心使用。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3.输出功率:立体声/并联8Ω:700W*2.立体声/并联4Ω:1050W*2.桥接8Ω:2100W。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4.采用标准XLR+TRS1/4” 复合多功能输入接口，更加方便不同用户需求。智能削峰限幅器，控制功率模块及扬声器系统在安全范围内工作。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5.信噪比≥95dB、频响:20Hz-20KHz(+0dB/-2dB)；分离度≥80dB、失真度≤0.05%。</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均衡器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1.采用专业级31段立体声图形均衡器，输入/输出通道≥2路，接口类型支持XLR 和 TRS。</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2.频率范围：20Hz-20KHz (±0.5dB)，10-40KHz(+0/-3dB)，总谐波失真和噪音≤0.008%，信噪比≥96dB</w:t>
            </w:r>
          </w:p>
        </w:tc>
      </w:tr>
      <w:tr>
        <w:tblPrEx>
          <w:tblCellMar>
            <w:top w:w="0" w:type="dxa"/>
            <w:left w:w="0" w:type="dxa"/>
            <w:bottom w:w="0" w:type="dxa"/>
            <w:right w:w="0" w:type="dxa"/>
          </w:tblCellMar>
        </w:tblPrEx>
        <w:trPr>
          <w:trHeight w:val="12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专业音箱</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1．阻抗：4Ω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2．频响：40Hz-2KHz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3．额定功率：1200W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4．灵敏度：101dB/W/M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5．低音：18"低音×2</w:t>
            </w:r>
          </w:p>
        </w:tc>
      </w:tr>
      <w:tr>
        <w:tblPrEx>
          <w:tblCellMar>
            <w:top w:w="0" w:type="dxa"/>
            <w:left w:w="0" w:type="dxa"/>
            <w:bottom w:w="0" w:type="dxa"/>
            <w:right w:w="0" w:type="dxa"/>
          </w:tblCellMar>
        </w:tblPrEx>
        <w:trPr>
          <w:trHeight w:val="168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专业功放</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1.设备支持开机软启动，支持高品质变压器和低阻大容量电解滤波，内置30Hz/50Hz高通滤波器；支持智能控制强制散热设计，内置智能压限系统。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2.支持立体声或桥接、并行工作模式，输出功率支持立体声/并联8Ω×2:1200W×2.立体声/并联4Ω×2:1800W×2.立体声/并联2Ω×2:2700W×2.桥接8Ω:3600W、桥接4Ω:5400W。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3.采用XLR/TRS接口输入接口，支持过流保护、直流保护、短路保护等功能，具有电源 、保护、失真指示灯。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4.信噪比≥100dB、频响:20Hz-20KHz；分离度≥80dB、失真度≤0.05%。</w:t>
            </w:r>
          </w:p>
        </w:tc>
      </w:tr>
      <w:tr>
        <w:tblPrEx>
          <w:tblCellMar>
            <w:top w:w="0" w:type="dxa"/>
            <w:left w:w="0" w:type="dxa"/>
            <w:bottom w:w="0" w:type="dxa"/>
            <w:right w:w="0" w:type="dxa"/>
          </w:tblCellMar>
        </w:tblPrEx>
        <w:trPr>
          <w:trHeight w:val="36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音频处理器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1.数字音频处理器支持≥16路平衡式话筒/线路输入通道，采用裸线接口端子，平衡接法；支持≥16路平衡式线路输出，采用裸线接口端子，平衡接法。</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3.输出通道支持31段参量均衡器、延时器、分频器、高低通滤波器、限幅器。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4.支持24bit/48KHz卓越的高品质声音，支持输入通道48V幻像供电，频率响应：20Hz-20KHz，总谐波失真＜0.002% @1KHz ,4dBu，数/模动态范围(A-计权)：120dB；最大输出电平≥+24dBu，最大输入电平≥+24dBu。</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5.支持通过ipad或iPhone或安卓手机APP软件进行操作控制、切换8个不同场景。面板具备USB接口，支持多媒体存储，可进行播放或存储录播。</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6.配置双向RS-232接口，可用于控制外部设备；配置RS-485接口，可实现自动摄像跟踪功能。配置8通道可编程GPIO控制接口（可自定义输入输出）。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7.支持断电自动保护记忆功能。支持通道拷贝、粘贴、联控功能。支持通过浏览器访问设备，下载自带管理控制软件；软件界面直观、图形化，可工作在XP/Windows7.8.10等系统环境下。</w:t>
            </w:r>
          </w:p>
        </w:tc>
      </w:tr>
      <w:tr>
        <w:tblPrEx>
          <w:tblCellMar>
            <w:top w:w="0" w:type="dxa"/>
            <w:left w:w="0" w:type="dxa"/>
            <w:bottom w:w="0" w:type="dxa"/>
            <w:right w:w="0" w:type="dxa"/>
          </w:tblCellMar>
        </w:tblPrEx>
        <w:trPr>
          <w:trHeight w:val="768"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调音台</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1.支持≥16路MIC和LINE联合输入接口，支持≥4路立体声单插接口，话筒输入接口带48V幻象电源。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2.支持≥2组立体主输出、≥4路编组输出、≥4路辅助输出、≥1组立体监听输出、≥2个耳机监听输出、≥8路断点插入。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3.采用32-bit浮点 DSP处理器，24bit/48KHz数模/模数转换。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4.支持1个7英寸IPS触屏，分辨率达1024×600；具备1个100mm行程的高精密电动推子；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5.输入通道支持4段参数均衡，输出通道支持31段图示均衡。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6.支持2个USB接口，支持立体声录音/播放/系统更新。）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7.支持1路网络接口，支持固件更新或可用于连接ipad进行远程管控。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8.支持场景记忆功能，可保存、调用24个场景。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9.频率回应直接输出：20Hz~20KHz at 0dBu±1.5dB；失真度：&lt;0.01% at 0dBu±1.5dB；信噪比：104dB；最大输入电平：+22dB；线性输入增益：-15dBu~+35dB；均衡器：21Hz-19.2KHz +/-24dB。</w:t>
            </w:r>
          </w:p>
        </w:tc>
      </w:tr>
      <w:tr>
        <w:tblPrEx>
          <w:tblCellMar>
            <w:top w:w="0" w:type="dxa"/>
            <w:left w:w="0" w:type="dxa"/>
            <w:bottom w:w="0" w:type="dxa"/>
            <w:right w:w="0" w:type="dxa"/>
          </w:tblCellMar>
        </w:tblPrEx>
        <w:trPr>
          <w:trHeight w:val="288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无线话筒</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3.平衡和非平衡两种选择输出端口，适应不同的设备连接需求。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4.频率指标:640-830MHz，调制方式:宽带FM，提供各200个可调频率，共500个信道选择，真正分集式接收,有效避免断频现象和延长接收距离。工作距离约100m；中频丰富，声音具有磁性感和混厚感。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5.接收机指标：采用二次变频超外差的接收机方式，灵敏度: 12dB μV（80dBS/N)，灵敏度调节范围:12-32dB μV，频率响应:80Hz-18KHz（±3dB）。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6.系统包括有一台主机+两个无线手持话筒；发射机指标：音头采用动圈式麦克风，输出功率:3mW~30mW。</w:t>
            </w:r>
          </w:p>
        </w:tc>
      </w:tr>
      <w:tr>
        <w:tblPrEx>
          <w:tblCellMar>
            <w:top w:w="0" w:type="dxa"/>
            <w:left w:w="0" w:type="dxa"/>
            <w:bottom w:w="0" w:type="dxa"/>
            <w:right w:w="0" w:type="dxa"/>
          </w:tblCellMar>
        </w:tblPrEx>
        <w:trPr>
          <w:trHeight w:val="26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无线话筒</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3.平衡和非平衡两种选择输出端口，适应不同的设备连接需求。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4.频率指标:640-830MHz，调制方式:宽带FM，提供各200个可调频率，共500个信道选择，真正分集式接收,有效避免断频现象和延长接收距离。工作距离约100m；中频丰富，声音具有磁性感和混厚感。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5.接收机指标：采用二次变频超外差的接收机方式，灵敏度: 12dB μV（80dBS/N)，灵敏度调节范围:12-32dB μV，频率响应:80Hz-18KHz（±3dB）。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6.系统包括有一台主机+两个头戴话筒；发射机指标：音头采用动圈式麦克风，输出功率:3mW~30mW。</w:t>
            </w:r>
          </w:p>
        </w:tc>
      </w:tr>
      <w:tr>
        <w:tblPrEx>
          <w:tblCellMar>
            <w:top w:w="0" w:type="dxa"/>
            <w:left w:w="0" w:type="dxa"/>
            <w:bottom w:w="0" w:type="dxa"/>
            <w:right w:w="0" w:type="dxa"/>
          </w:tblCellMar>
        </w:tblPrEx>
        <w:trPr>
          <w:trHeight w:val="216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无线话筒</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1.采用UHF超高频段双真分集接收，并采用PLL锁相环多信道频率合成技术。V/A显示屏在任何角度观察字体清晰能同时显示信道号与工作频率。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2.频率指标 :640-830MHz；频道数目: 200个；频道间隔:250KHz；提供共500个信道选择，真正分集式接收,有效避免断频现象和延长接收距离。中频丰富，声音具有磁性感和混厚感。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3.带8级射频电平显示，8级音频电平显示，频道菜单显示，静音显示。红外对频功能，能方便、快捷的使发射机与接收机频率同步。超强的抗干扰能力，能有效抑制由外部带来的噪音干扰及同频干扰。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4.平衡和非平衡两种选择输出端口，适应不同的设备连接需求。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5.系统包括有一台主机+两台桌面式无线麦克；接收机中频频率:110MHz，10.7MHz；灵敏度:12dB μV（80dBS/N)，麦克风输出功率3mW~30mW；离散抑制: -60dB。</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天线分配器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1.可支持为4台一拖二真分集话筒自动选讯接收机的多频道系统共用一对天线和一个电源，简化天线装配工程，提升接收距离及效能。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2.频带范围：640~960MHz，输出/入增益+1.0dB(频段中心)，输出/入阻抗：50Ω，频宽：320MHz。</w:t>
            </w:r>
          </w:p>
        </w:tc>
      </w:tr>
      <w:tr>
        <w:tblPrEx>
          <w:tblCellMar>
            <w:top w:w="0" w:type="dxa"/>
            <w:left w:w="0" w:type="dxa"/>
            <w:bottom w:w="0" w:type="dxa"/>
            <w:right w:w="0" w:type="dxa"/>
          </w:tblCellMar>
        </w:tblPrEx>
        <w:trPr>
          <w:trHeight w:val="12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话筒天线</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1.采用专业UHF频段无线真分集接收机用的45度极化宽频全向天线，支持550MHz ~ 850MHz频率范围频段，具有8dBi的高指向特性的增益。</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2.最大功率支持50W，半功率波瓣宽度：H:76°±5°，V:76°±5°，前后比≥23dB，。</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3.接头类型BNC，输入阻抗50Ω，雷电保护：直流接地DC。</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4.支持吸顶、壁挂、垂直安装方式。</w:t>
            </w:r>
          </w:p>
        </w:tc>
      </w:tr>
      <w:tr>
        <w:tblPrEx>
          <w:tblCellMar>
            <w:top w:w="0" w:type="dxa"/>
            <w:left w:w="0" w:type="dxa"/>
            <w:bottom w:w="0" w:type="dxa"/>
            <w:right w:w="0" w:type="dxa"/>
          </w:tblCellMar>
        </w:tblPrEx>
        <w:trPr>
          <w:trHeight w:val="411"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电源时序器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1.支持8通道电源时序打开/关闭，支持远程控制（上电+24V直流信号）8通道YH电源时序打开/关闭—当电源开关锁处于off位置时有效。支持配置CH1和CH2通道为受控或不受控状态。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2.当远程控制有效时同时控制后板ALARM（报警）端口导通—起到级联控制ALARM（报警）功能。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3.单个通道最大负载功率3500W，所有通道负载总功率达6000W，输入连接器：大功率线码式电源连接器。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4.输出连接器：4个16A电源插座和4个10A电源插座。</w:t>
            </w:r>
          </w:p>
        </w:tc>
      </w:tr>
      <w:tr>
        <w:tblPrEx>
          <w:tblCellMar>
            <w:top w:w="0" w:type="dxa"/>
            <w:left w:w="0" w:type="dxa"/>
            <w:bottom w:w="0" w:type="dxa"/>
            <w:right w:w="0" w:type="dxa"/>
          </w:tblCellMar>
        </w:tblPrEx>
        <w:trPr>
          <w:trHeight w:val="285"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中央控制系统</w:t>
            </w:r>
          </w:p>
        </w:tc>
      </w:tr>
      <w:tr>
        <w:tblPrEx>
          <w:tblCellMar>
            <w:top w:w="0" w:type="dxa"/>
            <w:left w:w="0" w:type="dxa"/>
            <w:bottom w:w="0" w:type="dxa"/>
            <w:right w:w="0" w:type="dxa"/>
          </w:tblCellMar>
        </w:tblPrEx>
        <w:trPr>
          <w:trHeight w:val="48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网络中控主机</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1、采用标准19英寸机柜设计，面板具有指示灯，可直观反馈串口、红外、设备的工作状态；支持通过IOS平台/安卓平台等移动设备终端进行集中式管控。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2、面板有≥4.3英寸触摸彩屏，可查看IP地址、修改IP地址。具备1路TF卡接口，实现项目中的程序导入或导出。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3、支持不同操作端对中控进行管控，支持操作状态双向反馈功能，对设备的控制执行状态可一目了然。支持多台网络中控主机实现级联控制，达到互联、互控的效果。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4、采用可编程控制平台，交互式的控制结构，中英文可编程界面。全面支持第三方设备及控制协议，支持用户自定义编程设置任何控制协议或者控制代码。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5、采用32位Cortex-A8 ARM架构内嵌式处理器（配置不可低于此），处理速度最高可达720MHz。主机内置≥256MDPR及8GEMMC的大容量FLASH 存储器。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6、内嵌智能红外学习功能模块，无须配置专业学习器。可导入各种常用的电器设备的红外代码库到主机，并实现控制。支持串口环出功能，主机的8路串口均可实现任意一个输入都可以从另外一个串口环出。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主机具备≥8路独立可编程串口，可收发RS-232，RS-485及RS-422信号，≥8路独立可编程IR红外发射口，≥8路数字I/0输入输出控制口，带保护电路，≥8路弱电继电器控制接口，≥1个NET网络控制接口，可做外部功能扩展使用，可并接256个网络设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8、支持全制式环保电源(110V-240V)，适合任何地区。</w:t>
            </w:r>
          </w:p>
        </w:tc>
      </w:tr>
      <w:tr>
        <w:tblPrEx>
          <w:tblCellMar>
            <w:top w:w="0" w:type="dxa"/>
            <w:left w:w="0" w:type="dxa"/>
            <w:bottom w:w="0" w:type="dxa"/>
            <w:right w:w="0" w:type="dxa"/>
          </w:tblCellMar>
        </w:tblPrEx>
        <w:trPr>
          <w:trHeight w:val="14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7英寸彩色触摸屏</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1、产品要求采用内嵌式壁挂安装，厚度≤12mm；带有7英寸全彩触摸屏，搭配可编程中控主机使用。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2、支持有线网络通讯，支持电容式触摸屏；支持画中画显示功能，支持RTSP视频传输协议。</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3、支持编程图片、图形、文字、2D/3D按键等更具人性化的界面；支持Micro  USB，OTG；自带有蜂鸣器。</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4、采用全志4核CORTEX-A7架构处理器（不得低于此配置）；采用的RAM≥512MB，ROM≥4GB，支持1024×600分辨率；对比度：500:1；亮度≥300（cd/m2）。</w:t>
            </w:r>
          </w:p>
        </w:tc>
      </w:tr>
      <w:tr>
        <w:tblPrEx>
          <w:tblCellMar>
            <w:top w:w="0" w:type="dxa"/>
            <w:left w:w="0" w:type="dxa"/>
            <w:bottom w:w="0" w:type="dxa"/>
            <w:right w:w="0" w:type="dxa"/>
          </w:tblCellMar>
        </w:tblPrEx>
        <w:trPr>
          <w:trHeight w:val="2289"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控制器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1.具有≥8路自动、手动电源控制器，内置8个20A继电器，最大负载能力4400W/单路；配合中控主机使用，用于控制灯光、电动投影幕、电动窗帘等会议室周边设备。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2.每路继电器都有三连接点的接线柱,具有常开与常闭的功能。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3.具有复位按键，支持恢复到出厂的默认设置。具有1路网络接口，支持通过网络实现远程控制。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4.具有设备运行状态指示灯及8个继电器的开关状态指示灯。</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5.具有键盘锁（LOCK）功能，防止误操作，便于用于维护管理。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6.机器具备ID识别，通过中控主机网络控制多台时，可通过ID识别。</w:t>
            </w:r>
          </w:p>
        </w:tc>
      </w:tr>
      <w:tr>
        <w:tblPrEx>
          <w:tblCellMar>
            <w:top w:w="0" w:type="dxa"/>
            <w:left w:w="0" w:type="dxa"/>
            <w:bottom w:w="0" w:type="dxa"/>
            <w:right w:w="0" w:type="dxa"/>
          </w:tblCellMar>
        </w:tblPrEx>
        <w:trPr>
          <w:trHeight w:val="2289"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M5无线触摸屏</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配置参数</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处理器架构：ARM架构</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处理器型号：Hisilicon Kirin 710</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处理器核心：八核心</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系统内存：3GB</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存储容量：32GB</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存储扩展：支持Micro SD（TF）卡，最大支持512GB</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显卡芯片：Turbo 2.0</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显示屏</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屏幕尺寸：8英寸</w:t>
            </w:r>
          </w:p>
          <w:p>
            <w:pPr>
              <w:keepNext w:val="0"/>
              <w:keepLines w:val="0"/>
              <w:widowControl/>
              <w:suppressLineNumbers w:val="0"/>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屏幕分辨率：1920x1080</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屏幕像素密度：283PPI</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屏幕描述：TFT，LCD，IPS屏，多点触控触摸屏，1670万色</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WiFi功能：WIFI无线上网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蓝牙功能：支持，蓝牙4.2模块</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GPS功能：内置GPS导航</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感应器：智能重力感应</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特色功能：支持指南针，AI智能语音</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内置应用：录音，Office，电子邮件，浏览器，闹钟</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扬声器：四立体声扬声器，3D环绕音效技术，哈曼卡顿音效</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麦克风：内置麦克风</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摄像头：双摄像头（前置：800万像素，后置：1300万像素）</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拍照功能：专业模式，全景，HDR，滤镜，水印，流光快门，延时摄影，美食（需下载插件），文档校正（需下载插件）等拍摄模式，支持美颜，笑脸抓拍，定时拍照，声控拍照，目标跟踪等</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变焦模式：数字变焦</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照片分辨率：后置摄像头：4160×3120像素，前置摄像头：3264×2448像素</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视频功能：支持播放1080P视频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数据接口：1×Micro-USB，1×USB 2.0</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音频接口：3.5mm耳机接口</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功能按键：虚拟导航按键</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电池类型：锂聚合物电池，5100毫安</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续航时间：充电时间2.8小时，理论待机时间约28天</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电源适配器：DC（5V，2A）自适应交流电源供应器</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产品重量：≤310g</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机壳材质：铝镁合金材质</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机壳颜色：香槟金，深空灰</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红外发射棒</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技术参数：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1、配合中央控制主机控制红外设备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2、线长1.5米。</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编程软件</w:t>
            </w:r>
          </w:p>
        </w:tc>
        <w:tc>
          <w:tcPr>
            <w:tcW w:w="7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技术参数：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1、主要包括硬件逻辑模块、软件逻辑模块、红外代码管理、编译、下载、监视等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2、编程软件也可以添加与实际工程对应硬件的逻辑模块</w:t>
            </w:r>
          </w:p>
        </w:tc>
      </w:tr>
      <w:tr>
        <w:tblPrEx>
          <w:tblCellMar>
            <w:top w:w="0" w:type="dxa"/>
            <w:left w:w="0" w:type="dxa"/>
            <w:bottom w:w="0" w:type="dxa"/>
            <w:right w:w="0" w:type="dxa"/>
          </w:tblCellMar>
        </w:tblPrEx>
        <w:trPr>
          <w:trHeight w:val="285"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2、教师会议室</w:t>
            </w:r>
          </w:p>
        </w:tc>
      </w:tr>
      <w:tr>
        <w:tblPrEx>
          <w:tblCellMar>
            <w:top w:w="0" w:type="dxa"/>
            <w:left w:w="0" w:type="dxa"/>
            <w:bottom w:w="0" w:type="dxa"/>
            <w:right w:w="0" w:type="dxa"/>
          </w:tblCellMar>
        </w:tblPrEx>
        <w:trPr>
          <w:trHeight w:val="285" w:hRule="atLeast"/>
          <w:jc w:val="center"/>
        </w:trPr>
        <w:tc>
          <w:tcPr>
            <w:tcW w:w="92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专业扩声系统</w:t>
            </w:r>
          </w:p>
        </w:tc>
      </w:tr>
      <w:tr>
        <w:tblPrEx>
          <w:tblCellMar>
            <w:top w:w="0" w:type="dxa"/>
            <w:left w:w="0" w:type="dxa"/>
            <w:bottom w:w="0" w:type="dxa"/>
            <w:right w:w="0" w:type="dxa"/>
          </w:tblCellMar>
        </w:tblPrEx>
        <w:trPr>
          <w:trHeight w:val="168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专业音箱</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 阻抗：8Ω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 频响：70Hz-20KHz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 额定功率：150W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 灵敏度：96dB/W/M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 覆盖角度：(H)100°(V)80°</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 高音：3"锥形高音单元×2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 低音：8"低音×1</w:t>
            </w:r>
          </w:p>
        </w:tc>
      </w:tr>
      <w:tr>
        <w:tblPrEx>
          <w:tblCellMar>
            <w:top w:w="0" w:type="dxa"/>
            <w:left w:w="0" w:type="dxa"/>
            <w:bottom w:w="0" w:type="dxa"/>
            <w:right w:w="0" w:type="dxa"/>
          </w:tblCellMar>
        </w:tblPrEx>
        <w:trPr>
          <w:trHeight w:val="48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支架</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固定面板固定孔尺寸（长*宽）：34mm*34mm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箱体固定面板固定孔尺寸：110mm</w:t>
            </w:r>
          </w:p>
        </w:tc>
      </w:tr>
      <w:tr>
        <w:tblPrEx>
          <w:tblCellMar>
            <w:top w:w="0" w:type="dxa"/>
            <w:left w:w="0" w:type="dxa"/>
            <w:bottom w:w="0" w:type="dxa"/>
            <w:right w:w="0" w:type="dxa"/>
          </w:tblCellMar>
        </w:tblPrEx>
        <w:trPr>
          <w:trHeight w:val="3869"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专业功放</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1.工业造型钢面板，专业设计坚固面耐用，面板防尘网可折洗结构设计，可拆卸清洗的散热通风口。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2.开机软启动，防止开机时向电网吸收大电流，干扰其它用电设备。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3.智能控制强制散热设计，风机噪音小，散热效率高等特点。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4.两声道功放有三档输入灵敏度选择，轻松接纳宽幅度范围信号源输入；输入灵敏度：0.775V/1V/1.44V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5.完善可靠的安全保护措施和工作状态指示（短路、过载、直流和过热保护、变压器过热保护）。</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6.智能削峰限幅器，控制功率模块及扬声器系统在安全范围内工作。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7.标准XLR+TRS1/4” 复合输入接口，简洁的接口更加方便不同用户需求。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8.高品质变压器和低阻大容量电解滤波，保证大动态工作应付自如。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9.适应不同场合所需，可选立体声或桥接工作模式。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10.输入座接地脚接地和悬浮控制。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11.输出功率（20Hz-20KHz/THD≤1％）：立体声/并联8Ω×2：200W×2；立体声/并联4Ω×2：300W×2；桥接8Ω：600W</w:t>
            </w:r>
          </w:p>
        </w:tc>
      </w:tr>
      <w:tr>
        <w:tblPrEx>
          <w:tblCellMar>
            <w:top w:w="0" w:type="dxa"/>
            <w:left w:w="0" w:type="dxa"/>
            <w:bottom w:w="0" w:type="dxa"/>
            <w:right w:w="0" w:type="dxa"/>
          </w:tblCellMar>
        </w:tblPrEx>
        <w:trPr>
          <w:trHeight w:val="36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话筒前级</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1.96KHz采样频率，32-bit DSP处理器，24-bit A/D及D/A转换。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2.音频信号四选一输入，模拟音频信号的输入灵敏度可选，提供3组话筒输入，标准5.1声道输出。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3.提供USB接口/通过外接串口转WIFI控制器可实现WIFI或有线网络接口可连接电脑，提供远程控制和红外线控制。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4.直接用面板的功能键和拔轮进行功能设置或是连接电脑通过PC控制软件来控制。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5.通过直接旋转面板的不同旋钮可分别控制话筒音量、效果音量、音乐音量和总音量 。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6.可通过面板的“系统”键来设定密码锁定面板操作的部分或全部功能，以防止闲杂人员的操作破坏机器的工作状态。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7.采用汉字液晶屏和6段LED显示输出的电平、哑音及编辑状态。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8.每个输入和输出均有延时和相位控制及哑音设置，输入延时最长可达30ms,输出延时最长可达60ms。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9.输出通道还可控制该通道的效果比例、话筒音量、音乐音量和效果音量。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10.可以通过S端子连接中控来控制通道的主要参数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11.话筒带4种级别的防啸叫功能。</w:t>
            </w:r>
          </w:p>
        </w:tc>
      </w:tr>
      <w:tr>
        <w:tblPrEx>
          <w:tblCellMar>
            <w:top w:w="0" w:type="dxa"/>
            <w:left w:w="0" w:type="dxa"/>
            <w:bottom w:w="0" w:type="dxa"/>
            <w:right w:w="0" w:type="dxa"/>
          </w:tblCellMar>
        </w:tblPrEx>
        <w:trPr>
          <w:trHeight w:val="344"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调音台</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1.支持≥8路麦克风输入兼容6路线路输入接口，支持≥2路立体声输入接口，≥4路RCA输入，话筒接口幻像电源：+48V。</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2.具有≥2组立体主输出、≥4路编组输出、≥4路辅助输出、≥1组立体声监听输出、≥1个耳机监听输出、≥2个效果输出、≥1组主混音断点插入、≥6个断点插入。3.内置24位DSP效果器，提供100种预设效果。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4.具备13个60mm行程的高精密碳膜推子。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5.内置USB声卡模块，支持连接电脑进行音乐播放和声音录音；内置MP3播放器，支持1个USB接口接U盘播放音乐。</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6.频率响应：20Hz-20kHz，±3dB；失真度：&lt;0.003% at+0dB,22Hz-22KHz A-weighted；灵敏度；+21dB~-30dB；信噪比：&lt;-100dBr A-weighted。</w:t>
            </w:r>
          </w:p>
        </w:tc>
      </w:tr>
      <w:tr>
        <w:tblPrEx>
          <w:tblCellMar>
            <w:top w:w="0" w:type="dxa"/>
            <w:left w:w="0" w:type="dxa"/>
            <w:bottom w:w="0" w:type="dxa"/>
            <w:right w:w="0" w:type="dxa"/>
          </w:tblCellMar>
        </w:tblPrEx>
        <w:trPr>
          <w:trHeight w:val="36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一拖四无线话筒</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 采用先进PLL频率合成锁相环技术，微电脑集成中央处理器CPU总线控制系统。</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 兼容手动选频和红外自动对频锁定频道， 杂讯锁定静噪控制及音码锁定静噪控制，信号更稳定。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 V/A显示屏在任何角度观察字体清晰同时显示信道号与工作频率。带8级射频电平显示，8级音频电平显示，频道菜单显示，静音显示。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 先进的滤波及抗干扰功能能够有效阻隔外界不良信号及手机信号的干扰。</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 使用640-830MHZ频段，每台接收机拥有200个可调频率。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6. 采用传统按键操控，更省电，更经济实惠，性价比高，内置高性能的语音压扩技术，支持平衡和非平衡两种选择输出端口。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7.系统指标：频率范围： 640-690MHZ  740-790MHz  807-830MHz、频道数目： 500个、音频响应 ：80HZ-18KHZ(±2dB)、信噪比： &gt;105dB、灵敏度 ：–105 dBm for 12 dB SINAD, typical、有效使用距离 ：空旷50米</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8.接收器指标：平衡200Ω 负载-13dBV，非平衡600Ω、音频输出阻抗： 平衡200Ω；1路合并非平衡600Ω；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9.麦克风指标：输出功率 ：高功率30mW；低功率3mW</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10.系统包括有一台主机+四台桌面式无线麦克</w:t>
            </w:r>
          </w:p>
        </w:tc>
      </w:tr>
      <w:tr>
        <w:tblPrEx>
          <w:tblCellMar>
            <w:top w:w="0" w:type="dxa"/>
            <w:left w:w="0" w:type="dxa"/>
            <w:bottom w:w="0" w:type="dxa"/>
            <w:right w:w="0" w:type="dxa"/>
          </w:tblCellMar>
        </w:tblPrEx>
        <w:trPr>
          <w:trHeight w:val="12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YH电源时序器</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color w:val="auto"/>
                <w:kern w:val="0"/>
                <w:sz w:val="20"/>
                <w:szCs w:val="20"/>
                <w:u w:val="none"/>
                <w:lang w:val="en-US" w:eastAsia="zh-CN" w:bidi="ar"/>
              </w:rPr>
              <w:t>1.支持8通道YH电源时序打开/关闭，每路动作延时时间：1秒，支持远程控制（上电+24V直流信号）8通道电源时序打开/关闭—当电源开关锁处于off位置时有效。支持配置CH1和CH2通道为受控或不受控状态。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2.当远程控制有效时同时控制后板ALARM（报警）端口导通—起到级联控制ALARM（报警）功能。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3.单个通道最大负载功率2200W，所有通道负载总功率达6000W。输出连接器：多用途电源插座。</w:t>
            </w:r>
          </w:p>
        </w:tc>
      </w:tr>
      <w:tr>
        <w:tblPrEx>
          <w:tblCellMar>
            <w:top w:w="0" w:type="dxa"/>
            <w:left w:w="0" w:type="dxa"/>
            <w:bottom w:w="0" w:type="dxa"/>
            <w:right w:w="0" w:type="dxa"/>
          </w:tblCellMar>
        </w:tblPrEx>
        <w:trPr>
          <w:trHeight w:val="12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会议一体机</w:t>
            </w:r>
          </w:p>
        </w:tc>
        <w:tc>
          <w:tcPr>
            <w:tcW w:w="78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1.整机尺寸≥86英寸；LGD 4K显示3840*2160；</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2.内置一体化设计，外部无任何可见内部功能模块的连接线。</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3.触摸框免驱：支持Windows XP、WIN7、WIN8、WIN8.1、Linux、Mac OSX外置电脑操作系统接入时，无需安装触摸框驱动，红外触摸屏系统通讯端口：USB</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4.整机厂家具备自主触摸显示技术，并具备触摸检测技术，保证触摸屏运行稳定。</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5.书写方式：手指、触摸笔或非透明物体。首点响应时间≤6毫秒连续响应时间≤2毫秒定位精度：±0.5mm。</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6.具备细笔书写功能：5点细笔（3MM），单点细笔（2MM，精度+-1MM，原笔迹支持2点。</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7.整机具备至少2路前置USB接口,且前置USB接口全部支持Windows及Android双系统读取，将U盘插入任意前置USB接口，均能被Windows及Android系统识别，防止被误操作。</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8.具备三键合一按钮，短按熄屏，长按待机，一键开机，PC可单独控制。</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9.有线网络共享：整机可一根网线实现安卓和PC同时上网</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Ops：i5，4G 128G</w:t>
            </w:r>
          </w:p>
        </w:tc>
      </w:tr>
    </w:tbl>
    <w:p>
      <w:pPr>
        <w:widowControl w:val="0"/>
        <w:jc w:val="center"/>
        <w:rPr>
          <w:rFonts w:hint="eastAsia" w:eastAsia="宋体" w:cs="Times New Roman"/>
          <w:b/>
          <w:bCs/>
          <w:color w:val="auto"/>
          <w:kern w:val="2"/>
          <w:sz w:val="28"/>
          <w:szCs w:val="28"/>
        </w:rPr>
      </w:pPr>
      <w:r>
        <w:rPr>
          <w:rFonts w:hint="eastAsia" w:eastAsia="宋体" w:cs="Times New Roman"/>
          <w:b/>
          <w:bCs/>
          <w:color w:val="auto"/>
          <w:kern w:val="2"/>
          <w:sz w:val="28"/>
          <w:szCs w:val="28"/>
        </w:rPr>
        <w:t>九、UPS不间断电源</w:t>
      </w:r>
    </w:p>
    <w:tbl>
      <w:tblPr>
        <w:tblStyle w:val="38"/>
        <w:tblW w:w="5578" w:type="pct"/>
        <w:tblInd w:w="-4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5"/>
        <w:gridCol w:w="466"/>
        <w:gridCol w:w="7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70" w:type="pct"/>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设备名称</w:t>
            </w:r>
          </w:p>
        </w:tc>
        <w:tc>
          <w:tcPr>
            <w:tcW w:w="4229"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000" w:type="pct"/>
            <w:gridSpan w:val="3"/>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UPS主机(6KVA)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UPS主机(6KVA)</w:t>
            </w:r>
          </w:p>
        </w:tc>
        <w:tc>
          <w:tcPr>
            <w:tcW w:w="4229"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UPS主机在线式6KVA</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性能指标：在线式6KVA。</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输入电压范围（Vac）：80～280；</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频率范围(Hz)：45～70HZ（同步）</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输出电压（Vac）：220±2%；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输出谐波失真小于3％（线性负载)、输出频率(Hz)：50±0.2％Hz（电池模式）；</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过载能力：105%-129%全载持续60秒；</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130-150%全载持续30秒；大于150%全载持续300毫秒。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7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蓄电池</w:t>
            </w:r>
          </w:p>
        </w:tc>
        <w:tc>
          <w:tcPr>
            <w:tcW w:w="4229"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与UPS主机同品牌，蓄电池12V、65AH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7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蓄电池屏（柜）</w:t>
            </w:r>
          </w:p>
        </w:tc>
        <w:tc>
          <w:tcPr>
            <w:tcW w:w="4229"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每套电池箱可放置16只12V  10AH蓄电池，含电池连接线及直流开关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70"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配电箱</w:t>
            </w:r>
          </w:p>
        </w:tc>
        <w:tc>
          <w:tcPr>
            <w:tcW w:w="4229"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000" w:type="pct"/>
            <w:gridSpan w:val="3"/>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UPS主机(15KVA)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770"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UPS主机(15KVA)</w:t>
            </w:r>
          </w:p>
        </w:tc>
        <w:tc>
          <w:tcPr>
            <w:tcW w:w="4229"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UPS主机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性能指标：在线式15KVA（三进单出）。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输入电压范围（Vac）：120～295；频率范围(Hz)：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45～65HZ（同步）输出电压（Vac）：220±2%；</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输出谐波失真小于3％（线性负载)、输出频率(Hz)：</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50±0.2％Hz（电池模式）；过载能力：105%-129%</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全载持续60秒；130-150%全载持续30秒；大于150%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770"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蓄电池</w:t>
            </w:r>
          </w:p>
        </w:tc>
        <w:tc>
          <w:tcPr>
            <w:tcW w:w="4229"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蓄电池12V、100AH</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蓄电池规格：12V、100AH,要求采用长延时寿命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电池，设计寿命大于等于6年；自放电极小，</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浮充电流低。密封反映效率高。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770"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蓄电池屏（柜）</w:t>
            </w:r>
          </w:p>
        </w:tc>
        <w:tc>
          <w:tcPr>
            <w:tcW w:w="4229"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每套电池箱可放置16只12V 10AH蓄电池，含电池连接线及直流开关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770" w:type="pct"/>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配电箱</w:t>
            </w:r>
          </w:p>
        </w:tc>
        <w:tc>
          <w:tcPr>
            <w:tcW w:w="4229" w:type="pct"/>
            <w:gridSpan w:val="2"/>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000" w:type="pct"/>
            <w:gridSpan w:val="3"/>
            <w:tcBorders>
              <w:top w:val="nil"/>
              <w:left w:val="nil"/>
              <w:right w:val="nil"/>
            </w:tcBorders>
            <w:noWrap w:val="0"/>
            <w:tcMar>
              <w:top w:w="15" w:type="dxa"/>
              <w:left w:w="15" w:type="dxa"/>
              <w:right w:w="15" w:type="dxa"/>
            </w:tcMar>
            <w:vAlign w:val="center"/>
          </w:tcPr>
          <w:p>
            <w:pPr>
              <w:widowControl w:val="0"/>
              <w:tabs>
                <w:tab w:val="center" w:pos="5273"/>
                <w:tab w:val="left" w:pos="7217"/>
              </w:tabs>
              <w:jc w:val="left"/>
              <w:rPr>
                <w:rFonts w:hint="default" w:ascii="宋体" w:hAnsi="宋体" w:eastAsia="宋体" w:cs="宋体"/>
                <w:color w:val="auto"/>
                <w:kern w:val="0"/>
                <w:sz w:val="20"/>
                <w:szCs w:val="20"/>
                <w:lang w:val="en-US" w:eastAsia="zh-CN" w:bidi="ar"/>
              </w:rPr>
            </w:pPr>
            <w:r>
              <w:rPr>
                <w:rFonts w:hint="eastAsia" w:eastAsia="宋体" w:cs="Times New Roman"/>
                <w:b/>
                <w:bCs/>
                <w:color w:val="auto"/>
                <w:kern w:val="2"/>
                <w:sz w:val="28"/>
                <w:szCs w:val="28"/>
                <w:lang w:eastAsia="zh-CN"/>
              </w:rPr>
              <w:tab/>
            </w:r>
            <w:r>
              <w:rPr>
                <w:rFonts w:hint="eastAsia" w:eastAsia="宋体" w:cs="Times New Roman"/>
                <w:b/>
                <w:bCs/>
                <w:color w:val="auto"/>
                <w:kern w:val="2"/>
                <w:sz w:val="28"/>
                <w:szCs w:val="28"/>
              </w:rPr>
              <w:t>十、</w:t>
            </w:r>
            <w:r>
              <w:rPr>
                <w:rFonts w:hint="eastAsia" w:eastAsia="宋体" w:cs="Times New Roman"/>
                <w:b/>
                <w:bCs/>
                <w:color w:val="auto"/>
                <w:kern w:val="2"/>
                <w:sz w:val="28"/>
                <w:szCs w:val="28"/>
                <w:lang w:eastAsia="zh-CN"/>
              </w:rPr>
              <w:t>设计变</w:t>
            </w:r>
            <w:r>
              <w:rPr>
                <w:rFonts w:hint="eastAsia" w:eastAsia="宋体" w:cs="Times New Roman"/>
                <w:b/>
                <w:bCs/>
                <w:color w:val="auto"/>
                <w:kern w:val="2"/>
                <w:sz w:val="28"/>
                <w:szCs w:val="28"/>
              </w:rPr>
              <w:t>单增加</w:t>
            </w:r>
            <w:r>
              <w:rPr>
                <w:rFonts w:hint="eastAsia" w:eastAsia="宋体" w:cs="Times New Roman"/>
                <w:b/>
                <w:bCs/>
                <w:color w:val="auto"/>
                <w:kern w:val="2"/>
                <w:sz w:val="28"/>
                <w:szCs w:val="28"/>
                <w:lang w:eastAsia="zh-CN"/>
              </w:rPr>
              <w:t>部分</w:t>
            </w:r>
            <w:r>
              <w:rPr>
                <w:rFonts w:hint="eastAsia" w:eastAsia="宋体" w:cs="Times New Roman"/>
                <w:b/>
                <w:bCs/>
                <w:color w:val="auto"/>
                <w:kern w:val="2"/>
                <w:sz w:val="28"/>
                <w:szCs w:val="28"/>
                <w:lang w:val="en-US" w:eastAsia="zh-CN"/>
              </w:rPr>
              <w:t>-升降柱</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38" w:hRule="atLeast"/>
        </w:trPr>
        <w:tc>
          <w:tcPr>
            <w:tcW w:w="102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设备名称</w:t>
            </w:r>
          </w:p>
        </w:tc>
        <w:tc>
          <w:tcPr>
            <w:tcW w:w="39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参数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357" w:hRule="atLeast"/>
        </w:trPr>
        <w:tc>
          <w:tcPr>
            <w:tcW w:w="7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升降柱</w:t>
            </w:r>
          </w:p>
        </w:tc>
        <w:tc>
          <w:tcPr>
            <w:tcW w:w="422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1.机电液压一体式埋地柱采用先进的一体式机芯制作.</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2.电机防水达到IP68以上.防水等级须有测试泡水120H以上，电机含有热保护装置.</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3.该产品操作及安装布线简单.只需一条7芯线到控制器即可.</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4.上升时间3S，下降时间1.5S，速度可微调。</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5.电机机芯功率370w。</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6.中心柱采用219*6MM.304不锈钢管拉丝制作。</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7.规格尺寸≥直径430*高1100MM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8.采用3cm高强度反光膜。</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9.开模加固型亚克力保护板保护警示灯带，减少磨损。</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10.不锈钢法兰盖板采用10mm厚度，可承受50吨抗压。</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11.独特设计≥7个减震脚杯，保证运行平稳。升降高度600MM内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57" w:hRule="atLeast"/>
        </w:trPr>
        <w:tc>
          <w:tcPr>
            <w:tcW w:w="7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升降柱控制盒</w:t>
            </w:r>
          </w:p>
        </w:tc>
        <w:tc>
          <w:tcPr>
            <w:tcW w:w="422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4"/>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控制系统采用多功能一体式集成数码编程系统.控制器设有3种工作模式控制器</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2.预留有读卡器开闸及地感检测信号接口，配合车牌识别、冲卡防撞，可以兼容任何的开闸信号.工作电压220v. 控制电压24V. 与地柱分体安装.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7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LCD拼接屏</w:t>
            </w:r>
          </w:p>
        </w:tc>
        <w:tc>
          <w:tcPr>
            <w:tcW w:w="422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LCD液晶显示单元；京东方面板</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尺寸：49英寸；</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分辨率：1920 × 1080@60 Hz（向下兼容）；</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视角：178°(水平)/ 178°(垂直)；</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响应时间：8ms(G to G)；</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对比度：1200:1；</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亮度：500cd/㎡；</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物理拼缝：3.5mm；</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输入接口：HDMI × 1, DVI × 1, VGA × 1, CVBS × 1, USB × 1</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输出接口：HDMI × 1, VGA × 1, CVBS × 1</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控制接口：RS232 IN × 1，RS232 OUT × 1；</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功耗：≤165W；</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电源要求：100～240 VAC, 50/60 Hz；</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寿命：≥60000 小时；</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工作温度和湿度：0℃～40℃，10%～80% RH（无冷凝水）；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3" w:hRule="atLeast"/>
        </w:trPr>
        <w:tc>
          <w:tcPr>
            <w:tcW w:w="7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模块化支架</w:t>
            </w:r>
          </w:p>
        </w:tc>
        <w:tc>
          <w:tcPr>
            <w:tcW w:w="422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49寸模块化支架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5" w:hRule="atLeast"/>
        </w:trPr>
        <w:tc>
          <w:tcPr>
            <w:tcW w:w="7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模块化底座</w:t>
            </w:r>
          </w:p>
        </w:tc>
        <w:tc>
          <w:tcPr>
            <w:tcW w:w="422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49寸模块化底座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1" w:hRule="atLeast"/>
        </w:trPr>
        <w:tc>
          <w:tcPr>
            <w:tcW w:w="7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解码器</w:t>
            </w:r>
          </w:p>
        </w:tc>
        <w:tc>
          <w:tcPr>
            <w:tcW w:w="422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高清视音频解码器，采用Linux操作系统，运行稳定可靠</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输入接口：支持一路VGA和一路DVI接入</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输出接口：支持8路HDMI和4路BNC输出，HDMI（可以转DVI-D）（奇数口）输出分辨率最高支持4K（3840*2160@30HZ）</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编码格式：支持H.265、H.264、MPEG4、MJPEG等主流的编码格式；</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封装格式：支持PS、RTP、TS、ES等主流的封装格式；</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音频解码：支持G.722、G.711A、G.726、G.711U、MPEG2-L2、AAC音频格式的解码；</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解码能力：支持8路1200W，或16路800W，或24路500W，或40路300W，或64路1080P及以下分辨率同时实时解码；</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画面分割：支持1、2、4、6、8、9、10、12、16、25、36画面分割显示。</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网络接口：2光口，2电口</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音频接口：支持8路音频输出，1路对讲输入，1路对讲输出</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串行接口：一个标准232接口（RJ45）、一个标准485接口</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报警接口：8路报警输入，8路报警输出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6" w:hRule="atLeast"/>
        </w:trPr>
        <w:tc>
          <w:tcPr>
            <w:tcW w:w="7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网络监控键盘</w:t>
            </w:r>
          </w:p>
        </w:tc>
        <w:tc>
          <w:tcPr>
            <w:tcW w:w="422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网络键盘，网络/串口（232/485）接入方式，4维摇杆控制，7 英寸1024*600 的触摸式液晶屏，音频输入/输出口，1个USB接口，4路1080P，兼容公司各行业平台软件、全系列前后端、监控中心设备。</w:t>
            </w:r>
          </w:p>
        </w:tc>
      </w:tr>
    </w:tbl>
    <w:p>
      <w:pPr>
        <w:widowControl w:val="0"/>
        <w:jc w:val="center"/>
        <w:rPr>
          <w:rFonts w:hint="eastAsia" w:eastAsia="宋体" w:cs="Times New Roman"/>
          <w:b/>
          <w:bCs/>
          <w:color w:val="auto"/>
          <w:kern w:val="2"/>
          <w:sz w:val="28"/>
          <w:szCs w:val="28"/>
        </w:rPr>
      </w:pPr>
      <w:r>
        <w:rPr>
          <w:rFonts w:hint="eastAsia" w:eastAsia="宋体" w:cs="Times New Roman"/>
          <w:b/>
          <w:bCs/>
          <w:color w:val="auto"/>
          <w:kern w:val="2"/>
          <w:sz w:val="28"/>
          <w:szCs w:val="28"/>
        </w:rPr>
        <w:t>十一、</w:t>
      </w:r>
      <w:r>
        <w:rPr>
          <w:rFonts w:hint="eastAsia" w:eastAsia="宋体" w:cs="Times New Roman"/>
          <w:b/>
          <w:bCs/>
          <w:color w:val="auto"/>
          <w:kern w:val="2"/>
          <w:sz w:val="28"/>
          <w:szCs w:val="28"/>
          <w:lang w:eastAsia="zh-CN"/>
        </w:rPr>
        <w:t>设计变</w:t>
      </w:r>
      <w:r>
        <w:rPr>
          <w:rFonts w:hint="eastAsia" w:eastAsia="宋体" w:cs="Times New Roman"/>
          <w:b/>
          <w:bCs/>
          <w:color w:val="auto"/>
          <w:kern w:val="2"/>
          <w:sz w:val="28"/>
          <w:szCs w:val="28"/>
        </w:rPr>
        <w:t>单增加</w:t>
      </w:r>
      <w:r>
        <w:rPr>
          <w:rFonts w:hint="eastAsia" w:eastAsia="宋体" w:cs="Times New Roman"/>
          <w:b/>
          <w:bCs/>
          <w:color w:val="auto"/>
          <w:kern w:val="2"/>
          <w:sz w:val="28"/>
          <w:szCs w:val="28"/>
          <w:lang w:eastAsia="zh-CN"/>
        </w:rPr>
        <w:t>部分</w:t>
      </w:r>
      <w:r>
        <w:rPr>
          <w:rFonts w:hint="eastAsia" w:eastAsia="宋体" w:cs="Times New Roman"/>
          <w:b/>
          <w:bCs/>
          <w:color w:val="auto"/>
          <w:kern w:val="2"/>
          <w:sz w:val="28"/>
          <w:szCs w:val="28"/>
          <w:lang w:val="en-US" w:eastAsia="zh-CN"/>
        </w:rPr>
        <w:t>-</w:t>
      </w:r>
      <w:r>
        <w:rPr>
          <w:rFonts w:hint="eastAsia" w:eastAsia="宋体" w:cs="Times New Roman"/>
          <w:b/>
          <w:bCs/>
          <w:color w:val="auto"/>
          <w:kern w:val="2"/>
          <w:sz w:val="28"/>
          <w:szCs w:val="28"/>
        </w:rPr>
        <w:t>舞台灯光系统</w:t>
      </w:r>
    </w:p>
    <w:tbl>
      <w:tblPr>
        <w:tblStyle w:val="38"/>
        <w:tblW w:w="9352" w:type="dxa"/>
        <w:jc w:val="center"/>
        <w:tblLayout w:type="autofit"/>
        <w:tblCellMar>
          <w:top w:w="0" w:type="dxa"/>
          <w:left w:w="0" w:type="dxa"/>
          <w:bottom w:w="0" w:type="dxa"/>
          <w:right w:w="0" w:type="dxa"/>
        </w:tblCellMar>
      </w:tblPr>
      <w:tblGrid>
        <w:gridCol w:w="1440"/>
        <w:gridCol w:w="7912"/>
      </w:tblGrid>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设备名称</w:t>
            </w:r>
          </w:p>
        </w:tc>
        <w:tc>
          <w:tcPr>
            <w:tcW w:w="7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2"/>
                <w:sz w:val="20"/>
                <w:szCs w:val="20"/>
              </w:rPr>
            </w:pPr>
            <w:r>
              <w:rPr>
                <w:rFonts w:hint="eastAsia" w:ascii="宋体" w:hAnsi="宋体" w:eastAsia="宋体" w:cs="宋体"/>
                <w:b/>
                <w:color w:val="auto"/>
                <w:kern w:val="0"/>
                <w:sz w:val="20"/>
                <w:szCs w:val="20"/>
                <w:lang w:bidi="ar"/>
              </w:rPr>
              <w:t>参数</w:t>
            </w:r>
          </w:p>
        </w:tc>
      </w:tr>
      <w:tr>
        <w:tblPrEx>
          <w:tblCellMar>
            <w:top w:w="0" w:type="dxa"/>
            <w:left w:w="0" w:type="dxa"/>
            <w:bottom w:w="0" w:type="dxa"/>
            <w:right w:w="0" w:type="dxa"/>
          </w:tblCellMar>
        </w:tblPrEx>
        <w:trPr>
          <w:trHeight w:val="418"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大功率LED户内束光灯(顶光一)</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numPr>
                <w:ilvl w:val="0"/>
                <w:numId w:val="35"/>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频闪:1-25Hz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2.透镜角度:25°(15°、45°可选)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3.光源:90×3W LED(R24+G24+B24+W18)光源通过无蓝光危害测试，保护眼睛</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4.色温:3200K～7200K</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5.混色:RGBW(红绿蓝白)混色，内置宏功能。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6.电子调光:0-100%可调，主从自走自动同步功能，控台正常控制自走永久同步。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7.效果配置：全光域调光，65536级调光精度，高光输出，低眩</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8.控制方式:多种声控、DMX512接口、内置程序自走、主从联机模式，支持RDM协议</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9.防护等级：IP20              </w:t>
            </w:r>
          </w:p>
        </w:tc>
      </w:tr>
      <w:tr>
        <w:tblPrEx>
          <w:tblCellMar>
            <w:top w:w="0" w:type="dxa"/>
            <w:left w:w="0" w:type="dxa"/>
            <w:bottom w:w="0" w:type="dxa"/>
            <w:right w:w="0" w:type="dxa"/>
          </w:tblCellMar>
        </w:tblPrEx>
        <w:trPr>
          <w:trHeight w:val="826"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三基色冷光灯(顶光一)</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1.输入电源：AC100~250V 50/60Hz</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2.光       源： 600颗0.5W足功率LED光源                                                                                         3.显色指数：≥95Ra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4.功       率：350W</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5.色       温：3200K/4000K/5600K  OR3200K/5600K可调                                                                                                                                                                                                                          6.寿       命：5万小时(每天使用10小时，可使用13年)</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7.通道模式：2CH/3CH两种模式可选                                                                                                                                                                                                                                                                                       8.冷却系统：灯体设计散热性强，持续点亮5小时，温升不超35℃，四片遮菲遮光，固定柔光板,铝合金型材灯体，轻巧美观。有效光照距离：15米；                                                                                                  9.软件精细度：采用64位系统，0～100%精细调光功能，在摄像、照相机下无闪烁，无抖动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10.控制板： 高质稳定控制板，具有过流、过压、温控等保护措施，保证了灯具的工作稳定。</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11.电源：  国内优质电源，均严格通过国际标准电源效率，高温，宽压测试。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12.工作环境：-20℃-40℃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13.控制模式：DMX512/声控/自走/从主机模式/手动控制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14.信号输入输出：三芯(五芯)卡侬头插座</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15.电源出线方式：音响卡农座</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16.防护等级：IP20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17.手动调光：0~100%顺滑调光，角度：115度</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18.效果：内置多种速度频闪效果                                                                                                                                                                                                                 19.可选配件：SONY V 口挂板，电位器，遥控器。</w:t>
            </w:r>
          </w:p>
        </w:tc>
      </w:tr>
      <w:tr>
        <w:tblPrEx>
          <w:tblCellMar>
            <w:top w:w="0" w:type="dxa"/>
            <w:left w:w="0" w:type="dxa"/>
            <w:bottom w:w="0" w:type="dxa"/>
            <w:right w:w="0" w:type="dxa"/>
          </w:tblCellMar>
        </w:tblPrEx>
        <w:trPr>
          <w:trHeight w:val="96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大功率LED户内束光灯(顶光二)</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频闪:1-25Hz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2.透镜角度:25°(15°、45°可选)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3.光源:90×3W LED(R24+G24+B24+W18)光源通过无蓝光危害测试，保护眼睛</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4.色温:3200K～7200K</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5.混色:RGBW(红绿蓝白)混色，内置宏功能。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6.电子调光:0-100%可调，主从自走自动同步功能，控台正常控制自走永久同步。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7.效果配置：全光域调光，65536级调光精度，高光输出，低眩</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8.控制方式:多种声控、DMX512接口、内置程序自走、主从联机模式，支持RDM协议</w:t>
            </w:r>
          </w:p>
          <w:p>
            <w:pPr>
              <w:widowControl/>
              <w:numPr>
                <w:ilvl w:val="0"/>
                <w:numId w:val="36"/>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通道</w:t>
            </w:r>
            <w:r>
              <w:rPr>
                <w:rFonts w:hint="eastAsia" w:ascii="宋体" w:hAnsi="宋体" w:eastAsia="宋体" w:cs="宋体"/>
                <w:color w:val="auto"/>
                <w:kern w:val="0"/>
                <w:szCs w:val="21"/>
                <w:lang w:bidi="ar"/>
              </w:rPr>
              <w:t>≥</w:t>
            </w:r>
            <w:r>
              <w:rPr>
                <w:rFonts w:hint="eastAsia" w:ascii="宋体" w:hAnsi="宋体" w:eastAsia="宋体" w:cs="宋体"/>
                <w:color w:val="auto"/>
                <w:kern w:val="0"/>
                <w:sz w:val="20"/>
                <w:szCs w:val="20"/>
                <w:lang w:bidi="ar"/>
              </w:rPr>
              <w:t>8通道。</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10.防护等级：IP20              </w:t>
            </w:r>
          </w:p>
        </w:tc>
      </w:tr>
      <w:tr>
        <w:tblPrEx>
          <w:tblCellMar>
            <w:top w:w="0" w:type="dxa"/>
            <w:left w:w="0" w:type="dxa"/>
            <w:bottom w:w="0" w:type="dxa"/>
            <w:right w:w="0" w:type="dxa"/>
          </w:tblCellMar>
        </w:tblPrEx>
        <w:trPr>
          <w:trHeight w:val="2215" w:hRule="exac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大功率LED户内束光灯(逆光一)</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频闪:1-25Hz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2.透镜角度:25°(15°、45°可选)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3.光源:90×3W LED(R24+G24+B24+W18)光源通过无蓝光危害测试，保护眼睛</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4.色温:3200K～7200K</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5.混色:RGBW(红绿蓝白)混色，内置宏功能。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6.电子调光:0-100%可调，主从自走自动同步功能，控台正常控制自走永久同步。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7.效果配置：全光域调光，65536级调光精度，高光输出，低眩</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8.控制方式:多种声控、DMX512接口、内置程序自走、主从联机模式，支持RDM协议</w:t>
            </w:r>
          </w:p>
          <w:p>
            <w:pPr>
              <w:widowControl/>
              <w:numPr>
                <w:ilvl w:val="0"/>
                <w:numId w:val="36"/>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通道8通道。</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13.防护等级：IP20              </w:t>
            </w:r>
          </w:p>
        </w:tc>
      </w:tr>
      <w:tr>
        <w:tblPrEx>
          <w:tblCellMar>
            <w:top w:w="0" w:type="dxa"/>
            <w:left w:w="0" w:type="dxa"/>
            <w:bottom w:w="0" w:type="dxa"/>
            <w:right w:w="0" w:type="dxa"/>
          </w:tblCellMar>
        </w:tblPrEx>
        <w:trPr>
          <w:trHeight w:val="3604"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电脑摇头灯(逆光一)</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 xml:space="preserve">频闪:0-25Hzb)光源:200W LED光源通过无蓝光危害检测，保护眼睛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2.色温:6500K</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3.光束角度:2-12°</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4.灯具调光范围为0-100%可调。</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5.灯具内含一个色盘，由7个色片组成。</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6.灯具固定图案盘具有7个固定图案片+1个白光。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7.灯具旋转图案盘具有6个颗更换图案+白光</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8.灯具拥有一个可旋转的3棱镜，棱镜具有效果移动功能。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9.灯具具有雾化功能。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10.灯具扫描范围:X轴540° (16bit精度扫描);Y轴270° (16bit精度扫描)。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11.灯具DMX控制通道数量为17通道。</w:t>
            </w:r>
          </w:p>
        </w:tc>
      </w:tr>
      <w:tr>
        <w:tblPrEx>
          <w:tblCellMar>
            <w:top w:w="0" w:type="dxa"/>
            <w:left w:w="0" w:type="dxa"/>
            <w:bottom w:w="0" w:type="dxa"/>
            <w:right w:w="0" w:type="dxa"/>
          </w:tblCellMar>
        </w:tblPrEx>
        <w:trPr>
          <w:trHeight w:val="9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三基色冷光灯(逆光一)</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1.输入电源：AC100~250V 50/60Hz</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2.光       源： 600颗0.5W足功率LED光源；光源通过无蓝光危害检测，保护眼睛                                                                                       3.显色指数：≥95Ra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4.功       率：350W</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5.色       温：3200K/4000K/5600K  OR3200K/5600K可调                                                                                                                                                                                                                          6.寿       命：5万小时(每天使用10小时，可使用13年)</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7.通道模式：2CH/3CH两种模式可选                                                                                                                                                                                                                                                                                       8.冷却系统：灯体设计散热性强，持续点亮5小时，温升不超35℃，四片遮菲遮光，固定柔光板,铝合金型材灯体，轻巧美观。有效光照距离：15米；                                                                                                  9.软件精细度：采用64位系统，0～100%精细调光功能，在摄像、照相机下无闪烁，无抖动</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10.控制板： 高质稳定控制板，具有过流、过压、温控等保护措施，保证了灯具的工作稳定。</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11.电源：  国内优质电源，均严格通过国际标准电源效率，高温，宽压测试。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12.工作环境：-20℃-40℃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13.控制模式：DMX512/声控/自走/从主机模式/手动控制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14.信号输入输出：三芯(五芯)卡侬头插座</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15.电源出线方式：音响卡农座</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16.防护等级：IP20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17.手动调光：0~100%顺滑调光，角度：115度</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18.效       果：内置多种速度频闪效果.                                                                                                                                                                                                                   19.可选配件：SONY V 口挂板，电位器，遥控器。</w:t>
            </w:r>
          </w:p>
        </w:tc>
      </w:tr>
      <w:tr>
        <w:tblPrEx>
          <w:tblCellMar>
            <w:top w:w="0" w:type="dxa"/>
            <w:left w:w="0" w:type="dxa"/>
            <w:bottom w:w="0" w:type="dxa"/>
            <w:right w:w="0" w:type="dxa"/>
          </w:tblCellMar>
        </w:tblPrEx>
        <w:trPr>
          <w:trHeight w:val="32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大功率LED户内束光灯(逆光二)</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1.频闪:1-25Hz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2.透镜角度:25°(15°、45°可选)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3.光源:90×3W LED(R24+G24+B24+W18)光源通过无蓝光危害测试，保护眼睛</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4.色温:3200K～7200K</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5.混色:RGBW(红绿蓝白)混色，内置宏功能。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6.电子调光:0-100%可调，主从自走自动同步功能，控台正常控制自走永久同步。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7.效果配置：全光域调光，65536级调光精度，高光输出，低眩</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8.控制方式:多种声控、DMX512接口、内置程序自走、主从联机模式，支持RDM协议</w:t>
            </w:r>
          </w:p>
          <w:p>
            <w:pPr>
              <w:widowControl/>
              <w:numPr>
                <w:ilvl w:val="0"/>
                <w:numId w:val="36"/>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通道</w:t>
            </w:r>
            <w:r>
              <w:rPr>
                <w:rFonts w:hint="eastAsia" w:ascii="宋体" w:hAnsi="宋体" w:eastAsia="宋体" w:cs="宋体"/>
                <w:color w:val="auto"/>
                <w:kern w:val="0"/>
                <w:szCs w:val="21"/>
                <w:lang w:bidi="ar"/>
              </w:rPr>
              <w:t>≥</w:t>
            </w:r>
            <w:r>
              <w:rPr>
                <w:rFonts w:hint="eastAsia" w:ascii="宋体" w:hAnsi="宋体" w:eastAsia="宋体" w:cs="宋体"/>
                <w:color w:val="auto"/>
                <w:kern w:val="0"/>
                <w:sz w:val="20"/>
                <w:szCs w:val="20"/>
                <w:lang w:bidi="ar"/>
              </w:rPr>
              <w:t>8通道。</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12.防护等级：IP20              </w:t>
            </w:r>
          </w:p>
        </w:tc>
      </w:tr>
      <w:tr>
        <w:tblPrEx>
          <w:tblCellMar>
            <w:top w:w="0" w:type="dxa"/>
            <w:left w:w="0" w:type="dxa"/>
            <w:bottom w:w="0" w:type="dxa"/>
            <w:right w:w="0" w:type="dxa"/>
          </w:tblCellMar>
        </w:tblPrEx>
        <w:trPr>
          <w:trHeight w:val="4513"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电脑摇头光束灯(逆光二)</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频闪:0.5-14次/S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2.光源:欧司朗311W，总功率350W</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3.色温:8500K</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4.光束角度:平行光0-2度,雾化光角度8°</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5.灯具色盘具有14个颜色片+1个空白且具有双向彩虹效果速度可调，住意定位功能。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6.灯具固定图案盘具有13个固定图案片+1个空白且具有图案抖动,单向流水速度可调，任意定位功能。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7.灯具拥有1个16棱镜+1个8棱镜和1个双云俊镜(8棱镜+16棱镜)。六色镜实现光束多彩效果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8.灯具具有雾化功能。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9.灯具采用宽屏2.8寸LCD液晶中英文显示界面。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10.灯具通过磁电式定位系统进行定位。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11.灯具拥有DMX512协议接口(ART-NET/RDM/DMX无线接收器,可选配)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12.灯具DMX控制通道数量为16通道。</w:t>
            </w:r>
          </w:p>
        </w:tc>
      </w:tr>
      <w:tr>
        <w:tblPrEx>
          <w:tblCellMar>
            <w:top w:w="0" w:type="dxa"/>
            <w:left w:w="0" w:type="dxa"/>
            <w:bottom w:w="0" w:type="dxa"/>
            <w:right w:w="0" w:type="dxa"/>
          </w:tblCellMar>
        </w:tblPrEx>
        <w:trPr>
          <w:trHeight w:val="158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大功率LED户内束光灯(侧光)</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1.输入电源：AC100~240V 50/60Hz</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2.光       源：1x200W冷/暖白LED模组   灯珠寿命：50000h</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优化高清光学系统，改进的光度性能及光斑均匀度；光斑边缘可调整凌厉（清晰)及柔软（柔光）效果                                                                                                                                                                                                                                3.功       率：250W</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4.色       温：3000K/4000K/5700K 可选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5.显       指：CRI≥95超高亮度，可替代传统1000W的PAR灯                                                                                                                                                                                                                                     6.透镜筒可切换，常规19°透镜角度                                                                                                                                                                                                                                                           7.散       热：强力散热风扇多叶片拉铝，对流传热灯体外壳散热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8.调       光：0-255，0%-100%线性调光</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9.工作环境：-20℃-40℃                                                                                                                                                                                                                                                                          10.通道模式</w:t>
            </w:r>
            <w:r>
              <w:rPr>
                <w:rFonts w:hint="eastAsia" w:ascii="宋体" w:hAnsi="宋体" w:eastAsia="宋体" w:cs="宋体"/>
                <w:color w:val="auto"/>
                <w:kern w:val="0"/>
                <w:szCs w:val="21"/>
                <w:lang w:bidi="ar"/>
              </w:rPr>
              <w:t>≥</w:t>
            </w:r>
            <w:r>
              <w:rPr>
                <w:rFonts w:hint="eastAsia" w:ascii="宋体" w:hAnsi="宋体" w:eastAsia="宋体" w:cs="宋体"/>
                <w:color w:val="auto"/>
                <w:kern w:val="0"/>
                <w:sz w:val="20"/>
                <w:szCs w:val="20"/>
                <w:lang w:bidi="ar"/>
              </w:rPr>
              <w:t xml:space="preserve">2通道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11.控制模式：DMX512/声控/自走/从主机模式/手动控制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12.信号输入输出：三芯(五芯)卡侬头插座</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13.电源出线方式：音响卡农座</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14.防护等级：IP20</w:t>
            </w:r>
          </w:p>
        </w:tc>
      </w:tr>
      <w:tr>
        <w:tblPrEx>
          <w:tblCellMar>
            <w:top w:w="0" w:type="dxa"/>
            <w:left w:w="0" w:type="dxa"/>
            <w:bottom w:w="0" w:type="dxa"/>
            <w:right w:w="0" w:type="dxa"/>
          </w:tblCellMar>
        </w:tblPrEx>
        <w:trPr>
          <w:trHeight w:val="826"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成像灯(面光)</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1.输入电源：AC100~240V 50/60Hz</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 xml:space="preserve">2.光       源：1x300W冷/暖白LED模组，光源通过无蓝光危害检测，保护眼睛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3.功       率：360W</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4.色       温：3000K/4000K/5700K</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5.调焦角度：16°-50°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6.通道模式</w:t>
            </w:r>
            <w:r>
              <w:rPr>
                <w:rFonts w:hint="eastAsia" w:ascii="宋体" w:hAnsi="宋体" w:eastAsia="宋体" w:cs="宋体"/>
                <w:color w:val="auto"/>
                <w:kern w:val="0"/>
                <w:szCs w:val="21"/>
                <w:lang w:bidi="ar"/>
              </w:rPr>
              <w:t>≥</w:t>
            </w:r>
            <w:r>
              <w:rPr>
                <w:rFonts w:hint="eastAsia" w:ascii="宋体" w:hAnsi="宋体" w:eastAsia="宋体" w:cs="宋体"/>
                <w:color w:val="auto"/>
                <w:kern w:val="0"/>
                <w:sz w:val="20"/>
                <w:szCs w:val="20"/>
                <w:lang w:bidi="ar"/>
              </w:rPr>
              <w:t xml:space="preserve">5通道                                                                                                                                                                                                                                                                                        </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7.工作环境：-20℃-40℃</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8.控制模式：DMX512/声控/自走/从主机模式/手动控制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9.信号输入输出：三芯(五芯)卡侬头插座</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10.电源出线方式：音响卡农座</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11.防护等级：IPX4</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12.显       指：CRI≥90超高亮度，可替代传统1000W的PAR灯</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13.手动调光：0~100%顺滑调光</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14.效       果：内置多种速度频闪效果</w:t>
            </w:r>
          </w:p>
        </w:tc>
      </w:tr>
      <w:tr>
        <w:tblPrEx>
          <w:tblCellMar>
            <w:top w:w="0" w:type="dxa"/>
            <w:left w:w="0" w:type="dxa"/>
            <w:bottom w:w="0" w:type="dxa"/>
            <w:right w:w="0" w:type="dxa"/>
          </w:tblCellMar>
        </w:tblPrEx>
        <w:trPr>
          <w:trHeight w:val="19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LED散光灯(天幕光)</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val="en-US" w:eastAsia="zh-CN" w:bidi="ar"/>
              </w:rPr>
              <w:t>1.</w:t>
            </w:r>
            <w:r>
              <w:rPr>
                <w:rFonts w:hint="eastAsia" w:ascii="宋体" w:hAnsi="宋体" w:eastAsia="宋体" w:cs="宋体"/>
                <w:color w:val="auto"/>
                <w:kern w:val="0"/>
                <w:sz w:val="20"/>
                <w:szCs w:val="20"/>
                <w:lang w:bidi="ar"/>
              </w:rPr>
              <w:t>频闪效果:1-30Hz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2.光源:108*3W LED (R27G27B27W27)光源通过无蓝光危害检测，保护眼睛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3.光束角度:60°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4.调光:0~100%可调。</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5.过温保护功能:内置NTC温度控测功能,当LED工作过热时，降低LED的输出功率。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6.通道≥8通道。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7.支持RDM协议接口。</w:t>
            </w:r>
          </w:p>
        </w:tc>
      </w:tr>
      <w:tr>
        <w:tblPrEx>
          <w:tblCellMar>
            <w:top w:w="0" w:type="dxa"/>
            <w:left w:w="0" w:type="dxa"/>
            <w:bottom w:w="0" w:type="dxa"/>
            <w:right w:w="0" w:type="dxa"/>
          </w:tblCellMar>
        </w:tblPrEx>
        <w:trPr>
          <w:trHeight w:val="14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效果烟机</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输入电压：110-240V50/60Hz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保险丝 :5A/250V</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功率 :600W-750W</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预热时间：0Min</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输出量：3200cuft/min</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 油桶容积 :2L</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 耗油量：24h/L</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 控制器 :液晶控制器、512信号、遥控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 通道一：出烟开和关</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 通道二：调节风力大小</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300W泡泡机</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 xml:space="preserve">输入电压：110-240V50/60Hz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额定功率：300W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泡泡油容量：2.5L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吹泡高度：10米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持续时间：50分钟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覆盖范围：200平方米</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控制方式：遥控（30米），手动。                    </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特点：300W双鼓风大泡泡机经过不断的改良，具有体积小、移动方便、出泡率高、无线遥控等特点。采用对空式双轮高速出泡，鼓风机上扬等工艺，使该机稳定性好、无噪音、出泡多、均匀、覆盖面大，广泛用于各类大小型演出及庆典活动。</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灯光控台 1024</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DMX512/1990标准，最大1024个DMX控制通道，两路光电隔离信号输出。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最大控制120台电脑灯或120路调光。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使用珍珠灯库（R20格式灯库），且控台上可自行编写灯库。</w:t>
            </w:r>
          </w:p>
          <w:p>
            <w:pPr>
              <w:widowControl/>
              <w:jc w:val="both"/>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带背光的LCD显示屏，首创的中英文显示可切换界面。面板中英文可选。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内置图形轨迹发生器，有227个内置图形，方便用户对电脑灯进行图形轨迹控制，如画圆、螺旋、彩虹、追逐等多种效果。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图形参数（如：振幅、速度、间隔、波浪、方向）均可独立设置，更方便快捷的做出想要的造型和场景。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每个场景可保存图形数量5个；同时可运行图形数量10个。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有节目录制功能，最多可储存</w:t>
            </w:r>
            <w:r>
              <w:rPr>
                <w:rFonts w:hint="eastAsia" w:ascii="宋体" w:hAnsi="宋体" w:eastAsia="宋体" w:cs="宋体"/>
                <w:color w:val="auto"/>
                <w:kern w:val="0"/>
                <w:szCs w:val="21"/>
                <w:lang w:bidi="ar"/>
              </w:rPr>
              <w:t>≥</w:t>
            </w:r>
            <w:r>
              <w:rPr>
                <w:rFonts w:hint="eastAsia" w:ascii="宋体" w:hAnsi="宋体" w:eastAsia="宋体" w:cs="宋体"/>
                <w:color w:val="auto"/>
                <w:kern w:val="0"/>
                <w:sz w:val="20"/>
                <w:szCs w:val="20"/>
                <w:lang w:bidi="ar"/>
              </w:rPr>
              <w:t>80个节目，灯光秀演示一劳永逸。</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有内置时间码和外置MIDI触发功能,让您轻松实现一键声光同步的炫丽灯光秀。</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场景能够实现交叠功能，图形有宽度参数，能够更快速的编程。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具有高级编组功能。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可储存100个素材，素材共享或者独立素材均可随心设置。</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素材储存模式有四种，素材储存和调用灵活便捷。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可储存120个重演场景，用于储存多步场景和单步场景。每个多步场景最多可储存600个单步。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可同时输出和运行12个重演场景。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带12根集控推杆。按键点控和推杆集控兼容。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支持重新配节地址码、垂直水平交换、通道输出反向等功能。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关机或者突发断电等情况数据可记忆保持。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U盘可备份控台数据，并支持重新导入到控台使用，同型号控台数据可共享。</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支持远程软件升级，随时随地增加新的功能。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具有预编程功能，离线事先编程，省事省心。</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预置推杆可控制电脑灯的属性，属性控制更方便快捷。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支持立即黑场、场景互锁。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专业鹅颈工作灯，适合室内外演出使用。（选配）</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电源：AC 100 -240V / 50-60Hz</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直通 12*4kw</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供电：三相五线制AC380V±10％，频率50Hz±5％.</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额定功率：12路×4KW; 可适用于任何负载.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过载与短路双重保护高分断空气开关.</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A.B.C三相工作指示灯. 设两脚和三脚万能用插座方便使用，进口接线端输入，单40A胶木插输出。</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信号放大器</w:t>
            </w:r>
          </w:p>
        </w:tc>
        <w:tc>
          <w:tcPr>
            <w:tcW w:w="791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供电：115V/230V</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频率：50HZ</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每路信号输出都配备信号指示灯，</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信号正常情况下处于红色频闪状态，</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当某一输出端出现信号短路或者开路时，</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信号指示灯则变为红色常亮状态，</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并伴有声音提示，智能提醒，</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不仅能让使用者及时发现信号故障，</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并能直接指向问题端口。</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因此大大降低了排查故障的时间，</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定位准确，并且每路都有独立的电路保护，</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保护每路输出免受外部电压的干扰，</w:t>
            </w:r>
          </w:p>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使工程演绎更加高效完美!</w:t>
            </w:r>
          </w:p>
        </w:tc>
      </w:tr>
    </w:tbl>
    <w:p>
      <w:pPr>
        <w:widowControl w:val="0"/>
        <w:jc w:val="center"/>
        <w:rPr>
          <w:rFonts w:hint="eastAsia" w:eastAsia="宋体" w:cs="Times New Roman"/>
          <w:b/>
          <w:bCs/>
          <w:color w:val="auto"/>
          <w:kern w:val="2"/>
          <w:sz w:val="28"/>
          <w:szCs w:val="28"/>
          <w:lang w:val="en-US" w:eastAsia="zh-CN"/>
        </w:rPr>
      </w:pPr>
      <w:r>
        <w:rPr>
          <w:rFonts w:hint="eastAsia" w:eastAsia="宋体" w:cs="Times New Roman"/>
          <w:b/>
          <w:bCs/>
          <w:color w:val="auto"/>
          <w:kern w:val="2"/>
          <w:sz w:val="28"/>
          <w:szCs w:val="28"/>
        </w:rPr>
        <w:t>十二、</w:t>
      </w:r>
      <w:r>
        <w:rPr>
          <w:rFonts w:hint="eastAsia" w:eastAsia="宋体" w:cs="Times New Roman"/>
          <w:b/>
          <w:bCs/>
          <w:color w:val="auto"/>
          <w:kern w:val="2"/>
          <w:sz w:val="28"/>
          <w:szCs w:val="28"/>
          <w:lang w:eastAsia="zh-CN"/>
        </w:rPr>
        <w:t>设计变</w:t>
      </w:r>
      <w:r>
        <w:rPr>
          <w:rFonts w:hint="eastAsia" w:eastAsia="宋体" w:cs="Times New Roman"/>
          <w:b/>
          <w:bCs/>
          <w:color w:val="auto"/>
          <w:kern w:val="2"/>
          <w:sz w:val="28"/>
          <w:szCs w:val="28"/>
        </w:rPr>
        <w:t>单增加</w:t>
      </w:r>
      <w:r>
        <w:rPr>
          <w:rFonts w:hint="eastAsia" w:eastAsia="宋体" w:cs="Times New Roman"/>
          <w:b/>
          <w:bCs/>
          <w:color w:val="auto"/>
          <w:kern w:val="2"/>
          <w:sz w:val="28"/>
          <w:szCs w:val="28"/>
          <w:lang w:eastAsia="zh-CN"/>
        </w:rPr>
        <w:t>部分</w:t>
      </w:r>
      <w:r>
        <w:rPr>
          <w:rFonts w:hint="eastAsia" w:eastAsia="宋体" w:cs="Times New Roman"/>
          <w:b/>
          <w:bCs/>
          <w:color w:val="auto"/>
          <w:kern w:val="2"/>
          <w:sz w:val="28"/>
          <w:szCs w:val="28"/>
          <w:lang w:val="en-US" w:eastAsia="zh-CN"/>
        </w:rPr>
        <w:t>-舞台器械系统</w:t>
      </w:r>
    </w:p>
    <w:tbl>
      <w:tblPr>
        <w:tblStyle w:val="38"/>
        <w:tblW w:w="9071" w:type="dxa"/>
        <w:jc w:val="center"/>
        <w:tblLayout w:type="autofit"/>
        <w:tblCellMar>
          <w:top w:w="0" w:type="dxa"/>
          <w:left w:w="0" w:type="dxa"/>
          <w:bottom w:w="0" w:type="dxa"/>
          <w:right w:w="0" w:type="dxa"/>
        </w:tblCellMar>
      </w:tblPr>
      <w:tblGrid>
        <w:gridCol w:w="1440"/>
        <w:gridCol w:w="7631"/>
      </w:tblGrid>
      <w:tr>
        <w:tblPrEx>
          <w:tblCellMar>
            <w:top w:w="0" w:type="dxa"/>
            <w:left w:w="0" w:type="dxa"/>
            <w:bottom w:w="0" w:type="dxa"/>
            <w:right w:w="0" w:type="dxa"/>
          </w:tblCellMar>
        </w:tblPrEx>
        <w:trPr>
          <w:trHeight w:val="28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设备名称</w:t>
            </w:r>
          </w:p>
        </w:tc>
        <w:tc>
          <w:tcPr>
            <w:tcW w:w="7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0"/>
                <w:szCs w:val="20"/>
                <w:u w:val="none"/>
              </w:rPr>
            </w:pPr>
            <w:r>
              <w:rPr>
                <w:rFonts w:hint="eastAsia" w:ascii="宋体" w:hAnsi="宋体" w:eastAsia="宋体" w:cs="宋体"/>
                <w:b/>
                <w:i w:val="0"/>
                <w:color w:val="auto"/>
                <w:kern w:val="0"/>
                <w:sz w:val="20"/>
                <w:szCs w:val="20"/>
                <w:u w:val="none"/>
                <w:lang w:val="en-US" w:eastAsia="zh-CN" w:bidi="ar"/>
              </w:rPr>
              <w:t>参数</w:t>
            </w:r>
          </w:p>
        </w:tc>
      </w:tr>
      <w:tr>
        <w:tblPrEx>
          <w:tblCellMar>
            <w:top w:w="0" w:type="dxa"/>
            <w:left w:w="0" w:type="dxa"/>
            <w:bottom w:w="0" w:type="dxa"/>
            <w:right w:w="0" w:type="dxa"/>
          </w:tblCellMar>
        </w:tblPrEx>
        <w:trPr>
          <w:trHeight w:val="747"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大幕机</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1.安装类型：本体安装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2.电源：380V/50Hz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3.功率：P4/1.1kw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4.输出转速：93.3rpm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5.额定扭矩：93NM；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6.对开速度：0.01-1.0m/s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7.运行噪音：≤45dB(A)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8.驱动方式：钢丝绳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9.防护等级：IP54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10.绝缘等级：F级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11.工作制：S1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12.噪音：50dB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13.驱动类型：变频调速拉幕机装置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14.保护装置：行程限位、机械限位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15.设备尺寸：L447mm*W187.4mm*H300mm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16.自重：约19.6kg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17.辅材：带头车，安全板，导向滑轮等</w:t>
            </w:r>
          </w:p>
        </w:tc>
      </w:tr>
      <w:tr>
        <w:tblPrEx>
          <w:tblCellMar>
            <w:top w:w="0" w:type="dxa"/>
            <w:left w:w="0" w:type="dxa"/>
            <w:bottom w:w="0" w:type="dxa"/>
            <w:right w:w="0" w:type="dxa"/>
          </w:tblCellMar>
        </w:tblPrEx>
        <w:trPr>
          <w:trHeight w:val="96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三角轨道</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1.安装类型：吊挂安装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2.轨道尺寸：14.8m，单边尺寸：8.4m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3.类型：拼接式三角桁架结构，承载：80kg/m，安全保护：开合限位、安全板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4.轨道截面尺寸:W304mm*H446mm，轨道自重：15.3kg/m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5.配件包括：设备所需的辅助配件</w:t>
            </w:r>
          </w:p>
        </w:tc>
      </w:tr>
      <w:tr>
        <w:tblPrEx>
          <w:tblCellMar>
            <w:top w:w="0" w:type="dxa"/>
            <w:left w:w="0" w:type="dxa"/>
            <w:bottom w:w="0" w:type="dxa"/>
            <w:right w:w="0" w:type="dxa"/>
          </w:tblCellMar>
        </w:tblPrEx>
        <w:trPr>
          <w:trHeight w:val="96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吊杆机(多层缠绕)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1.安装类型：轨道安装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2.载荷：4.0kn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3.运行速度：0.015-0.15m/s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4.电源：380V/50Hz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5.功率：P4/1.1KW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6.吊点数：6个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7.定位精度：≤±5mm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8.运行噪音：≤50dB（A）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9.最大行程：22m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10.减速机型号：K系列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11.吊杆机卷绳形式：多层缠绕（双输出轴卷扬机）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12.安全措施：限位保护、双刹车制动、极限保护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13.设备尺寸：L730mm*W510*H370mm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14.设备自重：104kg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15.防护等级：IP54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16.配件：双重限位开关，冲顶开关</w:t>
            </w:r>
          </w:p>
        </w:tc>
      </w:tr>
      <w:tr>
        <w:tblPrEx>
          <w:tblCellMar>
            <w:top w:w="0" w:type="dxa"/>
            <w:left w:w="0" w:type="dxa"/>
            <w:bottom w:w="0" w:type="dxa"/>
            <w:right w:w="0" w:type="dxa"/>
          </w:tblCellMar>
        </w:tblPrEx>
        <w:trPr>
          <w:trHeight w:val="120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吊杆机(多层缠绕)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1.安装类型：轨道安装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2.载荷：8.0kn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3.运行速度：0.015-0.15m/s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4.电源：380V/50Hzzt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5.功率：P4/2.2KW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6.吊点数：6个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7.定位精度：≤±5mm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8.运行噪音：≤50dB（A）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9.最大行程：22m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10.减速机型号：K系列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11.吊杆机卷绳形式：多层缠绕（双输出轴卷扬机）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12.安全措施：限位保护、双刹车制动、极限保护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13.设备尺寸：L770mm*W540*H430mm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14.设备自重：138kg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15.防护等级：IP54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16.配件：双重限位开关，冲顶开关</w:t>
            </w:r>
          </w:p>
        </w:tc>
      </w:tr>
      <w:tr>
        <w:tblPrEx>
          <w:tblCellMar>
            <w:top w:w="0" w:type="dxa"/>
            <w:left w:w="0" w:type="dxa"/>
            <w:bottom w:w="0" w:type="dxa"/>
            <w:right w:w="0" w:type="dxa"/>
          </w:tblCellMar>
        </w:tblPrEx>
        <w:trPr>
          <w:trHeight w:val="96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吊杆机(多层缠绕)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1.安装类型：轨道安装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2.载荷：8.0kn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3.运行速度：0.015-0.15m/s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4.电源：380V/50Hz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5.功率：P4/2.2KW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6.吊点数：6个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7.定位精度：≤±5mm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8.运行噪音：≤50dB（A）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9.最大行程：22m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10.减速机型号：K系列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11.吊杆机卷绳形式：多层缠绕（双输出轴卷扬机）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12.安全措施：限位保护、双刹车制动、极限保护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13.设备尺寸：L770mm*W540*H430mm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14.设备自重：138kg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15.防护等级：IP54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16.配件：双重限位开关，冲顶开关</w:t>
            </w:r>
          </w:p>
        </w:tc>
      </w:tr>
      <w:tr>
        <w:tblPrEx>
          <w:tblCellMar>
            <w:top w:w="0" w:type="dxa"/>
            <w:left w:w="0" w:type="dxa"/>
            <w:bottom w:w="0" w:type="dxa"/>
            <w:right w:w="0" w:type="dxa"/>
          </w:tblCellMar>
        </w:tblPrEx>
        <w:trPr>
          <w:trHeight w:val="19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吊杆机(多层缠绕)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1.安装类型：轨道安装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2.载荷：4.0kn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3.运行速度：0.015-0.15m/s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4.电源：380V/50Hz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5.功率：P4/1.1KW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6.吊点数：6个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7.定位精度：≤±5mm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8.运行噪音：≤50dB（A）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9.最大行程：22m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10.减速机型号：K系列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11.吊杆机卷绳形式：多层缠绕（双输出轴卷扬机）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12.安全措施：限位保护、双刹车制动、极限保护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13.设备尺寸：L730mm*W510*H370mm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14.设备自重：104kg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15.防护等级：IP54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16.配件：双重限位开关，冲顶开关</w:t>
            </w:r>
          </w:p>
        </w:tc>
      </w:tr>
      <w:tr>
        <w:tblPrEx>
          <w:tblCellMar>
            <w:top w:w="0" w:type="dxa"/>
            <w:left w:w="0" w:type="dxa"/>
            <w:bottom w:w="0" w:type="dxa"/>
            <w:right w:w="0" w:type="dxa"/>
          </w:tblCellMar>
        </w:tblPrEx>
        <w:trPr>
          <w:trHeight w:val="1164"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杆体</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1.双管H型结构，中间采用40×20×2方管/40*4扁铁连接，发黑处理，尺寸：￠48mm*H350mm，自重：7.7kg/m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2.配件包括：设备所需的辅助配件</w:t>
            </w:r>
          </w:p>
        </w:tc>
      </w:tr>
      <w:tr>
        <w:tblPrEx>
          <w:tblCellMar>
            <w:top w:w="0" w:type="dxa"/>
            <w:left w:w="0" w:type="dxa"/>
            <w:bottom w:w="0" w:type="dxa"/>
            <w:right w:w="0" w:type="dxa"/>
          </w:tblCellMar>
        </w:tblPrEx>
        <w:trPr>
          <w:trHeight w:val="14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八路可编程控制箱</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1.规格：3U；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3.外形尺寸：L485mm*W440mm*H133mm；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4.安装方式：19英寸标准机柜水平安装；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5.接线方式：电机信号线-管型冷压端子，机箱之间连线-DB15成品线连接，AC/DC电源线-3芯欧姆接头，RJ45接头；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6.电源输入：AC220V，带绿色电源输入指示灯，；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7.电源输出：DC24V；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8.网络接口：一个以太网端口；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9.控制信号接口：8个，最多支持连接8个四路接触控制箱；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10.电机限位线接口：9个，最多支持连接36台电机上下限位线；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11.可编程控制器(PLC)I/O：24点输入/16点数出；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12.可编程控制器(PLC)I/O扩展模块：无，最多支持6个扩展模块；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13.网络通信：支持PROFINET通信，支持多台PLC之间以太网通信，支持开放式以太网通信-TCP，UDP，ISO_on_TCP，Modbus TCP等多种通信协议；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14.数据传输速率： 10/100 Mbit/s；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15.输出路数：八路输出。</w:t>
            </w:r>
          </w:p>
        </w:tc>
      </w:tr>
      <w:tr>
        <w:tblPrEx>
          <w:tblCellMar>
            <w:top w:w="0" w:type="dxa"/>
            <w:left w:w="0" w:type="dxa"/>
            <w:bottom w:w="0" w:type="dxa"/>
            <w:right w:w="0" w:type="dxa"/>
          </w:tblCellMar>
        </w:tblPrEx>
        <w:trPr>
          <w:trHeight w:val="4468"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ZT四路接触器控制箱</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1.规格：4U；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3.外形尺寸：L485mm*W440mm*H183mm；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4.安装方式：19英寸标准机柜水平安装；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5.接线方式：AC380V输入输出线使用防水插头连接，AC控制电源线和电机刹车线使用3芯欧姆接头连接；信号线使用DB15成品线连接；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6.控制信号接口：1个DC24V；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7.电机接口：4个AC380V；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8.电机刹车接口：4个AC380V；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9.电源输入：AC380V，级数-3P+N+E；带黄绿红三色电源输入指示灯；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10.电源输出：AC380V，级数-3P+E；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11.功率输出：4*2.2KW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12.防护等级：IP44；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13.输出路数：四路变频切换控制输出。</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ZT两路对开幕变频控制机箱</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1.规格：4U；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3.外形尺寸：L485mm*W440mm*H183mm；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4.安装方式：19英寸标准机柜水平安装；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5.接线方式：电机信号线-管型冷压端子接线；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6.电源输入：电源输入：AC380V，级数-3P+N+E；带黄绿红三色电源输入指示灯；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7.电源输出：AC380V，级数-3P+E；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8.功率输出：2*1.1KW；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9.电源输出口：1个DC24V(备用）；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10.网络接口：一个以太网端口(备用）；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11.电机限位线接口：1个DC24V；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12.遥控接口：1个DC24V；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13.遥控范围：100米内无障碍控制；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14.控制按钮：4个DC24V；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15.急停按钮：1个DC24V；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16.切换开关：1个DC24V；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17.可编程控制器(PLC)I/O：12点输入/8点数出；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18.可编程控制器(PLC)I/O扩展模块：无，最多支持6个扩展模块；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19.数据传输速率：10/100 Mbit/s；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20.输出路数：两路输出，其中一路带变频控制输出。</w:t>
            </w:r>
          </w:p>
        </w:tc>
      </w:tr>
      <w:tr>
        <w:tblPrEx>
          <w:tblCellMar>
            <w:top w:w="0" w:type="dxa"/>
            <w:left w:w="0" w:type="dxa"/>
            <w:bottom w:w="0" w:type="dxa"/>
            <w:right w:w="0" w:type="dxa"/>
          </w:tblCellMar>
        </w:tblPrEx>
        <w:trPr>
          <w:trHeight w:val="2925"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八路急停控制箱</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 xml:space="preserve">1.规格：1U；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3.外形尺寸：L164.5mm*W482.6mm*H44.4mm；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4.安装方式：19英寸标准机柜水平安装；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5.接线方式：欧姆头对接；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6.电源输入：AC220V，带绿色电源输入指示灯；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7.电源输出：AC220V；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8.功率输出：4KW；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9.电源输出口：8个AC220V欧姆头口；一个端口备用;</w:t>
            </w:r>
          </w:p>
        </w:tc>
      </w:tr>
      <w:tr>
        <w:tblPrEx>
          <w:tblCellMar>
            <w:top w:w="0" w:type="dxa"/>
            <w:left w:w="0" w:type="dxa"/>
            <w:bottom w:w="0" w:type="dxa"/>
            <w:right w:w="0" w:type="dxa"/>
          </w:tblCellMar>
        </w:tblPrEx>
        <w:trPr>
          <w:trHeight w:val="144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触摸屏控制盒</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1.规格：7" TFT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3.分辨率：800×480像素；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4.对比度:500:1；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5.亮度:400cd/m²；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6.外形尺寸：L294mm*W210mm*H60mm；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7.安装方式：挂璧式安装；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8.接线方式：AC/DC电源线-3芯欧姆接头接线；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9.电源输入：一个工作电压DC24V，一个急停控制AC220V；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10.网络接口：一个以太网端口；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11.数据传输速率：10/100 Mbit/s；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12.启动按钮：1个DC24V（备用）；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13.急停按钮：1个DC24V；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14.电锁开关：1个DC24V；</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总配电箱</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rPr>
            </w:pPr>
            <w:r>
              <w:rPr>
                <w:rFonts w:hint="eastAsia" w:ascii="宋体" w:hAnsi="宋体" w:eastAsia="宋体" w:cs="宋体"/>
                <w:i w:val="0"/>
                <w:iCs w:val="0"/>
                <w:color w:val="auto"/>
                <w:kern w:val="0"/>
                <w:sz w:val="20"/>
                <w:szCs w:val="20"/>
                <w:u w:val="none"/>
                <w:lang w:val="en-US" w:eastAsia="zh-CN" w:bidi="ar"/>
              </w:rPr>
              <w:t>1.规格：5U；</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3.外形尺寸：L485mm*W440mm*H222mm；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4.安装方式：19英寸标准机柜水平安装；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5.接线方式：AC380V输入输出线使用防水插头连接，AC220V电源线使用3芯欧姆接头连接；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6.通讯接口：1个RS485端口；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7.电源输入：AC380V，级数-3P+N+E；带三相多功能智能电力仪表；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8.电源输出：AC380V，级数-3P+N+E；</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9.功率输出：8*4KW；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10.防护等级：输入-IP67，输出-IP44；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11.输出路数：8路AC380V，1路AC220V；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12:功能：具备全电量参数测量、双向电能计量、四象限无功电能计量和谐波分析等功能，可接入电力监控系统、能源管理系统，实现远程数据监测。</w:t>
            </w:r>
          </w:p>
        </w:tc>
      </w:tr>
      <w:tr>
        <w:tblPrEx>
          <w:tblCellMar>
            <w:top w:w="0" w:type="dxa"/>
            <w:left w:w="0" w:type="dxa"/>
            <w:bottom w:w="0" w:type="dxa"/>
            <w:right w:w="0" w:type="dxa"/>
          </w:tblCellMar>
        </w:tblPrEx>
        <w:trPr>
          <w:trHeight w:val="496"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会标幕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丝绒会标幕幕布含棉布衬里，国家B1级防火阻燃处理，满足现场需求15m*1m*3*1；防火等级：达到GB8624-2012《建筑材料及制品燃烧性能分析》B1级标准；</w:t>
            </w:r>
          </w:p>
        </w:tc>
      </w:tr>
      <w:tr>
        <w:tblPrEx>
          <w:tblCellMar>
            <w:top w:w="0" w:type="dxa"/>
            <w:left w:w="0" w:type="dxa"/>
            <w:bottom w:w="0" w:type="dxa"/>
            <w:right w:w="0" w:type="dxa"/>
          </w:tblCellMar>
        </w:tblPrEx>
        <w:trPr>
          <w:trHeight w:val="9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大幕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丝绒大幕含棉布衬里，国家B1级防火阻燃处理，满足现场需求8.5m*4m*3*2；防火等级：达到GB8624-2012《建筑材料及制品燃烧性能分析》B1级标准；</w:t>
            </w:r>
          </w:p>
        </w:tc>
      </w:tr>
      <w:tr>
        <w:tblPrEx>
          <w:tblCellMar>
            <w:top w:w="0" w:type="dxa"/>
            <w:left w:w="0" w:type="dxa"/>
            <w:bottom w:w="0" w:type="dxa"/>
            <w:right w:w="0" w:type="dxa"/>
          </w:tblCellMar>
        </w:tblPrEx>
        <w:trPr>
          <w:trHeight w:val="9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底幕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丝绒底幕含棉布衬里，国家B1级防火阻燃处理，满足现场需求8.5m*4m*3*2；防火等级：达到GB8624-2012《建筑材料及制品燃烧性能分析》B1级标准；</w:t>
            </w:r>
          </w:p>
        </w:tc>
      </w:tr>
      <w:tr>
        <w:tblPrEx>
          <w:tblCellMar>
            <w:top w:w="0" w:type="dxa"/>
            <w:left w:w="0" w:type="dxa"/>
            <w:bottom w:w="0" w:type="dxa"/>
            <w:right w:w="0" w:type="dxa"/>
          </w:tblCellMar>
        </w:tblPrEx>
        <w:trPr>
          <w:trHeight w:val="35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横条幕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丝绒横条幕含棉布衬里国家B1级防火阻燃处理，满足现场需求15m*1m*3*2；防火等级：达到GB8624-2012《建筑材料及制品燃烧性能分析》B1级标准；</w:t>
            </w:r>
          </w:p>
        </w:tc>
      </w:tr>
      <w:tr>
        <w:tblPrEx>
          <w:tblCellMar>
            <w:top w:w="0" w:type="dxa"/>
            <w:left w:w="0" w:type="dxa"/>
            <w:bottom w:w="0" w:type="dxa"/>
            <w:right w:w="0" w:type="dxa"/>
          </w:tblCellMar>
        </w:tblPrEx>
        <w:trPr>
          <w:trHeight w:val="38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侧条幕</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丝绒侧条幕含棉布衬里，国家B1级防火阻燃处理，满足现场需求1.5m*4m*3*4；防火等级：达到GB8624-2012《建筑材料及制品燃烧性能分析》B1级标准；</w:t>
            </w:r>
          </w:p>
        </w:tc>
      </w:tr>
      <w:tr>
        <w:tblPrEx>
          <w:tblCellMar>
            <w:top w:w="0" w:type="dxa"/>
            <w:left w:w="0" w:type="dxa"/>
            <w:bottom w:w="0" w:type="dxa"/>
            <w:right w:w="0" w:type="dxa"/>
          </w:tblCellMar>
        </w:tblPrEx>
        <w:trPr>
          <w:trHeight w:val="72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幕布衬里</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0"/>
                <w:szCs w:val="20"/>
              </w:rPr>
            </w:pPr>
            <w:r>
              <w:rPr>
                <w:rFonts w:hint="eastAsia" w:ascii="宋体" w:hAnsi="宋体" w:eastAsia="宋体" w:cs="宋体"/>
                <w:color w:val="auto"/>
                <w:kern w:val="0"/>
                <w:sz w:val="20"/>
                <w:szCs w:val="20"/>
                <w:lang w:bidi="ar"/>
              </w:rPr>
              <w:t>丝绒会标幕幕布含棉布衬里，国家B1级防火阻燃处理，满足现场需求15m*1m*3*1；防火等级：达到GB8624-2012《建筑材料及制品燃烧性能分析》B1级标准；</w:t>
            </w:r>
          </w:p>
        </w:tc>
      </w:tr>
      <w:tr>
        <w:tblPrEx>
          <w:tblCellMar>
            <w:top w:w="0" w:type="dxa"/>
            <w:left w:w="0" w:type="dxa"/>
            <w:bottom w:w="0" w:type="dxa"/>
            <w:right w:w="0" w:type="dxa"/>
          </w:tblCellMar>
        </w:tblPrEx>
        <w:trPr>
          <w:trHeight w:val="450" w:hRule="atLeast"/>
          <w:jc w:val="center"/>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舞台专用钢结构</w:t>
            </w:r>
          </w:p>
        </w:tc>
        <w:tc>
          <w:tcPr>
            <w:tcW w:w="763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主梁为12#槽钢；、滑轮梁为10#方钢、马道为40*20方管；</w:t>
            </w:r>
          </w:p>
        </w:tc>
      </w:tr>
    </w:tbl>
    <w:p>
      <w:pPr>
        <w:widowControl w:val="0"/>
        <w:numPr>
          <w:ilvl w:val="0"/>
          <w:numId w:val="0"/>
        </w:numPr>
        <w:ind w:leftChars="0"/>
        <w:jc w:val="left"/>
        <w:rPr>
          <w:rFonts w:hint="eastAsia" w:ascii="宋体" w:hAnsi="宋体" w:eastAsia="宋体" w:cs="宋体"/>
          <w:b/>
          <w:bCs/>
          <w:color w:val="auto"/>
          <w:kern w:val="2"/>
          <w:sz w:val="21"/>
          <w:szCs w:val="21"/>
          <w:lang w:val="en-US" w:eastAsia="zh-CN"/>
        </w:rPr>
      </w:pPr>
    </w:p>
    <w:p>
      <w:pPr>
        <w:widowControl w:val="0"/>
        <w:numPr>
          <w:ilvl w:val="0"/>
          <w:numId w:val="0"/>
        </w:numPr>
        <w:ind w:leftChars="0"/>
        <w:jc w:val="left"/>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注：1）上述设备技术要求中如果出现了参考品牌或规格型号，其目的是为了方便投标供应商直观和准确地把握相应材料和工程设备的技术标准，不具指定或唯一的意思表示，磋商供应商应当参考所列品牌的材料和工程设备，磋商供应商可采用相当于或高于所列品牌技术标准的材料和工程设备。</w:t>
      </w:r>
    </w:p>
    <w:p>
      <w:pPr>
        <w:widowControl w:val="0"/>
        <w:numPr>
          <w:ilvl w:val="0"/>
          <w:numId w:val="0"/>
        </w:numPr>
        <w:ind w:leftChars="0"/>
        <w:jc w:val="left"/>
        <w:rPr>
          <w:rFonts w:ascii="宋体" w:hAnsi="宋体"/>
          <w:b/>
          <w:color w:val="auto"/>
          <w:szCs w:val="21"/>
        </w:rPr>
      </w:pPr>
      <w:r>
        <w:rPr>
          <w:rFonts w:hint="eastAsia" w:ascii="宋体" w:hAnsi="宋体" w:eastAsia="宋体" w:cs="宋体"/>
          <w:b/>
          <w:bCs/>
          <w:color w:val="auto"/>
          <w:kern w:val="2"/>
          <w:sz w:val="21"/>
          <w:szCs w:val="21"/>
          <w:lang w:val="en-US" w:eastAsia="zh-CN"/>
        </w:rPr>
        <w:t>2）若磋商供应商的磋商响应文件对磋商文件所涉的材料、货物（设备）的参考（推荐）品牌、型号未作出具体响应明示的，视为磋商供应商已响应磋商文件要求；中标后，磋商供应商将按采购人要求提供磋商响应文件（推荐）品牌、型号中的任一品牌、型号的材料、货物（设备）。</w:t>
      </w:r>
      <w:bookmarkEnd w:id="84"/>
      <w:bookmarkStart w:id="85" w:name="_Toc24566490"/>
      <w:bookmarkStart w:id="86" w:name="_Toc25241350"/>
      <w:bookmarkStart w:id="87" w:name="_Toc22808748"/>
      <w:bookmarkStart w:id="88" w:name="_Toc22909741"/>
      <w:bookmarkStart w:id="89" w:name="_Toc25227855"/>
    </w:p>
    <w:bookmarkEnd w:id="52"/>
    <w:bookmarkEnd w:id="78"/>
    <w:bookmarkEnd w:id="79"/>
    <w:bookmarkEnd w:id="80"/>
    <w:bookmarkEnd w:id="81"/>
    <w:bookmarkEnd w:id="82"/>
    <w:bookmarkEnd w:id="83"/>
    <w:bookmarkEnd w:id="85"/>
    <w:bookmarkEnd w:id="86"/>
    <w:bookmarkEnd w:id="87"/>
    <w:bookmarkEnd w:id="88"/>
    <w:bookmarkEnd w:id="89"/>
    <w:p>
      <w:pPr>
        <w:keepNext w:val="0"/>
        <w:keepLines w:val="0"/>
        <w:widowControl w:val="0"/>
        <w:adjustRightInd w:val="0"/>
        <w:snapToGrid w:val="0"/>
        <w:spacing w:before="161" w:beforeLines="50" w:after="161" w:afterLines="50" w:line="400" w:lineRule="exact"/>
        <w:jc w:val="center"/>
        <w:outlineLvl w:val="0"/>
        <w:rPr>
          <w:rFonts w:hint="eastAsia" w:ascii="宋体" w:hAnsi="宋体" w:eastAsia="宋体" w:cs="宋体"/>
          <w:b/>
          <w:color w:val="auto"/>
          <w:kern w:val="44"/>
          <w:sz w:val="28"/>
          <w:szCs w:val="36"/>
          <w:highlight w:val="none"/>
          <w:lang w:val="en-US" w:eastAsia="zh-CN" w:bidi="ar-SA"/>
        </w:rPr>
      </w:pPr>
      <w:bookmarkStart w:id="90" w:name="_Toc4983"/>
      <w:bookmarkStart w:id="91" w:name="_Toc13217"/>
    </w:p>
    <w:p>
      <w:pPr>
        <w:keepNext w:val="0"/>
        <w:keepLines w:val="0"/>
        <w:widowControl w:val="0"/>
        <w:adjustRightInd w:val="0"/>
        <w:snapToGrid w:val="0"/>
        <w:spacing w:before="161" w:beforeLines="50" w:after="161" w:afterLines="50" w:line="400" w:lineRule="exact"/>
        <w:jc w:val="center"/>
        <w:outlineLvl w:val="0"/>
        <w:rPr>
          <w:rFonts w:hint="eastAsia" w:ascii="宋体" w:hAnsi="宋体" w:eastAsia="宋体" w:cs="宋体"/>
          <w:b/>
          <w:color w:val="auto"/>
          <w:kern w:val="44"/>
          <w:sz w:val="28"/>
          <w:szCs w:val="36"/>
          <w:highlight w:val="none"/>
          <w:lang w:val="en-US" w:eastAsia="zh-CN" w:bidi="ar-SA"/>
        </w:rPr>
      </w:pPr>
    </w:p>
    <w:p>
      <w:pPr>
        <w:keepNext w:val="0"/>
        <w:keepLines w:val="0"/>
        <w:widowControl w:val="0"/>
        <w:adjustRightInd w:val="0"/>
        <w:snapToGrid w:val="0"/>
        <w:spacing w:before="161" w:beforeLines="50" w:after="161" w:afterLines="50" w:line="400" w:lineRule="exact"/>
        <w:jc w:val="center"/>
        <w:outlineLvl w:val="0"/>
        <w:rPr>
          <w:rFonts w:hint="eastAsia" w:ascii="宋体" w:hAnsi="宋体" w:eastAsia="宋体" w:cs="宋体"/>
          <w:b/>
          <w:color w:val="auto"/>
          <w:kern w:val="44"/>
          <w:sz w:val="28"/>
          <w:szCs w:val="36"/>
          <w:highlight w:val="none"/>
          <w:lang w:val="en-US" w:eastAsia="zh-CN" w:bidi="ar-SA"/>
        </w:rPr>
      </w:pPr>
    </w:p>
    <w:p>
      <w:pPr>
        <w:keepNext w:val="0"/>
        <w:keepLines w:val="0"/>
        <w:widowControl w:val="0"/>
        <w:adjustRightInd w:val="0"/>
        <w:snapToGrid w:val="0"/>
        <w:spacing w:before="161" w:beforeLines="50" w:after="161" w:afterLines="50" w:line="400" w:lineRule="exact"/>
        <w:jc w:val="center"/>
        <w:outlineLvl w:val="0"/>
        <w:rPr>
          <w:rFonts w:hint="eastAsia" w:ascii="宋体" w:hAnsi="宋体" w:eastAsia="宋体" w:cs="宋体"/>
          <w:b/>
          <w:color w:val="auto"/>
          <w:kern w:val="44"/>
          <w:sz w:val="28"/>
          <w:szCs w:val="36"/>
          <w:highlight w:val="none"/>
          <w:lang w:val="en-US" w:eastAsia="zh-CN" w:bidi="ar-SA"/>
        </w:rPr>
      </w:pPr>
    </w:p>
    <w:p>
      <w:pPr>
        <w:pStyle w:val="2"/>
        <w:rPr>
          <w:rFonts w:hint="eastAsia" w:ascii="宋体" w:hAnsi="宋体" w:eastAsia="宋体" w:cs="宋体"/>
          <w:b/>
          <w:color w:val="auto"/>
          <w:kern w:val="44"/>
          <w:sz w:val="28"/>
          <w:szCs w:val="36"/>
          <w:highlight w:val="none"/>
          <w:lang w:val="en-US" w:eastAsia="zh-CN" w:bidi="ar-SA"/>
        </w:rPr>
      </w:pPr>
    </w:p>
    <w:p>
      <w:pPr>
        <w:pStyle w:val="4"/>
        <w:rPr>
          <w:rFonts w:hint="eastAsia" w:ascii="宋体" w:hAnsi="宋体" w:eastAsia="宋体" w:cs="宋体"/>
          <w:b/>
          <w:color w:val="auto"/>
          <w:kern w:val="44"/>
          <w:sz w:val="28"/>
          <w:szCs w:val="36"/>
          <w:highlight w:val="none"/>
          <w:lang w:val="en-US" w:eastAsia="zh-CN" w:bidi="ar-SA"/>
        </w:rPr>
      </w:pPr>
    </w:p>
    <w:p>
      <w:pPr>
        <w:rPr>
          <w:rFonts w:hint="eastAsia" w:ascii="宋体" w:hAnsi="宋体" w:eastAsia="宋体" w:cs="宋体"/>
          <w:b/>
          <w:color w:val="auto"/>
          <w:kern w:val="44"/>
          <w:sz w:val="28"/>
          <w:szCs w:val="36"/>
          <w:highlight w:val="none"/>
          <w:lang w:val="en-US" w:eastAsia="zh-CN" w:bidi="ar-SA"/>
        </w:rPr>
      </w:pPr>
    </w:p>
    <w:p>
      <w:pPr>
        <w:pStyle w:val="2"/>
        <w:rPr>
          <w:rFonts w:hint="eastAsia" w:ascii="宋体" w:hAnsi="宋体" w:eastAsia="宋体" w:cs="宋体"/>
          <w:b/>
          <w:color w:val="auto"/>
          <w:kern w:val="44"/>
          <w:sz w:val="28"/>
          <w:szCs w:val="36"/>
          <w:highlight w:val="none"/>
          <w:lang w:val="en-US" w:eastAsia="zh-CN" w:bidi="ar-SA"/>
        </w:rPr>
      </w:pPr>
    </w:p>
    <w:p>
      <w:pPr>
        <w:pStyle w:val="4"/>
        <w:rPr>
          <w:rFonts w:hint="eastAsia" w:ascii="宋体" w:hAnsi="宋体" w:eastAsia="宋体" w:cs="宋体"/>
          <w:b/>
          <w:color w:val="auto"/>
          <w:kern w:val="44"/>
          <w:sz w:val="28"/>
          <w:szCs w:val="36"/>
          <w:highlight w:val="none"/>
          <w:lang w:val="en-US" w:eastAsia="zh-CN" w:bidi="ar-SA"/>
        </w:rPr>
      </w:pPr>
    </w:p>
    <w:p>
      <w:pPr>
        <w:rPr>
          <w:rFonts w:hint="eastAsia" w:ascii="宋体" w:hAnsi="宋体" w:eastAsia="宋体" w:cs="宋体"/>
          <w:b/>
          <w:color w:val="auto"/>
          <w:kern w:val="44"/>
          <w:sz w:val="28"/>
          <w:szCs w:val="36"/>
          <w:highlight w:val="none"/>
          <w:lang w:val="en-US" w:eastAsia="zh-CN" w:bidi="ar-SA"/>
        </w:rPr>
      </w:pPr>
    </w:p>
    <w:p>
      <w:pPr>
        <w:pStyle w:val="2"/>
        <w:rPr>
          <w:rFonts w:hint="eastAsia" w:ascii="宋体" w:hAnsi="宋体" w:eastAsia="宋体" w:cs="宋体"/>
          <w:b/>
          <w:color w:val="auto"/>
          <w:kern w:val="44"/>
          <w:sz w:val="28"/>
          <w:szCs w:val="36"/>
          <w:highlight w:val="none"/>
          <w:lang w:val="en-US" w:eastAsia="zh-CN" w:bidi="ar-SA"/>
        </w:rPr>
      </w:pPr>
    </w:p>
    <w:p>
      <w:pPr>
        <w:pStyle w:val="4"/>
        <w:rPr>
          <w:rFonts w:hint="eastAsia"/>
          <w:color w:val="auto"/>
          <w:lang w:val="en-US" w:eastAsia="zh-CN"/>
        </w:rPr>
      </w:pPr>
    </w:p>
    <w:p>
      <w:pPr>
        <w:keepNext w:val="0"/>
        <w:keepLines w:val="0"/>
        <w:widowControl w:val="0"/>
        <w:adjustRightInd w:val="0"/>
        <w:snapToGrid w:val="0"/>
        <w:spacing w:before="161" w:beforeLines="50" w:after="161" w:afterLines="50" w:line="400" w:lineRule="exact"/>
        <w:jc w:val="center"/>
        <w:outlineLvl w:val="0"/>
        <w:rPr>
          <w:rFonts w:hint="eastAsia" w:ascii="宋体" w:hAnsi="宋体" w:eastAsia="宋体" w:cs="宋体"/>
          <w:b/>
          <w:color w:val="auto"/>
          <w:kern w:val="44"/>
          <w:sz w:val="28"/>
          <w:szCs w:val="36"/>
          <w:highlight w:val="none"/>
          <w:lang w:val="en-US" w:eastAsia="zh-CN" w:bidi="ar-SA"/>
        </w:rPr>
      </w:pPr>
    </w:p>
    <w:p>
      <w:pPr>
        <w:keepNext w:val="0"/>
        <w:keepLines w:val="0"/>
        <w:widowControl w:val="0"/>
        <w:adjustRightInd w:val="0"/>
        <w:snapToGrid w:val="0"/>
        <w:spacing w:before="161" w:beforeLines="50" w:after="161" w:afterLines="50" w:line="400" w:lineRule="exact"/>
        <w:jc w:val="center"/>
        <w:outlineLvl w:val="0"/>
        <w:rPr>
          <w:rFonts w:hint="eastAsia" w:ascii="宋体" w:hAnsi="宋体" w:eastAsia="宋体" w:cs="宋体"/>
          <w:b/>
          <w:color w:val="auto"/>
          <w:kern w:val="44"/>
          <w:sz w:val="28"/>
          <w:szCs w:val="36"/>
          <w:highlight w:val="none"/>
          <w:lang w:val="en-US" w:eastAsia="zh-CN" w:bidi="ar-SA"/>
        </w:rPr>
      </w:pPr>
    </w:p>
    <w:p>
      <w:pPr>
        <w:keepNext w:val="0"/>
        <w:keepLines w:val="0"/>
        <w:widowControl w:val="0"/>
        <w:adjustRightInd w:val="0"/>
        <w:snapToGrid w:val="0"/>
        <w:spacing w:before="161" w:beforeLines="50" w:after="161" w:afterLines="50" w:line="400" w:lineRule="exact"/>
        <w:jc w:val="center"/>
        <w:outlineLvl w:val="0"/>
        <w:rPr>
          <w:rFonts w:hint="eastAsia" w:ascii="宋体" w:hAnsi="宋体" w:eastAsia="宋体" w:cs="宋体"/>
          <w:b/>
          <w:color w:val="auto"/>
          <w:kern w:val="44"/>
          <w:sz w:val="28"/>
          <w:szCs w:val="36"/>
          <w:highlight w:val="none"/>
          <w:lang w:val="en-US" w:eastAsia="zh-CN" w:bidi="ar-SA"/>
        </w:rPr>
      </w:pPr>
      <w:r>
        <w:rPr>
          <w:rFonts w:hint="eastAsia" w:ascii="宋体" w:hAnsi="宋体" w:eastAsia="宋体" w:cs="宋体"/>
          <w:b/>
          <w:color w:val="auto"/>
          <w:kern w:val="44"/>
          <w:sz w:val="28"/>
          <w:szCs w:val="36"/>
          <w:highlight w:val="none"/>
          <w:lang w:val="en-US" w:eastAsia="zh-CN" w:bidi="ar-SA"/>
        </w:rPr>
        <w:t>第四部分  合同条款</w:t>
      </w:r>
      <w:bookmarkEnd w:id="90"/>
      <w:bookmarkEnd w:id="91"/>
    </w:p>
    <w:p>
      <w:pPr>
        <w:widowControl w:val="0"/>
        <w:snapToGrid w:val="0"/>
        <w:spacing w:line="440" w:lineRule="exact"/>
        <w:ind w:right="480" w:firstLine="6171" w:firstLineChars="2939"/>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编号：</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甲方：</w:t>
      </w:r>
      <w:r>
        <w:rPr>
          <w:rFonts w:hint="eastAsia" w:ascii="宋体" w:hAnsi="宋体" w:eastAsia="宋体" w:cs="宋体"/>
          <w:color w:val="auto"/>
          <w:kern w:val="2"/>
          <w:sz w:val="21"/>
          <w:szCs w:val="21"/>
          <w:highlight w:val="none"/>
          <w:u w:val="single"/>
          <w:lang w:val="en-US" w:eastAsia="zh-CN" w:bidi="ar-SA"/>
        </w:rPr>
        <w:t xml:space="preserve">                      </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乙方：本次采购的成交供应商</w:t>
      </w:r>
    </w:p>
    <w:p>
      <w:pPr>
        <w:widowControl w:val="0"/>
        <w:snapToGrid w:val="0"/>
        <w:spacing w:line="440" w:lineRule="exact"/>
        <w:ind w:firstLine="57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双方经协商，就乙方向甲方提供本公司产品以及相关产品的伴随服务事宜达成以下条款：</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第一条：采购商品清单及合同价格</w:t>
      </w:r>
    </w:p>
    <w:p>
      <w:pPr>
        <w:snapToGrid w:val="0"/>
        <w:spacing w:line="440" w:lineRule="exact"/>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乙方保证提供如下内容的合格产品：                     金额单位：人民币元</w:t>
      </w:r>
    </w:p>
    <w:tbl>
      <w:tblPr>
        <w:tblStyle w:val="38"/>
        <w:tblW w:w="83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156"/>
        <w:gridCol w:w="777"/>
        <w:gridCol w:w="1282"/>
        <w:gridCol w:w="1063"/>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59" w:type="dxa"/>
            <w:noWrap w:val="0"/>
            <w:vAlign w:val="center"/>
          </w:tcPr>
          <w:p>
            <w:pPr>
              <w:snapToGrid w:val="0"/>
              <w:spacing w:line="440" w:lineRule="exact"/>
              <w:ind w:firstLine="24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采购产品名称</w:t>
            </w:r>
          </w:p>
        </w:tc>
        <w:tc>
          <w:tcPr>
            <w:tcW w:w="2156" w:type="dxa"/>
            <w:noWrap w:val="0"/>
            <w:vAlign w:val="center"/>
          </w:tcPr>
          <w:p>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型号规格和主要配置</w:t>
            </w:r>
          </w:p>
        </w:tc>
        <w:tc>
          <w:tcPr>
            <w:tcW w:w="777" w:type="dxa"/>
            <w:noWrap w:val="0"/>
            <w:vAlign w:val="center"/>
          </w:tcPr>
          <w:p>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282" w:type="dxa"/>
            <w:noWrap w:val="0"/>
            <w:vAlign w:val="center"/>
          </w:tcPr>
          <w:p>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成交价</w:t>
            </w:r>
          </w:p>
        </w:tc>
        <w:tc>
          <w:tcPr>
            <w:tcW w:w="1063" w:type="dxa"/>
            <w:noWrap w:val="0"/>
            <w:vAlign w:val="center"/>
          </w:tcPr>
          <w:p>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完工期</w:t>
            </w:r>
          </w:p>
        </w:tc>
        <w:tc>
          <w:tcPr>
            <w:tcW w:w="941" w:type="dxa"/>
            <w:noWrap w:val="0"/>
            <w:vAlign w:val="center"/>
          </w:tcPr>
          <w:p>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159"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2156"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777"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1282"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1063"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941" w:type="dxa"/>
            <w:noWrap w:val="0"/>
            <w:vAlign w:val="center"/>
          </w:tcPr>
          <w:p>
            <w:pPr>
              <w:snapToGrid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159"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2156"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777"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1282"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1063"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941" w:type="dxa"/>
            <w:noWrap w:val="0"/>
            <w:vAlign w:val="center"/>
          </w:tcPr>
          <w:p>
            <w:pPr>
              <w:snapToGrid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2156"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777"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1282"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1063" w:type="dxa"/>
            <w:noWrap w:val="0"/>
            <w:vAlign w:val="center"/>
          </w:tcPr>
          <w:p>
            <w:pPr>
              <w:snapToGrid w:val="0"/>
              <w:spacing w:line="440" w:lineRule="exact"/>
              <w:jc w:val="center"/>
              <w:rPr>
                <w:rFonts w:hint="eastAsia" w:ascii="宋体" w:hAnsi="宋体" w:eastAsia="宋体" w:cs="宋体"/>
                <w:color w:val="auto"/>
                <w:szCs w:val="21"/>
                <w:highlight w:val="none"/>
              </w:rPr>
            </w:pPr>
          </w:p>
        </w:tc>
        <w:tc>
          <w:tcPr>
            <w:tcW w:w="941" w:type="dxa"/>
            <w:noWrap w:val="0"/>
            <w:vAlign w:val="center"/>
          </w:tcPr>
          <w:p>
            <w:pPr>
              <w:snapToGrid w:val="0"/>
              <w:spacing w:line="440" w:lineRule="exact"/>
              <w:jc w:val="center"/>
              <w:rPr>
                <w:rFonts w:hint="eastAsia" w:ascii="宋体" w:hAnsi="宋体" w:eastAsia="宋体" w:cs="宋体"/>
                <w:color w:val="auto"/>
                <w:szCs w:val="21"/>
                <w:highlight w:val="none"/>
              </w:rPr>
            </w:pPr>
          </w:p>
        </w:tc>
      </w:tr>
    </w:tbl>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第二条：质量标准和要求</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2、乙方所出售的货物还应符合国家和浙江省有关安全、环保、卫生之规定。</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第三条：权利瑕疵担保</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1、乙方保证对其出售的货物享有合法的权利。</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2、乙方保证在其出售的货物上不存在任何未曾向甲方透露的担保物权，如抵押权、质押权、留置权等。</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3、乙方保证其所出售的货物没有侵犯任何第三人的知识产权和商业秘密等权利。</w:t>
      </w:r>
    </w:p>
    <w:p>
      <w:pPr>
        <w:widowControl w:val="0"/>
        <w:snapToGrid w:val="0"/>
        <w:spacing w:line="440" w:lineRule="exact"/>
        <w:ind w:firstLine="401" w:firstLineChars="191"/>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4、如甲方使用该货物构成上述侵权的，则由乙方承担全部责任。</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第四条：包装要求</w:t>
      </w:r>
    </w:p>
    <w:p>
      <w:pPr>
        <w:snapToGrid w:val="0"/>
        <w:spacing w:line="440" w:lineRule="exact"/>
        <w:ind w:firstLine="401" w:firstLine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1、乙方所出售的全部货物均应按标准保护措施进行包装，这类包装应适应于远距离运输、防潮、防震、防锈和防野蛮装卸等要求，以确保货物安全无损地运抵指定现场。</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2、每一个包装箱内应附一份详细装箱单、质量证书和保修保养证书。</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第五条：供货期限</w:t>
      </w:r>
    </w:p>
    <w:p>
      <w:pPr>
        <w:widowControl w:val="0"/>
        <w:numPr>
          <w:ilvl w:val="0"/>
          <w:numId w:val="0"/>
        </w:numPr>
        <w:spacing w:line="440" w:lineRule="exact"/>
        <w:ind w:firstLine="420" w:firstLineChars="200"/>
        <w:contextualSpacing/>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Cs w:val="21"/>
          <w:highlight w:val="none"/>
        </w:rPr>
        <w:t>合同签订后</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0日历天内，送货到位并</w:t>
      </w:r>
      <w:r>
        <w:rPr>
          <w:rFonts w:hint="eastAsia" w:ascii="宋体" w:hAnsi="宋体" w:cs="宋体"/>
          <w:color w:val="auto"/>
          <w:szCs w:val="21"/>
          <w:highlight w:val="none"/>
          <w:lang w:val="en-US" w:eastAsia="zh-CN"/>
        </w:rPr>
        <w:t>完成</w:t>
      </w:r>
      <w:r>
        <w:rPr>
          <w:rFonts w:hint="eastAsia" w:ascii="宋体" w:hAnsi="宋体" w:eastAsia="宋体" w:cs="宋体"/>
          <w:color w:val="auto"/>
          <w:szCs w:val="21"/>
          <w:highlight w:val="none"/>
        </w:rPr>
        <w:t>安装调试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并向采购人提供磋商文件规定的相关资料及必备的附件、配件等。</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第六条：验收</w:t>
      </w:r>
    </w:p>
    <w:p>
      <w:pPr>
        <w:widowControl w:val="0"/>
        <w:snapToGrid w:val="0"/>
        <w:spacing w:line="44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乙方送货至指定地点后，由甲方根据货物的技术规格要求和质量标准，对货物进行检查验收。</w:t>
      </w:r>
    </w:p>
    <w:p>
      <w:pPr>
        <w:snapToGrid w:val="0"/>
        <w:spacing w:line="44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货物的数量不足或表面瑕疵，甲方应在验收时当面提出；对质量问题有异议的应在安装调试后 10个工作日内提出。</w:t>
      </w:r>
    </w:p>
    <w:p>
      <w:pPr>
        <w:snapToGrid w:val="0"/>
        <w:spacing w:line="440" w:lineRule="exact"/>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在验收过程中发现数量不足或有质量、技术等问题，乙方应负责按照甲方的要求采取补足、更换或退货等处理措施，并承担由此发生的一切费用和损失。</w:t>
      </w:r>
    </w:p>
    <w:p>
      <w:pPr>
        <w:widowControl w:val="0"/>
        <w:snapToGrid w:val="0"/>
        <w:spacing w:line="44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甲方在乙方按合同规定交货和安装、调试后，无正当理由而拖延接收、验收或拒绝接收、验收的，应承担由此而造成的乙方直接损失。</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第七条：售后服务</w:t>
      </w:r>
    </w:p>
    <w:p>
      <w:pPr>
        <w:widowControl w:val="0"/>
        <w:snapToGrid w:val="0"/>
        <w:spacing w:line="440" w:lineRule="exact"/>
        <w:ind w:firstLine="48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乙方承诺售后服务按照投标承诺的服务计划实施，包括培训。</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第八条：履约保证金</w:t>
      </w:r>
    </w:p>
    <w:p>
      <w:pPr>
        <w:widowControl w:val="0"/>
        <w:snapToGrid w:val="0"/>
        <w:spacing w:line="440" w:lineRule="exact"/>
        <w:ind w:firstLine="48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履约担保：签订合同后，中标供应商以银行转账、转账支票、银行汇票/银行、保险公司出具的保函形式向招标人提供合同价5%的履约担保。</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①若以银行转账/转帐支票/银行汇票等非现金形式提交的：</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1）应当从</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rPr>
        <w:t>基本户转出；</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2）履约担保的退还：</w:t>
      </w:r>
      <w:r>
        <w:rPr>
          <w:rFonts w:hint="eastAsia" w:ascii="宋体" w:hAnsi="宋体" w:eastAsia="宋体" w:cs="宋体"/>
          <w:color w:val="auto"/>
          <w:szCs w:val="21"/>
          <w:highlight w:val="none"/>
          <w:u w:val="single"/>
        </w:rPr>
        <w:t>待</w:t>
      </w:r>
      <w:r>
        <w:rPr>
          <w:rFonts w:hint="eastAsia" w:ascii="宋体" w:hAnsi="宋体" w:eastAsia="宋体" w:cs="宋体"/>
          <w:color w:val="auto"/>
          <w:szCs w:val="21"/>
          <w:highlight w:val="none"/>
          <w:u w:val="single"/>
          <w:lang w:val="en-US" w:eastAsia="zh-CN"/>
        </w:rPr>
        <w:t>质保期满后</w:t>
      </w:r>
      <w:r>
        <w:rPr>
          <w:rFonts w:hint="eastAsia" w:ascii="宋体" w:hAnsi="宋体" w:eastAsia="宋体" w:cs="宋体"/>
          <w:color w:val="auto"/>
          <w:szCs w:val="21"/>
          <w:highlight w:val="none"/>
          <w:u w:val="single"/>
        </w:rPr>
        <w:t>无息退还。</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②若采用银行、保险公司出具的保函形式提交的，应满足以下几个条件：</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1）见索即付保函：即在承包人没有实施合同或者未履行合同义务时，</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不需要出具任何证明和理由，只要看到承包人违约，就可对保函进行收兑。</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2）保函期限：保函的期限自合同生效之日起至</w:t>
      </w:r>
      <w:r>
        <w:rPr>
          <w:rFonts w:hint="eastAsia" w:ascii="宋体" w:hAnsi="宋体" w:eastAsia="宋体" w:cs="宋体"/>
          <w:color w:val="auto"/>
          <w:szCs w:val="21"/>
          <w:highlight w:val="none"/>
          <w:lang w:val="en-US" w:eastAsia="zh-CN"/>
        </w:rPr>
        <w:t>质保期满</w:t>
      </w:r>
      <w:r>
        <w:rPr>
          <w:rFonts w:hint="eastAsia" w:ascii="宋体" w:hAnsi="宋体" w:eastAsia="宋体" w:cs="宋体"/>
          <w:color w:val="auto"/>
          <w:szCs w:val="21"/>
          <w:highlight w:val="none"/>
        </w:rPr>
        <w:t>后止。</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630" w:firstLineChars="3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3）如果由于工期延误或银行、保险公司出具机构要求分期出具保函的，则在前一份保函有效期满之日2个月前必须重新出具相同内容的保函。</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第九条：货款的支付</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lang w:val="en-US" w:eastAsia="zh-CN"/>
        </w:rPr>
        <w:t>.合同签订生效后15日内支付</w:t>
      </w:r>
      <w:r>
        <w:rPr>
          <w:rFonts w:hint="eastAsia" w:ascii="宋体" w:hAnsi="宋体" w:cs="宋体"/>
          <w:b/>
          <w:bCs/>
          <w:color w:val="auto"/>
          <w:szCs w:val="21"/>
          <w:highlight w:val="none"/>
          <w:lang w:val="en-US" w:eastAsia="zh-CN"/>
        </w:rPr>
        <w:t>合同价</w:t>
      </w:r>
      <w:r>
        <w:rPr>
          <w:rFonts w:hint="eastAsia" w:ascii="宋体" w:hAnsi="宋体" w:eastAsia="宋体" w:cs="宋体"/>
          <w:b/>
          <w:bCs/>
          <w:color w:val="auto"/>
          <w:szCs w:val="21"/>
          <w:highlight w:val="none"/>
          <w:lang w:val="en-US" w:eastAsia="zh-CN"/>
        </w:rPr>
        <w:t>的30%作为预付款（预付款抵作进度款，具体拨付时间视财政资金到位情况执行。）</w:t>
      </w:r>
      <w:r>
        <w:rPr>
          <w:rFonts w:hint="eastAsia" w:ascii="宋体" w:hAnsi="宋体" w:cs="宋体"/>
          <w:b/>
          <w:bCs/>
          <w:color w:val="auto"/>
          <w:szCs w:val="21"/>
          <w:highlight w:val="none"/>
          <w:lang w:val="en-US" w:eastAsia="zh-CN"/>
        </w:rPr>
        <w:t>；</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.设备安装调试完毕后10个工作日内向成交供应商支付至合同价款的</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lang w:val="en-US" w:eastAsia="zh-CN"/>
        </w:rPr>
        <w:t>0%；</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完成结算办理资料归档后，10个工作日内支付至</w:t>
      </w:r>
      <w:r>
        <w:rPr>
          <w:rFonts w:hint="eastAsia" w:ascii="宋体" w:hAnsi="宋体" w:cs="宋体"/>
          <w:b/>
          <w:bCs/>
          <w:color w:val="auto"/>
          <w:szCs w:val="21"/>
          <w:highlight w:val="none"/>
          <w:lang w:val="en-US" w:eastAsia="zh-CN"/>
        </w:rPr>
        <w:t>实际结算价款</w:t>
      </w:r>
      <w:r>
        <w:rPr>
          <w:rFonts w:hint="eastAsia" w:ascii="宋体" w:hAnsi="宋体" w:eastAsia="宋体" w:cs="宋体"/>
          <w:b/>
          <w:bCs/>
          <w:color w:val="auto"/>
          <w:szCs w:val="21"/>
          <w:highlight w:val="none"/>
        </w:rPr>
        <w:t>的100%（成交供应商必须开具合同金额100%的正式税务发票）</w:t>
      </w:r>
      <w:r>
        <w:rPr>
          <w:rFonts w:hint="eastAsia" w:ascii="宋体" w:hAnsi="宋体" w:cs="宋体"/>
          <w:b/>
          <w:bCs/>
          <w:color w:val="auto"/>
          <w:szCs w:val="21"/>
          <w:highlight w:val="none"/>
          <w:lang w:eastAsia="zh-CN"/>
        </w:rPr>
        <w:t>。</w:t>
      </w:r>
    </w:p>
    <w:p>
      <w:pPr>
        <w:keepNext w:val="0"/>
        <w:keepLines w:val="0"/>
        <w:pageBreakBefore w:val="0"/>
        <w:numPr>
          <w:ilvl w:val="0"/>
          <w:numId w:val="0"/>
        </w:numPr>
        <w:tabs>
          <w:tab w:val="left" w:pos="420"/>
        </w:tabs>
        <w:kinsoku/>
        <w:wordWrap/>
        <w:overflowPunct/>
        <w:topLinePunct w:val="0"/>
        <w:bidi w:val="0"/>
        <w:spacing w:line="400" w:lineRule="exact"/>
        <w:ind w:right="210" w:rightChars="100" w:firstLine="422" w:firstLineChars="200"/>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注：对于满足合同约定支付条件的，采购人自收到发票后15日内将资金支付到合同约定的成交供应商账户。</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第十条：辅助服务</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乙方应提交所提供货物的技术文件，包括相应的每一套设备的中文技术文件，例如：产品目录、图纸、操作手册、使用说明、维护手册和/或服务指南。这些文件应包装好随同货物一起发运。</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乙方还应提供下列服务：</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（1）货物的现场指导安装、调试、启动监督及技术支持；</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（2）在厂家和/或项目现场就货物的指导安装、启动、运营、维护对甲方操作人员进行培训。辅助服务的费用包含在合同价中，甲方不再另行支付。</w:t>
      </w:r>
    </w:p>
    <w:p>
      <w:pPr>
        <w:snapToGrid w:val="0"/>
        <w:spacing w:line="440" w:lineRule="exact"/>
        <w:ind w:left="-360"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第十一条：质量保证</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乙方应保证所供货物是全新的、未使用过的，并完全符合合同规定的质量、规格和性能的要求。乙方应保证其货物在正确安装、正常使用和保养条件下，在其使用寿命期内应具有满意的性能。在货物最终交付验收后不少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个月的质量保证期内，乙方应对由于设计、工艺或材料的缺陷而产生的故障负责。</w:t>
      </w:r>
    </w:p>
    <w:p>
      <w:pPr>
        <w:snapToGrid w:val="0"/>
        <w:spacing w:line="440" w:lineRule="exact"/>
        <w:ind w:firstLine="367" w:firstLineChars="175"/>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在质量保证期内，如果货物的质量或规格与合同不符，或证实货物是有缺陷的，包括潜在的缺陷或使用不符合要求的材料等，甲方可以根据本合同第十二条规定以书面形式向乙方提出补救措施或索赔。</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乙方在约定的时间内未能弥补缺陷，甲方可采取必要的补救措施，但其风险和费用将由乙方承担，甲方根据合同规定对乙方行使的其他权利不受影响。</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第十二条：补救措施和索赔</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1、甲方有权根据权威质量检测部门出具的检验报告向乙方提出索赔。</w:t>
      </w:r>
    </w:p>
    <w:p>
      <w:pPr>
        <w:snapToGrid w:val="0"/>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2、在质量保证期内，如果乙方对缺陷产品负有责任而甲方提出索赔，乙方应按照甲方同意的下列一种或多种方式解决索赔事宜，并且甲方可以收取乙方合同总价20%的违约金：</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乙方退货并将货款退还给甲方，由此发生的一切费用和损失由乙方承担。</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根据货物的质量状况以及甲方所遭受的损失，经过甲乙双方商定降低货物的价格。</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第十三条：履约延误</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1、乙方应按照《合同》规定的时间、地点交货和提供服务。</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3、如乙方无正当理由而拖延交货，经协商无效,甲方有权追究乙方的违约责任。按供货期限每延期一天罚款2000元，若供货期限影响本项目主体工期，按</w:t>
      </w:r>
      <w:r>
        <w:rPr>
          <w:rFonts w:hint="eastAsia" w:ascii="宋体" w:hAnsi="宋体" w:cs="宋体"/>
          <w:color w:val="auto"/>
          <w:szCs w:val="21"/>
          <w:highlight w:val="none"/>
          <w:lang w:val="en-US" w:eastAsia="zh-CN"/>
        </w:rPr>
        <w:t>主体</w:t>
      </w:r>
      <w:r>
        <w:rPr>
          <w:rFonts w:hint="eastAsia" w:ascii="宋体" w:hAnsi="宋体" w:eastAsia="宋体" w:cs="宋体"/>
          <w:color w:val="auto"/>
          <w:szCs w:val="21"/>
          <w:highlight w:val="none"/>
        </w:rPr>
        <w:t>工期每延误一天支付违约金5000元；如果超出合同规定期限15天应不能供货，则甲方可以终止合同，并没收履约保证金。</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第十四条：不可抗力</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1、如果合同各方因不可抗力而导致合同实施延误或不能履行合同义务的话，不应该承担误期赔偿或不能履行合同义务的责任。</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第十五条：争议的解决</w:t>
      </w:r>
    </w:p>
    <w:p>
      <w:pPr>
        <w:widowControl w:val="0"/>
        <w:snapToGrid w:val="0"/>
        <w:spacing w:line="440" w:lineRule="exact"/>
        <w:ind w:firstLine="48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在发生所供商品的质量、售后服务等问题时，甲方有权直接向乙方索赔，签订必要的书面处理合同。协商不能解决的，任何一方有权在合同签约地选择仲裁或诉讼的途径解决。</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第十六条：违约处理</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1、在甲方对乙方违约而采取的任何补救措施不受影响的情况下，甲方可在下列情况下向乙方发出书面通知书，提出终止部分或全部合同。</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（1）乙方提供的产品质量、配置不符合国家规定和承诺的标准；</w:t>
      </w:r>
    </w:p>
    <w:p>
      <w:pPr>
        <w:snapToGrid w:val="0"/>
        <w:spacing w:line="440" w:lineRule="exact"/>
        <w:ind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（2）乙方没有按承诺的时间供货、维修或提供其他服务；</w:t>
      </w:r>
    </w:p>
    <w:p>
      <w:pPr>
        <w:snapToGrid w:val="0"/>
        <w:spacing w:line="440" w:lineRule="exact"/>
        <w:ind w:firstLine="36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（3）乙方没有按承诺的价格或优惠率签订合同并供货；</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第十七条：合同转让和分包</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除甲方事先书面同意外，乙方不得转让和分包其应履行的合同义务。</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第十八条：合同生效</w:t>
      </w:r>
    </w:p>
    <w:p>
      <w:pPr>
        <w:widowControl w:val="0"/>
        <w:snapToGrid w:val="0"/>
        <w:spacing w:line="440" w:lineRule="exact"/>
        <w:ind w:firstLine="48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1、如上述文件与本合同有不符之处，以有利于甲方的为准。</w:t>
      </w:r>
    </w:p>
    <w:p>
      <w:pPr>
        <w:widowControl w:val="0"/>
        <w:snapToGrid w:val="0"/>
        <w:spacing w:line="440" w:lineRule="exact"/>
        <w:ind w:firstLine="482"/>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2、本合同在甲方收到乙方提交的履约保证金后，且经双方法定代表人或授权代表签署，甲方与乙方加盖印章。</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第十九条：合同修改</w:t>
      </w:r>
    </w:p>
    <w:p>
      <w:pPr>
        <w:snapToGrid w:val="0"/>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除了双方签署书面修改合同，并成为本合同不可分割的一部分之外，本合同条件不得有任何变化或修改。</w:t>
      </w:r>
    </w:p>
    <w:p>
      <w:pPr>
        <w:widowControl w:val="0"/>
        <w:snapToGrid w:val="0"/>
        <w:spacing w:line="44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第二十条 合同附件</w:t>
      </w:r>
    </w:p>
    <w:p>
      <w:pPr>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下列文件与本合同具有同等法律效力：</w:t>
      </w:r>
    </w:p>
    <w:p>
      <w:pPr>
        <w:snapToGrid w:val="0"/>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1、甲方的磋商文件与采购补充文件；</w:t>
      </w:r>
    </w:p>
    <w:p>
      <w:pPr>
        <w:snapToGrid w:val="0"/>
        <w:spacing w:line="44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2、乙方投标响应文件；</w:t>
      </w:r>
    </w:p>
    <w:p>
      <w:pPr>
        <w:widowControl w:val="0"/>
        <w:snapToGrid w:val="0"/>
        <w:spacing w:line="440" w:lineRule="exact"/>
        <w:ind w:firstLine="308" w:firstLineChars="147"/>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3、询标纪要和承诺书。</w:t>
      </w:r>
    </w:p>
    <w:p>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4、成交通知书</w:t>
      </w:r>
    </w:p>
    <w:p>
      <w:pPr>
        <w:tabs>
          <w:tab w:val="left" w:pos="482"/>
          <w:tab w:val="left" w:pos="2183"/>
          <w:tab w:val="left" w:pos="3884"/>
          <w:tab w:val="left" w:pos="5585"/>
        </w:tabs>
        <w:snapToGrid w:val="0"/>
        <w:spacing w:line="440" w:lineRule="exact"/>
        <w:ind w:firstLine="210" w:firstLineChars="100"/>
        <w:rPr>
          <w:rFonts w:hint="eastAsia" w:ascii="宋体" w:hAnsi="宋体" w:eastAsia="宋体" w:cs="宋体"/>
          <w:color w:val="auto"/>
          <w:szCs w:val="21"/>
          <w:highlight w:val="none"/>
        </w:rPr>
      </w:pPr>
    </w:p>
    <w:p>
      <w:pPr>
        <w:tabs>
          <w:tab w:val="left" w:pos="482"/>
          <w:tab w:val="left" w:pos="2183"/>
          <w:tab w:val="left" w:pos="3884"/>
          <w:tab w:val="left" w:pos="5585"/>
        </w:tabs>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方：（盖章）                   乙  方：（盖章）</w:t>
      </w:r>
    </w:p>
    <w:p>
      <w:pPr>
        <w:tabs>
          <w:tab w:val="left" w:pos="482"/>
          <w:tab w:val="left" w:pos="2183"/>
          <w:tab w:val="left" w:pos="3884"/>
          <w:tab w:val="left" w:pos="5585"/>
        </w:tabs>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                         法人代表：</w:t>
      </w:r>
    </w:p>
    <w:p>
      <w:pPr>
        <w:tabs>
          <w:tab w:val="left" w:pos="482"/>
          <w:tab w:val="left" w:pos="2183"/>
          <w:tab w:val="left" w:pos="3884"/>
          <w:tab w:val="left" w:pos="5585"/>
        </w:tabs>
        <w:snapToGrid w:val="0"/>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pPr>
        <w:tabs>
          <w:tab w:val="left" w:pos="482"/>
          <w:tab w:val="left" w:pos="2183"/>
          <w:tab w:val="left" w:pos="3884"/>
          <w:tab w:val="left" w:pos="5585"/>
        </w:tabs>
        <w:snapToGrid w:val="0"/>
        <w:spacing w:line="440" w:lineRule="exact"/>
        <w:ind w:left="162" w:leftChars="77" w:firstLine="73" w:firstLine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                         帐    号：</w:t>
      </w:r>
    </w:p>
    <w:p>
      <w:pPr>
        <w:tabs>
          <w:tab w:val="left" w:pos="482"/>
          <w:tab w:val="left" w:pos="2183"/>
          <w:tab w:val="left" w:pos="3884"/>
          <w:tab w:val="left" w:pos="5585"/>
        </w:tabs>
        <w:snapToGrid w:val="0"/>
        <w:spacing w:line="440" w:lineRule="exact"/>
        <w:ind w:left="162" w:leftChars="77" w:firstLine="73" w:firstLine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税务登记证号：                     经 办 人：</w:t>
      </w:r>
    </w:p>
    <w:p>
      <w:pPr>
        <w:tabs>
          <w:tab w:val="left" w:pos="482"/>
          <w:tab w:val="left" w:pos="2183"/>
          <w:tab w:val="left" w:pos="3884"/>
          <w:tab w:val="left" w:pos="5585"/>
        </w:tabs>
        <w:snapToGrid w:val="0"/>
        <w:spacing w:line="440" w:lineRule="exact"/>
        <w:ind w:left="162" w:leftChars="77" w:firstLine="73" w:firstLine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经 办 人：                         合同执行人： </w:t>
      </w:r>
    </w:p>
    <w:p>
      <w:pPr>
        <w:tabs>
          <w:tab w:val="left" w:pos="482"/>
          <w:tab w:val="left" w:pos="2183"/>
          <w:tab w:val="left" w:pos="3884"/>
          <w:tab w:val="left" w:pos="5585"/>
        </w:tabs>
        <w:snapToGrid w:val="0"/>
        <w:spacing w:line="440" w:lineRule="exact"/>
        <w:ind w:left="162" w:leftChars="77" w:firstLine="73" w:firstLine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                           地  址：</w:t>
      </w:r>
    </w:p>
    <w:p>
      <w:pPr>
        <w:tabs>
          <w:tab w:val="left" w:pos="482"/>
          <w:tab w:val="left" w:pos="2183"/>
          <w:tab w:val="left" w:pos="3884"/>
          <w:tab w:val="left" w:pos="5585"/>
        </w:tabs>
        <w:snapToGrid w:val="0"/>
        <w:spacing w:line="440" w:lineRule="exact"/>
        <w:ind w:left="162" w:leftChars="77" w:right="-811" w:firstLine="73" w:firstLine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                           邮  编：</w:t>
      </w:r>
    </w:p>
    <w:p>
      <w:pPr>
        <w:tabs>
          <w:tab w:val="left" w:pos="482"/>
          <w:tab w:val="left" w:pos="2183"/>
          <w:tab w:val="left" w:pos="3884"/>
          <w:tab w:val="left" w:pos="5585"/>
        </w:tabs>
        <w:snapToGrid w:val="0"/>
        <w:spacing w:line="440" w:lineRule="exact"/>
        <w:ind w:left="162" w:leftChars="77" w:right="-811" w:firstLine="73" w:firstLineChars="3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pPr>
        <w:tabs>
          <w:tab w:val="left" w:pos="482"/>
          <w:tab w:val="left" w:pos="2183"/>
          <w:tab w:val="left" w:pos="3884"/>
          <w:tab w:val="left" w:pos="5585"/>
        </w:tabs>
        <w:snapToGrid w:val="0"/>
        <w:spacing w:line="440" w:lineRule="exact"/>
        <w:ind w:left="162" w:leftChars="77" w:firstLine="73" w:firstLineChars="35"/>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传  真：                           传  真：</w:t>
      </w:r>
      <w:r>
        <w:rPr>
          <w:rFonts w:hint="eastAsia" w:ascii="宋体" w:hAnsi="宋体" w:eastAsia="宋体" w:cs="宋体"/>
          <w:color w:val="auto"/>
          <w:kern w:val="2"/>
          <w:sz w:val="21"/>
          <w:szCs w:val="21"/>
          <w:highlight w:val="none"/>
          <w:lang w:val="en-US" w:eastAsia="zh-CN" w:bidi="ar-SA"/>
        </w:rPr>
        <w:t xml:space="preserve">                   </w:t>
      </w:r>
    </w:p>
    <w:p>
      <w:pPr>
        <w:widowControl w:val="0"/>
        <w:snapToGrid w:val="0"/>
        <w:spacing w:line="440" w:lineRule="exact"/>
        <w:ind w:firstLine="48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本合同       年   月    日于瑞安签署</w:t>
      </w:r>
    </w:p>
    <w:p>
      <w:pPr>
        <w:keepNext/>
        <w:keepLines/>
        <w:widowControl w:val="0"/>
        <w:tabs>
          <w:tab w:val="left" w:pos="482"/>
          <w:tab w:val="left" w:pos="2183"/>
          <w:tab w:val="left" w:pos="3884"/>
          <w:tab w:val="left" w:pos="5585"/>
        </w:tabs>
        <w:adjustRightInd w:val="0"/>
        <w:snapToGrid w:val="0"/>
        <w:spacing w:line="400" w:lineRule="exact"/>
        <w:jc w:val="both"/>
        <w:outlineLvl w:val="0"/>
        <w:rPr>
          <w:rFonts w:hint="eastAsia" w:ascii="宋体" w:hAnsi="宋体" w:eastAsia="宋体" w:cs="宋体"/>
          <w:b/>
          <w:color w:val="auto"/>
          <w:kern w:val="44"/>
          <w:sz w:val="21"/>
          <w:szCs w:val="21"/>
          <w:highlight w:val="none"/>
          <w:lang w:val="en-US" w:eastAsia="zh-CN" w:bidi="ar-SA"/>
        </w:rPr>
      </w:pPr>
    </w:p>
    <w:p>
      <w:pPr>
        <w:adjustRightInd w:val="0"/>
        <w:snapToGrid w:val="0"/>
        <w:spacing w:line="360" w:lineRule="auto"/>
        <w:rPr>
          <w:rFonts w:ascii="宋体" w:hAnsi="宋体"/>
          <w:color w:val="auto"/>
          <w:szCs w:val="28"/>
        </w:rPr>
      </w:pPr>
      <w:r>
        <w:rPr>
          <w:rFonts w:hint="eastAsia" w:ascii="宋体" w:hAnsi="宋体" w:eastAsia="宋体" w:cs="宋体"/>
          <w:b/>
          <w:color w:val="auto"/>
          <w:szCs w:val="21"/>
          <w:highlight w:val="none"/>
        </w:rPr>
        <w:t>注：本合同作为示范文本，具体以成交供应商与采购人所签定正式合同为准。</w:t>
      </w:r>
      <w:r>
        <w:rPr>
          <w:rFonts w:hint="eastAsia" w:ascii="宋体" w:hAnsi="宋体"/>
          <w:color w:val="auto"/>
          <w:szCs w:val="28"/>
        </w:rPr>
        <w:t xml:space="preserve">       </w:t>
      </w:r>
    </w:p>
    <w:p>
      <w:pPr>
        <w:jc w:val="center"/>
        <w:rPr>
          <w:rFonts w:hint="eastAsia" w:hAnsi="宋体"/>
          <w:color w:val="auto"/>
          <w:sz w:val="28"/>
          <w:szCs w:val="36"/>
        </w:rPr>
      </w:pPr>
      <w:bookmarkStart w:id="92" w:name="_Toc16598"/>
    </w:p>
    <w:p>
      <w:pPr>
        <w:jc w:val="center"/>
        <w:rPr>
          <w:rFonts w:hint="eastAsia" w:hAnsi="宋体"/>
          <w:color w:val="auto"/>
          <w:sz w:val="28"/>
          <w:szCs w:val="36"/>
        </w:rPr>
      </w:pPr>
    </w:p>
    <w:p>
      <w:pPr>
        <w:jc w:val="center"/>
        <w:rPr>
          <w:rFonts w:hAnsi="宋体"/>
          <w:color w:val="auto"/>
          <w:sz w:val="28"/>
          <w:szCs w:val="36"/>
        </w:rPr>
      </w:pPr>
      <w:r>
        <w:rPr>
          <w:rFonts w:hint="eastAsia" w:hAnsi="宋体"/>
          <w:color w:val="auto"/>
          <w:sz w:val="28"/>
          <w:szCs w:val="36"/>
        </w:rPr>
        <w:t>第五部分  磋商响应文件格式</w:t>
      </w:r>
      <w:bookmarkEnd w:id="92"/>
    </w:p>
    <w:p>
      <w:pPr>
        <w:snapToGrid w:val="0"/>
        <w:spacing w:beforeLines="200" w:afterLines="50"/>
        <w:jc w:val="center"/>
        <w:rPr>
          <w:rFonts w:ascii="宋体" w:hAnsi="宋体"/>
          <w:b/>
          <w:bCs/>
          <w:color w:val="auto"/>
          <w:sz w:val="28"/>
        </w:rPr>
      </w:pPr>
      <w:r>
        <w:rPr>
          <w:rFonts w:hint="eastAsia" w:ascii="宋体" w:hAnsi="宋体"/>
          <w:b/>
          <w:bCs/>
          <w:color w:val="auto"/>
          <w:sz w:val="28"/>
        </w:rPr>
        <w:t>磋商供应商提交磋商响应文件须知</w:t>
      </w:r>
    </w:p>
    <w:p>
      <w:pPr>
        <w:snapToGrid w:val="0"/>
        <w:jc w:val="center"/>
        <w:rPr>
          <w:color w:val="auto"/>
          <w:sz w:val="28"/>
          <w:szCs w:val="21"/>
        </w:rPr>
      </w:pPr>
    </w:p>
    <w:p>
      <w:pPr>
        <w:pStyle w:val="58"/>
        <w:numPr>
          <w:ilvl w:val="1"/>
          <w:numId w:val="18"/>
        </w:numPr>
        <w:snapToGrid w:val="0"/>
        <w:spacing w:line="400" w:lineRule="exact"/>
        <w:ind w:left="851" w:firstLineChars="0"/>
        <w:rPr>
          <w:rFonts w:ascii="宋体" w:hAnsi="宋体"/>
          <w:color w:val="auto"/>
          <w:szCs w:val="22"/>
        </w:rPr>
      </w:pPr>
      <w:r>
        <w:rPr>
          <w:rFonts w:hint="eastAsia" w:ascii="宋体" w:hAnsi="宋体"/>
          <w:color w:val="auto"/>
          <w:szCs w:val="22"/>
        </w:rPr>
        <w:t>磋商供应商应严格按照磋商响应文件的组成提交下述规定的全部格式文件以及其他有关资料，混乱的编排导致磋商响应文件被误读或采购机构、磋商小组查找不到有效文件是磋商供应商的风险。</w:t>
      </w:r>
    </w:p>
    <w:p>
      <w:pPr>
        <w:pStyle w:val="58"/>
        <w:numPr>
          <w:ilvl w:val="1"/>
          <w:numId w:val="18"/>
        </w:numPr>
        <w:snapToGrid w:val="0"/>
        <w:spacing w:line="400" w:lineRule="exact"/>
        <w:ind w:left="851" w:firstLineChars="0"/>
        <w:rPr>
          <w:rFonts w:ascii="宋体" w:hAnsi="宋体"/>
          <w:color w:val="auto"/>
          <w:szCs w:val="22"/>
        </w:rPr>
      </w:pPr>
      <w:r>
        <w:rPr>
          <w:rFonts w:hint="eastAsia" w:ascii="宋体" w:hAnsi="宋体"/>
          <w:color w:val="auto"/>
          <w:szCs w:val="22"/>
        </w:rPr>
        <w:t>所附表格中要求回答的全部问题和/或信息都必须正面回答。</w:t>
      </w:r>
    </w:p>
    <w:p>
      <w:pPr>
        <w:pStyle w:val="58"/>
        <w:numPr>
          <w:ilvl w:val="1"/>
          <w:numId w:val="18"/>
        </w:numPr>
        <w:snapToGrid w:val="0"/>
        <w:spacing w:line="400" w:lineRule="exact"/>
        <w:ind w:left="851" w:firstLineChars="0"/>
        <w:rPr>
          <w:rFonts w:ascii="宋体" w:hAnsi="宋体"/>
          <w:color w:val="auto"/>
          <w:szCs w:val="22"/>
        </w:rPr>
      </w:pPr>
      <w:r>
        <w:rPr>
          <w:rFonts w:hint="eastAsia" w:ascii="宋体" w:hAnsi="宋体"/>
          <w:color w:val="auto"/>
          <w:szCs w:val="22"/>
        </w:rPr>
        <w:t>本资格声明的签字人应保证全部声明和问题的回答是真实的和准确的。</w:t>
      </w:r>
    </w:p>
    <w:p>
      <w:pPr>
        <w:pStyle w:val="58"/>
        <w:numPr>
          <w:ilvl w:val="1"/>
          <w:numId w:val="18"/>
        </w:numPr>
        <w:snapToGrid w:val="0"/>
        <w:spacing w:line="400" w:lineRule="exact"/>
        <w:ind w:left="851" w:firstLineChars="0"/>
        <w:rPr>
          <w:rFonts w:ascii="宋体" w:hAnsi="宋体"/>
          <w:color w:val="auto"/>
          <w:szCs w:val="22"/>
        </w:rPr>
      </w:pPr>
      <w:r>
        <w:rPr>
          <w:rFonts w:hint="eastAsia" w:ascii="宋体" w:hAnsi="宋体"/>
          <w:color w:val="auto"/>
          <w:szCs w:val="22"/>
        </w:rPr>
        <w:t>采购机构将应用磋商供应商提交的资料根据自己的判断和考虑决定磋商供应商履行合同的合格性及能力。</w:t>
      </w:r>
    </w:p>
    <w:p>
      <w:pPr>
        <w:pStyle w:val="58"/>
        <w:numPr>
          <w:ilvl w:val="1"/>
          <w:numId w:val="18"/>
        </w:numPr>
        <w:snapToGrid w:val="0"/>
        <w:spacing w:line="400" w:lineRule="exact"/>
        <w:ind w:left="851" w:firstLineChars="0"/>
        <w:rPr>
          <w:rFonts w:ascii="宋体" w:hAnsi="宋体"/>
          <w:color w:val="auto"/>
          <w:szCs w:val="22"/>
        </w:rPr>
      </w:pPr>
      <w:r>
        <w:rPr>
          <w:rFonts w:hint="eastAsia" w:ascii="宋体" w:hAnsi="宋体"/>
          <w:color w:val="auto"/>
          <w:szCs w:val="22"/>
        </w:rPr>
        <w:t>磋商供应商提交的材料将被保密保存，但不退还。</w:t>
      </w:r>
    </w:p>
    <w:p>
      <w:pPr>
        <w:pStyle w:val="58"/>
        <w:numPr>
          <w:ilvl w:val="1"/>
          <w:numId w:val="18"/>
        </w:numPr>
        <w:snapToGrid w:val="0"/>
        <w:spacing w:line="400" w:lineRule="exact"/>
        <w:ind w:left="851" w:firstLineChars="0"/>
        <w:rPr>
          <w:color w:val="auto"/>
        </w:rPr>
      </w:pPr>
      <w:r>
        <w:rPr>
          <w:rFonts w:hint="eastAsia" w:ascii="宋体" w:hAnsi="宋体"/>
          <w:color w:val="auto"/>
          <w:szCs w:val="22"/>
        </w:rPr>
        <w:t>全部文件应按磋商供应商须知中规定的语言和份数提交。</w:t>
      </w:r>
    </w:p>
    <w:p>
      <w:pPr>
        <w:pStyle w:val="58"/>
        <w:snapToGrid w:val="0"/>
        <w:spacing w:line="400" w:lineRule="exact"/>
        <w:ind w:left="851" w:firstLine="0" w:firstLineChars="0"/>
        <w:rPr>
          <w:color w:val="auto"/>
        </w:rPr>
      </w:pPr>
    </w:p>
    <w:p>
      <w:pPr>
        <w:rPr>
          <w:rFonts w:ascii="宋体" w:hAnsi="宋体"/>
          <w:color w:val="auto"/>
          <w:szCs w:val="21"/>
        </w:rPr>
      </w:pPr>
    </w:p>
    <w:p>
      <w:pPr>
        <w:pStyle w:val="5"/>
        <w:keepNext w:val="0"/>
        <w:keepLines w:val="0"/>
        <w:pageBreakBefore/>
        <w:spacing w:beforeLines="100" w:afterLines="100" w:line="400" w:lineRule="atLeast"/>
        <w:jc w:val="center"/>
        <w:rPr>
          <w:rFonts w:hAnsi="宋体"/>
          <w:color w:val="auto"/>
          <w:szCs w:val="32"/>
        </w:rPr>
      </w:pPr>
      <w:bookmarkStart w:id="93" w:name="_Toc20441"/>
      <w:bookmarkStart w:id="94" w:name="_Toc486931326"/>
      <w:r>
        <w:rPr>
          <w:rFonts w:hint="eastAsia" w:hAnsi="宋体"/>
          <w:color w:val="auto"/>
          <w:szCs w:val="32"/>
        </w:rPr>
        <w:t>附件一    关于《中华人民共和国政府采购法》第二十二条规定的承诺函</w:t>
      </w:r>
      <w:bookmarkEnd w:id="93"/>
    </w:p>
    <w:p>
      <w:pPr>
        <w:rPr>
          <w:color w:val="auto"/>
        </w:rPr>
      </w:pPr>
    </w:p>
    <w:p>
      <w:pPr>
        <w:spacing w:line="276" w:lineRule="auto"/>
        <w:rPr>
          <w:rFonts w:ascii="宋体"/>
          <w:bCs/>
          <w:color w:val="auto"/>
        </w:rPr>
      </w:pPr>
      <w:r>
        <w:rPr>
          <w:rFonts w:hint="eastAsia" w:ascii="Arial" w:hAnsi="Arial" w:cs="Arial"/>
          <w:color w:val="auto"/>
          <w:szCs w:val="21"/>
          <w:lang w:eastAsia="zh-CN"/>
        </w:rPr>
        <w:t>瑞安安阳中心城区开发建设中心</w:t>
      </w:r>
      <w:r>
        <w:rPr>
          <w:rFonts w:hint="eastAsia" w:ascii="宋体" w:hAnsi="宋体"/>
          <w:bCs/>
          <w:color w:val="auto"/>
        </w:rPr>
        <w:t>：</w:t>
      </w:r>
    </w:p>
    <w:p>
      <w:pPr>
        <w:rPr>
          <w:color w:val="auto"/>
        </w:rPr>
      </w:pPr>
    </w:p>
    <w:p>
      <w:pPr>
        <w:spacing w:line="500" w:lineRule="exact"/>
        <w:ind w:firstLine="420" w:firstLineChars="200"/>
        <w:rPr>
          <w:rFonts w:ascii="宋体" w:hAnsi="宋体"/>
          <w:color w:val="auto"/>
          <w:szCs w:val="21"/>
          <w:u w:val="single"/>
        </w:rPr>
      </w:pPr>
      <w:r>
        <w:rPr>
          <w:rFonts w:hint="eastAsia"/>
          <w:color w:val="auto"/>
          <w:szCs w:val="21"/>
        </w:rPr>
        <w:t>我单位就</w:t>
      </w:r>
      <w:r>
        <w:rPr>
          <w:rFonts w:hint="eastAsia"/>
          <w:color w:val="auto"/>
          <w:szCs w:val="21"/>
          <w:u w:val="single"/>
          <w:lang w:eastAsia="zh-CN"/>
        </w:rPr>
        <w:t>瑞安市阳光小学扩建工程智能化设备采购</w:t>
      </w:r>
      <w:r>
        <w:rPr>
          <w:rFonts w:hint="eastAsia" w:ascii="宋体" w:hAnsi="宋体"/>
          <w:color w:val="auto"/>
          <w:szCs w:val="21"/>
        </w:rPr>
        <w:t>项目承诺具备下列条件：</w:t>
      </w:r>
    </w:p>
    <w:p>
      <w:pPr>
        <w:widowControl w:val="0"/>
        <w:spacing w:line="500" w:lineRule="exact"/>
        <w:ind w:firstLine="420" w:firstLineChars="200"/>
        <w:jc w:val="both"/>
        <w:rPr>
          <w:rFonts w:ascii="宋体" w:hAnsi="宋体"/>
          <w:bCs/>
          <w:color w:val="auto"/>
          <w:szCs w:val="21"/>
        </w:rPr>
      </w:pPr>
      <w:r>
        <w:rPr>
          <w:rFonts w:ascii="宋体" w:hAnsi="宋体"/>
          <w:bCs/>
          <w:color w:val="auto"/>
          <w:kern w:val="2"/>
          <w:szCs w:val="21"/>
        </w:rPr>
        <w:t>1.具有独立承担民事责任的能力</w:t>
      </w:r>
      <w:r>
        <w:rPr>
          <w:rFonts w:hint="eastAsia" w:ascii="宋体" w:hAnsi="宋体"/>
          <w:bCs/>
          <w:color w:val="auto"/>
          <w:szCs w:val="21"/>
        </w:rPr>
        <w:t>；</w:t>
      </w:r>
    </w:p>
    <w:p>
      <w:pPr>
        <w:widowControl w:val="0"/>
        <w:spacing w:line="500" w:lineRule="exact"/>
        <w:ind w:firstLine="420" w:firstLineChars="200"/>
        <w:jc w:val="both"/>
        <w:rPr>
          <w:rFonts w:ascii="宋体" w:hAnsi="宋体"/>
          <w:bCs/>
          <w:color w:val="auto"/>
          <w:szCs w:val="21"/>
        </w:rPr>
      </w:pPr>
      <w:r>
        <w:rPr>
          <w:rFonts w:ascii="宋体" w:hAnsi="宋体"/>
          <w:bCs/>
          <w:color w:val="auto"/>
          <w:kern w:val="2"/>
          <w:szCs w:val="21"/>
        </w:rPr>
        <w:t>2.具有良好的商业信誉和健全的财务会计制度</w:t>
      </w:r>
      <w:r>
        <w:rPr>
          <w:rFonts w:hint="eastAsia" w:ascii="宋体" w:hAnsi="宋体"/>
          <w:bCs/>
          <w:color w:val="auto"/>
          <w:szCs w:val="21"/>
        </w:rPr>
        <w:t>；</w:t>
      </w:r>
    </w:p>
    <w:p>
      <w:pPr>
        <w:widowControl w:val="0"/>
        <w:spacing w:line="500" w:lineRule="exact"/>
        <w:ind w:firstLine="420" w:firstLineChars="200"/>
        <w:jc w:val="both"/>
        <w:rPr>
          <w:rFonts w:ascii="宋体" w:hAnsi="宋体"/>
          <w:bCs/>
          <w:color w:val="auto"/>
          <w:szCs w:val="21"/>
        </w:rPr>
      </w:pPr>
      <w:r>
        <w:rPr>
          <w:rFonts w:ascii="宋体" w:hAnsi="宋体"/>
          <w:bCs/>
          <w:color w:val="auto"/>
          <w:kern w:val="2"/>
          <w:szCs w:val="21"/>
        </w:rPr>
        <w:t>3.具有履行合同所必需的设备和专业技术能力</w:t>
      </w:r>
      <w:r>
        <w:rPr>
          <w:rFonts w:hint="eastAsia" w:ascii="宋体" w:hAnsi="宋体"/>
          <w:bCs/>
          <w:color w:val="auto"/>
          <w:szCs w:val="21"/>
        </w:rPr>
        <w:t>；</w:t>
      </w:r>
      <w:r>
        <w:rPr>
          <w:rFonts w:ascii="宋体" w:hAnsi="宋体"/>
          <w:bCs/>
          <w:color w:val="auto"/>
          <w:kern w:val="2"/>
          <w:szCs w:val="21"/>
        </w:rPr>
        <w:t xml:space="preserve"> </w:t>
      </w:r>
    </w:p>
    <w:p>
      <w:pPr>
        <w:widowControl w:val="0"/>
        <w:spacing w:line="500" w:lineRule="exact"/>
        <w:ind w:firstLine="420" w:firstLineChars="200"/>
        <w:jc w:val="both"/>
        <w:rPr>
          <w:rFonts w:ascii="宋体" w:hAnsi="宋体"/>
          <w:bCs/>
          <w:color w:val="auto"/>
          <w:szCs w:val="21"/>
        </w:rPr>
      </w:pPr>
      <w:r>
        <w:rPr>
          <w:rFonts w:ascii="宋体" w:hAnsi="宋体"/>
          <w:bCs/>
          <w:color w:val="auto"/>
          <w:kern w:val="2"/>
          <w:szCs w:val="21"/>
        </w:rPr>
        <w:t>4.有依法缴纳税收和社会保障资金的良好记录</w:t>
      </w:r>
      <w:r>
        <w:rPr>
          <w:rFonts w:hint="eastAsia" w:ascii="宋体" w:hAnsi="宋体"/>
          <w:bCs/>
          <w:color w:val="auto"/>
          <w:szCs w:val="21"/>
        </w:rPr>
        <w:t>；</w:t>
      </w:r>
      <w:r>
        <w:rPr>
          <w:rFonts w:ascii="宋体" w:hAnsi="宋体"/>
          <w:bCs/>
          <w:color w:val="auto"/>
          <w:kern w:val="2"/>
          <w:szCs w:val="21"/>
        </w:rPr>
        <w:t xml:space="preserve"> </w:t>
      </w:r>
    </w:p>
    <w:p>
      <w:pPr>
        <w:snapToGrid w:val="0"/>
        <w:spacing w:line="460" w:lineRule="exact"/>
        <w:ind w:firstLine="420" w:firstLineChars="200"/>
        <w:rPr>
          <w:rFonts w:ascii="宋体" w:hAnsi="宋体" w:cs="宋体"/>
          <w:color w:val="auto"/>
          <w:szCs w:val="21"/>
        </w:rPr>
      </w:pPr>
      <w:r>
        <w:rPr>
          <w:rFonts w:hint="eastAsia" w:ascii="宋体" w:cs="宋体"/>
          <w:color w:val="auto"/>
          <w:szCs w:val="21"/>
        </w:rPr>
        <w:t>5.</w:t>
      </w:r>
      <w:r>
        <w:rPr>
          <w:rFonts w:ascii="Arial" w:hAnsi="Arial" w:cs="Arial"/>
          <w:color w:val="auto"/>
          <w:szCs w:val="21"/>
        </w:rPr>
        <w:t xml:space="preserve"> 参加政府采购活动前三年内</w:t>
      </w:r>
      <w:r>
        <w:rPr>
          <w:rFonts w:hint="eastAsia" w:ascii="Arial" w:hAnsi="Arial" w:cs="Arial"/>
          <w:color w:val="auto"/>
          <w:szCs w:val="21"/>
        </w:rPr>
        <w:t>，</w:t>
      </w:r>
      <w:r>
        <w:rPr>
          <w:rFonts w:ascii="Arial" w:hAnsi="Arial" w:cs="Arial"/>
          <w:color w:val="auto"/>
          <w:szCs w:val="21"/>
        </w:rPr>
        <w:t>在经营活动中没有重大违法记录</w:t>
      </w:r>
      <w:r>
        <w:rPr>
          <w:rFonts w:hint="eastAsia" w:hAnsi="宋体"/>
          <w:color w:val="auto"/>
          <w:szCs w:val="21"/>
        </w:rPr>
        <w:t>（</w:t>
      </w:r>
      <w:r>
        <w:rPr>
          <w:rFonts w:hint="eastAsia" w:ascii="Arial" w:hAnsi="Arial" w:cs="Arial"/>
          <w:color w:val="auto"/>
          <w:szCs w:val="21"/>
        </w:rPr>
        <w:t>包括行贿犯罪记</w:t>
      </w:r>
      <w:r>
        <w:rPr>
          <w:rFonts w:hint="eastAsia" w:ascii="宋体" w:hAnsi="宋体" w:cs="宋体"/>
          <w:color w:val="auto"/>
          <w:szCs w:val="21"/>
        </w:rPr>
        <w:t>录）。</w:t>
      </w:r>
    </w:p>
    <w:p>
      <w:pPr>
        <w:snapToGrid w:val="0"/>
        <w:spacing w:line="460" w:lineRule="exact"/>
        <w:ind w:firstLine="420" w:firstLineChars="200"/>
        <w:rPr>
          <w:rFonts w:ascii="宋体" w:hAnsi="宋体" w:cs="宋体"/>
          <w:b/>
          <w:color w:val="auto"/>
          <w:szCs w:val="21"/>
        </w:rPr>
      </w:pPr>
      <w:r>
        <w:rPr>
          <w:rFonts w:hint="eastAsia" w:ascii="宋体" w:hAnsi="宋体" w:cs="宋体"/>
          <w:color w:val="auto"/>
        </w:rPr>
        <w:t>6.未被信用中国网站（www.creditchina.gov.cn）列入失信被执行人、重大税收违法件当事人名单，未被中国政府采购网（www.ccgp.gov.cn）列入政府采购严重违法失信行为记录名单：以采购代理机构在开标当日查询记录为准。</w:t>
      </w:r>
    </w:p>
    <w:p>
      <w:pPr>
        <w:snapToGrid w:val="0"/>
        <w:spacing w:line="460" w:lineRule="exact"/>
        <w:ind w:firstLine="422" w:firstLineChars="200"/>
        <w:rPr>
          <w:rFonts w:ascii="宋体" w:cs="宋体"/>
          <w:b/>
          <w:color w:val="auto"/>
          <w:szCs w:val="21"/>
        </w:rPr>
      </w:pPr>
    </w:p>
    <w:p>
      <w:pPr>
        <w:snapToGrid w:val="0"/>
        <w:spacing w:line="460" w:lineRule="exact"/>
        <w:ind w:firstLine="422" w:firstLineChars="200"/>
        <w:rPr>
          <w:rFonts w:ascii="宋体" w:cs="宋体"/>
          <w:b/>
          <w:color w:val="auto"/>
          <w:szCs w:val="21"/>
        </w:rPr>
      </w:pPr>
      <w:r>
        <w:rPr>
          <w:rFonts w:hint="eastAsia" w:ascii="宋体" w:cs="宋体"/>
          <w:b/>
          <w:color w:val="auto"/>
          <w:szCs w:val="21"/>
        </w:rPr>
        <w:t>如有虚假，采购人可取消我单位任何资格（投标/中标/签订合同），我单位对此无任何异议。</w:t>
      </w:r>
    </w:p>
    <w:p>
      <w:pPr>
        <w:snapToGrid w:val="0"/>
        <w:spacing w:line="460" w:lineRule="exact"/>
        <w:ind w:firstLine="422" w:firstLineChars="200"/>
        <w:rPr>
          <w:rFonts w:ascii="宋体" w:cs="宋体"/>
          <w:b/>
          <w:color w:val="auto"/>
          <w:szCs w:val="21"/>
        </w:rPr>
      </w:pPr>
    </w:p>
    <w:p>
      <w:pPr>
        <w:snapToGrid w:val="0"/>
        <w:spacing w:line="460" w:lineRule="exact"/>
        <w:ind w:firstLine="422" w:firstLineChars="200"/>
        <w:rPr>
          <w:rFonts w:ascii="宋体" w:cs="宋体"/>
          <w:b/>
          <w:color w:val="auto"/>
          <w:szCs w:val="21"/>
        </w:rPr>
      </w:pPr>
      <w:r>
        <w:rPr>
          <w:rFonts w:hint="eastAsia" w:ascii="宋体" w:cs="宋体"/>
          <w:b/>
          <w:color w:val="auto"/>
          <w:szCs w:val="21"/>
        </w:rPr>
        <w:t>特此承诺！</w:t>
      </w:r>
    </w:p>
    <w:p>
      <w:pPr>
        <w:tabs>
          <w:tab w:val="left" w:pos="9180"/>
        </w:tabs>
        <w:spacing w:line="440" w:lineRule="exact"/>
        <w:ind w:firstLine="420" w:firstLineChars="200"/>
        <w:rPr>
          <w:rFonts w:ascii="Arial" w:hAnsi="宋体" w:cs="Arial"/>
          <w:snapToGrid w:val="0"/>
          <w:color w:val="auto"/>
          <w:szCs w:val="21"/>
        </w:rPr>
      </w:pPr>
    </w:p>
    <w:p>
      <w:pPr>
        <w:tabs>
          <w:tab w:val="left" w:pos="9180"/>
        </w:tabs>
        <w:spacing w:line="440" w:lineRule="exact"/>
        <w:ind w:firstLine="420" w:firstLineChars="200"/>
        <w:rPr>
          <w:rFonts w:ascii="Arial" w:hAnsi="宋体" w:cs="Arial"/>
          <w:snapToGrid w:val="0"/>
          <w:color w:val="auto"/>
          <w:szCs w:val="21"/>
        </w:rPr>
      </w:pPr>
      <w:r>
        <w:rPr>
          <w:rFonts w:hint="eastAsia" w:ascii="Arial" w:hAnsi="宋体" w:cs="Arial"/>
          <w:snapToGrid w:val="0"/>
          <w:color w:val="auto"/>
          <w:szCs w:val="21"/>
        </w:rPr>
        <w:t>注：（1）参加政府采购活动的时间是指供应商参加本项目的政府采购活动时间为准（具体以投标截止时间为准）。</w:t>
      </w:r>
    </w:p>
    <w:p>
      <w:pPr>
        <w:numPr>
          <w:ilvl w:val="0"/>
          <w:numId w:val="37"/>
        </w:numPr>
        <w:tabs>
          <w:tab w:val="left" w:pos="9180"/>
        </w:tabs>
        <w:spacing w:line="440" w:lineRule="exact"/>
        <w:ind w:left="420" w:leftChars="200"/>
        <w:rPr>
          <w:rFonts w:ascii="Arial" w:hAnsi="宋体" w:cs="Arial"/>
          <w:snapToGrid w:val="0"/>
          <w:color w:val="auto"/>
          <w:szCs w:val="21"/>
        </w:rPr>
      </w:pPr>
      <w:r>
        <w:rPr>
          <w:rFonts w:hint="eastAsia" w:ascii="Arial" w:hAnsi="宋体" w:cs="Arial"/>
          <w:snapToGrid w:val="0"/>
          <w:color w:val="auto"/>
          <w:szCs w:val="21"/>
        </w:rPr>
        <w:t>本承诺函必须提供。</w:t>
      </w:r>
    </w:p>
    <w:p>
      <w:pPr>
        <w:spacing w:beforeLines="100" w:afterLines="100" w:line="400" w:lineRule="atLeast"/>
        <w:ind w:left="4620" w:leftChars="2200" w:firstLine="210" w:firstLineChars="100"/>
        <w:rPr>
          <w:rFonts w:ascii="宋体" w:hAnsi="宋体"/>
          <w:color w:val="auto"/>
          <w:szCs w:val="21"/>
        </w:rPr>
      </w:pPr>
      <w:r>
        <w:rPr>
          <w:rFonts w:hint="eastAsia" w:ascii="宋体" w:hAnsi="宋体"/>
          <w:color w:val="auto"/>
          <w:szCs w:val="21"/>
        </w:rPr>
        <w:t>磋商供应商全称（盖章）：</w:t>
      </w:r>
    </w:p>
    <w:p>
      <w:pPr>
        <w:rPr>
          <w:color w:val="auto"/>
        </w:rPr>
      </w:pPr>
      <w:r>
        <w:rPr>
          <w:rFonts w:hint="eastAsia"/>
          <w:color w:val="auto"/>
        </w:rPr>
        <w:t xml:space="preserve">                                             日期：    年   月    日</w:t>
      </w:r>
    </w:p>
    <w:p>
      <w:pPr>
        <w:pStyle w:val="3"/>
        <w:ind w:left="420" w:leftChars="200"/>
        <w:rPr>
          <w:color w:val="auto"/>
        </w:rPr>
      </w:pPr>
    </w:p>
    <w:p>
      <w:pPr>
        <w:pStyle w:val="5"/>
        <w:keepNext w:val="0"/>
        <w:keepLines w:val="0"/>
        <w:pageBreakBefore/>
        <w:spacing w:beforeLines="100" w:afterLines="100" w:line="400" w:lineRule="atLeast"/>
        <w:jc w:val="center"/>
        <w:rPr>
          <w:rFonts w:hAnsi="宋体"/>
          <w:color w:val="auto"/>
          <w:sz w:val="28"/>
          <w:szCs w:val="36"/>
        </w:rPr>
      </w:pPr>
      <w:bookmarkStart w:id="95" w:name="_Toc13215"/>
      <w:r>
        <w:rPr>
          <w:rFonts w:hint="eastAsia" w:hAnsi="宋体"/>
          <w:color w:val="auto"/>
          <w:sz w:val="28"/>
          <w:szCs w:val="36"/>
        </w:rPr>
        <w:t>附件二    法定代表人授权委托书</w:t>
      </w:r>
      <w:bookmarkEnd w:id="94"/>
      <w:bookmarkEnd w:id="95"/>
    </w:p>
    <w:p>
      <w:pPr>
        <w:spacing w:line="276" w:lineRule="auto"/>
        <w:rPr>
          <w:rFonts w:ascii="宋体" w:hAnsi="宋体"/>
          <w:bCs/>
          <w:color w:val="auto"/>
        </w:rPr>
      </w:pPr>
      <w:r>
        <w:rPr>
          <w:rFonts w:hint="eastAsia" w:ascii="宋体" w:hAnsi="宋体"/>
          <w:bCs/>
          <w:color w:val="auto"/>
          <w:lang w:eastAsia="zh-CN"/>
        </w:rPr>
        <w:t>瑞安安阳中心城区开发建设中心</w:t>
      </w:r>
      <w:r>
        <w:rPr>
          <w:rFonts w:hint="eastAsia" w:ascii="宋体" w:hAnsi="宋体"/>
          <w:bCs/>
          <w:color w:val="auto"/>
        </w:rPr>
        <w:t>：</w:t>
      </w:r>
    </w:p>
    <w:p>
      <w:pPr>
        <w:snapToGrid w:val="0"/>
        <w:spacing w:beforeLines="50" w:after="50" w:line="276" w:lineRule="auto"/>
        <w:rPr>
          <w:rFonts w:ascii="Arial" w:hAnsi="Arial" w:cs="Arial"/>
          <w:color w:val="auto"/>
          <w:szCs w:val="21"/>
        </w:rPr>
      </w:pPr>
      <w:r>
        <w:rPr>
          <w:rFonts w:hint="eastAsia" w:ascii="Arial" w:hAnsi="Arial" w:cs="Arial"/>
          <w:color w:val="auto"/>
          <w:szCs w:val="21"/>
        </w:rPr>
        <w:t>浙江瑞扬工程咨询招标代理股份有限公司：</w:t>
      </w:r>
    </w:p>
    <w:p>
      <w:pPr>
        <w:spacing w:line="400" w:lineRule="exact"/>
        <w:ind w:left="420" w:leftChars="200" w:firstLine="426" w:firstLineChars="203"/>
        <w:rPr>
          <w:rFonts w:ascii="宋体" w:hAnsi="宋体"/>
          <w:color w:val="auto"/>
        </w:rPr>
      </w:pPr>
      <w:r>
        <w:rPr>
          <w:rFonts w:hint="eastAsia" w:ascii="宋体" w:hAnsi="宋体"/>
          <w:color w:val="auto"/>
        </w:rPr>
        <w:t>本授权委托书声明：我</w:t>
      </w:r>
      <w:r>
        <w:rPr>
          <w:rFonts w:hint="eastAsia" w:ascii="宋体" w:hAnsi="宋体"/>
          <w:color w:val="auto"/>
          <w:u w:val="single"/>
        </w:rPr>
        <w:t>（法人代表姓名）</w:t>
      </w:r>
      <w:r>
        <w:rPr>
          <w:rFonts w:hint="eastAsia" w:ascii="宋体" w:hAnsi="宋体"/>
          <w:color w:val="auto"/>
        </w:rPr>
        <w:t>系</w:t>
      </w:r>
      <w:r>
        <w:rPr>
          <w:rFonts w:hint="eastAsia" w:ascii="宋体" w:hAnsi="宋体"/>
          <w:color w:val="auto"/>
          <w:u w:val="single"/>
        </w:rPr>
        <w:t xml:space="preserve">（投 标 供 应 商 名 称） </w:t>
      </w:r>
      <w:r>
        <w:rPr>
          <w:rFonts w:hint="eastAsia" w:ascii="宋体" w:hAnsi="宋体"/>
          <w:color w:val="auto"/>
        </w:rPr>
        <w:t>的法定代表人，现授权委托本单位正式职工：</w:t>
      </w:r>
      <w:r>
        <w:rPr>
          <w:rFonts w:hint="eastAsia" w:ascii="宋体" w:hAnsi="宋体"/>
          <w:color w:val="auto"/>
          <w:u w:val="single"/>
        </w:rPr>
        <w:t xml:space="preserve">姓名：（授权代表姓名）职务：       手机号码：          电子邮箱：       </w:t>
      </w:r>
      <w:r>
        <w:rPr>
          <w:rFonts w:hint="eastAsia" w:ascii="宋体" w:hAnsi="宋体"/>
          <w:color w:val="auto"/>
        </w:rPr>
        <w:t>为我公司法定代表人授权代表，参加贵处组织的</w:t>
      </w:r>
      <w:r>
        <w:rPr>
          <w:rFonts w:hint="eastAsia" w:ascii="宋体" w:hAnsi="宋体"/>
          <w:color w:val="auto"/>
          <w:u w:val="single"/>
        </w:rPr>
        <w:t xml:space="preserve">  （项目编号）  </w:t>
      </w:r>
      <w:r>
        <w:rPr>
          <w:rFonts w:hint="eastAsia" w:ascii="宋体" w:hAnsi="宋体"/>
          <w:color w:val="auto"/>
        </w:rPr>
        <w:t>项目投标，全权处理本次招投标活动中的一切事宜，</w:t>
      </w:r>
      <w:r>
        <w:rPr>
          <w:rFonts w:hint="eastAsia" w:ascii="宋体" w:hAnsi="宋体" w:cs="宋体"/>
          <w:color w:val="auto"/>
        </w:rPr>
        <w:t>我承认授权代表全权代表我所签署的本项目的磋商响应文件的内容</w:t>
      </w:r>
      <w:r>
        <w:rPr>
          <w:rFonts w:hint="eastAsia" w:ascii="宋体" w:hAnsi="宋体"/>
          <w:color w:val="auto"/>
        </w:rPr>
        <w:t xml:space="preserve">。   </w:t>
      </w:r>
    </w:p>
    <w:p>
      <w:pPr>
        <w:spacing w:line="400" w:lineRule="exact"/>
        <w:ind w:left="420" w:leftChars="200" w:firstLine="426" w:firstLineChars="203"/>
        <w:rPr>
          <w:rFonts w:ascii="宋体" w:hAnsi="宋体"/>
          <w:color w:val="auto"/>
        </w:rPr>
      </w:pPr>
      <w:r>
        <w:rPr>
          <w:rFonts w:hint="eastAsia" w:ascii="宋体" w:hAnsi="宋体"/>
          <w:color w:val="auto"/>
        </w:rPr>
        <w:t>我方对被授权人的签名负全部责任。</w:t>
      </w:r>
    </w:p>
    <w:p>
      <w:pPr>
        <w:spacing w:line="400" w:lineRule="exact"/>
        <w:ind w:left="420" w:leftChars="200" w:firstLine="426" w:firstLineChars="203"/>
        <w:rPr>
          <w:rFonts w:ascii="宋体" w:hAnsi="宋体"/>
          <w:color w:val="auto"/>
        </w:rPr>
      </w:pPr>
      <w:r>
        <w:rPr>
          <w:rFonts w:hint="eastAsia" w:ascii="宋体" w:hAnsi="宋体"/>
          <w:color w:val="auto"/>
        </w:rPr>
        <w:t>在撤销授权的书面通知以前，本授权委托书一直有效。被授权人在授权委托书有效期内签署的所有文件不因授权的撤销而失效。</w:t>
      </w:r>
    </w:p>
    <w:p>
      <w:pPr>
        <w:spacing w:line="400" w:lineRule="exact"/>
        <w:ind w:firstLine="420" w:firstLineChars="200"/>
        <w:rPr>
          <w:rFonts w:ascii="宋体" w:hAnsi="宋体"/>
          <w:color w:val="auto"/>
        </w:rPr>
      </w:pPr>
      <w:r>
        <w:rPr>
          <w:rFonts w:hint="eastAsia" w:ascii="宋体" w:hAnsi="宋体"/>
          <w:color w:val="auto"/>
        </w:rPr>
        <w:t>授权代表无转委托权，特此委托。</w:t>
      </w:r>
    </w:p>
    <w:p>
      <w:pPr>
        <w:spacing w:line="480" w:lineRule="auto"/>
        <w:ind w:firstLine="4830" w:firstLineChars="2300"/>
        <w:rPr>
          <w:rFonts w:ascii="宋体" w:hAnsi="宋体"/>
          <w:color w:val="auto"/>
          <w:szCs w:val="21"/>
        </w:rPr>
      </w:pPr>
      <w:r>
        <w:rPr>
          <w:rFonts w:hint="eastAsia" w:ascii="宋体" w:hAnsi="宋体"/>
          <w:color w:val="auto"/>
          <w:szCs w:val="21"/>
        </w:rPr>
        <w:t>磋商供应商全称（盖章）：</w:t>
      </w:r>
    </w:p>
    <w:p>
      <w:pPr>
        <w:spacing w:line="480" w:lineRule="auto"/>
        <w:ind w:firstLine="4830" w:firstLineChars="2300"/>
        <w:rPr>
          <w:rFonts w:ascii="宋体" w:hAnsi="宋体"/>
          <w:color w:val="auto"/>
          <w:szCs w:val="21"/>
        </w:rPr>
      </w:pPr>
      <w:r>
        <w:rPr>
          <w:rFonts w:hint="eastAsia" w:ascii="宋体" w:hAnsi="宋体"/>
          <w:color w:val="auto"/>
          <w:szCs w:val="21"/>
        </w:rPr>
        <w:t>法定代表人（签字或盖章）：</w:t>
      </w:r>
    </w:p>
    <w:p>
      <w:pPr>
        <w:spacing w:line="480" w:lineRule="auto"/>
        <w:ind w:firstLine="4830" w:firstLineChars="2300"/>
        <w:rPr>
          <w:rFonts w:ascii="宋体" w:hAnsi="宋体"/>
          <w:color w:val="auto"/>
          <w:szCs w:val="21"/>
        </w:rPr>
      </w:pPr>
      <w:r>
        <w:rPr>
          <w:rFonts w:hint="eastAsia" w:ascii="宋体" w:hAnsi="宋体"/>
          <w:color w:val="auto"/>
          <w:szCs w:val="21"/>
        </w:rPr>
        <w:t>日   期：</w:t>
      </w:r>
    </w:p>
    <w:p>
      <w:pPr>
        <w:spacing w:line="480" w:lineRule="auto"/>
        <w:ind w:firstLine="4830" w:firstLineChars="2300"/>
        <w:rPr>
          <w:rFonts w:ascii="宋体" w:hAnsi="宋体"/>
          <w:color w:val="auto"/>
          <w:szCs w:val="21"/>
        </w:rPr>
      </w:pPr>
    </w:p>
    <w:p>
      <w:pPr>
        <w:spacing w:line="480" w:lineRule="auto"/>
        <w:ind w:firstLine="4830" w:firstLineChars="2300"/>
        <w:rPr>
          <w:rFonts w:ascii="Arial" w:hAnsi="Arial"/>
          <w:color w:val="auto"/>
        </w:rPr>
      </w:pPr>
    </w:p>
    <w:p>
      <w:pPr>
        <w:spacing w:line="360" w:lineRule="auto"/>
        <w:rPr>
          <w:rFonts w:ascii="宋体" w:hAnsi="宋体"/>
          <w:color w:val="auto"/>
        </w:rPr>
      </w:pPr>
      <w:r>
        <w:rPr>
          <w:rFonts w:ascii="宋体" w:hAnsi="宋体"/>
          <w:color w:val="auto"/>
        </w:rPr>
        <w:pict>
          <v:shape id="_x0000_s1026" o:spid="_x0000_s1026" o:spt="202" type="#_x0000_t202" style="position:absolute;left:0pt;margin-left:199.5pt;margin-top:0.15pt;height:195pt;width:244.6pt;z-index:251662336;mso-width-relative:page;mso-height-relative:page;" coordsize="21600,21600" o:gfxdata="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4p7yy1wAAAAgBAAAPAAAAAAAAAAEAIAAAACIAAABkcnMvZG93bnJldi54bWxQ&#10;SwECFAAUAAAACACHTuJAxgyf+PgBAAD3AwAADgAAAAAAAAABACAAAAAmAQAAZHJzL2Uyb0RvYy54&#10;bWxQSwUGAAAAAAYABgBZAQAAkAUAAAAA&#10;">
            <v:path/>
            <v:fill focussize="0,0"/>
            <v:stroke joinstyle="miter"/>
            <v:imagedata o:title=""/>
            <o:lock v:ext="edit"/>
            <v:textbox>
              <w:txbxContent>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Cs w:val="21"/>
                    </w:rPr>
                  </w:pPr>
                  <w:r>
                    <w:rPr>
                      <w:rFonts w:hint="eastAsia" w:ascii="新宋体" w:hAnsi="新宋体" w:eastAsia="新宋体"/>
                      <w:szCs w:val="21"/>
                    </w:rPr>
                    <w:t>授权代表身份证复印件粘贴处（正反两面）：</w:t>
                  </w: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pPr>
                </w:p>
                <w:p/>
                <w:p/>
                <w:p/>
                <w:p/>
                <w:p/>
                <w:p/>
              </w:txbxContent>
            </v:textbox>
          </v:shape>
        </w:pict>
      </w:r>
      <w:r>
        <w:rPr>
          <w:rFonts w:hint="eastAsia" w:ascii="宋体" w:hAnsi="宋体"/>
          <w:color w:val="auto"/>
        </w:rPr>
        <w:t>附：</w:t>
      </w:r>
    </w:p>
    <w:p>
      <w:pPr>
        <w:spacing w:line="360" w:lineRule="auto"/>
        <w:rPr>
          <w:rFonts w:ascii="宋体" w:hAnsi="宋体"/>
          <w:color w:val="auto"/>
        </w:rPr>
      </w:pPr>
      <w:r>
        <w:rPr>
          <w:rFonts w:hint="eastAsia" w:ascii="宋体" w:hAnsi="宋体"/>
          <w:color w:val="auto"/>
        </w:rPr>
        <w:t xml:space="preserve">授权代表姓名：                                      </w:t>
      </w:r>
    </w:p>
    <w:p>
      <w:pPr>
        <w:spacing w:line="360" w:lineRule="auto"/>
        <w:rPr>
          <w:rFonts w:ascii="宋体" w:hAnsi="宋体"/>
          <w:color w:val="auto"/>
          <w:u w:val="single"/>
        </w:rPr>
      </w:pPr>
      <w:r>
        <w:rPr>
          <w:rFonts w:hint="eastAsia" w:ascii="宋体" w:hAnsi="宋体"/>
          <w:color w:val="auto"/>
        </w:rPr>
        <w:t xml:space="preserve">详细通讯地址： </w:t>
      </w:r>
      <w:r>
        <w:rPr>
          <w:rFonts w:hint="eastAsia" w:ascii="宋体" w:hAnsi="宋体"/>
          <w:color w:val="auto"/>
          <w:u w:val="single"/>
        </w:rPr>
        <w:t xml:space="preserve">                  </w:t>
      </w:r>
    </w:p>
    <w:p>
      <w:pPr>
        <w:spacing w:line="360" w:lineRule="auto"/>
        <w:rPr>
          <w:rFonts w:ascii="宋体" w:hAnsi="宋体"/>
          <w:color w:val="auto"/>
        </w:rPr>
      </w:pPr>
      <w:r>
        <w:rPr>
          <w:rFonts w:hint="eastAsia" w:ascii="宋体" w:hAnsi="宋体"/>
          <w:color w:val="auto"/>
        </w:rPr>
        <w:t>传  真：</w:t>
      </w:r>
      <w:r>
        <w:rPr>
          <w:rFonts w:hint="eastAsia" w:ascii="宋体" w:hAnsi="宋体"/>
          <w:color w:val="auto"/>
          <w:u w:val="single"/>
        </w:rPr>
        <w:t xml:space="preserve">                        </w:t>
      </w:r>
    </w:p>
    <w:p>
      <w:pPr>
        <w:spacing w:line="360" w:lineRule="auto"/>
        <w:rPr>
          <w:rFonts w:ascii="宋体" w:hAnsi="宋体"/>
          <w:color w:val="auto"/>
        </w:rPr>
      </w:pPr>
      <w:r>
        <w:rPr>
          <w:rFonts w:hint="eastAsia" w:ascii="宋体" w:hAnsi="宋体"/>
          <w:color w:val="auto"/>
        </w:rPr>
        <w:t>电  话：</w:t>
      </w:r>
      <w:r>
        <w:rPr>
          <w:rFonts w:hint="eastAsia" w:ascii="宋体" w:hAnsi="宋体"/>
          <w:color w:val="auto"/>
          <w:u w:val="single"/>
        </w:rPr>
        <w:t xml:space="preserve">                        </w:t>
      </w:r>
    </w:p>
    <w:p>
      <w:pPr>
        <w:spacing w:line="360" w:lineRule="auto"/>
        <w:rPr>
          <w:rFonts w:ascii="宋体" w:hAnsi="宋体"/>
          <w:color w:val="auto"/>
        </w:rPr>
      </w:pPr>
      <w:r>
        <w:rPr>
          <w:rFonts w:hint="eastAsia" w:ascii="宋体" w:hAnsi="宋体"/>
          <w:color w:val="auto"/>
        </w:rPr>
        <w:t>邮政编码：</w:t>
      </w:r>
      <w:r>
        <w:rPr>
          <w:rFonts w:hint="eastAsia" w:ascii="宋体" w:hAnsi="宋体"/>
          <w:color w:val="auto"/>
          <w:u w:val="single"/>
        </w:rPr>
        <w:t xml:space="preserve">                      </w:t>
      </w:r>
    </w:p>
    <w:p>
      <w:pPr>
        <w:spacing w:line="276" w:lineRule="auto"/>
        <w:ind w:firstLine="697"/>
        <w:rPr>
          <w:rFonts w:ascii="宋体" w:hAnsi="宋体"/>
          <w:color w:val="auto"/>
        </w:rPr>
      </w:pPr>
    </w:p>
    <w:p>
      <w:pPr>
        <w:pStyle w:val="5"/>
        <w:keepNext w:val="0"/>
        <w:keepLines w:val="0"/>
        <w:pageBreakBefore/>
        <w:spacing w:beforeLines="100" w:afterLines="100" w:line="400" w:lineRule="atLeast"/>
        <w:jc w:val="center"/>
        <w:rPr>
          <w:rFonts w:hAnsi="宋体"/>
          <w:color w:val="auto"/>
          <w:sz w:val="28"/>
          <w:szCs w:val="36"/>
        </w:rPr>
      </w:pPr>
      <w:bookmarkStart w:id="96" w:name="_Toc486931328"/>
      <w:bookmarkStart w:id="97" w:name="_Toc4938"/>
      <w:r>
        <w:rPr>
          <w:rFonts w:hint="eastAsia" w:hAnsi="宋体"/>
          <w:color w:val="auto"/>
          <w:sz w:val="28"/>
          <w:szCs w:val="36"/>
        </w:rPr>
        <w:t>附件三    磋 商 函</w:t>
      </w:r>
      <w:bookmarkEnd w:id="96"/>
      <w:bookmarkEnd w:id="97"/>
    </w:p>
    <w:p>
      <w:pPr>
        <w:spacing w:line="360" w:lineRule="auto"/>
        <w:jc w:val="both"/>
        <w:rPr>
          <w:rFonts w:ascii="宋体" w:hAnsi="宋体"/>
          <w:b/>
          <w:bCs/>
          <w:color w:val="auto"/>
          <w:u w:val="single"/>
        </w:rPr>
      </w:pPr>
      <w:r>
        <w:rPr>
          <w:rFonts w:hint="eastAsia" w:ascii="宋体" w:hAnsi="宋体"/>
          <w:b/>
          <w:bCs/>
          <w:color w:val="auto"/>
          <w:u w:val="single"/>
          <w:lang w:eastAsia="zh-CN"/>
        </w:rPr>
        <w:t>瑞安安阳中心城区开发建设中心</w:t>
      </w:r>
      <w:r>
        <w:rPr>
          <w:rFonts w:hint="eastAsia" w:ascii="宋体" w:hAnsi="宋体"/>
          <w:b/>
          <w:bCs/>
          <w:color w:val="auto"/>
          <w:u w:val="single"/>
        </w:rPr>
        <w:t>：</w:t>
      </w:r>
    </w:p>
    <w:p>
      <w:pPr>
        <w:spacing w:line="360" w:lineRule="auto"/>
        <w:ind w:firstLine="411" w:firstLineChars="196"/>
        <w:jc w:val="both"/>
        <w:rPr>
          <w:color w:val="auto"/>
        </w:rPr>
      </w:pPr>
      <w:r>
        <w:rPr>
          <w:rFonts w:hint="eastAsia"/>
          <w:color w:val="auto"/>
          <w:u w:val="single"/>
        </w:rPr>
        <w:t xml:space="preserve">（磋商供应商全称）  </w:t>
      </w:r>
      <w:r>
        <w:rPr>
          <w:rFonts w:hint="eastAsia"/>
          <w:color w:val="auto"/>
        </w:rPr>
        <w:t xml:space="preserve"> 授权 </w:t>
      </w:r>
      <w:r>
        <w:rPr>
          <w:rFonts w:hint="eastAsia"/>
          <w:color w:val="auto"/>
          <w:u w:val="single"/>
        </w:rPr>
        <w:t xml:space="preserve">   （授权代表名称、职务、职称）    </w:t>
      </w:r>
      <w:r>
        <w:rPr>
          <w:rFonts w:hint="eastAsia"/>
          <w:color w:val="auto"/>
        </w:rPr>
        <w:t xml:space="preserve"> 为本公司授权代表，参加贵方组织的</w:t>
      </w:r>
      <w:r>
        <w:rPr>
          <w:rFonts w:hint="eastAsia" w:ascii="宋体" w:hAnsi="宋体"/>
          <w:color w:val="auto"/>
          <w:u w:val="single"/>
          <w:lang w:eastAsia="zh-CN"/>
        </w:rPr>
        <w:t>瑞安市阳光小学扩建工程智能化设备采购</w:t>
      </w:r>
      <w:r>
        <w:rPr>
          <w:rFonts w:hint="eastAsia" w:ascii="宋体" w:hAnsi="宋体"/>
          <w:color w:val="auto"/>
          <w:u w:val="single"/>
        </w:rPr>
        <w:t>（</w:t>
      </w:r>
      <w:r>
        <w:rPr>
          <w:rFonts w:hint="eastAsia" w:ascii="宋体" w:hAnsi="宋体"/>
          <w:color w:val="auto"/>
        </w:rPr>
        <w:t>项目编号</w:t>
      </w:r>
      <w:r>
        <w:rPr>
          <w:rFonts w:hint="eastAsia" w:ascii="宋体" w:hAnsi="宋体"/>
          <w:color w:val="auto"/>
          <w:u w:val="single"/>
        </w:rPr>
        <w:t>:</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竞争</w:t>
      </w:r>
      <w:r>
        <w:rPr>
          <w:rFonts w:hint="eastAsia"/>
          <w:color w:val="auto"/>
        </w:rPr>
        <w:t>性磋商采购的有关活动，进行磋商。为此：</w:t>
      </w:r>
    </w:p>
    <w:p>
      <w:pPr>
        <w:pStyle w:val="58"/>
        <w:numPr>
          <w:ilvl w:val="1"/>
          <w:numId w:val="38"/>
        </w:numPr>
        <w:spacing w:line="360" w:lineRule="auto"/>
        <w:ind w:left="851" w:firstLineChars="0"/>
        <w:rPr>
          <w:rFonts w:ascii="宋体" w:hAnsi="宋体"/>
          <w:color w:val="auto"/>
        </w:rPr>
      </w:pPr>
      <w:r>
        <w:rPr>
          <w:rFonts w:hint="eastAsia" w:ascii="宋体" w:hAnsi="宋体"/>
          <w:color w:val="auto"/>
        </w:rPr>
        <w:t>提供磋商须知规定的全部磋商响应文件。</w:t>
      </w:r>
    </w:p>
    <w:p>
      <w:pPr>
        <w:pStyle w:val="58"/>
        <w:numPr>
          <w:ilvl w:val="1"/>
          <w:numId w:val="38"/>
        </w:numPr>
        <w:spacing w:line="360" w:lineRule="auto"/>
        <w:ind w:left="851" w:firstLineChars="0"/>
        <w:rPr>
          <w:rFonts w:ascii="宋体" w:hAnsi="宋体"/>
          <w:color w:val="auto"/>
        </w:rPr>
      </w:pPr>
      <w:r>
        <w:rPr>
          <w:rFonts w:hint="eastAsia" w:ascii="宋体" w:hAnsi="宋体"/>
          <w:color w:val="auto"/>
        </w:rPr>
        <w:t>据此函，签字人兹宣布同意如下：</w:t>
      </w:r>
    </w:p>
    <w:p>
      <w:pPr>
        <w:pStyle w:val="58"/>
        <w:numPr>
          <w:ilvl w:val="2"/>
          <w:numId w:val="38"/>
        </w:numPr>
        <w:spacing w:line="360" w:lineRule="auto"/>
        <w:ind w:left="1276" w:firstLineChars="0"/>
        <w:rPr>
          <w:rFonts w:ascii="宋体"/>
          <w:color w:val="auto"/>
        </w:rPr>
      </w:pPr>
      <w:r>
        <w:rPr>
          <w:rFonts w:hint="eastAsia"/>
          <w:color w:val="auto"/>
          <w:szCs w:val="21"/>
        </w:rPr>
        <w:t>该项目的磋商报价</w:t>
      </w:r>
      <w:r>
        <w:rPr>
          <w:rFonts w:hint="eastAsia" w:ascii="宋体" w:hAnsi="宋体"/>
          <w:color w:val="auto"/>
        </w:rPr>
        <w:t xml:space="preserve">以最后轮报价为准（报价一览表附后）； </w:t>
      </w:r>
    </w:p>
    <w:p>
      <w:pPr>
        <w:pStyle w:val="58"/>
        <w:numPr>
          <w:ilvl w:val="2"/>
          <w:numId w:val="38"/>
        </w:numPr>
        <w:spacing w:line="360" w:lineRule="auto"/>
        <w:ind w:left="1276" w:firstLineChars="0"/>
        <w:rPr>
          <w:color w:val="auto"/>
        </w:rPr>
      </w:pPr>
      <w:r>
        <w:rPr>
          <w:rFonts w:hint="eastAsia"/>
          <w:color w:val="auto"/>
        </w:rPr>
        <w:t>保证遵守竞争性磋商磋商文件中的有关规定。</w:t>
      </w:r>
    </w:p>
    <w:p>
      <w:pPr>
        <w:pStyle w:val="58"/>
        <w:numPr>
          <w:ilvl w:val="2"/>
          <w:numId w:val="38"/>
        </w:numPr>
        <w:spacing w:line="360" w:lineRule="auto"/>
        <w:ind w:left="1276" w:firstLineChars="0"/>
        <w:rPr>
          <w:color w:val="auto"/>
        </w:rPr>
      </w:pPr>
      <w:r>
        <w:rPr>
          <w:rFonts w:hint="eastAsia"/>
          <w:color w:val="auto"/>
        </w:rPr>
        <w:t>保证严格执行双方所签的服务合同，并承担全部规定的责任义务。</w:t>
      </w:r>
    </w:p>
    <w:p>
      <w:pPr>
        <w:pStyle w:val="58"/>
        <w:numPr>
          <w:ilvl w:val="2"/>
          <w:numId w:val="38"/>
        </w:numPr>
        <w:spacing w:line="360" w:lineRule="auto"/>
        <w:ind w:left="1276" w:firstLineChars="0"/>
        <w:rPr>
          <w:color w:val="auto"/>
        </w:rPr>
      </w:pPr>
      <w:r>
        <w:rPr>
          <w:rFonts w:hint="eastAsia"/>
          <w:color w:val="auto"/>
        </w:rPr>
        <w:t>磋商供应商已详细审查全部竞争性磋商磋商文件，包括竞争性磋商采购补充文件（如果有的话）。我们完全理解并同意放弃对这方面有不明及误解的权力。</w:t>
      </w:r>
    </w:p>
    <w:p>
      <w:pPr>
        <w:pStyle w:val="58"/>
        <w:numPr>
          <w:ilvl w:val="2"/>
          <w:numId w:val="38"/>
        </w:numPr>
        <w:spacing w:line="360" w:lineRule="auto"/>
        <w:ind w:left="1276" w:firstLineChars="0"/>
        <w:rPr>
          <w:color w:val="auto"/>
        </w:rPr>
      </w:pPr>
      <w:r>
        <w:rPr>
          <w:rFonts w:hint="eastAsia"/>
          <w:color w:val="auto"/>
        </w:rPr>
        <w:t>愿意向贵方提供任何与该项磋商有关的数据、情况和技术资料，完全理解贵方不一定接受最低价的磋商或收到的任何磋商。</w:t>
      </w:r>
    </w:p>
    <w:p>
      <w:pPr>
        <w:pStyle w:val="58"/>
        <w:numPr>
          <w:ilvl w:val="2"/>
          <w:numId w:val="38"/>
        </w:numPr>
        <w:spacing w:line="360" w:lineRule="auto"/>
        <w:ind w:left="1276" w:firstLineChars="0"/>
        <w:rPr>
          <w:color w:val="auto"/>
        </w:rPr>
      </w:pPr>
      <w:r>
        <w:rPr>
          <w:rFonts w:hint="eastAsia"/>
          <w:color w:val="auto"/>
        </w:rPr>
        <w:t>本磋商自磋商截止时间之日起</w:t>
      </w:r>
      <w:r>
        <w:rPr>
          <w:rFonts w:hint="eastAsia"/>
          <w:color w:val="auto"/>
          <w:u w:val="single"/>
        </w:rPr>
        <w:t>90</w:t>
      </w:r>
      <w:r>
        <w:rPr>
          <w:rFonts w:hint="eastAsia"/>
          <w:color w:val="auto"/>
        </w:rPr>
        <w:t>日历天有效。</w:t>
      </w:r>
    </w:p>
    <w:p>
      <w:pPr>
        <w:pStyle w:val="58"/>
        <w:numPr>
          <w:ilvl w:val="2"/>
          <w:numId w:val="38"/>
        </w:numPr>
        <w:spacing w:line="360" w:lineRule="auto"/>
        <w:ind w:left="1276" w:firstLineChars="0"/>
        <w:rPr>
          <w:color w:val="auto"/>
          <w:szCs w:val="21"/>
        </w:rPr>
      </w:pPr>
      <w:r>
        <w:rPr>
          <w:rFonts w:hint="eastAsia"/>
          <w:color w:val="auto"/>
          <w:szCs w:val="21"/>
        </w:rPr>
        <w:t>与本磋商有关的正式通讯地址为：</w:t>
      </w:r>
      <w:r>
        <w:rPr>
          <w:rFonts w:hint="eastAsia"/>
          <w:color w:val="auto"/>
          <w:szCs w:val="21"/>
          <w:u w:val="single"/>
        </w:rPr>
        <w:t xml:space="preserve">                                           </w:t>
      </w:r>
    </w:p>
    <w:p>
      <w:pPr>
        <w:spacing w:line="360" w:lineRule="auto"/>
        <w:ind w:left="1276"/>
        <w:rPr>
          <w:rFonts w:ascii="宋体" w:hAnsi="宋体"/>
          <w:color w:val="auto"/>
        </w:rPr>
      </w:pPr>
      <w:r>
        <w:rPr>
          <w:rFonts w:hint="eastAsia" w:ascii="宋体" w:hAnsi="宋体"/>
          <w:color w:val="auto"/>
        </w:rPr>
        <w:t>邮编：</w:t>
      </w:r>
      <w:r>
        <w:rPr>
          <w:rFonts w:hint="eastAsia" w:ascii="宋体" w:hAnsi="宋体"/>
          <w:color w:val="auto"/>
          <w:u w:val="single"/>
        </w:rPr>
        <w:t xml:space="preserve">              </w:t>
      </w:r>
      <w:r>
        <w:rPr>
          <w:rFonts w:hint="eastAsia" w:ascii="宋体" w:hAnsi="宋体"/>
          <w:color w:val="auto"/>
        </w:rPr>
        <w:t>电话：</w:t>
      </w:r>
      <w:r>
        <w:rPr>
          <w:rFonts w:hint="eastAsia" w:ascii="宋体" w:hAnsi="宋体"/>
          <w:color w:val="auto"/>
          <w:u w:val="single"/>
        </w:rPr>
        <w:t xml:space="preserve">                     </w:t>
      </w:r>
      <w:r>
        <w:rPr>
          <w:rFonts w:hint="eastAsia" w:ascii="宋体" w:hAnsi="宋体"/>
          <w:color w:val="auto"/>
        </w:rPr>
        <w:t xml:space="preserve">传真：                    </w:t>
      </w:r>
    </w:p>
    <w:p>
      <w:pPr>
        <w:spacing w:line="480" w:lineRule="auto"/>
        <w:ind w:firstLine="5250" w:firstLineChars="2500"/>
        <w:rPr>
          <w:rFonts w:ascii="Arial" w:hAnsi="Arial"/>
          <w:color w:val="auto"/>
        </w:rPr>
      </w:pPr>
    </w:p>
    <w:p>
      <w:pPr>
        <w:spacing w:line="480" w:lineRule="auto"/>
        <w:ind w:firstLine="5250" w:firstLineChars="2500"/>
        <w:rPr>
          <w:rFonts w:ascii="Arial" w:hAnsi="Arial"/>
          <w:color w:val="auto"/>
        </w:rPr>
      </w:pPr>
    </w:p>
    <w:p>
      <w:pPr>
        <w:spacing w:beforeLines="100" w:afterLines="100" w:line="400" w:lineRule="atLeast"/>
        <w:ind w:left="4620" w:leftChars="2200"/>
        <w:rPr>
          <w:rFonts w:ascii="宋体" w:hAnsi="宋体"/>
          <w:color w:val="auto"/>
          <w:szCs w:val="21"/>
        </w:rPr>
      </w:pPr>
      <w:r>
        <w:rPr>
          <w:rFonts w:hint="eastAsia" w:ascii="宋体" w:hAnsi="宋体"/>
          <w:color w:val="auto"/>
          <w:szCs w:val="21"/>
        </w:rPr>
        <w:t>磋商供应商全称（盖章）：</w:t>
      </w:r>
    </w:p>
    <w:p>
      <w:pPr>
        <w:spacing w:beforeLines="100" w:afterLines="100" w:line="400" w:lineRule="atLeast"/>
        <w:rPr>
          <w:rFonts w:ascii="宋体" w:hAnsi="宋体"/>
          <w:color w:val="auto"/>
          <w:szCs w:val="21"/>
        </w:rPr>
      </w:pPr>
      <w:r>
        <w:rPr>
          <w:rFonts w:hint="eastAsia" w:ascii="宋体" w:hAnsi="宋体"/>
          <w:color w:val="auto"/>
          <w:szCs w:val="21"/>
        </w:rPr>
        <w:t xml:space="preserve">                               法定代表人或授权代表（签字或盖章）：</w:t>
      </w:r>
    </w:p>
    <w:p>
      <w:pPr>
        <w:spacing w:beforeLines="100" w:afterLines="100" w:line="400" w:lineRule="atLeast"/>
        <w:ind w:left="4620" w:leftChars="2200"/>
        <w:rPr>
          <w:rFonts w:ascii="宋体" w:hAnsi="宋体"/>
          <w:color w:val="auto"/>
          <w:szCs w:val="21"/>
        </w:rPr>
      </w:pPr>
      <w:r>
        <w:rPr>
          <w:rFonts w:hint="eastAsia" w:ascii="宋体" w:hAnsi="宋体"/>
          <w:color w:val="auto"/>
          <w:szCs w:val="21"/>
        </w:rPr>
        <w:t>日期：    年   月    日</w:t>
      </w:r>
    </w:p>
    <w:p>
      <w:pPr>
        <w:spacing w:before="100" w:beforeAutospacing="1" w:after="100" w:afterAutospacing="1" w:line="440" w:lineRule="atLeast"/>
        <w:rPr>
          <w:rFonts w:ascii="宋体" w:cs="宋体"/>
          <w:b/>
          <w:color w:val="auto"/>
          <w:szCs w:val="21"/>
        </w:rPr>
      </w:pPr>
      <w:bookmarkStart w:id="98" w:name="_Toc486931331"/>
      <w:bookmarkStart w:id="99" w:name="_Toc434321583"/>
      <w:bookmarkStart w:id="100" w:name="_Toc12233"/>
      <w:bookmarkStart w:id="101" w:name="_Toc433019960"/>
      <w:bookmarkStart w:id="102" w:name="_Toc12466"/>
      <w:bookmarkStart w:id="103" w:name="_Toc415749683"/>
      <w:bookmarkStart w:id="104" w:name="_Toc373927644"/>
      <w:bookmarkStart w:id="105" w:name="_Toc394479571"/>
      <w:bookmarkStart w:id="106" w:name="_Toc416956603"/>
      <w:bookmarkStart w:id="107" w:name="_Toc339979561"/>
      <w:bookmarkStart w:id="108" w:name="_Toc5438"/>
    </w:p>
    <w:bookmarkEnd w:id="98"/>
    <w:bookmarkEnd w:id="99"/>
    <w:bookmarkEnd w:id="100"/>
    <w:bookmarkEnd w:id="101"/>
    <w:bookmarkEnd w:id="102"/>
    <w:p>
      <w:pPr>
        <w:pStyle w:val="5"/>
        <w:keepNext w:val="0"/>
        <w:keepLines w:val="0"/>
        <w:pageBreakBefore/>
        <w:spacing w:beforeLines="100" w:afterLines="100" w:line="400" w:lineRule="atLeast"/>
        <w:jc w:val="center"/>
        <w:rPr>
          <w:rFonts w:hAnsi="宋体"/>
          <w:color w:val="auto"/>
          <w:sz w:val="28"/>
          <w:szCs w:val="36"/>
        </w:rPr>
      </w:pPr>
      <w:bookmarkStart w:id="109" w:name="_Toc528663551"/>
      <w:bookmarkStart w:id="110" w:name="_Toc533790093"/>
      <w:bookmarkStart w:id="111" w:name="_Toc23295"/>
      <w:bookmarkStart w:id="112" w:name="_Toc527531264"/>
      <w:bookmarkStart w:id="113" w:name="_Toc401298838"/>
      <w:bookmarkStart w:id="114" w:name="_Toc8066"/>
      <w:bookmarkStart w:id="115" w:name="_Toc444710180"/>
      <w:bookmarkStart w:id="116" w:name="_Toc476745879"/>
      <w:bookmarkStart w:id="117" w:name="_Toc493003387"/>
      <w:bookmarkStart w:id="118" w:name="_Toc510167143"/>
      <w:bookmarkStart w:id="119" w:name="_Toc384303171"/>
      <w:bookmarkStart w:id="120" w:name="_Toc453158714"/>
      <w:bookmarkStart w:id="121" w:name="_Toc433808004"/>
      <w:bookmarkStart w:id="122" w:name="_Toc433019964"/>
      <w:bookmarkStart w:id="123" w:name="_Toc14715"/>
      <w:bookmarkStart w:id="124" w:name="_Toc384303166"/>
      <w:bookmarkStart w:id="125" w:name="_Toc402258849"/>
      <w:bookmarkStart w:id="126" w:name="_Toc486931332"/>
      <w:r>
        <w:rPr>
          <w:rFonts w:hint="eastAsia" w:hAnsi="宋体"/>
          <w:color w:val="auto"/>
          <w:sz w:val="28"/>
          <w:szCs w:val="36"/>
        </w:rPr>
        <w:t>附件四    建议与少量偏离表</w:t>
      </w:r>
      <w:bookmarkEnd w:id="109"/>
      <w:bookmarkEnd w:id="110"/>
      <w:bookmarkEnd w:id="111"/>
      <w:bookmarkEnd w:id="112"/>
    </w:p>
    <w:p>
      <w:pPr>
        <w:spacing w:afterLines="50" w:line="400" w:lineRule="atLeast"/>
        <w:jc w:val="center"/>
        <w:rPr>
          <w:rFonts w:ascii="仿宋_GB2312" w:eastAsia="仿宋_GB2312"/>
          <w:color w:val="auto"/>
        </w:rPr>
      </w:pPr>
      <w:r>
        <w:rPr>
          <w:rFonts w:hint="eastAsia" w:ascii="仿宋_GB2312" w:eastAsia="仿宋_GB2312"/>
          <w:color w:val="auto"/>
        </w:rPr>
        <w:t>（商务和技术须分别填写）</w:t>
      </w:r>
    </w:p>
    <w:p>
      <w:pPr>
        <w:spacing w:line="400" w:lineRule="atLeast"/>
        <w:ind w:firstLine="422" w:firstLineChars="200"/>
        <w:rPr>
          <w:rFonts w:ascii="宋体" w:hAnsi="宋体"/>
          <w:color w:val="auto"/>
          <w:szCs w:val="21"/>
        </w:rPr>
      </w:pPr>
      <w:r>
        <w:rPr>
          <w:rFonts w:hint="eastAsia" w:ascii="宋体" w:hAnsi="宋体"/>
          <w:b/>
          <w:color w:val="auto"/>
          <w:szCs w:val="21"/>
        </w:rPr>
        <w:t>项目名称：                                     项目编号：</w:t>
      </w:r>
    </w:p>
    <w:tbl>
      <w:tblPr>
        <w:tblStyle w:val="38"/>
        <w:tblW w:w="8791"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3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93" w:type="dxa"/>
            <w:tcBorders>
              <w:top w:val="single" w:color="auto" w:sz="12" w:space="0"/>
              <w:bottom w:val="single" w:color="auto" w:sz="12" w:space="0"/>
            </w:tcBorders>
            <w:vAlign w:val="center"/>
          </w:tcPr>
          <w:p>
            <w:pPr>
              <w:jc w:val="center"/>
              <w:rPr>
                <w:rFonts w:ascii="宋体"/>
                <w:b/>
                <w:bCs/>
                <w:color w:val="auto"/>
              </w:rPr>
            </w:pPr>
            <w:r>
              <w:rPr>
                <w:rFonts w:hint="eastAsia" w:ascii="宋体"/>
                <w:b/>
                <w:bCs/>
                <w:color w:val="auto"/>
              </w:rPr>
              <w:t>序号</w:t>
            </w:r>
          </w:p>
        </w:tc>
        <w:tc>
          <w:tcPr>
            <w:tcW w:w="4181" w:type="dxa"/>
            <w:tcBorders>
              <w:top w:val="single" w:color="auto" w:sz="12" w:space="0"/>
              <w:bottom w:val="single" w:color="auto" w:sz="12" w:space="0"/>
            </w:tcBorders>
            <w:vAlign w:val="center"/>
          </w:tcPr>
          <w:p>
            <w:pPr>
              <w:jc w:val="center"/>
              <w:rPr>
                <w:rFonts w:ascii="宋体"/>
                <w:b/>
                <w:bCs/>
                <w:color w:val="auto"/>
              </w:rPr>
            </w:pPr>
            <w:r>
              <w:rPr>
                <w:rFonts w:hint="eastAsia" w:ascii="宋体"/>
                <w:b/>
                <w:bCs/>
                <w:color w:val="auto"/>
              </w:rPr>
              <w:t>磋商文件重述</w:t>
            </w:r>
          </w:p>
        </w:tc>
        <w:tc>
          <w:tcPr>
            <w:tcW w:w="3617" w:type="dxa"/>
            <w:tcBorders>
              <w:top w:val="single" w:color="auto" w:sz="12" w:space="0"/>
              <w:bottom w:val="single" w:color="auto" w:sz="12" w:space="0"/>
            </w:tcBorders>
            <w:vAlign w:val="center"/>
          </w:tcPr>
          <w:p>
            <w:pPr>
              <w:jc w:val="center"/>
              <w:rPr>
                <w:rFonts w:ascii="宋体"/>
                <w:b/>
                <w:bCs/>
                <w:color w:val="auto"/>
              </w:rPr>
            </w:pPr>
            <w:r>
              <w:rPr>
                <w:rFonts w:hint="eastAsia" w:ascii="宋体"/>
                <w:b/>
                <w:bCs/>
                <w:color w:val="auto"/>
              </w:rPr>
              <w:t>偏离或磋商供应商建议（条件）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7" w:hRule="atLeast"/>
        </w:trPr>
        <w:tc>
          <w:tcPr>
            <w:tcW w:w="993" w:type="dxa"/>
            <w:tcBorders>
              <w:top w:val="single" w:color="auto" w:sz="12" w:space="0"/>
            </w:tcBorders>
          </w:tcPr>
          <w:p>
            <w:pPr>
              <w:ind w:firstLine="592"/>
              <w:rPr>
                <w:rFonts w:ascii="仿宋_GB2312" w:eastAsia="仿宋_GB2312"/>
                <w:color w:val="auto"/>
              </w:rPr>
            </w:pPr>
          </w:p>
        </w:tc>
        <w:tc>
          <w:tcPr>
            <w:tcW w:w="4181" w:type="dxa"/>
            <w:tcBorders>
              <w:top w:val="single" w:color="auto" w:sz="12" w:space="0"/>
            </w:tcBorders>
          </w:tcPr>
          <w:p>
            <w:pPr>
              <w:ind w:firstLine="592"/>
              <w:rPr>
                <w:rFonts w:ascii="仿宋_GB2312" w:eastAsia="仿宋_GB2312"/>
                <w:color w:val="auto"/>
              </w:rPr>
            </w:pPr>
          </w:p>
        </w:tc>
        <w:tc>
          <w:tcPr>
            <w:tcW w:w="3617" w:type="dxa"/>
            <w:tcBorders>
              <w:top w:val="single" w:color="auto" w:sz="12" w:space="0"/>
            </w:tcBorders>
          </w:tcPr>
          <w:p>
            <w:pPr>
              <w:ind w:firstLine="592"/>
              <w:rPr>
                <w:rFonts w:ascii="仿宋_GB2312" w:eastAsia="仿宋_GB2312"/>
                <w:color w:val="auto"/>
              </w:rPr>
            </w:pPr>
          </w:p>
        </w:tc>
      </w:tr>
    </w:tbl>
    <w:p>
      <w:pPr>
        <w:pStyle w:val="27"/>
        <w:spacing w:line="400" w:lineRule="atLeast"/>
        <w:rPr>
          <w:color w:val="auto"/>
        </w:rPr>
      </w:pPr>
      <w:r>
        <w:rPr>
          <w:rFonts w:hint="eastAsia"/>
          <w:color w:val="auto"/>
        </w:rPr>
        <w:t>注：如不填写，则视为完全响应磋商文件的技术及商务要求。</w:t>
      </w:r>
    </w:p>
    <w:p>
      <w:pPr>
        <w:spacing w:beforeLines="100" w:afterLines="100" w:line="400" w:lineRule="atLeast"/>
        <w:ind w:left="4620" w:leftChars="2200"/>
        <w:rPr>
          <w:rFonts w:ascii="宋体" w:hAnsi="宋体"/>
          <w:color w:val="auto"/>
          <w:szCs w:val="21"/>
        </w:rPr>
      </w:pPr>
      <w:bookmarkStart w:id="127" w:name="_Toc474156103"/>
      <w:bookmarkStart w:id="128" w:name="_Toc454832226"/>
      <w:r>
        <w:rPr>
          <w:rFonts w:hint="eastAsia" w:ascii="宋体" w:hAnsi="宋体"/>
          <w:color w:val="auto"/>
          <w:szCs w:val="21"/>
        </w:rPr>
        <w:t>磋商供应商全称（盖章）：</w:t>
      </w:r>
    </w:p>
    <w:p>
      <w:pPr>
        <w:spacing w:beforeLines="100" w:afterLines="100" w:line="400" w:lineRule="atLeast"/>
        <w:rPr>
          <w:rFonts w:ascii="宋体" w:hAnsi="宋体"/>
          <w:color w:val="auto"/>
          <w:szCs w:val="21"/>
        </w:rPr>
      </w:pPr>
      <w:r>
        <w:rPr>
          <w:rFonts w:hint="eastAsia" w:ascii="宋体" w:hAnsi="宋体"/>
          <w:color w:val="auto"/>
          <w:szCs w:val="21"/>
        </w:rPr>
        <w:t xml:space="preserve">                                            日期：    年   月    日  </w:t>
      </w:r>
    </w:p>
    <w:bookmarkEnd w:id="113"/>
    <w:bookmarkEnd w:id="114"/>
    <w:bookmarkEnd w:id="115"/>
    <w:bookmarkEnd w:id="127"/>
    <w:bookmarkEnd w:id="128"/>
    <w:p>
      <w:pPr>
        <w:pStyle w:val="5"/>
        <w:keepNext w:val="0"/>
        <w:keepLines w:val="0"/>
        <w:pageBreakBefore/>
        <w:spacing w:beforeLines="100" w:afterLines="100" w:line="400" w:lineRule="atLeast"/>
        <w:jc w:val="center"/>
        <w:rPr>
          <w:rFonts w:hAnsi="宋体"/>
          <w:color w:val="auto"/>
          <w:sz w:val="28"/>
          <w:szCs w:val="36"/>
        </w:rPr>
      </w:pPr>
      <w:bookmarkStart w:id="129" w:name="_Toc533790095"/>
      <w:bookmarkStart w:id="130" w:name="_Toc502062545"/>
      <w:bookmarkStart w:id="131" w:name="_Toc30896"/>
      <w:r>
        <w:rPr>
          <w:rFonts w:hint="eastAsia" w:hAnsi="宋体"/>
          <w:color w:val="auto"/>
          <w:sz w:val="28"/>
          <w:szCs w:val="36"/>
        </w:rPr>
        <w:t xml:space="preserve">附件五    </w:t>
      </w:r>
      <w:bookmarkEnd w:id="129"/>
      <w:bookmarkEnd w:id="130"/>
      <w:r>
        <w:rPr>
          <w:rFonts w:hint="eastAsia" w:hAnsi="宋体"/>
          <w:color w:val="auto"/>
          <w:sz w:val="28"/>
          <w:szCs w:val="36"/>
        </w:rPr>
        <w:t>磋商供应商2018年1月1日以来同类项目业绩一览表</w:t>
      </w:r>
      <w:bookmarkEnd w:id="131"/>
    </w:p>
    <w:p>
      <w:pPr>
        <w:spacing w:line="400" w:lineRule="atLeast"/>
        <w:rPr>
          <w:rFonts w:ascii="宋体" w:hAnsi="宋体"/>
          <w:color w:val="auto"/>
          <w:szCs w:val="21"/>
        </w:rPr>
      </w:pPr>
      <w:r>
        <w:rPr>
          <w:rFonts w:hint="eastAsia" w:ascii="宋体" w:hAnsi="宋体"/>
          <w:b/>
          <w:color w:val="auto"/>
          <w:szCs w:val="21"/>
        </w:rPr>
        <w:t>项目编号：</w:t>
      </w:r>
    </w:p>
    <w:tbl>
      <w:tblPr>
        <w:tblStyle w:val="38"/>
        <w:tblW w:w="898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7"/>
        <w:gridCol w:w="2498"/>
        <w:gridCol w:w="1695"/>
        <w:gridCol w:w="117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647"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400" w:lineRule="atLeast"/>
              <w:jc w:val="center"/>
              <w:rPr>
                <w:b/>
                <w:bCs/>
                <w:color w:val="auto"/>
                <w:lang w:val="zh-CN"/>
              </w:rPr>
            </w:pPr>
            <w:r>
              <w:rPr>
                <w:rFonts w:hint="eastAsia"/>
                <w:b/>
                <w:bCs/>
                <w:color w:val="auto"/>
                <w:lang w:val="zh-CN"/>
              </w:rPr>
              <w:t>用户名称</w:t>
            </w:r>
          </w:p>
        </w:tc>
        <w:tc>
          <w:tcPr>
            <w:tcW w:w="249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400" w:lineRule="atLeast"/>
              <w:jc w:val="center"/>
              <w:rPr>
                <w:b/>
                <w:bCs/>
                <w:color w:val="auto"/>
                <w:lang w:val="zh-CN"/>
              </w:rPr>
            </w:pPr>
            <w:r>
              <w:rPr>
                <w:rFonts w:hint="eastAsia"/>
                <w:b/>
                <w:bCs/>
                <w:color w:val="auto"/>
                <w:lang w:val="zh-CN"/>
              </w:rPr>
              <w:t>地址</w:t>
            </w:r>
          </w:p>
        </w:tc>
        <w:tc>
          <w:tcPr>
            <w:tcW w:w="1695" w:type="dxa"/>
            <w:tcBorders>
              <w:top w:val="single" w:color="auto" w:sz="12" w:space="0"/>
              <w:left w:val="single" w:color="auto" w:sz="4" w:space="0"/>
              <w:right w:val="single" w:color="auto" w:sz="4" w:space="0"/>
            </w:tcBorders>
            <w:vAlign w:val="center"/>
          </w:tcPr>
          <w:p>
            <w:pPr>
              <w:autoSpaceDE w:val="0"/>
              <w:autoSpaceDN w:val="0"/>
              <w:adjustRightInd w:val="0"/>
              <w:spacing w:line="400" w:lineRule="atLeast"/>
              <w:jc w:val="center"/>
              <w:rPr>
                <w:b/>
                <w:bCs/>
                <w:color w:val="auto"/>
                <w:lang w:val="zh-CN"/>
              </w:rPr>
            </w:pPr>
            <w:r>
              <w:rPr>
                <w:rFonts w:hint="eastAsia"/>
                <w:b/>
                <w:bCs/>
                <w:color w:val="auto"/>
                <w:lang w:val="zh-CN"/>
              </w:rPr>
              <w:t>合同签约时间</w:t>
            </w:r>
          </w:p>
        </w:tc>
        <w:tc>
          <w:tcPr>
            <w:tcW w:w="1170" w:type="dxa"/>
            <w:tcBorders>
              <w:top w:val="single" w:color="auto" w:sz="12" w:space="0"/>
              <w:left w:val="single" w:color="auto" w:sz="4" w:space="0"/>
              <w:right w:val="single" w:color="auto" w:sz="4" w:space="0"/>
            </w:tcBorders>
            <w:vAlign w:val="center"/>
          </w:tcPr>
          <w:p>
            <w:pPr>
              <w:autoSpaceDE w:val="0"/>
              <w:autoSpaceDN w:val="0"/>
              <w:adjustRightInd w:val="0"/>
              <w:spacing w:line="400" w:lineRule="atLeast"/>
              <w:jc w:val="center"/>
              <w:rPr>
                <w:b/>
                <w:bCs/>
                <w:color w:val="auto"/>
                <w:lang w:val="zh-CN"/>
              </w:rPr>
            </w:pPr>
            <w:r>
              <w:rPr>
                <w:rFonts w:hint="eastAsia"/>
                <w:b/>
                <w:bCs/>
                <w:color w:val="auto"/>
                <w:lang w:val="zh-CN"/>
              </w:rPr>
              <w:t>合同金额</w:t>
            </w:r>
          </w:p>
          <w:p>
            <w:pPr>
              <w:autoSpaceDE w:val="0"/>
              <w:autoSpaceDN w:val="0"/>
              <w:adjustRightInd w:val="0"/>
              <w:spacing w:line="400" w:lineRule="atLeast"/>
              <w:jc w:val="center"/>
              <w:rPr>
                <w:bCs/>
                <w:color w:val="auto"/>
                <w:lang w:val="zh-CN"/>
              </w:rPr>
            </w:pPr>
            <w:r>
              <w:rPr>
                <w:rFonts w:hint="eastAsia"/>
                <w:b/>
                <w:bCs/>
                <w:color w:val="auto"/>
                <w:lang w:val="zh-CN"/>
              </w:rPr>
              <w:t>（万元）</w:t>
            </w:r>
          </w:p>
        </w:tc>
        <w:tc>
          <w:tcPr>
            <w:tcW w:w="97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400" w:lineRule="atLeast"/>
              <w:jc w:val="center"/>
              <w:rPr>
                <w:b/>
                <w:bCs/>
                <w:color w:val="auto"/>
                <w:lang w:val="zh-CN"/>
              </w:rPr>
            </w:pPr>
            <w:r>
              <w:rPr>
                <w:rFonts w:hint="eastAsia"/>
                <w:b/>
                <w:bCs/>
                <w:color w:val="auto"/>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647"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24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695"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170"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97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647"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24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695"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170"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97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647"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24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695"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170"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97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647"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24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695"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170"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97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647"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24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695"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1170" w:type="dxa"/>
            <w:tcBorders>
              <w:left w:val="single" w:color="auto" w:sz="4" w:space="0"/>
              <w:right w:val="single" w:color="auto" w:sz="4" w:space="0"/>
            </w:tcBorders>
          </w:tcPr>
          <w:p>
            <w:pPr>
              <w:autoSpaceDE w:val="0"/>
              <w:autoSpaceDN w:val="0"/>
              <w:adjustRightInd w:val="0"/>
              <w:spacing w:line="400" w:lineRule="atLeast"/>
              <w:rPr>
                <w:color w:val="auto"/>
                <w:sz w:val="24"/>
                <w:lang w:val="zh-CN"/>
              </w:rPr>
            </w:pPr>
          </w:p>
        </w:tc>
        <w:tc>
          <w:tcPr>
            <w:tcW w:w="975"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2647" w:type="dxa"/>
            <w:tcBorders>
              <w:top w:val="single" w:color="auto" w:sz="4" w:space="0"/>
              <w:left w:val="single" w:color="auto" w:sz="12" w:space="0"/>
              <w:bottom w:val="single" w:color="auto" w:sz="12" w:space="0"/>
              <w:right w:val="single" w:color="auto" w:sz="4" w:space="0"/>
            </w:tcBorders>
          </w:tcPr>
          <w:p>
            <w:pPr>
              <w:autoSpaceDE w:val="0"/>
              <w:autoSpaceDN w:val="0"/>
              <w:adjustRightInd w:val="0"/>
              <w:spacing w:line="400" w:lineRule="atLeast"/>
              <w:rPr>
                <w:color w:val="auto"/>
                <w:sz w:val="24"/>
                <w:lang w:val="zh-CN"/>
              </w:rPr>
            </w:pPr>
          </w:p>
        </w:tc>
        <w:tc>
          <w:tcPr>
            <w:tcW w:w="2498" w:type="dxa"/>
            <w:tcBorders>
              <w:top w:val="single" w:color="auto" w:sz="4" w:space="0"/>
              <w:left w:val="single" w:color="auto" w:sz="4" w:space="0"/>
              <w:bottom w:val="single" w:color="auto" w:sz="12" w:space="0"/>
              <w:right w:val="single" w:color="auto" w:sz="4" w:space="0"/>
            </w:tcBorders>
          </w:tcPr>
          <w:p>
            <w:pPr>
              <w:autoSpaceDE w:val="0"/>
              <w:autoSpaceDN w:val="0"/>
              <w:adjustRightInd w:val="0"/>
              <w:spacing w:line="400" w:lineRule="atLeast"/>
              <w:rPr>
                <w:color w:val="auto"/>
                <w:sz w:val="24"/>
                <w:lang w:val="zh-CN"/>
              </w:rPr>
            </w:pPr>
          </w:p>
        </w:tc>
        <w:tc>
          <w:tcPr>
            <w:tcW w:w="1695" w:type="dxa"/>
            <w:tcBorders>
              <w:left w:val="single" w:color="auto" w:sz="4" w:space="0"/>
              <w:bottom w:val="single" w:color="auto" w:sz="12" w:space="0"/>
              <w:right w:val="single" w:color="auto" w:sz="4" w:space="0"/>
            </w:tcBorders>
          </w:tcPr>
          <w:p>
            <w:pPr>
              <w:autoSpaceDE w:val="0"/>
              <w:autoSpaceDN w:val="0"/>
              <w:adjustRightInd w:val="0"/>
              <w:spacing w:line="400" w:lineRule="atLeast"/>
              <w:rPr>
                <w:color w:val="auto"/>
                <w:sz w:val="24"/>
                <w:lang w:val="zh-CN"/>
              </w:rPr>
            </w:pPr>
          </w:p>
        </w:tc>
        <w:tc>
          <w:tcPr>
            <w:tcW w:w="1170" w:type="dxa"/>
            <w:tcBorders>
              <w:left w:val="single" w:color="auto" w:sz="4" w:space="0"/>
              <w:bottom w:val="single" w:color="auto" w:sz="12" w:space="0"/>
              <w:right w:val="single" w:color="auto" w:sz="4" w:space="0"/>
            </w:tcBorders>
          </w:tcPr>
          <w:p>
            <w:pPr>
              <w:autoSpaceDE w:val="0"/>
              <w:autoSpaceDN w:val="0"/>
              <w:adjustRightInd w:val="0"/>
              <w:spacing w:line="400" w:lineRule="atLeast"/>
              <w:rPr>
                <w:color w:val="auto"/>
                <w:sz w:val="24"/>
                <w:lang w:val="zh-CN"/>
              </w:rPr>
            </w:pPr>
          </w:p>
        </w:tc>
        <w:tc>
          <w:tcPr>
            <w:tcW w:w="975" w:type="dxa"/>
            <w:tcBorders>
              <w:top w:val="single" w:color="auto" w:sz="4" w:space="0"/>
              <w:left w:val="single" w:color="auto" w:sz="4" w:space="0"/>
              <w:bottom w:val="single" w:color="auto" w:sz="12" w:space="0"/>
              <w:right w:val="single" w:color="auto" w:sz="12" w:space="0"/>
            </w:tcBorders>
          </w:tcPr>
          <w:p>
            <w:pPr>
              <w:autoSpaceDE w:val="0"/>
              <w:autoSpaceDN w:val="0"/>
              <w:adjustRightInd w:val="0"/>
              <w:spacing w:line="400" w:lineRule="atLeast"/>
              <w:rPr>
                <w:color w:val="auto"/>
                <w:sz w:val="24"/>
                <w:lang w:val="zh-CN"/>
              </w:rPr>
            </w:pPr>
          </w:p>
        </w:tc>
      </w:tr>
    </w:tbl>
    <w:p>
      <w:pPr>
        <w:spacing w:line="360" w:lineRule="auto"/>
        <w:ind w:right="6"/>
        <w:jc w:val="both"/>
        <w:rPr>
          <w:rFonts w:ascii="宋体" w:hAnsi="宋体"/>
          <w:color w:val="auto"/>
          <w:szCs w:val="21"/>
        </w:rPr>
      </w:pPr>
      <w:r>
        <w:rPr>
          <w:rFonts w:hint="eastAsia" w:ascii="宋体" w:hAnsi="宋体"/>
          <w:b/>
          <w:color w:val="auto"/>
        </w:rPr>
        <w:t>业绩有效性认定：</w:t>
      </w:r>
      <w:r>
        <w:rPr>
          <w:rFonts w:hint="eastAsia" w:ascii="Arial" w:hAnsi="宋体" w:cs="Arial"/>
          <w:color w:val="auto"/>
          <w:szCs w:val="21"/>
        </w:rPr>
        <w:t>提供</w:t>
      </w:r>
      <w:r>
        <w:rPr>
          <w:rFonts w:ascii="Arial" w:hAnsi="宋体" w:cs="Arial"/>
          <w:color w:val="auto"/>
          <w:szCs w:val="21"/>
        </w:rPr>
        <w:t>合同和发票，或者合同和中标通知书</w:t>
      </w:r>
      <w:r>
        <w:rPr>
          <w:rFonts w:hint="eastAsia" w:ascii="Arial" w:hAnsi="宋体" w:cs="Arial"/>
          <w:color w:val="auto"/>
          <w:szCs w:val="21"/>
        </w:rPr>
        <w:t>，扫描件加盖供应商公章</w:t>
      </w:r>
      <w:r>
        <w:rPr>
          <w:rFonts w:ascii="Arial" w:hAnsi="宋体" w:cs="Arial"/>
          <w:color w:val="auto"/>
          <w:szCs w:val="21"/>
        </w:rPr>
        <w:t>。</w:t>
      </w:r>
      <w:r>
        <w:rPr>
          <w:rFonts w:hint="eastAsia" w:ascii="Arial" w:hAnsi="宋体" w:cs="Arial"/>
          <w:color w:val="auto"/>
          <w:szCs w:val="21"/>
        </w:rPr>
        <w:t>业绩认定时间以合同签订时间为准</w:t>
      </w:r>
      <w:r>
        <w:rPr>
          <w:rFonts w:hint="eastAsia" w:ascii="新宋体" w:hAnsi="新宋体" w:eastAsia="新宋体" w:cs="hakuyoxingshu7000"/>
          <w:color w:val="auto"/>
          <w:szCs w:val="21"/>
        </w:rPr>
        <w:t>。</w:t>
      </w:r>
    </w:p>
    <w:p>
      <w:pPr>
        <w:ind w:right="-21" w:rightChars="-10"/>
        <w:rPr>
          <w:rFonts w:ascii="宋体" w:hAnsi="宋体"/>
          <w:b/>
          <w:color w:val="auto"/>
        </w:rPr>
      </w:pPr>
    </w:p>
    <w:p>
      <w:pPr>
        <w:spacing w:line="480" w:lineRule="auto"/>
        <w:ind w:firstLine="4109" w:firstLineChars="1957"/>
        <w:rPr>
          <w:rFonts w:ascii="宋体" w:hAnsi="宋体"/>
          <w:color w:val="auto"/>
        </w:rPr>
      </w:pPr>
      <w:r>
        <w:rPr>
          <w:rFonts w:hint="eastAsia" w:ascii="宋体" w:hAnsi="宋体"/>
          <w:color w:val="auto"/>
          <w:szCs w:val="21"/>
        </w:rPr>
        <w:t>磋商供应商全称（盖章）</w:t>
      </w:r>
      <w:r>
        <w:rPr>
          <w:rFonts w:hint="eastAsia" w:ascii="宋体" w:hAnsi="宋体"/>
          <w:color w:val="auto"/>
        </w:rPr>
        <w:t>：</w:t>
      </w:r>
    </w:p>
    <w:p>
      <w:pPr>
        <w:spacing w:line="480" w:lineRule="auto"/>
        <w:rPr>
          <w:rFonts w:ascii="宋体" w:hAnsi="宋体"/>
          <w:color w:val="auto"/>
        </w:rPr>
      </w:pPr>
      <w:r>
        <w:rPr>
          <w:rFonts w:hint="eastAsia" w:ascii="宋体" w:hAnsi="宋体"/>
          <w:color w:val="auto"/>
        </w:rPr>
        <w:t xml:space="preserve">                                                     日    期：</w:t>
      </w:r>
    </w:p>
    <w:p>
      <w:pPr>
        <w:jc w:val="center"/>
        <w:outlineLvl w:val="1"/>
        <w:rPr>
          <w:rFonts w:hint="eastAsia" w:hAnsi="宋体"/>
          <w:color w:val="auto"/>
          <w:sz w:val="28"/>
          <w:szCs w:val="36"/>
        </w:rPr>
      </w:pPr>
      <w:bookmarkStart w:id="132" w:name="_Toc533790097"/>
      <w:bookmarkStart w:id="133" w:name="_Toc23943"/>
      <w:bookmarkStart w:id="134" w:name="_Toc5121"/>
    </w:p>
    <w:p>
      <w:pPr>
        <w:jc w:val="center"/>
        <w:outlineLvl w:val="1"/>
        <w:rPr>
          <w:rFonts w:hint="eastAsia" w:hAnsi="宋体"/>
          <w:color w:val="auto"/>
          <w:sz w:val="28"/>
          <w:szCs w:val="36"/>
        </w:rPr>
      </w:pPr>
    </w:p>
    <w:p>
      <w:pPr>
        <w:jc w:val="center"/>
        <w:outlineLvl w:val="1"/>
        <w:rPr>
          <w:rFonts w:hint="eastAsia" w:ascii="宋体" w:hAnsi="宋体" w:eastAsia="宋体" w:cs="宋体"/>
          <w:b/>
          <w:bCs/>
          <w:color w:val="auto"/>
          <w:sz w:val="28"/>
          <w:szCs w:val="36"/>
          <w:highlight w:val="none"/>
        </w:rPr>
      </w:pPr>
      <w:bookmarkStart w:id="135" w:name="_Toc1631"/>
      <w:r>
        <w:rPr>
          <w:rFonts w:hint="eastAsia" w:hAnsi="宋体"/>
          <w:color w:val="auto"/>
          <w:sz w:val="28"/>
          <w:szCs w:val="36"/>
        </w:rPr>
        <w:t xml:space="preserve">附件六  </w:t>
      </w:r>
      <w:r>
        <w:rPr>
          <w:rFonts w:hint="eastAsia" w:ascii="宋体" w:hAnsi="宋体" w:eastAsia="宋体" w:cs="宋体"/>
          <w:b/>
          <w:bCs/>
          <w:color w:val="auto"/>
          <w:sz w:val="28"/>
          <w:szCs w:val="36"/>
          <w:highlight w:val="none"/>
        </w:rPr>
        <w:t>拟派项目负责人资格情况表</w:t>
      </w:r>
      <w:bookmarkEnd w:id="135"/>
    </w:p>
    <w:p>
      <w:pPr>
        <w:spacing w:line="400" w:lineRule="atLeast"/>
        <w:ind w:firstLine="211" w:firstLineChars="1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                                     项目编号：</w:t>
      </w:r>
    </w:p>
    <w:tbl>
      <w:tblPr>
        <w:tblStyle w:val="3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74"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p>
        </w:tc>
        <w:tc>
          <w:tcPr>
            <w:tcW w:w="4575"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c>
          <w:tcPr>
            <w:tcW w:w="4575" w:type="dxa"/>
            <w:vMerge w:val="restart"/>
            <w:tcBorders>
              <w:top w:val="single" w:color="auto" w:sz="4" w:space="0"/>
              <w:left w:val="single" w:color="auto" w:sz="4" w:space="0"/>
              <w:bottom w:val="single" w:color="auto" w:sz="4" w:space="0"/>
              <w:right w:val="single" w:color="auto" w:sz="12" w:space="0"/>
            </w:tcBorders>
            <w:noWrap w:val="0"/>
            <w:vAlign w:val="center"/>
          </w:tcPr>
          <w:p>
            <w:pPr>
              <w:widowControl w:val="0"/>
              <w:autoSpaceDE w:val="0"/>
              <w:autoSpaceDN w:val="0"/>
              <w:adjustRightInd w:val="0"/>
              <w:spacing w:before="0" w:beforeAutospacing="0" w:after="0" w:afterAutospacing="0" w:line="400" w:lineRule="atLeas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注：业绩证明应提供证明材料</w:t>
            </w:r>
          </w:p>
          <w:p>
            <w:pPr>
              <w:widowControl w:val="0"/>
              <w:autoSpaceDE w:val="0"/>
              <w:autoSpaceDN w:val="0"/>
              <w:adjustRightInd w:val="0"/>
              <w:spacing w:before="0" w:beforeAutospacing="0" w:after="0" w:afterAutospacing="0" w:line="400" w:lineRule="atLeast"/>
              <w:jc w:val="center"/>
              <w:textAlignment w:val="auto"/>
              <w:rPr>
                <w:rFonts w:hint="eastAsia" w:ascii="宋体" w:hAnsi="宋体" w:eastAsia="宋体" w:cs="宋体"/>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最近三年工作状况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74"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400" w:lineRule="atLeast"/>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400" w:lineRule="atLeast"/>
              <w:jc w:val="center"/>
              <w:rPr>
                <w:rFonts w:hint="eastAsia" w:ascii="宋体" w:hAnsi="宋体" w:eastAsia="宋体" w:cs="宋体"/>
                <w:color w:val="auto"/>
                <w:highlight w:val="none"/>
                <w:lang w:val="zh-CN"/>
              </w:rPr>
            </w:pPr>
          </w:p>
        </w:tc>
      </w:tr>
    </w:tbl>
    <w:p>
      <w:pPr>
        <w:spacing w:after="161" w:afterLines="50" w:line="400" w:lineRule="atLeast"/>
        <w:jc w:val="both"/>
        <w:rPr>
          <w:rFonts w:hint="eastAsia" w:ascii="宋体" w:hAnsi="宋体" w:eastAsia="宋体" w:cs="宋体"/>
          <w:b/>
          <w:color w:val="auto"/>
          <w:highlight w:val="none"/>
        </w:rPr>
      </w:pPr>
      <w:r>
        <w:rPr>
          <w:rFonts w:hint="eastAsia" w:ascii="宋体" w:hAnsi="宋体" w:eastAsia="宋体" w:cs="宋体"/>
          <w:bCs/>
          <w:color w:val="auto"/>
          <w:highlight w:val="none"/>
        </w:rPr>
        <w:t xml:space="preserve"> </w:t>
      </w:r>
      <w:r>
        <w:rPr>
          <w:rFonts w:hint="eastAsia" w:ascii="宋体" w:hAnsi="宋体" w:eastAsia="宋体" w:cs="宋体"/>
          <w:b/>
          <w:color w:val="auto"/>
          <w:highlight w:val="none"/>
        </w:rPr>
        <w:t>注：</w:t>
      </w:r>
      <w:r>
        <w:rPr>
          <w:rFonts w:hint="eastAsia" w:ascii="宋体" w:hAnsi="宋体" w:eastAsia="宋体" w:cs="宋体"/>
          <w:color w:val="auto"/>
          <w:szCs w:val="21"/>
          <w:highlight w:val="none"/>
        </w:rPr>
        <w:t>1、</w:t>
      </w:r>
      <w:r>
        <w:rPr>
          <w:rFonts w:hint="eastAsia" w:ascii="宋体" w:hAnsi="宋体" w:eastAsia="宋体" w:cs="宋体"/>
          <w:b/>
          <w:color w:val="auto"/>
          <w:highlight w:val="none"/>
        </w:rPr>
        <w:t>本表后应附人员身份证、职称证书、岗位证书、业绩证明材料等扫描件加盖电子签章。</w:t>
      </w:r>
    </w:p>
    <w:p>
      <w:pPr>
        <w:tabs>
          <w:tab w:val="left" w:pos="540"/>
        </w:tabs>
        <w:spacing w:after="161" w:afterLines="50" w:line="320" w:lineRule="atLeast"/>
        <w:ind w:left="283" w:leftChars="135"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2、业绩证明须提供合同扫描件，若合同无法体现项目负责人业绩的，须另行提供有效证明材料。</w:t>
      </w:r>
    </w:p>
    <w:p>
      <w:pPr>
        <w:spacing w:before="322" w:beforeLines="100" w:after="322" w:afterLines="100" w:line="400" w:lineRule="atLeast"/>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磋商供应商全称（</w:t>
      </w:r>
      <w:r>
        <w:rPr>
          <w:rFonts w:hint="eastAsia" w:ascii="宋体" w:hAnsi="宋体" w:eastAsia="宋体" w:cs="宋体"/>
          <w:color w:val="auto"/>
          <w:highlight w:val="none"/>
        </w:rPr>
        <w:t>盖电子签章</w:t>
      </w:r>
      <w:r>
        <w:rPr>
          <w:rFonts w:hint="eastAsia" w:ascii="宋体" w:hAnsi="宋体" w:eastAsia="宋体" w:cs="宋体"/>
          <w:color w:val="auto"/>
          <w:szCs w:val="21"/>
          <w:highlight w:val="none"/>
        </w:rPr>
        <w:t>）：</w:t>
      </w:r>
    </w:p>
    <w:p>
      <w:pPr>
        <w:spacing w:before="322" w:beforeLines="100" w:after="322" w:afterLines="100" w:line="400" w:lineRule="atLeast"/>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pacing w:before="322" w:beforeLines="100" w:after="322" w:afterLines="100" w:line="400" w:lineRule="atLeast"/>
        <w:ind w:left="4620" w:leftChars="2200"/>
        <w:rPr>
          <w:rFonts w:hint="eastAsia" w:hAnsi="宋体"/>
          <w:color w:val="auto"/>
          <w:sz w:val="28"/>
          <w:szCs w:val="36"/>
        </w:rPr>
      </w:pPr>
      <w:r>
        <w:rPr>
          <w:rFonts w:hint="eastAsia" w:ascii="宋体" w:hAnsi="宋体" w:eastAsia="宋体" w:cs="宋体"/>
          <w:color w:val="auto"/>
          <w:szCs w:val="21"/>
          <w:highlight w:val="none"/>
        </w:rPr>
        <w:t>日      期：    年   月     日</w:t>
      </w:r>
      <w:r>
        <w:rPr>
          <w:rFonts w:hint="eastAsia" w:hAnsi="宋体"/>
          <w:color w:val="auto"/>
          <w:sz w:val="28"/>
          <w:szCs w:val="36"/>
        </w:rPr>
        <w:t xml:space="preserve">  </w:t>
      </w:r>
    </w:p>
    <w:p>
      <w:pPr>
        <w:jc w:val="center"/>
        <w:outlineLvl w:val="1"/>
        <w:rPr>
          <w:rFonts w:hint="eastAsia" w:ascii="宋体" w:hAnsi="宋体" w:eastAsia="宋体" w:cs="宋体"/>
          <w:b/>
          <w:bCs/>
          <w:color w:val="auto"/>
          <w:sz w:val="28"/>
          <w:szCs w:val="36"/>
          <w:highlight w:val="none"/>
        </w:rPr>
      </w:pPr>
      <w:bookmarkStart w:id="136" w:name="_Toc6525"/>
      <w:r>
        <w:rPr>
          <w:rFonts w:hint="eastAsia" w:ascii="宋体" w:hAnsi="宋体" w:eastAsia="宋体" w:cs="宋体"/>
          <w:b/>
          <w:bCs/>
          <w:color w:val="auto"/>
          <w:sz w:val="28"/>
          <w:szCs w:val="36"/>
          <w:highlight w:val="none"/>
          <w:lang w:val="en-US" w:eastAsia="zh-CN"/>
        </w:rPr>
        <w:t xml:space="preserve">附件七  </w:t>
      </w:r>
      <w:r>
        <w:rPr>
          <w:rFonts w:hint="eastAsia" w:ascii="宋体" w:hAnsi="宋体" w:eastAsia="宋体" w:cs="宋体"/>
          <w:b/>
          <w:bCs/>
          <w:color w:val="auto"/>
          <w:sz w:val="28"/>
          <w:szCs w:val="36"/>
          <w:highlight w:val="none"/>
        </w:rPr>
        <w:t>项目服务人员汇总表</w:t>
      </w:r>
      <w:bookmarkEnd w:id="136"/>
    </w:p>
    <w:p>
      <w:pPr>
        <w:spacing w:line="400" w:lineRule="atLeas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                                       项目编号：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24"/>
        <w:gridCol w:w="690"/>
        <w:gridCol w:w="750"/>
        <w:gridCol w:w="825"/>
        <w:gridCol w:w="990"/>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70" w:type="dxa"/>
            <w:tcBorders>
              <w:top w:val="single" w:color="auto" w:sz="12" w:space="0"/>
              <w:left w:val="single" w:color="auto" w:sz="12" w:space="0"/>
              <w:bottom w:val="single" w:color="auto" w:sz="12" w:space="0"/>
            </w:tcBorders>
            <w:noWrap w:val="0"/>
            <w:vAlign w:val="center"/>
          </w:tcPr>
          <w:p>
            <w:pPr>
              <w:spacing w:line="40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24" w:type="dxa"/>
            <w:tcBorders>
              <w:top w:val="single" w:color="auto" w:sz="12" w:space="0"/>
              <w:bottom w:val="single" w:color="auto" w:sz="12" w:space="0"/>
            </w:tcBorders>
            <w:noWrap w:val="0"/>
            <w:vAlign w:val="center"/>
          </w:tcPr>
          <w:p>
            <w:pPr>
              <w:spacing w:line="40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拟从事本项目岗位</w:t>
            </w:r>
          </w:p>
        </w:tc>
        <w:tc>
          <w:tcPr>
            <w:tcW w:w="690" w:type="dxa"/>
            <w:tcBorders>
              <w:top w:val="single" w:color="auto" w:sz="12" w:space="0"/>
              <w:bottom w:val="single" w:color="auto" w:sz="12" w:space="0"/>
            </w:tcBorders>
            <w:noWrap w:val="0"/>
            <w:vAlign w:val="center"/>
          </w:tcPr>
          <w:p>
            <w:pPr>
              <w:spacing w:line="40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750" w:type="dxa"/>
            <w:tcBorders>
              <w:top w:val="single" w:color="auto" w:sz="12" w:space="0"/>
              <w:bottom w:val="single" w:color="auto" w:sz="12" w:space="0"/>
            </w:tcBorders>
            <w:noWrap w:val="0"/>
            <w:vAlign w:val="center"/>
          </w:tcPr>
          <w:p>
            <w:pPr>
              <w:spacing w:line="40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性别</w:t>
            </w:r>
          </w:p>
        </w:tc>
        <w:tc>
          <w:tcPr>
            <w:tcW w:w="825" w:type="dxa"/>
            <w:tcBorders>
              <w:top w:val="single" w:color="auto" w:sz="12" w:space="0"/>
              <w:bottom w:val="single" w:color="auto" w:sz="12" w:space="0"/>
              <w:right w:val="single" w:color="auto" w:sz="4" w:space="0"/>
            </w:tcBorders>
            <w:noWrap w:val="0"/>
            <w:vAlign w:val="center"/>
          </w:tcPr>
          <w:p>
            <w:pPr>
              <w:spacing w:line="40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职称/职务</w:t>
            </w:r>
          </w:p>
        </w:tc>
        <w:tc>
          <w:tcPr>
            <w:tcW w:w="990" w:type="dxa"/>
            <w:tcBorders>
              <w:top w:val="single" w:color="auto" w:sz="12" w:space="0"/>
              <w:left w:val="single" w:color="auto" w:sz="4" w:space="0"/>
              <w:bottom w:val="single" w:color="auto" w:sz="12" w:space="0"/>
            </w:tcBorders>
            <w:noWrap w:val="0"/>
            <w:vAlign w:val="center"/>
          </w:tcPr>
          <w:p>
            <w:pPr>
              <w:spacing w:line="40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p>
            <w:pPr>
              <w:spacing w:line="40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年限</w:t>
            </w:r>
          </w:p>
        </w:tc>
        <w:tc>
          <w:tcPr>
            <w:tcW w:w="3229" w:type="dxa"/>
            <w:tcBorders>
              <w:top w:val="single" w:color="auto" w:sz="12" w:space="0"/>
              <w:bottom w:val="single" w:color="auto" w:sz="12" w:space="0"/>
              <w:right w:val="single" w:color="auto" w:sz="12" w:space="0"/>
            </w:tcBorders>
            <w:noWrap w:val="0"/>
            <w:vAlign w:val="center"/>
          </w:tcPr>
          <w:p>
            <w:pPr>
              <w:spacing w:line="400" w:lineRule="atLeas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top w:val="single" w:color="auto" w:sz="12" w:space="0"/>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tcBorders>
              <w:top w:val="single" w:color="auto" w:sz="12" w:space="0"/>
            </w:tcBorders>
            <w:noWrap w:val="0"/>
            <w:vAlign w:val="center"/>
          </w:tcPr>
          <w:p>
            <w:pPr>
              <w:widowControl w:val="0"/>
              <w:spacing w:line="400" w:lineRule="atLeast"/>
              <w:jc w:val="both"/>
              <w:rPr>
                <w:rFonts w:hint="eastAsia" w:ascii="宋体" w:hAnsi="宋体" w:eastAsia="宋体" w:cs="宋体"/>
                <w:color w:val="auto"/>
                <w:kern w:val="2"/>
                <w:szCs w:val="21"/>
                <w:highlight w:val="none"/>
              </w:rPr>
            </w:pPr>
          </w:p>
        </w:tc>
        <w:tc>
          <w:tcPr>
            <w:tcW w:w="690" w:type="dxa"/>
            <w:tcBorders>
              <w:top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750" w:type="dxa"/>
            <w:tcBorders>
              <w:top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825" w:type="dxa"/>
            <w:tcBorders>
              <w:top w:val="single" w:color="auto" w:sz="12" w:space="0"/>
              <w:righ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990" w:type="dxa"/>
            <w:tcBorders>
              <w:top w:val="single" w:color="auto" w:sz="12" w:space="0"/>
              <w:lef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3229" w:type="dxa"/>
            <w:tcBorders>
              <w:top w:val="single" w:color="auto" w:sz="12" w:space="0"/>
              <w:left w:val="single" w:color="auto" w:sz="4" w:space="0"/>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tcBorders>
              <w:righ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990" w:type="dxa"/>
            <w:tcBorders>
              <w:lef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widowControl w:val="0"/>
              <w:spacing w:line="400" w:lineRule="atLeast"/>
              <w:ind w:left="5250"/>
              <w:jc w:val="both"/>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tcBorders>
              <w:righ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990" w:type="dxa"/>
            <w:tcBorders>
              <w:lef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tcBorders>
              <w:righ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990" w:type="dxa"/>
            <w:tcBorders>
              <w:lef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tcBorders>
              <w:righ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990" w:type="dxa"/>
            <w:tcBorders>
              <w:lef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tcBorders>
              <w:righ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990" w:type="dxa"/>
            <w:tcBorders>
              <w:left w:val="single" w:color="auto" w:sz="4" w:space="0"/>
            </w:tcBorders>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noWrap w:val="0"/>
            <w:vAlign w:val="center"/>
          </w:tcPr>
          <w:p>
            <w:pPr>
              <w:spacing w:line="400" w:lineRule="atLeast"/>
              <w:rPr>
                <w:rFonts w:hint="eastAsia" w:ascii="宋体" w:hAnsi="宋体" w:eastAsia="宋体" w:cs="宋体"/>
                <w:color w:val="auto"/>
                <w:szCs w:val="21"/>
                <w:highlight w:val="none"/>
              </w:rPr>
            </w:pPr>
          </w:p>
        </w:tc>
        <w:tc>
          <w:tcPr>
            <w:tcW w:w="990" w:type="dxa"/>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noWrap w:val="0"/>
            <w:vAlign w:val="center"/>
          </w:tcPr>
          <w:p>
            <w:pPr>
              <w:spacing w:line="400" w:lineRule="atLeast"/>
              <w:rPr>
                <w:rFonts w:hint="eastAsia" w:ascii="宋体" w:hAnsi="宋体" w:eastAsia="宋体" w:cs="宋体"/>
                <w:color w:val="auto"/>
                <w:szCs w:val="21"/>
                <w:highlight w:val="none"/>
              </w:rPr>
            </w:pPr>
          </w:p>
        </w:tc>
        <w:tc>
          <w:tcPr>
            <w:tcW w:w="990" w:type="dxa"/>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noWrap w:val="0"/>
            <w:vAlign w:val="center"/>
          </w:tcPr>
          <w:p>
            <w:pPr>
              <w:spacing w:line="400" w:lineRule="atLeast"/>
              <w:rPr>
                <w:rFonts w:hint="eastAsia" w:ascii="宋体" w:hAnsi="宋体" w:eastAsia="宋体" w:cs="宋体"/>
                <w:color w:val="auto"/>
                <w:szCs w:val="21"/>
                <w:highlight w:val="none"/>
              </w:rPr>
            </w:pPr>
          </w:p>
        </w:tc>
        <w:tc>
          <w:tcPr>
            <w:tcW w:w="990" w:type="dxa"/>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noWrap w:val="0"/>
            <w:vAlign w:val="center"/>
          </w:tcPr>
          <w:p>
            <w:pPr>
              <w:spacing w:line="400" w:lineRule="atLeast"/>
              <w:rPr>
                <w:rFonts w:hint="eastAsia" w:ascii="宋体" w:hAnsi="宋体" w:eastAsia="宋体" w:cs="宋体"/>
                <w:color w:val="auto"/>
                <w:szCs w:val="21"/>
                <w:highlight w:val="none"/>
              </w:rPr>
            </w:pPr>
          </w:p>
        </w:tc>
        <w:tc>
          <w:tcPr>
            <w:tcW w:w="990" w:type="dxa"/>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noWrap w:val="0"/>
            <w:vAlign w:val="center"/>
          </w:tcPr>
          <w:p>
            <w:pPr>
              <w:spacing w:line="400" w:lineRule="atLeast"/>
              <w:rPr>
                <w:rFonts w:hint="eastAsia" w:ascii="宋体" w:hAnsi="宋体" w:eastAsia="宋体" w:cs="宋体"/>
                <w:color w:val="auto"/>
                <w:szCs w:val="21"/>
                <w:highlight w:val="none"/>
              </w:rPr>
            </w:pPr>
          </w:p>
        </w:tc>
        <w:tc>
          <w:tcPr>
            <w:tcW w:w="990" w:type="dxa"/>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0" w:type="dxa"/>
            <w:tcBorders>
              <w:left w:val="single" w:color="auto" w:sz="12" w:space="0"/>
            </w:tcBorders>
            <w:noWrap w:val="0"/>
            <w:vAlign w:val="center"/>
          </w:tcPr>
          <w:p>
            <w:pPr>
              <w:spacing w:line="400" w:lineRule="atLeast"/>
              <w:rPr>
                <w:rFonts w:hint="eastAsia" w:ascii="宋体" w:hAnsi="宋体" w:eastAsia="宋体" w:cs="宋体"/>
                <w:color w:val="auto"/>
                <w:szCs w:val="21"/>
                <w:highlight w:val="none"/>
              </w:rPr>
            </w:pPr>
          </w:p>
        </w:tc>
        <w:tc>
          <w:tcPr>
            <w:tcW w:w="1224" w:type="dxa"/>
            <w:noWrap w:val="0"/>
            <w:vAlign w:val="center"/>
          </w:tcPr>
          <w:p>
            <w:pPr>
              <w:spacing w:line="400" w:lineRule="atLeast"/>
              <w:rPr>
                <w:rFonts w:hint="eastAsia" w:ascii="宋体" w:hAnsi="宋体" w:eastAsia="宋体" w:cs="宋体"/>
                <w:color w:val="auto"/>
                <w:szCs w:val="21"/>
                <w:highlight w:val="none"/>
              </w:rPr>
            </w:pPr>
          </w:p>
        </w:tc>
        <w:tc>
          <w:tcPr>
            <w:tcW w:w="690" w:type="dxa"/>
            <w:noWrap w:val="0"/>
            <w:vAlign w:val="center"/>
          </w:tcPr>
          <w:p>
            <w:pPr>
              <w:spacing w:line="400" w:lineRule="atLeast"/>
              <w:rPr>
                <w:rFonts w:hint="eastAsia" w:ascii="宋体" w:hAnsi="宋体" w:eastAsia="宋体" w:cs="宋体"/>
                <w:color w:val="auto"/>
                <w:szCs w:val="21"/>
                <w:highlight w:val="none"/>
              </w:rPr>
            </w:pPr>
          </w:p>
        </w:tc>
        <w:tc>
          <w:tcPr>
            <w:tcW w:w="750" w:type="dxa"/>
            <w:noWrap w:val="0"/>
            <w:vAlign w:val="center"/>
          </w:tcPr>
          <w:p>
            <w:pPr>
              <w:spacing w:line="400" w:lineRule="atLeast"/>
              <w:rPr>
                <w:rFonts w:hint="eastAsia" w:ascii="宋体" w:hAnsi="宋体" w:eastAsia="宋体" w:cs="宋体"/>
                <w:color w:val="auto"/>
                <w:szCs w:val="21"/>
                <w:highlight w:val="none"/>
              </w:rPr>
            </w:pPr>
          </w:p>
        </w:tc>
        <w:tc>
          <w:tcPr>
            <w:tcW w:w="825" w:type="dxa"/>
            <w:noWrap w:val="0"/>
            <w:vAlign w:val="center"/>
          </w:tcPr>
          <w:p>
            <w:pPr>
              <w:spacing w:line="400" w:lineRule="atLeast"/>
              <w:rPr>
                <w:rFonts w:hint="eastAsia" w:ascii="宋体" w:hAnsi="宋体" w:eastAsia="宋体" w:cs="宋体"/>
                <w:color w:val="auto"/>
                <w:szCs w:val="21"/>
                <w:highlight w:val="none"/>
              </w:rPr>
            </w:pPr>
          </w:p>
        </w:tc>
        <w:tc>
          <w:tcPr>
            <w:tcW w:w="990" w:type="dxa"/>
            <w:noWrap w:val="0"/>
            <w:vAlign w:val="center"/>
          </w:tcPr>
          <w:p>
            <w:pPr>
              <w:spacing w:line="400" w:lineRule="atLeast"/>
              <w:rPr>
                <w:rFonts w:hint="eastAsia" w:ascii="宋体" w:hAnsi="宋体" w:eastAsia="宋体" w:cs="宋体"/>
                <w:color w:val="auto"/>
                <w:szCs w:val="21"/>
                <w:highlight w:val="none"/>
              </w:rPr>
            </w:pPr>
          </w:p>
        </w:tc>
        <w:tc>
          <w:tcPr>
            <w:tcW w:w="3229" w:type="dxa"/>
            <w:tcBorders>
              <w:right w:val="single" w:color="auto" w:sz="12" w:space="0"/>
            </w:tcBorders>
            <w:noWrap w:val="0"/>
            <w:vAlign w:val="center"/>
          </w:tcPr>
          <w:p>
            <w:pPr>
              <w:spacing w:line="400" w:lineRule="atLeas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8" w:type="dxa"/>
            <w:gridSpan w:val="7"/>
            <w:tcBorders>
              <w:left w:val="single" w:color="auto" w:sz="12" w:space="0"/>
              <w:right w:val="single" w:color="auto" w:sz="12" w:space="0"/>
            </w:tcBorders>
            <w:noWrap w:val="0"/>
            <w:vAlign w:val="center"/>
          </w:tcPr>
          <w:p>
            <w:pPr>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一旦我单位中标，我方保证并配备上述项目服务人员。上述填报内容真实，若不真实，愿按有关规定接受处理。</w:t>
            </w:r>
          </w:p>
        </w:tc>
      </w:tr>
    </w:tbl>
    <w:p>
      <w:pPr>
        <w:tabs>
          <w:tab w:val="left" w:pos="525"/>
        </w:tabs>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注：本表人员有职称、资格证书的应随表提交职称、资格证书（扫描件加盖</w:t>
      </w:r>
      <w:r>
        <w:rPr>
          <w:rFonts w:hint="eastAsia" w:ascii="宋体" w:hAnsi="宋体" w:eastAsia="宋体" w:cs="宋体"/>
          <w:color w:val="auto"/>
          <w:highlight w:val="none"/>
        </w:rPr>
        <w:t>电子签章</w:t>
      </w:r>
      <w:r>
        <w:rPr>
          <w:rFonts w:hint="eastAsia" w:ascii="宋体" w:hAnsi="宋体" w:eastAsia="宋体" w:cs="宋体"/>
          <w:color w:val="auto"/>
          <w:szCs w:val="22"/>
          <w:highlight w:val="none"/>
        </w:rPr>
        <w:t>）。</w:t>
      </w:r>
    </w:p>
    <w:p>
      <w:pPr>
        <w:spacing w:line="480" w:lineRule="auto"/>
        <w:ind w:firstLine="4109" w:firstLineChars="1957"/>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spacing w:before="322" w:beforeLines="100" w:after="322" w:afterLines="100" w:line="400" w:lineRule="atLeast"/>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磋商供应商全称（</w:t>
      </w:r>
      <w:r>
        <w:rPr>
          <w:rFonts w:hint="eastAsia" w:ascii="宋体" w:hAnsi="宋体" w:eastAsia="宋体" w:cs="宋体"/>
          <w:color w:val="auto"/>
          <w:highlight w:val="none"/>
        </w:rPr>
        <w:t>盖电子签章</w:t>
      </w:r>
      <w:r>
        <w:rPr>
          <w:rFonts w:hint="eastAsia" w:ascii="宋体" w:hAnsi="宋体" w:eastAsia="宋体" w:cs="宋体"/>
          <w:color w:val="auto"/>
          <w:szCs w:val="21"/>
          <w:highlight w:val="none"/>
        </w:rPr>
        <w:t>）：</w:t>
      </w:r>
    </w:p>
    <w:p>
      <w:pPr>
        <w:spacing w:before="322" w:beforeLines="100" w:after="322" w:afterLines="100" w:line="400" w:lineRule="atLeast"/>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pacing w:before="322" w:beforeLines="100" w:after="322" w:afterLines="100" w:line="400" w:lineRule="atLeast"/>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color w:val="auto"/>
        </w:rPr>
      </w:pPr>
    </w:p>
    <w:p>
      <w:pPr>
        <w:jc w:val="center"/>
        <w:outlineLvl w:val="1"/>
        <w:rPr>
          <w:rFonts w:hint="eastAsia" w:ascii="宋体" w:hAnsi="宋体" w:eastAsia="宋体" w:cs="宋体"/>
          <w:b/>
          <w:bCs/>
          <w:color w:val="auto"/>
          <w:sz w:val="28"/>
          <w:szCs w:val="36"/>
          <w:highlight w:val="none"/>
        </w:rPr>
      </w:pPr>
      <w:bookmarkStart w:id="137" w:name="_Toc6736"/>
      <w:r>
        <w:rPr>
          <w:rFonts w:hint="eastAsia" w:ascii="宋体" w:hAnsi="宋体" w:eastAsia="宋体" w:cs="宋体"/>
          <w:b/>
          <w:bCs/>
          <w:color w:val="auto"/>
          <w:sz w:val="28"/>
          <w:szCs w:val="36"/>
          <w:highlight w:val="none"/>
          <w:lang w:val="en-US" w:eastAsia="zh-CN"/>
        </w:rPr>
        <w:t xml:space="preserve">附件八  </w:t>
      </w:r>
      <w:r>
        <w:rPr>
          <w:rFonts w:hint="eastAsia" w:ascii="宋体" w:hAnsi="宋体" w:eastAsia="宋体" w:cs="宋体"/>
          <w:b/>
          <w:bCs/>
          <w:color w:val="auto"/>
          <w:sz w:val="28"/>
          <w:szCs w:val="36"/>
          <w:highlight w:val="none"/>
        </w:rPr>
        <w:t>产品配置及主要技术参数</w:t>
      </w:r>
      <w:bookmarkEnd w:id="137"/>
    </w:p>
    <w:p>
      <w:pPr>
        <w:spacing w:line="4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1"/>
          <w:highlight w:val="none"/>
        </w:rPr>
        <w:t xml:space="preserve">      项目编号：</w:t>
      </w:r>
    </w:p>
    <w:tbl>
      <w:tblPr>
        <w:tblStyle w:val="38"/>
        <w:tblW w:w="888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21"/>
        <w:gridCol w:w="1967"/>
        <w:gridCol w:w="2205"/>
        <w:gridCol w:w="87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center"/>
          </w:tcPr>
          <w:p>
            <w:pPr>
              <w:jc w:val="center"/>
              <w:rPr>
                <w:rFonts w:hint="eastAsia" w:ascii="宋体" w:hAnsi="宋体" w:eastAsia="宋体" w:cs="宋体"/>
                <w:color w:val="auto"/>
                <w:highlight w:val="none"/>
                <w:lang w:eastAsia="zh-CN"/>
              </w:rPr>
            </w:pPr>
            <w:r>
              <w:rPr>
                <w:rFonts w:hint="eastAsia" w:ascii="宋体" w:hAnsi="宋体" w:eastAsia="宋体" w:cs="宋体"/>
                <w:b/>
                <w:bCs/>
                <w:color w:val="auto"/>
                <w:spacing w:val="20"/>
                <w:sz w:val="22"/>
                <w:szCs w:val="22"/>
                <w:highlight w:val="none"/>
                <w:lang w:val="en-US" w:eastAsia="zh-CN"/>
              </w:rPr>
              <w:t>序号</w:t>
            </w:r>
          </w:p>
        </w:tc>
        <w:tc>
          <w:tcPr>
            <w:tcW w:w="2121"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b/>
                <w:bCs/>
                <w:color w:val="auto"/>
                <w:spacing w:val="20"/>
                <w:sz w:val="22"/>
                <w:szCs w:val="22"/>
                <w:highlight w:val="none"/>
              </w:rPr>
              <w:t>货物名称</w:t>
            </w:r>
          </w:p>
        </w:tc>
        <w:tc>
          <w:tcPr>
            <w:tcW w:w="196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b/>
                <w:bCs/>
                <w:color w:val="auto"/>
                <w:spacing w:val="20"/>
                <w:sz w:val="22"/>
                <w:szCs w:val="22"/>
                <w:highlight w:val="none"/>
              </w:rPr>
              <w:t>品牌</w:t>
            </w:r>
            <w:r>
              <w:rPr>
                <w:rFonts w:hint="eastAsia" w:ascii="宋体" w:hAnsi="宋体" w:eastAsia="宋体" w:cs="宋体"/>
                <w:b/>
                <w:bCs/>
                <w:color w:val="auto"/>
                <w:spacing w:val="20"/>
                <w:sz w:val="22"/>
                <w:szCs w:val="22"/>
                <w:highlight w:val="none"/>
                <w:lang w:val="en-US" w:eastAsia="zh-CN"/>
              </w:rPr>
              <w:t>/</w:t>
            </w:r>
            <w:r>
              <w:rPr>
                <w:rFonts w:hint="eastAsia" w:ascii="宋体" w:hAnsi="宋体" w:eastAsia="宋体" w:cs="宋体"/>
                <w:b/>
                <w:bCs/>
                <w:color w:val="auto"/>
                <w:spacing w:val="20"/>
                <w:sz w:val="22"/>
                <w:szCs w:val="22"/>
                <w:highlight w:val="none"/>
              </w:rPr>
              <w:t>产地</w:t>
            </w:r>
          </w:p>
        </w:tc>
        <w:tc>
          <w:tcPr>
            <w:tcW w:w="2205"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b/>
                <w:bCs/>
                <w:color w:val="auto"/>
                <w:spacing w:val="20"/>
                <w:sz w:val="22"/>
                <w:szCs w:val="22"/>
                <w:highlight w:val="none"/>
                <w:lang w:val="en-US" w:eastAsia="zh-CN"/>
              </w:rPr>
              <w:t>技术参数</w:t>
            </w:r>
          </w:p>
        </w:tc>
        <w:tc>
          <w:tcPr>
            <w:tcW w:w="877"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b/>
                <w:bCs/>
                <w:color w:val="auto"/>
                <w:spacing w:val="20"/>
                <w:sz w:val="22"/>
                <w:szCs w:val="22"/>
                <w:highlight w:val="none"/>
              </w:rPr>
              <w:t>数量</w:t>
            </w:r>
          </w:p>
        </w:tc>
        <w:tc>
          <w:tcPr>
            <w:tcW w:w="945"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b/>
                <w:bCs/>
                <w:color w:val="auto"/>
                <w:spacing w:val="2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121"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196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220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877"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c>
          <w:tcPr>
            <w:tcW w:w="945" w:type="dxa"/>
            <w:noWrap w:val="0"/>
            <w:vAlign w:val="top"/>
          </w:tcPr>
          <w:p>
            <w:pPr>
              <w:widowControl/>
              <w:spacing w:after="120" w:line="240" w:lineRule="auto"/>
              <w:ind w:firstLine="210" w:firstLineChars="100"/>
              <w:jc w:val="left"/>
              <w:rPr>
                <w:rFonts w:hint="eastAsia" w:ascii="宋体" w:hAnsi="宋体" w:eastAsia="宋体" w:cs="宋体"/>
                <w:color w:val="auto"/>
                <w:kern w:val="2"/>
                <w:sz w:val="21"/>
                <w:highlight w:val="none"/>
                <w:lang w:val="en-US" w:eastAsia="zh-CN" w:bidi="ar-SA"/>
              </w:rPr>
            </w:pPr>
          </w:p>
        </w:tc>
      </w:tr>
    </w:tbl>
    <w:p>
      <w:pPr>
        <w:widowControl w:val="0"/>
        <w:spacing w:line="360" w:lineRule="auto"/>
        <w:jc w:val="both"/>
        <w:rPr>
          <w:rFonts w:hint="eastAsia" w:ascii="宋体" w:hAnsi="宋体" w:eastAsia="宋体" w:cs="宋体"/>
          <w:bCs/>
          <w:iCs/>
          <w:color w:val="auto"/>
          <w:spacing w:val="20"/>
          <w:sz w:val="22"/>
          <w:szCs w:val="22"/>
          <w:highlight w:val="none"/>
          <w:u w:val="single"/>
        </w:rPr>
      </w:pPr>
      <w:r>
        <w:rPr>
          <w:rFonts w:hint="eastAsia" w:ascii="宋体" w:hAnsi="宋体" w:eastAsia="宋体" w:cs="宋体"/>
          <w:bCs/>
          <w:iCs/>
          <w:color w:val="auto"/>
          <w:spacing w:val="20"/>
          <w:sz w:val="22"/>
          <w:szCs w:val="22"/>
          <w:highlight w:val="none"/>
          <w:u w:val="single"/>
        </w:rPr>
        <w:t>注：货物详细配置、技术参数实物图样等可另页描述。此表为不带价格的详细报价清单。</w:t>
      </w:r>
    </w:p>
    <w:p>
      <w:pPr>
        <w:tabs>
          <w:tab w:val="left" w:pos="4635"/>
        </w:tabs>
        <w:spacing w:line="240" w:lineRule="exact"/>
        <w:ind w:left="3826" w:leftChars="1822" w:right="839"/>
        <w:rPr>
          <w:rFonts w:hint="eastAsia" w:ascii="宋体" w:hAnsi="宋体" w:eastAsia="宋体" w:cs="宋体"/>
          <w:color w:val="auto"/>
          <w:highlight w:val="none"/>
        </w:rPr>
      </w:pPr>
    </w:p>
    <w:p>
      <w:pPr>
        <w:spacing w:before="322" w:beforeLines="100" w:after="322" w:afterLines="100" w:line="400" w:lineRule="atLeast"/>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磋商供应商全称（</w:t>
      </w:r>
      <w:r>
        <w:rPr>
          <w:rFonts w:hint="eastAsia" w:ascii="宋体" w:hAnsi="宋体" w:eastAsia="宋体" w:cs="宋体"/>
          <w:color w:val="auto"/>
          <w:highlight w:val="none"/>
        </w:rPr>
        <w:t>盖电子签章</w:t>
      </w:r>
      <w:r>
        <w:rPr>
          <w:rFonts w:hint="eastAsia" w:ascii="宋体" w:hAnsi="宋体" w:eastAsia="宋体" w:cs="宋体"/>
          <w:color w:val="auto"/>
          <w:szCs w:val="21"/>
          <w:highlight w:val="none"/>
        </w:rPr>
        <w:t>）：</w:t>
      </w:r>
    </w:p>
    <w:p>
      <w:pPr>
        <w:spacing w:before="322" w:beforeLines="100" w:after="322" w:afterLines="100" w:line="400" w:lineRule="atLeast"/>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pacing w:before="322" w:beforeLines="100" w:after="322" w:afterLines="100" w:line="400" w:lineRule="atLeast"/>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2"/>
        <w:rPr>
          <w:rFonts w:hint="eastAsia"/>
          <w:color w:val="auto"/>
        </w:rPr>
      </w:pPr>
    </w:p>
    <w:p>
      <w:pPr>
        <w:jc w:val="center"/>
        <w:outlineLvl w:val="1"/>
        <w:rPr>
          <w:rFonts w:hint="eastAsia" w:ascii="宋体" w:hAnsi="宋体" w:eastAsia="宋体" w:cs="宋体"/>
          <w:b/>
          <w:bCs/>
          <w:color w:val="auto"/>
          <w:sz w:val="28"/>
          <w:szCs w:val="36"/>
          <w:highlight w:val="none"/>
        </w:rPr>
      </w:pPr>
      <w:bookmarkStart w:id="138" w:name="_Toc23874"/>
      <w:r>
        <w:rPr>
          <w:rFonts w:hint="eastAsia" w:ascii="宋体" w:hAnsi="宋体" w:eastAsia="宋体" w:cs="宋体"/>
          <w:b/>
          <w:bCs/>
          <w:color w:val="auto"/>
          <w:sz w:val="28"/>
          <w:szCs w:val="36"/>
          <w:highlight w:val="none"/>
          <w:lang w:val="en-US" w:eastAsia="zh-CN"/>
        </w:rPr>
        <w:t xml:space="preserve">附件九  </w:t>
      </w:r>
      <w:r>
        <w:rPr>
          <w:rFonts w:hint="eastAsia" w:ascii="宋体" w:hAnsi="宋体" w:eastAsia="宋体" w:cs="宋体"/>
          <w:b/>
          <w:bCs/>
          <w:color w:val="auto"/>
          <w:sz w:val="28"/>
          <w:szCs w:val="36"/>
          <w:highlight w:val="none"/>
        </w:rPr>
        <w:t>随机备品备件、专用工具清单（如有）</w:t>
      </w:r>
      <w:bookmarkEnd w:id="138"/>
    </w:p>
    <w:p>
      <w:pPr>
        <w:spacing w:line="4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1"/>
          <w:highlight w:val="none"/>
        </w:rPr>
        <w:t xml:space="preserve">      项目编号：</w:t>
      </w:r>
    </w:p>
    <w:tbl>
      <w:tblPr>
        <w:tblStyle w:val="38"/>
        <w:tblW w:w="8752"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0"/>
        <w:gridCol w:w="2220"/>
        <w:gridCol w:w="1155"/>
        <w:gridCol w:w="178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40" w:type="dxa"/>
            <w:noWrap w:val="0"/>
            <w:vAlign w:val="center"/>
          </w:tcPr>
          <w:p>
            <w:pPr>
              <w:widowControl w:val="0"/>
              <w:adjustRightInd w:val="0"/>
              <w:snapToGrid w:val="0"/>
              <w:spacing w:line="440" w:lineRule="atLeas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 号</w:t>
            </w:r>
          </w:p>
        </w:tc>
        <w:tc>
          <w:tcPr>
            <w:tcW w:w="1560" w:type="dxa"/>
            <w:noWrap w:val="0"/>
            <w:vAlign w:val="center"/>
          </w:tcPr>
          <w:p>
            <w:pPr>
              <w:widowControl w:val="0"/>
              <w:adjustRightInd w:val="0"/>
              <w:snapToGrid w:val="0"/>
              <w:spacing w:line="440" w:lineRule="atLeas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名称</w:t>
            </w:r>
          </w:p>
        </w:tc>
        <w:tc>
          <w:tcPr>
            <w:tcW w:w="2220" w:type="dxa"/>
            <w:noWrap w:val="0"/>
            <w:vAlign w:val="center"/>
          </w:tcPr>
          <w:p>
            <w:pPr>
              <w:widowControl w:val="0"/>
              <w:adjustRightInd w:val="0"/>
              <w:snapToGrid w:val="0"/>
              <w:spacing w:line="440" w:lineRule="atLeas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产地/规格/型号</w:t>
            </w:r>
          </w:p>
        </w:tc>
        <w:tc>
          <w:tcPr>
            <w:tcW w:w="1155" w:type="dxa"/>
            <w:noWrap w:val="0"/>
            <w:vAlign w:val="center"/>
          </w:tcPr>
          <w:p>
            <w:pPr>
              <w:widowControl w:val="0"/>
              <w:adjustRightInd w:val="0"/>
              <w:snapToGrid w:val="0"/>
              <w:spacing w:line="440" w:lineRule="atLeas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w:t>
            </w:r>
          </w:p>
        </w:tc>
        <w:tc>
          <w:tcPr>
            <w:tcW w:w="1785" w:type="dxa"/>
            <w:noWrap w:val="0"/>
            <w:vAlign w:val="center"/>
          </w:tcPr>
          <w:p>
            <w:pPr>
              <w:widowControl w:val="0"/>
              <w:adjustRightInd w:val="0"/>
              <w:snapToGrid w:val="0"/>
              <w:spacing w:line="440" w:lineRule="atLeas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单价</w:t>
            </w:r>
          </w:p>
        </w:tc>
        <w:tc>
          <w:tcPr>
            <w:tcW w:w="1192" w:type="dxa"/>
            <w:noWrap w:val="0"/>
            <w:vAlign w:val="center"/>
          </w:tcPr>
          <w:p>
            <w:pPr>
              <w:widowControl w:val="0"/>
              <w:adjustRightInd w:val="0"/>
              <w:snapToGrid w:val="0"/>
              <w:spacing w:line="440" w:lineRule="atLeas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56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2220"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5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785"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c>
          <w:tcPr>
            <w:tcW w:w="1192" w:type="dxa"/>
            <w:noWrap w:val="0"/>
            <w:vAlign w:val="top"/>
          </w:tcPr>
          <w:p>
            <w:pPr>
              <w:widowControl w:val="0"/>
              <w:adjustRightInd w:val="0"/>
              <w:snapToGrid w:val="0"/>
              <w:spacing w:line="440" w:lineRule="atLeast"/>
              <w:jc w:val="both"/>
              <w:rPr>
                <w:rFonts w:hint="eastAsia" w:ascii="宋体" w:hAnsi="宋体" w:eastAsia="宋体" w:cs="宋体"/>
                <w:b/>
                <w:color w:val="auto"/>
                <w:kern w:val="2"/>
                <w:sz w:val="21"/>
                <w:szCs w:val="21"/>
                <w:highlight w:val="none"/>
                <w:lang w:val="en-US" w:eastAsia="zh-CN" w:bidi="ar-SA"/>
              </w:rPr>
            </w:pPr>
          </w:p>
        </w:tc>
      </w:tr>
    </w:tbl>
    <w:p>
      <w:pPr>
        <w:widowControl w:val="0"/>
        <w:adjustRightInd w:val="0"/>
        <w:snapToGrid w:val="0"/>
        <w:spacing w:line="440" w:lineRule="atLeast"/>
        <w:jc w:val="both"/>
        <w:rPr>
          <w:rFonts w:hint="eastAsia" w:ascii="宋体" w:hAnsi="宋体" w:eastAsia="宋体" w:cs="宋体"/>
          <w:b/>
          <w:color w:val="auto"/>
          <w:kern w:val="2"/>
          <w:sz w:val="24"/>
          <w:highlight w:val="none"/>
          <w:lang w:val="en-US" w:eastAsia="zh-CN" w:bidi="ar-SA"/>
        </w:rPr>
      </w:pPr>
    </w:p>
    <w:p>
      <w:pPr>
        <w:widowControl w:val="0"/>
        <w:spacing w:line="440" w:lineRule="atLeast"/>
        <w:jc w:val="both"/>
        <w:rPr>
          <w:rFonts w:hint="eastAsia" w:ascii="宋体" w:hAnsi="宋体" w:eastAsia="宋体" w:cs="宋体"/>
          <w:b/>
          <w:color w:val="auto"/>
          <w:kern w:val="2"/>
          <w:sz w:val="32"/>
          <w:highlight w:val="none"/>
          <w:lang w:val="en-US" w:eastAsia="zh-CN" w:bidi="ar-SA"/>
        </w:rPr>
      </w:pPr>
    </w:p>
    <w:p>
      <w:pPr>
        <w:spacing w:before="322" w:beforeLines="100" w:after="322" w:afterLines="100"/>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磋商供应商全称（</w:t>
      </w:r>
      <w:r>
        <w:rPr>
          <w:rFonts w:hint="eastAsia" w:ascii="宋体" w:hAnsi="宋体" w:eastAsia="宋体" w:cs="宋体"/>
          <w:color w:val="auto"/>
          <w:highlight w:val="none"/>
        </w:rPr>
        <w:t>盖电子签章</w:t>
      </w:r>
      <w:r>
        <w:rPr>
          <w:rFonts w:hint="eastAsia" w:ascii="宋体" w:hAnsi="宋体" w:eastAsia="宋体" w:cs="宋体"/>
          <w:color w:val="auto"/>
          <w:szCs w:val="21"/>
          <w:highlight w:val="none"/>
        </w:rPr>
        <w:t>）：</w:t>
      </w:r>
    </w:p>
    <w:p>
      <w:pPr>
        <w:spacing w:before="322" w:beforeLines="100" w:after="322" w:afterLines="100"/>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pacing w:before="322" w:beforeLines="100" w:after="322" w:afterLines="100"/>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pStyle w:val="2"/>
        <w:rPr>
          <w:rFonts w:hint="eastAsia" w:ascii="宋体" w:hAnsi="宋体" w:eastAsia="宋体" w:cs="宋体"/>
          <w:color w:val="auto"/>
          <w:szCs w:val="21"/>
          <w:highlight w:val="none"/>
        </w:rPr>
      </w:pPr>
    </w:p>
    <w:p>
      <w:pPr>
        <w:rPr>
          <w:rFonts w:hint="eastAsia"/>
          <w:color w:val="auto"/>
        </w:rPr>
      </w:pPr>
    </w:p>
    <w:bookmarkEnd w:id="132"/>
    <w:bookmarkEnd w:id="133"/>
    <w:bookmarkEnd w:id="134"/>
    <w:p>
      <w:pPr>
        <w:jc w:val="center"/>
        <w:outlineLvl w:val="1"/>
        <w:rPr>
          <w:rFonts w:hint="eastAsia" w:ascii="宋体" w:hAnsi="宋体" w:eastAsia="宋体" w:cs="宋体"/>
          <w:b/>
          <w:bCs/>
          <w:color w:val="auto"/>
          <w:sz w:val="28"/>
          <w:szCs w:val="36"/>
          <w:highlight w:val="none"/>
        </w:rPr>
      </w:pPr>
      <w:bookmarkStart w:id="139" w:name="_Toc10329"/>
      <w:bookmarkStart w:id="140" w:name="_Toc12575"/>
      <w:r>
        <w:rPr>
          <w:rFonts w:hint="eastAsia" w:ascii="宋体" w:hAnsi="宋体" w:eastAsia="宋体" w:cs="宋体"/>
          <w:b/>
          <w:bCs/>
          <w:color w:val="auto"/>
          <w:sz w:val="28"/>
          <w:szCs w:val="36"/>
          <w:highlight w:val="none"/>
          <w:lang w:val="en-US" w:eastAsia="zh-CN"/>
        </w:rPr>
        <w:t xml:space="preserve">附件十  </w:t>
      </w:r>
      <w:r>
        <w:rPr>
          <w:rFonts w:hint="eastAsia" w:ascii="宋体" w:hAnsi="宋体" w:eastAsia="宋体" w:cs="宋体"/>
          <w:b/>
          <w:bCs/>
          <w:color w:val="auto"/>
          <w:sz w:val="28"/>
          <w:szCs w:val="36"/>
          <w:highlight w:val="none"/>
        </w:rPr>
        <w:t>设备零件、易损件、备品备件报价表</w:t>
      </w:r>
      <w:bookmarkEnd w:id="139"/>
    </w:p>
    <w:p>
      <w:pPr>
        <w:spacing w:line="4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1"/>
          <w:highlight w:val="none"/>
        </w:rPr>
        <w:t xml:space="preserve"> 项目编号：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801"/>
        <w:gridCol w:w="2222"/>
        <w:gridCol w:w="1215"/>
        <w:gridCol w:w="121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928" w:type="dxa"/>
            <w:noWrap w:val="0"/>
            <w:vAlign w:val="center"/>
          </w:tcPr>
          <w:p>
            <w:pPr>
              <w:widowControl w:val="0"/>
              <w:adjustRightInd w:val="0"/>
              <w:snapToGrid w:val="0"/>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 号</w:t>
            </w:r>
          </w:p>
        </w:tc>
        <w:tc>
          <w:tcPr>
            <w:tcW w:w="1801" w:type="dxa"/>
            <w:noWrap w:val="0"/>
            <w:vAlign w:val="center"/>
          </w:tcPr>
          <w:p>
            <w:pPr>
              <w:widowControl w:val="0"/>
              <w:adjustRightInd w:val="0"/>
              <w:snapToGrid w:val="0"/>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名称</w:t>
            </w:r>
          </w:p>
        </w:tc>
        <w:tc>
          <w:tcPr>
            <w:tcW w:w="2222" w:type="dxa"/>
            <w:noWrap w:val="0"/>
            <w:vAlign w:val="center"/>
          </w:tcPr>
          <w:p>
            <w:pPr>
              <w:widowControl w:val="0"/>
              <w:adjustRightInd w:val="0"/>
              <w:snapToGrid w:val="0"/>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产地/规格/型号</w:t>
            </w:r>
          </w:p>
        </w:tc>
        <w:tc>
          <w:tcPr>
            <w:tcW w:w="1215" w:type="dxa"/>
            <w:noWrap w:val="0"/>
            <w:vAlign w:val="center"/>
          </w:tcPr>
          <w:p>
            <w:pPr>
              <w:widowControl w:val="0"/>
              <w:adjustRightInd w:val="0"/>
              <w:snapToGrid w:val="0"/>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w:t>
            </w:r>
          </w:p>
        </w:tc>
        <w:tc>
          <w:tcPr>
            <w:tcW w:w="1216" w:type="dxa"/>
            <w:noWrap w:val="0"/>
            <w:vAlign w:val="center"/>
          </w:tcPr>
          <w:p>
            <w:pPr>
              <w:widowControl w:val="0"/>
              <w:adjustRightInd w:val="0"/>
              <w:snapToGrid w:val="0"/>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单价</w:t>
            </w:r>
          </w:p>
        </w:tc>
        <w:tc>
          <w:tcPr>
            <w:tcW w:w="1705" w:type="dxa"/>
            <w:noWrap w:val="0"/>
            <w:vAlign w:val="center"/>
          </w:tcPr>
          <w:p>
            <w:pPr>
              <w:widowControl w:val="0"/>
              <w:adjustRightInd w:val="0"/>
              <w:snapToGrid w:val="0"/>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8"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801"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2222"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216"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c>
          <w:tcPr>
            <w:tcW w:w="1705" w:type="dxa"/>
            <w:noWrap w:val="0"/>
            <w:vAlign w:val="top"/>
          </w:tcPr>
          <w:p>
            <w:pPr>
              <w:widowControl w:val="0"/>
              <w:adjustRightInd w:val="0"/>
              <w:snapToGrid w:val="0"/>
              <w:spacing w:line="400" w:lineRule="exact"/>
              <w:jc w:val="both"/>
              <w:rPr>
                <w:rFonts w:hint="eastAsia" w:ascii="宋体" w:hAnsi="宋体" w:eastAsia="宋体" w:cs="宋体"/>
                <w:b/>
                <w:color w:val="auto"/>
                <w:kern w:val="2"/>
                <w:sz w:val="21"/>
                <w:szCs w:val="21"/>
                <w:highlight w:val="none"/>
                <w:lang w:val="en-US" w:eastAsia="zh-CN" w:bidi="ar-SA"/>
              </w:rPr>
            </w:pPr>
          </w:p>
        </w:tc>
      </w:tr>
    </w:tbl>
    <w:p>
      <w:pPr>
        <w:widowControl w:val="0"/>
        <w:adjustRightInd w:val="0"/>
        <w:snapToGrid w:val="0"/>
        <w:spacing w:after="120" w:line="400" w:lineRule="exact"/>
        <w:ind w:firstLine="440"/>
        <w:jc w:val="both"/>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kern w:val="2"/>
          <w:sz w:val="22"/>
          <w:szCs w:val="22"/>
          <w:highlight w:val="none"/>
          <w:lang w:val="en-US" w:eastAsia="zh-CN" w:bidi="ar-SA"/>
        </w:rPr>
        <w:t>本表为质保期满后供设备使用两年的必备的零件，易损件，专用工具的报价表。由磋商供应商填写，费用不包括在投标总价中，作为质保期满后使用单位选购零件，易损件，专用工具的价格依据。</w:t>
      </w:r>
    </w:p>
    <w:p>
      <w:pPr>
        <w:widowControl w:val="0"/>
        <w:adjustRightInd w:val="0"/>
        <w:snapToGrid w:val="0"/>
        <w:spacing w:line="440" w:lineRule="atLeast"/>
        <w:jc w:val="both"/>
        <w:rPr>
          <w:rFonts w:hint="eastAsia" w:ascii="宋体" w:hAnsi="宋体" w:eastAsia="宋体" w:cs="宋体"/>
          <w:b/>
          <w:color w:val="auto"/>
          <w:kern w:val="2"/>
          <w:sz w:val="24"/>
          <w:highlight w:val="none"/>
          <w:lang w:val="en-US" w:eastAsia="zh-CN" w:bidi="ar-SA"/>
        </w:rPr>
      </w:pPr>
    </w:p>
    <w:p>
      <w:pPr>
        <w:spacing w:before="322" w:beforeLines="100" w:after="322" w:afterLines="100"/>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磋商供应商全称（</w:t>
      </w:r>
      <w:r>
        <w:rPr>
          <w:rFonts w:hint="eastAsia" w:ascii="宋体" w:hAnsi="宋体" w:eastAsia="宋体" w:cs="宋体"/>
          <w:color w:val="auto"/>
          <w:highlight w:val="none"/>
        </w:rPr>
        <w:t>盖电子签章</w:t>
      </w:r>
      <w:r>
        <w:rPr>
          <w:rFonts w:hint="eastAsia" w:ascii="宋体" w:hAnsi="宋体" w:eastAsia="宋体" w:cs="宋体"/>
          <w:color w:val="auto"/>
          <w:szCs w:val="21"/>
          <w:highlight w:val="none"/>
        </w:rPr>
        <w:t>）：</w:t>
      </w:r>
    </w:p>
    <w:p>
      <w:pPr>
        <w:spacing w:before="322" w:beforeLines="100" w:after="322" w:afterLines="100"/>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pacing w:before="322" w:beforeLines="100" w:after="322" w:afterLines="100"/>
        <w:ind w:left="4620" w:leftChars="2200"/>
        <w:rPr>
          <w:color w:val="auto"/>
          <w:sz w:val="28"/>
        </w:rPr>
      </w:pPr>
      <w:r>
        <w:rPr>
          <w:rFonts w:hint="eastAsia" w:ascii="宋体" w:hAnsi="宋体" w:eastAsia="宋体" w:cs="宋体"/>
          <w:color w:val="auto"/>
          <w:szCs w:val="21"/>
          <w:highlight w:val="none"/>
        </w:rPr>
        <w:t>日      期：    年   月     日</w:t>
      </w:r>
    </w:p>
    <w:bookmarkEnd w:id="140"/>
    <w:p>
      <w:pPr>
        <w:rPr>
          <w:rFonts w:ascii="Arial" w:hAnsi="宋体" w:cs="Arial"/>
          <w:b/>
          <w:color w:val="auto"/>
        </w:rPr>
      </w:pPr>
    </w:p>
    <w:bookmarkEnd w:id="116"/>
    <w:bookmarkEnd w:id="117"/>
    <w:bookmarkEnd w:id="118"/>
    <w:p>
      <w:pPr>
        <w:rPr>
          <w:rFonts w:ascii="Arial" w:hAnsi="Arial" w:cs="Arial"/>
          <w:b/>
          <w:color w:val="auto"/>
          <w:szCs w:val="21"/>
        </w:rPr>
      </w:pPr>
      <w:bookmarkStart w:id="141" w:name="_Toc528663556"/>
      <w:r>
        <w:rPr>
          <w:rFonts w:hint="eastAsia" w:ascii="Arial" w:hAnsi="Arial" w:cs="Arial"/>
          <w:b/>
          <w:color w:val="auto"/>
          <w:szCs w:val="21"/>
        </w:rPr>
        <w:br w:type="page"/>
      </w:r>
    </w:p>
    <w:bookmarkEnd w:id="103"/>
    <w:bookmarkEnd w:id="104"/>
    <w:bookmarkEnd w:id="105"/>
    <w:bookmarkEnd w:id="106"/>
    <w:bookmarkEnd w:id="107"/>
    <w:bookmarkEnd w:id="108"/>
    <w:bookmarkEnd w:id="119"/>
    <w:bookmarkEnd w:id="120"/>
    <w:bookmarkEnd w:id="121"/>
    <w:bookmarkEnd w:id="122"/>
    <w:bookmarkEnd w:id="123"/>
    <w:bookmarkEnd w:id="124"/>
    <w:bookmarkEnd w:id="125"/>
    <w:bookmarkEnd w:id="126"/>
    <w:bookmarkEnd w:id="141"/>
    <w:p>
      <w:pPr>
        <w:spacing w:before="322" w:beforeLines="100" w:after="322" w:afterLines="100"/>
        <w:jc w:val="center"/>
        <w:rPr>
          <w:rFonts w:hint="eastAsia" w:ascii="宋体" w:hAnsi="宋体" w:eastAsia="宋体" w:cs="宋体"/>
          <w:b/>
          <w:bCs/>
          <w:color w:val="auto"/>
          <w:sz w:val="28"/>
          <w:szCs w:val="36"/>
          <w:highlight w:val="none"/>
        </w:rPr>
      </w:pPr>
      <w:bookmarkStart w:id="142" w:name="_Toc47617281"/>
      <w:bookmarkStart w:id="143" w:name="_Toc22105"/>
      <w:bookmarkStart w:id="144" w:name="_Toc486931339"/>
      <w:bookmarkStart w:id="145" w:name="_Toc346178852"/>
      <w:r>
        <w:rPr>
          <w:rFonts w:hint="eastAsia" w:ascii="宋体" w:hAnsi="宋体" w:eastAsia="宋体" w:cs="宋体"/>
          <w:b/>
          <w:bCs/>
          <w:color w:val="auto"/>
          <w:sz w:val="28"/>
          <w:szCs w:val="36"/>
          <w:highlight w:val="none"/>
        </w:rPr>
        <w:t>附件</w:t>
      </w:r>
      <w:r>
        <w:rPr>
          <w:rFonts w:hint="eastAsia" w:ascii="宋体" w:hAnsi="宋体" w:eastAsia="宋体" w:cs="宋体"/>
          <w:b/>
          <w:bCs/>
          <w:color w:val="auto"/>
          <w:sz w:val="28"/>
          <w:szCs w:val="36"/>
          <w:highlight w:val="none"/>
          <w:lang w:val="en-US" w:eastAsia="zh-CN"/>
        </w:rPr>
        <w:t>十一</w:t>
      </w:r>
      <w:r>
        <w:rPr>
          <w:rFonts w:hint="eastAsia" w:ascii="宋体" w:hAnsi="宋体" w:eastAsia="宋体" w:cs="宋体"/>
          <w:b/>
          <w:bCs/>
          <w:color w:val="auto"/>
          <w:sz w:val="28"/>
          <w:szCs w:val="36"/>
          <w:highlight w:val="none"/>
        </w:rPr>
        <w:t xml:space="preserve">    </w:t>
      </w:r>
      <w:bookmarkEnd w:id="142"/>
      <w:bookmarkEnd w:id="143"/>
      <w:r>
        <w:rPr>
          <w:rFonts w:hint="eastAsia" w:ascii="宋体" w:hAnsi="宋体" w:eastAsia="宋体" w:cs="宋体"/>
          <w:b/>
          <w:bCs/>
          <w:color w:val="auto"/>
          <w:sz w:val="28"/>
          <w:szCs w:val="36"/>
          <w:highlight w:val="none"/>
        </w:rPr>
        <w:t>报价一览表</w:t>
      </w:r>
    </w:p>
    <w:p>
      <w:pPr>
        <w:spacing w:afterLines="50"/>
        <w:rPr>
          <w:rFonts w:ascii="宋体" w:hAnsi="宋体" w:eastAsia="宋体" w:cs="Times New Roman"/>
          <w:b/>
          <w:color w:val="auto"/>
        </w:rPr>
      </w:pPr>
      <w:r>
        <w:rPr>
          <w:rFonts w:hint="eastAsia" w:ascii="宋体" w:hAnsi="宋体" w:eastAsia="宋体" w:cs="Times New Roman"/>
          <w:b/>
          <w:color w:val="auto"/>
        </w:rPr>
        <w:t xml:space="preserve">项目编号： </w:t>
      </w:r>
    </w:p>
    <w:tbl>
      <w:tblPr>
        <w:tblStyle w:val="38"/>
        <w:tblW w:w="9045"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195"/>
        <w:gridCol w:w="1395"/>
        <w:gridCol w:w="184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trPr>
        <w:tc>
          <w:tcPr>
            <w:tcW w:w="1860" w:type="dxa"/>
            <w:vAlign w:val="center"/>
          </w:tcPr>
          <w:p>
            <w:pPr>
              <w:jc w:val="center"/>
              <w:rPr>
                <w:rFonts w:ascii="新宋体" w:hAnsi="新宋体" w:eastAsia="新宋体" w:cs="Times New Roman"/>
                <w:b/>
                <w:color w:val="auto"/>
                <w:szCs w:val="21"/>
              </w:rPr>
            </w:pPr>
            <w:r>
              <w:rPr>
                <w:rFonts w:hint="eastAsia" w:ascii="新宋体" w:hAnsi="新宋体" w:eastAsia="新宋体" w:cs="Times New Roman"/>
                <w:b/>
                <w:color w:val="auto"/>
                <w:szCs w:val="21"/>
              </w:rPr>
              <w:t>项目名称</w:t>
            </w:r>
          </w:p>
        </w:tc>
        <w:tc>
          <w:tcPr>
            <w:tcW w:w="3195" w:type="dxa"/>
            <w:vAlign w:val="center"/>
          </w:tcPr>
          <w:p>
            <w:pPr>
              <w:jc w:val="center"/>
              <w:rPr>
                <w:rFonts w:hint="default" w:ascii="新宋体" w:hAnsi="新宋体" w:eastAsia="新宋体" w:cs="Times New Roman"/>
                <w:b/>
                <w:color w:val="auto"/>
                <w:szCs w:val="21"/>
                <w:lang w:val="en-US" w:eastAsia="zh-CN"/>
              </w:rPr>
            </w:pPr>
            <w:r>
              <w:rPr>
                <w:rFonts w:hint="eastAsia" w:ascii="宋体" w:eastAsia="宋体" w:cs="Times New Roman"/>
                <w:b/>
                <w:bCs/>
                <w:color w:val="auto"/>
                <w:szCs w:val="21"/>
                <w:lang w:val="en-US" w:eastAsia="zh-CN"/>
              </w:rPr>
              <w:t>投标报价（元）</w:t>
            </w:r>
          </w:p>
        </w:tc>
        <w:tc>
          <w:tcPr>
            <w:tcW w:w="1395" w:type="dxa"/>
            <w:vAlign w:val="center"/>
          </w:tcPr>
          <w:p>
            <w:pPr>
              <w:jc w:val="center"/>
              <w:rPr>
                <w:rFonts w:ascii="新宋体" w:hAnsi="新宋体" w:eastAsia="新宋体" w:cs="Times New Roman"/>
                <w:b/>
                <w:color w:val="auto"/>
                <w:szCs w:val="21"/>
              </w:rPr>
            </w:pPr>
            <w:r>
              <w:rPr>
                <w:rFonts w:hint="eastAsia" w:ascii="宋体" w:hAnsi="宋体" w:eastAsia="宋体" w:cs="Times New Roman"/>
                <w:b/>
                <w:color w:val="auto"/>
                <w:szCs w:val="21"/>
              </w:rPr>
              <w:t>免费质保期</w:t>
            </w:r>
          </w:p>
        </w:tc>
        <w:tc>
          <w:tcPr>
            <w:tcW w:w="1845" w:type="dxa"/>
            <w:vAlign w:val="center"/>
          </w:tcPr>
          <w:p>
            <w:pPr>
              <w:jc w:val="center"/>
              <w:rPr>
                <w:rFonts w:hint="default" w:ascii="新宋体" w:hAnsi="新宋体" w:eastAsia="新宋体" w:cs="Times New Roman"/>
                <w:b/>
                <w:color w:val="auto"/>
                <w:szCs w:val="21"/>
                <w:lang w:val="en-US" w:eastAsia="zh-CN"/>
              </w:rPr>
            </w:pPr>
            <w:r>
              <w:rPr>
                <w:rFonts w:hint="eastAsia" w:ascii="新宋体" w:hAnsi="新宋体" w:eastAsia="新宋体" w:cs="Times New Roman"/>
                <w:b/>
                <w:color w:val="auto"/>
                <w:szCs w:val="21"/>
                <w:lang w:val="en-US" w:eastAsia="zh-CN"/>
              </w:rPr>
              <w:t>供货期限</w:t>
            </w:r>
          </w:p>
        </w:tc>
        <w:tc>
          <w:tcPr>
            <w:tcW w:w="750" w:type="dxa"/>
            <w:vAlign w:val="center"/>
          </w:tcPr>
          <w:p>
            <w:pPr>
              <w:jc w:val="center"/>
              <w:rPr>
                <w:rFonts w:ascii="新宋体" w:hAnsi="新宋体" w:eastAsia="新宋体" w:cs="Times New Roman"/>
                <w:b/>
                <w:color w:val="auto"/>
                <w:szCs w:val="21"/>
              </w:rPr>
            </w:pPr>
            <w:r>
              <w:rPr>
                <w:rFonts w:hint="eastAsia" w:ascii="新宋体" w:hAnsi="新宋体" w:eastAsia="新宋体"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9" w:hRule="atLeast"/>
        </w:trPr>
        <w:tc>
          <w:tcPr>
            <w:tcW w:w="1860" w:type="dxa"/>
            <w:vAlign w:val="center"/>
          </w:tcPr>
          <w:p>
            <w:pPr>
              <w:jc w:val="center"/>
              <w:rPr>
                <w:rFonts w:hint="eastAsia" w:ascii="新宋体" w:hAnsi="新宋体" w:eastAsia="新宋体" w:cs="Times New Roman"/>
                <w:b w:val="0"/>
                <w:bCs/>
                <w:color w:val="auto"/>
                <w:szCs w:val="21"/>
                <w:lang w:eastAsia="zh-CN"/>
              </w:rPr>
            </w:pPr>
            <w:r>
              <w:rPr>
                <w:rFonts w:hint="eastAsia" w:ascii="新宋体" w:hAnsi="新宋体" w:eastAsia="新宋体" w:cs="Times New Roman"/>
                <w:b w:val="0"/>
                <w:bCs/>
                <w:color w:val="auto"/>
                <w:szCs w:val="21"/>
                <w:lang w:eastAsia="zh-CN"/>
              </w:rPr>
              <w:t>瑞安市阳光小学扩建工程智能化设备采购</w:t>
            </w:r>
          </w:p>
        </w:tc>
        <w:tc>
          <w:tcPr>
            <w:tcW w:w="3195" w:type="dxa"/>
            <w:vAlign w:val="center"/>
          </w:tcPr>
          <w:p>
            <w:pPr>
              <w:jc w:val="left"/>
              <w:rPr>
                <w:rFonts w:hint="eastAsia" w:ascii="新宋体" w:hAnsi="新宋体" w:eastAsia="新宋体" w:cs="Times New Roman"/>
                <w:b w:val="0"/>
                <w:bCs/>
                <w:color w:val="auto"/>
                <w:szCs w:val="21"/>
                <w:lang w:val="en-US" w:eastAsia="zh-CN"/>
              </w:rPr>
            </w:pPr>
            <w:r>
              <w:rPr>
                <w:rFonts w:hint="eastAsia" w:ascii="新宋体" w:hAnsi="新宋体" w:eastAsia="新宋体" w:cs="Times New Roman"/>
                <w:b w:val="0"/>
                <w:bCs/>
                <w:color w:val="auto"/>
                <w:szCs w:val="21"/>
                <w:lang w:val="en-US" w:eastAsia="zh-CN"/>
              </w:rPr>
              <w:t xml:space="preserve">小写：    </w:t>
            </w:r>
          </w:p>
          <w:p>
            <w:pPr>
              <w:jc w:val="left"/>
              <w:rPr>
                <w:rFonts w:hint="eastAsia" w:ascii="新宋体" w:hAnsi="新宋体" w:eastAsia="新宋体" w:cs="Times New Roman"/>
                <w:b w:val="0"/>
                <w:bCs/>
                <w:color w:val="auto"/>
                <w:szCs w:val="21"/>
                <w:lang w:val="en-US" w:eastAsia="zh-CN"/>
              </w:rPr>
            </w:pPr>
          </w:p>
          <w:p>
            <w:pPr>
              <w:jc w:val="left"/>
              <w:rPr>
                <w:rFonts w:hint="default" w:ascii="楷体_GB2312" w:hAnsi="Times New Roman" w:eastAsia="楷体_GB2312" w:cs="Times New Roman"/>
                <w:b w:val="0"/>
                <w:bCs/>
                <w:color w:val="auto"/>
                <w:kern w:val="2"/>
                <w:sz w:val="32"/>
                <w:lang w:val="en-US" w:eastAsia="zh-CN" w:bidi="ar-SA"/>
              </w:rPr>
            </w:pPr>
            <w:r>
              <w:rPr>
                <w:rFonts w:hint="eastAsia" w:ascii="新宋体" w:hAnsi="新宋体" w:eastAsia="新宋体" w:cs="Times New Roman"/>
                <w:b w:val="0"/>
                <w:bCs/>
                <w:color w:val="auto"/>
                <w:szCs w:val="21"/>
                <w:lang w:val="en-US" w:eastAsia="zh-CN"/>
              </w:rPr>
              <w:t xml:space="preserve">大写：   </w:t>
            </w:r>
          </w:p>
        </w:tc>
        <w:tc>
          <w:tcPr>
            <w:tcW w:w="1395" w:type="dxa"/>
            <w:vAlign w:val="center"/>
          </w:tcPr>
          <w:p>
            <w:pPr>
              <w:jc w:val="center"/>
              <w:rPr>
                <w:rFonts w:ascii="新宋体" w:hAnsi="新宋体" w:eastAsia="新宋体" w:cs="Times New Roman"/>
                <w:b w:val="0"/>
                <w:bCs/>
                <w:color w:val="auto"/>
                <w:szCs w:val="21"/>
              </w:rPr>
            </w:pPr>
            <w:r>
              <w:rPr>
                <w:rFonts w:hint="eastAsia" w:ascii="新宋体" w:hAnsi="新宋体" w:eastAsia="新宋体" w:cs="Times New Roman"/>
                <w:b w:val="0"/>
                <w:bCs/>
                <w:color w:val="auto"/>
                <w:szCs w:val="21"/>
              </w:rPr>
              <w:t xml:space="preserve"> </w:t>
            </w:r>
          </w:p>
        </w:tc>
        <w:tc>
          <w:tcPr>
            <w:tcW w:w="1845" w:type="dxa"/>
            <w:vAlign w:val="center"/>
          </w:tcPr>
          <w:p>
            <w:pPr>
              <w:jc w:val="center"/>
              <w:rPr>
                <w:rFonts w:hint="eastAsia" w:ascii="新宋体" w:hAnsi="新宋体" w:eastAsia="新宋体" w:cs="Times New Roman"/>
                <w:b w:val="0"/>
                <w:bCs/>
                <w:color w:val="auto"/>
                <w:szCs w:val="21"/>
              </w:rPr>
            </w:pPr>
          </w:p>
        </w:tc>
        <w:tc>
          <w:tcPr>
            <w:tcW w:w="750" w:type="dxa"/>
            <w:vAlign w:val="center"/>
          </w:tcPr>
          <w:p>
            <w:pPr>
              <w:jc w:val="center"/>
              <w:rPr>
                <w:rFonts w:ascii="新宋体" w:hAnsi="新宋体" w:eastAsia="新宋体" w:cs="Times New Roman"/>
                <w:b w:val="0"/>
                <w:bCs/>
                <w:color w:val="auto"/>
                <w:szCs w:val="21"/>
              </w:rPr>
            </w:pPr>
            <w:r>
              <w:rPr>
                <w:rFonts w:hint="eastAsia" w:ascii="新宋体" w:hAnsi="新宋体" w:eastAsia="新宋体" w:cs="Times New Roman"/>
                <w:b w:val="0"/>
                <w:bCs/>
                <w:color w:val="auto"/>
                <w:szCs w:val="21"/>
              </w:rPr>
              <w:t xml:space="preserve"> </w:t>
            </w:r>
          </w:p>
        </w:tc>
      </w:tr>
    </w:tbl>
    <w:p>
      <w:pPr>
        <w:spacing w:line="360" w:lineRule="exact"/>
        <w:rPr>
          <w:rFonts w:ascii="新宋体" w:hAnsi="新宋体" w:eastAsia="新宋体" w:cs="Times New Roman"/>
          <w:color w:val="auto"/>
          <w:szCs w:val="21"/>
        </w:rPr>
      </w:pPr>
      <w:r>
        <w:rPr>
          <w:rFonts w:hint="eastAsia" w:ascii="新宋体" w:hAnsi="新宋体" w:eastAsia="新宋体" w:cs="Times New Roman"/>
          <w:b/>
          <w:bCs/>
          <w:color w:val="auto"/>
          <w:sz w:val="22"/>
          <w:szCs w:val="22"/>
        </w:rPr>
        <w:t>备注：</w:t>
      </w:r>
    </w:p>
    <w:p>
      <w:pPr>
        <w:numPr>
          <w:ilvl w:val="0"/>
          <w:numId w:val="39"/>
        </w:numPr>
        <w:tabs>
          <w:tab w:val="left" w:pos="0"/>
          <w:tab w:val="clear" w:pos="1200"/>
        </w:tabs>
        <w:spacing w:line="276" w:lineRule="auto"/>
        <w:ind w:left="0" w:firstLine="426"/>
        <w:rPr>
          <w:rFonts w:ascii="宋体" w:hAnsi="宋体" w:eastAsia="宋体" w:cs="Times New Roman"/>
          <w:b/>
          <w:color w:val="auto"/>
          <w:szCs w:val="21"/>
        </w:rPr>
      </w:pPr>
      <w:r>
        <w:rPr>
          <w:rFonts w:hint="eastAsia" w:ascii="宋体" w:hAnsi="宋体" w:eastAsia="宋体" w:cs="Times New Roman"/>
          <w:b/>
          <w:color w:val="auto"/>
          <w:szCs w:val="21"/>
        </w:rPr>
        <w:t>本项目为固定报价，</w:t>
      </w:r>
      <w:r>
        <w:rPr>
          <w:rFonts w:hint="eastAsia" w:ascii="Arial" w:hAnsi="Arial" w:eastAsia="宋体" w:cs="Arial"/>
          <w:b/>
          <w:color w:val="auto"/>
        </w:rPr>
        <w:t>投标报价应是</w:t>
      </w:r>
      <w:r>
        <w:rPr>
          <w:rFonts w:hint="eastAsia" w:ascii="宋体" w:hAnsi="宋体" w:eastAsia="宋体" w:cs="宋体"/>
          <w:b/>
          <w:color w:val="auto"/>
          <w:szCs w:val="21"/>
        </w:rPr>
        <w:t>包含</w:t>
      </w:r>
      <w:r>
        <w:rPr>
          <w:rFonts w:hint="eastAsia" w:ascii="Arial" w:hAnsi="Arial" w:eastAsia="新宋体" w:cs="Arial"/>
          <w:b/>
          <w:color w:val="auto"/>
          <w:szCs w:val="21"/>
        </w:rPr>
        <w:t>供货、材料、标准附件、紧固件、备品备件、专用工具、税金、包装、运输、保险、装卸、安装调试、配合验收（含第三方产品检测费）、技术服务、售后服务、</w:t>
      </w:r>
      <w:r>
        <w:rPr>
          <w:rFonts w:hint="eastAsia" w:ascii="宋体" w:hAnsi="宋体" w:eastAsia="宋体" w:cs="宋体"/>
          <w:b/>
          <w:color w:val="auto"/>
          <w:szCs w:val="21"/>
        </w:rPr>
        <w:t>政策性文件规定及合同包含的所有风险、责任等各项全部费用。</w:t>
      </w:r>
    </w:p>
    <w:p>
      <w:pPr>
        <w:widowControl w:val="0"/>
        <w:numPr>
          <w:ilvl w:val="0"/>
          <w:numId w:val="39"/>
        </w:numPr>
        <w:shd w:val="clear" w:color="auto" w:fill="FFFFFF"/>
        <w:tabs>
          <w:tab w:val="left" w:pos="0"/>
          <w:tab w:val="clear" w:pos="1200"/>
        </w:tabs>
        <w:spacing w:line="360" w:lineRule="exact"/>
        <w:ind w:left="0" w:firstLine="420"/>
        <w:rPr>
          <w:rFonts w:ascii="Arial" w:hAnsi="Arial" w:eastAsia="新宋体" w:cs="Arial"/>
          <w:b/>
          <w:color w:val="auto"/>
          <w:szCs w:val="21"/>
        </w:rPr>
      </w:pPr>
      <w:r>
        <w:rPr>
          <w:rFonts w:hint="eastAsia" w:ascii="宋体" w:eastAsia="宋体" w:cs="Times New Roman"/>
          <w:b/>
          <w:color w:val="auto"/>
          <w:sz w:val="22"/>
        </w:rPr>
        <w:t>不提供此表格的将视为没有实质性响应招标文件。</w:t>
      </w:r>
    </w:p>
    <w:p>
      <w:pPr>
        <w:widowControl w:val="0"/>
        <w:numPr>
          <w:ilvl w:val="0"/>
          <w:numId w:val="39"/>
        </w:numPr>
        <w:shd w:val="clear" w:color="auto" w:fill="FFFFFF"/>
        <w:tabs>
          <w:tab w:val="left" w:pos="0"/>
          <w:tab w:val="clear" w:pos="1200"/>
        </w:tabs>
        <w:spacing w:line="360" w:lineRule="exact"/>
        <w:ind w:left="0" w:firstLine="420"/>
        <w:rPr>
          <w:rFonts w:ascii="Arial" w:hAnsi="Arial" w:eastAsia="新宋体" w:cs="Arial"/>
          <w:b/>
          <w:color w:val="auto"/>
          <w:szCs w:val="21"/>
        </w:rPr>
      </w:pPr>
      <w:r>
        <w:rPr>
          <w:rFonts w:hint="eastAsia" w:ascii="宋体" w:eastAsia="宋体" w:cs="Times New Roman"/>
          <w:b/>
          <w:color w:val="auto"/>
          <w:sz w:val="22"/>
          <w:lang w:eastAsia="zh-CN"/>
        </w:rPr>
        <w:t>此表不得自行增减内容。</w:t>
      </w:r>
    </w:p>
    <w:p>
      <w:pPr>
        <w:spacing w:line="360" w:lineRule="exact"/>
        <w:ind w:left="1200"/>
        <w:rPr>
          <w:rFonts w:ascii="Arial" w:hAnsi="Arial" w:eastAsia="宋体" w:cs="Times New Roman"/>
          <w:color w:val="auto"/>
        </w:rPr>
      </w:pPr>
    </w:p>
    <w:p>
      <w:pPr>
        <w:spacing w:line="480" w:lineRule="auto"/>
        <w:ind w:firstLine="4830" w:firstLineChars="2300"/>
        <w:rPr>
          <w:rFonts w:ascii="Arial" w:hAnsi="Arial" w:eastAsia="宋体" w:cs="Times New Roman"/>
          <w:color w:val="auto"/>
        </w:rPr>
      </w:pPr>
    </w:p>
    <w:p>
      <w:pPr>
        <w:spacing w:line="480" w:lineRule="auto"/>
        <w:ind w:firstLine="4393" w:firstLineChars="2092"/>
        <w:rPr>
          <w:rFonts w:ascii="Arial" w:hAnsi="Arial" w:eastAsia="宋体" w:cs="Times New Roman"/>
          <w:color w:val="auto"/>
        </w:rPr>
      </w:pPr>
      <w:r>
        <w:rPr>
          <w:rFonts w:hint="eastAsia" w:ascii="宋体" w:hAnsi="宋体" w:eastAsia="宋体" w:cs="Times New Roman"/>
          <w:color w:val="auto"/>
          <w:szCs w:val="21"/>
        </w:rPr>
        <w:t>磋商供应商全称（盖章）</w:t>
      </w:r>
      <w:r>
        <w:rPr>
          <w:rFonts w:hint="eastAsia" w:ascii="Arial" w:hAnsi="Arial" w:eastAsia="宋体" w:cs="Times New Roman"/>
          <w:color w:val="auto"/>
        </w:rPr>
        <w:t>：</w:t>
      </w:r>
    </w:p>
    <w:p>
      <w:pPr>
        <w:spacing w:before="322" w:beforeLines="100" w:after="322" w:afterLines="100"/>
        <w:ind w:left="4620" w:leftChars="2200"/>
        <w:rPr>
          <w:color w:val="auto"/>
        </w:rPr>
      </w:pPr>
      <w:r>
        <w:rPr>
          <w:rFonts w:hint="eastAsia" w:ascii="Arial" w:hAnsi="Arial" w:eastAsia="宋体" w:cs="Times New Roman"/>
          <w:color w:val="auto"/>
        </w:rPr>
        <w:t xml:space="preserve">                                                       日    期：</w:t>
      </w:r>
    </w:p>
    <w:p>
      <w:pPr>
        <w:jc w:val="center"/>
        <w:outlineLvl w:val="1"/>
        <w:rPr>
          <w:rFonts w:hint="eastAsia" w:hAnsi="宋体"/>
          <w:color w:val="auto"/>
          <w:sz w:val="28"/>
          <w:szCs w:val="36"/>
        </w:rPr>
      </w:pPr>
      <w:r>
        <w:rPr>
          <w:rFonts w:hint="eastAsia" w:hAnsi="宋体"/>
          <w:color w:val="auto"/>
          <w:sz w:val="28"/>
          <w:szCs w:val="36"/>
        </w:rPr>
        <w:t xml:space="preserve">  </w:t>
      </w:r>
    </w:p>
    <w:p>
      <w:pPr>
        <w:jc w:val="center"/>
        <w:outlineLvl w:val="1"/>
        <w:rPr>
          <w:rFonts w:hint="eastAsia" w:hAnsi="宋体"/>
          <w:color w:val="auto"/>
          <w:sz w:val="28"/>
          <w:szCs w:val="36"/>
        </w:rPr>
      </w:pPr>
    </w:p>
    <w:p>
      <w:pPr>
        <w:jc w:val="center"/>
        <w:outlineLvl w:val="1"/>
        <w:rPr>
          <w:rFonts w:hint="eastAsia" w:ascii="宋体" w:hAnsi="宋体" w:eastAsia="宋体" w:cs="宋体"/>
          <w:b/>
          <w:bCs/>
          <w:color w:val="auto"/>
          <w:sz w:val="28"/>
          <w:szCs w:val="36"/>
          <w:highlight w:val="none"/>
          <w:lang w:val="en-US" w:eastAsia="zh-CN"/>
        </w:rPr>
      </w:pPr>
    </w:p>
    <w:p>
      <w:pPr>
        <w:jc w:val="center"/>
        <w:outlineLvl w:val="1"/>
        <w:rPr>
          <w:rFonts w:hint="eastAsia" w:ascii="宋体" w:hAnsi="宋体" w:eastAsia="宋体" w:cs="宋体"/>
          <w:b/>
          <w:bCs/>
          <w:color w:val="auto"/>
          <w:sz w:val="28"/>
          <w:szCs w:val="36"/>
          <w:highlight w:val="none"/>
          <w:lang w:val="en-US" w:eastAsia="zh-CN"/>
        </w:rPr>
      </w:pPr>
    </w:p>
    <w:p>
      <w:pPr>
        <w:jc w:val="center"/>
        <w:outlineLvl w:val="1"/>
        <w:rPr>
          <w:rFonts w:hint="eastAsia" w:ascii="宋体" w:hAnsi="宋体" w:eastAsia="宋体" w:cs="宋体"/>
          <w:b/>
          <w:bCs/>
          <w:color w:val="auto"/>
          <w:sz w:val="28"/>
          <w:szCs w:val="36"/>
          <w:highlight w:val="none"/>
          <w:lang w:val="en-US" w:eastAsia="zh-CN"/>
        </w:rPr>
      </w:pPr>
    </w:p>
    <w:p>
      <w:pPr>
        <w:jc w:val="center"/>
        <w:outlineLvl w:val="1"/>
        <w:rPr>
          <w:rFonts w:hint="eastAsia" w:ascii="宋体" w:hAnsi="宋体" w:eastAsia="宋体" w:cs="宋体"/>
          <w:b/>
          <w:bCs/>
          <w:color w:val="auto"/>
          <w:sz w:val="28"/>
          <w:szCs w:val="36"/>
          <w:highlight w:val="none"/>
          <w:lang w:val="en-US" w:eastAsia="zh-CN"/>
        </w:rPr>
      </w:pPr>
    </w:p>
    <w:p>
      <w:pPr>
        <w:jc w:val="center"/>
        <w:outlineLvl w:val="1"/>
        <w:rPr>
          <w:rFonts w:hint="eastAsia" w:ascii="宋体" w:hAnsi="宋体" w:eastAsia="宋体" w:cs="宋体"/>
          <w:b/>
          <w:bCs/>
          <w:color w:val="auto"/>
          <w:sz w:val="28"/>
          <w:szCs w:val="36"/>
          <w:highlight w:val="none"/>
          <w:lang w:val="en-US" w:eastAsia="zh-CN"/>
        </w:rPr>
      </w:pPr>
    </w:p>
    <w:p>
      <w:pPr>
        <w:spacing w:before="322" w:beforeLines="100" w:after="322" w:afterLines="100"/>
        <w:jc w:val="center"/>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lang w:val="en-US" w:eastAsia="zh-CN"/>
        </w:rPr>
        <w:t xml:space="preserve">附件十二  </w:t>
      </w:r>
      <w:r>
        <w:rPr>
          <w:rFonts w:hint="eastAsia" w:ascii="宋体" w:hAnsi="宋体" w:eastAsia="宋体" w:cs="宋体"/>
          <w:b/>
          <w:bCs/>
          <w:color w:val="auto"/>
          <w:sz w:val="28"/>
          <w:szCs w:val="36"/>
          <w:highlight w:val="none"/>
        </w:rPr>
        <w:t>报价</w:t>
      </w:r>
      <w:r>
        <w:rPr>
          <w:rFonts w:hint="eastAsia" w:ascii="宋体" w:hAnsi="宋体" w:eastAsia="宋体" w:cs="宋体"/>
          <w:b/>
          <w:bCs/>
          <w:color w:val="auto"/>
          <w:sz w:val="28"/>
          <w:szCs w:val="36"/>
          <w:highlight w:val="none"/>
          <w:lang w:val="en-US" w:eastAsia="zh-CN"/>
        </w:rPr>
        <w:t>明细表</w:t>
      </w:r>
    </w:p>
    <w:p>
      <w:pPr>
        <w:spacing w:line="460" w:lineRule="exact"/>
        <w:ind w:firstLine="211" w:firstLineChars="100"/>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项目名称：</w:t>
      </w:r>
      <w:r>
        <w:rPr>
          <w:rFonts w:hint="eastAsia" w:ascii="宋体" w:hAnsi="宋体" w:eastAsia="宋体" w:cs="宋体"/>
          <w:b/>
          <w:color w:val="auto"/>
          <w:sz w:val="24"/>
          <w:highlight w:val="none"/>
        </w:rPr>
        <w:t xml:space="preserve">                                       </w:t>
      </w:r>
      <w:r>
        <w:rPr>
          <w:rFonts w:hint="eastAsia" w:ascii="宋体" w:hAnsi="宋体" w:eastAsia="宋体" w:cs="宋体"/>
          <w:b/>
          <w:color w:val="auto"/>
          <w:szCs w:val="21"/>
          <w:highlight w:val="none"/>
        </w:rPr>
        <w:t>项目编号：</w:t>
      </w:r>
    </w:p>
    <w:tbl>
      <w:tblPr>
        <w:tblStyle w:val="3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42"/>
        <w:gridCol w:w="1349"/>
        <w:gridCol w:w="1167"/>
        <w:gridCol w:w="911"/>
        <w:gridCol w:w="667"/>
        <w:gridCol w:w="862"/>
        <w:gridCol w:w="76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568" w:type="dxa"/>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1349" w:type="dxa"/>
            <w:noWrap w:val="0"/>
            <w:vAlign w:val="center"/>
          </w:tcPr>
          <w:p>
            <w:pPr>
              <w:spacing w:line="32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产品规格</w:t>
            </w:r>
            <w:r>
              <w:rPr>
                <w:rFonts w:hint="eastAsia" w:ascii="宋体" w:hAnsi="宋体" w:eastAsia="宋体" w:cs="宋体"/>
                <w:b/>
                <w:color w:val="auto"/>
                <w:szCs w:val="21"/>
                <w:highlight w:val="none"/>
                <w:lang w:val="en-US" w:eastAsia="zh-CN"/>
              </w:rPr>
              <w:t>/型号</w:t>
            </w:r>
          </w:p>
        </w:tc>
        <w:tc>
          <w:tcPr>
            <w:tcW w:w="1167" w:type="dxa"/>
            <w:noWrap w:val="0"/>
            <w:vAlign w:val="center"/>
          </w:tcPr>
          <w:p>
            <w:pPr>
              <w:spacing w:line="320" w:lineRule="exact"/>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品牌/产地</w:t>
            </w:r>
          </w:p>
        </w:tc>
        <w:tc>
          <w:tcPr>
            <w:tcW w:w="911" w:type="dxa"/>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67" w:type="dxa"/>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862" w:type="dxa"/>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单价（元）</w:t>
            </w:r>
          </w:p>
        </w:tc>
        <w:tc>
          <w:tcPr>
            <w:tcW w:w="768" w:type="dxa"/>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总价（元）</w:t>
            </w:r>
          </w:p>
        </w:tc>
        <w:tc>
          <w:tcPr>
            <w:tcW w:w="830" w:type="dxa"/>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color w:val="auto"/>
                <w:szCs w:val="21"/>
                <w:highlight w:val="none"/>
              </w:rPr>
            </w:pPr>
          </w:p>
        </w:tc>
        <w:tc>
          <w:tcPr>
            <w:tcW w:w="1167" w:type="dxa"/>
            <w:noWrap w:val="0"/>
            <w:vAlign w:val="center"/>
          </w:tcPr>
          <w:p>
            <w:pPr>
              <w:spacing w:line="320" w:lineRule="exact"/>
              <w:jc w:val="center"/>
              <w:rPr>
                <w:rFonts w:hint="eastAsia" w:ascii="宋体" w:hAnsi="宋体" w:eastAsia="宋体" w:cs="宋体"/>
                <w:color w:val="auto"/>
                <w:szCs w:val="21"/>
                <w:highlight w:val="none"/>
              </w:rPr>
            </w:pPr>
          </w:p>
        </w:tc>
        <w:tc>
          <w:tcPr>
            <w:tcW w:w="911" w:type="dxa"/>
            <w:noWrap w:val="0"/>
            <w:vAlign w:val="center"/>
          </w:tcPr>
          <w:p>
            <w:pPr>
              <w:spacing w:line="320" w:lineRule="exact"/>
              <w:jc w:val="center"/>
              <w:rPr>
                <w:rFonts w:hint="eastAsia" w:ascii="宋体" w:hAnsi="宋体" w:eastAsia="宋体" w:cs="宋体"/>
                <w:color w:val="auto"/>
                <w:szCs w:val="21"/>
                <w:highlight w:val="none"/>
              </w:rPr>
            </w:pPr>
          </w:p>
        </w:tc>
        <w:tc>
          <w:tcPr>
            <w:tcW w:w="667" w:type="dxa"/>
            <w:noWrap w:val="0"/>
            <w:vAlign w:val="center"/>
          </w:tcPr>
          <w:p>
            <w:pPr>
              <w:spacing w:line="320" w:lineRule="exact"/>
              <w:jc w:val="center"/>
              <w:rPr>
                <w:rFonts w:hint="eastAsia" w:ascii="宋体" w:hAnsi="宋体" w:eastAsia="宋体" w:cs="宋体"/>
                <w:color w:val="auto"/>
                <w:szCs w:val="21"/>
                <w:highlight w:val="none"/>
              </w:rPr>
            </w:pPr>
          </w:p>
        </w:tc>
        <w:tc>
          <w:tcPr>
            <w:tcW w:w="862" w:type="dxa"/>
            <w:noWrap w:val="0"/>
            <w:vAlign w:val="center"/>
          </w:tcPr>
          <w:p>
            <w:pPr>
              <w:spacing w:line="320" w:lineRule="exact"/>
              <w:jc w:val="center"/>
              <w:rPr>
                <w:rFonts w:hint="eastAsia" w:ascii="宋体" w:hAnsi="宋体" w:eastAsia="宋体" w:cs="宋体"/>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color w:val="auto"/>
                <w:szCs w:val="21"/>
                <w:highlight w:val="none"/>
              </w:rPr>
            </w:pPr>
          </w:p>
        </w:tc>
        <w:tc>
          <w:tcPr>
            <w:tcW w:w="1167" w:type="dxa"/>
            <w:noWrap w:val="0"/>
            <w:vAlign w:val="center"/>
          </w:tcPr>
          <w:p>
            <w:pPr>
              <w:spacing w:line="320" w:lineRule="exact"/>
              <w:jc w:val="center"/>
              <w:rPr>
                <w:rFonts w:hint="eastAsia" w:ascii="宋体" w:hAnsi="宋体" w:eastAsia="宋体" w:cs="宋体"/>
                <w:color w:val="auto"/>
                <w:szCs w:val="21"/>
                <w:highlight w:val="none"/>
              </w:rPr>
            </w:pPr>
          </w:p>
        </w:tc>
        <w:tc>
          <w:tcPr>
            <w:tcW w:w="911" w:type="dxa"/>
            <w:noWrap w:val="0"/>
            <w:vAlign w:val="center"/>
          </w:tcPr>
          <w:p>
            <w:pPr>
              <w:spacing w:line="320" w:lineRule="exact"/>
              <w:jc w:val="center"/>
              <w:rPr>
                <w:rFonts w:hint="eastAsia" w:ascii="宋体" w:hAnsi="宋体" w:eastAsia="宋体" w:cs="宋体"/>
                <w:color w:val="auto"/>
                <w:szCs w:val="21"/>
                <w:highlight w:val="none"/>
              </w:rPr>
            </w:pPr>
          </w:p>
        </w:tc>
        <w:tc>
          <w:tcPr>
            <w:tcW w:w="667" w:type="dxa"/>
            <w:noWrap w:val="0"/>
            <w:vAlign w:val="center"/>
          </w:tcPr>
          <w:p>
            <w:pPr>
              <w:spacing w:line="320" w:lineRule="exact"/>
              <w:jc w:val="center"/>
              <w:rPr>
                <w:rFonts w:hint="eastAsia" w:ascii="宋体" w:hAnsi="宋体" w:eastAsia="宋体" w:cs="宋体"/>
                <w:color w:val="auto"/>
                <w:szCs w:val="21"/>
                <w:highlight w:val="none"/>
              </w:rPr>
            </w:pPr>
          </w:p>
        </w:tc>
        <w:tc>
          <w:tcPr>
            <w:tcW w:w="862" w:type="dxa"/>
            <w:noWrap w:val="0"/>
            <w:vAlign w:val="center"/>
          </w:tcPr>
          <w:p>
            <w:pPr>
              <w:spacing w:line="320" w:lineRule="exact"/>
              <w:jc w:val="center"/>
              <w:rPr>
                <w:rFonts w:hint="eastAsia" w:ascii="宋体" w:hAnsi="宋体" w:eastAsia="宋体" w:cs="宋体"/>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color w:val="auto"/>
                <w:szCs w:val="21"/>
                <w:highlight w:val="none"/>
              </w:rPr>
            </w:pPr>
          </w:p>
        </w:tc>
        <w:tc>
          <w:tcPr>
            <w:tcW w:w="1167" w:type="dxa"/>
            <w:noWrap w:val="0"/>
            <w:vAlign w:val="center"/>
          </w:tcPr>
          <w:p>
            <w:pPr>
              <w:spacing w:line="320" w:lineRule="exact"/>
              <w:jc w:val="center"/>
              <w:rPr>
                <w:rFonts w:hint="eastAsia" w:ascii="宋体" w:hAnsi="宋体" w:eastAsia="宋体" w:cs="宋体"/>
                <w:color w:val="auto"/>
                <w:szCs w:val="21"/>
                <w:highlight w:val="none"/>
              </w:rPr>
            </w:pPr>
          </w:p>
        </w:tc>
        <w:tc>
          <w:tcPr>
            <w:tcW w:w="911" w:type="dxa"/>
            <w:noWrap w:val="0"/>
            <w:vAlign w:val="center"/>
          </w:tcPr>
          <w:p>
            <w:pPr>
              <w:spacing w:line="320" w:lineRule="exact"/>
              <w:jc w:val="center"/>
              <w:rPr>
                <w:rFonts w:hint="eastAsia" w:ascii="宋体" w:hAnsi="宋体" w:eastAsia="宋体" w:cs="宋体"/>
                <w:color w:val="auto"/>
                <w:szCs w:val="21"/>
                <w:highlight w:val="none"/>
              </w:rPr>
            </w:pPr>
          </w:p>
        </w:tc>
        <w:tc>
          <w:tcPr>
            <w:tcW w:w="667" w:type="dxa"/>
            <w:noWrap w:val="0"/>
            <w:vAlign w:val="center"/>
          </w:tcPr>
          <w:p>
            <w:pPr>
              <w:spacing w:line="320" w:lineRule="exact"/>
              <w:jc w:val="center"/>
              <w:rPr>
                <w:rFonts w:hint="eastAsia" w:ascii="宋体" w:hAnsi="宋体" w:eastAsia="宋体" w:cs="宋体"/>
                <w:color w:val="auto"/>
                <w:szCs w:val="21"/>
                <w:highlight w:val="none"/>
              </w:rPr>
            </w:pPr>
          </w:p>
        </w:tc>
        <w:tc>
          <w:tcPr>
            <w:tcW w:w="862" w:type="dxa"/>
            <w:noWrap w:val="0"/>
            <w:vAlign w:val="center"/>
          </w:tcPr>
          <w:p>
            <w:pPr>
              <w:spacing w:line="320" w:lineRule="exact"/>
              <w:jc w:val="center"/>
              <w:rPr>
                <w:rFonts w:hint="eastAsia" w:ascii="宋体" w:hAnsi="宋体" w:eastAsia="宋体" w:cs="宋体"/>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b/>
                <w:color w:val="auto"/>
                <w:szCs w:val="21"/>
                <w:highlight w:val="none"/>
              </w:rPr>
            </w:pPr>
          </w:p>
        </w:tc>
        <w:tc>
          <w:tcPr>
            <w:tcW w:w="1167" w:type="dxa"/>
            <w:noWrap w:val="0"/>
            <w:vAlign w:val="center"/>
          </w:tcPr>
          <w:p>
            <w:pPr>
              <w:spacing w:line="320" w:lineRule="exact"/>
              <w:jc w:val="center"/>
              <w:rPr>
                <w:rFonts w:hint="eastAsia" w:ascii="宋体" w:hAnsi="宋体" w:eastAsia="宋体" w:cs="宋体"/>
                <w:b/>
                <w:color w:val="auto"/>
                <w:szCs w:val="21"/>
                <w:highlight w:val="none"/>
              </w:rPr>
            </w:pPr>
          </w:p>
        </w:tc>
        <w:tc>
          <w:tcPr>
            <w:tcW w:w="911" w:type="dxa"/>
            <w:noWrap w:val="0"/>
            <w:vAlign w:val="center"/>
          </w:tcPr>
          <w:p>
            <w:pPr>
              <w:spacing w:line="320" w:lineRule="exact"/>
              <w:jc w:val="center"/>
              <w:rPr>
                <w:rFonts w:hint="eastAsia" w:ascii="宋体" w:hAnsi="宋体" w:eastAsia="宋体" w:cs="宋体"/>
                <w:b/>
                <w:color w:val="auto"/>
                <w:szCs w:val="21"/>
                <w:highlight w:val="none"/>
              </w:rPr>
            </w:pPr>
          </w:p>
        </w:tc>
        <w:tc>
          <w:tcPr>
            <w:tcW w:w="667" w:type="dxa"/>
            <w:noWrap w:val="0"/>
            <w:vAlign w:val="center"/>
          </w:tcPr>
          <w:p>
            <w:pPr>
              <w:spacing w:line="320" w:lineRule="exact"/>
              <w:jc w:val="center"/>
              <w:rPr>
                <w:rFonts w:hint="eastAsia" w:ascii="宋体" w:hAnsi="宋体" w:eastAsia="宋体" w:cs="宋体"/>
                <w:b/>
                <w:color w:val="auto"/>
                <w:szCs w:val="21"/>
                <w:highlight w:val="none"/>
              </w:rPr>
            </w:pPr>
          </w:p>
        </w:tc>
        <w:tc>
          <w:tcPr>
            <w:tcW w:w="862" w:type="dxa"/>
            <w:noWrap w:val="0"/>
            <w:vAlign w:val="center"/>
          </w:tcPr>
          <w:p>
            <w:pPr>
              <w:spacing w:line="320" w:lineRule="exact"/>
              <w:jc w:val="center"/>
              <w:rPr>
                <w:rFonts w:hint="eastAsia" w:ascii="宋体" w:hAnsi="宋体" w:eastAsia="宋体" w:cs="宋体"/>
                <w:b/>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b/>
                <w:color w:val="auto"/>
                <w:szCs w:val="21"/>
                <w:highlight w:val="none"/>
              </w:rPr>
            </w:pPr>
          </w:p>
        </w:tc>
        <w:tc>
          <w:tcPr>
            <w:tcW w:w="1167" w:type="dxa"/>
            <w:noWrap w:val="0"/>
            <w:vAlign w:val="center"/>
          </w:tcPr>
          <w:p>
            <w:pPr>
              <w:spacing w:line="320" w:lineRule="exact"/>
              <w:jc w:val="center"/>
              <w:rPr>
                <w:rFonts w:hint="eastAsia" w:ascii="宋体" w:hAnsi="宋体" w:eastAsia="宋体" w:cs="宋体"/>
                <w:b/>
                <w:color w:val="auto"/>
                <w:szCs w:val="21"/>
                <w:highlight w:val="none"/>
              </w:rPr>
            </w:pPr>
          </w:p>
        </w:tc>
        <w:tc>
          <w:tcPr>
            <w:tcW w:w="911" w:type="dxa"/>
            <w:noWrap w:val="0"/>
            <w:vAlign w:val="center"/>
          </w:tcPr>
          <w:p>
            <w:pPr>
              <w:spacing w:line="320" w:lineRule="exact"/>
              <w:jc w:val="center"/>
              <w:rPr>
                <w:rFonts w:hint="eastAsia" w:ascii="宋体" w:hAnsi="宋体" w:eastAsia="宋体" w:cs="宋体"/>
                <w:b/>
                <w:color w:val="auto"/>
                <w:szCs w:val="21"/>
                <w:highlight w:val="none"/>
              </w:rPr>
            </w:pPr>
          </w:p>
        </w:tc>
        <w:tc>
          <w:tcPr>
            <w:tcW w:w="667" w:type="dxa"/>
            <w:noWrap w:val="0"/>
            <w:vAlign w:val="center"/>
          </w:tcPr>
          <w:p>
            <w:pPr>
              <w:spacing w:line="320" w:lineRule="exact"/>
              <w:jc w:val="center"/>
              <w:rPr>
                <w:rFonts w:hint="eastAsia" w:ascii="宋体" w:hAnsi="宋体" w:eastAsia="宋体" w:cs="宋体"/>
                <w:b/>
                <w:color w:val="auto"/>
                <w:szCs w:val="21"/>
                <w:highlight w:val="none"/>
              </w:rPr>
            </w:pPr>
          </w:p>
        </w:tc>
        <w:tc>
          <w:tcPr>
            <w:tcW w:w="862" w:type="dxa"/>
            <w:noWrap w:val="0"/>
            <w:vAlign w:val="center"/>
          </w:tcPr>
          <w:p>
            <w:pPr>
              <w:spacing w:line="320" w:lineRule="exact"/>
              <w:jc w:val="center"/>
              <w:rPr>
                <w:rFonts w:hint="eastAsia" w:ascii="宋体" w:hAnsi="宋体" w:eastAsia="宋体" w:cs="宋体"/>
                <w:b/>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b/>
                <w:color w:val="auto"/>
                <w:szCs w:val="21"/>
                <w:highlight w:val="none"/>
              </w:rPr>
            </w:pPr>
          </w:p>
        </w:tc>
        <w:tc>
          <w:tcPr>
            <w:tcW w:w="1167" w:type="dxa"/>
            <w:noWrap w:val="0"/>
            <w:vAlign w:val="center"/>
          </w:tcPr>
          <w:p>
            <w:pPr>
              <w:spacing w:line="320" w:lineRule="exact"/>
              <w:jc w:val="center"/>
              <w:rPr>
                <w:rFonts w:hint="eastAsia" w:ascii="宋体" w:hAnsi="宋体" w:eastAsia="宋体" w:cs="宋体"/>
                <w:b/>
                <w:color w:val="auto"/>
                <w:szCs w:val="21"/>
                <w:highlight w:val="none"/>
              </w:rPr>
            </w:pPr>
          </w:p>
        </w:tc>
        <w:tc>
          <w:tcPr>
            <w:tcW w:w="911" w:type="dxa"/>
            <w:noWrap w:val="0"/>
            <w:vAlign w:val="center"/>
          </w:tcPr>
          <w:p>
            <w:pPr>
              <w:spacing w:line="320" w:lineRule="exact"/>
              <w:jc w:val="center"/>
              <w:rPr>
                <w:rFonts w:hint="eastAsia" w:ascii="宋体" w:hAnsi="宋体" w:eastAsia="宋体" w:cs="宋体"/>
                <w:b/>
                <w:color w:val="auto"/>
                <w:szCs w:val="21"/>
                <w:highlight w:val="none"/>
              </w:rPr>
            </w:pPr>
          </w:p>
        </w:tc>
        <w:tc>
          <w:tcPr>
            <w:tcW w:w="667" w:type="dxa"/>
            <w:noWrap w:val="0"/>
            <w:vAlign w:val="center"/>
          </w:tcPr>
          <w:p>
            <w:pPr>
              <w:spacing w:line="320" w:lineRule="exact"/>
              <w:jc w:val="center"/>
              <w:rPr>
                <w:rFonts w:hint="eastAsia" w:ascii="宋体" w:hAnsi="宋体" w:eastAsia="宋体" w:cs="宋体"/>
                <w:b/>
                <w:color w:val="auto"/>
                <w:szCs w:val="21"/>
                <w:highlight w:val="none"/>
              </w:rPr>
            </w:pPr>
          </w:p>
        </w:tc>
        <w:tc>
          <w:tcPr>
            <w:tcW w:w="862" w:type="dxa"/>
            <w:noWrap w:val="0"/>
            <w:vAlign w:val="center"/>
          </w:tcPr>
          <w:p>
            <w:pPr>
              <w:spacing w:line="320" w:lineRule="exact"/>
              <w:jc w:val="center"/>
              <w:rPr>
                <w:rFonts w:hint="eastAsia" w:ascii="宋体" w:hAnsi="宋体" w:eastAsia="宋体" w:cs="宋体"/>
                <w:b/>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color w:val="auto"/>
                <w:szCs w:val="21"/>
                <w:highlight w:val="none"/>
              </w:rPr>
            </w:pPr>
          </w:p>
        </w:tc>
        <w:tc>
          <w:tcPr>
            <w:tcW w:w="1167" w:type="dxa"/>
            <w:noWrap w:val="0"/>
            <w:vAlign w:val="center"/>
          </w:tcPr>
          <w:p>
            <w:pPr>
              <w:spacing w:line="320" w:lineRule="exact"/>
              <w:jc w:val="center"/>
              <w:rPr>
                <w:rFonts w:hint="eastAsia" w:ascii="宋体" w:hAnsi="宋体" w:eastAsia="宋体" w:cs="宋体"/>
                <w:color w:val="auto"/>
                <w:szCs w:val="21"/>
                <w:highlight w:val="none"/>
              </w:rPr>
            </w:pPr>
          </w:p>
        </w:tc>
        <w:tc>
          <w:tcPr>
            <w:tcW w:w="911" w:type="dxa"/>
            <w:noWrap w:val="0"/>
            <w:vAlign w:val="center"/>
          </w:tcPr>
          <w:p>
            <w:pPr>
              <w:spacing w:line="320" w:lineRule="exact"/>
              <w:jc w:val="center"/>
              <w:rPr>
                <w:rFonts w:hint="eastAsia" w:ascii="宋体" w:hAnsi="宋体" w:eastAsia="宋体" w:cs="宋体"/>
                <w:color w:val="auto"/>
                <w:szCs w:val="21"/>
                <w:highlight w:val="none"/>
              </w:rPr>
            </w:pPr>
          </w:p>
        </w:tc>
        <w:tc>
          <w:tcPr>
            <w:tcW w:w="667" w:type="dxa"/>
            <w:noWrap w:val="0"/>
            <w:vAlign w:val="center"/>
          </w:tcPr>
          <w:p>
            <w:pPr>
              <w:spacing w:line="320" w:lineRule="exact"/>
              <w:jc w:val="center"/>
              <w:rPr>
                <w:rFonts w:hint="eastAsia" w:ascii="宋体" w:hAnsi="宋体" w:eastAsia="宋体" w:cs="宋体"/>
                <w:color w:val="auto"/>
                <w:szCs w:val="21"/>
                <w:highlight w:val="none"/>
              </w:rPr>
            </w:pPr>
          </w:p>
        </w:tc>
        <w:tc>
          <w:tcPr>
            <w:tcW w:w="862" w:type="dxa"/>
            <w:noWrap w:val="0"/>
            <w:vAlign w:val="center"/>
          </w:tcPr>
          <w:p>
            <w:pPr>
              <w:spacing w:line="320" w:lineRule="exact"/>
              <w:jc w:val="center"/>
              <w:rPr>
                <w:rFonts w:hint="eastAsia" w:ascii="宋体" w:hAnsi="宋体" w:eastAsia="宋体" w:cs="宋体"/>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dxa"/>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color w:val="auto"/>
                <w:szCs w:val="21"/>
                <w:highlight w:val="none"/>
              </w:rPr>
            </w:pPr>
          </w:p>
        </w:tc>
        <w:tc>
          <w:tcPr>
            <w:tcW w:w="1167" w:type="dxa"/>
            <w:noWrap w:val="0"/>
            <w:vAlign w:val="center"/>
          </w:tcPr>
          <w:p>
            <w:pPr>
              <w:spacing w:line="320" w:lineRule="exact"/>
              <w:jc w:val="center"/>
              <w:rPr>
                <w:rFonts w:hint="eastAsia" w:ascii="宋体" w:hAnsi="宋体" w:eastAsia="宋体" w:cs="宋体"/>
                <w:color w:val="auto"/>
                <w:szCs w:val="21"/>
                <w:highlight w:val="none"/>
              </w:rPr>
            </w:pPr>
          </w:p>
        </w:tc>
        <w:tc>
          <w:tcPr>
            <w:tcW w:w="911" w:type="dxa"/>
            <w:noWrap w:val="0"/>
            <w:vAlign w:val="center"/>
          </w:tcPr>
          <w:p>
            <w:pPr>
              <w:spacing w:line="320" w:lineRule="exact"/>
              <w:jc w:val="center"/>
              <w:rPr>
                <w:rFonts w:hint="eastAsia" w:ascii="宋体" w:hAnsi="宋体" w:eastAsia="宋体" w:cs="宋体"/>
                <w:color w:val="auto"/>
                <w:szCs w:val="21"/>
                <w:highlight w:val="none"/>
              </w:rPr>
            </w:pPr>
          </w:p>
        </w:tc>
        <w:tc>
          <w:tcPr>
            <w:tcW w:w="667" w:type="dxa"/>
            <w:noWrap w:val="0"/>
            <w:vAlign w:val="center"/>
          </w:tcPr>
          <w:p>
            <w:pPr>
              <w:spacing w:line="320" w:lineRule="exact"/>
              <w:jc w:val="center"/>
              <w:rPr>
                <w:rFonts w:hint="eastAsia" w:ascii="宋体" w:hAnsi="宋体" w:eastAsia="宋体" w:cs="宋体"/>
                <w:color w:val="auto"/>
                <w:szCs w:val="21"/>
                <w:highlight w:val="none"/>
              </w:rPr>
            </w:pPr>
          </w:p>
        </w:tc>
        <w:tc>
          <w:tcPr>
            <w:tcW w:w="862" w:type="dxa"/>
            <w:noWrap w:val="0"/>
            <w:vAlign w:val="center"/>
          </w:tcPr>
          <w:p>
            <w:pPr>
              <w:spacing w:line="320" w:lineRule="exact"/>
              <w:jc w:val="center"/>
              <w:rPr>
                <w:rFonts w:hint="eastAsia" w:ascii="宋体" w:hAnsi="宋体" w:eastAsia="宋体" w:cs="宋体"/>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color w:val="auto"/>
                <w:szCs w:val="21"/>
                <w:highlight w:val="none"/>
              </w:rPr>
            </w:pPr>
          </w:p>
        </w:tc>
        <w:tc>
          <w:tcPr>
            <w:tcW w:w="1167" w:type="dxa"/>
            <w:noWrap w:val="0"/>
            <w:vAlign w:val="center"/>
          </w:tcPr>
          <w:p>
            <w:pPr>
              <w:spacing w:line="320" w:lineRule="exact"/>
              <w:jc w:val="center"/>
              <w:rPr>
                <w:rFonts w:hint="eastAsia" w:ascii="宋体" w:hAnsi="宋体" w:eastAsia="宋体" w:cs="宋体"/>
                <w:color w:val="auto"/>
                <w:szCs w:val="21"/>
                <w:highlight w:val="none"/>
              </w:rPr>
            </w:pPr>
          </w:p>
        </w:tc>
        <w:tc>
          <w:tcPr>
            <w:tcW w:w="911" w:type="dxa"/>
            <w:noWrap w:val="0"/>
            <w:vAlign w:val="center"/>
          </w:tcPr>
          <w:p>
            <w:pPr>
              <w:spacing w:line="320" w:lineRule="exact"/>
              <w:jc w:val="center"/>
              <w:rPr>
                <w:rFonts w:hint="eastAsia" w:ascii="宋体" w:hAnsi="宋体" w:eastAsia="宋体" w:cs="宋体"/>
                <w:color w:val="auto"/>
                <w:szCs w:val="21"/>
                <w:highlight w:val="none"/>
              </w:rPr>
            </w:pPr>
          </w:p>
        </w:tc>
        <w:tc>
          <w:tcPr>
            <w:tcW w:w="667" w:type="dxa"/>
            <w:noWrap w:val="0"/>
            <w:vAlign w:val="center"/>
          </w:tcPr>
          <w:p>
            <w:pPr>
              <w:spacing w:line="320" w:lineRule="exact"/>
              <w:jc w:val="center"/>
              <w:rPr>
                <w:rFonts w:hint="eastAsia" w:ascii="宋体" w:hAnsi="宋体" w:eastAsia="宋体" w:cs="宋体"/>
                <w:color w:val="auto"/>
                <w:szCs w:val="21"/>
                <w:highlight w:val="none"/>
              </w:rPr>
            </w:pPr>
          </w:p>
        </w:tc>
        <w:tc>
          <w:tcPr>
            <w:tcW w:w="862" w:type="dxa"/>
            <w:noWrap w:val="0"/>
            <w:vAlign w:val="center"/>
          </w:tcPr>
          <w:p>
            <w:pPr>
              <w:spacing w:line="320" w:lineRule="exact"/>
              <w:jc w:val="center"/>
              <w:rPr>
                <w:rFonts w:hint="eastAsia" w:ascii="宋体" w:hAnsi="宋体" w:eastAsia="宋体" w:cs="宋体"/>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8" w:type="dxa"/>
            <w:noWrap w:val="0"/>
            <w:vAlign w:val="center"/>
          </w:tcPr>
          <w:p>
            <w:pPr>
              <w:spacing w:line="320" w:lineRule="exact"/>
              <w:jc w:val="center"/>
              <w:rPr>
                <w:rFonts w:hint="eastAsia" w:ascii="宋体" w:hAnsi="宋体" w:eastAsia="宋体" w:cs="宋体"/>
                <w:color w:val="auto"/>
                <w:szCs w:val="21"/>
                <w:highlight w:val="none"/>
              </w:rPr>
            </w:pPr>
          </w:p>
        </w:tc>
        <w:tc>
          <w:tcPr>
            <w:tcW w:w="1942" w:type="dxa"/>
            <w:noWrap w:val="0"/>
            <w:vAlign w:val="center"/>
          </w:tcPr>
          <w:p>
            <w:pPr>
              <w:spacing w:line="320" w:lineRule="exact"/>
              <w:jc w:val="center"/>
              <w:rPr>
                <w:rFonts w:hint="eastAsia" w:ascii="宋体" w:hAnsi="宋体" w:eastAsia="宋体" w:cs="宋体"/>
                <w:b/>
                <w:color w:val="auto"/>
                <w:szCs w:val="21"/>
                <w:highlight w:val="none"/>
              </w:rPr>
            </w:pPr>
          </w:p>
        </w:tc>
        <w:tc>
          <w:tcPr>
            <w:tcW w:w="1349" w:type="dxa"/>
            <w:noWrap w:val="0"/>
            <w:vAlign w:val="center"/>
          </w:tcPr>
          <w:p>
            <w:pPr>
              <w:spacing w:line="320" w:lineRule="exact"/>
              <w:jc w:val="center"/>
              <w:rPr>
                <w:rFonts w:hint="eastAsia" w:ascii="宋体" w:hAnsi="宋体" w:eastAsia="宋体" w:cs="宋体"/>
                <w:color w:val="auto"/>
                <w:szCs w:val="21"/>
                <w:highlight w:val="none"/>
              </w:rPr>
            </w:pPr>
          </w:p>
        </w:tc>
        <w:tc>
          <w:tcPr>
            <w:tcW w:w="1167" w:type="dxa"/>
            <w:noWrap w:val="0"/>
            <w:vAlign w:val="center"/>
          </w:tcPr>
          <w:p>
            <w:pPr>
              <w:spacing w:line="320" w:lineRule="exact"/>
              <w:jc w:val="center"/>
              <w:rPr>
                <w:rFonts w:hint="eastAsia" w:ascii="宋体" w:hAnsi="宋体" w:eastAsia="宋体" w:cs="宋体"/>
                <w:color w:val="auto"/>
                <w:szCs w:val="21"/>
                <w:highlight w:val="none"/>
              </w:rPr>
            </w:pPr>
          </w:p>
        </w:tc>
        <w:tc>
          <w:tcPr>
            <w:tcW w:w="911" w:type="dxa"/>
            <w:noWrap w:val="0"/>
            <w:vAlign w:val="center"/>
          </w:tcPr>
          <w:p>
            <w:pPr>
              <w:spacing w:line="320" w:lineRule="exact"/>
              <w:jc w:val="center"/>
              <w:rPr>
                <w:rFonts w:hint="eastAsia" w:ascii="宋体" w:hAnsi="宋体" w:eastAsia="宋体" w:cs="宋体"/>
                <w:color w:val="auto"/>
                <w:szCs w:val="21"/>
                <w:highlight w:val="none"/>
              </w:rPr>
            </w:pPr>
          </w:p>
        </w:tc>
        <w:tc>
          <w:tcPr>
            <w:tcW w:w="667" w:type="dxa"/>
            <w:noWrap w:val="0"/>
            <w:vAlign w:val="center"/>
          </w:tcPr>
          <w:p>
            <w:pPr>
              <w:spacing w:line="320" w:lineRule="exact"/>
              <w:jc w:val="center"/>
              <w:rPr>
                <w:rFonts w:hint="eastAsia" w:ascii="宋体" w:hAnsi="宋体" w:eastAsia="宋体" w:cs="宋体"/>
                <w:color w:val="auto"/>
                <w:szCs w:val="21"/>
                <w:highlight w:val="none"/>
              </w:rPr>
            </w:pPr>
          </w:p>
        </w:tc>
        <w:tc>
          <w:tcPr>
            <w:tcW w:w="862" w:type="dxa"/>
            <w:noWrap w:val="0"/>
            <w:vAlign w:val="center"/>
          </w:tcPr>
          <w:p>
            <w:pPr>
              <w:spacing w:line="320" w:lineRule="exact"/>
              <w:jc w:val="center"/>
              <w:rPr>
                <w:rFonts w:hint="eastAsia" w:ascii="宋体" w:hAnsi="宋体" w:eastAsia="宋体" w:cs="宋体"/>
                <w:color w:val="auto"/>
                <w:szCs w:val="21"/>
                <w:highlight w:val="none"/>
              </w:rPr>
            </w:pPr>
          </w:p>
        </w:tc>
        <w:tc>
          <w:tcPr>
            <w:tcW w:w="768" w:type="dxa"/>
            <w:noWrap w:val="0"/>
            <w:vAlign w:val="center"/>
          </w:tcPr>
          <w:p>
            <w:pPr>
              <w:spacing w:line="320" w:lineRule="exact"/>
              <w:jc w:val="center"/>
              <w:rPr>
                <w:rFonts w:hint="eastAsia" w:ascii="宋体" w:hAnsi="宋体" w:eastAsia="宋体" w:cs="宋体"/>
                <w:color w:val="auto"/>
                <w:szCs w:val="21"/>
                <w:highlight w:val="none"/>
              </w:rPr>
            </w:pPr>
          </w:p>
        </w:tc>
        <w:tc>
          <w:tcPr>
            <w:tcW w:w="830" w:type="dxa"/>
            <w:noWrap w:val="0"/>
            <w:vAlign w:val="center"/>
          </w:tcPr>
          <w:p>
            <w:pPr>
              <w:spacing w:line="32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2"/>
            <w:vMerge w:val="restart"/>
            <w:noWrap w:val="0"/>
            <w:vAlign w:val="center"/>
          </w:tcPr>
          <w:p>
            <w:pPr>
              <w:spacing w:line="320" w:lineRule="exact"/>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val="en-US" w:eastAsia="zh-CN"/>
              </w:rPr>
              <w:t>投标总价（元）</w:t>
            </w:r>
          </w:p>
        </w:tc>
        <w:tc>
          <w:tcPr>
            <w:tcW w:w="6554" w:type="dxa"/>
            <w:gridSpan w:val="7"/>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0" w:type="dxa"/>
            <w:gridSpan w:val="2"/>
            <w:vMerge w:val="continue"/>
            <w:noWrap w:val="0"/>
            <w:vAlign w:val="center"/>
          </w:tcPr>
          <w:p>
            <w:pPr>
              <w:spacing w:line="320" w:lineRule="exact"/>
              <w:jc w:val="center"/>
              <w:rPr>
                <w:rFonts w:hint="eastAsia" w:ascii="宋体" w:hAnsi="宋体" w:eastAsia="宋体" w:cs="宋体"/>
                <w:b/>
                <w:color w:val="auto"/>
                <w:szCs w:val="21"/>
                <w:highlight w:val="none"/>
              </w:rPr>
            </w:pPr>
          </w:p>
        </w:tc>
        <w:tc>
          <w:tcPr>
            <w:tcW w:w="6554" w:type="dxa"/>
            <w:gridSpan w:val="7"/>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大写：</w:t>
            </w:r>
          </w:p>
        </w:tc>
      </w:tr>
    </w:tbl>
    <w:p>
      <w:pPr>
        <w:keepNext w:val="0"/>
        <w:keepLines w:val="0"/>
        <w:pageBreakBefore w:val="0"/>
        <w:widowControl/>
        <w:kinsoku/>
        <w:wordWrap/>
        <w:overflowPunct/>
        <w:topLinePunct w:val="0"/>
        <w:autoSpaceDE/>
        <w:autoSpaceDN/>
        <w:bidi w:val="0"/>
        <w:adjustRightInd/>
        <w:snapToGrid/>
        <w:spacing w:before="162" w:beforeLines="50" w:line="32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注：各项费用如已包含在其它费用中请注明“含”，若免费请注明“免”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若没有请注明“无”。                        </w:t>
      </w:r>
    </w:p>
    <w:p>
      <w:pPr>
        <w:ind w:firstLine="442" w:firstLineChars="200"/>
        <w:jc w:val="both"/>
        <w:outlineLvl w:val="1"/>
        <w:rPr>
          <w:rFonts w:hint="eastAsia" w:ascii="宋体" w:hAnsi="宋体" w:eastAsia="宋体" w:cs="宋体"/>
          <w:b/>
          <w:color w:val="auto"/>
          <w:sz w:val="22"/>
          <w:highlight w:val="none"/>
        </w:rPr>
      </w:pPr>
      <w:r>
        <w:rPr>
          <w:rFonts w:hint="eastAsia" w:ascii="宋体" w:hAnsi="宋体" w:eastAsia="宋体" w:cs="宋体"/>
          <w:b/>
          <w:color w:val="auto"/>
          <w:sz w:val="22"/>
          <w:highlight w:val="none"/>
        </w:rPr>
        <w:t xml:space="preserve">         </w:t>
      </w:r>
    </w:p>
    <w:p>
      <w:pPr>
        <w:jc w:val="center"/>
        <w:outlineLvl w:val="1"/>
        <w:rPr>
          <w:rFonts w:hint="eastAsia" w:ascii="宋体" w:hAnsi="宋体" w:eastAsia="宋体" w:cs="宋体"/>
          <w:b/>
          <w:color w:val="auto"/>
          <w:sz w:val="22"/>
          <w:highlight w:val="none"/>
        </w:rPr>
      </w:pPr>
    </w:p>
    <w:p>
      <w:pPr>
        <w:jc w:val="center"/>
        <w:outlineLvl w:val="1"/>
        <w:rPr>
          <w:rFonts w:hint="eastAsia" w:ascii="宋体" w:hAnsi="宋体" w:eastAsia="宋体" w:cs="宋体"/>
          <w:b/>
          <w:color w:val="auto"/>
          <w:sz w:val="22"/>
          <w:highlight w:val="none"/>
        </w:rPr>
      </w:pPr>
    </w:p>
    <w:p>
      <w:pPr>
        <w:spacing w:before="322" w:beforeLines="100" w:after="322" w:afterLines="100"/>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磋商供应商全称（</w:t>
      </w:r>
      <w:r>
        <w:rPr>
          <w:rFonts w:hint="eastAsia" w:ascii="宋体" w:hAnsi="宋体" w:eastAsia="宋体" w:cs="宋体"/>
          <w:color w:val="auto"/>
          <w:highlight w:val="none"/>
        </w:rPr>
        <w:t>盖电子签章</w:t>
      </w:r>
      <w:r>
        <w:rPr>
          <w:rFonts w:hint="eastAsia" w:ascii="宋体" w:hAnsi="宋体" w:eastAsia="宋体" w:cs="宋体"/>
          <w:color w:val="auto"/>
          <w:szCs w:val="21"/>
          <w:highlight w:val="none"/>
        </w:rPr>
        <w:t>）：</w:t>
      </w:r>
    </w:p>
    <w:p>
      <w:pPr>
        <w:spacing w:before="322" w:beforeLines="100" w:after="322" w:afterLines="100"/>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pPr>
        <w:spacing w:before="322" w:beforeLines="100" w:after="322" w:afterLines="100"/>
        <w:ind w:left="4620" w:left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p>
    <w:p>
      <w:pPr>
        <w:spacing w:before="322" w:beforeLines="100" w:after="322" w:afterLines="100"/>
        <w:ind w:left="4620" w:leftChars="2200"/>
        <w:rPr>
          <w:rFonts w:hint="eastAsia" w:ascii="宋体" w:hAnsi="宋体" w:eastAsia="宋体" w:cs="宋体"/>
          <w:color w:val="auto"/>
          <w:szCs w:val="21"/>
          <w:highlight w:val="none"/>
        </w:rPr>
      </w:pPr>
    </w:p>
    <w:p>
      <w:pPr>
        <w:spacing w:before="322" w:beforeLines="100" w:after="322" w:afterLines="100"/>
        <w:ind w:left="4620" w:leftChars="2200"/>
        <w:rPr>
          <w:rFonts w:hint="eastAsia" w:ascii="宋体" w:hAnsi="宋体" w:eastAsia="宋体" w:cs="宋体"/>
          <w:color w:val="auto"/>
          <w:szCs w:val="21"/>
          <w:highlight w:val="none"/>
        </w:rPr>
      </w:pPr>
    </w:p>
    <w:p>
      <w:pPr>
        <w:pStyle w:val="5"/>
        <w:keepNext w:val="0"/>
        <w:keepLines w:val="0"/>
        <w:pageBreakBefore/>
        <w:spacing w:beforeLines="100" w:afterLines="100" w:line="400" w:lineRule="atLeast"/>
        <w:jc w:val="center"/>
        <w:rPr>
          <w:rFonts w:hAnsi="宋体"/>
          <w:color w:val="auto"/>
          <w:sz w:val="28"/>
          <w:szCs w:val="36"/>
        </w:rPr>
      </w:pPr>
      <w:bookmarkStart w:id="146" w:name="_Toc508374438"/>
      <w:bookmarkStart w:id="147" w:name="_Toc518546795"/>
      <w:bookmarkStart w:id="148" w:name="_Toc528663544"/>
      <w:bookmarkStart w:id="149" w:name="_Toc36820672"/>
      <w:bookmarkStart w:id="150" w:name="_Toc511914546"/>
      <w:bookmarkStart w:id="151" w:name="_Toc477786247"/>
      <w:bookmarkStart w:id="152" w:name="_Toc7867"/>
      <w:bookmarkStart w:id="153" w:name="_Toc528663543"/>
      <w:r>
        <w:rPr>
          <w:rFonts w:hint="eastAsia" w:hAnsi="宋体"/>
          <w:color w:val="auto"/>
          <w:sz w:val="28"/>
          <w:szCs w:val="36"/>
        </w:rPr>
        <w:t>附件</w:t>
      </w:r>
      <w:r>
        <w:rPr>
          <w:rFonts w:hint="eastAsia" w:hAnsi="宋体"/>
          <w:color w:val="auto"/>
          <w:sz w:val="28"/>
          <w:szCs w:val="36"/>
          <w:lang w:val="en-US" w:eastAsia="zh-CN"/>
        </w:rPr>
        <w:t>十三</w:t>
      </w:r>
      <w:r>
        <w:rPr>
          <w:rFonts w:hint="eastAsia" w:hAnsi="宋体"/>
          <w:color w:val="auto"/>
          <w:sz w:val="28"/>
          <w:szCs w:val="36"/>
        </w:rPr>
        <w:t xml:space="preserve">    </w:t>
      </w:r>
      <w:r>
        <w:rPr>
          <w:rFonts w:hAnsi="宋体"/>
          <w:color w:val="auto"/>
          <w:sz w:val="28"/>
          <w:szCs w:val="36"/>
        </w:rPr>
        <w:t>中小企业声明函</w:t>
      </w:r>
      <w:bookmarkEnd w:id="146"/>
      <w:bookmarkEnd w:id="147"/>
      <w:bookmarkEnd w:id="148"/>
      <w:bookmarkEnd w:id="149"/>
      <w:bookmarkEnd w:id="150"/>
      <w:bookmarkEnd w:id="151"/>
      <w:r>
        <w:rPr>
          <w:rFonts w:hint="eastAsia" w:hAnsi="宋体"/>
          <w:color w:val="auto"/>
          <w:sz w:val="28"/>
          <w:szCs w:val="36"/>
        </w:rPr>
        <w:t>（货物）</w:t>
      </w:r>
      <w:bookmarkEnd w:id="152"/>
    </w:p>
    <w:p>
      <w:pPr>
        <w:pStyle w:val="17"/>
        <w:spacing w:line="432" w:lineRule="auto"/>
        <w:ind w:left="0" w:leftChars="0" w:firstLine="420" w:firstLineChars="200"/>
        <w:rPr>
          <w:rFonts w:ascii="宋体" w:hAnsi="宋体" w:cs="宋体"/>
          <w:color w:val="auto"/>
          <w:szCs w:val="21"/>
        </w:rPr>
      </w:pPr>
      <w:r>
        <w:rPr>
          <w:rFonts w:ascii="宋体" w:hAnsi="宋体" w:cs="宋体"/>
          <w:color w:val="auto"/>
          <w:szCs w:val="21"/>
        </w:rPr>
        <w:t>本公司（联合体）郑重声明，根据《政府采购促进中小企业发展管理办法》（财库﹝2020﹞46号）的规定，本公司（联合体）参加</w:t>
      </w:r>
      <w:r>
        <w:rPr>
          <w:rFonts w:ascii="宋体" w:hAnsi="宋体" w:cs="宋体"/>
          <w:color w:val="auto"/>
          <w:szCs w:val="21"/>
          <w:u w:val="single"/>
        </w:rPr>
        <w:t>（单位名称）</w:t>
      </w:r>
      <w:r>
        <w:rPr>
          <w:rFonts w:ascii="宋体" w:hAnsi="宋体" w:cs="宋体"/>
          <w:color w:val="auto"/>
          <w:szCs w:val="21"/>
        </w:rPr>
        <w:t>的</w:t>
      </w:r>
      <w:r>
        <w:rPr>
          <w:rFonts w:ascii="宋体" w:hAnsi="宋体" w:cs="宋体"/>
          <w:color w:val="auto"/>
          <w:szCs w:val="21"/>
          <w:u w:val="single"/>
        </w:rPr>
        <w:t>（项目名称）</w:t>
      </w:r>
      <w:r>
        <w:rPr>
          <w:rFonts w:ascii="宋体" w:hAnsi="宋体" w:cs="宋体"/>
          <w:color w:val="auto"/>
          <w:szCs w:val="21"/>
        </w:rPr>
        <w:t xml:space="preserve">采购活动，提供的货物全部由符合政策要求的中小企业制造。相关企业（含联合体中的中小企业、签订分包意向协议的中小企业） 的具体情况如下： </w:t>
      </w:r>
    </w:p>
    <w:p>
      <w:pPr>
        <w:pStyle w:val="17"/>
        <w:spacing w:line="432" w:lineRule="auto"/>
        <w:ind w:left="0" w:leftChars="0"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u w:val="single"/>
        </w:rPr>
        <w:t>（标的名称）</w:t>
      </w:r>
      <w:r>
        <w:rPr>
          <w:rFonts w:ascii="宋体" w:hAnsi="宋体" w:cs="宋体"/>
          <w:color w:val="auto"/>
          <w:szCs w:val="21"/>
        </w:rPr>
        <w:t xml:space="preserve"> ，属于</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工业 </w:t>
      </w:r>
      <w:r>
        <w:rPr>
          <w:rFonts w:ascii="宋体" w:hAnsi="宋体" w:cs="宋体"/>
          <w:color w:val="auto"/>
          <w:szCs w:val="21"/>
        </w:rPr>
        <w:t>行业；制造商为</w:t>
      </w:r>
      <w:r>
        <w:rPr>
          <w:rFonts w:ascii="宋体" w:hAnsi="宋体" w:cs="宋体"/>
          <w:color w:val="auto"/>
          <w:szCs w:val="21"/>
          <w:u w:val="single"/>
        </w:rPr>
        <w:t>（企业名称）</w:t>
      </w:r>
      <w:r>
        <w:rPr>
          <w:rFonts w:ascii="宋体" w:hAnsi="宋体" w:cs="宋体"/>
          <w:color w:val="auto"/>
          <w:szCs w:val="21"/>
        </w:rPr>
        <w:t>，从业人员</w:t>
      </w:r>
      <w:r>
        <w:rPr>
          <w:rFonts w:hint="eastAsia" w:ascii="宋体" w:hAnsi="宋体" w:cs="宋体"/>
          <w:color w:val="auto"/>
          <w:szCs w:val="21"/>
          <w:u w:val="single"/>
        </w:rPr>
        <w:t xml:space="preserve">    </w:t>
      </w:r>
      <w:r>
        <w:rPr>
          <w:rFonts w:ascii="宋体" w:hAnsi="宋体" w:cs="宋体"/>
          <w:color w:val="auto"/>
          <w:szCs w:val="21"/>
        </w:rPr>
        <w:t>人，营业收入为</w:t>
      </w:r>
      <w:r>
        <w:rPr>
          <w:rFonts w:hint="eastAsia" w:ascii="宋体" w:hAnsi="宋体" w:cs="宋体"/>
          <w:color w:val="auto"/>
          <w:szCs w:val="21"/>
          <w:u w:val="single"/>
        </w:rPr>
        <w:t xml:space="preserve">    </w:t>
      </w:r>
      <w:r>
        <w:rPr>
          <w:rFonts w:ascii="宋体" w:hAnsi="宋体" w:cs="宋体"/>
          <w:color w:val="auto"/>
          <w:szCs w:val="21"/>
        </w:rPr>
        <w:t>万元，资产总额为</w:t>
      </w:r>
      <w:r>
        <w:rPr>
          <w:rFonts w:hint="eastAsia" w:ascii="宋体" w:hAnsi="宋体" w:cs="宋体"/>
          <w:color w:val="auto"/>
          <w:szCs w:val="21"/>
          <w:u w:val="single"/>
        </w:rPr>
        <w:t xml:space="preserve">      </w:t>
      </w:r>
      <w:r>
        <w:rPr>
          <w:rFonts w:ascii="宋体" w:hAnsi="宋体" w:cs="宋体"/>
          <w:color w:val="auto"/>
          <w:szCs w:val="21"/>
        </w:rPr>
        <w:t>万元</w:t>
      </w:r>
      <w:r>
        <w:rPr>
          <w:rFonts w:ascii="宋体" w:hAnsi="宋体" w:cs="宋体"/>
          <w:color w:val="auto"/>
          <w:szCs w:val="21"/>
          <w:vertAlign w:val="superscript"/>
        </w:rPr>
        <w:t>1</w:t>
      </w:r>
      <w:r>
        <w:rPr>
          <w:rFonts w:ascii="宋体" w:hAnsi="宋体" w:cs="宋体"/>
          <w:color w:val="auto"/>
          <w:szCs w:val="21"/>
        </w:rPr>
        <w:t>，属于</w:t>
      </w:r>
      <w:r>
        <w:rPr>
          <w:rFonts w:ascii="宋体" w:hAnsi="宋体" w:cs="宋体"/>
          <w:color w:val="auto"/>
          <w:szCs w:val="21"/>
          <w:u w:val="single"/>
        </w:rPr>
        <w:t>（中型企业、小型企业、微型企业</w:t>
      </w:r>
      <w:r>
        <w:rPr>
          <w:rFonts w:ascii="宋体" w:hAnsi="宋体" w:cs="宋体"/>
          <w:color w:val="auto"/>
          <w:szCs w:val="21"/>
        </w:rPr>
        <w:t xml:space="preserve">）； </w:t>
      </w:r>
    </w:p>
    <w:p>
      <w:pPr>
        <w:pStyle w:val="17"/>
        <w:spacing w:line="432" w:lineRule="auto"/>
        <w:ind w:left="0" w:leftChars="0" w:firstLine="420" w:firstLineChars="200"/>
        <w:rPr>
          <w:color w:val="auto"/>
          <w:szCs w:val="21"/>
        </w:rPr>
      </w:pPr>
      <w:r>
        <w:rPr>
          <w:rFonts w:hint="eastAsia" w:ascii="宋体" w:hAnsi="宋体" w:cs="宋体"/>
          <w:color w:val="auto"/>
          <w:szCs w:val="21"/>
        </w:rPr>
        <w:t>2.</w:t>
      </w:r>
      <w:r>
        <w:rPr>
          <w:rFonts w:ascii="宋体" w:hAnsi="宋体" w:cs="宋体"/>
          <w:color w:val="auto"/>
          <w:szCs w:val="21"/>
          <w:u w:val="single"/>
        </w:rPr>
        <w:t>（标的名称）</w:t>
      </w:r>
      <w:r>
        <w:rPr>
          <w:rFonts w:ascii="宋体" w:hAnsi="宋体" w:cs="宋体"/>
          <w:color w:val="auto"/>
          <w:szCs w:val="21"/>
        </w:rPr>
        <w:t xml:space="preserve"> ，属于</w:t>
      </w:r>
      <w:r>
        <w:rPr>
          <w:rFonts w:hint="eastAsia" w:ascii="宋体" w:hAnsi="宋体" w:cs="宋体"/>
          <w:color w:val="auto"/>
          <w:szCs w:val="21"/>
          <w:u w:val="single"/>
        </w:rPr>
        <w:t xml:space="preserve">工业 </w:t>
      </w:r>
      <w:r>
        <w:rPr>
          <w:rFonts w:ascii="宋体" w:hAnsi="宋体" w:cs="宋体"/>
          <w:color w:val="auto"/>
          <w:szCs w:val="21"/>
        </w:rPr>
        <w:t>行业；制造商为</w:t>
      </w:r>
      <w:r>
        <w:rPr>
          <w:rFonts w:ascii="宋体" w:hAnsi="宋体" w:cs="宋体"/>
          <w:color w:val="auto"/>
          <w:szCs w:val="21"/>
          <w:u w:val="single"/>
        </w:rPr>
        <w:t>（企业名称）</w:t>
      </w:r>
      <w:r>
        <w:rPr>
          <w:rFonts w:ascii="宋体" w:hAnsi="宋体" w:cs="宋体"/>
          <w:color w:val="auto"/>
          <w:szCs w:val="21"/>
        </w:rPr>
        <w:t>，从业人员</w:t>
      </w:r>
      <w:r>
        <w:rPr>
          <w:rFonts w:hint="eastAsia" w:ascii="宋体" w:hAnsi="宋体" w:cs="宋体"/>
          <w:color w:val="auto"/>
          <w:szCs w:val="21"/>
          <w:u w:val="single"/>
        </w:rPr>
        <w:t xml:space="preserve">    </w:t>
      </w:r>
      <w:r>
        <w:rPr>
          <w:rFonts w:ascii="宋体" w:hAnsi="宋体" w:cs="宋体"/>
          <w:color w:val="auto"/>
          <w:szCs w:val="21"/>
        </w:rPr>
        <w:t>人，营业收入为</w:t>
      </w:r>
      <w:r>
        <w:rPr>
          <w:rFonts w:hint="eastAsia" w:ascii="宋体" w:hAnsi="宋体" w:cs="宋体"/>
          <w:color w:val="auto"/>
          <w:szCs w:val="21"/>
          <w:u w:val="single"/>
        </w:rPr>
        <w:t xml:space="preserve">    </w:t>
      </w:r>
      <w:r>
        <w:rPr>
          <w:rFonts w:ascii="宋体" w:hAnsi="宋体" w:cs="宋体"/>
          <w:color w:val="auto"/>
          <w:szCs w:val="21"/>
        </w:rPr>
        <w:t>万元，资产总额为</w:t>
      </w:r>
      <w:r>
        <w:rPr>
          <w:rFonts w:hint="eastAsia" w:ascii="宋体" w:hAnsi="宋体" w:cs="宋体"/>
          <w:color w:val="auto"/>
          <w:szCs w:val="21"/>
          <w:u w:val="single"/>
        </w:rPr>
        <w:t xml:space="preserve">      </w:t>
      </w:r>
      <w:r>
        <w:rPr>
          <w:rFonts w:ascii="宋体" w:hAnsi="宋体" w:cs="宋体"/>
          <w:color w:val="auto"/>
          <w:szCs w:val="21"/>
        </w:rPr>
        <w:t>万元</w:t>
      </w:r>
      <w:r>
        <w:rPr>
          <w:rFonts w:ascii="宋体" w:hAnsi="宋体" w:cs="宋体"/>
          <w:color w:val="auto"/>
          <w:szCs w:val="21"/>
          <w:vertAlign w:val="superscript"/>
        </w:rPr>
        <w:t>1</w:t>
      </w:r>
      <w:r>
        <w:rPr>
          <w:rFonts w:ascii="宋体" w:hAnsi="宋体" w:cs="宋体"/>
          <w:color w:val="auto"/>
          <w:szCs w:val="21"/>
        </w:rPr>
        <w:t>，属于</w:t>
      </w:r>
      <w:r>
        <w:rPr>
          <w:rFonts w:ascii="宋体" w:hAnsi="宋体" w:cs="宋体"/>
          <w:color w:val="auto"/>
          <w:szCs w:val="21"/>
          <w:u w:val="single"/>
        </w:rPr>
        <w:t>（中型企业、小型企业、微型企业</w:t>
      </w:r>
      <w:r>
        <w:rPr>
          <w:rFonts w:ascii="宋体" w:hAnsi="宋体" w:cs="宋体"/>
          <w:color w:val="auto"/>
          <w:szCs w:val="21"/>
        </w:rPr>
        <w:t>）；</w:t>
      </w:r>
    </w:p>
    <w:p>
      <w:pPr>
        <w:pStyle w:val="17"/>
        <w:spacing w:line="432" w:lineRule="auto"/>
        <w:ind w:left="0" w:leftChars="0" w:firstLine="420" w:firstLineChars="200"/>
        <w:rPr>
          <w:rFonts w:ascii="宋体" w:hAnsi="宋体" w:cs="宋体"/>
          <w:color w:val="auto"/>
          <w:szCs w:val="21"/>
        </w:rPr>
      </w:pPr>
      <w:r>
        <w:rPr>
          <w:rFonts w:ascii="宋体" w:hAnsi="宋体" w:cs="宋体"/>
          <w:color w:val="auto"/>
          <w:szCs w:val="21"/>
        </w:rPr>
        <w:t xml:space="preserve"> …… </w:t>
      </w:r>
    </w:p>
    <w:p>
      <w:pPr>
        <w:pStyle w:val="17"/>
        <w:spacing w:line="432" w:lineRule="auto"/>
        <w:ind w:left="0" w:leftChars="0" w:firstLine="420" w:firstLineChars="200"/>
        <w:rPr>
          <w:rFonts w:ascii="宋体" w:hAnsi="宋体" w:cs="宋体"/>
          <w:color w:val="auto"/>
          <w:szCs w:val="21"/>
        </w:rPr>
      </w:pPr>
      <w:r>
        <w:rPr>
          <w:rFonts w:ascii="宋体" w:hAnsi="宋体" w:cs="宋体"/>
          <w:color w:val="auto"/>
          <w:szCs w:val="21"/>
        </w:rPr>
        <w:t>以上企业，不属于大企业的分支机构，不存在控股股东为大企业的情形，也不存在与大企业的负责人为同一人的情形。</w:t>
      </w:r>
    </w:p>
    <w:p>
      <w:pPr>
        <w:pStyle w:val="17"/>
        <w:spacing w:line="432" w:lineRule="auto"/>
        <w:ind w:left="0" w:leftChars="0" w:firstLine="420" w:firstLineChars="200"/>
        <w:rPr>
          <w:rFonts w:ascii="宋体" w:hAnsi="宋体" w:cs="宋体"/>
          <w:color w:val="auto"/>
          <w:sz w:val="24"/>
          <w:szCs w:val="24"/>
        </w:rPr>
      </w:pPr>
      <w:r>
        <w:rPr>
          <w:rFonts w:ascii="宋体" w:hAnsi="宋体" w:cs="宋体"/>
          <w:color w:val="auto"/>
          <w:szCs w:val="21"/>
        </w:rPr>
        <w:t>本企业对上述声明内容的真实性负责。如有虚假，将依法承担相应责任。</w:t>
      </w:r>
      <w:r>
        <w:rPr>
          <w:rFonts w:ascii="宋体" w:hAnsi="宋体" w:cs="宋体"/>
          <w:color w:val="auto"/>
          <w:sz w:val="24"/>
          <w:szCs w:val="24"/>
        </w:rPr>
        <w:t xml:space="preserve"> </w:t>
      </w:r>
    </w:p>
    <w:p>
      <w:pPr>
        <w:spacing w:beforeLines="100" w:afterLines="100" w:line="400" w:lineRule="atLeast"/>
        <w:ind w:left="4620" w:leftChars="2200"/>
        <w:rPr>
          <w:rFonts w:hAnsi="宋体"/>
          <w:b/>
          <w:color w:val="auto"/>
          <w:szCs w:val="21"/>
        </w:rPr>
      </w:pPr>
      <w:r>
        <w:rPr>
          <w:rFonts w:hint="eastAsia" w:ascii="宋体" w:hAnsi="宋体"/>
          <w:color w:val="auto"/>
          <w:szCs w:val="21"/>
        </w:rPr>
        <w:t>磋商供应商全称（盖章）：                             日期：    年   月    日</w:t>
      </w:r>
    </w:p>
    <w:p>
      <w:pPr>
        <w:numPr>
          <w:ilvl w:val="1"/>
          <w:numId w:val="40"/>
        </w:numPr>
        <w:tabs>
          <w:tab w:val="left" w:pos="420"/>
          <w:tab w:val="clear" w:pos="1244"/>
        </w:tabs>
        <w:spacing w:before="100" w:beforeAutospacing="1" w:after="100" w:afterAutospacing="1" w:line="400" w:lineRule="exact"/>
        <w:ind w:left="420"/>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pStyle w:val="5"/>
        <w:keepNext w:val="0"/>
        <w:keepLines w:val="0"/>
        <w:pageBreakBefore/>
        <w:spacing w:beforeLines="100" w:afterLines="100" w:line="400" w:lineRule="atLeast"/>
        <w:jc w:val="center"/>
        <w:rPr>
          <w:rFonts w:hAnsi="宋体"/>
          <w:color w:val="auto"/>
          <w:sz w:val="28"/>
          <w:szCs w:val="36"/>
        </w:rPr>
      </w:pPr>
      <w:bookmarkStart w:id="154" w:name="_Toc36820673"/>
      <w:bookmarkStart w:id="155" w:name="_Toc14931"/>
      <w:bookmarkStart w:id="156" w:name="_Toc518546796"/>
      <w:bookmarkStart w:id="157" w:name="_Toc528663545"/>
      <w:r>
        <w:rPr>
          <w:rFonts w:hint="eastAsia" w:hAnsi="宋体"/>
          <w:color w:val="auto"/>
          <w:sz w:val="28"/>
          <w:szCs w:val="36"/>
        </w:rPr>
        <w:t>附件十</w:t>
      </w:r>
      <w:r>
        <w:rPr>
          <w:rFonts w:hint="eastAsia" w:hAnsi="宋体"/>
          <w:color w:val="auto"/>
          <w:sz w:val="28"/>
          <w:szCs w:val="36"/>
          <w:lang w:val="en-US" w:eastAsia="zh-CN"/>
        </w:rPr>
        <w:t>四</w:t>
      </w:r>
      <w:r>
        <w:rPr>
          <w:rFonts w:hint="eastAsia" w:hAnsi="宋体"/>
          <w:color w:val="auto"/>
          <w:sz w:val="28"/>
          <w:szCs w:val="36"/>
        </w:rPr>
        <w:t xml:space="preserve"> </w:t>
      </w:r>
      <w:bookmarkStart w:id="158" w:name="OLE_LINK13"/>
      <w:bookmarkStart w:id="159" w:name="OLE_LINK14"/>
      <w:r>
        <w:rPr>
          <w:rFonts w:hint="eastAsia" w:hAnsi="宋体"/>
          <w:color w:val="auto"/>
          <w:sz w:val="28"/>
          <w:szCs w:val="36"/>
        </w:rPr>
        <w:t xml:space="preserve"> 残疾人福利性单位声明函</w:t>
      </w:r>
      <w:bookmarkEnd w:id="154"/>
      <w:bookmarkEnd w:id="155"/>
      <w:bookmarkEnd w:id="156"/>
      <w:bookmarkEnd w:id="157"/>
      <w:bookmarkEnd w:id="158"/>
      <w:bookmarkEnd w:id="159"/>
    </w:p>
    <w:p>
      <w:pPr>
        <w:spacing w:line="588" w:lineRule="exact"/>
        <w:ind w:firstLine="420" w:firstLineChars="200"/>
        <w:rPr>
          <w:rFonts w:ascii="宋体" w:hAnsi="宋体"/>
          <w:color w:val="auto"/>
        </w:rPr>
      </w:pPr>
      <w:r>
        <w:rPr>
          <w:rFonts w:hint="eastAsia" w:ascii="宋体" w:hAnsi="宋体"/>
          <w:color w:val="auto"/>
        </w:rPr>
        <w:t>本单位郑重声明，根据《财政部</w:t>
      </w:r>
      <w:r>
        <w:rPr>
          <w:rFonts w:ascii="宋体" w:hAnsi="宋体"/>
          <w:color w:val="auto"/>
        </w:rPr>
        <w:t xml:space="preserve"> </w:t>
      </w:r>
      <w:r>
        <w:rPr>
          <w:rFonts w:hint="eastAsia" w:ascii="宋体" w:hAnsi="宋体"/>
          <w:color w:val="auto"/>
        </w:rPr>
        <w:t>民政部</w:t>
      </w:r>
      <w:r>
        <w:rPr>
          <w:rFonts w:ascii="宋体" w:hAnsi="宋体"/>
          <w:color w:val="auto"/>
        </w:rPr>
        <w:t xml:space="preserve"> </w:t>
      </w:r>
      <w:r>
        <w:rPr>
          <w:rFonts w:hint="eastAsia" w:ascii="宋体" w:hAnsi="宋体"/>
          <w:color w:val="auto"/>
        </w:rPr>
        <w:t>中国残疾人联合会关于促进残疾人就业政府采购政策的通知》（财库〔</w:t>
      </w:r>
      <w:r>
        <w:rPr>
          <w:rFonts w:ascii="宋体" w:hAnsi="宋体"/>
          <w:color w:val="auto"/>
        </w:rPr>
        <w:t>2017</w:t>
      </w:r>
      <w:r>
        <w:rPr>
          <w:rFonts w:hint="eastAsia" w:ascii="宋体" w:hAnsi="宋体"/>
          <w:color w:val="auto"/>
        </w:rPr>
        <w:t>〕</w:t>
      </w:r>
      <w:r>
        <w:rPr>
          <w:rFonts w:ascii="宋体" w:hAnsi="宋体"/>
          <w:color w:val="auto"/>
        </w:rPr>
        <w:t xml:space="preserve"> 141</w:t>
      </w:r>
      <w:r>
        <w:rPr>
          <w:rFonts w:hint="eastAsia" w:ascii="宋体" w:hAnsi="宋体"/>
          <w:color w:val="auto"/>
        </w:rPr>
        <w:t>号）的规定，本单位为符合条件的残疾人福利性单位，且本单位参加</w:t>
      </w:r>
      <w:r>
        <w:rPr>
          <w:rFonts w:ascii="宋体" w:hAnsi="宋体"/>
          <w:color w:val="auto"/>
        </w:rPr>
        <w:t>______</w:t>
      </w:r>
      <w:r>
        <w:rPr>
          <w:rFonts w:hint="eastAsia" w:ascii="宋体" w:hAnsi="宋体"/>
          <w:color w:val="auto"/>
        </w:rPr>
        <w:t>单位的</w:t>
      </w:r>
      <w:r>
        <w:rPr>
          <w:rFonts w:ascii="宋体" w:hAnsi="宋体"/>
          <w:color w:val="auto"/>
        </w:rPr>
        <w:t>______</w:t>
      </w:r>
      <w:r>
        <w:rPr>
          <w:rFonts w:hint="eastAsia" w:ascii="宋体" w:hAnsi="宋体"/>
          <w:color w:val="auto"/>
        </w:rPr>
        <w:t>项目采购活动提供本单位制造的货物（由本单位承担工程</w:t>
      </w:r>
      <w:r>
        <w:rPr>
          <w:rFonts w:ascii="宋体" w:hAnsi="宋体"/>
          <w:color w:val="auto"/>
        </w:rPr>
        <w:t>/</w:t>
      </w:r>
      <w:r>
        <w:rPr>
          <w:rFonts w:hint="eastAsia" w:ascii="宋体" w:hAnsi="宋体"/>
          <w:color w:val="auto"/>
        </w:rPr>
        <w:t>提供服务），或者提供其他残疾人福利性单位制造的货物（不包括使用非残疾人福利性单位注册商标的货物）。</w:t>
      </w:r>
    </w:p>
    <w:p>
      <w:pPr>
        <w:spacing w:line="588" w:lineRule="exact"/>
        <w:ind w:firstLine="420" w:firstLineChars="200"/>
        <w:rPr>
          <w:rFonts w:ascii="宋体" w:hAnsi="宋体"/>
          <w:color w:val="auto"/>
        </w:rPr>
      </w:pPr>
      <w:r>
        <w:rPr>
          <w:rFonts w:hint="eastAsia" w:ascii="宋体" w:hAnsi="宋体"/>
          <w:color w:val="auto"/>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rPr>
      </w:pPr>
    </w:p>
    <w:p>
      <w:pPr>
        <w:spacing w:beforeLines="100" w:afterLines="100" w:line="400" w:lineRule="atLeast"/>
        <w:ind w:left="4620" w:leftChars="2200"/>
        <w:rPr>
          <w:rFonts w:ascii="宋体" w:hAnsi="宋体"/>
          <w:color w:val="auto"/>
          <w:szCs w:val="21"/>
        </w:rPr>
      </w:pPr>
      <w:r>
        <w:rPr>
          <w:rFonts w:ascii="仿宋_GB2312" w:eastAsia="仿宋_GB2312"/>
          <w:color w:val="auto"/>
          <w:spacing w:val="6"/>
          <w:sz w:val="30"/>
          <w:szCs w:val="30"/>
        </w:rPr>
        <w:t xml:space="preserve">               </w:t>
      </w:r>
      <w:r>
        <w:rPr>
          <w:rFonts w:hint="eastAsia" w:ascii="仿宋_GB2312" w:eastAsia="仿宋_GB2312"/>
          <w:color w:val="auto"/>
          <w:spacing w:val="6"/>
          <w:sz w:val="30"/>
          <w:szCs w:val="30"/>
        </w:rPr>
        <w:t xml:space="preserve">            </w:t>
      </w:r>
      <w:r>
        <w:rPr>
          <w:rFonts w:hint="eastAsia" w:ascii="宋体" w:hAnsi="宋体"/>
          <w:color w:val="auto"/>
          <w:szCs w:val="21"/>
        </w:rPr>
        <w:t>磋商供应商全称（盖章）：</w:t>
      </w:r>
    </w:p>
    <w:p>
      <w:pPr>
        <w:spacing w:beforeLines="100" w:afterLines="100" w:line="400" w:lineRule="atLeast"/>
        <w:rPr>
          <w:rFonts w:ascii="宋体" w:hAnsi="宋体"/>
          <w:color w:val="auto"/>
          <w:szCs w:val="21"/>
        </w:rPr>
      </w:pPr>
      <w:r>
        <w:rPr>
          <w:rFonts w:hint="eastAsia" w:ascii="宋体" w:hAnsi="宋体"/>
          <w:color w:val="auto"/>
          <w:szCs w:val="21"/>
        </w:rPr>
        <w:t xml:space="preserve">                                           日期：    年   月    日</w:t>
      </w:r>
    </w:p>
    <w:p>
      <w:pPr>
        <w:rPr>
          <w:rFonts w:ascii="宋体" w:hAnsi="宋体"/>
          <w:color w:val="auto"/>
        </w:rPr>
      </w:pPr>
    </w:p>
    <w:p>
      <w:pPr>
        <w:rPr>
          <w:rFonts w:ascii="宋体" w:hAnsi="宋体"/>
          <w:color w:val="auto"/>
        </w:rPr>
      </w:pPr>
    </w:p>
    <w:p>
      <w:pPr>
        <w:numPr>
          <w:ilvl w:val="0"/>
          <w:numId w:val="41"/>
        </w:numPr>
        <w:tabs>
          <w:tab w:val="left" w:pos="420"/>
          <w:tab w:val="clear" w:pos="1244"/>
        </w:tabs>
        <w:spacing w:before="100" w:beforeAutospacing="1" w:after="100" w:afterAutospacing="1" w:line="432" w:lineRule="auto"/>
        <w:ind w:hanging="1244"/>
        <w:rPr>
          <w:rFonts w:hAnsi="宋体"/>
          <w:b/>
          <w:color w:val="auto"/>
          <w:szCs w:val="21"/>
        </w:rPr>
      </w:pPr>
      <w:r>
        <w:rPr>
          <w:rFonts w:hint="eastAsia" w:hAnsi="宋体"/>
          <w:b/>
          <w:color w:val="auto"/>
          <w:szCs w:val="21"/>
        </w:rPr>
        <w:t>残疾人福利性单位视同小型、微型企业，享受价格扣除。</w:t>
      </w:r>
    </w:p>
    <w:p>
      <w:pPr>
        <w:numPr>
          <w:ilvl w:val="0"/>
          <w:numId w:val="41"/>
        </w:numPr>
        <w:tabs>
          <w:tab w:val="left" w:pos="420"/>
          <w:tab w:val="clear" w:pos="1244"/>
        </w:tabs>
        <w:spacing w:before="100" w:beforeAutospacing="1" w:after="100" w:afterAutospacing="1" w:line="432" w:lineRule="auto"/>
        <w:ind w:hanging="1244"/>
        <w:rPr>
          <w:rFonts w:hAnsi="宋体"/>
          <w:b/>
          <w:color w:val="auto"/>
          <w:szCs w:val="21"/>
        </w:rPr>
      </w:pPr>
      <w:r>
        <w:rPr>
          <w:rFonts w:hint="eastAsia" w:hAnsi="宋体"/>
          <w:b/>
          <w:color w:val="auto"/>
          <w:szCs w:val="21"/>
        </w:rPr>
        <w:t>残疾人福利性单位属于小型、微型企业的，不重复享受政策。</w:t>
      </w:r>
    </w:p>
    <w:p>
      <w:pPr>
        <w:numPr>
          <w:ilvl w:val="0"/>
          <w:numId w:val="41"/>
        </w:numPr>
        <w:tabs>
          <w:tab w:val="left" w:pos="420"/>
          <w:tab w:val="clear" w:pos="1244"/>
        </w:tabs>
        <w:spacing w:before="100" w:beforeAutospacing="1" w:after="100" w:afterAutospacing="1" w:line="432" w:lineRule="auto"/>
        <w:ind w:hanging="1244"/>
        <w:rPr>
          <w:rFonts w:hAnsi="宋体"/>
          <w:b/>
          <w:color w:val="auto"/>
          <w:szCs w:val="21"/>
        </w:rPr>
      </w:pPr>
      <w:r>
        <w:rPr>
          <w:rFonts w:hint="eastAsia" w:hAnsi="宋体"/>
          <w:b/>
          <w:color w:val="auto"/>
          <w:szCs w:val="21"/>
        </w:rPr>
        <w:t>如中标人声明为残疾人福利性单位，本声明函将随中标结果同时公告，接受社会监督。</w:t>
      </w:r>
    </w:p>
    <w:p>
      <w:pPr>
        <w:pStyle w:val="3"/>
        <w:spacing w:line="480" w:lineRule="auto"/>
        <w:ind w:firstLine="6048" w:firstLineChars="2160"/>
        <w:rPr>
          <w:rFonts w:hAnsi="宋体"/>
          <w:color w:val="auto"/>
          <w:sz w:val="28"/>
          <w:szCs w:val="36"/>
        </w:rPr>
      </w:pPr>
    </w:p>
    <w:bookmarkEnd w:id="144"/>
    <w:bookmarkEnd w:id="153"/>
    <w:p>
      <w:pPr>
        <w:pStyle w:val="5"/>
        <w:keepNext w:val="0"/>
        <w:keepLines w:val="0"/>
        <w:pageBreakBefore/>
        <w:spacing w:beforeLines="100" w:afterLines="100" w:line="240" w:lineRule="auto"/>
        <w:jc w:val="center"/>
        <w:rPr>
          <w:rFonts w:hAnsi="宋体"/>
          <w:color w:val="auto"/>
          <w:sz w:val="28"/>
          <w:szCs w:val="36"/>
        </w:rPr>
      </w:pPr>
      <w:bookmarkStart w:id="160" w:name="_Toc6718"/>
      <w:r>
        <w:rPr>
          <w:rFonts w:hint="eastAsia" w:hAnsi="宋体"/>
          <w:color w:val="auto"/>
          <w:sz w:val="28"/>
          <w:szCs w:val="36"/>
        </w:rPr>
        <w:t>第六部分  评定办法</w:t>
      </w:r>
      <w:bookmarkEnd w:id="160"/>
    </w:p>
    <w:p>
      <w:pPr>
        <w:spacing w:line="360" w:lineRule="auto"/>
        <w:ind w:firstLine="420" w:firstLineChars="200"/>
        <w:rPr>
          <w:rFonts w:ascii="宋体" w:hAnsi="宋体" w:cs="Arial"/>
          <w:bCs/>
          <w:color w:val="auto"/>
          <w:kern w:val="28"/>
        </w:rPr>
      </w:pPr>
      <w:r>
        <w:rPr>
          <w:rFonts w:hint="eastAsia" w:ascii="宋体" w:hAnsi="宋体" w:cs="Arial"/>
          <w:bCs/>
          <w:color w:val="auto"/>
          <w:kern w:val="28"/>
        </w:rPr>
        <w:t>根据《中华人民共和国政府采购法》和本项目磋商文件，按照公平、公正、科学、择优的原则选择成交单位，特制定本办法。</w:t>
      </w:r>
    </w:p>
    <w:p>
      <w:pPr>
        <w:spacing w:line="360" w:lineRule="auto"/>
        <w:ind w:firstLine="422" w:firstLineChars="200"/>
        <w:rPr>
          <w:rFonts w:ascii="宋体" w:hAnsi="宋体" w:cs="Arial"/>
          <w:b/>
          <w:bCs/>
          <w:color w:val="auto"/>
          <w:kern w:val="28"/>
        </w:rPr>
      </w:pPr>
      <w:r>
        <w:rPr>
          <w:rFonts w:hint="eastAsia" w:ascii="宋体" w:hAnsi="宋体" w:cs="Arial"/>
          <w:b/>
          <w:bCs/>
          <w:color w:val="auto"/>
          <w:kern w:val="28"/>
        </w:rPr>
        <w:t>一、 评定原则</w:t>
      </w:r>
    </w:p>
    <w:p>
      <w:pPr>
        <w:spacing w:line="360" w:lineRule="auto"/>
        <w:ind w:firstLine="420" w:firstLineChars="200"/>
        <w:rPr>
          <w:rFonts w:ascii="宋体" w:hAnsi="宋体" w:cs="Arial"/>
          <w:bCs/>
          <w:color w:val="auto"/>
          <w:kern w:val="28"/>
        </w:rPr>
      </w:pPr>
      <w:r>
        <w:rPr>
          <w:rFonts w:hint="eastAsia" w:ascii="宋体" w:hAnsi="宋体" w:cs="Arial"/>
          <w:bCs/>
          <w:color w:val="auto"/>
          <w:kern w:val="28"/>
        </w:rPr>
        <w:t>为最大限度地保护当事人的权益，磋商小组应严格按照磋商文件的技术、商务要求，对磋商响应文件进行综合分析、对比、评价，编制磋商报告。磋商人员必须严格遵守保密规定，不得泄漏评审的有关情况，不得索贿受贿，不得接受吃请和礼品，不得参加影响公正磋商的有关活动。磋商供应商不得以任何方式干扰招投标工作的进行，一经发现其磋商文件将被拒绝。</w:t>
      </w:r>
    </w:p>
    <w:p>
      <w:pPr>
        <w:spacing w:line="360" w:lineRule="auto"/>
        <w:ind w:firstLine="420" w:firstLineChars="200"/>
        <w:rPr>
          <w:rFonts w:ascii="宋体" w:hAnsi="宋体" w:cs="Arial"/>
          <w:bCs/>
          <w:color w:val="auto"/>
          <w:kern w:val="28"/>
        </w:rPr>
      </w:pPr>
      <w:r>
        <w:rPr>
          <w:rFonts w:hint="eastAsia" w:ascii="宋体" w:hAnsi="宋体" w:cs="Arial"/>
          <w:bCs/>
          <w:color w:val="auto"/>
          <w:kern w:val="28"/>
        </w:rPr>
        <w:t>本次评审采取百分制综合评分的方法。评审应遵循公平、公正、科学、择优的原则推荐候选成交人。</w:t>
      </w:r>
    </w:p>
    <w:p>
      <w:pPr>
        <w:spacing w:line="360" w:lineRule="auto"/>
        <w:ind w:firstLine="422" w:firstLineChars="200"/>
        <w:rPr>
          <w:rFonts w:ascii="宋体" w:hAnsi="宋体" w:cs="Arial"/>
          <w:b/>
          <w:bCs/>
          <w:color w:val="auto"/>
          <w:kern w:val="28"/>
        </w:rPr>
      </w:pPr>
      <w:r>
        <w:rPr>
          <w:rFonts w:hint="eastAsia" w:ascii="宋体" w:hAnsi="宋体" w:cs="Arial"/>
          <w:b/>
          <w:bCs/>
          <w:color w:val="auto"/>
          <w:kern w:val="28"/>
        </w:rPr>
        <w:t>二、评标组织</w:t>
      </w:r>
    </w:p>
    <w:p>
      <w:pPr>
        <w:pStyle w:val="21"/>
        <w:adjustRightInd w:val="0"/>
        <w:snapToGrid w:val="0"/>
        <w:spacing w:line="360" w:lineRule="auto"/>
        <w:ind w:firstLine="420" w:firstLineChars="200"/>
        <w:rPr>
          <w:rFonts w:hAnsi="宋体"/>
          <w:color w:val="auto"/>
          <w:szCs w:val="21"/>
        </w:rPr>
      </w:pPr>
      <w:r>
        <w:rPr>
          <w:rFonts w:hint="eastAsia" w:hAnsi="宋体" w:cs="Arial"/>
          <w:bCs/>
          <w:color w:val="auto"/>
          <w:kern w:val="28"/>
        </w:rPr>
        <w:t>评审工作由按规定组建的磋商小组负责，评审过程由有关部门负责指导监督。磋商小组</w:t>
      </w:r>
      <w:r>
        <w:rPr>
          <w:rFonts w:ascii="ˎ̥" w:hAnsi="ˎ̥"/>
          <w:color w:val="auto"/>
        </w:rPr>
        <w:t>由采购人代表和评审专家共</w:t>
      </w:r>
      <w:r>
        <w:rPr>
          <w:rFonts w:hint="eastAsia" w:hAnsi="宋体"/>
          <w:color w:val="auto"/>
        </w:rPr>
        <w:t>3</w:t>
      </w:r>
      <w:r>
        <w:rPr>
          <w:rFonts w:ascii="ˎ̥" w:hAnsi="ˎ̥"/>
          <w:color w:val="auto"/>
        </w:rPr>
        <w:t>人以上单数组成，其中评审专家人数不得少于磋商小组成员总数的</w:t>
      </w:r>
      <w:r>
        <w:rPr>
          <w:rFonts w:hint="eastAsia" w:ascii="ˎ̥" w:hAnsi="ˎ̥"/>
          <w:color w:val="auto"/>
        </w:rPr>
        <w:t>三分之二</w:t>
      </w:r>
      <w:r>
        <w:rPr>
          <w:rFonts w:hint="eastAsia" w:hAnsi="宋体"/>
          <w:color w:val="auto"/>
          <w:szCs w:val="21"/>
        </w:rPr>
        <w:t>。</w:t>
      </w:r>
    </w:p>
    <w:p>
      <w:pPr>
        <w:spacing w:line="360" w:lineRule="auto"/>
        <w:ind w:firstLine="422" w:firstLineChars="200"/>
        <w:rPr>
          <w:b/>
          <w:bCs/>
          <w:color w:val="auto"/>
        </w:rPr>
      </w:pPr>
      <w:r>
        <w:rPr>
          <w:rFonts w:hint="eastAsia"/>
          <w:b/>
          <w:bCs/>
          <w:color w:val="auto"/>
          <w:szCs w:val="21"/>
        </w:rPr>
        <w:t>三、</w:t>
      </w:r>
      <w:r>
        <w:rPr>
          <w:b/>
          <w:bCs/>
          <w:color w:val="auto"/>
          <w:szCs w:val="21"/>
        </w:rPr>
        <w:t>评审程序</w:t>
      </w:r>
    </w:p>
    <w:p>
      <w:pPr>
        <w:spacing w:line="360" w:lineRule="auto"/>
        <w:ind w:firstLine="420" w:firstLineChars="200"/>
        <w:rPr>
          <w:rFonts w:ascii="Arial" w:hAnsi="Arial" w:cs="Arial"/>
          <w:bCs/>
          <w:color w:val="auto"/>
          <w:kern w:val="28"/>
        </w:rPr>
      </w:pPr>
      <w:r>
        <w:rPr>
          <w:rFonts w:ascii="Arial" w:hAnsi="Arial" w:cs="Arial"/>
          <w:bCs/>
          <w:color w:val="auto"/>
          <w:kern w:val="28"/>
        </w:rPr>
        <w:t>1</w:t>
      </w:r>
      <w:r>
        <w:rPr>
          <w:rFonts w:ascii="Arial" w:hAnsi="宋体" w:cs="Arial"/>
          <w:bCs/>
          <w:color w:val="auto"/>
          <w:kern w:val="28"/>
        </w:rPr>
        <w:t>、</w:t>
      </w:r>
      <w:r>
        <w:rPr>
          <w:rFonts w:hint="eastAsia" w:ascii="宋体" w:hAnsi="宋体" w:cs="Arial"/>
          <w:bCs/>
          <w:color w:val="auto"/>
          <w:kern w:val="28"/>
        </w:rPr>
        <w:t>技术、商务</w:t>
      </w:r>
      <w:r>
        <w:rPr>
          <w:rFonts w:ascii="Arial" w:hAnsi="宋体" w:cs="Arial"/>
          <w:bCs/>
          <w:color w:val="auto"/>
          <w:kern w:val="28"/>
        </w:rPr>
        <w:t>评分：由各</w:t>
      </w:r>
      <w:r>
        <w:rPr>
          <w:rFonts w:hint="eastAsia"/>
          <w:color w:val="auto"/>
        </w:rPr>
        <w:t>评审专家</w:t>
      </w:r>
      <w:r>
        <w:rPr>
          <w:rFonts w:ascii="Arial" w:hAnsi="宋体" w:cs="Arial"/>
          <w:bCs/>
          <w:color w:val="auto"/>
          <w:kern w:val="28"/>
        </w:rPr>
        <w:t>按评</w:t>
      </w:r>
      <w:r>
        <w:rPr>
          <w:rFonts w:hint="eastAsia" w:ascii="Arial" w:hAnsi="宋体" w:cs="Arial"/>
          <w:bCs/>
          <w:color w:val="auto"/>
          <w:kern w:val="28"/>
        </w:rPr>
        <w:t>审</w:t>
      </w:r>
      <w:r>
        <w:rPr>
          <w:rFonts w:ascii="Arial" w:hAnsi="宋体" w:cs="Arial"/>
          <w:bCs/>
          <w:color w:val="auto"/>
          <w:kern w:val="28"/>
        </w:rPr>
        <w:t>细则，采用记名方式各自评分，此项评分为全部有效评分</w:t>
      </w:r>
      <w:r>
        <w:rPr>
          <w:rFonts w:hint="eastAsia" w:ascii="Arial" w:hAnsi="宋体" w:cs="Arial"/>
          <w:bCs/>
          <w:color w:val="auto"/>
          <w:kern w:val="28"/>
        </w:rPr>
        <w:t>的</w:t>
      </w:r>
      <w:r>
        <w:rPr>
          <w:rFonts w:ascii="Arial" w:hAnsi="宋体" w:cs="Arial"/>
          <w:bCs/>
          <w:color w:val="auto"/>
          <w:kern w:val="28"/>
        </w:rPr>
        <w:t>算术平均值。如果一份评分表中某一项评分，超过评分细则所规定的分值范围，则该张打分表无效。</w:t>
      </w:r>
    </w:p>
    <w:p>
      <w:pPr>
        <w:spacing w:line="360" w:lineRule="auto"/>
        <w:ind w:firstLine="420" w:firstLineChars="200"/>
        <w:rPr>
          <w:rFonts w:ascii="Arial" w:hAnsi="宋体" w:cs="Arial"/>
          <w:bCs/>
          <w:color w:val="auto"/>
          <w:kern w:val="28"/>
        </w:rPr>
      </w:pPr>
      <w:r>
        <w:rPr>
          <w:rFonts w:ascii="Arial" w:hAnsi="Arial" w:cs="Arial"/>
          <w:bCs/>
          <w:color w:val="auto"/>
          <w:kern w:val="28"/>
        </w:rPr>
        <w:t>2</w:t>
      </w:r>
      <w:r>
        <w:rPr>
          <w:rFonts w:ascii="Arial" w:hAnsi="宋体" w:cs="Arial"/>
          <w:bCs/>
          <w:color w:val="auto"/>
          <w:kern w:val="28"/>
        </w:rPr>
        <w:t>、报价评分：评分应在报价口径一致的评标价基础上进行。评标价应在最终报价的基础上，按照</w:t>
      </w:r>
      <w:r>
        <w:rPr>
          <w:rFonts w:hint="eastAsia" w:ascii="宋体" w:hAnsi="宋体" w:cs="Arial"/>
          <w:bCs/>
          <w:color w:val="auto"/>
          <w:kern w:val="28"/>
        </w:rPr>
        <w:t>磋商</w:t>
      </w:r>
      <w:r>
        <w:rPr>
          <w:rFonts w:ascii="Arial" w:hAnsi="宋体" w:cs="Arial"/>
          <w:bCs/>
          <w:color w:val="auto"/>
          <w:kern w:val="28"/>
        </w:rPr>
        <w:t>文件约定的因素和方法进行计算。凡属</w:t>
      </w:r>
      <w:r>
        <w:rPr>
          <w:rFonts w:hint="eastAsia" w:ascii="宋体" w:hAnsi="宋体" w:cs="Arial"/>
          <w:bCs/>
          <w:color w:val="auto"/>
          <w:kern w:val="28"/>
        </w:rPr>
        <w:t>磋商</w:t>
      </w:r>
      <w:r>
        <w:rPr>
          <w:rFonts w:ascii="Arial" w:hAnsi="宋体" w:cs="Arial"/>
          <w:bCs/>
          <w:color w:val="auto"/>
          <w:kern w:val="28"/>
        </w:rPr>
        <w:t>文件原因造成</w:t>
      </w:r>
      <w:r>
        <w:rPr>
          <w:rFonts w:hint="eastAsia" w:ascii="Arial" w:hAnsi="宋体" w:cs="Arial"/>
          <w:bCs/>
          <w:color w:val="auto"/>
          <w:kern w:val="28"/>
        </w:rPr>
        <w:t>报价</w:t>
      </w:r>
      <w:r>
        <w:rPr>
          <w:rFonts w:ascii="Arial" w:hAnsi="宋体" w:cs="Arial"/>
          <w:bCs/>
          <w:color w:val="auto"/>
          <w:kern w:val="28"/>
        </w:rPr>
        <w:t>范围或报价口径不一致的，应予以扣除。评分由</w:t>
      </w:r>
      <w:r>
        <w:rPr>
          <w:rFonts w:hint="eastAsia" w:ascii="宋体" w:hAnsi="宋体" w:cs="Arial"/>
          <w:bCs/>
          <w:color w:val="auto"/>
          <w:kern w:val="28"/>
        </w:rPr>
        <w:t>磋商</w:t>
      </w:r>
      <w:r>
        <w:rPr>
          <w:rFonts w:hint="eastAsia" w:ascii="Arial" w:hAnsi="宋体" w:cs="Arial"/>
          <w:bCs/>
          <w:color w:val="auto"/>
          <w:kern w:val="28"/>
        </w:rPr>
        <w:t>小组</w:t>
      </w:r>
      <w:r>
        <w:rPr>
          <w:rFonts w:ascii="Arial" w:hAnsi="宋体" w:cs="Arial"/>
          <w:bCs/>
          <w:color w:val="auto"/>
          <w:kern w:val="28"/>
        </w:rPr>
        <w:t>对</w:t>
      </w:r>
      <w:r>
        <w:rPr>
          <w:rFonts w:hint="eastAsia" w:ascii="宋体" w:hAnsi="宋体" w:cs="Arial"/>
          <w:bCs/>
          <w:color w:val="auto"/>
          <w:kern w:val="28"/>
        </w:rPr>
        <w:t>磋商响应</w:t>
      </w:r>
      <w:r>
        <w:rPr>
          <w:rFonts w:ascii="Arial" w:hAnsi="宋体" w:cs="Arial"/>
          <w:bCs/>
          <w:color w:val="auto"/>
          <w:kern w:val="28"/>
        </w:rPr>
        <w:t>文件的商务报价进行仔细查阅、分析与计算，并指定专人复核。</w:t>
      </w:r>
    </w:p>
    <w:p>
      <w:pPr>
        <w:snapToGrid w:val="0"/>
        <w:spacing w:line="360" w:lineRule="auto"/>
        <w:ind w:firstLine="420" w:firstLineChars="200"/>
        <w:jc w:val="both"/>
        <w:rPr>
          <w:color w:val="auto"/>
        </w:rPr>
      </w:pPr>
      <w:r>
        <w:rPr>
          <w:rFonts w:hint="eastAsia" w:ascii="Arial" w:hAnsi="Arial" w:cs="Arial"/>
          <w:bCs/>
          <w:color w:val="auto"/>
          <w:kern w:val="28"/>
        </w:rPr>
        <w:t>3</w:t>
      </w:r>
      <w:r>
        <w:rPr>
          <w:rFonts w:ascii="Arial" w:hAnsi="宋体" w:cs="Arial"/>
          <w:bCs/>
          <w:color w:val="auto"/>
          <w:kern w:val="28"/>
        </w:rPr>
        <w:t>、</w:t>
      </w:r>
      <w:r>
        <w:rPr>
          <w:rFonts w:hint="eastAsia" w:ascii="Arial" w:hAnsi="宋体" w:cs="Arial"/>
          <w:bCs/>
          <w:color w:val="auto"/>
          <w:kern w:val="28"/>
        </w:rPr>
        <w:t>推荐成交候选人：</w:t>
      </w:r>
      <w:r>
        <w:rPr>
          <w:rFonts w:hint="eastAsia" w:ascii="Arial" w:hAnsi="Arial"/>
          <w:color w:val="auto"/>
          <w:szCs w:val="21"/>
        </w:rPr>
        <w:t>磋商小组根据综合评分情况，按照综合得分由高到低顺序推荐成交候选供应商，并编写评审报告。</w:t>
      </w:r>
      <w:r>
        <w:rPr>
          <w:rFonts w:hint="eastAsia" w:ascii="宋体" w:hAnsi="宋体" w:cs="Arial"/>
          <w:bCs/>
          <w:color w:val="auto"/>
          <w:kern w:val="28"/>
        </w:rPr>
        <w:t>综合得分相同的，按照最后报价由低到高的顺序推荐；综合得分且最后报价</w:t>
      </w:r>
      <w:r>
        <w:rPr>
          <w:rFonts w:ascii="宋体" w:hAnsi="宋体" w:cs="Arial"/>
          <w:bCs/>
          <w:color w:val="auto"/>
          <w:kern w:val="28"/>
        </w:rPr>
        <w:t>都相同时，</w:t>
      </w:r>
      <w:r>
        <w:rPr>
          <w:rFonts w:hint="eastAsia" w:ascii="宋体" w:hAnsi="宋体" w:cs="Arial"/>
          <w:bCs/>
          <w:color w:val="auto"/>
          <w:kern w:val="28"/>
        </w:rPr>
        <w:t>按照技术得分由高到低顺序推荐，若所有得分均相同，由采购人决定排名</w:t>
      </w:r>
      <w:r>
        <w:rPr>
          <w:rFonts w:hint="eastAsia" w:ascii="ˎ̥" w:hAnsi="ˎ̥"/>
          <w:color w:val="auto"/>
        </w:rPr>
        <w:t>。</w:t>
      </w:r>
    </w:p>
    <w:p>
      <w:pPr>
        <w:spacing w:line="360" w:lineRule="auto"/>
        <w:ind w:firstLine="422" w:firstLineChars="200"/>
        <w:rPr>
          <w:rFonts w:ascii="宋体" w:hAnsi="宋体" w:cs="Arial"/>
          <w:b/>
          <w:bCs/>
          <w:color w:val="auto"/>
          <w:kern w:val="28"/>
        </w:rPr>
      </w:pPr>
      <w:r>
        <w:rPr>
          <w:rFonts w:hint="eastAsia" w:ascii="宋体" w:hAnsi="宋体" w:cs="Arial"/>
          <w:b/>
          <w:bCs/>
          <w:color w:val="auto"/>
          <w:kern w:val="28"/>
        </w:rPr>
        <w:t>四、评定办法</w:t>
      </w:r>
    </w:p>
    <w:p>
      <w:pPr>
        <w:spacing w:line="360" w:lineRule="auto"/>
        <w:ind w:firstLine="420" w:firstLineChars="200"/>
        <w:rPr>
          <w:rFonts w:ascii="宋体" w:hAnsi="宋体" w:cs="Arial"/>
          <w:bCs/>
          <w:color w:val="auto"/>
          <w:kern w:val="28"/>
        </w:rPr>
      </w:pPr>
      <w:r>
        <w:rPr>
          <w:rFonts w:hint="eastAsia" w:ascii="宋体" w:hAnsi="宋体" w:cs="Arial"/>
          <w:bCs/>
          <w:color w:val="auto"/>
          <w:kern w:val="28"/>
        </w:rPr>
        <w:t>1、本次评标采用综合评分法（百分制法）。</w:t>
      </w:r>
    </w:p>
    <w:p>
      <w:pPr>
        <w:spacing w:line="360" w:lineRule="auto"/>
        <w:ind w:firstLine="420" w:firstLineChars="200"/>
        <w:rPr>
          <w:rFonts w:ascii="宋体" w:hAnsi="宋体" w:cs="Arial"/>
          <w:bCs/>
          <w:color w:val="auto"/>
          <w:kern w:val="28"/>
        </w:rPr>
      </w:pPr>
      <w:r>
        <w:rPr>
          <w:rFonts w:hint="eastAsia" w:ascii="宋体" w:hAnsi="宋体" w:cs="Arial"/>
          <w:bCs/>
          <w:color w:val="auto"/>
          <w:kern w:val="28"/>
        </w:rPr>
        <w:t>2、开标后，磋商小组首先对磋商响应文件进行资格性检查和符合性检查，凡磋商供应商资格不符合磋商文件要求、磋商响应文件实质性内容和格式严重不符合有关规定或不响应磋商文件要求者，经磋商小组认定作为无效投标，不再进入后续评审。对磋商响应文件中的疑问，由磋商小组对磋商供应商进行询标，磋商供应商做出书面答复作为磋商响应文件的补充文件，除对投标的算术错误按有关规定处理外，不得在询标过程中修改磋商响应文件的实质性条款内容。</w:t>
      </w:r>
    </w:p>
    <w:p>
      <w:pPr>
        <w:snapToGrid w:val="0"/>
        <w:spacing w:line="360" w:lineRule="auto"/>
        <w:ind w:firstLine="420" w:firstLineChars="200"/>
        <w:jc w:val="both"/>
        <w:rPr>
          <w:rFonts w:ascii="宋体" w:hAnsi="宋体"/>
          <w:color w:val="auto"/>
        </w:rPr>
      </w:pPr>
      <w:r>
        <w:rPr>
          <w:rFonts w:hint="eastAsia" w:ascii="宋体" w:hAnsi="宋体"/>
          <w:color w:val="auto"/>
        </w:rPr>
        <w:t>3、磋商小组在磋商结束后，要求所有实质性响应供应商在报价时限内提交最后报价并加盖公章，</w:t>
      </w:r>
      <w:r>
        <w:rPr>
          <w:rFonts w:hint="eastAsia" w:ascii="宋体" w:hAnsi="宋体" w:cs="宋体"/>
          <w:snapToGrid w:val="0"/>
          <w:color w:val="auto"/>
          <w:szCs w:val="21"/>
        </w:rPr>
        <w:t>否则其磋商响应文件作无效处理</w:t>
      </w:r>
      <w:r>
        <w:rPr>
          <w:rFonts w:hint="eastAsia" w:ascii="宋体" w:hAnsi="宋体"/>
          <w:color w:val="auto"/>
        </w:rPr>
        <w:t>。最后报价是供应商磋商响应文件有效组成部分。</w:t>
      </w:r>
    </w:p>
    <w:p>
      <w:pPr>
        <w:tabs>
          <w:tab w:val="left" w:pos="0"/>
        </w:tabs>
        <w:snapToGrid w:val="0"/>
        <w:spacing w:line="360" w:lineRule="auto"/>
        <w:ind w:firstLine="420" w:firstLineChars="200"/>
        <w:jc w:val="both"/>
        <w:rPr>
          <w:rFonts w:ascii="宋体" w:hAnsi="宋体"/>
          <w:color w:val="auto"/>
        </w:rPr>
      </w:pPr>
      <w:r>
        <w:rPr>
          <w:rFonts w:hint="eastAsia" w:ascii="宋体" w:hAnsi="宋体"/>
          <w:color w:val="auto"/>
        </w:rPr>
        <w:t>4、已提交响应文件的供应商，在提交最后报价之前，可以根据磋商情况退出磋商。</w:t>
      </w:r>
    </w:p>
    <w:p>
      <w:pPr>
        <w:spacing w:line="360" w:lineRule="auto"/>
        <w:ind w:firstLine="420" w:firstLineChars="200"/>
        <w:rPr>
          <w:rFonts w:ascii="宋体" w:hAnsi="宋体" w:cs="Arial"/>
          <w:color w:val="auto"/>
          <w:kern w:val="28"/>
        </w:rPr>
      </w:pPr>
      <w:r>
        <w:rPr>
          <w:rFonts w:hint="eastAsia" w:ascii="宋体" w:hAnsi="宋体" w:cs="Arial"/>
          <w:color w:val="auto"/>
          <w:kern w:val="28"/>
        </w:rPr>
        <w:t>5、在采购过程中或评审过程中符合要求的磋商供应商小于3家的，按《政府采购竞争性磋商采购方式管理办法》（财库﹝2014﹞214号）文件以及财政部（《关于政府采购竞争性磋商采购方式管理暂行办法有关问题的补充通知》（财库﹝2015﹞124号））文件规定执行。</w:t>
      </w:r>
    </w:p>
    <w:p>
      <w:pPr>
        <w:spacing w:line="360" w:lineRule="auto"/>
        <w:ind w:firstLine="422" w:firstLineChars="200"/>
        <w:rPr>
          <w:rFonts w:ascii="宋体" w:hAnsi="宋体" w:cs="Arial"/>
          <w:b/>
          <w:bCs/>
          <w:color w:val="auto"/>
          <w:kern w:val="28"/>
          <w:szCs w:val="22"/>
        </w:rPr>
      </w:pPr>
      <w:r>
        <w:rPr>
          <w:rFonts w:hint="eastAsia" w:ascii="宋体" w:hAnsi="宋体" w:cs="Arial"/>
          <w:b/>
          <w:bCs/>
          <w:color w:val="auto"/>
          <w:kern w:val="28"/>
          <w:szCs w:val="22"/>
        </w:rPr>
        <w:t>五、评分细则：</w:t>
      </w:r>
    </w:p>
    <w:tbl>
      <w:tblPr>
        <w:tblStyle w:val="38"/>
        <w:tblW w:w="9255"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90"/>
        <w:gridCol w:w="722"/>
        <w:gridCol w:w="340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0" w:type="dxa"/>
            <w:vAlign w:val="center"/>
          </w:tcPr>
          <w:p>
            <w:pPr>
              <w:spacing w:line="360" w:lineRule="auto"/>
              <w:ind w:right="3"/>
              <w:jc w:val="center"/>
              <w:rPr>
                <w:rFonts w:hint="eastAsia" w:ascii="宋体" w:hAnsi="宋体" w:eastAsia="宋体" w:cs="Times New Roman"/>
                <w:color w:val="auto"/>
                <w:szCs w:val="21"/>
              </w:rPr>
            </w:pPr>
            <w:r>
              <w:rPr>
                <w:rFonts w:hint="eastAsia" w:ascii="宋体" w:hAnsi="宋体" w:eastAsia="宋体" w:cs="Times New Roman"/>
                <w:color w:val="auto"/>
                <w:szCs w:val="21"/>
              </w:rPr>
              <w:t>序号</w:t>
            </w:r>
          </w:p>
        </w:tc>
        <w:tc>
          <w:tcPr>
            <w:tcW w:w="1290" w:type="dxa"/>
            <w:vAlign w:val="center"/>
          </w:tcPr>
          <w:p>
            <w:pPr>
              <w:spacing w:line="360" w:lineRule="auto"/>
              <w:ind w:right="3"/>
              <w:jc w:val="center"/>
              <w:rPr>
                <w:rFonts w:hint="eastAsia" w:ascii="宋体" w:hAnsi="宋体" w:eastAsia="宋体" w:cs="Times New Roman"/>
                <w:color w:val="auto"/>
                <w:szCs w:val="21"/>
              </w:rPr>
            </w:pPr>
            <w:r>
              <w:rPr>
                <w:rFonts w:hint="eastAsia" w:ascii="宋体" w:hAnsi="宋体" w:eastAsia="宋体" w:cs="Times New Roman"/>
                <w:color w:val="auto"/>
                <w:szCs w:val="21"/>
              </w:rPr>
              <w:t>评标类型</w:t>
            </w:r>
          </w:p>
        </w:tc>
        <w:tc>
          <w:tcPr>
            <w:tcW w:w="4130" w:type="dxa"/>
            <w:gridSpan w:val="2"/>
            <w:tcBorders>
              <w:top w:val="single" w:color="auto" w:sz="4" w:space="0"/>
            </w:tcBorders>
            <w:vAlign w:val="center"/>
          </w:tcPr>
          <w:p>
            <w:pPr>
              <w:spacing w:line="360" w:lineRule="auto"/>
              <w:ind w:right="3"/>
              <w:jc w:val="center"/>
              <w:rPr>
                <w:rFonts w:hint="eastAsia" w:ascii="宋体" w:hAnsi="宋体" w:eastAsia="宋体" w:cs="Times New Roman"/>
                <w:color w:val="auto"/>
                <w:szCs w:val="21"/>
              </w:rPr>
            </w:pPr>
            <w:r>
              <w:rPr>
                <w:rFonts w:hint="eastAsia" w:ascii="宋体" w:hAnsi="宋体" w:eastAsia="宋体" w:cs="Times New Roman"/>
                <w:color w:val="auto"/>
                <w:szCs w:val="21"/>
              </w:rPr>
              <w:t>评标内容</w:t>
            </w:r>
          </w:p>
        </w:tc>
        <w:tc>
          <w:tcPr>
            <w:tcW w:w="3025" w:type="dxa"/>
            <w:tcBorders>
              <w:top w:val="single" w:color="auto" w:sz="4" w:space="0"/>
            </w:tcBorders>
            <w:vAlign w:val="center"/>
          </w:tcPr>
          <w:p>
            <w:pPr>
              <w:spacing w:line="360" w:lineRule="auto"/>
              <w:ind w:right="3"/>
              <w:jc w:val="center"/>
              <w:rPr>
                <w:rFonts w:hint="eastAsia" w:ascii="宋体" w:hAnsi="宋体" w:eastAsia="宋体" w:cs="Times New Roman"/>
                <w:color w:val="auto"/>
                <w:szCs w:val="21"/>
              </w:rPr>
            </w:pPr>
            <w:r>
              <w:rPr>
                <w:rFonts w:hint="eastAsia" w:ascii="宋体" w:hAnsi="宋体" w:eastAsia="宋体" w:cs="Times New Roman"/>
                <w:color w:val="auto"/>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0" w:type="dxa"/>
            <w:vMerge w:val="restart"/>
            <w:vAlign w:val="center"/>
          </w:tcPr>
          <w:p>
            <w:pPr>
              <w:spacing w:line="360" w:lineRule="auto"/>
              <w:ind w:right="3"/>
              <w:jc w:val="center"/>
              <w:rPr>
                <w:rFonts w:asciiTheme="minorEastAsia" w:hAnsiTheme="minorEastAsia" w:eastAsiaTheme="minorEastAsia"/>
                <w:color w:val="auto"/>
                <w:szCs w:val="21"/>
              </w:rPr>
            </w:pPr>
            <w:r>
              <w:rPr>
                <w:rFonts w:hint="eastAsia" w:asciiTheme="minorEastAsia" w:hAnsiTheme="minorEastAsia" w:eastAsiaTheme="minorEastAsia"/>
                <w:color w:val="auto"/>
                <w:spacing w:val="4"/>
                <w:szCs w:val="21"/>
              </w:rPr>
              <w:t>（一）</w:t>
            </w:r>
          </w:p>
        </w:tc>
        <w:tc>
          <w:tcPr>
            <w:tcW w:w="1290" w:type="dxa"/>
            <w:vMerge w:val="restart"/>
            <w:vAlign w:val="center"/>
          </w:tcPr>
          <w:p>
            <w:pPr>
              <w:spacing w:line="360" w:lineRule="auto"/>
              <w:ind w:right="3"/>
              <w:jc w:val="center"/>
              <w:rPr>
                <w:rFonts w:asciiTheme="minorEastAsia" w:hAnsiTheme="minorEastAsia" w:eastAsiaTheme="minorEastAsia"/>
                <w:b/>
                <w:color w:val="auto"/>
                <w:szCs w:val="21"/>
              </w:rPr>
            </w:pPr>
            <w:r>
              <w:rPr>
                <w:rFonts w:hint="eastAsia" w:cs="Arial" w:asciiTheme="minorEastAsia" w:hAnsiTheme="minorEastAsia" w:eastAsiaTheme="minorEastAsia"/>
                <w:b/>
                <w:bCs/>
                <w:color w:val="auto"/>
                <w:kern w:val="28"/>
                <w:szCs w:val="21"/>
              </w:rPr>
              <w:t>资格性检查</w:t>
            </w:r>
          </w:p>
        </w:tc>
        <w:tc>
          <w:tcPr>
            <w:tcW w:w="4130" w:type="dxa"/>
            <w:gridSpan w:val="2"/>
            <w:vMerge w:val="restart"/>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基本资格</w:t>
            </w:r>
          </w:p>
        </w:tc>
        <w:tc>
          <w:tcPr>
            <w:tcW w:w="3025" w:type="dxa"/>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0" w:type="dxa"/>
            <w:vMerge w:val="continue"/>
            <w:vAlign w:val="center"/>
          </w:tcPr>
          <w:p>
            <w:pPr>
              <w:pStyle w:val="12"/>
              <w:spacing w:line="360" w:lineRule="auto"/>
              <w:ind w:firstLine="0"/>
              <w:jc w:val="center"/>
              <w:rPr>
                <w:rFonts w:asciiTheme="minorEastAsia" w:hAnsiTheme="minorEastAsia" w:eastAsiaTheme="minorEastAsia"/>
                <w:color w:val="auto"/>
                <w:szCs w:val="21"/>
              </w:rPr>
            </w:pPr>
          </w:p>
        </w:tc>
        <w:tc>
          <w:tcPr>
            <w:tcW w:w="1290" w:type="dxa"/>
            <w:vMerge w:val="continue"/>
            <w:vAlign w:val="center"/>
          </w:tcPr>
          <w:p>
            <w:pPr>
              <w:pStyle w:val="12"/>
              <w:spacing w:line="360" w:lineRule="auto"/>
              <w:ind w:firstLine="0"/>
              <w:jc w:val="center"/>
              <w:rPr>
                <w:rFonts w:asciiTheme="minorEastAsia" w:hAnsiTheme="minorEastAsia" w:eastAsiaTheme="minorEastAsia"/>
                <w:color w:val="auto"/>
                <w:szCs w:val="21"/>
              </w:rPr>
            </w:pPr>
          </w:p>
        </w:tc>
        <w:tc>
          <w:tcPr>
            <w:tcW w:w="4130" w:type="dxa"/>
            <w:gridSpan w:val="2"/>
            <w:vMerge w:val="continue"/>
            <w:vAlign w:val="center"/>
          </w:tcPr>
          <w:p>
            <w:pPr>
              <w:pStyle w:val="12"/>
              <w:spacing w:line="360" w:lineRule="auto"/>
              <w:ind w:firstLine="0"/>
              <w:jc w:val="center"/>
              <w:rPr>
                <w:rFonts w:asciiTheme="minorEastAsia" w:hAnsiTheme="minorEastAsia" w:eastAsiaTheme="minorEastAsia"/>
                <w:color w:val="auto"/>
                <w:szCs w:val="21"/>
              </w:rPr>
            </w:pPr>
          </w:p>
        </w:tc>
        <w:tc>
          <w:tcPr>
            <w:tcW w:w="3025" w:type="dxa"/>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信用符合磋商文件（二）总则第5点要求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0" w:type="dxa"/>
            <w:vMerge w:val="continue"/>
            <w:vAlign w:val="center"/>
          </w:tcPr>
          <w:p>
            <w:pPr>
              <w:spacing w:line="360" w:lineRule="auto"/>
              <w:ind w:right="3"/>
              <w:jc w:val="center"/>
              <w:rPr>
                <w:rFonts w:asciiTheme="minorEastAsia" w:hAnsiTheme="minorEastAsia" w:eastAsiaTheme="minorEastAsia"/>
                <w:color w:val="auto"/>
                <w:szCs w:val="21"/>
              </w:rPr>
            </w:pPr>
          </w:p>
        </w:tc>
        <w:tc>
          <w:tcPr>
            <w:tcW w:w="1290" w:type="dxa"/>
            <w:vMerge w:val="continue"/>
            <w:vAlign w:val="center"/>
          </w:tcPr>
          <w:p>
            <w:pPr>
              <w:spacing w:line="360" w:lineRule="auto"/>
              <w:ind w:right="3"/>
              <w:jc w:val="center"/>
              <w:rPr>
                <w:rFonts w:asciiTheme="minorEastAsia" w:hAnsiTheme="minorEastAsia" w:eastAsiaTheme="minorEastAsia"/>
                <w:b/>
                <w:color w:val="auto"/>
                <w:szCs w:val="21"/>
              </w:rPr>
            </w:pPr>
          </w:p>
        </w:tc>
        <w:tc>
          <w:tcPr>
            <w:tcW w:w="4130" w:type="dxa"/>
            <w:gridSpan w:val="2"/>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特定资格</w:t>
            </w:r>
          </w:p>
        </w:tc>
        <w:tc>
          <w:tcPr>
            <w:tcW w:w="3025" w:type="dxa"/>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810" w:type="dxa"/>
            <w:vMerge w:val="restart"/>
            <w:vAlign w:val="center"/>
          </w:tcPr>
          <w:p>
            <w:pPr>
              <w:spacing w:line="360" w:lineRule="auto"/>
              <w:ind w:right="3"/>
              <w:jc w:val="center"/>
              <w:rPr>
                <w:rFonts w:asciiTheme="minorEastAsia" w:hAnsiTheme="minorEastAsia" w:eastAsiaTheme="minorEastAsia"/>
                <w:color w:val="auto"/>
                <w:szCs w:val="21"/>
              </w:rPr>
            </w:pPr>
            <w:r>
              <w:rPr>
                <w:rFonts w:hint="eastAsia" w:asciiTheme="minorEastAsia" w:hAnsiTheme="minorEastAsia" w:eastAsiaTheme="minorEastAsia"/>
                <w:color w:val="auto"/>
                <w:spacing w:val="4"/>
                <w:szCs w:val="21"/>
              </w:rPr>
              <w:t>（二）</w:t>
            </w:r>
          </w:p>
        </w:tc>
        <w:tc>
          <w:tcPr>
            <w:tcW w:w="1290" w:type="dxa"/>
            <w:vMerge w:val="restart"/>
            <w:vAlign w:val="center"/>
          </w:tcPr>
          <w:p>
            <w:pPr>
              <w:spacing w:line="360" w:lineRule="auto"/>
              <w:ind w:right="3"/>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符合</w:t>
            </w:r>
            <w:r>
              <w:rPr>
                <w:rFonts w:hint="eastAsia" w:cs="Arial" w:asciiTheme="minorEastAsia" w:hAnsiTheme="minorEastAsia" w:eastAsiaTheme="minorEastAsia"/>
                <w:b/>
                <w:bCs/>
                <w:color w:val="auto"/>
                <w:kern w:val="28"/>
                <w:szCs w:val="21"/>
              </w:rPr>
              <w:t>性检查</w:t>
            </w:r>
          </w:p>
        </w:tc>
        <w:tc>
          <w:tcPr>
            <w:tcW w:w="4130" w:type="dxa"/>
            <w:gridSpan w:val="2"/>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磋商供应商名称</w:t>
            </w:r>
          </w:p>
        </w:tc>
        <w:tc>
          <w:tcPr>
            <w:tcW w:w="3025" w:type="dxa"/>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与营业执照（或事业单位法人证书或执业许可证等证明文件或个体工商户营业执照或自然人身份证明）一致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0" w:type="dxa"/>
            <w:vMerge w:val="continue"/>
            <w:vAlign w:val="center"/>
          </w:tcPr>
          <w:p>
            <w:pPr>
              <w:spacing w:line="360" w:lineRule="auto"/>
              <w:ind w:right="3"/>
              <w:jc w:val="center"/>
              <w:rPr>
                <w:rFonts w:asciiTheme="minorEastAsia" w:hAnsiTheme="minorEastAsia" w:eastAsiaTheme="minorEastAsia"/>
                <w:color w:val="auto"/>
                <w:szCs w:val="21"/>
              </w:rPr>
            </w:pPr>
          </w:p>
        </w:tc>
        <w:tc>
          <w:tcPr>
            <w:tcW w:w="1290" w:type="dxa"/>
            <w:vMerge w:val="continue"/>
            <w:vAlign w:val="center"/>
          </w:tcPr>
          <w:p>
            <w:pPr>
              <w:spacing w:line="360" w:lineRule="auto"/>
              <w:ind w:right="3"/>
              <w:jc w:val="center"/>
              <w:rPr>
                <w:rFonts w:asciiTheme="minorEastAsia" w:hAnsiTheme="minorEastAsia" w:eastAsiaTheme="minorEastAsia"/>
                <w:b/>
                <w:color w:val="auto"/>
                <w:szCs w:val="21"/>
              </w:rPr>
            </w:pPr>
          </w:p>
        </w:tc>
        <w:tc>
          <w:tcPr>
            <w:tcW w:w="4130" w:type="dxa"/>
            <w:gridSpan w:val="2"/>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磋商函签字盖章</w:t>
            </w:r>
          </w:p>
        </w:tc>
        <w:tc>
          <w:tcPr>
            <w:tcW w:w="3025" w:type="dxa"/>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有法定代表人(或其授权代表)签字或盖章并加盖供应商公章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10" w:type="dxa"/>
            <w:vMerge w:val="continue"/>
            <w:vAlign w:val="center"/>
          </w:tcPr>
          <w:p>
            <w:pPr>
              <w:spacing w:line="360" w:lineRule="auto"/>
              <w:ind w:right="3"/>
              <w:jc w:val="center"/>
              <w:rPr>
                <w:rFonts w:asciiTheme="minorEastAsia" w:hAnsiTheme="minorEastAsia" w:eastAsiaTheme="minorEastAsia"/>
                <w:color w:val="auto"/>
                <w:szCs w:val="21"/>
              </w:rPr>
            </w:pPr>
          </w:p>
        </w:tc>
        <w:tc>
          <w:tcPr>
            <w:tcW w:w="1290" w:type="dxa"/>
            <w:vMerge w:val="continue"/>
            <w:vAlign w:val="center"/>
          </w:tcPr>
          <w:p>
            <w:pPr>
              <w:spacing w:line="360" w:lineRule="auto"/>
              <w:ind w:right="3"/>
              <w:jc w:val="center"/>
              <w:rPr>
                <w:rFonts w:asciiTheme="minorEastAsia" w:hAnsiTheme="minorEastAsia" w:eastAsiaTheme="minorEastAsia"/>
                <w:b/>
                <w:color w:val="auto"/>
                <w:szCs w:val="21"/>
              </w:rPr>
            </w:pPr>
          </w:p>
        </w:tc>
        <w:tc>
          <w:tcPr>
            <w:tcW w:w="4130" w:type="dxa"/>
            <w:gridSpan w:val="2"/>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磋商响应文件编制</w:t>
            </w:r>
          </w:p>
        </w:tc>
        <w:tc>
          <w:tcPr>
            <w:tcW w:w="3025" w:type="dxa"/>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磋商响应文件编制符合磋商文件的要求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0" w:type="dxa"/>
            <w:vMerge w:val="continue"/>
            <w:vAlign w:val="center"/>
          </w:tcPr>
          <w:p>
            <w:pPr>
              <w:spacing w:line="360" w:lineRule="auto"/>
              <w:ind w:right="3"/>
              <w:jc w:val="center"/>
              <w:rPr>
                <w:rFonts w:asciiTheme="minorEastAsia" w:hAnsiTheme="minorEastAsia" w:eastAsiaTheme="minorEastAsia"/>
                <w:color w:val="auto"/>
                <w:szCs w:val="21"/>
              </w:rPr>
            </w:pPr>
          </w:p>
        </w:tc>
        <w:tc>
          <w:tcPr>
            <w:tcW w:w="1290" w:type="dxa"/>
            <w:vMerge w:val="continue"/>
            <w:vAlign w:val="center"/>
          </w:tcPr>
          <w:p>
            <w:pPr>
              <w:spacing w:line="360" w:lineRule="auto"/>
              <w:ind w:right="3"/>
              <w:jc w:val="center"/>
              <w:rPr>
                <w:rFonts w:asciiTheme="minorEastAsia" w:hAnsiTheme="minorEastAsia" w:eastAsiaTheme="minorEastAsia"/>
                <w:b/>
                <w:color w:val="auto"/>
                <w:szCs w:val="21"/>
              </w:rPr>
            </w:pPr>
          </w:p>
        </w:tc>
        <w:tc>
          <w:tcPr>
            <w:tcW w:w="4130" w:type="dxa"/>
            <w:gridSpan w:val="2"/>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磋商有效期</w:t>
            </w:r>
          </w:p>
        </w:tc>
        <w:tc>
          <w:tcPr>
            <w:tcW w:w="3025" w:type="dxa"/>
            <w:tcBorders>
              <w:top w:val="single" w:color="auto" w:sz="4" w:space="0"/>
            </w:tcBorders>
            <w:vAlign w:val="center"/>
          </w:tcPr>
          <w:p>
            <w:pPr>
              <w:pStyle w:val="12"/>
              <w:spacing w:line="360" w:lineRule="auto"/>
              <w:ind w:firstLine="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5" w:hRule="atLeast"/>
        </w:trPr>
        <w:tc>
          <w:tcPr>
            <w:tcW w:w="810" w:type="dxa"/>
            <w:vAlign w:val="center"/>
          </w:tcPr>
          <w:p>
            <w:pPr>
              <w:spacing w:line="360" w:lineRule="auto"/>
              <w:ind w:right="3"/>
              <w:jc w:val="center"/>
              <w:rPr>
                <w:rFonts w:asciiTheme="minorEastAsia" w:hAnsiTheme="minorEastAsia" w:eastAsiaTheme="minorEastAsia"/>
                <w:color w:val="auto"/>
                <w:szCs w:val="21"/>
              </w:rPr>
            </w:pPr>
            <w:r>
              <w:rPr>
                <w:rFonts w:hint="eastAsia" w:asciiTheme="minorEastAsia" w:hAnsiTheme="minorEastAsia" w:eastAsiaTheme="minorEastAsia"/>
                <w:color w:val="auto"/>
                <w:spacing w:val="4"/>
                <w:szCs w:val="21"/>
              </w:rPr>
              <w:t>（三）</w:t>
            </w:r>
          </w:p>
        </w:tc>
        <w:tc>
          <w:tcPr>
            <w:tcW w:w="1290" w:type="dxa"/>
            <w:vAlign w:val="center"/>
          </w:tcPr>
          <w:p>
            <w:pPr>
              <w:spacing w:line="360" w:lineRule="auto"/>
              <w:ind w:right="3"/>
              <w:jc w:val="center"/>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无效标条款</w:t>
            </w:r>
          </w:p>
        </w:tc>
        <w:tc>
          <w:tcPr>
            <w:tcW w:w="7155" w:type="dxa"/>
            <w:gridSpan w:val="3"/>
            <w:tcBorders>
              <w:top w:val="single" w:color="auto" w:sz="4" w:space="0"/>
              <w:bottom w:val="single" w:color="auto" w:sz="4" w:space="0"/>
            </w:tcBorders>
            <w:vAlign w:val="center"/>
          </w:tcPr>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投标报价不是固定价的或超过预算金额的</w:t>
            </w:r>
            <w:r>
              <w:rPr>
                <w:rFonts w:hint="eastAsia" w:ascii="Times New Roman" w:eastAsia="宋体"/>
                <w:color w:val="auto"/>
                <w:szCs w:val="22"/>
                <w:lang w:val="en-US" w:eastAsia="zh-CN"/>
              </w:rPr>
              <w:t>或超过最高限价</w:t>
            </w:r>
            <w:r>
              <w:rPr>
                <w:rFonts w:asciiTheme="minorEastAsia" w:hAnsiTheme="minorEastAsia" w:eastAsiaTheme="minorEastAsia"/>
                <w:b w:val="0"/>
                <w:bCs/>
                <w:color w:val="auto"/>
                <w:szCs w:val="21"/>
              </w:rPr>
              <w:t>；</w:t>
            </w:r>
          </w:p>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在报价评审中，发现价格计算有误，又不接受评标委员会修正的报价或报价明显不合理而磋商供应商不能合理说明的；</w:t>
            </w:r>
          </w:p>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主要采购服务的技术规格和参数不满足采购内容及技术要求以及商务有重大偏离或保留的；</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在符合性评审中，磋商小组认定磋商响应文件任一项评审因素不符合磋商文件要求的；</w:t>
            </w:r>
          </w:p>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在资格评审中，磋商小组认定磋商响应文件任一项评审因素不符合磋商文件要求的；</w:t>
            </w:r>
          </w:p>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磋商响应文件中需签字或盖章的地方未加盖磋商供应商单位全称的公章，或未经法定代表人或其授权代表签字或盖章；</w:t>
            </w:r>
            <w:r>
              <w:rPr>
                <w:rFonts w:asciiTheme="minorEastAsia" w:hAnsiTheme="minorEastAsia" w:eastAsiaTheme="minorEastAsia"/>
                <w:b w:val="0"/>
                <w:bCs/>
                <w:color w:val="auto"/>
                <w:szCs w:val="21"/>
              </w:rPr>
              <w:t xml:space="preserve"> </w:t>
            </w:r>
          </w:p>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授权代表签字且未提供有效法定代表人授权委托书的；</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磋商小组</w:t>
            </w:r>
            <w:r>
              <w:rPr>
                <w:rFonts w:asciiTheme="minorEastAsia" w:hAnsiTheme="minorEastAsia" w:eastAsiaTheme="minorEastAsia"/>
                <w:b w:val="0"/>
                <w:bCs/>
                <w:color w:val="auto"/>
                <w:szCs w:val="21"/>
              </w:rPr>
              <w:t>认为</w:t>
            </w:r>
            <w:r>
              <w:rPr>
                <w:rFonts w:hint="eastAsia" w:asciiTheme="minorEastAsia" w:hAnsiTheme="minorEastAsia" w:eastAsiaTheme="minorEastAsia"/>
                <w:b w:val="0"/>
                <w:bCs/>
                <w:color w:val="auto"/>
                <w:szCs w:val="21"/>
              </w:rPr>
              <w:t>磋商响应</w:t>
            </w:r>
            <w:r>
              <w:rPr>
                <w:rFonts w:asciiTheme="minorEastAsia" w:hAnsiTheme="minorEastAsia" w:eastAsiaTheme="minorEastAsia"/>
                <w:b w:val="0"/>
                <w:bCs/>
                <w:color w:val="auto"/>
                <w:szCs w:val="21"/>
              </w:rPr>
              <w:t>文件未实质性响应</w:t>
            </w:r>
            <w:r>
              <w:rPr>
                <w:rFonts w:hint="eastAsia" w:asciiTheme="minorEastAsia" w:hAnsiTheme="minorEastAsia" w:eastAsiaTheme="minorEastAsia"/>
                <w:b w:val="0"/>
                <w:bCs/>
                <w:color w:val="auto"/>
                <w:szCs w:val="21"/>
              </w:rPr>
              <w:t>采购</w:t>
            </w:r>
            <w:r>
              <w:rPr>
                <w:rFonts w:asciiTheme="minorEastAsia" w:hAnsiTheme="minorEastAsia" w:eastAsiaTheme="minorEastAsia"/>
                <w:b w:val="0"/>
                <w:bCs/>
                <w:color w:val="auto"/>
                <w:szCs w:val="21"/>
              </w:rPr>
              <w:t>文件的要求的</w:t>
            </w:r>
            <w:r>
              <w:rPr>
                <w:rFonts w:hint="eastAsia" w:asciiTheme="minorEastAsia" w:hAnsiTheme="minorEastAsia" w:eastAsiaTheme="minorEastAsia"/>
                <w:b w:val="0"/>
                <w:bCs/>
                <w:color w:val="auto"/>
                <w:szCs w:val="21"/>
              </w:rPr>
              <w:t>；</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磋商响应文件中含有采购人不能接受的附加条件的；</w:t>
            </w:r>
          </w:p>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未在报价时限内提交最后报价的；</w:t>
            </w:r>
          </w:p>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电子磋商响应文件解密失败的，且未在规定时间内提交备份响应文件的；</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仅提交备份磋商响应文件的；</w:t>
            </w:r>
          </w:p>
          <w:p>
            <w:pPr>
              <w:numPr>
                <w:ilvl w:val="0"/>
                <w:numId w:val="42"/>
              </w:numPr>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未按规定提供关于《中华人民共和国政府采购法》第二十二条规定的承诺函的；</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单位负责人为同一人或存在直接控股、管理关系的不同供应商，则所涉供应商投标均为无效。</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磋商响应文件存在一个或一个以上备选（替代）投标方案的；</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在磋商结束前，磋商供应商发生重大变化或变更，未及时告知采购人或不再具备磋商文件规定的资格条件或者其投标影响招标公正性的；</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磋商小组认为磋商供应商的报价明显低于其他通过符合性审查供应商的报价，有可能影响产品质量或者不能诚信履约的，应当要求其在磋商现场合理时间内作出书面说明</w:t>
            </w:r>
            <w:r>
              <w:rPr>
                <w:rFonts w:asciiTheme="minorEastAsia" w:hAnsiTheme="minorEastAsia" w:eastAsiaTheme="minorEastAsia"/>
                <w:b w:val="0"/>
                <w:bCs/>
                <w:color w:val="auto"/>
                <w:szCs w:val="21"/>
              </w:rPr>
              <w:t>，必要时提交相关证明材料</w:t>
            </w:r>
            <w:r>
              <w:rPr>
                <w:rFonts w:hint="eastAsia" w:asciiTheme="minorEastAsia" w:hAnsiTheme="minorEastAsia" w:eastAsiaTheme="minorEastAsia"/>
                <w:b w:val="0"/>
                <w:bCs/>
                <w:color w:val="auto"/>
                <w:szCs w:val="21"/>
              </w:rPr>
              <w:t>，供应商</w:t>
            </w:r>
            <w:r>
              <w:rPr>
                <w:rFonts w:asciiTheme="minorEastAsia" w:hAnsiTheme="minorEastAsia" w:eastAsiaTheme="minorEastAsia"/>
                <w:b w:val="0"/>
                <w:bCs/>
                <w:color w:val="auto"/>
                <w:szCs w:val="21"/>
              </w:rPr>
              <w:t>不能证明其报价合理性的</w:t>
            </w:r>
            <w:r>
              <w:rPr>
                <w:rFonts w:hint="eastAsia" w:asciiTheme="minorEastAsia" w:hAnsiTheme="minorEastAsia" w:eastAsiaTheme="minorEastAsia"/>
                <w:b w:val="0"/>
                <w:bCs/>
                <w:color w:val="auto"/>
                <w:szCs w:val="21"/>
              </w:rPr>
              <w:t>；</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存在串标、抬标或弄虚作假情况的；</w:t>
            </w:r>
          </w:p>
          <w:p>
            <w:pPr>
              <w:numPr>
                <w:ilvl w:val="0"/>
                <w:numId w:val="42"/>
              </w:numPr>
              <w:tabs>
                <w:tab w:val="left" w:pos="0"/>
              </w:tabs>
              <w:spacing w:line="276" w:lineRule="auto"/>
              <w:ind w:left="6" w:hanging="11"/>
              <w:rPr>
                <w:rFonts w:asciiTheme="minorEastAsia" w:hAnsiTheme="minorEastAsia" w:eastAsiaTheme="minorEastAsia"/>
                <w:b w:val="0"/>
                <w:bCs/>
                <w:color w:val="auto"/>
                <w:szCs w:val="21"/>
              </w:rPr>
            </w:pPr>
            <w:r>
              <w:rPr>
                <w:rFonts w:hint="eastAsia" w:asciiTheme="minorEastAsia" w:hAnsiTheme="minorEastAsia" w:eastAsiaTheme="minorEastAsia"/>
                <w:b w:val="0"/>
                <w:bCs/>
                <w:color w:val="auto"/>
                <w:szCs w:val="21"/>
              </w:rPr>
              <w:t>不符合法律、法规和磋商文件中规定的其他实质性要求的。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Arial" w:asciiTheme="minorEastAsia" w:hAnsiTheme="minorEastAsia" w:eastAsiaTheme="minorEastAsia"/>
                <w:bCs/>
                <w:color w:val="auto"/>
                <w:kern w:val="28"/>
                <w:szCs w:val="21"/>
              </w:rPr>
            </w:pPr>
            <w:r>
              <w:rPr>
                <w:rFonts w:hint="eastAsia" w:asciiTheme="minorEastAsia" w:hAnsiTheme="minorEastAsia" w:eastAsiaTheme="minorEastAsia"/>
                <w:color w:val="auto"/>
                <w:spacing w:val="4"/>
                <w:szCs w:val="21"/>
              </w:rPr>
              <w:t>（四）</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Arial" w:asciiTheme="minorEastAsia" w:hAnsiTheme="minorEastAsia" w:eastAsiaTheme="minorEastAsia"/>
                <w:bCs/>
                <w:color w:val="auto"/>
                <w:kern w:val="28"/>
                <w:szCs w:val="21"/>
              </w:rPr>
            </w:pPr>
            <w:r>
              <w:rPr>
                <w:rFonts w:hint="eastAsia" w:cs="Arial" w:asciiTheme="minorEastAsia" w:hAnsiTheme="minorEastAsia" w:eastAsiaTheme="minorEastAsia"/>
                <w:b/>
                <w:color w:val="auto"/>
                <w:kern w:val="28"/>
                <w:szCs w:val="21"/>
              </w:rPr>
              <w:t>报价评分</w:t>
            </w:r>
          </w:p>
        </w:tc>
        <w:tc>
          <w:tcPr>
            <w:tcW w:w="7155" w:type="dxa"/>
            <w:gridSpan w:val="3"/>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Arial" w:asciiTheme="minorEastAsia" w:hAnsiTheme="minorEastAsia" w:eastAsiaTheme="minorEastAsia"/>
                <w:bCs/>
                <w:color w:val="auto"/>
                <w:kern w:val="28"/>
                <w:szCs w:val="21"/>
              </w:rPr>
            </w:pPr>
            <w:r>
              <w:rPr>
                <w:rFonts w:hint="eastAsia" w:cs="Arial" w:asciiTheme="minorEastAsia" w:hAnsiTheme="minorEastAsia" w:eastAsiaTheme="minorEastAsia"/>
                <w:b/>
                <w:color w:val="auto"/>
                <w:kern w:val="28"/>
                <w:szCs w:val="21"/>
              </w:rPr>
              <w:t>合计</w:t>
            </w:r>
            <w:r>
              <w:rPr>
                <w:rFonts w:hint="eastAsia" w:cs="Arial" w:asciiTheme="minorEastAsia" w:hAnsiTheme="minorEastAsia" w:eastAsiaTheme="minorEastAsia"/>
                <w:b/>
                <w:color w:val="auto"/>
                <w:kern w:val="28"/>
                <w:szCs w:val="21"/>
                <w:lang w:val="en-US" w:eastAsia="zh-CN"/>
              </w:rPr>
              <w:t>4</w:t>
            </w:r>
            <w:r>
              <w:rPr>
                <w:rFonts w:hint="eastAsia" w:cs="Arial" w:asciiTheme="minorEastAsia" w:hAnsiTheme="minorEastAsia" w:eastAsiaTheme="minorEastAsia"/>
                <w:b/>
                <w:color w:val="auto"/>
                <w:kern w:val="28"/>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序号</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评审内容及分值</w:t>
            </w:r>
          </w:p>
        </w:tc>
        <w:tc>
          <w:tcPr>
            <w:tcW w:w="7155" w:type="dxa"/>
            <w:gridSpan w:val="3"/>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4" w:hRule="atLeast"/>
        </w:trPr>
        <w:tc>
          <w:tcPr>
            <w:tcW w:w="810" w:type="dxa"/>
            <w:vAlign w:val="center"/>
          </w:tcPr>
          <w:p>
            <w:pPr>
              <w:spacing w:line="276" w:lineRule="auto"/>
              <w:jc w:val="center"/>
              <w:rPr>
                <w:rFonts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1</w:t>
            </w:r>
          </w:p>
        </w:tc>
        <w:tc>
          <w:tcPr>
            <w:tcW w:w="1290" w:type="dxa"/>
            <w:vAlign w:val="center"/>
          </w:tcPr>
          <w:p>
            <w:pPr>
              <w:spacing w:line="276" w:lineRule="auto"/>
              <w:jc w:val="center"/>
              <w:rPr>
                <w:rFonts w:cs="Arial" w:asciiTheme="minorEastAsia" w:hAnsiTheme="minorEastAsia" w:eastAsiaTheme="minorEastAsia"/>
                <w:b/>
                <w:bCs/>
                <w:color w:val="auto"/>
                <w:kern w:val="28"/>
                <w:szCs w:val="21"/>
              </w:rPr>
            </w:pPr>
            <w:r>
              <w:rPr>
                <w:rFonts w:hint="eastAsia" w:cs="Arial" w:asciiTheme="minorEastAsia" w:hAnsiTheme="minorEastAsia" w:eastAsiaTheme="minorEastAsia"/>
                <w:b/>
                <w:bCs/>
                <w:color w:val="auto"/>
                <w:kern w:val="28"/>
                <w:szCs w:val="21"/>
              </w:rPr>
              <w:t>得分计算</w:t>
            </w:r>
          </w:p>
        </w:tc>
        <w:tc>
          <w:tcPr>
            <w:tcW w:w="7155" w:type="dxa"/>
            <w:gridSpan w:val="3"/>
            <w:tcBorders>
              <w:top w:val="single" w:color="auto" w:sz="4" w:space="0"/>
              <w:bottom w:val="single" w:color="auto" w:sz="4" w:space="0"/>
            </w:tcBorders>
            <w:vAlign w:val="center"/>
          </w:tcPr>
          <w:p>
            <w:pPr>
              <w:spacing w:line="276" w:lineRule="auto"/>
              <w:rPr>
                <w:rFonts w:cs="Arial" w:asciiTheme="minorEastAsia" w:hAnsiTheme="minorEastAsia" w:eastAsiaTheme="minorEastAsia"/>
                <w:b/>
                <w:bCs/>
                <w:color w:val="auto"/>
                <w:kern w:val="28"/>
                <w:szCs w:val="21"/>
              </w:rPr>
            </w:pPr>
            <w:r>
              <w:rPr>
                <w:rFonts w:hint="eastAsia" w:cs="Arial" w:asciiTheme="minorEastAsia" w:hAnsiTheme="minorEastAsia" w:eastAsiaTheme="minorEastAsia"/>
                <w:bCs/>
                <w:color w:val="auto"/>
                <w:kern w:val="28"/>
                <w:szCs w:val="21"/>
              </w:rPr>
              <w:t>价格分采用低价优先法计算，即满足磋商文件要求且最终报价最低的评标价(</w:t>
            </w:r>
            <w:r>
              <w:rPr>
                <w:rFonts w:hint="eastAsia" w:cs="Arial" w:asciiTheme="minorEastAsia" w:hAnsiTheme="minorEastAsia" w:eastAsiaTheme="minorEastAsia"/>
                <w:b/>
                <w:bCs/>
                <w:color w:val="auto"/>
                <w:kern w:val="28"/>
                <w:szCs w:val="21"/>
              </w:rPr>
              <w:t>评标价＝</w:t>
            </w:r>
            <w:r>
              <w:rPr>
                <w:rFonts w:hint="eastAsia" w:cs="Arial" w:asciiTheme="minorEastAsia" w:hAnsiTheme="minorEastAsia" w:eastAsiaTheme="minorEastAsia"/>
                <w:b/>
                <w:bCs/>
                <w:color w:val="auto"/>
                <w:kern w:val="28"/>
                <w:szCs w:val="21"/>
                <w:lang w:val="en-US" w:eastAsia="zh-CN"/>
              </w:rPr>
              <w:t>投标报价-不参与评标价</w:t>
            </w:r>
            <w:r>
              <w:rPr>
                <w:rFonts w:hint="eastAsia" w:cs="Arial" w:asciiTheme="minorEastAsia" w:hAnsiTheme="minorEastAsia" w:eastAsiaTheme="minorEastAsia"/>
                <w:bCs/>
                <w:color w:val="auto"/>
                <w:kern w:val="28"/>
                <w:szCs w:val="21"/>
              </w:rPr>
              <w:t>)为评标基准价，其价格分为满分</w:t>
            </w:r>
            <w:r>
              <w:rPr>
                <w:rFonts w:hint="eastAsia" w:cs="Arial" w:asciiTheme="minorEastAsia" w:hAnsiTheme="minorEastAsia" w:eastAsiaTheme="minorEastAsia"/>
                <w:bCs/>
                <w:color w:val="auto"/>
                <w:kern w:val="28"/>
                <w:szCs w:val="21"/>
                <w:lang w:val="en-US" w:eastAsia="zh-CN"/>
              </w:rPr>
              <w:t>4</w:t>
            </w:r>
            <w:r>
              <w:rPr>
                <w:rFonts w:hint="eastAsia" w:cs="Arial" w:asciiTheme="minorEastAsia" w:hAnsiTheme="minorEastAsia" w:eastAsiaTheme="minorEastAsia"/>
                <w:bCs/>
                <w:color w:val="auto"/>
                <w:kern w:val="28"/>
                <w:szCs w:val="21"/>
              </w:rPr>
              <w:t>0分，其他供应商的价格分按照下列公式计算：</w:t>
            </w:r>
          </w:p>
          <w:p>
            <w:pPr>
              <w:spacing w:line="276" w:lineRule="auto"/>
              <w:rPr>
                <w:rFonts w:hint="eastAsia"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其他供应商的价格分=评标基准价/评标价×</w:t>
            </w:r>
            <w:r>
              <w:rPr>
                <w:rFonts w:hint="eastAsia" w:cs="Arial" w:asciiTheme="minorEastAsia" w:hAnsiTheme="minorEastAsia" w:eastAsiaTheme="minorEastAsia"/>
                <w:bCs/>
                <w:color w:val="auto"/>
                <w:kern w:val="28"/>
                <w:szCs w:val="21"/>
                <w:lang w:val="en-US" w:eastAsia="zh-CN"/>
              </w:rPr>
              <w:t>40</w:t>
            </w:r>
            <w:r>
              <w:rPr>
                <w:rFonts w:hint="eastAsia" w:cs="Arial" w:asciiTheme="minorEastAsia" w:hAnsiTheme="minorEastAsia" w:eastAsiaTheme="minorEastAsia"/>
                <w:bCs/>
                <w:color w:val="auto"/>
                <w:kern w:val="28"/>
                <w:szCs w:val="21"/>
              </w:rPr>
              <w:t>%×100</w:t>
            </w:r>
          </w:p>
          <w:p>
            <w:pPr>
              <w:spacing w:line="276" w:lineRule="auto"/>
              <w:rPr>
                <w:rFonts w:hint="eastAsia" w:cs="Arial" w:asciiTheme="minorEastAsia" w:hAnsiTheme="minorEastAsia" w:eastAsiaTheme="minorEastAsia"/>
                <w:bCs/>
                <w:color w:val="auto"/>
                <w:kern w:val="28"/>
                <w:szCs w:val="21"/>
              </w:rPr>
            </w:pPr>
          </w:p>
          <w:p>
            <w:pPr>
              <w:widowControl w:val="0"/>
              <w:spacing w:after="120"/>
              <w:ind w:left="0" w:leftChars="0" w:firstLine="0" w:firstLineChars="0"/>
              <w:jc w:val="both"/>
              <w:rPr>
                <w:rFonts w:hint="eastAsia" w:cs="Arial" w:asciiTheme="minorEastAsia" w:hAnsiTheme="minorEastAsia" w:eastAsiaTheme="minorEastAsia"/>
                <w:bCs/>
                <w:color w:val="auto"/>
                <w:kern w:val="28"/>
                <w:szCs w:val="21"/>
              </w:rPr>
            </w:pPr>
            <w:r>
              <w:rPr>
                <w:rFonts w:hint="eastAsia" w:ascii="宋体" w:hAnsi="宋体" w:eastAsia="宋体" w:cs="Arial"/>
                <w:b/>
                <w:bCs w:val="0"/>
                <w:color w:val="auto"/>
                <w:kern w:val="28"/>
                <w:sz w:val="21"/>
                <w:szCs w:val="21"/>
                <w:lang w:val="en-US" w:eastAsia="zh-CN" w:bidi="ar-SA"/>
              </w:rPr>
              <w:t>不参与评标价：</w:t>
            </w:r>
            <w:r>
              <w:rPr>
                <w:rFonts w:hint="eastAsia" w:ascii="宋体" w:hAnsi="宋体" w:cs="Arial"/>
                <w:b/>
                <w:bCs w:val="0"/>
                <w:color w:val="auto"/>
                <w:kern w:val="28"/>
                <w:sz w:val="21"/>
                <w:szCs w:val="21"/>
                <w:lang w:val="en-US" w:eastAsia="zh-CN" w:bidi="ar-SA"/>
              </w:rPr>
              <w:t>舞台专用钢结构及舞台机械系统内电缆、钢丝绳、线材、桥架、管材、五金件等材料</w:t>
            </w:r>
            <w:r>
              <w:rPr>
                <w:rFonts w:hint="eastAsia" w:ascii="宋体" w:hAnsi="宋体" w:eastAsia="宋体" w:cs="Arial"/>
                <w:b/>
                <w:bCs w:val="0"/>
                <w:color w:val="auto"/>
                <w:kern w:val="28"/>
                <w:sz w:val="21"/>
                <w:szCs w:val="21"/>
                <w:lang w:val="en-US" w:eastAsia="zh-CN" w:bidi="ar-SA"/>
              </w:rPr>
              <w:t>按暂估价</w:t>
            </w:r>
            <w:r>
              <w:rPr>
                <w:rFonts w:hint="eastAsia" w:ascii="宋体" w:hAnsi="宋体" w:cs="Arial"/>
                <w:b/>
                <w:bCs w:val="0"/>
                <w:color w:val="auto"/>
                <w:kern w:val="28"/>
                <w:sz w:val="21"/>
                <w:szCs w:val="21"/>
                <w:lang w:val="en-US" w:eastAsia="zh-CN" w:bidi="ar-SA"/>
              </w:rPr>
              <w:t>80000</w:t>
            </w:r>
            <w:r>
              <w:rPr>
                <w:rFonts w:hint="eastAsia" w:ascii="宋体" w:hAnsi="宋体" w:eastAsia="宋体" w:cs="Arial"/>
                <w:b/>
                <w:bCs w:val="0"/>
                <w:color w:val="auto"/>
                <w:kern w:val="28"/>
                <w:sz w:val="21"/>
                <w:szCs w:val="21"/>
                <w:lang w:val="en-US" w:eastAsia="zh-CN" w:bidi="ar-SA"/>
              </w:rPr>
              <w:t>元，计取税金后的暂估价为</w:t>
            </w:r>
            <w:r>
              <w:rPr>
                <w:rFonts w:hint="eastAsia" w:ascii="宋体" w:hAnsi="宋体" w:cs="Arial"/>
                <w:b/>
                <w:bCs w:val="0"/>
                <w:color w:val="auto"/>
                <w:kern w:val="28"/>
                <w:sz w:val="21"/>
                <w:szCs w:val="21"/>
                <w:lang w:val="en-US" w:eastAsia="zh-CN" w:bidi="ar-SA"/>
              </w:rPr>
              <w:t>872</w:t>
            </w:r>
            <w:r>
              <w:rPr>
                <w:rFonts w:hint="eastAsia" w:ascii="宋体" w:hAnsi="宋体" w:eastAsia="宋体" w:cs="Arial"/>
                <w:b/>
                <w:bCs w:val="0"/>
                <w:color w:val="auto"/>
                <w:kern w:val="28"/>
                <w:sz w:val="21"/>
                <w:szCs w:val="21"/>
                <w:lang w:val="en-US" w:eastAsia="zh-CN" w:bidi="ar-SA"/>
              </w:rPr>
              <w:t>00</w:t>
            </w:r>
            <w:r>
              <w:rPr>
                <w:rFonts w:hint="eastAsia" w:ascii="宋体" w:hAnsi="宋体" w:cs="Arial"/>
                <w:b/>
                <w:bCs w:val="0"/>
                <w:color w:val="auto"/>
                <w:kern w:val="28"/>
                <w:sz w:val="21"/>
                <w:szCs w:val="21"/>
                <w:lang w:val="en-US" w:eastAsia="zh-CN" w:bidi="ar-SA"/>
              </w:rPr>
              <w:t>元。</w:t>
            </w:r>
            <w:r>
              <w:rPr>
                <w:rFonts w:hint="eastAsia" w:ascii="宋体" w:hAnsi="宋体" w:eastAsia="宋体" w:cs="Arial"/>
                <w:b/>
                <w:bCs w:val="0"/>
                <w:color w:val="auto"/>
                <w:kern w:val="28"/>
                <w:sz w:val="21"/>
                <w:szCs w:val="21"/>
                <w:lang w:val="en-US" w:eastAsia="zh-CN" w:bidi="ar-SA"/>
              </w:rPr>
              <w:t>不参与评标价为</w:t>
            </w:r>
            <w:r>
              <w:rPr>
                <w:rFonts w:hint="eastAsia" w:ascii="宋体" w:hAnsi="宋体" w:cs="Arial"/>
                <w:b/>
                <w:bCs w:val="0"/>
                <w:color w:val="auto"/>
                <w:kern w:val="28"/>
                <w:sz w:val="21"/>
                <w:szCs w:val="21"/>
                <w:lang w:val="en-US" w:eastAsia="zh-CN" w:bidi="ar-SA"/>
              </w:rPr>
              <w:t>872</w:t>
            </w:r>
            <w:r>
              <w:rPr>
                <w:rFonts w:hint="eastAsia" w:ascii="宋体" w:hAnsi="宋体" w:eastAsia="宋体" w:cs="Arial"/>
                <w:b/>
                <w:bCs w:val="0"/>
                <w:color w:val="auto"/>
                <w:kern w:val="28"/>
                <w:sz w:val="21"/>
                <w:szCs w:val="21"/>
                <w:lang w:val="en-US" w:eastAsia="zh-CN" w:bidi="ar-SA"/>
              </w:rPr>
              <w:t>00元。</w:t>
            </w:r>
          </w:p>
          <w:p>
            <w:pPr>
              <w:spacing w:line="276" w:lineRule="auto"/>
              <w:rPr>
                <w:rFonts w:hint="eastAsia" w:eastAsiaTheme="minorEastAsia"/>
                <w:color w:val="auto"/>
                <w:lang w:eastAsia="zh-CN"/>
              </w:rPr>
            </w:pPr>
          </w:p>
          <w:p>
            <w:pPr>
              <w:widowControl w:val="0"/>
              <w:numPr>
                <w:ilvl w:val="0"/>
                <w:numId w:val="43"/>
              </w:numPr>
              <w:tabs>
                <w:tab w:val="left" w:pos="0"/>
              </w:tabs>
              <w:snapToGrid w:val="0"/>
              <w:spacing w:line="276" w:lineRule="auto"/>
              <w:ind w:left="0" w:firstLine="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依据《政府采购促进中小企业发展管理办法》（财库〔2020〕46号）文件及《财政部、司法部关于政府采购支持监狱企业发展有关问题的通知》（财库〔2014〕68号）文件，对于未预留份额专门面向中小企业采购的采购项目，以及预留份额项目中的非预留部分采购包，对小微企业</w:t>
            </w:r>
            <w:r>
              <w:rPr>
                <w:rFonts w:hint="eastAsia" w:asciiTheme="minorEastAsia" w:hAnsiTheme="minorEastAsia" w:eastAsiaTheme="minorEastAsia"/>
                <w:color w:val="auto"/>
                <w:szCs w:val="21"/>
                <w:lang w:val="en-US" w:eastAsia="zh-CN"/>
              </w:rPr>
              <w:t>评标价</w:t>
            </w:r>
            <w:r>
              <w:rPr>
                <w:rFonts w:hint="eastAsia" w:asciiTheme="minorEastAsia" w:hAnsiTheme="minorEastAsia" w:eastAsiaTheme="minorEastAsia"/>
                <w:color w:val="auto"/>
                <w:szCs w:val="21"/>
              </w:rPr>
              <w:t>给予</w:t>
            </w:r>
            <w:r>
              <w:rPr>
                <w:rFonts w:hint="eastAsia" w:asciiTheme="minorEastAsia" w:hAnsiTheme="minorEastAsia" w:eastAsiaTheme="minorEastAsia"/>
                <w:color w:val="auto"/>
                <w:szCs w:val="21"/>
                <w:u w:val="single"/>
              </w:rPr>
              <w:t xml:space="preserve"> 6% </w:t>
            </w:r>
            <w:r>
              <w:rPr>
                <w:rFonts w:hint="eastAsia" w:asciiTheme="minorEastAsia" w:hAnsiTheme="minorEastAsia" w:eastAsiaTheme="minorEastAsia"/>
                <w:color w:val="auto"/>
                <w:szCs w:val="21"/>
              </w:rPr>
              <w:t>的扣除，用扣除后的价格参加评审。</w:t>
            </w:r>
          </w:p>
          <w:p>
            <w:pPr>
              <w:widowControl w:val="0"/>
              <w:numPr>
                <w:ilvl w:val="0"/>
                <w:numId w:val="43"/>
              </w:numPr>
              <w:tabs>
                <w:tab w:val="left" w:pos="0"/>
              </w:tabs>
              <w:snapToGrid w:val="0"/>
              <w:spacing w:line="276" w:lineRule="auto"/>
              <w:ind w:left="0" w:firstLine="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监狱企业、残疾人福利性单位视同小型、微型企业，享受价格扣除。</w:t>
            </w:r>
          </w:p>
          <w:p>
            <w:pPr>
              <w:widowControl w:val="0"/>
              <w:numPr>
                <w:ilvl w:val="0"/>
                <w:numId w:val="43"/>
              </w:numPr>
              <w:tabs>
                <w:tab w:val="left" w:pos="0"/>
              </w:tabs>
              <w:snapToGrid w:val="0"/>
              <w:spacing w:line="276" w:lineRule="auto"/>
              <w:ind w:left="0" w:firstLine="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残疾人福利性单位属于小型、微型企业的，不重复享受政策。</w:t>
            </w:r>
          </w:p>
          <w:p>
            <w:pPr>
              <w:widowControl w:val="0"/>
              <w:numPr>
                <w:ilvl w:val="0"/>
                <w:numId w:val="43"/>
              </w:numPr>
              <w:tabs>
                <w:tab w:val="left" w:pos="0"/>
              </w:tabs>
              <w:snapToGrid w:val="0"/>
              <w:spacing w:line="276" w:lineRule="auto"/>
              <w:ind w:left="0" w:firstLine="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中小企业：是指在中华人民共和国境内依法设立，投标文件中提供中小企业声明函且符合《政府采购促进中小企业发展管理办法》（财库〔2020〕46号）规定的要求。符合中小企业划分标准的个体工商户，在政府采购活动中视同中小企业；</w:t>
            </w:r>
          </w:p>
          <w:p>
            <w:pPr>
              <w:widowControl w:val="0"/>
              <w:numPr>
                <w:ilvl w:val="0"/>
                <w:numId w:val="43"/>
              </w:numPr>
              <w:tabs>
                <w:tab w:val="left" w:pos="0"/>
              </w:tabs>
              <w:snapToGrid w:val="0"/>
              <w:spacing w:line="276" w:lineRule="auto"/>
              <w:ind w:left="0" w:firstLine="0"/>
              <w:jc w:val="both"/>
              <w:rPr>
                <w:rFonts w:asciiTheme="minorEastAsia" w:hAnsiTheme="minorEastAsia" w:eastAsiaTheme="minorEastAsia"/>
                <w:color w:val="auto"/>
                <w:szCs w:val="21"/>
              </w:rPr>
            </w:pPr>
            <w:r>
              <w:rPr>
                <w:rFonts w:hint="eastAsia" w:asciiTheme="minorEastAsia" w:hAnsiTheme="minorEastAsia" w:eastAsiaTheme="minorEastAsia"/>
                <w:color w:val="auto"/>
                <w:szCs w:val="21"/>
              </w:rPr>
              <w:t>残疾人福利性单位是指磋商响应文件中提供残疾人福利性单位声明函且符合《财政部 民政部 中国残疾人联合会关于促进残疾人就业政府采购政策的通知》（财库〔2017〕141号）的规定。</w:t>
            </w:r>
          </w:p>
          <w:p>
            <w:pPr>
              <w:spacing w:line="276" w:lineRule="auto"/>
              <w:rPr>
                <w:rFonts w:cs="Arial" w:asciiTheme="minorEastAsia" w:hAnsiTheme="minorEastAsia" w:eastAsiaTheme="minorEastAsia"/>
                <w:b/>
                <w:bCs/>
                <w:color w:val="auto"/>
                <w:kern w:val="28"/>
                <w:szCs w:val="21"/>
              </w:rPr>
            </w:pPr>
            <w:r>
              <w:rPr>
                <w:rFonts w:hint="eastAsia" w:cs="宋体" w:asciiTheme="minorEastAsia" w:hAnsiTheme="minorEastAsia" w:eastAsiaTheme="minorEastAsia"/>
                <w:color w:val="auto"/>
                <w:szCs w:val="21"/>
              </w:rPr>
              <w:t>监狱企业参加政府采购活动时，应当提供由省级以上监狱管理局、戒毒管理局（含新疆生产建设兵团）出具的属于监狱企业的证明文件。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810" w:type="dxa"/>
            <w:vAlign w:val="center"/>
          </w:tcPr>
          <w:p>
            <w:pPr>
              <w:spacing w:line="276" w:lineRule="auto"/>
              <w:jc w:val="center"/>
              <w:rPr>
                <w:rFonts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2</w:t>
            </w:r>
          </w:p>
        </w:tc>
        <w:tc>
          <w:tcPr>
            <w:tcW w:w="1290" w:type="dxa"/>
            <w:vAlign w:val="center"/>
          </w:tcPr>
          <w:p>
            <w:pPr>
              <w:spacing w:line="276" w:lineRule="auto"/>
              <w:jc w:val="center"/>
              <w:rPr>
                <w:rFonts w:cs="Arial" w:asciiTheme="minorEastAsia" w:hAnsiTheme="minorEastAsia" w:eastAsiaTheme="minorEastAsia"/>
                <w:b/>
                <w:bCs/>
                <w:color w:val="auto"/>
                <w:kern w:val="28"/>
                <w:szCs w:val="21"/>
              </w:rPr>
            </w:pPr>
            <w:r>
              <w:rPr>
                <w:rFonts w:hint="eastAsia" w:cs="Arial" w:asciiTheme="minorEastAsia" w:hAnsiTheme="minorEastAsia" w:eastAsiaTheme="minorEastAsia"/>
                <w:b/>
                <w:bCs/>
                <w:color w:val="auto"/>
                <w:kern w:val="28"/>
                <w:szCs w:val="21"/>
              </w:rPr>
              <w:t>报价评审</w:t>
            </w:r>
          </w:p>
        </w:tc>
        <w:tc>
          <w:tcPr>
            <w:tcW w:w="7155" w:type="dxa"/>
            <w:gridSpan w:val="3"/>
            <w:tcBorders>
              <w:top w:val="single" w:color="auto" w:sz="4" w:space="0"/>
              <w:bottom w:val="single" w:color="auto" w:sz="4" w:space="0"/>
            </w:tcBorders>
            <w:vAlign w:val="center"/>
          </w:tcPr>
          <w:p>
            <w:pPr>
              <w:spacing w:line="276" w:lineRule="auto"/>
              <w:rPr>
                <w:rFonts w:asciiTheme="minorEastAsia" w:hAnsiTheme="minorEastAsia" w:eastAsiaTheme="minorEastAsia"/>
                <w:color w:val="auto"/>
                <w:szCs w:val="21"/>
              </w:rPr>
            </w:pPr>
            <w:r>
              <w:rPr>
                <w:rFonts w:hint="eastAsia" w:cs="Arial" w:asciiTheme="minorEastAsia" w:hAnsiTheme="minorEastAsia" w:eastAsiaTheme="minorEastAsia"/>
                <w:bCs/>
                <w:color w:val="auto"/>
                <w:kern w:val="28"/>
                <w:szCs w:val="21"/>
              </w:rPr>
              <w:t>1、</w:t>
            </w:r>
            <w:r>
              <w:rPr>
                <w:rFonts w:hint="eastAsia" w:asciiTheme="minorEastAsia" w:hAnsiTheme="minorEastAsia" w:eastAsiaTheme="minorEastAsia"/>
                <w:color w:val="auto"/>
                <w:szCs w:val="21"/>
              </w:rPr>
              <w:t>报价评审时发现价格计算有误，将按下述原则修正：</w:t>
            </w:r>
          </w:p>
          <w:p>
            <w:pPr>
              <w:numPr>
                <w:ilvl w:val="0"/>
                <w:numId w:val="44"/>
              </w:numPr>
              <w:tabs>
                <w:tab w:val="left" w:pos="0"/>
                <w:tab w:val="left" w:pos="420"/>
                <w:tab w:val="clear" w:pos="1560"/>
              </w:tabs>
              <w:snapToGrid w:val="0"/>
              <w:spacing w:line="276" w:lineRule="auto"/>
              <w:ind w:left="0" w:firstLine="0"/>
              <w:rPr>
                <w:rFonts w:asciiTheme="minorEastAsia" w:hAnsiTheme="minorEastAsia" w:eastAsiaTheme="minorEastAsia"/>
                <w:b/>
                <w:color w:val="auto"/>
                <w:szCs w:val="21"/>
              </w:rPr>
            </w:pPr>
            <w:r>
              <w:rPr>
                <w:rFonts w:hint="eastAsia" w:ascii="Arial" w:hAnsi="Arial"/>
                <w:b/>
                <w:color w:val="auto"/>
                <w:u w:val="wave"/>
              </w:rPr>
              <w:t>磋商供应商上传的《</w:t>
            </w:r>
            <w:r>
              <w:rPr>
                <w:rFonts w:hint="eastAsia" w:asciiTheme="minorEastAsia" w:hAnsiTheme="minorEastAsia" w:eastAsiaTheme="minorEastAsia"/>
                <w:b/>
                <w:color w:val="auto"/>
                <w:szCs w:val="21"/>
              </w:rPr>
              <w:t>报价文件</w:t>
            </w:r>
            <w:r>
              <w:rPr>
                <w:rFonts w:hint="eastAsia" w:ascii="Arial" w:hAnsi="Arial"/>
                <w:b/>
                <w:color w:val="auto"/>
                <w:u w:val="wave"/>
              </w:rPr>
              <w:t>》中报价一览表填写</w:t>
            </w:r>
            <w:r>
              <w:rPr>
                <w:rFonts w:hint="eastAsia" w:asciiTheme="minorEastAsia" w:hAnsiTheme="minorEastAsia" w:eastAsiaTheme="minorEastAsia"/>
                <w:b/>
                <w:color w:val="auto"/>
                <w:szCs w:val="21"/>
              </w:rPr>
              <w:t>和系统上开标一览表里填写的金额不一致时，以磋商供应商上传的《报价文件》为准，对磋商供应商的报价进行修正；</w:t>
            </w:r>
          </w:p>
          <w:p>
            <w:pPr>
              <w:numPr>
                <w:ilvl w:val="0"/>
                <w:numId w:val="44"/>
              </w:numPr>
              <w:tabs>
                <w:tab w:val="left" w:pos="0"/>
                <w:tab w:val="left" w:pos="420"/>
                <w:tab w:val="clear" w:pos="1560"/>
              </w:tabs>
              <w:snapToGrid w:val="0"/>
              <w:spacing w:line="276" w:lineRule="auto"/>
              <w:ind w:left="0"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大写金额和小写金额不一致的，以大写金额为准；</w:t>
            </w:r>
          </w:p>
          <w:p>
            <w:pPr>
              <w:numPr>
                <w:ilvl w:val="0"/>
                <w:numId w:val="44"/>
              </w:numPr>
              <w:tabs>
                <w:tab w:val="left" w:pos="0"/>
                <w:tab w:val="left" w:pos="420"/>
                <w:tab w:val="clear" w:pos="1560"/>
              </w:tabs>
              <w:snapToGrid w:val="0"/>
              <w:spacing w:line="276" w:lineRule="auto"/>
              <w:ind w:left="0"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单价金额小数点或者百分比有明显错位的，以总价为准，并修正单价；</w:t>
            </w:r>
          </w:p>
          <w:p>
            <w:pPr>
              <w:numPr>
                <w:ilvl w:val="0"/>
                <w:numId w:val="44"/>
              </w:numPr>
              <w:tabs>
                <w:tab w:val="left" w:pos="0"/>
                <w:tab w:val="left" w:pos="420"/>
                <w:tab w:val="clear" w:pos="1560"/>
              </w:tabs>
              <w:snapToGrid w:val="0"/>
              <w:spacing w:line="276" w:lineRule="auto"/>
              <w:ind w:left="0"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总价金额与按单价汇总金额不一致的，以单价金额计算结果为准；</w:t>
            </w:r>
          </w:p>
          <w:p>
            <w:pPr>
              <w:numPr>
                <w:ilvl w:val="0"/>
                <w:numId w:val="44"/>
              </w:numPr>
              <w:tabs>
                <w:tab w:val="left" w:pos="0"/>
                <w:tab w:val="left" w:pos="420"/>
                <w:tab w:val="clear" w:pos="1560"/>
              </w:tabs>
              <w:snapToGrid w:val="0"/>
              <w:spacing w:line="276" w:lineRule="auto"/>
              <w:ind w:left="0"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如以文字表示的数据与数字表示的有差别，以文字为准修正数字；</w:t>
            </w:r>
          </w:p>
          <w:p>
            <w:pPr>
              <w:numPr>
                <w:ilvl w:val="0"/>
                <w:numId w:val="44"/>
              </w:numPr>
              <w:tabs>
                <w:tab w:val="left" w:pos="0"/>
                <w:tab w:val="left" w:pos="420"/>
                <w:tab w:val="clear" w:pos="1560"/>
              </w:tabs>
              <w:snapToGrid w:val="0"/>
              <w:spacing w:line="276" w:lineRule="auto"/>
              <w:ind w:left="0"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如磋商供应商的磋商响应文件前后矛盾，评委会将作出不利于磋商供应商的修正。</w:t>
            </w:r>
          </w:p>
          <w:p>
            <w:pPr>
              <w:tabs>
                <w:tab w:val="left" w:pos="0"/>
                <w:tab w:val="left" w:pos="420"/>
              </w:tabs>
              <w:snapToGrid w:val="0"/>
              <w:spacing w:line="276"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注（1）~（5）同时出现两种以上不一致的，按照前款规定的顺序修正。修正后的报价按照相关法律规定经磋商供应商确认后产生约束力，磋商供应商不确认的，其投标无效。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vAlign w:val="center"/>
          </w:tcPr>
          <w:p>
            <w:pPr>
              <w:spacing w:line="276" w:lineRule="auto"/>
              <w:ind w:right="3"/>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（五）</w:t>
            </w:r>
          </w:p>
        </w:tc>
        <w:tc>
          <w:tcPr>
            <w:tcW w:w="1290" w:type="dxa"/>
            <w:vAlign w:val="center"/>
          </w:tcPr>
          <w:p>
            <w:pPr>
              <w:spacing w:line="276" w:lineRule="auto"/>
              <w:ind w:right="3"/>
              <w:jc w:val="center"/>
              <w:rPr>
                <w:rFonts w:asciiTheme="minorEastAsia" w:hAnsiTheme="minorEastAsia" w:eastAsiaTheme="minorEastAsia"/>
                <w:b/>
                <w:color w:val="auto"/>
                <w:szCs w:val="21"/>
              </w:rPr>
            </w:pPr>
            <w:r>
              <w:rPr>
                <w:rFonts w:hint="eastAsia" w:asciiTheme="minorEastAsia" w:hAnsiTheme="minorEastAsia" w:eastAsiaTheme="minorEastAsia"/>
                <w:b/>
                <w:bCs/>
                <w:color w:val="auto"/>
                <w:szCs w:val="21"/>
              </w:rPr>
              <w:t>技术商务</w:t>
            </w:r>
            <w:r>
              <w:rPr>
                <w:rFonts w:asciiTheme="minorEastAsia" w:hAnsiTheme="minorEastAsia" w:eastAsiaTheme="minorEastAsia"/>
                <w:b/>
                <w:color w:val="auto"/>
                <w:szCs w:val="21"/>
              </w:rPr>
              <w:t>评分</w:t>
            </w:r>
          </w:p>
        </w:tc>
        <w:tc>
          <w:tcPr>
            <w:tcW w:w="7155" w:type="dxa"/>
            <w:gridSpan w:val="3"/>
            <w:tcBorders>
              <w:top w:val="single" w:color="auto" w:sz="4" w:space="0"/>
              <w:bottom w:val="single" w:color="auto" w:sz="4" w:space="0"/>
            </w:tcBorders>
            <w:vAlign w:val="center"/>
          </w:tcPr>
          <w:p>
            <w:pPr>
              <w:widowControl w:val="0"/>
              <w:tabs>
                <w:tab w:val="left" w:pos="993"/>
                <w:tab w:val="left" w:pos="1276"/>
              </w:tabs>
              <w:spacing w:line="276" w:lineRule="auto"/>
              <w:ind w:left="1276" w:hanging="425"/>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合计</w:t>
            </w:r>
            <w:r>
              <w:rPr>
                <w:rFonts w:hint="eastAsia" w:asciiTheme="minorEastAsia" w:hAnsiTheme="minorEastAsia" w:eastAsiaTheme="minorEastAsia"/>
                <w:b/>
                <w:color w:val="auto"/>
                <w:szCs w:val="21"/>
                <w:lang w:val="en-US" w:eastAsia="zh-CN"/>
              </w:rPr>
              <w:t>6</w:t>
            </w:r>
            <w:r>
              <w:rPr>
                <w:rFonts w:hint="eastAsia" w:asciiTheme="minorEastAsia" w:hAnsiTheme="minorEastAsia" w:eastAsiaTheme="minorEastAsia"/>
                <w:b/>
                <w:color w:val="auto"/>
                <w:szCs w:val="21"/>
              </w:rPr>
              <w:t>0</w:t>
            </w:r>
            <w:r>
              <w:rPr>
                <w:rFonts w:asciiTheme="minorEastAsia" w:hAnsiTheme="minorEastAsia" w:eastAsia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0" w:type="dxa"/>
            <w:vAlign w:val="center"/>
          </w:tcPr>
          <w:p>
            <w:pPr>
              <w:spacing w:line="276" w:lineRule="auto"/>
              <w:ind w:left="-50"/>
              <w:jc w:val="center"/>
              <w:rPr>
                <w:rFonts w:asciiTheme="minorEastAsia" w:hAnsiTheme="minorEastAsia" w:eastAsiaTheme="minorEastAsia"/>
                <w:snapToGrid w:val="0"/>
                <w:color w:val="auto"/>
                <w:szCs w:val="21"/>
              </w:rPr>
            </w:pPr>
            <w:r>
              <w:rPr>
                <w:rFonts w:hint="eastAsia" w:asciiTheme="minorEastAsia" w:hAnsiTheme="minorEastAsia" w:eastAsiaTheme="minorEastAsia"/>
                <w:snapToGrid w:val="0"/>
                <w:color w:val="auto"/>
                <w:szCs w:val="21"/>
              </w:rPr>
              <w:t>序号</w:t>
            </w:r>
          </w:p>
        </w:tc>
        <w:tc>
          <w:tcPr>
            <w:tcW w:w="1290" w:type="dxa"/>
            <w:vAlign w:val="center"/>
          </w:tcPr>
          <w:p>
            <w:pPr>
              <w:spacing w:line="276" w:lineRule="auto"/>
              <w:ind w:left="-50"/>
              <w:jc w:val="center"/>
              <w:rPr>
                <w:rFonts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评分内容</w:t>
            </w:r>
          </w:p>
        </w:tc>
        <w:tc>
          <w:tcPr>
            <w:tcW w:w="722" w:type="dxa"/>
            <w:tcBorders>
              <w:top w:val="single" w:color="auto" w:sz="4" w:space="0"/>
              <w:bottom w:val="single" w:color="auto" w:sz="4" w:space="0"/>
            </w:tcBorders>
            <w:vAlign w:val="center"/>
          </w:tcPr>
          <w:p>
            <w:pPr>
              <w:spacing w:line="276" w:lineRule="auto"/>
              <w:jc w:val="center"/>
              <w:rPr>
                <w:rFonts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分数值</w:t>
            </w:r>
          </w:p>
        </w:tc>
        <w:tc>
          <w:tcPr>
            <w:tcW w:w="6433" w:type="dxa"/>
            <w:gridSpan w:val="2"/>
            <w:tcBorders>
              <w:top w:val="single" w:color="auto" w:sz="4" w:space="0"/>
              <w:bottom w:val="single" w:color="auto" w:sz="4" w:space="0"/>
            </w:tcBorders>
            <w:vAlign w:val="center"/>
          </w:tcPr>
          <w:p>
            <w:pPr>
              <w:spacing w:line="276" w:lineRule="auto"/>
              <w:ind w:left="-50"/>
              <w:jc w:val="center"/>
              <w:rPr>
                <w:rFonts w:cs="Arial" w:asciiTheme="minorEastAsia" w:hAnsiTheme="minorEastAsia" w:eastAsiaTheme="minorEastAsia"/>
                <w:bCs/>
                <w:color w:val="auto"/>
                <w:kern w:val="28"/>
                <w:szCs w:val="21"/>
              </w:rPr>
            </w:pPr>
            <w:r>
              <w:rPr>
                <w:rFonts w:hint="eastAsia" w:cs="Arial" w:asciiTheme="minorEastAsia" w:hAnsiTheme="minorEastAsia" w:eastAsiaTheme="minorEastAsia"/>
                <w:bCs/>
                <w:color w:val="auto"/>
                <w:kern w:val="2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810" w:type="dxa"/>
            <w:vAlign w:val="center"/>
          </w:tcPr>
          <w:p>
            <w:pPr>
              <w:keepNext w:val="0"/>
              <w:keepLines w:val="0"/>
              <w:pageBreakBefore w:val="0"/>
              <w:widowControl/>
              <w:kinsoku/>
              <w:wordWrap/>
              <w:overflowPunct/>
              <w:topLinePunct w:val="0"/>
              <w:autoSpaceDE/>
              <w:autoSpaceDN/>
              <w:bidi w:val="0"/>
              <w:adjustRightInd/>
              <w:snapToGrid/>
              <w:spacing w:line="320" w:lineRule="exact"/>
              <w:ind w:right="3" w:rightChars="0"/>
              <w:jc w:val="center"/>
              <w:textAlignment w:val="auto"/>
              <w:rPr>
                <w:rFonts w:asciiTheme="minorEastAsia" w:hAnsiTheme="minorEastAsia" w:eastAsiaTheme="minorEastAsia"/>
                <w:b/>
                <w:color w:val="auto"/>
                <w:szCs w:val="21"/>
              </w:rPr>
            </w:pPr>
            <w:r>
              <w:rPr>
                <w:rFonts w:hint="eastAsia" w:ascii="宋体" w:hAnsi="宋体" w:cs="宋体"/>
                <w:color w:val="auto"/>
                <w:szCs w:val="21"/>
                <w:highlight w:val="none"/>
              </w:rPr>
              <w:t>1</w:t>
            </w:r>
          </w:p>
        </w:tc>
        <w:tc>
          <w:tcPr>
            <w:tcW w:w="1290" w:type="dxa"/>
            <w:vAlign w:val="center"/>
          </w:tcPr>
          <w:p>
            <w:pPr>
              <w:keepNext w:val="0"/>
              <w:keepLines w:val="0"/>
              <w:pageBreakBefore w:val="0"/>
              <w:widowControl/>
              <w:kinsoku/>
              <w:wordWrap/>
              <w:overflowPunct/>
              <w:topLinePunct w:val="0"/>
              <w:autoSpaceDE/>
              <w:autoSpaceDN/>
              <w:bidi w:val="0"/>
              <w:spacing w:line="320" w:lineRule="exact"/>
              <w:ind w:left="-50" w:leftChars="0"/>
              <w:jc w:val="center"/>
              <w:textAlignment w:val="auto"/>
              <w:rPr>
                <w:rFonts w:asciiTheme="minorEastAsia" w:hAnsiTheme="minorEastAsia" w:eastAsiaTheme="minorEastAsia"/>
                <w:bCs/>
                <w:color w:val="auto"/>
                <w:szCs w:val="21"/>
              </w:rPr>
            </w:pP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rPr>
              <w:t>供应商综合实力</w:t>
            </w:r>
          </w:p>
        </w:tc>
        <w:tc>
          <w:tcPr>
            <w:tcW w:w="722" w:type="dxa"/>
            <w:tcBorders>
              <w:top w:val="single" w:color="auto" w:sz="4" w:space="0"/>
            </w:tcBorders>
            <w:vAlign w:val="center"/>
          </w:tcPr>
          <w:p>
            <w:pPr>
              <w:keepNext w:val="0"/>
              <w:keepLines w:val="0"/>
              <w:pageBreakBefore w:val="0"/>
              <w:widowControl/>
              <w:kinsoku/>
              <w:wordWrap/>
              <w:overflowPunct/>
              <w:topLinePunct w:val="0"/>
              <w:autoSpaceDE/>
              <w:autoSpaceDN/>
              <w:bidi w:val="0"/>
              <w:spacing w:line="320" w:lineRule="exact"/>
              <w:ind w:left="-50" w:leftChars="0"/>
              <w:jc w:val="center"/>
              <w:textAlignment w:val="auto"/>
              <w:rPr>
                <w:rFonts w:cs="Arial" w:asciiTheme="minorEastAsia" w:hAnsiTheme="minorEastAsia" w:eastAsiaTheme="minorEastAsia"/>
                <w:bCs/>
                <w:color w:val="auto"/>
                <w:kern w:val="28"/>
                <w:szCs w:val="21"/>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33" w:type="dxa"/>
            <w:gridSpan w:val="2"/>
            <w:tcBorders>
              <w:top w:val="single" w:color="auto"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spacing w:line="320" w:lineRule="exact"/>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具有信息技术服务管理体系证书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信息安全管理体系证书</w:t>
            </w:r>
            <w:r>
              <w:rPr>
                <w:rFonts w:hint="eastAsia" w:ascii="宋体" w:hAnsi="宋体" w:eastAsia="宋体" w:cs="宋体"/>
                <w:color w:val="auto"/>
                <w:sz w:val="21"/>
                <w:szCs w:val="21"/>
                <w:highlight w:val="none"/>
                <w:lang w:val="en-US" w:eastAsia="zh-CN"/>
              </w:rPr>
              <w:t>的，每提供一项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pPr>
              <w:pStyle w:val="2"/>
              <w:keepNext w:val="0"/>
              <w:keepLines w:val="0"/>
              <w:pageBreakBefore w:val="0"/>
              <w:widowControl/>
              <w:kinsoku/>
              <w:wordWrap/>
              <w:overflowPunct/>
              <w:topLinePunct w:val="0"/>
              <w:autoSpaceDE/>
              <w:autoSpaceDN/>
              <w:bidi w:val="0"/>
              <w:spacing w:line="320" w:lineRule="exact"/>
              <w:ind w:left="0" w:leftChars="0" w:firstLine="0" w:firstLineChars="0"/>
              <w:jc w:val="left"/>
              <w:textAlignment w:val="auto"/>
              <w:rPr>
                <w:rFonts w:cs="宋体" w:asciiTheme="minorEastAsia" w:hAnsiTheme="minorEastAsia" w:eastAsiaTheme="minorEastAsia"/>
                <w:color w:val="auto"/>
              </w:rPr>
            </w:pPr>
            <w:r>
              <w:rPr>
                <w:rFonts w:hint="eastAsia" w:ascii="宋体" w:hAnsi="宋体" w:eastAsia="宋体" w:cs="宋体"/>
                <w:b/>
                <w:bCs/>
                <w:color w:val="auto"/>
                <w:kern w:val="2"/>
                <w:sz w:val="21"/>
                <w:szCs w:val="21"/>
                <w:highlight w:val="none"/>
              </w:rPr>
              <w:t>(注：须提供以上证书扫描件加盖单位公章，并在全国认证认可信息公共服务平台(http://cx.cnca.cn/CertECloud/result/skipResultList）查询到相关证书信息，否则不得分；以官网查询结果为准。如因系统故障无法查询，则以供应商提供的证明材料为准。提供以上证书扫描件加盖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810" w:type="dxa"/>
            <w:vAlign w:val="center"/>
          </w:tcPr>
          <w:p>
            <w:pPr>
              <w:keepNext w:val="0"/>
              <w:keepLines w:val="0"/>
              <w:pageBreakBefore w:val="0"/>
              <w:widowControl/>
              <w:kinsoku/>
              <w:wordWrap/>
              <w:overflowPunct/>
              <w:topLinePunct w:val="0"/>
              <w:autoSpaceDE/>
              <w:autoSpaceDN/>
              <w:bidi w:val="0"/>
              <w:spacing w:line="320" w:lineRule="exact"/>
              <w:ind w:left="-50" w:leftChars="0"/>
              <w:jc w:val="center"/>
              <w:textAlignment w:val="auto"/>
              <w:rPr>
                <w:rFonts w:hint="eastAsia" w:asciiTheme="minorEastAsia" w:hAnsiTheme="minorEastAsia" w:eastAsiaTheme="minorEastAsia"/>
                <w:color w:val="auto"/>
                <w:szCs w:val="21"/>
                <w:lang w:eastAsia="zh-CN"/>
              </w:rPr>
            </w:pPr>
            <w:r>
              <w:rPr>
                <w:rFonts w:hint="eastAsia" w:ascii="宋体" w:hAnsi="宋体" w:cs="宋体" w:eastAsiaTheme="minorEastAsia"/>
                <w:snapToGrid w:val="0"/>
                <w:color w:val="auto"/>
                <w:szCs w:val="21"/>
                <w:highlight w:val="none"/>
                <w:lang w:val="en-US" w:eastAsia="zh-CN"/>
              </w:rPr>
              <w:t>2</w:t>
            </w:r>
          </w:p>
        </w:tc>
        <w:tc>
          <w:tcPr>
            <w:tcW w:w="1290" w:type="dxa"/>
            <w:vAlign w:val="center"/>
          </w:tcPr>
          <w:p>
            <w:pPr>
              <w:keepNext w:val="0"/>
              <w:keepLines w:val="0"/>
              <w:pageBreakBefore w:val="0"/>
              <w:widowControl/>
              <w:kinsoku/>
              <w:wordWrap/>
              <w:overflowPunct/>
              <w:topLinePunct w:val="0"/>
              <w:autoSpaceDE/>
              <w:autoSpaceDN/>
              <w:bidi w:val="0"/>
              <w:spacing w:line="320" w:lineRule="exact"/>
              <w:ind w:left="-50" w:leftChars="0"/>
              <w:jc w:val="center"/>
              <w:textAlignment w:val="auto"/>
              <w:rPr>
                <w:rFonts w:cs="Arial" w:asciiTheme="minorEastAsia" w:hAnsiTheme="minorEastAsia" w:eastAsiaTheme="minorEastAsia"/>
                <w:bCs/>
                <w:color w:val="auto"/>
                <w:kern w:val="28"/>
                <w:szCs w:val="21"/>
              </w:rPr>
            </w:pPr>
            <w:r>
              <w:rPr>
                <w:rFonts w:hint="eastAsia" w:ascii="宋体" w:hAnsi="宋体" w:eastAsia="宋体" w:cs="宋体"/>
                <w:color w:val="auto"/>
                <w:kern w:val="0"/>
                <w:sz w:val="21"/>
                <w:szCs w:val="21"/>
                <w:highlight w:val="none"/>
                <w:shd w:val="clear" w:color="auto" w:fill="auto"/>
              </w:rPr>
              <w:t>业绩</w:t>
            </w:r>
          </w:p>
        </w:tc>
        <w:tc>
          <w:tcPr>
            <w:tcW w:w="722"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cs="Arial" w:asciiTheme="minorEastAsia" w:hAnsiTheme="minorEastAsia" w:eastAsiaTheme="minorEastAsia"/>
                <w:bCs/>
                <w:color w:val="auto"/>
                <w:kern w:val="28"/>
                <w:szCs w:val="21"/>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分</w:t>
            </w:r>
          </w:p>
        </w:tc>
        <w:tc>
          <w:tcPr>
            <w:tcW w:w="6433" w:type="dxa"/>
            <w:gridSpan w:val="2"/>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磋商供应商201</w:t>
            </w:r>
            <w:r>
              <w:rPr>
                <w:rFonts w:hint="eastAsia" w:ascii="宋体" w:hAnsi="宋体" w:eastAsia="宋体" w:cs="宋体"/>
                <w:color w:val="auto"/>
                <w:kern w:val="0"/>
                <w:sz w:val="21"/>
                <w:szCs w:val="21"/>
                <w:highlight w:val="none"/>
                <w:shd w:val="clear" w:color="auto" w:fill="auto"/>
                <w:lang w:val="en-US" w:eastAsia="zh-CN"/>
              </w:rPr>
              <w:t>8</w:t>
            </w:r>
            <w:r>
              <w:rPr>
                <w:rFonts w:hint="eastAsia" w:ascii="宋体" w:hAnsi="宋体" w:eastAsia="宋体" w:cs="宋体"/>
                <w:color w:val="auto"/>
                <w:kern w:val="0"/>
                <w:sz w:val="21"/>
                <w:szCs w:val="21"/>
                <w:highlight w:val="none"/>
                <w:shd w:val="clear" w:color="auto" w:fill="auto"/>
              </w:rPr>
              <w:t>年1月1日以来的</w:t>
            </w:r>
            <w:r>
              <w:rPr>
                <w:rFonts w:hint="eastAsia" w:ascii="宋体" w:hAnsi="宋体" w:eastAsia="宋体" w:cs="宋体"/>
                <w:color w:val="auto"/>
                <w:kern w:val="0"/>
                <w:sz w:val="21"/>
                <w:szCs w:val="21"/>
                <w:highlight w:val="none"/>
                <w:shd w:val="clear" w:color="auto" w:fill="auto"/>
                <w:lang w:eastAsia="zh-CN"/>
              </w:rPr>
              <w:t>同类</w:t>
            </w:r>
            <w:r>
              <w:rPr>
                <w:rFonts w:hint="eastAsia" w:ascii="宋体" w:hAnsi="宋体" w:eastAsia="宋体" w:cs="宋体"/>
                <w:color w:val="auto"/>
                <w:kern w:val="0"/>
                <w:sz w:val="21"/>
                <w:szCs w:val="21"/>
                <w:highlight w:val="none"/>
                <w:shd w:val="clear" w:color="auto" w:fill="auto"/>
              </w:rPr>
              <w:t>项目业绩</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cs="宋体"/>
                <w:color w:val="auto"/>
                <w:kern w:val="0"/>
                <w:sz w:val="21"/>
                <w:szCs w:val="21"/>
                <w:highlight w:val="none"/>
                <w:shd w:val="clear" w:color="auto" w:fill="auto"/>
                <w:lang w:val="en-US" w:eastAsia="zh-CN"/>
              </w:rPr>
              <w:t>服务内容</w:t>
            </w:r>
            <w:r>
              <w:rPr>
                <w:rFonts w:hint="eastAsia" w:ascii="宋体" w:hAnsi="宋体" w:eastAsia="宋体" w:cs="宋体"/>
                <w:color w:val="auto"/>
                <w:kern w:val="0"/>
                <w:sz w:val="21"/>
                <w:szCs w:val="21"/>
                <w:highlight w:val="none"/>
                <w:shd w:val="clear" w:color="auto" w:fill="auto"/>
                <w:lang w:val="en-US" w:eastAsia="zh-CN"/>
              </w:rPr>
              <w:t>需包含本</w:t>
            </w:r>
            <w:r>
              <w:rPr>
                <w:rFonts w:hint="eastAsia" w:ascii="宋体" w:hAnsi="宋体" w:cs="宋体"/>
                <w:color w:val="auto"/>
                <w:kern w:val="0"/>
                <w:sz w:val="21"/>
                <w:szCs w:val="21"/>
                <w:highlight w:val="none"/>
                <w:shd w:val="clear" w:color="auto" w:fill="auto"/>
                <w:lang w:val="en-US" w:eastAsia="zh-CN"/>
              </w:rPr>
              <w:t>项目采购内容中</w:t>
            </w:r>
            <w:r>
              <w:rPr>
                <w:rFonts w:hint="eastAsia" w:ascii="宋体" w:hAnsi="宋体" w:eastAsia="宋体" w:cs="宋体"/>
                <w:color w:val="auto"/>
                <w:kern w:val="0"/>
                <w:sz w:val="21"/>
                <w:szCs w:val="21"/>
                <w:highlight w:val="none"/>
                <w:shd w:val="clear" w:color="auto" w:fill="auto"/>
                <w:lang w:val="en-US" w:eastAsia="zh-CN"/>
              </w:rPr>
              <w:t>6个及以上类似系统，否则</w:t>
            </w:r>
            <w:r>
              <w:rPr>
                <w:rFonts w:hint="eastAsia" w:ascii="宋体" w:hAnsi="宋体" w:cs="宋体"/>
                <w:color w:val="auto"/>
                <w:kern w:val="0"/>
                <w:sz w:val="21"/>
                <w:szCs w:val="21"/>
                <w:highlight w:val="none"/>
                <w:shd w:val="clear" w:color="auto" w:fill="auto"/>
                <w:lang w:val="en-US" w:eastAsia="zh-CN"/>
              </w:rPr>
              <w:t>不予计分</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rPr>
              <w:t>：每提供1个业绩得1分，最高得</w:t>
            </w: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rPr>
              <w:t>（注：业绩有效性认定：</w:t>
            </w:r>
            <w:r>
              <w:rPr>
                <w:rFonts w:hint="eastAsia" w:ascii="宋体" w:hAnsi="宋体" w:eastAsia="宋体" w:cs="宋体"/>
                <w:b/>
                <w:bCs/>
                <w:color w:val="auto"/>
                <w:kern w:val="0"/>
                <w:sz w:val="21"/>
                <w:szCs w:val="21"/>
                <w:highlight w:val="none"/>
                <w:shd w:val="clear" w:color="auto" w:fill="auto"/>
                <w:lang w:val="zh-CN"/>
              </w:rPr>
              <w:t>1.业绩以合同签订时间</w:t>
            </w:r>
            <w:r>
              <w:rPr>
                <w:rFonts w:hint="eastAsia" w:ascii="宋体" w:hAnsi="宋体" w:eastAsia="宋体" w:cs="宋体"/>
                <w:b/>
                <w:bCs/>
                <w:color w:val="auto"/>
                <w:kern w:val="0"/>
                <w:sz w:val="21"/>
                <w:szCs w:val="21"/>
                <w:highlight w:val="none"/>
                <w:shd w:val="clear" w:color="auto" w:fill="auto"/>
              </w:rPr>
              <w:t>或中标通知书签发时间</w:t>
            </w:r>
            <w:r>
              <w:rPr>
                <w:rFonts w:hint="eastAsia" w:ascii="宋体" w:hAnsi="宋体" w:eastAsia="宋体" w:cs="宋体"/>
                <w:b/>
                <w:bCs/>
                <w:color w:val="auto"/>
                <w:kern w:val="0"/>
                <w:sz w:val="21"/>
                <w:szCs w:val="21"/>
                <w:highlight w:val="none"/>
                <w:shd w:val="clear" w:color="auto" w:fill="auto"/>
                <w:lang w:val="zh-CN"/>
              </w:rPr>
              <w:t>为准。2.提供供货合同和发票或中标通知书和发票的扫描件加盖</w:t>
            </w:r>
            <w:r>
              <w:rPr>
                <w:rFonts w:hint="eastAsia" w:ascii="宋体" w:hAnsi="宋体" w:eastAsia="宋体" w:cs="宋体"/>
                <w:b/>
                <w:bCs/>
                <w:color w:val="auto"/>
                <w:kern w:val="0"/>
                <w:sz w:val="21"/>
                <w:szCs w:val="21"/>
                <w:highlight w:val="none"/>
                <w:shd w:val="clear" w:color="auto" w:fill="auto"/>
                <w:lang w:val="en-US" w:eastAsia="zh-CN"/>
              </w:rPr>
              <w:t>单位公章</w:t>
            </w:r>
            <w:r>
              <w:rPr>
                <w:rFonts w:hint="eastAsia" w:ascii="宋体" w:hAnsi="宋体" w:eastAsia="宋体" w:cs="宋体"/>
                <w:b/>
                <w:bCs/>
                <w:color w:val="auto"/>
                <w:kern w:val="0"/>
                <w:sz w:val="21"/>
                <w:szCs w:val="21"/>
                <w:highlight w:val="none"/>
                <w:shd w:val="clear" w:color="auto" w:fill="auto"/>
                <w:lang w:val="zh-CN"/>
              </w:rPr>
              <w:t>为准。</w:t>
            </w:r>
          </w:p>
          <w:p>
            <w:pPr>
              <w:keepNext w:val="0"/>
              <w:keepLines w:val="0"/>
              <w:pageBreakBefore w:val="0"/>
              <w:widowControl/>
              <w:kinsoku/>
              <w:wordWrap/>
              <w:overflowPunct/>
              <w:topLinePunct w:val="0"/>
              <w:autoSpaceDE/>
              <w:autoSpaceDN/>
              <w:bidi w:val="0"/>
              <w:spacing w:line="320" w:lineRule="exact"/>
              <w:jc w:val="left"/>
              <w:textAlignment w:val="auto"/>
              <w:rPr>
                <w:rFonts w:hint="eastAsia" w:eastAsia="宋体" w:asciiTheme="minorEastAsia" w:hAnsiTheme="minorEastAsia"/>
                <w:b/>
                <w:color w:val="auto"/>
                <w:szCs w:val="21"/>
                <w:lang w:eastAsia="zh-CN"/>
              </w:rPr>
            </w:pPr>
            <w:r>
              <w:rPr>
                <w:rFonts w:hint="eastAsia" w:ascii="宋体" w:hAnsi="宋体" w:eastAsia="宋体" w:cs="华文中宋"/>
                <w:bCs/>
                <w:color w:val="auto"/>
                <w:szCs w:val="21"/>
                <w:shd w:val="clear" w:color="auto" w:fill="auto"/>
              </w:rPr>
              <w:t>若以上证明材料无法明确体现</w:t>
            </w:r>
            <w:r>
              <w:rPr>
                <w:rFonts w:hint="eastAsia" w:ascii="宋体" w:hAnsi="宋体" w:cs="华文中宋"/>
                <w:bCs/>
                <w:color w:val="auto"/>
                <w:szCs w:val="21"/>
                <w:shd w:val="clear" w:color="auto" w:fill="auto"/>
                <w:lang w:val="en-US" w:eastAsia="zh-CN"/>
              </w:rPr>
              <w:t>项目服务内容的</w:t>
            </w:r>
            <w:r>
              <w:rPr>
                <w:rFonts w:hint="eastAsia" w:ascii="宋体" w:hAnsi="宋体" w:eastAsia="宋体" w:cs="华文中宋"/>
                <w:bCs/>
                <w:color w:val="auto"/>
                <w:szCs w:val="21"/>
                <w:shd w:val="clear" w:color="auto" w:fill="auto"/>
              </w:rPr>
              <w:t>，则须提供相关</w:t>
            </w:r>
            <w:r>
              <w:rPr>
                <w:rFonts w:hint="eastAsia" w:ascii="宋体" w:hAnsi="宋体" w:cs="华文中宋"/>
                <w:bCs/>
                <w:color w:val="auto"/>
                <w:szCs w:val="21"/>
                <w:shd w:val="clear" w:color="auto" w:fill="auto"/>
                <w:lang w:val="en-US" w:eastAsia="zh-CN"/>
              </w:rPr>
              <w:t>主管部门或采购人</w:t>
            </w:r>
            <w:r>
              <w:rPr>
                <w:rFonts w:hint="eastAsia" w:ascii="宋体" w:hAnsi="宋体" w:eastAsia="宋体" w:cs="华文中宋"/>
                <w:bCs/>
                <w:color w:val="auto"/>
                <w:szCs w:val="21"/>
                <w:shd w:val="clear" w:color="auto" w:fill="auto"/>
              </w:rPr>
              <w:t>出具的证明材料，否则业绩证明无效。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0" w:type="dxa"/>
            <w:vAlign w:val="center"/>
          </w:tcPr>
          <w:p>
            <w:pPr>
              <w:keepNext w:val="0"/>
              <w:keepLines w:val="0"/>
              <w:pageBreakBefore w:val="0"/>
              <w:widowControl/>
              <w:kinsoku/>
              <w:wordWrap/>
              <w:overflowPunct/>
              <w:topLinePunct w:val="0"/>
              <w:autoSpaceDE/>
              <w:autoSpaceDN/>
              <w:bidi w:val="0"/>
              <w:spacing w:line="320" w:lineRule="exact"/>
              <w:ind w:left="-50" w:leftChars="0"/>
              <w:jc w:val="center"/>
              <w:textAlignment w:val="auto"/>
              <w:rPr>
                <w:rFonts w:hint="default" w:ascii="宋体" w:hAnsi="宋体" w:cs="宋体" w:eastAsiaTheme="minorEastAsia"/>
                <w:strike/>
                <w:dstrike w:val="0"/>
                <w:snapToGrid w:val="0"/>
                <w:color w:val="auto"/>
                <w:szCs w:val="21"/>
                <w:highlight w:val="none"/>
                <w:lang w:val="en-US" w:eastAsia="zh-CN"/>
              </w:rPr>
            </w:pPr>
            <w:r>
              <w:rPr>
                <w:rFonts w:hint="eastAsia" w:ascii="宋体" w:hAnsi="宋体" w:cs="宋体" w:eastAsiaTheme="minorEastAsia"/>
                <w:strike w:val="0"/>
                <w:dstrike w:val="0"/>
                <w:snapToGrid w:val="0"/>
                <w:color w:val="auto"/>
                <w:szCs w:val="21"/>
                <w:highlight w:val="none"/>
                <w:lang w:val="en-US" w:eastAsia="zh-CN"/>
              </w:rPr>
              <w:t>3</w:t>
            </w:r>
          </w:p>
        </w:tc>
        <w:tc>
          <w:tcPr>
            <w:tcW w:w="1290" w:type="dxa"/>
            <w:vAlign w:val="center"/>
          </w:tcPr>
          <w:p>
            <w:pPr>
              <w:keepNext w:val="0"/>
              <w:keepLines w:val="0"/>
              <w:pageBreakBefore w:val="0"/>
              <w:widowControl/>
              <w:kinsoku/>
              <w:wordWrap/>
              <w:overflowPunct/>
              <w:topLinePunct w:val="0"/>
              <w:autoSpaceDE/>
              <w:autoSpaceDN/>
              <w:bidi w:val="0"/>
              <w:spacing w:line="320" w:lineRule="exact"/>
              <w:ind w:left="-50" w:lef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主要设备的选用情况</w:t>
            </w:r>
          </w:p>
        </w:tc>
        <w:tc>
          <w:tcPr>
            <w:tcW w:w="722"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6433" w:type="dxa"/>
            <w:gridSpan w:val="2"/>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LED信息发布系统：</w:t>
            </w:r>
            <w:r>
              <w:rPr>
                <w:rFonts w:hint="eastAsia" w:ascii="宋体" w:hAnsi="宋体" w:eastAsia="宋体" w:cs="宋体"/>
                <w:color w:val="auto"/>
                <w:kern w:val="0"/>
                <w:sz w:val="21"/>
                <w:szCs w:val="21"/>
                <w:highlight w:val="none"/>
                <w:lang w:val="en-US" w:eastAsia="zh-CN"/>
              </w:rPr>
              <w:t>根据设备的选型及主要参数的满足性</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spacing w:line="32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①优于的得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分；②基本满足的得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分；③稍有欠缺的得0-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spacing w:line="320" w:lineRule="exact"/>
              <w:jc w:val="both"/>
              <w:textAlignment w:val="auto"/>
              <w:rPr>
                <w:rFonts w:hint="eastAsia"/>
                <w:color w:val="auto"/>
                <w:lang w:val="en-US" w:eastAsia="zh-CN"/>
              </w:rPr>
            </w:pPr>
            <w:r>
              <w:rPr>
                <w:rFonts w:hint="eastAsia" w:ascii="宋体" w:hAnsi="宋体" w:eastAsia="宋体" w:cs="宋体"/>
                <w:color w:val="auto"/>
                <w:kern w:val="2"/>
                <w:sz w:val="21"/>
                <w:szCs w:val="21"/>
                <w:highlight w:val="none"/>
                <w:lang w:val="en-US" w:eastAsia="zh-CN" w:bidi="ar-SA"/>
              </w:rPr>
              <w:t>3.2</w:t>
            </w:r>
            <w:r>
              <w:rPr>
                <w:rFonts w:hint="eastAsia" w:ascii="宋体" w:hAnsi="宋体" w:cs="宋体"/>
                <w:color w:val="auto"/>
                <w:kern w:val="2"/>
                <w:sz w:val="21"/>
                <w:szCs w:val="21"/>
                <w:highlight w:val="none"/>
                <w:lang w:val="en-US" w:eastAsia="zh-CN" w:bidi="ar-SA"/>
              </w:rPr>
              <w:t>、多媒体会议系统：</w:t>
            </w:r>
            <w:r>
              <w:rPr>
                <w:rFonts w:hint="eastAsia" w:ascii="宋体" w:hAnsi="宋体" w:eastAsia="宋体" w:cs="宋体"/>
                <w:color w:val="auto"/>
                <w:kern w:val="0"/>
                <w:sz w:val="21"/>
                <w:szCs w:val="21"/>
                <w:highlight w:val="none"/>
                <w:lang w:val="en-US" w:eastAsia="zh-CN"/>
              </w:rPr>
              <w:t>根据设备的选型及主要参数的满足性</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①优于的得3.5-5分；②基本满足的得2-3.5分；③稍有欠缺的得0-2分。</w:t>
            </w:r>
          </w:p>
          <w:p>
            <w:pPr>
              <w:keepNext w:val="0"/>
              <w:keepLines w:val="0"/>
              <w:pageBreakBefore w:val="0"/>
              <w:widowControl/>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电子班牌系统：</w:t>
            </w:r>
            <w:r>
              <w:rPr>
                <w:rFonts w:hint="eastAsia" w:ascii="宋体" w:hAnsi="宋体" w:eastAsia="宋体" w:cs="宋体"/>
                <w:color w:val="auto"/>
                <w:kern w:val="0"/>
                <w:sz w:val="21"/>
                <w:szCs w:val="21"/>
                <w:highlight w:val="none"/>
                <w:lang w:val="en-US" w:eastAsia="zh-CN"/>
              </w:rPr>
              <w:t>根据设备的选型及主要参数的满足性</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①优于的得2.8-4分；②基本满足的得1.6-2.8分；③稍有欠缺的得0-1.6分。</w:t>
            </w:r>
          </w:p>
          <w:p>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3.4、校园广播系统：根据设备的选型及主要参数的满足性。（0-3分）</w:t>
            </w:r>
          </w:p>
          <w:p>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3.5、视频监控系统：根据设备的选型及主要参数的满足性。（0-3分）</w:t>
            </w:r>
          </w:p>
          <w:p>
            <w:pPr>
              <w:keepNext w:val="0"/>
              <w:keepLines w:val="0"/>
              <w:pageBreakBefore w:val="0"/>
              <w:widowControl/>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3.6、</w:t>
            </w:r>
            <w:r>
              <w:rPr>
                <w:rFonts w:hint="eastAsia" w:ascii="宋体" w:hAnsi="宋体" w:eastAsia="宋体" w:cs="宋体"/>
                <w:color w:val="auto"/>
                <w:kern w:val="2"/>
                <w:sz w:val="21"/>
                <w:szCs w:val="21"/>
                <w:highlight w:val="none"/>
                <w:lang w:val="en-US" w:eastAsia="zh-CN" w:bidi="ar-SA"/>
              </w:rPr>
              <w:t>停车场管理系统：</w:t>
            </w:r>
            <w:r>
              <w:rPr>
                <w:rFonts w:hint="eastAsia" w:ascii="宋体" w:hAnsi="宋体" w:eastAsia="宋体" w:cs="宋体"/>
                <w:color w:val="auto"/>
                <w:kern w:val="0"/>
                <w:sz w:val="21"/>
                <w:szCs w:val="21"/>
                <w:highlight w:val="none"/>
                <w:lang w:val="en-US" w:eastAsia="zh-CN"/>
              </w:rPr>
              <w:t>根据设备的选型及主要参数的满足性。</w:t>
            </w:r>
            <w:r>
              <w:rPr>
                <w:rFonts w:hint="eastAsia" w:ascii="宋体" w:hAnsi="宋体" w:eastAsia="宋体" w:cs="宋体"/>
                <w:color w:val="auto"/>
                <w:kern w:val="2"/>
                <w:sz w:val="21"/>
                <w:szCs w:val="21"/>
                <w:highlight w:val="none"/>
                <w:lang w:val="en-US" w:eastAsia="zh-CN" w:bidi="ar-SA"/>
              </w:rPr>
              <w:t>（0-2分）</w:t>
            </w:r>
          </w:p>
          <w:p>
            <w:pPr>
              <w:keepNext w:val="0"/>
              <w:keepLines w:val="0"/>
              <w:pageBreakBefore w:val="0"/>
              <w:widowControl/>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w:t>
            </w:r>
            <w:r>
              <w:rPr>
                <w:rFonts w:hint="eastAsia" w:ascii="宋体" w:hAnsi="宋体" w:eastAsia="宋体" w:cs="宋体"/>
                <w:color w:val="auto"/>
                <w:kern w:val="0"/>
                <w:sz w:val="21"/>
                <w:szCs w:val="21"/>
                <w:highlight w:val="none"/>
                <w:lang w:val="en-US" w:eastAsia="zh-CN"/>
              </w:rPr>
              <w:t>综合布线系统：根据设备的选型及主要参数的满足性。</w:t>
            </w:r>
            <w:r>
              <w:rPr>
                <w:rFonts w:hint="eastAsia" w:ascii="宋体" w:hAnsi="宋体" w:eastAsia="宋体" w:cs="宋体"/>
                <w:color w:val="auto"/>
                <w:kern w:val="2"/>
                <w:sz w:val="21"/>
                <w:szCs w:val="21"/>
                <w:highlight w:val="none"/>
                <w:lang w:val="en-US" w:eastAsia="zh-CN" w:bidi="ar-SA"/>
              </w:rPr>
              <w:t>（0-2分）</w:t>
            </w:r>
          </w:p>
          <w:p>
            <w:pPr>
              <w:keepNext w:val="0"/>
              <w:keepLines w:val="0"/>
              <w:pageBreakBefore w:val="0"/>
              <w:widowControl/>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3.8、</w:t>
            </w:r>
            <w:r>
              <w:rPr>
                <w:rFonts w:hint="eastAsia" w:ascii="Arial" w:hAnsi="Times New Roman" w:eastAsia="宋体" w:cs="Arial"/>
                <w:color w:val="auto"/>
                <w:kern w:val="0"/>
                <w:szCs w:val="21"/>
              </w:rPr>
              <w:t>计算机</w:t>
            </w:r>
            <w:r>
              <w:rPr>
                <w:rFonts w:ascii="Arial" w:hAnsi="Times New Roman" w:eastAsia="宋体" w:cs="Arial"/>
                <w:color w:val="auto"/>
                <w:kern w:val="0"/>
                <w:szCs w:val="21"/>
              </w:rPr>
              <w:t>网络系统</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rPr>
              <w:t>根据设备的选型及主要参数的满足性。</w:t>
            </w:r>
            <w:r>
              <w:rPr>
                <w:rFonts w:hint="eastAsia" w:ascii="宋体" w:hAnsi="宋体" w:eastAsia="宋体" w:cs="宋体"/>
                <w:color w:val="auto"/>
                <w:kern w:val="2"/>
                <w:sz w:val="21"/>
                <w:szCs w:val="21"/>
                <w:highlight w:val="none"/>
                <w:lang w:val="en-US" w:eastAsia="zh-CN" w:bidi="ar-SA"/>
              </w:rPr>
              <w:t>（0-2分）</w:t>
            </w:r>
          </w:p>
          <w:p>
            <w:pPr>
              <w:keepNext w:val="0"/>
              <w:keepLines w:val="0"/>
              <w:pageBreakBefore w:val="0"/>
              <w:widowControl/>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3.9、舞台灯光系统、</w:t>
            </w:r>
            <w:r>
              <w:rPr>
                <w:rFonts w:hint="eastAsia" w:ascii="Arial" w:cs="Arial"/>
                <w:color w:val="auto"/>
                <w:shd w:val="clear" w:color="auto" w:fill="auto"/>
                <w:lang w:val="en-US" w:eastAsia="zh-CN"/>
              </w:rPr>
              <w:t>舞台器械系统</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rPr>
              <w:t>根据设备的选型及主要参数的满足性。</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p>
            <w:pPr>
              <w:keepNext w:val="0"/>
              <w:keepLines w:val="0"/>
              <w:pageBreakBefore w:val="0"/>
              <w:widowControl/>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3.10、其他：</w:t>
            </w:r>
            <w:r>
              <w:rPr>
                <w:rFonts w:hint="eastAsia" w:ascii="宋体" w:hAnsi="宋体" w:eastAsia="宋体" w:cs="宋体"/>
                <w:color w:val="auto"/>
                <w:kern w:val="0"/>
                <w:sz w:val="21"/>
                <w:szCs w:val="21"/>
                <w:highlight w:val="none"/>
                <w:lang w:val="en-US" w:eastAsia="zh-CN"/>
              </w:rPr>
              <w:t>根据设备的选型及主要参数的满足性。</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0" w:type="dxa"/>
            <w:vMerge w:val="restart"/>
            <w:vAlign w:val="center"/>
          </w:tcPr>
          <w:p>
            <w:pPr>
              <w:keepNext w:val="0"/>
              <w:keepLines w:val="0"/>
              <w:pageBreakBefore w:val="0"/>
              <w:widowControl/>
              <w:kinsoku/>
              <w:wordWrap/>
              <w:overflowPunct/>
              <w:topLinePunct w:val="0"/>
              <w:autoSpaceDE/>
              <w:autoSpaceDN/>
              <w:bidi w:val="0"/>
              <w:spacing w:line="320" w:lineRule="exact"/>
              <w:ind w:right="3" w:firstLine="105" w:firstLineChars="50"/>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4</w:t>
            </w:r>
          </w:p>
        </w:tc>
        <w:tc>
          <w:tcPr>
            <w:tcW w:w="1290" w:type="dxa"/>
            <w:vMerge w:val="restart"/>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宋体" w:hAnsi="宋体" w:eastAsia="宋体" w:cs="宋体"/>
                <w:color w:val="auto"/>
                <w:kern w:val="0"/>
                <w:sz w:val="21"/>
                <w:szCs w:val="21"/>
                <w:highlight w:val="none"/>
                <w:shd w:val="clear" w:color="auto" w:fill="auto"/>
                <w:lang w:val="zh-CN" w:eastAsia="zh-CN" w:bidi="ar-SA"/>
              </w:rPr>
            </w:pPr>
            <w:r>
              <w:rPr>
                <w:rFonts w:hint="eastAsia" w:ascii="宋体" w:hAnsi="宋体" w:eastAsia="宋体" w:cs="宋体"/>
                <w:color w:val="auto"/>
                <w:kern w:val="0"/>
                <w:sz w:val="21"/>
                <w:szCs w:val="21"/>
                <w:highlight w:val="none"/>
                <w:shd w:val="clear" w:color="auto" w:fill="auto"/>
                <w:lang w:val="en-US" w:eastAsia="zh-CN"/>
              </w:rPr>
              <w:t>项目实施</w:t>
            </w:r>
            <w:r>
              <w:rPr>
                <w:rFonts w:hint="eastAsia" w:ascii="宋体" w:hAnsi="宋体" w:eastAsia="宋体" w:cs="宋体"/>
                <w:color w:val="auto"/>
                <w:kern w:val="0"/>
                <w:sz w:val="21"/>
                <w:szCs w:val="21"/>
                <w:highlight w:val="none"/>
                <w:shd w:val="clear" w:color="auto" w:fill="auto"/>
              </w:rPr>
              <w:t>方案</w:t>
            </w:r>
          </w:p>
          <w:p>
            <w:pPr>
              <w:keepNext w:val="0"/>
              <w:keepLines w:val="0"/>
              <w:pageBreakBefore w:val="0"/>
              <w:widowControl/>
              <w:kinsoku/>
              <w:wordWrap/>
              <w:overflowPunct/>
              <w:topLinePunct w:val="0"/>
              <w:autoSpaceDE/>
              <w:autoSpaceDN/>
              <w:bidi w:val="0"/>
              <w:spacing w:line="320" w:lineRule="exact"/>
              <w:jc w:val="center"/>
              <w:textAlignment w:val="auto"/>
              <w:rPr>
                <w:rFonts w:hint="eastAsia" w:asciiTheme="minorEastAsia" w:hAnsiTheme="minorEastAsia" w:eastAsiaTheme="minorEastAsia"/>
                <w:color w:val="auto"/>
                <w:szCs w:val="21"/>
              </w:rPr>
            </w:pPr>
          </w:p>
        </w:tc>
        <w:tc>
          <w:tcPr>
            <w:tcW w:w="722"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pacing w:line="320" w:lineRule="exact"/>
              <w:ind w:right="3" w:rightChars="0"/>
              <w:jc w:val="center"/>
              <w:textAlignment w:val="auto"/>
              <w:rPr>
                <w:rFonts w:hint="default" w:cs="Arial" w:asciiTheme="minorEastAsia" w:hAnsiTheme="minorEastAsia" w:eastAsiaTheme="minorEastAsia"/>
                <w:bCs/>
                <w:color w:val="auto"/>
                <w:kern w:val="28"/>
                <w:szCs w:val="21"/>
                <w:lang w:val="en-US" w:eastAsia="zh-CN"/>
              </w:rPr>
            </w:pPr>
            <w:r>
              <w:rPr>
                <w:rFonts w:hint="eastAsia" w:ascii="宋体" w:hAnsi="宋体" w:cs="宋体"/>
                <w:color w:val="auto"/>
                <w:kern w:val="0"/>
                <w:sz w:val="21"/>
                <w:szCs w:val="21"/>
                <w:highlight w:val="none"/>
                <w:shd w:val="clear" w:color="auto" w:fill="auto"/>
                <w:lang w:val="en-US" w:eastAsia="zh-CN"/>
              </w:rPr>
              <w:t>10</w:t>
            </w:r>
            <w:r>
              <w:rPr>
                <w:rFonts w:hint="eastAsia" w:ascii="宋体" w:hAnsi="宋体" w:eastAsia="宋体" w:cs="宋体"/>
                <w:color w:val="auto"/>
                <w:kern w:val="0"/>
                <w:sz w:val="21"/>
                <w:szCs w:val="21"/>
                <w:highlight w:val="none"/>
                <w:shd w:val="clear" w:color="auto" w:fill="auto"/>
                <w:lang w:val="en-US" w:eastAsia="zh-CN"/>
              </w:rPr>
              <w:t>分</w:t>
            </w:r>
          </w:p>
        </w:tc>
        <w:tc>
          <w:tcPr>
            <w:tcW w:w="6433" w:type="dxa"/>
            <w:gridSpan w:val="2"/>
            <w:tcBorders>
              <w:top w:val="single" w:color="auto"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Times New Roman"/>
                <w:color w:val="auto"/>
                <w:kern w:val="0"/>
                <w:szCs w:val="21"/>
                <w:shd w:val="clear" w:color="auto" w:fill="auto"/>
                <w:lang w:eastAsia="zh-CN"/>
              </w:rPr>
            </w:pPr>
            <w:r>
              <w:rPr>
                <w:rFonts w:hint="eastAsia" w:ascii="宋体" w:hAnsi="宋体" w:eastAsia="宋体" w:cs="Times New Roman"/>
                <w:color w:val="auto"/>
                <w:kern w:val="0"/>
                <w:szCs w:val="21"/>
                <w:shd w:val="clear" w:color="auto" w:fill="auto"/>
                <w:lang w:val="en-US" w:eastAsia="zh-CN"/>
              </w:rPr>
              <w:t>4.1、</w:t>
            </w:r>
            <w:r>
              <w:rPr>
                <w:rFonts w:hint="eastAsia" w:ascii="宋体" w:hAnsi="宋体" w:eastAsia="宋体" w:cs="Times New Roman"/>
                <w:color w:val="auto"/>
                <w:kern w:val="0"/>
                <w:szCs w:val="21"/>
                <w:shd w:val="clear" w:color="auto" w:fill="auto"/>
              </w:rPr>
              <w:t>针对本项目特点和难点进行分析并提出解决措施（要求做出详细说明）</w:t>
            </w:r>
            <w:r>
              <w:rPr>
                <w:rFonts w:hint="eastAsia" w:ascii="宋体" w:hAnsi="宋体" w:eastAsia="宋体" w:cs="Times New Roman"/>
                <w:color w:val="auto"/>
                <w:kern w:val="0"/>
                <w:szCs w:val="21"/>
                <w:shd w:val="clear" w:color="auto" w:fill="auto"/>
                <w:lang w:eastAsia="zh-CN"/>
              </w:rPr>
              <w:t>；（</w:t>
            </w:r>
            <w:r>
              <w:rPr>
                <w:rFonts w:hint="eastAsia" w:ascii="宋体" w:hAnsi="宋体" w:eastAsia="宋体" w:cs="宋体"/>
                <w:color w:val="auto"/>
                <w:kern w:val="0"/>
                <w:sz w:val="21"/>
                <w:szCs w:val="21"/>
                <w:highlight w:val="none"/>
                <w:shd w:val="clear" w:color="auto" w:fill="auto"/>
                <w:lang w:val="en-US" w:eastAsia="zh-CN"/>
              </w:rPr>
              <w:t>0-</w:t>
            </w:r>
            <w:r>
              <w:rPr>
                <w:rFonts w:hint="eastAsia" w:ascii="宋体" w:hAnsi="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lang w:val="en-US" w:eastAsia="zh-CN"/>
              </w:rPr>
              <w:t>分</w:t>
            </w:r>
            <w:r>
              <w:rPr>
                <w:rFonts w:hint="eastAsia" w:ascii="宋体" w:hAnsi="宋体" w:eastAsia="宋体" w:cs="Times New Roman"/>
                <w:color w:val="auto"/>
                <w:kern w:val="0"/>
                <w:szCs w:val="21"/>
                <w:shd w:val="clear" w:color="auto" w:fill="auto"/>
                <w:lang w:eastAsia="zh-CN"/>
              </w:rPr>
              <w:t>）</w:t>
            </w:r>
          </w:p>
          <w:p>
            <w:pPr>
              <w:widowControl/>
              <w:numPr>
                <w:ilvl w:val="0"/>
                <w:numId w:val="0"/>
              </w:numPr>
              <w:adjustRightInd w:val="0"/>
              <w:snapToGrid w:val="0"/>
              <w:ind w:leftChars="0"/>
              <w:jc w:val="left"/>
              <w:rPr>
                <w:rFonts w:hint="eastAsia" w:ascii="宋体" w:hAnsi="宋体" w:eastAsia="宋体" w:cs="宋体"/>
                <w:b w:val="0"/>
                <w:bCs w:val="0"/>
                <w:color w:val="auto"/>
                <w:kern w:val="0"/>
                <w:szCs w:val="21"/>
                <w:shd w:val="clear" w:color="auto" w:fill="auto"/>
              </w:rPr>
            </w:pPr>
            <w:r>
              <w:rPr>
                <w:rFonts w:hint="eastAsia" w:ascii="宋体" w:hAnsi="宋体" w:eastAsia="宋体" w:cs="宋体"/>
                <w:color w:val="auto"/>
                <w:kern w:val="0"/>
                <w:sz w:val="21"/>
                <w:szCs w:val="21"/>
                <w:highlight w:val="none"/>
                <w:shd w:val="clear" w:color="auto" w:fill="auto"/>
                <w:lang w:val="en-US" w:eastAsia="zh-CN"/>
              </w:rPr>
              <w:t>①</w:t>
            </w:r>
            <w:r>
              <w:rPr>
                <w:rFonts w:hint="eastAsia" w:ascii="宋体" w:hAnsi="宋体" w:cs="宋体"/>
                <w:b w:val="0"/>
                <w:bCs w:val="0"/>
                <w:color w:val="auto"/>
                <w:kern w:val="0"/>
                <w:szCs w:val="21"/>
                <w:shd w:val="clear" w:color="auto" w:fill="auto"/>
                <w:lang w:val="en-US" w:eastAsia="zh-CN"/>
              </w:rPr>
              <w:t>分析</w:t>
            </w:r>
            <w:r>
              <w:rPr>
                <w:rFonts w:hint="eastAsia" w:ascii="宋体" w:hAnsi="宋体" w:eastAsia="宋体" w:cs="宋体"/>
                <w:b w:val="0"/>
                <w:bCs w:val="0"/>
                <w:color w:val="auto"/>
                <w:kern w:val="0"/>
                <w:szCs w:val="21"/>
                <w:shd w:val="clear" w:color="auto" w:fill="auto"/>
              </w:rPr>
              <w:t>全面、合理，具有针对性的，得</w:t>
            </w:r>
            <w:r>
              <w:rPr>
                <w:rFonts w:hint="eastAsia" w:ascii="宋体" w:hAnsi="宋体" w:eastAsia="宋体" w:cs="宋体"/>
                <w:b w:val="0"/>
                <w:bCs w:val="0"/>
                <w:color w:val="auto"/>
                <w:kern w:val="0"/>
                <w:szCs w:val="21"/>
                <w:shd w:val="clear" w:color="auto" w:fill="auto"/>
                <w:lang w:val="en-US" w:eastAsia="zh-CN"/>
              </w:rPr>
              <w:t>2.8</w:t>
            </w:r>
            <w:r>
              <w:rPr>
                <w:rFonts w:hint="eastAsia" w:ascii="宋体" w:hAnsi="宋体" w:eastAsia="宋体" w:cs="宋体"/>
                <w:b w:val="0"/>
                <w:bCs w:val="0"/>
                <w:color w:val="auto"/>
                <w:kern w:val="0"/>
                <w:szCs w:val="21"/>
                <w:shd w:val="clear" w:color="auto" w:fill="auto"/>
              </w:rPr>
              <w:t>-</w:t>
            </w:r>
            <w:r>
              <w:rPr>
                <w:rFonts w:hint="eastAsia" w:ascii="宋体" w:hAnsi="宋体" w:eastAsia="宋体" w:cs="宋体"/>
                <w:b w:val="0"/>
                <w:bCs w:val="0"/>
                <w:color w:val="auto"/>
                <w:kern w:val="0"/>
                <w:szCs w:val="21"/>
                <w:shd w:val="clear" w:color="auto" w:fill="auto"/>
                <w:lang w:val="en-US" w:eastAsia="zh-CN"/>
              </w:rPr>
              <w:t>4</w:t>
            </w:r>
            <w:r>
              <w:rPr>
                <w:rFonts w:hint="eastAsia" w:ascii="宋体" w:hAnsi="宋体" w:eastAsia="宋体" w:cs="宋体"/>
                <w:b w:val="0"/>
                <w:bCs w:val="0"/>
                <w:color w:val="auto"/>
                <w:kern w:val="0"/>
                <w:szCs w:val="21"/>
                <w:shd w:val="clear" w:color="auto" w:fill="auto"/>
              </w:rPr>
              <w:t>分；</w:t>
            </w:r>
          </w:p>
          <w:p>
            <w:pPr>
              <w:widowControl/>
              <w:numPr>
                <w:ilvl w:val="0"/>
                <w:numId w:val="0"/>
              </w:numPr>
              <w:adjustRightInd w:val="0"/>
              <w:snapToGrid w:val="0"/>
              <w:ind w:leftChars="0"/>
              <w:jc w:val="left"/>
              <w:rPr>
                <w:rFonts w:hint="eastAsia" w:ascii="宋体" w:hAnsi="宋体" w:eastAsia="宋体" w:cs="宋体"/>
                <w:b w:val="0"/>
                <w:bCs w:val="0"/>
                <w:color w:val="auto"/>
                <w:kern w:val="0"/>
                <w:szCs w:val="21"/>
                <w:shd w:val="clear" w:color="auto" w:fill="auto"/>
              </w:rPr>
            </w:pPr>
            <w:r>
              <w:rPr>
                <w:rFonts w:hint="eastAsia" w:ascii="宋体" w:hAnsi="宋体" w:eastAsia="宋体" w:cs="宋体"/>
                <w:color w:val="auto"/>
                <w:kern w:val="0"/>
                <w:sz w:val="21"/>
                <w:szCs w:val="21"/>
                <w:highlight w:val="none"/>
                <w:shd w:val="clear" w:color="auto" w:fill="auto"/>
                <w:lang w:val="en-US" w:eastAsia="zh-CN"/>
              </w:rPr>
              <w:t>②</w:t>
            </w:r>
            <w:r>
              <w:rPr>
                <w:rFonts w:hint="eastAsia" w:ascii="宋体" w:hAnsi="宋体" w:cs="宋体"/>
                <w:b w:val="0"/>
                <w:bCs w:val="0"/>
                <w:color w:val="auto"/>
                <w:kern w:val="0"/>
                <w:szCs w:val="21"/>
                <w:shd w:val="clear" w:color="auto" w:fill="auto"/>
                <w:lang w:val="en-US" w:eastAsia="zh-CN"/>
              </w:rPr>
              <w:t>分析</w:t>
            </w:r>
            <w:r>
              <w:rPr>
                <w:rFonts w:hint="eastAsia" w:ascii="宋体" w:hAnsi="宋体" w:eastAsia="宋体" w:cs="宋体"/>
                <w:b w:val="0"/>
                <w:bCs w:val="0"/>
                <w:color w:val="auto"/>
                <w:kern w:val="0"/>
                <w:szCs w:val="21"/>
                <w:shd w:val="clear" w:color="auto" w:fill="auto"/>
              </w:rPr>
              <w:t>基本全面、合理，具有针对性的，得</w:t>
            </w:r>
            <w:r>
              <w:rPr>
                <w:rFonts w:hint="eastAsia" w:ascii="宋体" w:hAnsi="宋体" w:eastAsia="宋体" w:cs="宋体"/>
                <w:b w:val="0"/>
                <w:bCs w:val="0"/>
                <w:color w:val="auto"/>
                <w:kern w:val="0"/>
                <w:szCs w:val="21"/>
                <w:shd w:val="clear" w:color="auto" w:fill="auto"/>
                <w:lang w:val="en-US" w:eastAsia="zh-CN"/>
              </w:rPr>
              <w:t>1.6</w:t>
            </w:r>
            <w:r>
              <w:rPr>
                <w:rFonts w:hint="eastAsia" w:ascii="宋体" w:hAnsi="宋体" w:eastAsia="宋体" w:cs="宋体"/>
                <w:b w:val="0"/>
                <w:bCs w:val="0"/>
                <w:color w:val="auto"/>
                <w:kern w:val="0"/>
                <w:szCs w:val="21"/>
                <w:shd w:val="clear" w:color="auto" w:fill="auto"/>
              </w:rPr>
              <w:t>-</w:t>
            </w:r>
            <w:r>
              <w:rPr>
                <w:rFonts w:hint="eastAsia" w:ascii="宋体" w:hAnsi="宋体" w:eastAsia="宋体" w:cs="宋体"/>
                <w:b w:val="0"/>
                <w:bCs w:val="0"/>
                <w:color w:val="auto"/>
                <w:kern w:val="0"/>
                <w:szCs w:val="21"/>
                <w:shd w:val="clear" w:color="auto" w:fill="auto"/>
                <w:lang w:val="en-US" w:eastAsia="zh-CN"/>
              </w:rPr>
              <w:t>2.8</w:t>
            </w:r>
            <w:r>
              <w:rPr>
                <w:rFonts w:hint="eastAsia" w:ascii="宋体" w:hAnsi="宋体" w:eastAsia="宋体" w:cs="宋体"/>
                <w:b w:val="0"/>
                <w:bCs w:val="0"/>
                <w:color w:val="auto"/>
                <w:kern w:val="0"/>
                <w:szCs w:val="21"/>
                <w:shd w:val="clear" w:color="auto" w:fill="auto"/>
              </w:rPr>
              <w:t>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Theme="minorEastAsia" w:hAnsiTheme="minorEastAsia" w:eastAsiaTheme="minorEastAsia"/>
                <w:color w:val="auto"/>
                <w:szCs w:val="21"/>
                <w:lang w:eastAsia="zh-CN"/>
              </w:rPr>
            </w:pPr>
            <w:r>
              <w:rPr>
                <w:rFonts w:hint="eastAsia" w:ascii="宋体" w:hAnsi="宋体" w:eastAsia="宋体" w:cs="宋体"/>
                <w:color w:val="auto"/>
                <w:kern w:val="0"/>
                <w:sz w:val="21"/>
                <w:szCs w:val="21"/>
                <w:highlight w:val="none"/>
                <w:shd w:val="clear" w:color="auto" w:fill="auto"/>
                <w:lang w:val="en-US" w:eastAsia="zh-CN"/>
              </w:rPr>
              <w:t>③</w:t>
            </w:r>
            <w:r>
              <w:rPr>
                <w:rFonts w:hint="eastAsia" w:ascii="宋体" w:hAnsi="宋体" w:cs="宋体"/>
                <w:b w:val="0"/>
                <w:bCs w:val="0"/>
                <w:color w:val="auto"/>
                <w:kern w:val="0"/>
                <w:szCs w:val="21"/>
                <w:shd w:val="clear" w:color="auto" w:fill="auto"/>
                <w:lang w:val="en-US" w:eastAsia="zh-CN"/>
              </w:rPr>
              <w:t>分析</w:t>
            </w:r>
            <w:r>
              <w:rPr>
                <w:rFonts w:hint="eastAsia" w:ascii="宋体" w:hAnsi="宋体" w:eastAsia="宋体" w:cs="宋体"/>
                <w:b w:val="0"/>
                <w:bCs w:val="0"/>
                <w:color w:val="auto"/>
                <w:kern w:val="0"/>
                <w:szCs w:val="21"/>
                <w:shd w:val="clear" w:color="auto" w:fill="auto"/>
                <w:lang w:eastAsia="zh-CN"/>
              </w:rPr>
              <w:t>一般，针对性一般的，得0-</w:t>
            </w:r>
            <w:r>
              <w:rPr>
                <w:rFonts w:hint="eastAsia" w:ascii="宋体" w:hAnsi="宋体" w:eastAsia="宋体" w:cs="宋体"/>
                <w:b w:val="0"/>
                <w:bCs w:val="0"/>
                <w:color w:val="auto"/>
                <w:kern w:val="0"/>
                <w:szCs w:val="21"/>
                <w:shd w:val="clear" w:color="auto" w:fill="auto"/>
                <w:lang w:val="en-US" w:eastAsia="zh-CN"/>
              </w:rPr>
              <w:t>1.6</w:t>
            </w:r>
            <w:r>
              <w:rPr>
                <w:rFonts w:hint="eastAsia" w:ascii="宋体" w:hAnsi="宋体" w:eastAsia="宋体" w:cs="宋体"/>
                <w:b w:val="0"/>
                <w:bCs w:val="0"/>
                <w:color w:val="auto"/>
                <w:kern w:val="0"/>
                <w:szCs w:val="21"/>
                <w:shd w:val="clear" w:color="auto" w:fil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0" w:type="dxa"/>
            <w:vMerge w:val="continue"/>
            <w:vAlign w:val="center"/>
          </w:tcPr>
          <w:p>
            <w:pPr>
              <w:keepNext w:val="0"/>
              <w:keepLines w:val="0"/>
              <w:pageBreakBefore w:val="0"/>
              <w:widowControl/>
              <w:kinsoku/>
              <w:wordWrap/>
              <w:overflowPunct/>
              <w:topLinePunct w:val="0"/>
              <w:autoSpaceDE/>
              <w:autoSpaceDN/>
              <w:bidi w:val="0"/>
              <w:spacing w:line="320" w:lineRule="exact"/>
              <w:ind w:right="3" w:firstLine="105" w:firstLineChars="50"/>
              <w:jc w:val="center"/>
              <w:textAlignment w:val="auto"/>
              <w:rPr>
                <w:rFonts w:hint="eastAsia" w:asciiTheme="minorEastAsia" w:hAnsiTheme="minorEastAsia" w:eastAsiaTheme="minorEastAsia"/>
                <w:color w:val="auto"/>
                <w:szCs w:val="21"/>
              </w:rPr>
            </w:pPr>
          </w:p>
        </w:tc>
        <w:tc>
          <w:tcPr>
            <w:tcW w:w="1290" w:type="dxa"/>
            <w:vMerge w:val="continue"/>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Theme="minorEastAsia" w:hAnsiTheme="minorEastAsia" w:eastAsiaTheme="minorEastAsia"/>
                <w:color w:val="auto"/>
                <w:szCs w:val="21"/>
              </w:rPr>
            </w:pPr>
          </w:p>
        </w:tc>
        <w:tc>
          <w:tcPr>
            <w:tcW w:w="722" w:type="dxa"/>
            <w:vMerge w:val="continue"/>
            <w:vAlign w:val="center"/>
          </w:tcPr>
          <w:p>
            <w:pPr>
              <w:keepNext w:val="0"/>
              <w:keepLines w:val="0"/>
              <w:pageBreakBefore w:val="0"/>
              <w:widowControl/>
              <w:kinsoku/>
              <w:wordWrap/>
              <w:overflowPunct/>
              <w:topLinePunct w:val="0"/>
              <w:autoSpaceDE/>
              <w:autoSpaceDN/>
              <w:bidi w:val="0"/>
              <w:spacing w:line="320" w:lineRule="exact"/>
              <w:ind w:right="3" w:rightChars="0"/>
              <w:jc w:val="center"/>
              <w:textAlignment w:val="auto"/>
              <w:rPr>
                <w:rFonts w:hint="eastAsia" w:cs="Arial" w:asciiTheme="minorEastAsia" w:hAnsiTheme="minorEastAsia" w:eastAsiaTheme="minorEastAsia"/>
                <w:bCs/>
                <w:color w:val="auto"/>
                <w:kern w:val="28"/>
                <w:szCs w:val="21"/>
              </w:rPr>
            </w:pPr>
          </w:p>
        </w:tc>
        <w:tc>
          <w:tcPr>
            <w:tcW w:w="6433" w:type="dxa"/>
            <w:gridSpan w:val="2"/>
            <w:tcBorders>
              <w:top w:val="single" w:color="auto"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pacing w:line="320" w:lineRule="exact"/>
              <w:ind w:left="0" w:leftChars="0" w:firstLine="0" w:firstLineChars="0"/>
              <w:textAlignment w:val="auto"/>
              <w:rPr>
                <w:rFonts w:hint="default" w:asciiTheme="minorEastAsia" w:hAnsiTheme="minorEastAsia" w:eastAsiaTheme="minorEastAsia"/>
                <w:color w:val="auto"/>
                <w:szCs w:val="21"/>
                <w:lang w:val="en-US"/>
              </w:rPr>
            </w:pPr>
            <w:r>
              <w:rPr>
                <w:rFonts w:hint="eastAsia" w:ascii="宋体" w:hAnsi="宋体" w:eastAsia="宋体" w:cs="宋体"/>
                <w:color w:val="auto"/>
                <w:sz w:val="21"/>
                <w:szCs w:val="21"/>
                <w:highlight w:val="none"/>
                <w:shd w:val="clear" w:color="auto" w:fill="auto"/>
                <w:lang w:val="en-US" w:eastAsia="zh-CN" w:bidi="ar-SA"/>
              </w:rPr>
              <w:t>4.2、根据项目质量保证措施；</w:t>
            </w:r>
            <w:r>
              <w:rPr>
                <w:rFonts w:hint="eastAsia" w:ascii="宋体" w:hAnsi="宋体" w:eastAsia="宋体" w:cs="Times New Roman"/>
                <w:color w:val="auto"/>
                <w:sz w:val="21"/>
                <w:szCs w:val="21"/>
                <w:shd w:val="clear" w:color="auto" w:fill="auto"/>
                <w:lang w:val="en-US" w:eastAsia="zh-CN" w:bidi="ar-SA"/>
              </w:rPr>
              <w:t>（</w:t>
            </w:r>
            <w:r>
              <w:rPr>
                <w:rFonts w:hint="eastAsia" w:ascii="宋体" w:hAnsi="宋体" w:eastAsia="宋体" w:cs="宋体"/>
                <w:color w:val="auto"/>
                <w:sz w:val="21"/>
                <w:szCs w:val="21"/>
                <w:highlight w:val="none"/>
                <w:shd w:val="clear" w:color="auto" w:fill="auto"/>
                <w:lang w:val="en-US" w:eastAsia="zh-CN" w:bidi="ar-SA"/>
              </w:rPr>
              <w:t>0-3分</w:t>
            </w:r>
            <w:r>
              <w:rPr>
                <w:rFonts w:hint="eastAsia" w:ascii="宋体" w:hAnsi="宋体" w:eastAsia="宋体" w:cs="Times New Roman"/>
                <w:color w:val="auto"/>
                <w:sz w:val="21"/>
                <w:szCs w:val="21"/>
                <w:shd w:val="clear" w:color="auto" w:fill="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0" w:type="dxa"/>
            <w:vMerge w:val="continue"/>
            <w:vAlign w:val="center"/>
          </w:tcPr>
          <w:p>
            <w:pPr>
              <w:keepNext w:val="0"/>
              <w:keepLines w:val="0"/>
              <w:pageBreakBefore w:val="0"/>
              <w:widowControl/>
              <w:kinsoku/>
              <w:wordWrap/>
              <w:overflowPunct/>
              <w:topLinePunct w:val="0"/>
              <w:autoSpaceDE/>
              <w:autoSpaceDN/>
              <w:bidi w:val="0"/>
              <w:spacing w:line="320" w:lineRule="exact"/>
              <w:ind w:right="3" w:firstLine="105" w:firstLineChars="50"/>
              <w:jc w:val="center"/>
              <w:textAlignment w:val="auto"/>
              <w:rPr>
                <w:rFonts w:asciiTheme="minorEastAsia" w:hAnsiTheme="minorEastAsia" w:eastAsiaTheme="minorEastAsia"/>
                <w:color w:val="auto"/>
                <w:szCs w:val="21"/>
              </w:rPr>
            </w:pPr>
          </w:p>
        </w:tc>
        <w:tc>
          <w:tcPr>
            <w:tcW w:w="1290" w:type="dxa"/>
            <w:vMerge w:val="continue"/>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cs="Arial" w:asciiTheme="minorEastAsia" w:hAnsiTheme="minorEastAsia" w:eastAsiaTheme="minorEastAsia"/>
                <w:bCs/>
                <w:color w:val="auto"/>
                <w:kern w:val="28"/>
                <w:szCs w:val="21"/>
              </w:rPr>
            </w:pPr>
          </w:p>
        </w:tc>
        <w:tc>
          <w:tcPr>
            <w:tcW w:w="722"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宋体" w:hAnsi="宋体" w:eastAsia="宋体" w:cs="宋体"/>
                <w:b/>
                <w:bCs/>
                <w:color w:val="auto"/>
                <w:sz w:val="21"/>
                <w:szCs w:val="21"/>
                <w:highlight w:val="none"/>
                <w:lang w:val="en-US" w:eastAsia="zh-CN" w:bidi="ar-SA"/>
              </w:rPr>
            </w:pPr>
          </w:p>
        </w:tc>
        <w:tc>
          <w:tcPr>
            <w:tcW w:w="6433" w:type="dxa"/>
            <w:gridSpan w:val="2"/>
            <w:tcBorders>
              <w:top w:val="single" w:color="auto"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pacing w:line="320" w:lineRule="exact"/>
              <w:ind w:left="0" w:leftChars="0" w:firstLine="0" w:firstLineChars="0"/>
              <w:textAlignment w:val="auto"/>
              <w:rPr>
                <w:rFonts w:hint="default" w:asciiTheme="minorEastAsia" w:hAnsiTheme="minorEastAsia" w:eastAsiaTheme="minorEastAsia"/>
                <w:color w:val="auto"/>
                <w:szCs w:val="21"/>
                <w:lang w:val="en-US"/>
              </w:rPr>
            </w:pPr>
            <w:r>
              <w:rPr>
                <w:rFonts w:hint="eastAsia" w:ascii="宋体" w:hAnsi="宋体" w:eastAsia="宋体" w:cs="宋体"/>
                <w:color w:val="auto"/>
                <w:sz w:val="21"/>
                <w:szCs w:val="21"/>
                <w:highlight w:val="none"/>
                <w:shd w:val="clear" w:color="auto" w:fill="auto"/>
                <w:lang w:val="en-US" w:eastAsia="zh-CN" w:bidi="ar-SA"/>
              </w:rPr>
              <w:t>4.3、根据安全生产、文明施工、环境保护保证措施；（0-3分）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10" w:type="dxa"/>
            <w:vAlign w:val="center"/>
          </w:tcPr>
          <w:p>
            <w:pPr>
              <w:keepNext w:val="0"/>
              <w:keepLines w:val="0"/>
              <w:pageBreakBefore w:val="0"/>
              <w:widowControl/>
              <w:kinsoku/>
              <w:wordWrap/>
              <w:overflowPunct/>
              <w:topLinePunct w:val="0"/>
              <w:autoSpaceDE/>
              <w:autoSpaceDN/>
              <w:bidi w:val="0"/>
              <w:spacing w:line="320" w:lineRule="exact"/>
              <w:ind w:right="3" w:firstLine="105" w:firstLineChars="50"/>
              <w:jc w:val="center"/>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5</w:t>
            </w:r>
          </w:p>
        </w:tc>
        <w:tc>
          <w:tcPr>
            <w:tcW w:w="1290" w:type="dxa"/>
            <w:vAlign w:val="center"/>
          </w:tcPr>
          <w:p>
            <w:pPr>
              <w:widowControl/>
              <w:ind w:left="-50" w:leftChars="0"/>
              <w:jc w:val="center"/>
              <w:rPr>
                <w:rFonts w:hint="eastAsia" w:ascii="宋体" w:hAnsi="宋体" w:eastAsia="宋体" w:cs="宋体"/>
                <w:b w:val="0"/>
                <w:bCs w:val="0"/>
                <w:color w:val="auto"/>
                <w:kern w:val="28"/>
                <w:szCs w:val="21"/>
                <w:lang w:val="en-US" w:eastAsia="zh-CN"/>
              </w:rPr>
            </w:pPr>
            <w:r>
              <w:rPr>
                <w:rFonts w:hint="eastAsia" w:ascii="宋体" w:hAnsi="宋体" w:eastAsia="宋体" w:cs="宋体"/>
                <w:b w:val="0"/>
                <w:bCs w:val="0"/>
                <w:color w:val="auto"/>
                <w:kern w:val="0"/>
                <w:szCs w:val="21"/>
                <w:shd w:val="clear" w:color="auto" w:fill="auto"/>
              </w:rPr>
              <w:t>供货</w:t>
            </w:r>
            <w:r>
              <w:rPr>
                <w:rFonts w:hint="eastAsia" w:ascii="宋体" w:hAnsi="宋体" w:eastAsia="宋体" w:cs="宋体"/>
                <w:b w:val="0"/>
                <w:bCs w:val="0"/>
                <w:color w:val="auto"/>
                <w:kern w:val="0"/>
                <w:szCs w:val="21"/>
                <w:shd w:val="clear" w:color="auto" w:fill="auto"/>
                <w:lang w:val="en-US" w:eastAsia="zh-CN"/>
              </w:rPr>
              <w:t>及</w:t>
            </w:r>
            <w:r>
              <w:rPr>
                <w:rFonts w:hint="eastAsia" w:ascii="宋体" w:hAnsi="宋体" w:eastAsia="宋体" w:cs="宋体"/>
                <w:b w:val="0"/>
                <w:bCs w:val="0"/>
                <w:color w:val="auto"/>
                <w:kern w:val="0"/>
                <w:szCs w:val="21"/>
                <w:shd w:val="clear" w:color="auto" w:fill="auto"/>
              </w:rPr>
              <w:t>验收方案</w:t>
            </w:r>
          </w:p>
        </w:tc>
        <w:tc>
          <w:tcPr>
            <w:tcW w:w="722" w:type="dxa"/>
            <w:tcBorders>
              <w:bottom w:val="single" w:color="auto" w:sz="4" w:space="0"/>
            </w:tcBorders>
            <w:vAlign w:val="center"/>
          </w:tcPr>
          <w:p>
            <w:pPr>
              <w:widowControl/>
              <w:adjustRightInd w:val="0"/>
              <w:snapToGrid w:val="0"/>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kern w:val="0"/>
                <w:szCs w:val="21"/>
                <w:shd w:val="clear" w:color="auto" w:fill="auto"/>
                <w:lang w:val="en-US" w:eastAsia="zh-CN"/>
              </w:rPr>
              <w:t>4</w:t>
            </w:r>
            <w:r>
              <w:rPr>
                <w:rFonts w:hint="eastAsia" w:ascii="宋体" w:hAnsi="宋体" w:eastAsia="宋体" w:cs="宋体"/>
                <w:b w:val="0"/>
                <w:bCs w:val="0"/>
                <w:color w:val="auto"/>
                <w:kern w:val="0"/>
                <w:szCs w:val="21"/>
                <w:shd w:val="clear" w:color="auto" w:fill="auto"/>
              </w:rPr>
              <w:t>分</w:t>
            </w:r>
          </w:p>
        </w:tc>
        <w:tc>
          <w:tcPr>
            <w:tcW w:w="6433" w:type="dxa"/>
            <w:gridSpan w:val="2"/>
            <w:tcBorders>
              <w:top w:val="single" w:color="auto" w:sz="4" w:space="0"/>
              <w:bottom w:val="single" w:color="auto" w:sz="4" w:space="0"/>
            </w:tcBorders>
            <w:vAlign w:val="center"/>
          </w:tcPr>
          <w:p>
            <w:pPr>
              <w:widowControl/>
              <w:numPr>
                <w:ilvl w:val="0"/>
                <w:numId w:val="0"/>
              </w:numPr>
              <w:adjustRightInd w:val="0"/>
              <w:snapToGrid w:val="0"/>
              <w:ind w:leftChars="0"/>
              <w:jc w:val="left"/>
              <w:rPr>
                <w:rFonts w:hint="eastAsia" w:ascii="宋体" w:hAnsi="宋体" w:eastAsia="宋体" w:cs="宋体"/>
                <w:b w:val="0"/>
                <w:bCs w:val="0"/>
                <w:color w:val="auto"/>
                <w:kern w:val="0"/>
                <w:szCs w:val="21"/>
                <w:shd w:val="clear" w:color="auto" w:fill="auto"/>
                <w:lang w:eastAsia="zh-CN"/>
              </w:rPr>
            </w:pPr>
            <w:r>
              <w:rPr>
                <w:rFonts w:hint="eastAsia" w:ascii="宋体" w:hAnsi="宋体" w:eastAsia="宋体" w:cs="宋体"/>
                <w:b w:val="0"/>
                <w:bCs w:val="0"/>
                <w:color w:val="auto"/>
                <w:kern w:val="0"/>
                <w:szCs w:val="21"/>
                <w:shd w:val="clear" w:color="auto" w:fill="auto"/>
                <w:lang w:val="en-US" w:eastAsia="zh-CN"/>
              </w:rPr>
              <w:t>根据</w:t>
            </w:r>
            <w:r>
              <w:rPr>
                <w:rFonts w:hint="eastAsia" w:ascii="宋体" w:hAnsi="宋体" w:eastAsia="宋体" w:cs="宋体"/>
                <w:b w:val="0"/>
                <w:bCs w:val="0"/>
                <w:color w:val="auto"/>
                <w:kern w:val="0"/>
                <w:szCs w:val="21"/>
                <w:shd w:val="clear" w:color="auto" w:fill="auto"/>
                <w:lang w:eastAsia="zh-CN"/>
              </w:rPr>
              <w:t>供应商提供的供货方案、项目验收方案：</w:t>
            </w:r>
          </w:p>
          <w:p>
            <w:pPr>
              <w:widowControl/>
              <w:numPr>
                <w:ilvl w:val="0"/>
                <w:numId w:val="0"/>
              </w:numPr>
              <w:adjustRightInd w:val="0"/>
              <w:snapToGrid w:val="0"/>
              <w:ind w:leftChars="0"/>
              <w:jc w:val="left"/>
              <w:rPr>
                <w:rFonts w:hint="eastAsia" w:ascii="宋体" w:hAnsi="宋体" w:eastAsia="宋体" w:cs="宋体"/>
                <w:b w:val="0"/>
                <w:bCs w:val="0"/>
                <w:color w:val="auto"/>
                <w:kern w:val="0"/>
                <w:szCs w:val="21"/>
                <w:shd w:val="clear" w:color="auto" w:fill="auto"/>
              </w:rPr>
            </w:pPr>
            <w:r>
              <w:rPr>
                <w:rFonts w:hint="eastAsia" w:ascii="宋体" w:hAnsi="宋体" w:eastAsia="宋体" w:cs="宋体"/>
                <w:color w:val="auto"/>
                <w:kern w:val="0"/>
                <w:sz w:val="21"/>
                <w:szCs w:val="21"/>
                <w:highlight w:val="none"/>
                <w:shd w:val="clear" w:color="auto" w:fill="auto"/>
                <w:lang w:val="en-US" w:eastAsia="zh-CN"/>
              </w:rPr>
              <w:t>①</w:t>
            </w:r>
            <w:r>
              <w:rPr>
                <w:rFonts w:hint="eastAsia" w:ascii="宋体" w:hAnsi="宋体" w:eastAsia="宋体" w:cs="宋体"/>
                <w:b w:val="0"/>
                <w:bCs w:val="0"/>
                <w:color w:val="auto"/>
                <w:kern w:val="0"/>
                <w:szCs w:val="21"/>
                <w:shd w:val="clear" w:color="auto" w:fill="auto"/>
              </w:rPr>
              <w:t>方案全面、合理，具有针对性的，得</w:t>
            </w:r>
            <w:r>
              <w:rPr>
                <w:rFonts w:hint="eastAsia" w:ascii="宋体" w:hAnsi="宋体" w:eastAsia="宋体" w:cs="宋体"/>
                <w:b w:val="0"/>
                <w:bCs w:val="0"/>
                <w:color w:val="auto"/>
                <w:kern w:val="0"/>
                <w:szCs w:val="21"/>
                <w:shd w:val="clear" w:color="auto" w:fill="auto"/>
                <w:lang w:val="en-US" w:eastAsia="zh-CN"/>
              </w:rPr>
              <w:t>2.8</w:t>
            </w:r>
            <w:r>
              <w:rPr>
                <w:rFonts w:hint="eastAsia" w:ascii="宋体" w:hAnsi="宋体" w:eastAsia="宋体" w:cs="宋体"/>
                <w:b w:val="0"/>
                <w:bCs w:val="0"/>
                <w:color w:val="auto"/>
                <w:kern w:val="0"/>
                <w:szCs w:val="21"/>
                <w:shd w:val="clear" w:color="auto" w:fill="auto"/>
              </w:rPr>
              <w:t>-</w:t>
            </w:r>
            <w:r>
              <w:rPr>
                <w:rFonts w:hint="eastAsia" w:ascii="宋体" w:hAnsi="宋体" w:eastAsia="宋体" w:cs="宋体"/>
                <w:b w:val="0"/>
                <w:bCs w:val="0"/>
                <w:color w:val="auto"/>
                <w:kern w:val="0"/>
                <w:szCs w:val="21"/>
                <w:shd w:val="clear" w:color="auto" w:fill="auto"/>
                <w:lang w:val="en-US" w:eastAsia="zh-CN"/>
              </w:rPr>
              <w:t>4</w:t>
            </w:r>
            <w:r>
              <w:rPr>
                <w:rFonts w:hint="eastAsia" w:ascii="宋体" w:hAnsi="宋体" w:eastAsia="宋体" w:cs="宋体"/>
                <w:b w:val="0"/>
                <w:bCs w:val="0"/>
                <w:color w:val="auto"/>
                <w:kern w:val="0"/>
                <w:szCs w:val="21"/>
                <w:shd w:val="clear" w:color="auto" w:fill="auto"/>
              </w:rPr>
              <w:t>分；</w:t>
            </w:r>
          </w:p>
          <w:p>
            <w:pPr>
              <w:widowControl/>
              <w:numPr>
                <w:ilvl w:val="0"/>
                <w:numId w:val="0"/>
              </w:numPr>
              <w:adjustRightInd w:val="0"/>
              <w:snapToGrid w:val="0"/>
              <w:ind w:leftChars="0"/>
              <w:jc w:val="left"/>
              <w:rPr>
                <w:rFonts w:hint="eastAsia" w:ascii="宋体" w:hAnsi="宋体" w:eastAsia="宋体" w:cs="宋体"/>
                <w:b w:val="0"/>
                <w:bCs w:val="0"/>
                <w:color w:val="auto"/>
                <w:kern w:val="0"/>
                <w:szCs w:val="21"/>
                <w:shd w:val="clear" w:color="auto" w:fill="auto"/>
              </w:rPr>
            </w:pPr>
            <w:r>
              <w:rPr>
                <w:rFonts w:hint="eastAsia" w:ascii="宋体" w:hAnsi="宋体" w:eastAsia="宋体" w:cs="宋体"/>
                <w:color w:val="auto"/>
                <w:kern w:val="0"/>
                <w:sz w:val="21"/>
                <w:szCs w:val="21"/>
                <w:highlight w:val="none"/>
                <w:shd w:val="clear" w:color="auto" w:fill="auto"/>
                <w:lang w:val="en-US" w:eastAsia="zh-CN"/>
              </w:rPr>
              <w:t>②</w:t>
            </w:r>
            <w:r>
              <w:rPr>
                <w:rFonts w:hint="eastAsia" w:ascii="宋体" w:hAnsi="宋体" w:eastAsia="宋体" w:cs="宋体"/>
                <w:b w:val="0"/>
                <w:bCs w:val="0"/>
                <w:color w:val="auto"/>
                <w:kern w:val="0"/>
                <w:szCs w:val="21"/>
                <w:shd w:val="clear" w:color="auto" w:fill="auto"/>
              </w:rPr>
              <w:t>方案基本全面、合理，具有针对性的，得</w:t>
            </w:r>
            <w:r>
              <w:rPr>
                <w:rFonts w:hint="eastAsia" w:ascii="宋体" w:hAnsi="宋体" w:eastAsia="宋体" w:cs="宋体"/>
                <w:b w:val="0"/>
                <w:bCs w:val="0"/>
                <w:color w:val="auto"/>
                <w:kern w:val="0"/>
                <w:szCs w:val="21"/>
                <w:shd w:val="clear" w:color="auto" w:fill="auto"/>
                <w:lang w:val="en-US" w:eastAsia="zh-CN"/>
              </w:rPr>
              <w:t>1.6</w:t>
            </w:r>
            <w:r>
              <w:rPr>
                <w:rFonts w:hint="eastAsia" w:ascii="宋体" w:hAnsi="宋体" w:eastAsia="宋体" w:cs="宋体"/>
                <w:b w:val="0"/>
                <w:bCs w:val="0"/>
                <w:color w:val="auto"/>
                <w:kern w:val="0"/>
                <w:szCs w:val="21"/>
                <w:shd w:val="clear" w:color="auto" w:fill="auto"/>
              </w:rPr>
              <w:t>-</w:t>
            </w:r>
            <w:r>
              <w:rPr>
                <w:rFonts w:hint="eastAsia" w:ascii="宋体" w:hAnsi="宋体" w:eastAsia="宋体" w:cs="宋体"/>
                <w:b w:val="0"/>
                <w:bCs w:val="0"/>
                <w:color w:val="auto"/>
                <w:kern w:val="0"/>
                <w:szCs w:val="21"/>
                <w:shd w:val="clear" w:color="auto" w:fill="auto"/>
                <w:lang w:val="en-US" w:eastAsia="zh-CN"/>
              </w:rPr>
              <w:t>2.8</w:t>
            </w:r>
            <w:r>
              <w:rPr>
                <w:rFonts w:hint="eastAsia" w:ascii="宋体" w:hAnsi="宋体" w:eastAsia="宋体" w:cs="宋体"/>
                <w:b w:val="0"/>
                <w:bCs w:val="0"/>
                <w:color w:val="auto"/>
                <w:kern w:val="0"/>
                <w:szCs w:val="21"/>
                <w:shd w:val="clear" w:color="auto" w:fill="auto"/>
              </w:rPr>
              <w:t>分；</w:t>
            </w:r>
          </w:p>
          <w:p>
            <w:pPr>
              <w:widowControl/>
              <w:numPr>
                <w:ilvl w:val="0"/>
                <w:numId w:val="0"/>
              </w:numPr>
              <w:adjustRightInd w:val="0"/>
              <w:snapToGrid w:val="0"/>
              <w:ind w:left="0" w:leftChars="0"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shd w:val="clear" w:color="auto" w:fill="auto"/>
                <w:lang w:val="en-US" w:eastAsia="zh-CN"/>
              </w:rPr>
              <w:t>③</w:t>
            </w:r>
            <w:r>
              <w:rPr>
                <w:rFonts w:hint="eastAsia" w:ascii="宋体" w:hAnsi="宋体" w:eastAsia="宋体" w:cs="宋体"/>
                <w:b w:val="0"/>
                <w:bCs w:val="0"/>
                <w:color w:val="auto"/>
                <w:kern w:val="0"/>
                <w:szCs w:val="21"/>
                <w:shd w:val="clear" w:color="auto" w:fill="auto"/>
                <w:lang w:eastAsia="zh-CN"/>
              </w:rPr>
              <w:t>方案一般，针对性一般的，得0-</w:t>
            </w:r>
            <w:r>
              <w:rPr>
                <w:rFonts w:hint="eastAsia" w:ascii="宋体" w:hAnsi="宋体" w:eastAsia="宋体" w:cs="宋体"/>
                <w:b w:val="0"/>
                <w:bCs w:val="0"/>
                <w:color w:val="auto"/>
                <w:kern w:val="0"/>
                <w:szCs w:val="21"/>
                <w:shd w:val="clear" w:color="auto" w:fill="auto"/>
                <w:lang w:val="en-US" w:eastAsia="zh-CN"/>
              </w:rPr>
              <w:t>1.6</w:t>
            </w:r>
            <w:r>
              <w:rPr>
                <w:rFonts w:hint="eastAsia" w:ascii="宋体" w:hAnsi="宋体" w:eastAsia="宋体" w:cs="宋体"/>
                <w:b w:val="0"/>
                <w:bCs w:val="0"/>
                <w:color w:val="auto"/>
                <w:kern w:val="0"/>
                <w:szCs w:val="21"/>
                <w:shd w:val="clear" w:color="auto" w:fil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10" w:type="dxa"/>
            <w:vAlign w:val="center"/>
          </w:tcPr>
          <w:p>
            <w:pPr>
              <w:keepNext w:val="0"/>
              <w:keepLines w:val="0"/>
              <w:pageBreakBefore w:val="0"/>
              <w:widowControl/>
              <w:kinsoku/>
              <w:wordWrap/>
              <w:overflowPunct/>
              <w:topLinePunct w:val="0"/>
              <w:autoSpaceDE/>
              <w:autoSpaceDN/>
              <w:bidi w:val="0"/>
              <w:spacing w:line="320" w:lineRule="exact"/>
              <w:ind w:right="3" w:rightChars="0" w:firstLine="105" w:firstLineChars="50"/>
              <w:jc w:val="center"/>
              <w:textAlignment w:val="auto"/>
              <w:rPr>
                <w:rFonts w:hint="eastAsia" w:asciiTheme="minorEastAsia" w:hAnsiTheme="minorEastAsia" w:eastAsiaTheme="minorEastAsia"/>
                <w:color w:val="auto"/>
                <w:szCs w:val="21"/>
                <w:lang w:val="en-US" w:eastAsia="zh-CN"/>
              </w:rPr>
            </w:pPr>
            <w:r>
              <w:rPr>
                <w:rFonts w:hint="eastAsia" w:ascii="宋体" w:hAnsi="宋体" w:eastAsia="宋体" w:cs="Times New Roman"/>
                <w:color w:val="auto"/>
                <w:kern w:val="0"/>
                <w:szCs w:val="21"/>
                <w:shd w:val="clear" w:color="auto" w:fill="auto"/>
                <w:lang w:val="en-US" w:eastAsia="zh-CN"/>
              </w:rPr>
              <w:t>6</w:t>
            </w:r>
          </w:p>
        </w:tc>
        <w:tc>
          <w:tcPr>
            <w:tcW w:w="1290" w:type="dxa"/>
            <w:vAlign w:val="center"/>
          </w:tcPr>
          <w:p>
            <w:pPr>
              <w:widowControl/>
              <w:ind w:left="-50" w:leftChars="0"/>
              <w:jc w:val="center"/>
              <w:rPr>
                <w:rFonts w:hint="eastAsia" w:ascii="宋体" w:hAnsi="宋体" w:eastAsia="宋体" w:cs="宋体"/>
                <w:b w:val="0"/>
                <w:bCs w:val="0"/>
                <w:color w:val="auto"/>
                <w:kern w:val="0"/>
                <w:szCs w:val="21"/>
                <w:shd w:val="clear" w:color="auto" w:fill="auto"/>
              </w:rPr>
            </w:pPr>
            <w:r>
              <w:rPr>
                <w:rFonts w:hint="eastAsia" w:ascii="宋体" w:hAnsi="宋体" w:eastAsia="宋体" w:cs="宋体"/>
                <w:b w:val="0"/>
                <w:bCs w:val="0"/>
                <w:color w:val="auto"/>
                <w:kern w:val="0"/>
                <w:szCs w:val="21"/>
                <w:shd w:val="clear" w:color="auto" w:fill="auto"/>
                <w:lang w:val="en-US" w:eastAsia="zh-CN"/>
              </w:rPr>
              <w:t>与主体进度配合方案</w:t>
            </w:r>
          </w:p>
        </w:tc>
        <w:tc>
          <w:tcPr>
            <w:tcW w:w="722" w:type="dxa"/>
            <w:tcBorders>
              <w:bottom w:val="single" w:color="auto" w:sz="4" w:space="0"/>
            </w:tcBorders>
            <w:vAlign w:val="center"/>
          </w:tcPr>
          <w:p>
            <w:pPr>
              <w:widowControl/>
              <w:adjustRightInd w:val="0"/>
              <w:snapToGrid w:val="0"/>
              <w:jc w:val="center"/>
              <w:rPr>
                <w:rFonts w:hint="eastAsia" w:ascii="宋体" w:hAnsi="宋体" w:eastAsia="宋体" w:cs="宋体"/>
                <w:b w:val="0"/>
                <w:bCs w:val="0"/>
                <w:color w:val="auto"/>
                <w:kern w:val="0"/>
                <w:szCs w:val="21"/>
                <w:shd w:val="clear" w:color="auto" w:fill="auto"/>
                <w:lang w:val="en-US" w:eastAsia="zh-CN"/>
              </w:rPr>
            </w:pPr>
            <w:r>
              <w:rPr>
                <w:rFonts w:hint="eastAsia" w:ascii="宋体" w:hAnsi="宋体" w:cs="宋体"/>
                <w:b w:val="0"/>
                <w:bCs w:val="0"/>
                <w:color w:val="auto"/>
                <w:kern w:val="0"/>
                <w:szCs w:val="21"/>
                <w:shd w:val="clear" w:color="auto" w:fill="auto"/>
                <w:lang w:val="en-US" w:eastAsia="zh-CN"/>
              </w:rPr>
              <w:t>4</w:t>
            </w:r>
            <w:r>
              <w:rPr>
                <w:rFonts w:hint="eastAsia" w:ascii="宋体" w:hAnsi="宋体" w:eastAsia="宋体" w:cs="宋体"/>
                <w:b w:val="0"/>
                <w:bCs w:val="0"/>
                <w:color w:val="auto"/>
                <w:kern w:val="0"/>
                <w:szCs w:val="21"/>
                <w:shd w:val="clear" w:color="auto" w:fill="auto"/>
                <w:lang w:val="en-US" w:eastAsia="zh-CN"/>
              </w:rPr>
              <w:t>分</w:t>
            </w:r>
          </w:p>
        </w:tc>
        <w:tc>
          <w:tcPr>
            <w:tcW w:w="6433" w:type="dxa"/>
            <w:gridSpan w:val="2"/>
            <w:tcBorders>
              <w:top w:val="single" w:color="auto" w:sz="4" w:space="0"/>
              <w:bottom w:val="single" w:color="auto" w:sz="4" w:space="0"/>
            </w:tcBorders>
            <w:vAlign w:val="center"/>
          </w:tcPr>
          <w:p>
            <w:pPr>
              <w:widowControl/>
              <w:numPr>
                <w:ilvl w:val="0"/>
                <w:numId w:val="0"/>
              </w:numPr>
              <w:adjustRightInd w:val="0"/>
              <w:snapToGrid w:val="0"/>
              <w:ind w:left="0" w:leftChars="0" w:firstLine="0" w:firstLineChars="0"/>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cs="宋体"/>
                <w:color w:val="auto"/>
                <w:kern w:val="0"/>
                <w:sz w:val="21"/>
                <w:szCs w:val="21"/>
                <w:highlight w:val="none"/>
                <w:shd w:val="clear" w:color="auto" w:fill="auto"/>
                <w:lang w:val="en-US" w:eastAsia="zh-CN"/>
              </w:rPr>
              <w:t>磋商</w:t>
            </w:r>
            <w:r>
              <w:rPr>
                <w:rFonts w:hint="eastAsia" w:ascii="宋体" w:hAnsi="宋体" w:eastAsia="宋体" w:cs="宋体"/>
                <w:color w:val="auto"/>
                <w:kern w:val="0"/>
                <w:sz w:val="21"/>
                <w:szCs w:val="21"/>
                <w:highlight w:val="none"/>
                <w:shd w:val="clear" w:color="auto" w:fill="auto"/>
                <w:lang w:val="en-US" w:eastAsia="zh-CN"/>
              </w:rPr>
              <w:t>供应商提供的与主体进度配合的方案：（0-</w:t>
            </w:r>
            <w:r>
              <w:rPr>
                <w:rFonts w:hint="eastAsia" w:ascii="宋体" w:hAnsi="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lang w:val="en-US" w:eastAsia="zh-CN"/>
              </w:rPr>
              <w:t>分）</w:t>
            </w:r>
          </w:p>
          <w:p>
            <w:pPr>
              <w:widowControl/>
              <w:numPr>
                <w:ilvl w:val="0"/>
                <w:numId w:val="0"/>
              </w:numPr>
              <w:adjustRightInd w:val="0"/>
              <w:snapToGrid w:val="0"/>
              <w:ind w:leftChars="0"/>
              <w:jc w:val="left"/>
              <w:rPr>
                <w:rFonts w:hint="eastAsia" w:ascii="宋体" w:hAnsi="宋体" w:eastAsia="宋体" w:cs="宋体"/>
                <w:b w:val="0"/>
                <w:bCs w:val="0"/>
                <w:color w:val="auto"/>
                <w:kern w:val="0"/>
                <w:szCs w:val="21"/>
                <w:shd w:val="clear" w:color="auto" w:fill="auto"/>
              </w:rPr>
            </w:pPr>
            <w:r>
              <w:rPr>
                <w:rFonts w:hint="eastAsia" w:ascii="宋体" w:hAnsi="宋体" w:eastAsia="宋体" w:cs="宋体"/>
                <w:color w:val="auto"/>
                <w:kern w:val="0"/>
                <w:sz w:val="21"/>
                <w:szCs w:val="21"/>
                <w:highlight w:val="none"/>
                <w:shd w:val="clear" w:color="auto" w:fill="auto"/>
                <w:lang w:val="en-US" w:eastAsia="zh-CN"/>
              </w:rPr>
              <w:t>①</w:t>
            </w:r>
            <w:r>
              <w:rPr>
                <w:rFonts w:hint="eastAsia" w:ascii="宋体" w:hAnsi="宋体" w:eastAsia="宋体" w:cs="宋体"/>
                <w:b w:val="0"/>
                <w:bCs w:val="0"/>
                <w:color w:val="auto"/>
                <w:kern w:val="0"/>
                <w:szCs w:val="21"/>
                <w:shd w:val="clear" w:color="auto" w:fill="auto"/>
              </w:rPr>
              <w:t>方案全面、合理，具有针对性的，得</w:t>
            </w:r>
            <w:r>
              <w:rPr>
                <w:rFonts w:hint="eastAsia" w:ascii="宋体" w:hAnsi="宋体" w:eastAsia="宋体" w:cs="宋体"/>
                <w:b w:val="0"/>
                <w:bCs w:val="0"/>
                <w:color w:val="auto"/>
                <w:kern w:val="0"/>
                <w:szCs w:val="21"/>
                <w:shd w:val="clear" w:color="auto" w:fill="auto"/>
                <w:lang w:val="en-US" w:eastAsia="zh-CN"/>
              </w:rPr>
              <w:t>2.8</w:t>
            </w:r>
            <w:r>
              <w:rPr>
                <w:rFonts w:hint="eastAsia" w:ascii="宋体" w:hAnsi="宋体" w:eastAsia="宋体" w:cs="宋体"/>
                <w:b w:val="0"/>
                <w:bCs w:val="0"/>
                <w:color w:val="auto"/>
                <w:kern w:val="0"/>
                <w:szCs w:val="21"/>
                <w:shd w:val="clear" w:color="auto" w:fill="auto"/>
              </w:rPr>
              <w:t>-</w:t>
            </w:r>
            <w:r>
              <w:rPr>
                <w:rFonts w:hint="eastAsia" w:ascii="宋体" w:hAnsi="宋体" w:eastAsia="宋体" w:cs="宋体"/>
                <w:b w:val="0"/>
                <w:bCs w:val="0"/>
                <w:color w:val="auto"/>
                <w:kern w:val="0"/>
                <w:szCs w:val="21"/>
                <w:shd w:val="clear" w:color="auto" w:fill="auto"/>
                <w:lang w:val="en-US" w:eastAsia="zh-CN"/>
              </w:rPr>
              <w:t>4</w:t>
            </w:r>
            <w:r>
              <w:rPr>
                <w:rFonts w:hint="eastAsia" w:ascii="宋体" w:hAnsi="宋体" w:eastAsia="宋体" w:cs="宋体"/>
                <w:b w:val="0"/>
                <w:bCs w:val="0"/>
                <w:color w:val="auto"/>
                <w:kern w:val="0"/>
                <w:szCs w:val="21"/>
                <w:shd w:val="clear" w:color="auto" w:fill="auto"/>
              </w:rPr>
              <w:t>分；</w:t>
            </w:r>
          </w:p>
          <w:p>
            <w:pPr>
              <w:widowControl/>
              <w:numPr>
                <w:ilvl w:val="0"/>
                <w:numId w:val="0"/>
              </w:numPr>
              <w:adjustRightInd w:val="0"/>
              <w:snapToGrid w:val="0"/>
              <w:ind w:leftChars="0"/>
              <w:jc w:val="left"/>
              <w:rPr>
                <w:rFonts w:hint="eastAsia" w:ascii="宋体" w:hAnsi="宋体" w:eastAsia="宋体" w:cs="宋体"/>
                <w:b w:val="0"/>
                <w:bCs w:val="0"/>
                <w:color w:val="auto"/>
                <w:kern w:val="0"/>
                <w:szCs w:val="21"/>
                <w:shd w:val="clear" w:color="auto" w:fill="auto"/>
              </w:rPr>
            </w:pPr>
            <w:r>
              <w:rPr>
                <w:rFonts w:hint="eastAsia" w:ascii="宋体" w:hAnsi="宋体" w:eastAsia="宋体" w:cs="宋体"/>
                <w:color w:val="auto"/>
                <w:kern w:val="0"/>
                <w:sz w:val="21"/>
                <w:szCs w:val="21"/>
                <w:highlight w:val="none"/>
                <w:shd w:val="clear" w:color="auto" w:fill="auto"/>
                <w:lang w:val="en-US" w:eastAsia="zh-CN"/>
              </w:rPr>
              <w:t>②</w:t>
            </w:r>
            <w:r>
              <w:rPr>
                <w:rFonts w:hint="eastAsia" w:ascii="宋体" w:hAnsi="宋体" w:eastAsia="宋体" w:cs="宋体"/>
                <w:b w:val="0"/>
                <w:bCs w:val="0"/>
                <w:color w:val="auto"/>
                <w:kern w:val="0"/>
                <w:szCs w:val="21"/>
                <w:shd w:val="clear" w:color="auto" w:fill="auto"/>
              </w:rPr>
              <w:t>方案基本全面、合理，具有针对性的，得</w:t>
            </w:r>
            <w:r>
              <w:rPr>
                <w:rFonts w:hint="eastAsia" w:ascii="宋体" w:hAnsi="宋体" w:eastAsia="宋体" w:cs="宋体"/>
                <w:b w:val="0"/>
                <w:bCs w:val="0"/>
                <w:color w:val="auto"/>
                <w:kern w:val="0"/>
                <w:szCs w:val="21"/>
                <w:shd w:val="clear" w:color="auto" w:fill="auto"/>
                <w:lang w:val="en-US" w:eastAsia="zh-CN"/>
              </w:rPr>
              <w:t>1.6</w:t>
            </w:r>
            <w:r>
              <w:rPr>
                <w:rFonts w:hint="eastAsia" w:ascii="宋体" w:hAnsi="宋体" w:eastAsia="宋体" w:cs="宋体"/>
                <w:b w:val="0"/>
                <w:bCs w:val="0"/>
                <w:color w:val="auto"/>
                <w:kern w:val="0"/>
                <w:szCs w:val="21"/>
                <w:shd w:val="clear" w:color="auto" w:fill="auto"/>
              </w:rPr>
              <w:t>-</w:t>
            </w:r>
            <w:r>
              <w:rPr>
                <w:rFonts w:hint="eastAsia" w:ascii="宋体" w:hAnsi="宋体" w:eastAsia="宋体" w:cs="宋体"/>
                <w:b w:val="0"/>
                <w:bCs w:val="0"/>
                <w:color w:val="auto"/>
                <w:kern w:val="0"/>
                <w:szCs w:val="21"/>
                <w:shd w:val="clear" w:color="auto" w:fill="auto"/>
                <w:lang w:val="en-US" w:eastAsia="zh-CN"/>
              </w:rPr>
              <w:t>2.8</w:t>
            </w:r>
            <w:r>
              <w:rPr>
                <w:rFonts w:hint="eastAsia" w:ascii="宋体" w:hAnsi="宋体" w:eastAsia="宋体" w:cs="宋体"/>
                <w:b w:val="0"/>
                <w:bCs w:val="0"/>
                <w:color w:val="auto"/>
                <w:kern w:val="0"/>
                <w:szCs w:val="21"/>
                <w:shd w:val="clear" w:color="auto" w:fill="auto"/>
              </w:rPr>
              <w:t>分；</w:t>
            </w:r>
          </w:p>
          <w:p>
            <w:pPr>
              <w:widowControl/>
              <w:numPr>
                <w:ilvl w:val="0"/>
                <w:numId w:val="0"/>
              </w:numPr>
              <w:adjustRightInd w:val="0"/>
              <w:snapToGrid w:val="0"/>
              <w:ind w:left="0" w:leftChars="0" w:firstLine="0" w:firstLineChars="0"/>
              <w:jc w:val="left"/>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③</w:t>
            </w:r>
            <w:r>
              <w:rPr>
                <w:rFonts w:hint="eastAsia" w:ascii="宋体" w:hAnsi="宋体" w:eastAsia="宋体" w:cs="宋体"/>
                <w:b w:val="0"/>
                <w:bCs w:val="0"/>
                <w:color w:val="auto"/>
                <w:kern w:val="0"/>
                <w:szCs w:val="21"/>
                <w:shd w:val="clear" w:color="auto" w:fill="auto"/>
                <w:lang w:eastAsia="zh-CN"/>
              </w:rPr>
              <w:t>方案一般，针对性一般的，得0-</w:t>
            </w:r>
            <w:r>
              <w:rPr>
                <w:rFonts w:hint="eastAsia" w:ascii="宋体" w:hAnsi="宋体" w:eastAsia="宋体" w:cs="宋体"/>
                <w:b w:val="0"/>
                <w:bCs w:val="0"/>
                <w:color w:val="auto"/>
                <w:kern w:val="0"/>
                <w:szCs w:val="21"/>
                <w:shd w:val="clear" w:color="auto" w:fill="auto"/>
                <w:lang w:val="en-US" w:eastAsia="zh-CN"/>
              </w:rPr>
              <w:t>1.6</w:t>
            </w:r>
            <w:r>
              <w:rPr>
                <w:rFonts w:hint="eastAsia" w:ascii="宋体" w:hAnsi="宋体" w:eastAsia="宋体" w:cs="宋体"/>
                <w:b w:val="0"/>
                <w:bCs w:val="0"/>
                <w:color w:val="auto"/>
                <w:kern w:val="0"/>
                <w:szCs w:val="21"/>
                <w:shd w:val="clear" w:color="auto" w:fil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10" w:type="dxa"/>
            <w:vMerge w:val="restart"/>
            <w:vAlign w:val="center"/>
          </w:tcPr>
          <w:p>
            <w:pPr>
              <w:keepNext w:val="0"/>
              <w:keepLines w:val="0"/>
              <w:pageBreakBefore w:val="0"/>
              <w:widowControl/>
              <w:kinsoku/>
              <w:wordWrap/>
              <w:overflowPunct/>
              <w:topLinePunct w:val="0"/>
              <w:autoSpaceDE/>
              <w:autoSpaceDN/>
              <w:bidi w:val="0"/>
              <w:spacing w:line="320" w:lineRule="exact"/>
              <w:ind w:right="3" w:firstLine="105" w:firstLineChars="50"/>
              <w:jc w:val="center"/>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7</w:t>
            </w:r>
          </w:p>
        </w:tc>
        <w:tc>
          <w:tcPr>
            <w:tcW w:w="1290" w:type="dxa"/>
            <w:vMerge w:val="restart"/>
            <w:vAlign w:val="center"/>
          </w:tcPr>
          <w:p>
            <w:pPr>
              <w:keepNext w:val="0"/>
              <w:keepLines w:val="0"/>
              <w:pageBreakBefore w:val="0"/>
              <w:widowControl/>
              <w:kinsoku/>
              <w:wordWrap/>
              <w:overflowPunct/>
              <w:topLinePunct w:val="0"/>
              <w:autoSpaceDE/>
              <w:autoSpaceDN/>
              <w:bidi w:val="0"/>
              <w:adjustRightInd w:val="0"/>
              <w:spacing w:line="320" w:lineRule="exact"/>
              <w:jc w:val="center"/>
              <w:textAlignment w:val="auto"/>
              <w:rPr>
                <w:rFonts w:cs="Arial" w:asciiTheme="minorEastAsia" w:hAnsiTheme="minorEastAsia" w:eastAsiaTheme="minorEastAsia"/>
                <w:bCs/>
                <w:color w:val="auto"/>
                <w:kern w:val="28"/>
                <w:szCs w:val="21"/>
              </w:rPr>
            </w:pPr>
            <w:r>
              <w:rPr>
                <w:rFonts w:hint="eastAsia" w:ascii="宋体" w:hAnsi="宋体" w:eastAsia="宋体" w:cs="宋体"/>
                <w:bCs/>
                <w:color w:val="auto"/>
                <w:kern w:val="28"/>
                <w:sz w:val="21"/>
                <w:szCs w:val="21"/>
                <w:highlight w:val="none"/>
                <w:shd w:val="clear" w:color="auto" w:fill="auto"/>
              </w:rPr>
              <w:t>售后服务承诺及相关保证措施</w:t>
            </w:r>
          </w:p>
        </w:tc>
        <w:tc>
          <w:tcPr>
            <w:tcW w:w="722"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spacing w:line="320" w:lineRule="exact"/>
              <w:ind w:right="3" w:rightChars="0"/>
              <w:jc w:val="center"/>
              <w:textAlignment w:val="auto"/>
              <w:rPr>
                <w:rFonts w:cs="Arial" w:asciiTheme="minorEastAsia" w:hAnsiTheme="minorEastAsia" w:eastAsiaTheme="minorEastAsia"/>
                <w:bCs/>
                <w:color w:val="auto"/>
                <w:kern w:val="28"/>
                <w:szCs w:val="21"/>
              </w:rPr>
            </w:pPr>
            <w:r>
              <w:rPr>
                <w:rFonts w:hint="eastAsia" w:ascii="宋体" w:hAnsi="宋体" w:cs="Arial"/>
                <w:bCs/>
                <w:color w:val="auto"/>
                <w:kern w:val="28"/>
                <w:szCs w:val="21"/>
                <w:shd w:val="clear" w:color="auto" w:fill="auto"/>
                <w:lang w:val="en-US" w:eastAsia="zh-CN"/>
              </w:rPr>
              <w:t>7</w:t>
            </w:r>
            <w:r>
              <w:rPr>
                <w:rFonts w:hint="eastAsia" w:ascii="宋体" w:hAnsi="宋体" w:eastAsia="宋体" w:cs="Arial"/>
                <w:bCs/>
                <w:color w:val="auto"/>
                <w:kern w:val="28"/>
                <w:szCs w:val="21"/>
                <w:shd w:val="clear" w:color="auto" w:fill="auto"/>
              </w:rPr>
              <w:t>分</w:t>
            </w:r>
          </w:p>
        </w:tc>
        <w:tc>
          <w:tcPr>
            <w:tcW w:w="6433" w:type="dxa"/>
            <w:gridSpan w:val="2"/>
            <w:tcBorders>
              <w:top w:val="single" w:color="auto"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pacing w:line="320" w:lineRule="exact"/>
              <w:ind w:left="0" w:leftChars="0" w:firstLine="0" w:firstLineChars="0"/>
              <w:jc w:val="left"/>
              <w:textAlignment w:val="auto"/>
              <w:rPr>
                <w:rFonts w:hint="eastAsia" w:asciiTheme="minorEastAsia" w:hAnsiTheme="minorEastAsia" w:eastAsiaTheme="minorEastAsia"/>
                <w:color w:val="auto"/>
                <w:szCs w:val="21"/>
              </w:rPr>
            </w:pPr>
            <w:r>
              <w:rPr>
                <w:rFonts w:hint="eastAsia" w:ascii="宋体" w:hAnsi="宋体" w:eastAsia="宋体" w:cs="宋体"/>
                <w:i w:val="0"/>
                <w:iCs w:val="0"/>
                <w:color w:val="auto"/>
                <w:kern w:val="0"/>
                <w:sz w:val="21"/>
                <w:szCs w:val="21"/>
                <w:highlight w:val="none"/>
                <w:shd w:val="clear" w:color="auto" w:fill="auto"/>
                <w:lang w:val="en-US" w:eastAsia="zh-CN" w:bidi="ar-SA"/>
              </w:rPr>
              <w:t>7.1、简述拟对采购人的培训计划、</w:t>
            </w:r>
            <w:r>
              <w:rPr>
                <w:rFonts w:hint="eastAsia" w:ascii="宋体" w:hAnsi="宋体" w:eastAsia="宋体" w:cs="Times New Roman"/>
                <w:color w:val="auto"/>
                <w:kern w:val="0"/>
                <w:sz w:val="21"/>
                <w:szCs w:val="21"/>
                <w:shd w:val="clear" w:color="auto" w:fill="auto"/>
                <w:lang w:val="en-US" w:eastAsia="zh-CN" w:bidi="ar-SA"/>
              </w:rPr>
              <w:t>设备售后服务承诺的范围和完善程度、</w:t>
            </w:r>
            <w:r>
              <w:rPr>
                <w:rFonts w:hint="eastAsia" w:ascii="宋体" w:hAnsi="宋体" w:eastAsia="宋体" w:cs="宋体"/>
                <w:i w:val="0"/>
                <w:iCs w:val="0"/>
                <w:color w:val="auto"/>
                <w:kern w:val="0"/>
                <w:sz w:val="21"/>
                <w:szCs w:val="21"/>
                <w:highlight w:val="none"/>
                <w:shd w:val="clear" w:color="auto" w:fill="auto"/>
                <w:lang w:val="en-US" w:eastAsia="zh-CN" w:bidi="ar-SA"/>
              </w:rPr>
              <w:t>保修方案及具体措施方案等；</w:t>
            </w:r>
            <w:r>
              <w:rPr>
                <w:rFonts w:hint="eastAsia" w:ascii="宋体" w:hAnsi="宋体" w:eastAsia="宋体" w:cs="宋体"/>
                <w:color w:val="auto"/>
                <w:kern w:val="0"/>
                <w:sz w:val="21"/>
                <w:szCs w:val="21"/>
                <w:highlight w:val="none"/>
                <w:shd w:val="clear" w:color="auto" w:fill="auto"/>
                <w:lang w:val="en-US" w:eastAsia="zh-CN" w:bidi="ar-SA"/>
              </w:rPr>
              <w:t>（0-</w:t>
            </w:r>
            <w:r>
              <w:rPr>
                <w:rFonts w:hint="eastAsia" w:ascii="宋体" w:hAnsi="宋体" w:cs="宋体"/>
                <w:color w:val="auto"/>
                <w:kern w:val="0"/>
                <w:sz w:val="21"/>
                <w:szCs w:val="21"/>
                <w:highlight w:val="none"/>
                <w:shd w:val="clear" w:color="auto" w:fill="auto"/>
                <w:lang w:val="en-US" w:eastAsia="zh-CN" w:bidi="ar-SA"/>
              </w:rPr>
              <w:t>3</w:t>
            </w:r>
            <w:r>
              <w:rPr>
                <w:rFonts w:hint="eastAsia" w:ascii="宋体" w:hAnsi="宋体" w:eastAsia="宋体" w:cs="宋体"/>
                <w:color w:val="auto"/>
                <w:kern w:val="0"/>
                <w:sz w:val="21"/>
                <w:szCs w:val="21"/>
                <w:highlight w:val="none"/>
                <w:shd w:val="clear" w:color="auto" w:fill="auto"/>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0" w:type="dxa"/>
            <w:vMerge w:val="continue"/>
            <w:vAlign w:val="center"/>
          </w:tcPr>
          <w:p>
            <w:pPr>
              <w:keepNext w:val="0"/>
              <w:keepLines w:val="0"/>
              <w:pageBreakBefore w:val="0"/>
              <w:widowControl/>
              <w:kinsoku/>
              <w:wordWrap/>
              <w:overflowPunct/>
              <w:topLinePunct w:val="0"/>
              <w:autoSpaceDE/>
              <w:autoSpaceDN/>
              <w:bidi w:val="0"/>
              <w:spacing w:line="320" w:lineRule="exact"/>
              <w:ind w:right="3" w:firstLine="105" w:firstLineChars="50"/>
              <w:jc w:val="center"/>
              <w:textAlignment w:val="auto"/>
              <w:rPr>
                <w:rFonts w:hint="eastAsia" w:asciiTheme="minorEastAsia" w:hAnsiTheme="minorEastAsia" w:eastAsiaTheme="minorEastAsia"/>
                <w:color w:val="auto"/>
                <w:szCs w:val="21"/>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val="0"/>
              <w:spacing w:line="320" w:lineRule="exact"/>
              <w:jc w:val="center"/>
              <w:textAlignment w:val="auto"/>
              <w:rPr>
                <w:rFonts w:hint="eastAsia" w:cs="Arial" w:asciiTheme="minorEastAsia" w:hAnsiTheme="minorEastAsia" w:eastAsiaTheme="minorEastAsia"/>
                <w:bCs/>
                <w:color w:val="auto"/>
                <w:kern w:val="28"/>
                <w:szCs w:val="21"/>
              </w:rPr>
            </w:pPr>
          </w:p>
        </w:tc>
        <w:tc>
          <w:tcPr>
            <w:tcW w:w="722" w:type="dxa"/>
            <w:vMerge w:val="continue"/>
            <w:vAlign w:val="center"/>
          </w:tcPr>
          <w:p>
            <w:pPr>
              <w:keepNext w:val="0"/>
              <w:keepLines w:val="0"/>
              <w:pageBreakBefore w:val="0"/>
              <w:widowControl/>
              <w:kinsoku/>
              <w:wordWrap/>
              <w:overflowPunct/>
              <w:topLinePunct w:val="0"/>
              <w:autoSpaceDE/>
              <w:autoSpaceDN/>
              <w:bidi w:val="0"/>
              <w:spacing w:line="320" w:lineRule="exact"/>
              <w:ind w:right="3" w:rightChars="0"/>
              <w:jc w:val="center"/>
              <w:textAlignment w:val="auto"/>
              <w:rPr>
                <w:rFonts w:hint="eastAsia" w:cs="Arial" w:asciiTheme="minorEastAsia" w:hAnsiTheme="minorEastAsia" w:eastAsiaTheme="minorEastAsia"/>
                <w:bCs/>
                <w:color w:val="auto"/>
                <w:kern w:val="28"/>
                <w:szCs w:val="21"/>
              </w:rPr>
            </w:pPr>
          </w:p>
        </w:tc>
        <w:tc>
          <w:tcPr>
            <w:tcW w:w="6433" w:type="dxa"/>
            <w:gridSpan w:val="2"/>
            <w:tcBorders>
              <w:top w:val="single" w:color="auto"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pacing w:line="320" w:lineRule="exact"/>
              <w:ind w:left="0" w:leftChars="0" w:firstLine="0" w:firstLineChars="0"/>
              <w:jc w:val="left"/>
              <w:textAlignment w:val="auto"/>
              <w:rPr>
                <w:rFonts w:hint="eastAsia" w:eastAsia="宋体" w:asciiTheme="minorEastAsia" w:hAnsiTheme="minorEastAsia"/>
                <w:color w:val="auto"/>
                <w:szCs w:val="21"/>
                <w:lang w:val="en-US" w:eastAsia="zh-CN"/>
              </w:rPr>
            </w:pPr>
            <w:r>
              <w:rPr>
                <w:rFonts w:hint="eastAsia" w:ascii="宋体" w:hAnsi="宋体" w:eastAsia="宋体" w:cs="Times New Roman"/>
                <w:color w:val="auto"/>
                <w:kern w:val="0"/>
                <w:sz w:val="21"/>
                <w:szCs w:val="21"/>
                <w:shd w:val="clear" w:color="auto" w:fill="auto"/>
                <w:lang w:val="en-US" w:eastAsia="zh-CN" w:bidi="ar-SA"/>
              </w:rPr>
              <w:t>7.2、</w:t>
            </w:r>
            <w:r>
              <w:rPr>
                <w:rFonts w:hint="eastAsia" w:ascii="宋体" w:hAnsi="宋体" w:eastAsia="宋体" w:cs="Arial"/>
                <w:color w:val="auto"/>
                <w:kern w:val="0"/>
                <w:szCs w:val="21"/>
                <w:shd w:val="clear" w:color="auto" w:fill="auto"/>
              </w:rPr>
              <w:t>质保期在磋商文件要求质保期2年的基础上，每增加</w:t>
            </w:r>
            <w:r>
              <w:rPr>
                <w:rFonts w:hint="eastAsia" w:ascii="宋体" w:hAnsi="宋体" w:eastAsia="宋体" w:cs="Arial"/>
                <w:color w:val="auto"/>
                <w:kern w:val="0"/>
                <w:szCs w:val="21"/>
                <w:shd w:val="clear" w:color="auto" w:fill="auto"/>
                <w:lang w:val="en-US" w:eastAsia="zh-CN"/>
              </w:rPr>
              <w:t>1年</w:t>
            </w:r>
            <w:r>
              <w:rPr>
                <w:rFonts w:hint="eastAsia" w:ascii="宋体" w:hAnsi="宋体" w:eastAsia="宋体" w:cs="Arial"/>
                <w:color w:val="auto"/>
                <w:kern w:val="0"/>
                <w:szCs w:val="21"/>
                <w:shd w:val="clear" w:color="auto" w:fill="auto"/>
              </w:rPr>
              <w:t>得</w:t>
            </w:r>
            <w:r>
              <w:rPr>
                <w:rFonts w:hint="eastAsia" w:ascii="宋体" w:hAnsi="宋体" w:eastAsia="宋体" w:cs="Arial"/>
                <w:color w:val="auto"/>
                <w:kern w:val="0"/>
                <w:szCs w:val="21"/>
                <w:shd w:val="clear" w:color="auto" w:fill="auto"/>
                <w:lang w:val="en-US" w:eastAsia="zh-CN"/>
              </w:rPr>
              <w:t>1</w:t>
            </w:r>
            <w:r>
              <w:rPr>
                <w:rFonts w:hint="eastAsia" w:ascii="宋体" w:hAnsi="宋体" w:eastAsia="宋体" w:cs="Arial"/>
                <w:color w:val="auto"/>
                <w:kern w:val="0"/>
                <w:szCs w:val="21"/>
                <w:shd w:val="clear" w:color="auto" w:fill="auto"/>
              </w:rPr>
              <w:t>分，</w:t>
            </w:r>
            <w:r>
              <w:rPr>
                <w:rFonts w:hint="eastAsia" w:ascii="宋体" w:hAnsi="宋体" w:eastAsia="宋体" w:cs="Arial"/>
                <w:color w:val="auto"/>
                <w:kern w:val="0"/>
                <w:szCs w:val="21"/>
                <w:shd w:val="clear" w:color="auto" w:fill="auto"/>
                <w:lang w:val="en-US" w:eastAsia="zh-CN"/>
              </w:rPr>
              <w:t>本项</w:t>
            </w:r>
            <w:r>
              <w:rPr>
                <w:rFonts w:hint="eastAsia" w:ascii="宋体" w:hAnsi="宋体" w:eastAsia="宋体" w:cs="Arial"/>
                <w:color w:val="auto"/>
                <w:kern w:val="0"/>
                <w:szCs w:val="21"/>
                <w:shd w:val="clear" w:color="auto" w:fill="auto"/>
              </w:rPr>
              <w:t>最高得</w:t>
            </w:r>
            <w:r>
              <w:rPr>
                <w:rFonts w:hint="eastAsia" w:ascii="宋体" w:hAnsi="宋体" w:eastAsia="宋体" w:cs="Arial"/>
                <w:color w:val="auto"/>
                <w:kern w:val="0"/>
                <w:szCs w:val="21"/>
                <w:shd w:val="clear" w:color="auto" w:fill="auto"/>
                <w:lang w:val="en-US" w:eastAsia="zh-CN"/>
              </w:rPr>
              <w:t>3</w:t>
            </w:r>
            <w:r>
              <w:rPr>
                <w:rFonts w:hint="eastAsia" w:ascii="宋体" w:hAnsi="宋体" w:eastAsia="宋体" w:cs="Arial"/>
                <w:color w:val="auto"/>
                <w:kern w:val="0"/>
                <w:szCs w:val="21"/>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10" w:type="dxa"/>
            <w:vMerge w:val="continue"/>
            <w:vAlign w:val="center"/>
          </w:tcPr>
          <w:p>
            <w:pPr>
              <w:keepNext w:val="0"/>
              <w:keepLines w:val="0"/>
              <w:pageBreakBefore w:val="0"/>
              <w:widowControl/>
              <w:kinsoku/>
              <w:wordWrap/>
              <w:overflowPunct/>
              <w:topLinePunct w:val="0"/>
              <w:autoSpaceDE/>
              <w:autoSpaceDN/>
              <w:bidi w:val="0"/>
              <w:spacing w:line="320" w:lineRule="exact"/>
              <w:ind w:right="3" w:firstLine="105" w:firstLineChars="50"/>
              <w:jc w:val="center"/>
              <w:textAlignment w:val="auto"/>
              <w:rPr>
                <w:rFonts w:asciiTheme="minorEastAsia" w:hAnsiTheme="minorEastAsia" w:eastAsiaTheme="minorEastAsia"/>
                <w:color w:val="auto"/>
                <w:szCs w:val="21"/>
              </w:rPr>
            </w:pPr>
          </w:p>
        </w:tc>
        <w:tc>
          <w:tcPr>
            <w:tcW w:w="1290" w:type="dxa"/>
            <w:vMerge w:val="continue"/>
            <w:vAlign w:val="center"/>
          </w:tcPr>
          <w:p>
            <w:pPr>
              <w:keepNext w:val="0"/>
              <w:keepLines w:val="0"/>
              <w:pageBreakBefore w:val="0"/>
              <w:widowControl/>
              <w:kinsoku/>
              <w:wordWrap/>
              <w:overflowPunct/>
              <w:topLinePunct w:val="0"/>
              <w:autoSpaceDE/>
              <w:autoSpaceDN/>
              <w:bidi w:val="0"/>
              <w:adjustRightInd w:val="0"/>
              <w:spacing w:line="320" w:lineRule="exact"/>
              <w:jc w:val="center"/>
              <w:textAlignment w:val="auto"/>
              <w:rPr>
                <w:rFonts w:cs="Arial" w:asciiTheme="minorEastAsia" w:hAnsiTheme="minorEastAsia" w:eastAsiaTheme="minorEastAsia"/>
                <w:bCs/>
                <w:color w:val="auto"/>
                <w:kern w:val="28"/>
                <w:szCs w:val="21"/>
              </w:rPr>
            </w:pPr>
          </w:p>
        </w:tc>
        <w:tc>
          <w:tcPr>
            <w:tcW w:w="722"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spacing w:line="320" w:lineRule="exact"/>
              <w:ind w:right="3" w:rightChars="0"/>
              <w:jc w:val="center"/>
              <w:textAlignment w:val="auto"/>
              <w:rPr>
                <w:rFonts w:cs="Arial" w:asciiTheme="minorEastAsia" w:hAnsiTheme="minorEastAsia" w:eastAsiaTheme="minorEastAsia"/>
                <w:bCs/>
                <w:color w:val="auto"/>
                <w:kern w:val="28"/>
                <w:szCs w:val="21"/>
              </w:rPr>
            </w:pPr>
          </w:p>
        </w:tc>
        <w:tc>
          <w:tcPr>
            <w:tcW w:w="6433" w:type="dxa"/>
            <w:gridSpan w:val="2"/>
            <w:tcBorders>
              <w:top w:val="single" w:color="auto" w:sz="4" w:space="0"/>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val="0"/>
              <w:spacing w:line="320" w:lineRule="exact"/>
              <w:ind w:left="0" w:leftChars="0" w:firstLine="0" w:firstLineChars="0"/>
              <w:textAlignment w:val="auto"/>
              <w:rPr>
                <w:rFonts w:hint="eastAsia" w:asciiTheme="minorEastAsia" w:hAnsiTheme="minorEastAsia" w:eastAsiaTheme="minorEastAsia"/>
                <w:color w:val="auto"/>
                <w:szCs w:val="21"/>
                <w:lang w:val="en-US" w:eastAsia="zh-CN"/>
              </w:rPr>
            </w:pPr>
            <w:r>
              <w:rPr>
                <w:rFonts w:hint="eastAsia" w:ascii="宋体" w:hAnsi="宋体" w:eastAsia="宋体" w:cs="Times New Roman"/>
                <w:color w:val="auto"/>
                <w:sz w:val="21"/>
                <w:szCs w:val="21"/>
                <w:shd w:val="clear" w:color="auto" w:fill="auto"/>
                <w:lang w:val="en-US" w:eastAsia="zh-CN" w:bidi="ar-SA"/>
              </w:rPr>
              <w:t xml:space="preserve">7.3、根据售后服务网点（或合作服务网点）及服务便利性（提供相关证明材料并加盖单位公章）。（0-1分）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810" w:type="dxa"/>
            <w:vAlign w:val="center"/>
          </w:tcPr>
          <w:p>
            <w:pPr>
              <w:keepNext w:val="0"/>
              <w:keepLines w:val="0"/>
              <w:pageBreakBefore w:val="0"/>
              <w:widowControl/>
              <w:kinsoku/>
              <w:wordWrap/>
              <w:overflowPunct/>
              <w:topLinePunct w:val="0"/>
              <w:autoSpaceDE/>
              <w:autoSpaceDN/>
              <w:bidi w:val="0"/>
              <w:spacing w:line="320" w:lineRule="exact"/>
              <w:ind w:right="3" w:firstLine="105" w:firstLineChars="50"/>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8</w:t>
            </w:r>
          </w:p>
        </w:tc>
        <w:tc>
          <w:tcPr>
            <w:tcW w:w="129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bCs/>
                <w:color w:val="auto"/>
                <w:kern w:val="28"/>
                <w:szCs w:val="21"/>
              </w:rPr>
            </w:pPr>
            <w:r>
              <w:rPr>
                <w:rFonts w:hint="eastAsia" w:ascii="宋体" w:hAnsi="宋体" w:cs="宋体"/>
                <w:color w:val="auto"/>
                <w:szCs w:val="21"/>
              </w:rPr>
              <w:t>政府采购政策分</w:t>
            </w:r>
          </w:p>
        </w:tc>
        <w:tc>
          <w:tcPr>
            <w:tcW w:w="722"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bCs/>
                <w:color w:val="auto"/>
                <w:kern w:val="28"/>
                <w:szCs w:val="21"/>
              </w:rPr>
            </w:pPr>
            <w:r>
              <w:rPr>
                <w:rFonts w:hint="eastAsia" w:ascii="宋体" w:hAnsi="宋体" w:cs="宋体"/>
                <w:color w:val="auto"/>
                <w:szCs w:val="21"/>
              </w:rPr>
              <w:t>1分</w:t>
            </w:r>
          </w:p>
        </w:tc>
        <w:tc>
          <w:tcPr>
            <w:tcW w:w="6433"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spacing w:line="320" w:lineRule="exact"/>
              <w:textAlignment w:val="auto"/>
              <w:rPr>
                <w:rFonts w:ascii="宋体" w:hAnsi="宋体" w:cs="宋体"/>
                <w:color w:val="auto"/>
                <w:szCs w:val="21"/>
              </w:rPr>
            </w:pPr>
            <w:r>
              <w:rPr>
                <w:rFonts w:hint="eastAsia" w:ascii="宋体" w:hAnsi="宋体" w:cs="宋体"/>
                <w:color w:val="auto"/>
                <w:szCs w:val="21"/>
              </w:rPr>
              <w:t>投标产品属于《节能产品政府采购品目清单》范围的且具有国家确定的认证机构出具的、处于有效期之内的节能产品认证证书的得0.5分；投标产品属于《环境标志产品政府采购品目清单》范围的且具有国家确定的认证机构出具的、处于有效期之内的环境标志产品认证证书的得0.5分。</w:t>
            </w:r>
          </w:p>
          <w:p>
            <w:pPr>
              <w:keepNext w:val="0"/>
              <w:keepLines w:val="0"/>
              <w:pageBreakBefore w:val="0"/>
              <w:widowControl/>
              <w:kinsoku/>
              <w:wordWrap/>
              <w:overflowPunct/>
              <w:topLinePunct w:val="0"/>
              <w:autoSpaceDE/>
              <w:autoSpaceDN/>
              <w:bidi w:val="0"/>
              <w:spacing w:line="320" w:lineRule="exact"/>
              <w:textAlignment w:val="auto"/>
              <w:rPr>
                <w:rFonts w:ascii="宋体" w:hAnsi="宋体" w:cs="宋体"/>
                <w:color w:val="auto"/>
                <w:szCs w:val="21"/>
              </w:rPr>
            </w:pPr>
            <w:r>
              <w:rPr>
                <w:rFonts w:hint="eastAsia" w:ascii="宋体" w:hAnsi="宋体" w:cs="宋体"/>
                <w:color w:val="auto"/>
                <w:szCs w:val="21"/>
              </w:rPr>
              <w:t>注：磋商响应文件中必须同时提供以下资料：</w:t>
            </w:r>
          </w:p>
          <w:p>
            <w:pPr>
              <w:keepNext w:val="0"/>
              <w:keepLines w:val="0"/>
              <w:pageBreakBefore w:val="0"/>
              <w:widowControl/>
              <w:kinsoku/>
              <w:wordWrap/>
              <w:overflowPunct/>
              <w:topLinePunct w:val="0"/>
              <w:autoSpaceDE/>
              <w:autoSpaceDN/>
              <w:bidi w:val="0"/>
              <w:spacing w:line="320" w:lineRule="exact"/>
              <w:textAlignment w:val="auto"/>
              <w:rPr>
                <w:rFonts w:ascii="宋体" w:hAnsi="宋体" w:cs="宋体"/>
                <w:color w:val="auto"/>
                <w:szCs w:val="21"/>
              </w:rPr>
            </w:pPr>
            <w:r>
              <w:rPr>
                <w:rFonts w:hint="eastAsia" w:ascii="宋体" w:hAnsi="宋体" w:cs="宋体"/>
                <w:color w:val="auto"/>
                <w:szCs w:val="21"/>
              </w:rPr>
              <w:t>（1）磋商响应文件中须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pageBreakBefore w:val="0"/>
              <w:widowControl/>
              <w:kinsoku/>
              <w:wordWrap/>
              <w:overflowPunct/>
              <w:topLinePunct w:val="0"/>
              <w:autoSpaceDE/>
              <w:autoSpaceDN/>
              <w:bidi w:val="0"/>
              <w:spacing w:line="320" w:lineRule="exact"/>
              <w:textAlignment w:val="auto"/>
              <w:rPr>
                <w:rFonts w:ascii="宋体" w:hAnsi="宋体" w:cs="宋体"/>
                <w:color w:val="auto"/>
                <w:szCs w:val="21"/>
              </w:rPr>
            </w:pPr>
            <w:r>
              <w:rPr>
                <w:rFonts w:hint="eastAsia" w:ascii="宋体" w:hAnsi="宋体" w:cs="宋体"/>
                <w:color w:val="auto"/>
                <w:szCs w:val="21"/>
              </w:rPr>
              <w:t>（2）《市场监管总局关于发布参与实施政府采购节能产品、环境标志产品认证机构名录的公告》中的认证机构出具的、处于有效期之内的节能产品/环境标志产品认证证书复印件并加盖公章。</w:t>
            </w:r>
          </w:p>
        </w:tc>
      </w:tr>
    </w:tbl>
    <w:p>
      <w:pPr>
        <w:spacing w:line="360" w:lineRule="auto"/>
        <w:rPr>
          <w:vanish/>
          <w:color w:val="auto"/>
        </w:rPr>
      </w:pPr>
    </w:p>
    <w:p>
      <w:pPr>
        <w:spacing w:line="360" w:lineRule="auto"/>
        <w:rPr>
          <w:rFonts w:ascii="宋体" w:hAnsi="宋体" w:cs="Arial"/>
          <w:bCs/>
          <w:color w:val="auto"/>
          <w:kern w:val="28"/>
        </w:rPr>
      </w:pPr>
      <w:r>
        <w:rPr>
          <w:rFonts w:hint="eastAsia" w:ascii="宋体" w:hAnsi="宋体" w:cs="Arial"/>
          <w:bCs/>
          <w:color w:val="auto"/>
          <w:kern w:val="28"/>
        </w:rPr>
        <w:t>注：以上单位、人员各类证明文件复印件均需加盖公章，附在响应文件中；提供材料不真实、不完整或伪造证明材料的，后果自负。</w:t>
      </w:r>
    </w:p>
    <w:p>
      <w:pPr>
        <w:numPr>
          <w:ilvl w:val="3"/>
          <w:numId w:val="45"/>
        </w:numPr>
        <w:spacing w:line="360" w:lineRule="auto"/>
        <w:rPr>
          <w:rFonts w:ascii="宋体" w:hAnsi="宋体" w:cs="Arial"/>
          <w:bCs/>
          <w:color w:val="auto"/>
          <w:kern w:val="28"/>
        </w:rPr>
      </w:pPr>
      <w:r>
        <w:rPr>
          <w:rFonts w:hint="eastAsia" w:ascii="宋体" w:hAnsi="宋体" w:cs="Arial"/>
          <w:bCs/>
          <w:color w:val="auto"/>
          <w:kern w:val="28"/>
        </w:rPr>
        <w:t>综合得分的计算</w:t>
      </w:r>
    </w:p>
    <w:p>
      <w:pPr>
        <w:spacing w:line="360" w:lineRule="auto"/>
        <w:rPr>
          <w:rFonts w:ascii="宋体" w:hAnsi="宋体" w:cs="Arial"/>
          <w:bCs/>
          <w:color w:val="auto"/>
          <w:kern w:val="28"/>
        </w:rPr>
      </w:pPr>
      <w:r>
        <w:rPr>
          <w:rFonts w:hint="eastAsia" w:ascii="宋体" w:hAnsi="宋体" w:cs="Arial"/>
          <w:bCs/>
          <w:color w:val="auto"/>
          <w:kern w:val="28"/>
        </w:rPr>
        <w:t>报价得分按照在报价口径一致的最终报价基础上，根据磋商文件约定的因素和方法进行计算，报价得分=A</w:t>
      </w:r>
    </w:p>
    <w:p>
      <w:pPr>
        <w:spacing w:line="360" w:lineRule="auto"/>
        <w:rPr>
          <w:rFonts w:ascii="宋体" w:hAnsi="宋体" w:cs="Arial"/>
          <w:bCs/>
          <w:color w:val="auto"/>
          <w:kern w:val="28"/>
        </w:rPr>
      </w:pPr>
      <w:r>
        <w:rPr>
          <w:rFonts w:hint="eastAsia" w:ascii="宋体" w:hAnsi="宋体" w:cs="Arial"/>
          <w:bCs/>
          <w:color w:val="auto"/>
          <w:kern w:val="28"/>
        </w:rPr>
        <w:t>技术商务得分按照磋商小组成员的独立评分结果汇总数算术平均分=B</w:t>
      </w:r>
    </w:p>
    <w:p>
      <w:pPr>
        <w:spacing w:line="360" w:lineRule="auto"/>
        <w:rPr>
          <w:rFonts w:ascii="宋体" w:hAnsi="宋体" w:cs="Arial"/>
          <w:bCs/>
          <w:color w:val="auto"/>
          <w:kern w:val="28"/>
        </w:rPr>
      </w:pPr>
      <w:r>
        <w:rPr>
          <w:rFonts w:hint="eastAsia" w:ascii="宋体" w:hAnsi="宋体" w:cs="Arial"/>
          <w:bCs/>
          <w:color w:val="auto"/>
          <w:kern w:val="28"/>
        </w:rPr>
        <w:t>综合得分=A+B</w:t>
      </w:r>
    </w:p>
    <w:p>
      <w:pPr>
        <w:spacing w:line="360" w:lineRule="auto"/>
        <w:ind w:firstLine="422" w:firstLineChars="200"/>
        <w:rPr>
          <w:rFonts w:ascii="宋体" w:hAnsi="宋体" w:cs="Arial"/>
          <w:b/>
          <w:bCs/>
          <w:color w:val="auto"/>
          <w:kern w:val="28"/>
        </w:rPr>
      </w:pPr>
      <w:r>
        <w:rPr>
          <w:rFonts w:hint="eastAsia" w:ascii="宋体" w:hAnsi="宋体" w:cs="Arial"/>
          <w:b/>
          <w:bCs/>
          <w:color w:val="auto"/>
          <w:kern w:val="28"/>
        </w:rPr>
        <w:t>六、评定结果</w:t>
      </w:r>
    </w:p>
    <w:p>
      <w:pPr>
        <w:spacing w:line="360" w:lineRule="auto"/>
        <w:ind w:firstLine="420" w:firstLineChars="200"/>
        <w:rPr>
          <w:rFonts w:ascii="宋体" w:hAnsi="宋体" w:cs="Arial"/>
          <w:bCs/>
          <w:color w:val="auto"/>
          <w:kern w:val="28"/>
        </w:rPr>
      </w:pPr>
      <w:r>
        <w:rPr>
          <w:rFonts w:hint="eastAsia" w:ascii="宋体" w:hAnsi="宋体" w:cs="Arial"/>
          <w:bCs/>
          <w:color w:val="auto"/>
          <w:kern w:val="28"/>
        </w:rPr>
        <w:t>本次采购根据有效磋商供应商的综合评分从高到低原则，</w:t>
      </w:r>
      <w:r>
        <w:rPr>
          <w:rFonts w:hint="eastAsia" w:ascii="宋体" w:hAnsi="宋体" w:cs="Arial"/>
          <w:bCs/>
          <w:color w:val="auto"/>
          <w:kern w:val="28"/>
          <w:lang w:val="en-US" w:eastAsia="zh-CN"/>
        </w:rPr>
        <w:t>推荐3名以上</w:t>
      </w:r>
      <w:r>
        <w:rPr>
          <w:rFonts w:hint="eastAsia" w:ascii="宋体" w:hAnsi="宋体" w:cs="Arial"/>
          <w:bCs/>
          <w:color w:val="auto"/>
          <w:kern w:val="28"/>
        </w:rPr>
        <w:t>成交预选供应商，其他有效</w:t>
      </w:r>
      <w:r>
        <w:rPr>
          <w:rFonts w:ascii="宋体" w:hAnsi="宋体" w:cs="Arial"/>
          <w:bCs/>
          <w:color w:val="auto"/>
          <w:kern w:val="28"/>
        </w:rPr>
        <w:t>供应商依次确定为</w:t>
      </w:r>
      <w:r>
        <w:rPr>
          <w:rFonts w:hint="eastAsia" w:ascii="宋体" w:hAnsi="宋体" w:cs="Arial"/>
          <w:bCs/>
          <w:color w:val="auto"/>
          <w:kern w:val="28"/>
        </w:rPr>
        <w:t>成交备选供应商。综合得分相同的，按照最后报价由低到高的顺序推荐；综合得分且最后报价</w:t>
      </w:r>
      <w:r>
        <w:rPr>
          <w:rFonts w:ascii="宋体" w:hAnsi="宋体" w:cs="Arial"/>
          <w:bCs/>
          <w:color w:val="auto"/>
          <w:kern w:val="28"/>
        </w:rPr>
        <w:t>都相同时，</w:t>
      </w:r>
      <w:r>
        <w:rPr>
          <w:rFonts w:hint="eastAsia" w:ascii="宋体" w:hAnsi="宋体" w:cs="Arial"/>
          <w:bCs/>
          <w:color w:val="auto"/>
          <w:kern w:val="28"/>
        </w:rPr>
        <w:t>按照技术得分由高到低顺序推荐，若所有得分均相同，由采购人决定排名。</w:t>
      </w:r>
    </w:p>
    <w:p>
      <w:pPr>
        <w:spacing w:line="360" w:lineRule="auto"/>
        <w:ind w:firstLine="422" w:firstLineChars="200"/>
        <w:rPr>
          <w:rFonts w:ascii="宋体" w:hAnsi="宋体" w:cs="Arial"/>
          <w:b/>
          <w:bCs/>
          <w:color w:val="auto"/>
          <w:kern w:val="28"/>
        </w:rPr>
      </w:pPr>
      <w:r>
        <w:rPr>
          <w:rFonts w:hint="eastAsia" w:ascii="宋体" w:hAnsi="宋体" w:cs="Arial"/>
          <w:b/>
          <w:bCs/>
          <w:color w:val="auto"/>
          <w:kern w:val="28"/>
        </w:rPr>
        <w:t>七、磋商供应商的义务</w:t>
      </w:r>
    </w:p>
    <w:p>
      <w:pPr>
        <w:spacing w:line="360" w:lineRule="auto"/>
        <w:ind w:firstLine="420" w:firstLineChars="200"/>
        <w:rPr>
          <w:rFonts w:ascii="宋体" w:hAnsi="宋体"/>
          <w:color w:val="auto"/>
          <w:szCs w:val="21"/>
        </w:rPr>
      </w:pPr>
      <w:r>
        <w:rPr>
          <w:rFonts w:hint="eastAsia" w:ascii="宋体" w:hAnsi="宋体" w:cs="Arial"/>
          <w:bCs/>
          <w:color w:val="auto"/>
          <w:kern w:val="28"/>
        </w:rPr>
        <w:t xml:space="preserve">磋商供应商应随时随地答复磋商小组的询标，解答包括有关的商务、技术问题等。磋商结束，所有评定资料存采购机构备案。 </w:t>
      </w:r>
    </w:p>
    <w:bookmarkEnd w:id="145"/>
    <w:p>
      <w:pPr>
        <w:spacing w:line="360" w:lineRule="auto"/>
        <w:rPr>
          <w:color w:val="auto"/>
        </w:rPr>
      </w:pPr>
    </w:p>
    <w:p>
      <w:pPr>
        <w:pStyle w:val="3"/>
        <w:rPr>
          <w:rFonts w:hint="eastAsia" w:ascii="宋体" w:hAnsi="宋体" w:eastAsia="宋体" w:cs="Arial"/>
          <w:bCs/>
          <w:color w:val="auto"/>
          <w:kern w:val="28"/>
          <w:sz w:val="21"/>
          <w:szCs w:val="22"/>
        </w:rPr>
      </w:pPr>
      <w:r>
        <w:rPr>
          <w:rFonts w:hint="eastAsia" w:ascii="宋体" w:hAnsi="宋体" w:eastAsia="宋体" w:cs="Arial"/>
          <w:bCs/>
          <w:color w:val="auto"/>
          <w:kern w:val="28"/>
          <w:sz w:val="21"/>
          <w:szCs w:val="22"/>
        </w:rPr>
        <w:t>未尽事宜按有关法律法规规定执行。</w:t>
      </w:r>
    </w:p>
    <w:p>
      <w:pPr>
        <w:pStyle w:val="2"/>
        <w:rPr>
          <w:rFonts w:hint="eastAsia" w:ascii="宋体" w:hAnsi="宋体" w:eastAsia="宋体" w:cs="Arial"/>
          <w:bCs/>
          <w:color w:val="auto"/>
          <w:kern w:val="28"/>
          <w:sz w:val="21"/>
          <w:szCs w:val="22"/>
        </w:rPr>
      </w:pPr>
    </w:p>
    <w:p>
      <w:pPr>
        <w:rPr>
          <w:rFonts w:hint="eastAsia" w:ascii="宋体" w:hAnsi="宋体" w:eastAsia="宋体" w:cs="Arial"/>
          <w:bCs/>
          <w:color w:val="auto"/>
          <w:kern w:val="28"/>
          <w:sz w:val="21"/>
          <w:szCs w:val="22"/>
        </w:rPr>
      </w:pPr>
    </w:p>
    <w:p>
      <w:pPr>
        <w:pStyle w:val="17"/>
        <w:rPr>
          <w:rFonts w:hint="eastAsia" w:ascii="宋体" w:hAnsi="宋体" w:eastAsia="宋体" w:cs="Arial"/>
          <w:bCs/>
          <w:color w:val="auto"/>
          <w:kern w:val="28"/>
          <w:sz w:val="21"/>
          <w:szCs w:val="22"/>
        </w:rPr>
      </w:pPr>
    </w:p>
    <w:p>
      <w:pPr>
        <w:pStyle w:val="17"/>
        <w:rPr>
          <w:rFonts w:hint="eastAsia" w:ascii="宋体" w:hAnsi="宋体" w:eastAsia="宋体" w:cs="Arial"/>
          <w:bCs/>
          <w:color w:val="auto"/>
          <w:kern w:val="28"/>
          <w:sz w:val="21"/>
          <w:szCs w:val="22"/>
        </w:rPr>
      </w:pPr>
    </w:p>
    <w:p>
      <w:pPr>
        <w:pageBreakBefore/>
        <w:widowControl w:val="0"/>
        <w:shd w:val="clear" w:color="auto" w:fill="FFFFFF"/>
        <w:adjustRightInd w:val="0"/>
        <w:snapToGrid w:val="0"/>
        <w:spacing w:before="312" w:beforeLines="100" w:after="312" w:afterLines="100" w:line="400" w:lineRule="atLeast"/>
        <w:jc w:val="center"/>
        <w:outlineLvl w:val="0"/>
        <w:rPr>
          <w:rFonts w:ascii="宋体" w:eastAsia="宋体" w:cs="Times New Roman"/>
          <w:b/>
          <w:bCs/>
          <w:color w:val="auto"/>
          <w:kern w:val="44"/>
          <w:sz w:val="32"/>
          <w:szCs w:val="28"/>
          <w:highlight w:val="none"/>
        </w:rPr>
      </w:pPr>
      <w:bookmarkStart w:id="161" w:name="_Toc75264039"/>
      <w:bookmarkStart w:id="162" w:name="_Toc23969"/>
      <w:bookmarkStart w:id="163" w:name="_Toc29213"/>
      <w:bookmarkStart w:id="164" w:name="_Toc18904"/>
      <w:bookmarkStart w:id="165" w:name="_Toc17227"/>
      <w:r>
        <w:rPr>
          <w:rFonts w:hint="eastAsia" w:ascii="宋体" w:hAnsi="宋体" w:eastAsia="宋体" w:cs="Times New Roman"/>
          <w:b/>
          <w:bCs/>
          <w:color w:val="auto"/>
          <w:kern w:val="44"/>
          <w:sz w:val="28"/>
          <w:szCs w:val="36"/>
          <w:highlight w:val="none"/>
        </w:rPr>
        <w:t>第七部分  信贷政策</w:t>
      </w:r>
      <w:bookmarkEnd w:id="161"/>
      <w:bookmarkEnd w:id="162"/>
      <w:bookmarkEnd w:id="163"/>
      <w:bookmarkEnd w:id="164"/>
      <w:bookmarkEnd w:id="165"/>
    </w:p>
    <w:p>
      <w:pPr>
        <w:widowControl/>
        <w:spacing w:line="360" w:lineRule="auto"/>
        <w:ind w:left="-199" w:leftChars="-95"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温州市财政局关于温州市政府采购支持中小企业信用融资的通知（温财采〔</w:t>
      </w:r>
      <w:r>
        <w:rPr>
          <w:rFonts w:ascii="宋体" w:hAnsi="宋体" w:eastAsia="宋体" w:cs="宋体"/>
          <w:color w:val="auto"/>
          <w:kern w:val="0"/>
          <w:szCs w:val="21"/>
          <w:highlight w:val="none"/>
        </w:rPr>
        <w:t>2020</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号），中标单位如需要融资，可联系以下银行：</w:t>
      </w:r>
    </w:p>
    <w:p>
      <w:pPr>
        <w:widowControl/>
        <w:jc w:val="center"/>
        <w:rPr>
          <w:rFonts w:hint="eastAsia" w:ascii="黑体" w:hAnsi="黑体" w:eastAsia="黑体" w:cs="黑体"/>
          <w:color w:val="auto"/>
          <w:kern w:val="0"/>
          <w:szCs w:val="21"/>
          <w:highlight w:val="none"/>
        </w:rPr>
      </w:pPr>
      <w:bookmarkStart w:id="166" w:name="_Toc22054"/>
      <w:bookmarkStart w:id="167" w:name="_Toc28302"/>
      <w:r>
        <w:rPr>
          <w:rFonts w:hint="eastAsia" w:ascii="黑体" w:hAnsi="黑体" w:eastAsia="黑体" w:cs="黑体"/>
          <w:color w:val="auto"/>
          <w:kern w:val="0"/>
          <w:szCs w:val="21"/>
          <w:highlight w:val="none"/>
        </w:rPr>
        <w:t>温州市政府采购支持中小企业信用融资合作银行</w:t>
      </w:r>
      <w:bookmarkEnd w:id="166"/>
      <w:bookmarkEnd w:id="167"/>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451"/>
        <w:gridCol w:w="1005"/>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112" w:type="dxa"/>
            <w:noWrap w:val="0"/>
            <w:vAlign w:val="center"/>
          </w:tcPr>
          <w:p>
            <w:pPr>
              <w:pStyle w:val="186"/>
              <w:spacing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银行名称</w:t>
            </w:r>
          </w:p>
        </w:tc>
        <w:tc>
          <w:tcPr>
            <w:tcW w:w="5451" w:type="dxa"/>
            <w:noWrap w:val="0"/>
            <w:vAlign w:val="center"/>
          </w:tcPr>
          <w:p>
            <w:pPr>
              <w:pStyle w:val="186"/>
              <w:spacing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产品特点（不超过120字）</w:t>
            </w:r>
          </w:p>
        </w:tc>
        <w:tc>
          <w:tcPr>
            <w:tcW w:w="1005" w:type="dxa"/>
            <w:noWrap w:val="0"/>
            <w:vAlign w:val="center"/>
          </w:tcPr>
          <w:p>
            <w:pPr>
              <w:pStyle w:val="186"/>
              <w:spacing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1752" w:type="dxa"/>
            <w:noWrap w:val="0"/>
            <w:vAlign w:val="center"/>
          </w:tcPr>
          <w:p>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12" w:type="dxa"/>
            <w:noWrap w:val="0"/>
            <w:vAlign w:val="center"/>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中国建设银行股份有限公司温州分行</w:t>
            </w:r>
          </w:p>
        </w:tc>
        <w:tc>
          <w:tcPr>
            <w:tcW w:w="5451" w:type="dxa"/>
            <w:noWrap w:val="0"/>
            <w:vAlign w:val="top"/>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0577-65819553（瑞安）</w:t>
            </w:r>
          </w:p>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0577-88093286（温州）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中国工商银行股份有限公司温州分行</w:t>
            </w:r>
          </w:p>
        </w:tc>
        <w:tc>
          <w:tcPr>
            <w:tcW w:w="5451" w:type="dxa"/>
            <w:noWrap w:val="0"/>
            <w:vAlign w:val="top"/>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noWrap w:val="0"/>
            <w:vAlign w:val="center"/>
          </w:tcPr>
          <w:p>
            <w:pPr>
              <w:pStyle w:val="186"/>
              <w:spacing w:line="3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中国邮政储蓄银行股份有限公司温州市分行</w:t>
            </w:r>
          </w:p>
        </w:tc>
        <w:tc>
          <w:tcPr>
            <w:tcW w:w="5451" w:type="dxa"/>
            <w:noWrap w:val="0"/>
            <w:vAlign w:val="center"/>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郑经理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中国民生银行股份有限公司温州分行</w:t>
            </w:r>
          </w:p>
        </w:tc>
        <w:tc>
          <w:tcPr>
            <w:tcW w:w="5451" w:type="dxa"/>
            <w:noWrap w:val="0"/>
            <w:vAlign w:val="top"/>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宁波银行股份有限公司温州分行</w:t>
            </w:r>
          </w:p>
        </w:tc>
        <w:tc>
          <w:tcPr>
            <w:tcW w:w="5451" w:type="dxa"/>
            <w:noWrap w:val="0"/>
            <w:vAlign w:val="top"/>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杭州银行股份有限公司温州分行</w:t>
            </w:r>
          </w:p>
        </w:tc>
        <w:tc>
          <w:tcPr>
            <w:tcW w:w="5451" w:type="dxa"/>
            <w:noWrap w:val="0"/>
            <w:vAlign w:val="top"/>
          </w:tcPr>
          <w:p>
            <w:pPr>
              <w:widowControl/>
              <w:spacing w:line="36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门槛低：纯信用，平台注册入库并取得采购合同即可申请</w:t>
            </w:r>
          </w:p>
          <w:p>
            <w:pPr>
              <w:widowControl/>
              <w:spacing w:line="36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手续简：线上申请+线上签约，足不出户</w:t>
            </w:r>
          </w:p>
          <w:p>
            <w:pPr>
              <w:widowControl/>
              <w:spacing w:line="36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利率优：按优于一般中小企业贷款利率执行</w:t>
            </w:r>
          </w:p>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额度高：最高为合同金额的80%</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叶经理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招商银行股份有限公司温州分行</w:t>
            </w:r>
          </w:p>
        </w:tc>
        <w:tc>
          <w:tcPr>
            <w:tcW w:w="5451" w:type="dxa"/>
            <w:noWrap w:val="0"/>
            <w:vAlign w:val="top"/>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0577-88056876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兴业银行股份有限公司温州分行</w:t>
            </w:r>
          </w:p>
        </w:tc>
        <w:tc>
          <w:tcPr>
            <w:tcW w:w="5451" w:type="dxa"/>
            <w:noWrap w:val="0"/>
            <w:vAlign w:val="center"/>
          </w:tcPr>
          <w:p>
            <w:pPr>
              <w:pStyle w:val="186"/>
              <w:spacing w:line="360" w:lineRule="exact"/>
              <w:ind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张经理</w:t>
            </w:r>
          </w:p>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陈经理</w:t>
            </w:r>
          </w:p>
        </w:tc>
        <w:tc>
          <w:tcPr>
            <w:tcW w:w="1752" w:type="dxa"/>
            <w:noWrap w:val="0"/>
            <w:vAlign w:val="center"/>
          </w:tcPr>
          <w:p>
            <w:pPr>
              <w:pStyle w:val="186"/>
              <w:spacing w:line="3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0577-88369368/13857713118</w:t>
            </w:r>
          </w:p>
          <w:p>
            <w:pPr>
              <w:pStyle w:val="186"/>
              <w:spacing w:line="3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温州银行股份有限公司温州分行</w:t>
            </w:r>
          </w:p>
        </w:tc>
        <w:tc>
          <w:tcPr>
            <w:tcW w:w="5451" w:type="dxa"/>
            <w:noWrap w:val="0"/>
            <w:vAlign w:val="top"/>
          </w:tcPr>
          <w:p>
            <w:pPr>
              <w:widowControl/>
              <w:spacing w:line="36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陈经理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温州银行股份有限公司鹿城分行</w:t>
            </w:r>
          </w:p>
        </w:tc>
        <w:tc>
          <w:tcPr>
            <w:tcW w:w="5451" w:type="dxa"/>
            <w:noWrap w:val="0"/>
            <w:vAlign w:val="top"/>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政采订单贷：1、面向政府采购项目供应商，满足供应商资金周转需求，凭中标通知书即可申请，2、秒知额高，最高可贷500万元，单笔业务金额可贷中标金额的80%，</w:t>
            </w:r>
          </w:p>
          <w:p>
            <w:pPr>
              <w:widowControl/>
              <w:spacing w:line="360" w:lineRule="exact"/>
              <w:ind w:left="5"/>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最长期限可贷1年。信保贷：1、额度最高可达500万元</w:t>
            </w:r>
          </w:p>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2、担保灵活，信用贷款3、贷款年利率至少可享受本单位一般性中小企业信用贷款利率基础上下浮10 %</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戴经理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交通银行股份有限公司温州分行</w:t>
            </w:r>
          </w:p>
        </w:tc>
        <w:tc>
          <w:tcPr>
            <w:tcW w:w="5451" w:type="dxa"/>
            <w:noWrap w:val="0"/>
            <w:vAlign w:val="top"/>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缪经理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12" w:type="dxa"/>
            <w:noWrap w:val="0"/>
            <w:vAlign w:val="center"/>
          </w:tcPr>
          <w:p>
            <w:pPr>
              <w:pStyle w:val="186"/>
              <w:spacing w:line="36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上海浦东发展银行股份有限公司温州分行</w:t>
            </w:r>
          </w:p>
        </w:tc>
        <w:tc>
          <w:tcPr>
            <w:tcW w:w="5451" w:type="dxa"/>
            <w:noWrap w:val="0"/>
            <w:vAlign w:val="top"/>
          </w:tcPr>
          <w:p>
            <w:pPr>
              <w:widowControl/>
              <w:spacing w:line="36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政采e贷：是浦发银行面向温州地区经营状况良好的小微企业政府采购项目供应商所提供的专属政府采购订单融资产品。产品特点：纯信用、免担保、门槛低、授信快、在线贷、秒放款</w:t>
            </w:r>
          </w:p>
          <w:p>
            <w:pPr>
              <w:widowControl/>
              <w:shd w:val="clear" w:color="auto" w:fill="FFFFFF"/>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所需材料：企业基础证件、相关中标文件（中标通知书 、采购合同等）、其他必要文件</w:t>
            </w:r>
          </w:p>
        </w:tc>
        <w:tc>
          <w:tcPr>
            <w:tcW w:w="1005"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叶经理</w:t>
            </w:r>
          </w:p>
        </w:tc>
        <w:tc>
          <w:tcPr>
            <w:tcW w:w="1752" w:type="dxa"/>
            <w:noWrap w:val="0"/>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0577-55570829</w:t>
            </w:r>
          </w:p>
        </w:tc>
      </w:tr>
    </w:tbl>
    <w:p>
      <w:pPr>
        <w:widowControl/>
        <w:jc w:val="center"/>
        <w:rPr>
          <w:rFonts w:hint="eastAsia" w:ascii="黑体" w:hAnsi="黑体" w:eastAsia="黑体" w:cs="黑体"/>
          <w:color w:val="auto"/>
          <w:kern w:val="0"/>
          <w:sz w:val="24"/>
          <w:szCs w:val="24"/>
          <w:highlight w:val="none"/>
        </w:rPr>
      </w:pPr>
      <w:r>
        <w:rPr>
          <w:rFonts w:hint="eastAsia" w:ascii="黑体" w:hAnsi="黑体" w:eastAsia="黑体" w:cs="黑体"/>
          <w:color w:val="auto"/>
          <w:kern w:val="0"/>
          <w:szCs w:val="21"/>
          <w:highlight w:val="none"/>
        </w:rPr>
        <w:br w:type="page"/>
      </w:r>
      <w:bookmarkStart w:id="168" w:name="_Toc27890"/>
      <w:bookmarkStart w:id="169" w:name="_Toc17671"/>
      <w:r>
        <w:rPr>
          <w:rFonts w:hint="eastAsia" w:ascii="黑体" w:hAnsi="黑体" w:eastAsia="黑体" w:cs="黑体"/>
          <w:color w:val="auto"/>
          <w:kern w:val="0"/>
          <w:sz w:val="24"/>
          <w:szCs w:val="24"/>
          <w:highlight w:val="none"/>
        </w:rPr>
        <w:t>温州市政府采购信用融资意向银行选择表</w:t>
      </w:r>
      <w:bookmarkEnd w:id="168"/>
      <w:bookmarkEnd w:id="169"/>
    </w:p>
    <w:p>
      <w:pPr>
        <w:widowControl/>
        <w:jc w:val="center"/>
        <w:rPr>
          <w:rFonts w:hint="eastAsia" w:ascii="黑体" w:hAnsi="黑体" w:eastAsia="黑体" w:cs="黑体"/>
          <w:color w:val="auto"/>
          <w:kern w:val="0"/>
          <w:sz w:val="24"/>
          <w:szCs w:val="24"/>
          <w:highlight w:val="none"/>
        </w:rPr>
      </w:pPr>
      <w:bookmarkStart w:id="170" w:name="_Toc10603"/>
      <w:bookmarkStart w:id="171" w:name="_Toc13252"/>
      <w:r>
        <w:rPr>
          <w:rFonts w:hint="eastAsia" w:ascii="黑体" w:hAnsi="黑体" w:eastAsia="黑体" w:cs="黑体"/>
          <w:color w:val="auto"/>
          <w:kern w:val="0"/>
          <w:sz w:val="24"/>
          <w:szCs w:val="24"/>
          <w:highlight w:val="none"/>
        </w:rPr>
        <w:t>（温州市供应商填写）</w:t>
      </w:r>
      <w:bookmarkEnd w:id="170"/>
      <w:bookmarkEnd w:id="17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976"/>
        <w:gridCol w:w="1234"/>
        <w:gridCol w:w="124"/>
        <w:gridCol w:w="1975"/>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企业名称</w:t>
            </w:r>
          </w:p>
        </w:tc>
        <w:tc>
          <w:tcPr>
            <w:tcW w:w="7286" w:type="dxa"/>
            <w:gridSpan w:val="5"/>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企业注册地</w:t>
            </w:r>
          </w:p>
        </w:tc>
        <w:tc>
          <w:tcPr>
            <w:tcW w:w="3210"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c>
          <w:tcPr>
            <w:tcW w:w="2099"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是否有融资意向</w:t>
            </w:r>
          </w:p>
        </w:tc>
        <w:tc>
          <w:tcPr>
            <w:tcW w:w="1977" w:type="dxa"/>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53" w:type="dxa"/>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融资联系人</w:t>
            </w:r>
          </w:p>
        </w:tc>
        <w:tc>
          <w:tcPr>
            <w:tcW w:w="1976" w:type="dxa"/>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c>
          <w:tcPr>
            <w:tcW w:w="1358"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温州市政府采购信用融资合作银行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温州银行股份有限公司温州分行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温州银行股份有限公司鹿城分行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中国工商银行股份有限公司温州分行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787" w:type="dxa"/>
            <w:gridSpan w:val="4"/>
            <w:noWrap w:val="0"/>
            <w:vAlign w:val="center"/>
          </w:tcPr>
          <w:p>
            <w:pPr>
              <w:widowControl/>
              <w:snapToGrid w:val="0"/>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中国建设银行股份有限公司温州分行</w:t>
            </w:r>
          </w:p>
        </w:tc>
        <w:tc>
          <w:tcPr>
            <w:tcW w:w="3952" w:type="dxa"/>
            <w:gridSpan w:val="2"/>
            <w:noWrap w:val="0"/>
            <w:vAlign w:val="center"/>
          </w:tcPr>
          <w:p>
            <w:pPr>
              <w:widowControl/>
              <w:snapToGrid w:val="0"/>
              <w:jc w:val="center"/>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中国邮政储蓄银行股份有限公司温州市分行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中国民生银行股份有限公司温州分行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宁波银行股份有限公司温州分行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杭州银行股份有限公司温州分行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招商银行股份有限公司温州分行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兴业银行股份有限公司温州分行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交通银行股份有限公司温州分行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787" w:type="dxa"/>
            <w:gridSpan w:val="4"/>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上海浦东发展银行股份有限公司温州分行</w:t>
            </w:r>
          </w:p>
        </w:tc>
        <w:tc>
          <w:tcPr>
            <w:tcW w:w="3952" w:type="dxa"/>
            <w:gridSpan w:val="2"/>
            <w:noWrap w:val="0"/>
            <w:vAlign w:val="center"/>
          </w:tcPr>
          <w:p>
            <w:pPr>
              <w:pStyle w:val="186"/>
              <w:snapToGrid w:val="0"/>
              <w:spacing w:line="240" w:lineRule="auto"/>
              <w:ind w:firstLine="0" w:firstLineChars="0"/>
              <w:jc w:val="center"/>
              <w:rPr>
                <w:rFonts w:ascii="宋体" w:hAnsi="宋体" w:eastAsia="宋体" w:cs="宋体"/>
                <w:bCs/>
                <w:color w:val="auto"/>
                <w:sz w:val="21"/>
                <w:szCs w:val="21"/>
                <w:highlight w:val="none"/>
              </w:rPr>
            </w:pPr>
          </w:p>
        </w:tc>
      </w:tr>
    </w:tbl>
    <w:p>
      <w:pPr>
        <w:widowControl/>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注：1、本表填写对象为注册地在温州市域内的供应商。</w:t>
      </w:r>
    </w:p>
    <w:p>
      <w:pPr>
        <w:widowControl/>
        <w:spacing w:line="360" w:lineRule="auto"/>
        <w:ind w:left="420" w:left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2、财政部门根据企业自行选择，将本表及企业相关信息推送至相对应的融资意向银行经办人。</w:t>
      </w:r>
    </w:p>
    <w:p>
      <w:pPr>
        <w:pStyle w:val="17"/>
        <w:rPr>
          <w:rFonts w:hint="eastAsia" w:ascii="宋体" w:hAnsi="宋体" w:eastAsia="宋体" w:cs="Arial"/>
          <w:bCs/>
          <w:color w:val="auto"/>
          <w:kern w:val="28"/>
          <w:sz w:val="21"/>
          <w:szCs w:val="22"/>
        </w:rPr>
      </w:pPr>
      <w:r>
        <w:rPr>
          <w:rFonts w:hint="eastAsia" w:ascii="宋体" w:hAnsi="Courier New" w:eastAsia="宋体" w:cs="Times New Roman"/>
          <w:color w:val="auto"/>
          <w:kern w:val="0"/>
          <w:sz w:val="21"/>
          <w:szCs w:val="21"/>
          <w:highlight w:val="none"/>
          <w:lang w:val="en-US" w:eastAsia="zh-CN" w:bidi="ar-SA"/>
        </w:rPr>
        <w:t>3、</w:t>
      </w:r>
      <w:r>
        <w:rPr>
          <w:rFonts w:hint="eastAsia" w:ascii="宋体" w:hAnsi="宋体" w:eastAsia="宋体" w:cs="Times New Roman"/>
          <w:color w:val="auto"/>
          <w:kern w:val="0"/>
          <w:sz w:val="21"/>
          <w:szCs w:val="21"/>
          <w:highlight w:val="none"/>
          <w:lang w:val="en-US" w:eastAsia="zh-CN" w:bidi="ar-SA"/>
        </w:rPr>
        <w:t>供应商填表后发送至racgb@126.com</w:t>
      </w:r>
    </w:p>
    <w:sectPr>
      <w:footerReference r:id="rId5" w:type="default"/>
      <w:pgSz w:w="11906" w:h="16838"/>
      <w:pgMar w:top="1440" w:right="1800" w:bottom="1440" w:left="1843" w:header="680" w:footer="680" w:gutter="0"/>
      <w:pgBorders>
        <w:top w:val="none" w:sz="0" w:space="0"/>
        <w:left w:val="none" w:sz="0" w:space="0"/>
        <w:bottom w:val="none" w:sz="0" w:space="0"/>
        <w:right w:val="none" w:sz="0" w:space="0"/>
      </w:pgBorders>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汉鼎简中楷">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hakuyoxingshu7000">
    <w:altName w:val="宋体"/>
    <w:panose1 w:val="00000000000000000000"/>
    <w:charset w:val="86"/>
    <w:family w:val="auto"/>
    <w:pitch w:val="default"/>
    <w:sig w:usb0="00000000" w:usb1="00000000" w:usb2="0000003F" w:usb3="00000000" w:csb0="603F00FF" w:csb1="FFFF0000"/>
  </w:font>
  <w:font w:name="华文中宋">
    <w:panose1 w:val="02010600040101010101"/>
    <w:charset w:val="86"/>
    <w:family w:val="auto"/>
    <w:pitch w:val="default"/>
    <w:sig w:usb0="00000287" w:usb1="080F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jc w:val="center"/>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w:r>
    <w:r>
      <w:rPr>
        <w:rStyle w:val="42"/>
        <w:szCs w:val="21"/>
      </w:rPr>
      <w:tab/>
    </w:r>
    <w:r>
      <w:rPr>
        <w:rStyle w:val="42"/>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- 10 -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34E7"/>
    <w:multiLevelType w:val="multilevel"/>
    <w:tmpl w:val="93D834E7"/>
    <w:lvl w:ilvl="0" w:tentative="0">
      <w:start w:val="1"/>
      <w:numFmt w:val="decimal"/>
      <w:suff w:val="nothing"/>
      <w:lvlText w:val="（%1）"/>
      <w:lvlJc w:val="left"/>
      <w:pPr>
        <w:tabs>
          <w:tab w:val="left" w:pos="420"/>
        </w:tabs>
        <w:ind w:left="1138" w:hanging="420"/>
      </w:pPr>
      <w:rPr>
        <w:rFonts w:hint="default" w:asciiTheme="minorEastAsia" w:hAnsiTheme="minorEastAsia" w:eastAsiaTheme="minorEastAsia"/>
        <w:b w:val="0"/>
        <w:color w:val="auto"/>
        <w:lang w:val="en-US"/>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1">
    <w:nsid w:val="978753A8"/>
    <w:multiLevelType w:val="singleLevel"/>
    <w:tmpl w:val="978753A8"/>
    <w:lvl w:ilvl="0" w:tentative="0">
      <w:start w:val="2"/>
      <w:numFmt w:val="chineseCounting"/>
      <w:suff w:val="nothing"/>
      <w:lvlText w:val="%1、"/>
      <w:lvlJc w:val="left"/>
      <w:rPr>
        <w:rFonts w:hint="eastAsia"/>
      </w:rPr>
    </w:lvl>
  </w:abstractNum>
  <w:abstractNum w:abstractNumId="2">
    <w:nsid w:val="9EB5E7D6"/>
    <w:multiLevelType w:val="multilevel"/>
    <w:tmpl w:val="9EB5E7D6"/>
    <w:lvl w:ilvl="0" w:tentative="0">
      <w:start w:val="1"/>
      <w:numFmt w:val="decimal"/>
      <w:lvlText w:val="%1、"/>
      <w:lvlJc w:val="left"/>
      <w:pPr>
        <w:ind w:left="420" w:hanging="420"/>
      </w:pPr>
      <w:rPr>
        <w:rFonts w:hint="eastAsia"/>
      </w:rPr>
    </w:lvl>
    <w:lvl w:ilvl="1" w:tentative="0">
      <w:start w:val="1"/>
      <w:numFmt w:val="japaneseCounting"/>
      <w:lvlText w:val="%2、"/>
      <w:lvlJc w:val="left"/>
      <w:pPr>
        <w:ind w:left="930" w:hanging="5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A1108461"/>
    <w:multiLevelType w:val="singleLevel"/>
    <w:tmpl w:val="A1108461"/>
    <w:lvl w:ilvl="0" w:tentative="0">
      <w:start w:val="1"/>
      <w:numFmt w:val="chineseCounting"/>
      <w:suff w:val="nothing"/>
      <w:lvlText w:val="（%1）"/>
      <w:lvlJc w:val="left"/>
      <w:pPr>
        <w:ind w:left="0" w:firstLine="420"/>
      </w:pPr>
      <w:rPr>
        <w:rFonts w:hint="eastAsia"/>
      </w:rPr>
    </w:lvl>
  </w:abstractNum>
  <w:abstractNum w:abstractNumId="4">
    <w:nsid w:val="A8D4B373"/>
    <w:multiLevelType w:val="singleLevel"/>
    <w:tmpl w:val="A8D4B373"/>
    <w:lvl w:ilvl="0" w:tentative="0">
      <w:start w:val="1"/>
      <w:numFmt w:val="decimal"/>
      <w:suff w:val="nothing"/>
      <w:lvlText w:val="（%1）"/>
      <w:lvlJc w:val="left"/>
    </w:lvl>
  </w:abstractNum>
  <w:abstractNum w:abstractNumId="5">
    <w:nsid w:val="B5BBD6AD"/>
    <w:multiLevelType w:val="singleLevel"/>
    <w:tmpl w:val="B5BBD6AD"/>
    <w:lvl w:ilvl="0" w:tentative="0">
      <w:start w:val="1"/>
      <w:numFmt w:val="decimal"/>
      <w:lvlText w:val="%1."/>
      <w:lvlJc w:val="left"/>
      <w:pPr>
        <w:tabs>
          <w:tab w:val="left" w:pos="312"/>
        </w:tabs>
      </w:pPr>
    </w:lvl>
  </w:abstractNum>
  <w:abstractNum w:abstractNumId="6">
    <w:nsid w:val="C875CF6B"/>
    <w:multiLevelType w:val="singleLevel"/>
    <w:tmpl w:val="C875CF6B"/>
    <w:lvl w:ilvl="0" w:tentative="0">
      <w:start w:val="9"/>
      <w:numFmt w:val="decimal"/>
      <w:lvlText w:val="%1."/>
      <w:lvlJc w:val="left"/>
      <w:pPr>
        <w:tabs>
          <w:tab w:val="left" w:pos="312"/>
        </w:tabs>
      </w:pPr>
    </w:lvl>
  </w:abstractNum>
  <w:abstractNum w:abstractNumId="7">
    <w:nsid w:val="DB42773A"/>
    <w:multiLevelType w:val="singleLevel"/>
    <w:tmpl w:val="DB42773A"/>
    <w:lvl w:ilvl="0" w:tentative="0">
      <w:start w:val="1"/>
      <w:numFmt w:val="decimal"/>
      <w:suff w:val="nothing"/>
      <w:lvlText w:val="%1）"/>
      <w:lvlJc w:val="left"/>
    </w:lvl>
  </w:abstractNum>
  <w:abstractNum w:abstractNumId="8">
    <w:nsid w:val="DF71DE7C"/>
    <w:multiLevelType w:val="multilevel"/>
    <w:tmpl w:val="DF71DE7C"/>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EA801177"/>
    <w:multiLevelType w:val="singleLevel"/>
    <w:tmpl w:val="EA801177"/>
    <w:lvl w:ilvl="0" w:tentative="0">
      <w:start w:val="1"/>
      <w:numFmt w:val="chineseCounting"/>
      <w:suff w:val="nothing"/>
      <w:lvlText w:val="%1、"/>
      <w:lvlJc w:val="left"/>
      <w:pPr>
        <w:ind w:left="0" w:firstLine="420"/>
      </w:pPr>
      <w:rPr>
        <w:rFonts w:hint="eastAsia"/>
      </w:rPr>
    </w:lvl>
  </w:abstractNum>
  <w:abstractNum w:abstractNumId="10">
    <w:nsid w:val="EB4B6DC0"/>
    <w:multiLevelType w:val="singleLevel"/>
    <w:tmpl w:val="EB4B6DC0"/>
    <w:lvl w:ilvl="0" w:tentative="0">
      <w:start w:val="1"/>
      <w:numFmt w:val="decimal"/>
      <w:lvlText w:val="%1."/>
      <w:lvlJc w:val="left"/>
      <w:pPr>
        <w:ind w:left="425" w:hanging="425"/>
      </w:pPr>
      <w:rPr>
        <w:rFonts w:hint="default"/>
      </w:rPr>
    </w:lvl>
  </w:abstractNum>
  <w:abstractNum w:abstractNumId="11">
    <w:nsid w:val="F3F8BF4C"/>
    <w:multiLevelType w:val="singleLevel"/>
    <w:tmpl w:val="F3F8BF4C"/>
    <w:lvl w:ilvl="0" w:tentative="0">
      <w:start w:val="1"/>
      <w:numFmt w:val="decimal"/>
      <w:lvlText w:val="%1."/>
      <w:lvlJc w:val="left"/>
      <w:pPr>
        <w:ind w:left="425" w:hanging="425"/>
      </w:pPr>
      <w:rPr>
        <w:rFonts w:hint="default"/>
      </w:rPr>
    </w:lvl>
  </w:abstractNum>
  <w:abstractNum w:abstractNumId="12">
    <w:nsid w:val="00000001"/>
    <w:multiLevelType w:val="multilevel"/>
    <w:tmpl w:val="00000001"/>
    <w:lvl w:ilvl="0" w:tentative="0">
      <w:start w:val="1"/>
      <w:numFmt w:val="chineseCountingThousand"/>
      <w:lvlText w:val="%1、"/>
      <w:lvlJc w:val="left"/>
      <w:pPr>
        <w:tabs>
          <w:tab w:val="left" w:pos="525"/>
        </w:tabs>
        <w:ind w:left="525" w:hanging="420"/>
      </w:pPr>
      <w:rPr>
        <w:lang w:val="en-US"/>
      </w:rPr>
    </w:lvl>
    <w:lvl w:ilvl="1" w:tentative="0">
      <w:start w:val="1"/>
      <w:numFmt w:val="decimal"/>
      <w:lvlText w:val="%2)"/>
      <w:lvlJc w:val="left"/>
      <w:pPr>
        <w:tabs>
          <w:tab w:val="left" w:pos="945"/>
        </w:tabs>
        <w:ind w:left="945" w:hanging="420"/>
      </w:pPr>
      <w:rPr>
        <w:rFonts w:hint="eastAsia"/>
      </w:rPr>
    </w:lvl>
    <w:lvl w:ilvl="2" w:tentative="0">
      <w:start w:val="1"/>
      <w:numFmt w:val="decimal"/>
      <w:lvlText w:val="（%3）"/>
      <w:lvlJc w:val="left"/>
      <w:pPr>
        <w:tabs>
          <w:tab w:val="left" w:pos="1665"/>
        </w:tabs>
        <w:ind w:left="1665" w:hanging="720"/>
      </w:pPr>
      <w:rPr>
        <w:rFonts w:hint="default"/>
      </w:rPr>
    </w:lvl>
    <w:lvl w:ilvl="3" w:tentative="0">
      <w:start w:val="1"/>
      <w:numFmt w:val="decimal"/>
      <w:lvlText w:val="%4、"/>
      <w:lvlJc w:val="left"/>
      <w:pPr>
        <w:tabs>
          <w:tab w:val="left" w:pos="645"/>
        </w:tabs>
        <w:ind w:left="645" w:hanging="360"/>
      </w:pPr>
      <w:rPr>
        <w:rFonts w:hint="default"/>
      </w:r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13">
    <w:nsid w:val="00000014"/>
    <w:multiLevelType w:val="multilevel"/>
    <w:tmpl w:val="00000014"/>
    <w:lvl w:ilvl="0" w:tentative="0">
      <w:start w:val="1"/>
      <w:numFmt w:val="japaneseCounting"/>
      <w:pStyle w:val="128"/>
      <w:lvlText w:val="%1、"/>
      <w:lvlJc w:val="left"/>
      <w:pPr>
        <w:tabs>
          <w:tab w:val="left" w:pos="1100"/>
        </w:tabs>
        <w:ind w:left="1100" w:hanging="420"/>
      </w:pPr>
      <w:rPr>
        <w:rFonts w:ascii="宋体" w:hAnsi="宋体" w:eastAsia="宋体" w:cs="宋体"/>
      </w:rPr>
    </w:lvl>
    <w:lvl w:ilvl="1" w:tentative="0">
      <w:start w:val="1"/>
      <w:numFmt w:val="lowerLetter"/>
      <w:lvlText w:val="%2)"/>
      <w:lvlJc w:val="left"/>
      <w:pPr>
        <w:tabs>
          <w:tab w:val="left" w:pos="696"/>
        </w:tabs>
        <w:ind w:left="696" w:hanging="420"/>
      </w:pPr>
    </w:lvl>
    <w:lvl w:ilvl="2" w:tentative="0">
      <w:start w:val="1"/>
      <w:numFmt w:val="lowerRoman"/>
      <w:pStyle w:val="120"/>
      <w:lvlText w:val="%3."/>
      <w:lvlJc w:val="right"/>
      <w:pPr>
        <w:tabs>
          <w:tab w:val="left" w:pos="1116"/>
        </w:tabs>
        <w:ind w:left="1116" w:hanging="420"/>
      </w:pPr>
    </w:lvl>
    <w:lvl w:ilvl="3" w:tentative="0">
      <w:start w:val="1"/>
      <w:numFmt w:val="decimal"/>
      <w:lvlText w:val="%4."/>
      <w:lvlJc w:val="left"/>
      <w:pPr>
        <w:tabs>
          <w:tab w:val="left" w:pos="1536"/>
        </w:tabs>
        <w:ind w:left="1536" w:hanging="420"/>
      </w:pPr>
    </w:lvl>
    <w:lvl w:ilvl="4" w:tentative="0">
      <w:start w:val="1"/>
      <w:numFmt w:val="lowerLetter"/>
      <w:lvlText w:val="%5)"/>
      <w:lvlJc w:val="left"/>
      <w:pPr>
        <w:tabs>
          <w:tab w:val="left" w:pos="1956"/>
        </w:tabs>
        <w:ind w:left="1956" w:hanging="420"/>
      </w:pPr>
    </w:lvl>
    <w:lvl w:ilvl="5" w:tentative="0">
      <w:start w:val="1"/>
      <w:numFmt w:val="lowerRoman"/>
      <w:lvlText w:val="%6."/>
      <w:lvlJc w:val="right"/>
      <w:pPr>
        <w:tabs>
          <w:tab w:val="left" w:pos="2376"/>
        </w:tabs>
        <w:ind w:left="2376" w:hanging="420"/>
      </w:pPr>
    </w:lvl>
    <w:lvl w:ilvl="6" w:tentative="0">
      <w:start w:val="1"/>
      <w:numFmt w:val="decimal"/>
      <w:lvlText w:val="%7."/>
      <w:lvlJc w:val="left"/>
      <w:pPr>
        <w:tabs>
          <w:tab w:val="left" w:pos="2796"/>
        </w:tabs>
        <w:ind w:left="2796" w:hanging="420"/>
      </w:pPr>
    </w:lvl>
    <w:lvl w:ilvl="7" w:tentative="0">
      <w:start w:val="1"/>
      <w:numFmt w:val="lowerLetter"/>
      <w:lvlText w:val="%8)"/>
      <w:lvlJc w:val="left"/>
      <w:pPr>
        <w:tabs>
          <w:tab w:val="left" w:pos="3216"/>
        </w:tabs>
        <w:ind w:left="3216" w:hanging="420"/>
      </w:pPr>
    </w:lvl>
    <w:lvl w:ilvl="8" w:tentative="0">
      <w:start w:val="1"/>
      <w:numFmt w:val="lowerRoman"/>
      <w:lvlText w:val="%9."/>
      <w:lvlJc w:val="right"/>
      <w:pPr>
        <w:tabs>
          <w:tab w:val="left" w:pos="3636"/>
        </w:tabs>
        <w:ind w:left="3636" w:hanging="420"/>
      </w:pPr>
    </w:lvl>
  </w:abstractNum>
  <w:abstractNum w:abstractNumId="14">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15">
    <w:nsid w:val="00000019"/>
    <w:multiLevelType w:val="multilevel"/>
    <w:tmpl w:val="0000001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6">
    <w:nsid w:val="0000001E"/>
    <w:multiLevelType w:val="multilevel"/>
    <w:tmpl w:val="0000001E"/>
    <w:lvl w:ilvl="0" w:tentative="0">
      <w:start w:val="1"/>
      <w:numFmt w:val="decimal"/>
      <w:lvlText w:val="（%1）"/>
      <w:lvlJc w:val="left"/>
      <w:pPr>
        <w:ind w:left="1560" w:hanging="720"/>
      </w:pPr>
      <w:rPr>
        <w:rFonts w:hint="default" w:cs="Times New Roman"/>
        <w:color w:val="auto"/>
        <w:sz w:val="21"/>
      </w:rPr>
    </w:lvl>
    <w:lvl w:ilvl="1" w:tentative="0">
      <w:start w:val="1"/>
      <w:numFmt w:val="decimal"/>
      <w:lvlText w:val="2.%2"/>
      <w:lvlJc w:val="left"/>
      <w:pPr>
        <w:ind w:left="1620" w:hanging="360"/>
      </w:pPr>
      <w:rPr>
        <w:rFonts w:hint="eastAsia"/>
        <w:color w:val="auto"/>
      </w:rPr>
    </w:lvl>
    <w:lvl w:ilvl="2" w:tentative="0">
      <w:start w:val="1"/>
      <w:numFmt w:val="decimalEnclosedCircle"/>
      <w:lvlText w:val="%3"/>
      <w:lvlJc w:val="left"/>
      <w:pPr>
        <w:ind w:left="2085" w:hanging="405"/>
      </w:pPr>
      <w:rPr>
        <w:rFonts w:hint="default" w:hAnsi="宋体"/>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00000028"/>
    <w:multiLevelType w:val="multilevel"/>
    <w:tmpl w:val="00000028"/>
    <w:lvl w:ilvl="0" w:tentative="0">
      <w:start w:val="1"/>
      <w:numFmt w:val="decimal"/>
      <w:lvlText w:val="%1."/>
      <w:lvlJc w:val="left"/>
      <w:pPr>
        <w:tabs>
          <w:tab w:val="left" w:pos="1664"/>
        </w:tabs>
        <w:ind w:left="1664" w:hanging="420"/>
      </w:pPr>
      <w:rPr>
        <w:rFonts w:hint="eastAsia"/>
      </w:rPr>
    </w:lvl>
    <w:lvl w:ilvl="1" w:tentative="0">
      <w:start w:val="1"/>
      <w:numFmt w:val="decimal"/>
      <w:lvlText w:val="%2."/>
      <w:lvlJc w:val="left"/>
      <w:pPr>
        <w:tabs>
          <w:tab w:val="left" w:pos="1244"/>
        </w:tabs>
        <w:ind w:left="1244" w:hanging="420"/>
      </w:pPr>
      <w:rPr>
        <w:rFonts w:hint="eastAsia"/>
      </w:rPr>
    </w:lvl>
    <w:lvl w:ilvl="2" w:tentative="0">
      <w:start w:val="1"/>
      <w:numFmt w:val="lowerRoman"/>
      <w:lvlText w:val="%3."/>
      <w:lvlJc w:val="right"/>
      <w:pPr>
        <w:tabs>
          <w:tab w:val="left" w:pos="1664"/>
        </w:tabs>
        <w:ind w:left="1664" w:hanging="420"/>
      </w:pPr>
    </w:lvl>
    <w:lvl w:ilvl="3" w:tentative="0">
      <w:start w:val="1"/>
      <w:numFmt w:val="decimal"/>
      <w:lvlText w:val="%4."/>
      <w:lvlJc w:val="left"/>
      <w:pPr>
        <w:tabs>
          <w:tab w:val="left" w:pos="2084"/>
        </w:tabs>
        <w:ind w:left="2084" w:hanging="420"/>
      </w:pPr>
    </w:lvl>
    <w:lvl w:ilvl="4" w:tentative="0">
      <w:start w:val="1"/>
      <w:numFmt w:val="lowerLetter"/>
      <w:lvlText w:val="%5)"/>
      <w:lvlJc w:val="left"/>
      <w:pPr>
        <w:tabs>
          <w:tab w:val="left" w:pos="2504"/>
        </w:tabs>
        <w:ind w:left="2504" w:hanging="420"/>
      </w:pPr>
    </w:lvl>
    <w:lvl w:ilvl="5" w:tentative="0">
      <w:start w:val="1"/>
      <w:numFmt w:val="lowerRoman"/>
      <w:lvlText w:val="%6."/>
      <w:lvlJc w:val="right"/>
      <w:pPr>
        <w:tabs>
          <w:tab w:val="left" w:pos="2924"/>
        </w:tabs>
        <w:ind w:left="2924" w:hanging="420"/>
      </w:pPr>
    </w:lvl>
    <w:lvl w:ilvl="6" w:tentative="0">
      <w:start w:val="1"/>
      <w:numFmt w:val="decimal"/>
      <w:lvlText w:val="%7."/>
      <w:lvlJc w:val="left"/>
      <w:pPr>
        <w:tabs>
          <w:tab w:val="left" w:pos="3344"/>
        </w:tabs>
        <w:ind w:left="3344" w:hanging="420"/>
      </w:pPr>
    </w:lvl>
    <w:lvl w:ilvl="7" w:tentative="0">
      <w:start w:val="1"/>
      <w:numFmt w:val="lowerLetter"/>
      <w:lvlText w:val="%8)"/>
      <w:lvlJc w:val="left"/>
      <w:pPr>
        <w:tabs>
          <w:tab w:val="left" w:pos="3764"/>
        </w:tabs>
        <w:ind w:left="3764" w:hanging="420"/>
      </w:pPr>
    </w:lvl>
    <w:lvl w:ilvl="8" w:tentative="0">
      <w:start w:val="1"/>
      <w:numFmt w:val="lowerRoman"/>
      <w:lvlText w:val="%9."/>
      <w:lvlJc w:val="right"/>
      <w:pPr>
        <w:tabs>
          <w:tab w:val="left" w:pos="4184"/>
        </w:tabs>
        <w:ind w:left="4184" w:hanging="420"/>
      </w:pPr>
    </w:lvl>
  </w:abstractNum>
  <w:abstractNum w:abstractNumId="18">
    <w:nsid w:val="12114D2B"/>
    <w:multiLevelType w:val="multilevel"/>
    <w:tmpl w:val="12114D2B"/>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14B57EFE"/>
    <w:multiLevelType w:val="singleLevel"/>
    <w:tmpl w:val="14B57EFE"/>
    <w:lvl w:ilvl="0" w:tentative="0">
      <w:start w:val="1"/>
      <w:numFmt w:val="decimal"/>
      <w:lvlText w:val="%1."/>
      <w:lvlJc w:val="left"/>
      <w:pPr>
        <w:tabs>
          <w:tab w:val="left" w:pos="312"/>
        </w:tabs>
      </w:pPr>
    </w:lvl>
  </w:abstractNum>
  <w:abstractNum w:abstractNumId="20">
    <w:nsid w:val="15494EA7"/>
    <w:multiLevelType w:val="singleLevel"/>
    <w:tmpl w:val="15494EA7"/>
    <w:lvl w:ilvl="0" w:tentative="0">
      <w:start w:val="1"/>
      <w:numFmt w:val="decimal"/>
      <w:lvlText w:val="%1."/>
      <w:lvlJc w:val="left"/>
      <w:pPr>
        <w:ind w:left="425" w:hanging="425"/>
      </w:pPr>
      <w:rPr>
        <w:rFonts w:hint="default"/>
      </w:rPr>
    </w:lvl>
  </w:abstractNum>
  <w:abstractNum w:abstractNumId="21">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22">
    <w:nsid w:val="1A7B1475"/>
    <w:multiLevelType w:val="multilevel"/>
    <w:tmpl w:val="1A7B1475"/>
    <w:lvl w:ilvl="0" w:tentative="0">
      <w:start w:val="1"/>
      <w:numFmt w:val="decimal"/>
      <w:lvlText w:val="%1．"/>
      <w:lvlJc w:val="left"/>
      <w:pPr>
        <w:ind w:left="1720" w:hanging="420"/>
      </w:pPr>
      <w:rPr>
        <w:rFonts w:hint="default" w:ascii="宋体" w:hAnsi="宋体" w:eastAsia="宋体"/>
      </w:rPr>
    </w:lvl>
    <w:lvl w:ilvl="1" w:tentative="0">
      <w:start w:val="1"/>
      <w:numFmt w:val="lowerLetter"/>
      <w:lvlText w:val="%2)"/>
      <w:lvlJc w:val="left"/>
      <w:pPr>
        <w:ind w:left="2140" w:hanging="420"/>
      </w:pPr>
    </w:lvl>
    <w:lvl w:ilvl="2" w:tentative="0">
      <w:start w:val="1"/>
      <w:numFmt w:val="lowerRoman"/>
      <w:lvlText w:val="%3."/>
      <w:lvlJc w:val="right"/>
      <w:pPr>
        <w:ind w:left="2560" w:hanging="420"/>
      </w:pPr>
    </w:lvl>
    <w:lvl w:ilvl="3" w:tentative="0">
      <w:start w:val="1"/>
      <w:numFmt w:val="decimal"/>
      <w:lvlText w:val="%4."/>
      <w:lvlJc w:val="left"/>
      <w:pPr>
        <w:ind w:left="2980" w:hanging="420"/>
      </w:pPr>
    </w:lvl>
    <w:lvl w:ilvl="4" w:tentative="0">
      <w:start w:val="1"/>
      <w:numFmt w:val="lowerLetter"/>
      <w:lvlText w:val="%5)"/>
      <w:lvlJc w:val="left"/>
      <w:pPr>
        <w:ind w:left="3400" w:hanging="420"/>
      </w:pPr>
    </w:lvl>
    <w:lvl w:ilvl="5" w:tentative="0">
      <w:start w:val="1"/>
      <w:numFmt w:val="lowerRoman"/>
      <w:lvlText w:val="%6."/>
      <w:lvlJc w:val="right"/>
      <w:pPr>
        <w:ind w:left="3820" w:hanging="420"/>
      </w:pPr>
    </w:lvl>
    <w:lvl w:ilvl="6" w:tentative="0">
      <w:start w:val="1"/>
      <w:numFmt w:val="decimal"/>
      <w:lvlText w:val="%7."/>
      <w:lvlJc w:val="left"/>
      <w:pPr>
        <w:ind w:left="4240" w:hanging="420"/>
      </w:pPr>
    </w:lvl>
    <w:lvl w:ilvl="7" w:tentative="0">
      <w:start w:val="1"/>
      <w:numFmt w:val="lowerLetter"/>
      <w:lvlText w:val="%8)"/>
      <w:lvlJc w:val="left"/>
      <w:pPr>
        <w:ind w:left="4660" w:hanging="420"/>
      </w:pPr>
    </w:lvl>
    <w:lvl w:ilvl="8" w:tentative="0">
      <w:start w:val="1"/>
      <w:numFmt w:val="lowerRoman"/>
      <w:lvlText w:val="%9."/>
      <w:lvlJc w:val="right"/>
      <w:pPr>
        <w:ind w:left="5080" w:hanging="420"/>
      </w:pPr>
    </w:lvl>
  </w:abstractNum>
  <w:abstractNum w:abstractNumId="23">
    <w:nsid w:val="1E94B0D7"/>
    <w:multiLevelType w:val="multilevel"/>
    <w:tmpl w:val="1E94B0D7"/>
    <w:lvl w:ilvl="0" w:tentative="0">
      <w:start w:val="1"/>
      <w:numFmt w:val="decimal"/>
      <w:suff w:val="nothing"/>
      <w:lvlText w:val="（%1）"/>
      <w:lvlJc w:val="left"/>
      <w:pPr>
        <w:tabs>
          <w:tab w:val="left" w:pos="420"/>
        </w:tabs>
        <w:ind w:left="1140" w:hanging="420"/>
      </w:pPr>
      <w:rPr>
        <w:rFonts w:hint="default" w:ascii="宋体" w:hAnsi="宋体" w:eastAsia="宋体"/>
        <w:color w:val="auto"/>
        <w:lang w:val="en-US"/>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24">
    <w:nsid w:val="26084B11"/>
    <w:multiLevelType w:val="singleLevel"/>
    <w:tmpl w:val="26084B11"/>
    <w:lvl w:ilvl="0" w:tentative="0">
      <w:start w:val="1"/>
      <w:numFmt w:val="decimal"/>
      <w:suff w:val="nothing"/>
      <w:lvlText w:val="%1、"/>
      <w:lvlJc w:val="left"/>
    </w:lvl>
  </w:abstractNum>
  <w:abstractNum w:abstractNumId="25">
    <w:nsid w:val="29ABF907"/>
    <w:multiLevelType w:val="singleLevel"/>
    <w:tmpl w:val="29ABF907"/>
    <w:lvl w:ilvl="0" w:tentative="0">
      <w:start w:val="1"/>
      <w:numFmt w:val="decimal"/>
      <w:lvlText w:val="%1."/>
      <w:lvlJc w:val="left"/>
      <w:pPr>
        <w:ind w:left="425" w:hanging="425"/>
      </w:pPr>
      <w:rPr>
        <w:rFonts w:hint="default"/>
      </w:rPr>
    </w:lvl>
  </w:abstractNum>
  <w:abstractNum w:abstractNumId="26">
    <w:nsid w:val="35B34231"/>
    <w:multiLevelType w:val="multilevel"/>
    <w:tmpl w:val="35B34231"/>
    <w:lvl w:ilvl="0" w:tentative="0">
      <w:start w:val="1"/>
      <w:numFmt w:val="japaneseCounting"/>
      <w:lvlText w:val="（%1）"/>
      <w:lvlJc w:val="left"/>
      <w:pPr>
        <w:ind w:left="765" w:hanging="765"/>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7B3A32F"/>
    <w:multiLevelType w:val="singleLevel"/>
    <w:tmpl w:val="37B3A32F"/>
    <w:lvl w:ilvl="0" w:tentative="0">
      <w:start w:val="1"/>
      <w:numFmt w:val="decimal"/>
      <w:pStyle w:val="18"/>
      <w:lvlText w:val="%1."/>
      <w:lvlJc w:val="left"/>
      <w:pPr>
        <w:tabs>
          <w:tab w:val="left" w:pos="1200"/>
        </w:tabs>
        <w:ind w:left="1200" w:hanging="360"/>
      </w:pPr>
    </w:lvl>
  </w:abstractNum>
  <w:abstractNum w:abstractNumId="28">
    <w:nsid w:val="42EE5DA7"/>
    <w:multiLevelType w:val="multilevel"/>
    <w:tmpl w:val="42EE5DA7"/>
    <w:lvl w:ilvl="0" w:tentative="0">
      <w:start w:val="1"/>
      <w:numFmt w:val="decimal"/>
      <w:lvlText w:val="（%1）"/>
      <w:lvlJc w:val="left"/>
      <w:pPr>
        <w:tabs>
          <w:tab w:val="left" w:pos="1560"/>
        </w:tabs>
        <w:ind w:left="1560" w:hanging="720"/>
      </w:pPr>
      <w:rPr>
        <w:rFonts w:hint="default"/>
      </w:rPr>
    </w:lvl>
    <w:lvl w:ilvl="1" w:tentative="0">
      <w:start w:val="1"/>
      <w:numFmt w:val="decimalEnclosedCircle"/>
      <w:lvlText w:val="%2"/>
      <w:lvlJc w:val="left"/>
      <w:pPr>
        <w:tabs>
          <w:tab w:val="left" w:pos="1620"/>
        </w:tabs>
        <w:ind w:left="1620" w:hanging="360"/>
      </w:pPr>
      <w:rPr>
        <w:rFonts w:hint="default"/>
      </w:rPr>
    </w:lvl>
    <w:lvl w:ilvl="2" w:tentative="0">
      <w:start w:val="1"/>
      <w:numFmt w:val="decimal"/>
      <w:lvlText w:val="%3）"/>
      <w:lvlJc w:val="left"/>
      <w:pPr>
        <w:tabs>
          <w:tab w:val="left" w:pos="2040"/>
        </w:tabs>
        <w:ind w:left="2040" w:hanging="360"/>
      </w:pPr>
      <w:rPr>
        <w:rFonts w:hint="default"/>
      </w:rPr>
    </w:lvl>
    <w:lvl w:ilvl="3" w:tentative="0">
      <w:start w:val="4"/>
      <w:numFmt w:val="decimalEnclosedParen"/>
      <w:lvlText w:val="%4"/>
      <w:lvlJc w:val="left"/>
      <w:pPr>
        <w:tabs>
          <w:tab w:val="left" w:pos="2460"/>
        </w:tabs>
        <w:ind w:left="2460" w:hanging="360"/>
      </w:pPr>
      <w:rPr>
        <w:rFonts w:hint="default"/>
      </w:r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9">
    <w:nsid w:val="43FCDEC4"/>
    <w:multiLevelType w:val="singleLevel"/>
    <w:tmpl w:val="43FCDEC4"/>
    <w:lvl w:ilvl="0" w:tentative="0">
      <w:start w:val="1"/>
      <w:numFmt w:val="decimal"/>
      <w:lvlText w:val="%1."/>
      <w:lvlJc w:val="left"/>
      <w:pPr>
        <w:ind w:left="425" w:hanging="425"/>
      </w:pPr>
      <w:rPr>
        <w:rFonts w:hint="default"/>
      </w:rPr>
    </w:lvl>
  </w:abstractNum>
  <w:abstractNum w:abstractNumId="30">
    <w:nsid w:val="490D4218"/>
    <w:multiLevelType w:val="multilevel"/>
    <w:tmpl w:val="490D4218"/>
    <w:lvl w:ilvl="0" w:tentative="0">
      <w:start w:val="1"/>
      <w:numFmt w:val="decimal"/>
      <w:suff w:val="nothing"/>
      <w:lvlText w:val="（%1）"/>
      <w:lvlJc w:val="left"/>
      <w:pPr>
        <w:tabs>
          <w:tab w:val="left" w:pos="420"/>
        </w:tabs>
        <w:ind w:left="1138" w:hanging="420"/>
      </w:pPr>
      <w:rPr>
        <w:rFonts w:hint="default" w:ascii="宋体" w:hAnsi="宋体" w:eastAsia="宋体"/>
        <w:color w:val="auto"/>
        <w:lang w:val="en-US"/>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31">
    <w:nsid w:val="54F403B5"/>
    <w:multiLevelType w:val="singleLevel"/>
    <w:tmpl w:val="54F403B5"/>
    <w:lvl w:ilvl="0" w:tentative="0">
      <w:start w:val="1"/>
      <w:numFmt w:val="chineseCounting"/>
      <w:suff w:val="nothing"/>
      <w:lvlText w:val="%1、"/>
      <w:lvlJc w:val="left"/>
    </w:lvl>
  </w:abstractNum>
  <w:abstractNum w:abstractNumId="32">
    <w:nsid w:val="557FD3DA"/>
    <w:multiLevelType w:val="singleLevel"/>
    <w:tmpl w:val="557FD3DA"/>
    <w:lvl w:ilvl="0" w:tentative="0">
      <w:start w:val="3"/>
      <w:numFmt w:val="chineseCounting"/>
      <w:suff w:val="nothing"/>
      <w:lvlText w:val="%1、"/>
      <w:lvlJc w:val="left"/>
    </w:lvl>
  </w:abstractNum>
  <w:abstractNum w:abstractNumId="33">
    <w:nsid w:val="568A3746"/>
    <w:multiLevelType w:val="multilevel"/>
    <w:tmpl w:val="568A3746"/>
    <w:lvl w:ilvl="0" w:tentative="0">
      <w:start w:val="1"/>
      <w:numFmt w:val="decimal"/>
      <w:lvlText w:val="%1)"/>
      <w:lvlJc w:val="left"/>
      <w:pPr>
        <w:tabs>
          <w:tab w:val="left" w:pos="530"/>
        </w:tabs>
        <w:ind w:left="530" w:hanging="420"/>
      </w:pPr>
      <w:rPr>
        <w:rFonts w:hint="default" w:ascii="Arial" w:hAnsi="Arial" w:cs="Arial"/>
      </w:rPr>
    </w:lvl>
    <w:lvl w:ilvl="1" w:tentative="0">
      <w:start w:val="1"/>
      <w:numFmt w:val="decimal"/>
      <w:lvlText w:val="%2."/>
      <w:lvlJc w:val="left"/>
      <w:pPr>
        <w:tabs>
          <w:tab w:val="left" w:pos="950"/>
        </w:tabs>
        <w:ind w:left="950" w:hanging="420"/>
      </w:pPr>
      <w:rPr>
        <w:rFonts w:hint="eastAsia" w:asciiTheme="minorEastAsia" w:hAnsiTheme="minorEastAsia" w:eastAsiaTheme="minorEastAsia"/>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34">
    <w:nsid w:val="5879A513"/>
    <w:multiLevelType w:val="singleLevel"/>
    <w:tmpl w:val="5879A513"/>
    <w:lvl w:ilvl="0" w:tentative="0">
      <w:start w:val="1"/>
      <w:numFmt w:val="decimal"/>
      <w:lvlText w:val="%1."/>
      <w:lvlJc w:val="left"/>
      <w:pPr>
        <w:ind w:left="425" w:hanging="425"/>
      </w:pPr>
      <w:rPr>
        <w:rFonts w:hint="default"/>
      </w:rPr>
    </w:lvl>
  </w:abstractNum>
  <w:abstractNum w:abstractNumId="35">
    <w:nsid w:val="58D22826"/>
    <w:multiLevelType w:val="multilevel"/>
    <w:tmpl w:val="58D22826"/>
    <w:lvl w:ilvl="0" w:tentative="0">
      <w:start w:val="1"/>
      <w:numFmt w:val="decimal"/>
      <w:lvlText w:val="（%1）"/>
      <w:lvlJc w:val="left"/>
      <w:pPr>
        <w:ind w:left="420" w:hanging="420"/>
      </w:pPr>
      <w:rPr>
        <w:rFonts w:hint="eastAsia" w:asciiTheme="minorEastAsia" w:hAnsiTheme="minorEastAsia" w:eastAsiaTheme="minorEastAsia"/>
        <w:color w:val="auto"/>
        <w:lang w:val="en-US"/>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6">
    <w:nsid w:val="59097FF1"/>
    <w:multiLevelType w:val="multilevel"/>
    <w:tmpl w:val="59097FF1"/>
    <w:lvl w:ilvl="0" w:tentative="0">
      <w:start w:val="1"/>
      <w:numFmt w:val="decimal"/>
      <w:suff w:val="nothing"/>
      <w:lvlText w:val="（%1）"/>
      <w:lvlJc w:val="left"/>
      <w:pPr>
        <w:tabs>
          <w:tab w:val="left" w:pos="420"/>
        </w:tabs>
        <w:ind w:left="1138" w:hanging="420"/>
      </w:pPr>
      <w:rPr>
        <w:rFonts w:hint="default" w:ascii="宋体" w:hAnsi="宋体" w:eastAsia="宋体"/>
        <w:color w:val="auto"/>
        <w:lang w:val="en-US"/>
      </w:r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37">
    <w:nsid w:val="5DA60018"/>
    <w:multiLevelType w:val="multilevel"/>
    <w:tmpl w:val="5DA60018"/>
    <w:lvl w:ilvl="0" w:tentative="0">
      <w:start w:val="1"/>
      <w:numFmt w:val="decimal"/>
      <w:lvlText w:val="%1、"/>
      <w:lvlJc w:val="left"/>
      <w:pPr>
        <w:ind w:left="420" w:hanging="420"/>
      </w:pPr>
      <w:rPr>
        <w:rFonts w:hint="eastAsia"/>
      </w:rPr>
    </w:lvl>
    <w:lvl w:ilvl="1" w:tentative="0">
      <w:start w:val="1"/>
      <w:numFmt w:val="japaneseCounting"/>
      <w:lvlText w:val="%2、"/>
      <w:lvlJc w:val="left"/>
      <w:pPr>
        <w:ind w:left="930" w:hanging="5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39">
    <w:nsid w:val="670B65DB"/>
    <w:multiLevelType w:val="multilevel"/>
    <w:tmpl w:val="670B65DB"/>
    <w:lvl w:ilvl="0" w:tentative="0">
      <w:start w:val="1"/>
      <w:numFmt w:val="decimal"/>
      <w:lvlText w:val="%1、"/>
      <w:lvlJc w:val="left"/>
      <w:pPr>
        <w:ind w:left="420" w:hanging="420"/>
      </w:pPr>
      <w:rPr>
        <w:rFonts w:hint="eastAsia"/>
      </w:rPr>
    </w:lvl>
    <w:lvl w:ilvl="1" w:tentative="0">
      <w:start w:val="1"/>
      <w:numFmt w:val="japaneseCounting"/>
      <w:lvlText w:val="%2、"/>
      <w:lvlJc w:val="left"/>
      <w:pPr>
        <w:ind w:left="930" w:hanging="510"/>
      </w:pPr>
      <w:rPr>
        <w:rFonts w:hint="default"/>
      </w:rPr>
    </w:lvl>
    <w:lvl w:ilvl="2" w:tentative="0">
      <w:start w:val="1"/>
      <w:numFmt w:val="lowerRoman"/>
      <w:pStyle w:val="13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DDC6220"/>
    <w:multiLevelType w:val="multilevel"/>
    <w:tmpl w:val="6DDC6220"/>
    <w:lvl w:ilvl="0" w:tentative="0">
      <w:start w:val="1"/>
      <w:numFmt w:val="decimal"/>
      <w:lvlText w:val="%1．"/>
      <w:lvlJc w:val="left"/>
      <w:pPr>
        <w:tabs>
          <w:tab w:val="left" w:pos="1200"/>
        </w:tabs>
        <w:ind w:left="1200" w:hanging="420"/>
      </w:pPr>
      <w:rPr>
        <w:rFonts w:hint="default" w:asciiTheme="minorEastAsia" w:hAnsiTheme="minorEastAsia" w:eastAsiaTheme="minorEastAsia"/>
        <w:b w:val="0"/>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41">
    <w:nsid w:val="6E043E8B"/>
    <w:multiLevelType w:val="multilevel"/>
    <w:tmpl w:val="6E043E8B"/>
    <w:lvl w:ilvl="0" w:tentative="0">
      <w:start w:val="1"/>
      <w:numFmt w:val="decimal"/>
      <w:lvlText w:val="（%1）"/>
      <w:lvlJc w:val="left"/>
      <w:pPr>
        <w:ind w:left="420" w:hanging="420"/>
      </w:pPr>
      <w:rPr>
        <w:rFonts w:hint="eastAsia"/>
        <w:color w:val="auto"/>
        <w:lang w:val="en-US"/>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42">
    <w:nsid w:val="743AC081"/>
    <w:multiLevelType w:val="multilevel"/>
    <w:tmpl w:val="743AC081"/>
    <w:lvl w:ilvl="0" w:tentative="0">
      <w:start w:val="1"/>
      <w:numFmt w:val="decimal"/>
      <w:lvlText w:val="（%1）"/>
      <w:lvlJc w:val="left"/>
      <w:pPr>
        <w:ind w:left="1560" w:hanging="720"/>
      </w:pPr>
      <w:rPr>
        <w:rFonts w:hint="default" w:cs="Times New Roman" w:asciiTheme="minorEastAsia" w:hAnsiTheme="minorEastAsia" w:eastAsiaTheme="minorEastAsia"/>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3">
    <w:nsid w:val="75CA07D2"/>
    <w:multiLevelType w:val="singleLevel"/>
    <w:tmpl w:val="75CA07D2"/>
    <w:lvl w:ilvl="0" w:tentative="0">
      <w:start w:val="1"/>
      <w:numFmt w:val="decimal"/>
      <w:lvlText w:val="%1."/>
      <w:lvlJc w:val="left"/>
      <w:pPr>
        <w:tabs>
          <w:tab w:val="left" w:pos="312"/>
        </w:tabs>
      </w:pPr>
    </w:lvl>
  </w:abstractNum>
  <w:abstractNum w:abstractNumId="44">
    <w:nsid w:val="791B3D73"/>
    <w:multiLevelType w:val="multilevel"/>
    <w:tmpl w:val="791B3D73"/>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7"/>
  </w:num>
  <w:num w:numId="2">
    <w:abstractNumId w:val="13"/>
  </w:num>
  <w:num w:numId="3">
    <w:abstractNumId w:val="39"/>
  </w:num>
  <w:num w:numId="4">
    <w:abstractNumId w:val="2"/>
  </w:num>
  <w:num w:numId="5">
    <w:abstractNumId w:val="37"/>
  </w:num>
  <w:num w:numId="6">
    <w:abstractNumId w:val="44"/>
  </w:num>
  <w:num w:numId="7">
    <w:abstractNumId w:val="21"/>
  </w:num>
  <w:num w:numId="8">
    <w:abstractNumId w:val="24"/>
  </w:num>
  <w:num w:numId="9">
    <w:abstractNumId w:val="31"/>
  </w:num>
  <w:num w:numId="10">
    <w:abstractNumId w:val="32"/>
  </w:num>
  <w:num w:numId="11">
    <w:abstractNumId w:val="15"/>
  </w:num>
  <w:num w:numId="12">
    <w:abstractNumId w:val="18"/>
  </w:num>
  <w:num w:numId="13">
    <w:abstractNumId w:val="30"/>
  </w:num>
  <w:num w:numId="14">
    <w:abstractNumId w:val="36"/>
  </w:num>
  <w:num w:numId="15">
    <w:abstractNumId w:val="23"/>
  </w:num>
  <w:num w:numId="16">
    <w:abstractNumId w:val="0"/>
  </w:num>
  <w:num w:numId="17">
    <w:abstractNumId w:val="8"/>
  </w:num>
  <w:num w:numId="18">
    <w:abstractNumId w:val="42"/>
  </w:num>
  <w:num w:numId="19">
    <w:abstractNumId w:val="41"/>
  </w:num>
  <w:num w:numId="20">
    <w:abstractNumId w:val="14"/>
  </w:num>
  <w:num w:numId="21">
    <w:abstractNumId w:val="26"/>
  </w:num>
  <w:num w:numId="22">
    <w:abstractNumId w:val="33"/>
  </w:num>
  <w:num w:numId="23">
    <w:abstractNumId w:val="9"/>
  </w:num>
  <w:num w:numId="24">
    <w:abstractNumId w:val="20"/>
  </w:num>
  <w:num w:numId="25">
    <w:abstractNumId w:val="3"/>
  </w:num>
  <w:num w:numId="26">
    <w:abstractNumId w:val="34"/>
  </w:num>
  <w:num w:numId="27">
    <w:abstractNumId w:val="29"/>
  </w:num>
  <w:num w:numId="28">
    <w:abstractNumId w:val="10"/>
  </w:num>
  <w:num w:numId="29">
    <w:abstractNumId w:val="11"/>
  </w:num>
  <w:num w:numId="30">
    <w:abstractNumId w:val="7"/>
  </w:num>
  <w:num w:numId="31">
    <w:abstractNumId w:val="25"/>
  </w:num>
  <w:num w:numId="32">
    <w:abstractNumId w:val="1"/>
  </w:num>
  <w:num w:numId="33">
    <w:abstractNumId w:val="43"/>
  </w:num>
  <w:num w:numId="34">
    <w:abstractNumId w:val="19"/>
  </w:num>
  <w:num w:numId="35">
    <w:abstractNumId w:val="5"/>
  </w:num>
  <w:num w:numId="36">
    <w:abstractNumId w:val="6"/>
  </w:num>
  <w:num w:numId="37">
    <w:abstractNumId w:val="4"/>
  </w:num>
  <w:num w:numId="38">
    <w:abstractNumId w:val="16"/>
  </w:num>
  <w:num w:numId="39">
    <w:abstractNumId w:val="40"/>
  </w:num>
  <w:num w:numId="40">
    <w:abstractNumId w:val="17"/>
  </w:num>
  <w:num w:numId="41">
    <w:abstractNumId w:val="38"/>
  </w:num>
  <w:num w:numId="42">
    <w:abstractNumId w:val="35"/>
  </w:num>
  <w:num w:numId="43">
    <w:abstractNumId w:val="22"/>
  </w:num>
  <w:num w:numId="44">
    <w:abstractNumId w:val="2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EC54E16"/>
    <w:rsid w:val="00005479"/>
    <w:rsid w:val="00007512"/>
    <w:rsid w:val="0001282E"/>
    <w:rsid w:val="00027DBF"/>
    <w:rsid w:val="00037A43"/>
    <w:rsid w:val="00052543"/>
    <w:rsid w:val="00061204"/>
    <w:rsid w:val="000631F2"/>
    <w:rsid w:val="00074C0A"/>
    <w:rsid w:val="00092715"/>
    <w:rsid w:val="000F3916"/>
    <w:rsid w:val="0010129A"/>
    <w:rsid w:val="0010171D"/>
    <w:rsid w:val="00107052"/>
    <w:rsid w:val="00110811"/>
    <w:rsid w:val="001315FB"/>
    <w:rsid w:val="00132320"/>
    <w:rsid w:val="001B046C"/>
    <w:rsid w:val="001B3AFD"/>
    <w:rsid w:val="001C6D0F"/>
    <w:rsid w:val="001D6766"/>
    <w:rsid w:val="001E3783"/>
    <w:rsid w:val="001E7BBA"/>
    <w:rsid w:val="001F18EE"/>
    <w:rsid w:val="002415A1"/>
    <w:rsid w:val="00244086"/>
    <w:rsid w:val="00245AF3"/>
    <w:rsid w:val="00256EC0"/>
    <w:rsid w:val="0027303A"/>
    <w:rsid w:val="0027307C"/>
    <w:rsid w:val="0027433E"/>
    <w:rsid w:val="00283D51"/>
    <w:rsid w:val="00294DBD"/>
    <w:rsid w:val="002A6DDF"/>
    <w:rsid w:val="002C4E34"/>
    <w:rsid w:val="002E5C72"/>
    <w:rsid w:val="002E7D4E"/>
    <w:rsid w:val="00300238"/>
    <w:rsid w:val="0032097B"/>
    <w:rsid w:val="00330C7C"/>
    <w:rsid w:val="0033505F"/>
    <w:rsid w:val="0035560B"/>
    <w:rsid w:val="00360BF0"/>
    <w:rsid w:val="003776EE"/>
    <w:rsid w:val="003D2555"/>
    <w:rsid w:val="003E258E"/>
    <w:rsid w:val="003E477B"/>
    <w:rsid w:val="003F2A2C"/>
    <w:rsid w:val="003F2A5D"/>
    <w:rsid w:val="00406A29"/>
    <w:rsid w:val="00420E92"/>
    <w:rsid w:val="00421F3E"/>
    <w:rsid w:val="0043144F"/>
    <w:rsid w:val="00454B4D"/>
    <w:rsid w:val="00485A0B"/>
    <w:rsid w:val="004C47F7"/>
    <w:rsid w:val="004C755F"/>
    <w:rsid w:val="004D4FF6"/>
    <w:rsid w:val="004D6FA2"/>
    <w:rsid w:val="004E37A6"/>
    <w:rsid w:val="004F374E"/>
    <w:rsid w:val="004F6991"/>
    <w:rsid w:val="005043ED"/>
    <w:rsid w:val="00504596"/>
    <w:rsid w:val="0051206E"/>
    <w:rsid w:val="00513127"/>
    <w:rsid w:val="0052090B"/>
    <w:rsid w:val="00522004"/>
    <w:rsid w:val="005270D5"/>
    <w:rsid w:val="005379F9"/>
    <w:rsid w:val="005407F0"/>
    <w:rsid w:val="00547049"/>
    <w:rsid w:val="00593B7D"/>
    <w:rsid w:val="005C4C0F"/>
    <w:rsid w:val="005C6160"/>
    <w:rsid w:val="005D04CD"/>
    <w:rsid w:val="005E28A1"/>
    <w:rsid w:val="00607003"/>
    <w:rsid w:val="00613C70"/>
    <w:rsid w:val="0061475D"/>
    <w:rsid w:val="0062278D"/>
    <w:rsid w:val="00630717"/>
    <w:rsid w:val="0064091D"/>
    <w:rsid w:val="00641FBE"/>
    <w:rsid w:val="00642438"/>
    <w:rsid w:val="00647D95"/>
    <w:rsid w:val="00654785"/>
    <w:rsid w:val="00655D4B"/>
    <w:rsid w:val="006629C3"/>
    <w:rsid w:val="00666B5D"/>
    <w:rsid w:val="0069508F"/>
    <w:rsid w:val="006B2CFA"/>
    <w:rsid w:val="006C1270"/>
    <w:rsid w:val="006E3BD6"/>
    <w:rsid w:val="0070079E"/>
    <w:rsid w:val="00737F48"/>
    <w:rsid w:val="00742004"/>
    <w:rsid w:val="00756DEB"/>
    <w:rsid w:val="00796466"/>
    <w:rsid w:val="007A1026"/>
    <w:rsid w:val="007D0D54"/>
    <w:rsid w:val="007D4B22"/>
    <w:rsid w:val="00801B7C"/>
    <w:rsid w:val="00804C59"/>
    <w:rsid w:val="0082001A"/>
    <w:rsid w:val="008323B3"/>
    <w:rsid w:val="00844DEA"/>
    <w:rsid w:val="008542E4"/>
    <w:rsid w:val="00856EFB"/>
    <w:rsid w:val="0086268F"/>
    <w:rsid w:val="008654E3"/>
    <w:rsid w:val="0088256C"/>
    <w:rsid w:val="008A5B9E"/>
    <w:rsid w:val="008D7372"/>
    <w:rsid w:val="008E3105"/>
    <w:rsid w:val="0093680E"/>
    <w:rsid w:val="00955C38"/>
    <w:rsid w:val="00957594"/>
    <w:rsid w:val="009632BF"/>
    <w:rsid w:val="009667E8"/>
    <w:rsid w:val="00983121"/>
    <w:rsid w:val="009A1110"/>
    <w:rsid w:val="009A2982"/>
    <w:rsid w:val="009B41BC"/>
    <w:rsid w:val="009D4A8C"/>
    <w:rsid w:val="009D4E30"/>
    <w:rsid w:val="009D62DE"/>
    <w:rsid w:val="009E3535"/>
    <w:rsid w:val="009F20C0"/>
    <w:rsid w:val="009F3ECF"/>
    <w:rsid w:val="00A1326B"/>
    <w:rsid w:val="00A14905"/>
    <w:rsid w:val="00A277F7"/>
    <w:rsid w:val="00A4440B"/>
    <w:rsid w:val="00A5149C"/>
    <w:rsid w:val="00A562EC"/>
    <w:rsid w:val="00A60284"/>
    <w:rsid w:val="00A60C89"/>
    <w:rsid w:val="00A651FA"/>
    <w:rsid w:val="00A66AE7"/>
    <w:rsid w:val="00A81EB0"/>
    <w:rsid w:val="00A9117E"/>
    <w:rsid w:val="00A940C3"/>
    <w:rsid w:val="00AB25C1"/>
    <w:rsid w:val="00AC424E"/>
    <w:rsid w:val="00AE3011"/>
    <w:rsid w:val="00B31508"/>
    <w:rsid w:val="00B44A60"/>
    <w:rsid w:val="00B5224C"/>
    <w:rsid w:val="00B54787"/>
    <w:rsid w:val="00B701B1"/>
    <w:rsid w:val="00B73EB1"/>
    <w:rsid w:val="00B839B1"/>
    <w:rsid w:val="00BB0161"/>
    <w:rsid w:val="00BB73FA"/>
    <w:rsid w:val="00BC799E"/>
    <w:rsid w:val="00BD49E0"/>
    <w:rsid w:val="00BD5387"/>
    <w:rsid w:val="00BE42ED"/>
    <w:rsid w:val="00BE4436"/>
    <w:rsid w:val="00BF3B2B"/>
    <w:rsid w:val="00BF576B"/>
    <w:rsid w:val="00BF6BE1"/>
    <w:rsid w:val="00C07A29"/>
    <w:rsid w:val="00C15C3B"/>
    <w:rsid w:val="00C15F98"/>
    <w:rsid w:val="00C502D2"/>
    <w:rsid w:val="00C651BE"/>
    <w:rsid w:val="00C80DA9"/>
    <w:rsid w:val="00CB385F"/>
    <w:rsid w:val="00CB5F7C"/>
    <w:rsid w:val="00CE2179"/>
    <w:rsid w:val="00D0462A"/>
    <w:rsid w:val="00D33256"/>
    <w:rsid w:val="00D33FE0"/>
    <w:rsid w:val="00D47974"/>
    <w:rsid w:val="00D5653B"/>
    <w:rsid w:val="00D62347"/>
    <w:rsid w:val="00D62AE0"/>
    <w:rsid w:val="00D64E79"/>
    <w:rsid w:val="00D77319"/>
    <w:rsid w:val="00D83DAE"/>
    <w:rsid w:val="00D949CB"/>
    <w:rsid w:val="00D961F2"/>
    <w:rsid w:val="00DB4E06"/>
    <w:rsid w:val="00DD3580"/>
    <w:rsid w:val="00DE199C"/>
    <w:rsid w:val="00E03332"/>
    <w:rsid w:val="00E0456E"/>
    <w:rsid w:val="00E1364A"/>
    <w:rsid w:val="00E36752"/>
    <w:rsid w:val="00E50EC4"/>
    <w:rsid w:val="00E51BA8"/>
    <w:rsid w:val="00E606FD"/>
    <w:rsid w:val="00E72AB0"/>
    <w:rsid w:val="00E766EB"/>
    <w:rsid w:val="00E77EEF"/>
    <w:rsid w:val="00E808FE"/>
    <w:rsid w:val="00E90F91"/>
    <w:rsid w:val="00E92FD9"/>
    <w:rsid w:val="00E938DC"/>
    <w:rsid w:val="00E950D5"/>
    <w:rsid w:val="00EA5D18"/>
    <w:rsid w:val="00EA729B"/>
    <w:rsid w:val="00EA797A"/>
    <w:rsid w:val="00EB4F01"/>
    <w:rsid w:val="00EE5B10"/>
    <w:rsid w:val="00F333A6"/>
    <w:rsid w:val="00F52B4B"/>
    <w:rsid w:val="00F65224"/>
    <w:rsid w:val="00F65DAF"/>
    <w:rsid w:val="00F731C6"/>
    <w:rsid w:val="00F7607C"/>
    <w:rsid w:val="00F92424"/>
    <w:rsid w:val="00FA6F55"/>
    <w:rsid w:val="00FC369E"/>
    <w:rsid w:val="00FD4C57"/>
    <w:rsid w:val="00FE14F5"/>
    <w:rsid w:val="01744613"/>
    <w:rsid w:val="01FA0884"/>
    <w:rsid w:val="01FB1D45"/>
    <w:rsid w:val="02262974"/>
    <w:rsid w:val="026D12DC"/>
    <w:rsid w:val="02B23AAF"/>
    <w:rsid w:val="02D76797"/>
    <w:rsid w:val="030E523E"/>
    <w:rsid w:val="032428E1"/>
    <w:rsid w:val="036B2B14"/>
    <w:rsid w:val="03A37793"/>
    <w:rsid w:val="03CB0553"/>
    <w:rsid w:val="043C60CC"/>
    <w:rsid w:val="04EF3AD2"/>
    <w:rsid w:val="051B32C7"/>
    <w:rsid w:val="0528257C"/>
    <w:rsid w:val="054C1C10"/>
    <w:rsid w:val="0590111B"/>
    <w:rsid w:val="06086D52"/>
    <w:rsid w:val="064004F8"/>
    <w:rsid w:val="06556A1B"/>
    <w:rsid w:val="06670C9E"/>
    <w:rsid w:val="06875316"/>
    <w:rsid w:val="06B42C7D"/>
    <w:rsid w:val="06C512C5"/>
    <w:rsid w:val="073B1586"/>
    <w:rsid w:val="07DB2994"/>
    <w:rsid w:val="086E734D"/>
    <w:rsid w:val="087A354A"/>
    <w:rsid w:val="08807B36"/>
    <w:rsid w:val="08935738"/>
    <w:rsid w:val="090A2FD0"/>
    <w:rsid w:val="090A7C86"/>
    <w:rsid w:val="09411876"/>
    <w:rsid w:val="09686164"/>
    <w:rsid w:val="09B33A3F"/>
    <w:rsid w:val="0AA711BE"/>
    <w:rsid w:val="0AEE3E30"/>
    <w:rsid w:val="0B314C5E"/>
    <w:rsid w:val="0C2A1BA5"/>
    <w:rsid w:val="0C7950C4"/>
    <w:rsid w:val="0CC124F7"/>
    <w:rsid w:val="0CFC4E18"/>
    <w:rsid w:val="0D7E5EAD"/>
    <w:rsid w:val="0D862AD7"/>
    <w:rsid w:val="0E4A4B68"/>
    <w:rsid w:val="0E5A2C10"/>
    <w:rsid w:val="0E5A3BF8"/>
    <w:rsid w:val="0E814091"/>
    <w:rsid w:val="0E932F60"/>
    <w:rsid w:val="0E997C10"/>
    <w:rsid w:val="0EB50D57"/>
    <w:rsid w:val="0F2B56F3"/>
    <w:rsid w:val="0F467CBB"/>
    <w:rsid w:val="0F8917B3"/>
    <w:rsid w:val="0FC86B1E"/>
    <w:rsid w:val="0FD079EE"/>
    <w:rsid w:val="105864AF"/>
    <w:rsid w:val="10763E80"/>
    <w:rsid w:val="116B6E05"/>
    <w:rsid w:val="119D289B"/>
    <w:rsid w:val="11A74077"/>
    <w:rsid w:val="11A94D8A"/>
    <w:rsid w:val="121A162D"/>
    <w:rsid w:val="12761097"/>
    <w:rsid w:val="12D72426"/>
    <w:rsid w:val="131A0437"/>
    <w:rsid w:val="131F0D4E"/>
    <w:rsid w:val="137A6FA5"/>
    <w:rsid w:val="137B0A81"/>
    <w:rsid w:val="142C6EF7"/>
    <w:rsid w:val="1436058E"/>
    <w:rsid w:val="14545C44"/>
    <w:rsid w:val="145E445C"/>
    <w:rsid w:val="14D834E4"/>
    <w:rsid w:val="14F05DE4"/>
    <w:rsid w:val="14F40AF5"/>
    <w:rsid w:val="14F6190B"/>
    <w:rsid w:val="14FD208C"/>
    <w:rsid w:val="155D231F"/>
    <w:rsid w:val="158E7B24"/>
    <w:rsid w:val="15A24B46"/>
    <w:rsid w:val="160E5765"/>
    <w:rsid w:val="163D74A2"/>
    <w:rsid w:val="165A5C58"/>
    <w:rsid w:val="17901318"/>
    <w:rsid w:val="17A93F03"/>
    <w:rsid w:val="17E865B1"/>
    <w:rsid w:val="18024E72"/>
    <w:rsid w:val="180D01CD"/>
    <w:rsid w:val="18E90D1F"/>
    <w:rsid w:val="1942658B"/>
    <w:rsid w:val="19740D6D"/>
    <w:rsid w:val="1A1B0EF7"/>
    <w:rsid w:val="1A78009A"/>
    <w:rsid w:val="1AAD1C82"/>
    <w:rsid w:val="1AAE4075"/>
    <w:rsid w:val="1AD66A56"/>
    <w:rsid w:val="1B4A4A13"/>
    <w:rsid w:val="1C0A557C"/>
    <w:rsid w:val="1C777971"/>
    <w:rsid w:val="1CF6305D"/>
    <w:rsid w:val="1D2D2CD9"/>
    <w:rsid w:val="1D4173AC"/>
    <w:rsid w:val="1D46439F"/>
    <w:rsid w:val="1D8D3574"/>
    <w:rsid w:val="1DD651CC"/>
    <w:rsid w:val="1E225565"/>
    <w:rsid w:val="1E2748CD"/>
    <w:rsid w:val="1E7F7664"/>
    <w:rsid w:val="1ECF025B"/>
    <w:rsid w:val="1EEB026B"/>
    <w:rsid w:val="1FB065A1"/>
    <w:rsid w:val="1FB077C0"/>
    <w:rsid w:val="1FBB1854"/>
    <w:rsid w:val="205E1416"/>
    <w:rsid w:val="209A49A1"/>
    <w:rsid w:val="20FE0E1E"/>
    <w:rsid w:val="213E76EC"/>
    <w:rsid w:val="218527CC"/>
    <w:rsid w:val="21C7460F"/>
    <w:rsid w:val="21CC6BEB"/>
    <w:rsid w:val="224729B0"/>
    <w:rsid w:val="22505B24"/>
    <w:rsid w:val="22BB5539"/>
    <w:rsid w:val="234A47F2"/>
    <w:rsid w:val="235D6A58"/>
    <w:rsid w:val="23803241"/>
    <w:rsid w:val="23982E21"/>
    <w:rsid w:val="23AB04B2"/>
    <w:rsid w:val="23C02FD4"/>
    <w:rsid w:val="23DE121A"/>
    <w:rsid w:val="24200498"/>
    <w:rsid w:val="245A4713"/>
    <w:rsid w:val="24940BCA"/>
    <w:rsid w:val="24F2581D"/>
    <w:rsid w:val="2518651F"/>
    <w:rsid w:val="258B6AAC"/>
    <w:rsid w:val="259A2D7A"/>
    <w:rsid w:val="26187C1E"/>
    <w:rsid w:val="26C00049"/>
    <w:rsid w:val="26E457CE"/>
    <w:rsid w:val="26FE340F"/>
    <w:rsid w:val="27354ACF"/>
    <w:rsid w:val="27905339"/>
    <w:rsid w:val="27916FDD"/>
    <w:rsid w:val="281F0AC7"/>
    <w:rsid w:val="2892366D"/>
    <w:rsid w:val="289727A1"/>
    <w:rsid w:val="28CE1B9B"/>
    <w:rsid w:val="29066BE8"/>
    <w:rsid w:val="29A210A1"/>
    <w:rsid w:val="29BE3003"/>
    <w:rsid w:val="29DD29D0"/>
    <w:rsid w:val="2A2B5B6A"/>
    <w:rsid w:val="2AAA37E6"/>
    <w:rsid w:val="2ABE6031"/>
    <w:rsid w:val="2AF1018E"/>
    <w:rsid w:val="2AF26DD8"/>
    <w:rsid w:val="2B8D3617"/>
    <w:rsid w:val="2C1157E9"/>
    <w:rsid w:val="2C24118B"/>
    <w:rsid w:val="2C2D7202"/>
    <w:rsid w:val="2C500AAD"/>
    <w:rsid w:val="2C54793D"/>
    <w:rsid w:val="2D000CA8"/>
    <w:rsid w:val="2D050529"/>
    <w:rsid w:val="2D0D2C1A"/>
    <w:rsid w:val="2DCF59E8"/>
    <w:rsid w:val="2DEF5315"/>
    <w:rsid w:val="2E23507C"/>
    <w:rsid w:val="2E2F0828"/>
    <w:rsid w:val="2E4A4849"/>
    <w:rsid w:val="2E6661AD"/>
    <w:rsid w:val="2EAA071F"/>
    <w:rsid w:val="2EC54E16"/>
    <w:rsid w:val="2EDE55BA"/>
    <w:rsid w:val="2F10444A"/>
    <w:rsid w:val="2F265FBB"/>
    <w:rsid w:val="2F483106"/>
    <w:rsid w:val="2FD41D0D"/>
    <w:rsid w:val="308D2DA8"/>
    <w:rsid w:val="30C2578B"/>
    <w:rsid w:val="31142CE6"/>
    <w:rsid w:val="3122121B"/>
    <w:rsid w:val="313E1AAD"/>
    <w:rsid w:val="31433696"/>
    <w:rsid w:val="31C41FD6"/>
    <w:rsid w:val="31E96015"/>
    <w:rsid w:val="325E18FC"/>
    <w:rsid w:val="32911263"/>
    <w:rsid w:val="32974B95"/>
    <w:rsid w:val="32E011B4"/>
    <w:rsid w:val="3307724A"/>
    <w:rsid w:val="33102583"/>
    <w:rsid w:val="33390AEB"/>
    <w:rsid w:val="3339251E"/>
    <w:rsid w:val="33537145"/>
    <w:rsid w:val="33EF3380"/>
    <w:rsid w:val="3413676D"/>
    <w:rsid w:val="34257EBF"/>
    <w:rsid w:val="34742B13"/>
    <w:rsid w:val="34D17B81"/>
    <w:rsid w:val="34E922B3"/>
    <w:rsid w:val="369329F0"/>
    <w:rsid w:val="36B9088A"/>
    <w:rsid w:val="37F315FC"/>
    <w:rsid w:val="37FF6318"/>
    <w:rsid w:val="385D27A1"/>
    <w:rsid w:val="39147E2C"/>
    <w:rsid w:val="394E7C57"/>
    <w:rsid w:val="39CC7902"/>
    <w:rsid w:val="39D5496B"/>
    <w:rsid w:val="3A10239A"/>
    <w:rsid w:val="3A5844A3"/>
    <w:rsid w:val="3A904A84"/>
    <w:rsid w:val="3ABD23A2"/>
    <w:rsid w:val="3ACA5C33"/>
    <w:rsid w:val="3B1E5263"/>
    <w:rsid w:val="3B5476C3"/>
    <w:rsid w:val="3BE536A2"/>
    <w:rsid w:val="3C220504"/>
    <w:rsid w:val="3C934FCD"/>
    <w:rsid w:val="3CB453E5"/>
    <w:rsid w:val="3CD317D7"/>
    <w:rsid w:val="3CDE5D2C"/>
    <w:rsid w:val="3CE06AEF"/>
    <w:rsid w:val="3D170C9F"/>
    <w:rsid w:val="3D277B5F"/>
    <w:rsid w:val="3E1F5C47"/>
    <w:rsid w:val="3EFE7504"/>
    <w:rsid w:val="3F146121"/>
    <w:rsid w:val="3F597A24"/>
    <w:rsid w:val="3FB02A18"/>
    <w:rsid w:val="40526416"/>
    <w:rsid w:val="40A341D0"/>
    <w:rsid w:val="40A70376"/>
    <w:rsid w:val="40B2141A"/>
    <w:rsid w:val="40B52E5E"/>
    <w:rsid w:val="40D473EB"/>
    <w:rsid w:val="41356531"/>
    <w:rsid w:val="421C68AD"/>
    <w:rsid w:val="426B1E5C"/>
    <w:rsid w:val="42BF487C"/>
    <w:rsid w:val="42DC3B0A"/>
    <w:rsid w:val="42E34AB9"/>
    <w:rsid w:val="42F06A62"/>
    <w:rsid w:val="43095BC4"/>
    <w:rsid w:val="43633BF2"/>
    <w:rsid w:val="43705F34"/>
    <w:rsid w:val="43941B4E"/>
    <w:rsid w:val="43D7045D"/>
    <w:rsid w:val="446A0EA6"/>
    <w:rsid w:val="44A35410"/>
    <w:rsid w:val="44CF0544"/>
    <w:rsid w:val="44D84B7E"/>
    <w:rsid w:val="45411DC9"/>
    <w:rsid w:val="45D14504"/>
    <w:rsid w:val="467F6475"/>
    <w:rsid w:val="4701232C"/>
    <w:rsid w:val="47372825"/>
    <w:rsid w:val="477A30E9"/>
    <w:rsid w:val="47AF5FFF"/>
    <w:rsid w:val="482E3596"/>
    <w:rsid w:val="48443C07"/>
    <w:rsid w:val="484531AF"/>
    <w:rsid w:val="48624391"/>
    <w:rsid w:val="48752028"/>
    <w:rsid w:val="48F812D5"/>
    <w:rsid w:val="490D48F0"/>
    <w:rsid w:val="49225831"/>
    <w:rsid w:val="49B36B9B"/>
    <w:rsid w:val="49CD4F41"/>
    <w:rsid w:val="4A132F94"/>
    <w:rsid w:val="4A5C5E67"/>
    <w:rsid w:val="4A682E24"/>
    <w:rsid w:val="4A716FB8"/>
    <w:rsid w:val="4A733EBF"/>
    <w:rsid w:val="4AFF2CD3"/>
    <w:rsid w:val="4B066181"/>
    <w:rsid w:val="4B300B65"/>
    <w:rsid w:val="4B3624B2"/>
    <w:rsid w:val="4B906CF1"/>
    <w:rsid w:val="4C3C5736"/>
    <w:rsid w:val="4C723586"/>
    <w:rsid w:val="4C9059DF"/>
    <w:rsid w:val="4CBA5AC7"/>
    <w:rsid w:val="4D0305CD"/>
    <w:rsid w:val="4D0910AE"/>
    <w:rsid w:val="4D0C4AA2"/>
    <w:rsid w:val="4D5F196F"/>
    <w:rsid w:val="4D880981"/>
    <w:rsid w:val="4DDD0313"/>
    <w:rsid w:val="4E200ADA"/>
    <w:rsid w:val="4E3D0D47"/>
    <w:rsid w:val="4E7127A0"/>
    <w:rsid w:val="4ED931F5"/>
    <w:rsid w:val="4EED697C"/>
    <w:rsid w:val="4F505188"/>
    <w:rsid w:val="4F550795"/>
    <w:rsid w:val="4F6A611F"/>
    <w:rsid w:val="5015640E"/>
    <w:rsid w:val="50242B2A"/>
    <w:rsid w:val="505B52C2"/>
    <w:rsid w:val="50676CCB"/>
    <w:rsid w:val="508B55F0"/>
    <w:rsid w:val="509F53AC"/>
    <w:rsid w:val="50F65D6A"/>
    <w:rsid w:val="511F5887"/>
    <w:rsid w:val="51481A21"/>
    <w:rsid w:val="524F6BE9"/>
    <w:rsid w:val="52A91669"/>
    <w:rsid w:val="52AD3609"/>
    <w:rsid w:val="536E7FBC"/>
    <w:rsid w:val="53C81274"/>
    <w:rsid w:val="542C2452"/>
    <w:rsid w:val="54732B51"/>
    <w:rsid w:val="547F485C"/>
    <w:rsid w:val="54DB3546"/>
    <w:rsid w:val="54F751D1"/>
    <w:rsid w:val="55247B01"/>
    <w:rsid w:val="554F5192"/>
    <w:rsid w:val="56345226"/>
    <w:rsid w:val="56630A96"/>
    <w:rsid w:val="56647018"/>
    <w:rsid w:val="56AB0700"/>
    <w:rsid w:val="56AB76A9"/>
    <w:rsid w:val="56F05EDC"/>
    <w:rsid w:val="571704DB"/>
    <w:rsid w:val="57403D6A"/>
    <w:rsid w:val="576E076E"/>
    <w:rsid w:val="57A75D29"/>
    <w:rsid w:val="57C03A6F"/>
    <w:rsid w:val="57C967AF"/>
    <w:rsid w:val="585C6615"/>
    <w:rsid w:val="58751797"/>
    <w:rsid w:val="58770380"/>
    <w:rsid w:val="588860D6"/>
    <w:rsid w:val="58AD4397"/>
    <w:rsid w:val="58C92E46"/>
    <w:rsid w:val="590864F2"/>
    <w:rsid w:val="597424BD"/>
    <w:rsid w:val="59B86EBB"/>
    <w:rsid w:val="5A213EB9"/>
    <w:rsid w:val="5A223E20"/>
    <w:rsid w:val="5A463E79"/>
    <w:rsid w:val="5AAC180C"/>
    <w:rsid w:val="5AEF765E"/>
    <w:rsid w:val="5B296546"/>
    <w:rsid w:val="5B4C58BE"/>
    <w:rsid w:val="5B5B1B49"/>
    <w:rsid w:val="5B635129"/>
    <w:rsid w:val="5B657B08"/>
    <w:rsid w:val="5B9D3619"/>
    <w:rsid w:val="5BB51C73"/>
    <w:rsid w:val="5BD81559"/>
    <w:rsid w:val="5BEC2377"/>
    <w:rsid w:val="5BF15111"/>
    <w:rsid w:val="5C336FBD"/>
    <w:rsid w:val="5C3E7CCF"/>
    <w:rsid w:val="5CA22ACB"/>
    <w:rsid w:val="5D48686E"/>
    <w:rsid w:val="5D620C25"/>
    <w:rsid w:val="5DE15AB3"/>
    <w:rsid w:val="5E2B73F4"/>
    <w:rsid w:val="5EA01762"/>
    <w:rsid w:val="5EBE4B16"/>
    <w:rsid w:val="5ED1720A"/>
    <w:rsid w:val="5F297EB3"/>
    <w:rsid w:val="5F311879"/>
    <w:rsid w:val="5F4458E8"/>
    <w:rsid w:val="5F8F79AB"/>
    <w:rsid w:val="5FCF6800"/>
    <w:rsid w:val="5FDF1117"/>
    <w:rsid w:val="60310DA5"/>
    <w:rsid w:val="60822BA8"/>
    <w:rsid w:val="60A27F48"/>
    <w:rsid w:val="60D16C06"/>
    <w:rsid w:val="60FD4DF8"/>
    <w:rsid w:val="61813050"/>
    <w:rsid w:val="61D106A0"/>
    <w:rsid w:val="61E72EE6"/>
    <w:rsid w:val="6258732E"/>
    <w:rsid w:val="626D108A"/>
    <w:rsid w:val="62A9444B"/>
    <w:rsid w:val="640E4B5B"/>
    <w:rsid w:val="6415438F"/>
    <w:rsid w:val="64A07BDF"/>
    <w:rsid w:val="64CF5B96"/>
    <w:rsid w:val="64FE35A9"/>
    <w:rsid w:val="650C78B8"/>
    <w:rsid w:val="652910FA"/>
    <w:rsid w:val="655A496A"/>
    <w:rsid w:val="65670C18"/>
    <w:rsid w:val="657075F3"/>
    <w:rsid w:val="659E0AD9"/>
    <w:rsid w:val="65C64CCE"/>
    <w:rsid w:val="65CC53AF"/>
    <w:rsid w:val="65EE1DB3"/>
    <w:rsid w:val="66284215"/>
    <w:rsid w:val="665069EF"/>
    <w:rsid w:val="66BA6D03"/>
    <w:rsid w:val="67101D3E"/>
    <w:rsid w:val="673004AE"/>
    <w:rsid w:val="67C07258"/>
    <w:rsid w:val="67D823D2"/>
    <w:rsid w:val="68564C46"/>
    <w:rsid w:val="68725D70"/>
    <w:rsid w:val="68B421BE"/>
    <w:rsid w:val="68B74D39"/>
    <w:rsid w:val="68EB23B5"/>
    <w:rsid w:val="68EC7556"/>
    <w:rsid w:val="68F85E8B"/>
    <w:rsid w:val="692E67E3"/>
    <w:rsid w:val="69387BE1"/>
    <w:rsid w:val="69864F3A"/>
    <w:rsid w:val="69911E73"/>
    <w:rsid w:val="69E44ABF"/>
    <w:rsid w:val="6A2B6865"/>
    <w:rsid w:val="6A6E624E"/>
    <w:rsid w:val="6AEF29BC"/>
    <w:rsid w:val="6BC263B6"/>
    <w:rsid w:val="6BFA3897"/>
    <w:rsid w:val="6C2D5EAC"/>
    <w:rsid w:val="6C5A6132"/>
    <w:rsid w:val="6C7D684B"/>
    <w:rsid w:val="6D0C381D"/>
    <w:rsid w:val="6D543FC1"/>
    <w:rsid w:val="6DA110B9"/>
    <w:rsid w:val="6DD155CA"/>
    <w:rsid w:val="6DEE36C4"/>
    <w:rsid w:val="6E162A7A"/>
    <w:rsid w:val="6E615DEB"/>
    <w:rsid w:val="6E6D4094"/>
    <w:rsid w:val="6E6D744C"/>
    <w:rsid w:val="6E882EA9"/>
    <w:rsid w:val="6ECC0603"/>
    <w:rsid w:val="6F8E4DAD"/>
    <w:rsid w:val="6F9E12BC"/>
    <w:rsid w:val="6FA239B2"/>
    <w:rsid w:val="6FC15836"/>
    <w:rsid w:val="7036696A"/>
    <w:rsid w:val="70871906"/>
    <w:rsid w:val="70D56584"/>
    <w:rsid w:val="70FA34A2"/>
    <w:rsid w:val="71492769"/>
    <w:rsid w:val="717A680E"/>
    <w:rsid w:val="71A132B0"/>
    <w:rsid w:val="71A377C5"/>
    <w:rsid w:val="71B15A3E"/>
    <w:rsid w:val="71F64E04"/>
    <w:rsid w:val="722F3785"/>
    <w:rsid w:val="7235717A"/>
    <w:rsid w:val="72DE7042"/>
    <w:rsid w:val="72F563D4"/>
    <w:rsid w:val="73381F5F"/>
    <w:rsid w:val="735362BD"/>
    <w:rsid w:val="73B86C18"/>
    <w:rsid w:val="73F15487"/>
    <w:rsid w:val="73F24FBF"/>
    <w:rsid w:val="73FE17BB"/>
    <w:rsid w:val="7415278E"/>
    <w:rsid w:val="74594639"/>
    <w:rsid w:val="74817523"/>
    <w:rsid w:val="74E8034F"/>
    <w:rsid w:val="751D2D90"/>
    <w:rsid w:val="75616158"/>
    <w:rsid w:val="757110A2"/>
    <w:rsid w:val="75B24033"/>
    <w:rsid w:val="760F636A"/>
    <w:rsid w:val="76732F31"/>
    <w:rsid w:val="769239F4"/>
    <w:rsid w:val="76F40C50"/>
    <w:rsid w:val="772F3DDE"/>
    <w:rsid w:val="77473A93"/>
    <w:rsid w:val="77687F01"/>
    <w:rsid w:val="77AF2294"/>
    <w:rsid w:val="78341885"/>
    <w:rsid w:val="78824F37"/>
    <w:rsid w:val="7A837C4E"/>
    <w:rsid w:val="7ADA788F"/>
    <w:rsid w:val="7AEC5949"/>
    <w:rsid w:val="7AEF5DE3"/>
    <w:rsid w:val="7AFC2E2C"/>
    <w:rsid w:val="7B13139E"/>
    <w:rsid w:val="7B1358A6"/>
    <w:rsid w:val="7B2046B3"/>
    <w:rsid w:val="7B460DB5"/>
    <w:rsid w:val="7BAA3520"/>
    <w:rsid w:val="7BBF75E8"/>
    <w:rsid w:val="7C08042D"/>
    <w:rsid w:val="7C103BDA"/>
    <w:rsid w:val="7C4D2476"/>
    <w:rsid w:val="7C5F3FD0"/>
    <w:rsid w:val="7C927811"/>
    <w:rsid w:val="7CA838D5"/>
    <w:rsid w:val="7D291CB7"/>
    <w:rsid w:val="7D4744D0"/>
    <w:rsid w:val="7D553ECD"/>
    <w:rsid w:val="7D580935"/>
    <w:rsid w:val="7D6879AA"/>
    <w:rsid w:val="7D911957"/>
    <w:rsid w:val="7E3874A7"/>
    <w:rsid w:val="7E63330A"/>
    <w:rsid w:val="7E797839"/>
    <w:rsid w:val="7E8337CD"/>
    <w:rsid w:val="7EEB08EF"/>
    <w:rsid w:val="7EF33F33"/>
    <w:rsid w:val="7EF343DB"/>
    <w:rsid w:val="7EFB74FA"/>
    <w:rsid w:val="7F315FDE"/>
    <w:rsid w:val="7F426F14"/>
    <w:rsid w:val="7F6D136C"/>
    <w:rsid w:val="7FFB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0" w:name="HTML Preformatted"/>
    <w:lsdException w:qFormat="1" w:uiPriority="99" w:semiHidden="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lang w:val="en-US" w:eastAsia="zh-CN" w:bidi="ar-SA"/>
    </w:rPr>
  </w:style>
  <w:style w:type="paragraph" w:styleId="5">
    <w:name w:val="heading 1"/>
    <w:basedOn w:val="1"/>
    <w:next w:val="1"/>
    <w:link w:val="72"/>
    <w:qFormat/>
    <w:uiPriority w:val="0"/>
    <w:pPr>
      <w:keepNext/>
      <w:keepLines/>
      <w:widowControl w:val="0"/>
      <w:tabs>
        <w:tab w:val="left" w:pos="840"/>
      </w:tabs>
      <w:adjustRightInd w:val="0"/>
      <w:snapToGrid w:val="0"/>
      <w:spacing w:line="360" w:lineRule="auto"/>
      <w:jc w:val="both"/>
      <w:outlineLvl w:val="0"/>
    </w:pPr>
    <w:rPr>
      <w:rFonts w:ascii="宋体" w:hAnsi="Times New Roman"/>
      <w:b/>
      <w:kern w:val="44"/>
      <w:sz w:val="24"/>
    </w:rPr>
  </w:style>
  <w:style w:type="paragraph" w:styleId="6">
    <w:name w:val="heading 2"/>
    <w:basedOn w:val="1"/>
    <w:next w:val="1"/>
    <w:link w:val="82"/>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83"/>
    <w:qFormat/>
    <w:uiPriority w:val="0"/>
    <w:pPr>
      <w:keepNext/>
      <w:keepLines/>
      <w:spacing w:before="260" w:after="260" w:line="416" w:lineRule="auto"/>
      <w:outlineLvl w:val="2"/>
    </w:pPr>
    <w:rPr>
      <w:rFonts w:ascii="Times New Roman" w:hAnsi="Times New Roman"/>
      <w:b/>
      <w:bCs/>
      <w:sz w:val="32"/>
      <w:szCs w:val="32"/>
    </w:rPr>
  </w:style>
  <w:style w:type="paragraph" w:styleId="8">
    <w:name w:val="heading 4"/>
    <w:basedOn w:val="1"/>
    <w:next w:val="1"/>
    <w:link w:val="75"/>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9">
    <w:name w:val="heading 5"/>
    <w:basedOn w:val="1"/>
    <w:next w:val="1"/>
    <w:link w:val="85"/>
    <w:qFormat/>
    <w:uiPriority w:val="0"/>
    <w:pPr>
      <w:keepNext/>
      <w:autoSpaceDE w:val="0"/>
      <w:autoSpaceDN w:val="0"/>
      <w:adjustRightInd w:val="0"/>
      <w:snapToGrid w:val="0"/>
      <w:spacing w:before="280" w:after="290" w:line="376" w:lineRule="auto"/>
      <w:outlineLvl w:val="4"/>
    </w:pPr>
    <w:rPr>
      <w:rFonts w:ascii="宋体"/>
      <w:b/>
      <w:color w:val="000000"/>
      <w:sz w:val="28"/>
    </w:rPr>
  </w:style>
  <w:style w:type="paragraph" w:styleId="10">
    <w:name w:val="heading 6"/>
    <w:basedOn w:val="1"/>
    <w:next w:val="1"/>
    <w:link w:val="76"/>
    <w:qFormat/>
    <w:uiPriority w:val="0"/>
    <w:pPr>
      <w:keepNext/>
      <w:widowControl w:val="0"/>
      <w:autoSpaceDE w:val="0"/>
      <w:autoSpaceDN w:val="0"/>
      <w:adjustRightInd w:val="0"/>
      <w:snapToGrid w:val="0"/>
      <w:spacing w:before="240" w:after="64" w:line="320" w:lineRule="auto"/>
      <w:jc w:val="both"/>
      <w:outlineLvl w:val="5"/>
    </w:pPr>
    <w:rPr>
      <w:rFonts w:ascii="Arial" w:hAnsi="Arial" w:eastAsia="黑体"/>
      <w:b/>
      <w:color w:val="000000"/>
      <w:sz w:val="24"/>
    </w:rPr>
  </w:style>
  <w:style w:type="paragraph" w:styleId="11">
    <w:name w:val="heading 7"/>
    <w:basedOn w:val="1"/>
    <w:next w:val="12"/>
    <w:link w:val="77"/>
    <w:qFormat/>
    <w:uiPriority w:val="0"/>
    <w:pPr>
      <w:keepNext/>
      <w:widowControl w:val="0"/>
      <w:autoSpaceDE w:val="0"/>
      <w:autoSpaceDN w:val="0"/>
      <w:adjustRightInd w:val="0"/>
      <w:snapToGrid w:val="0"/>
      <w:spacing w:before="240" w:after="64" w:line="320" w:lineRule="auto"/>
      <w:jc w:val="both"/>
      <w:outlineLvl w:val="6"/>
    </w:pPr>
    <w:rPr>
      <w:rFonts w:ascii="宋体" w:hAnsi="Times New Roman"/>
      <w:b/>
      <w:color w:val="000000"/>
      <w:sz w:val="24"/>
    </w:rPr>
  </w:style>
  <w:style w:type="paragraph" w:styleId="13">
    <w:name w:val="heading 8"/>
    <w:basedOn w:val="1"/>
    <w:next w:val="12"/>
    <w:link w:val="78"/>
    <w:qFormat/>
    <w:uiPriority w:val="0"/>
    <w:pPr>
      <w:keepNext/>
      <w:widowControl w:val="0"/>
      <w:autoSpaceDE w:val="0"/>
      <w:autoSpaceDN w:val="0"/>
      <w:adjustRightInd w:val="0"/>
      <w:snapToGrid w:val="0"/>
      <w:spacing w:before="240" w:after="64" w:line="320" w:lineRule="auto"/>
      <w:jc w:val="both"/>
      <w:outlineLvl w:val="7"/>
    </w:pPr>
    <w:rPr>
      <w:rFonts w:ascii="Arial" w:hAnsi="Arial" w:eastAsia="黑体"/>
      <w:color w:val="000000"/>
      <w:sz w:val="24"/>
    </w:rPr>
  </w:style>
  <w:style w:type="paragraph" w:styleId="14">
    <w:name w:val="heading 9"/>
    <w:basedOn w:val="1"/>
    <w:next w:val="12"/>
    <w:link w:val="79"/>
    <w:qFormat/>
    <w:uiPriority w:val="0"/>
    <w:pPr>
      <w:keepNext/>
      <w:widowControl w:val="0"/>
      <w:autoSpaceDE w:val="0"/>
      <w:autoSpaceDN w:val="0"/>
      <w:adjustRightInd w:val="0"/>
      <w:snapToGrid w:val="0"/>
      <w:spacing w:before="240" w:after="64" w:line="320" w:lineRule="auto"/>
      <w:jc w:val="both"/>
      <w:outlineLvl w:val="8"/>
    </w:pPr>
    <w:rPr>
      <w:rFonts w:ascii="Arial" w:hAnsi="Arial" w:eastAsia="黑体"/>
      <w:color w:val="00000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81"/>
    <w:qFormat/>
    <w:uiPriority w:val="99"/>
    <w:pPr>
      <w:ind w:firstLine="420" w:firstLineChars="100"/>
    </w:pPr>
  </w:style>
  <w:style w:type="paragraph" w:styleId="3">
    <w:name w:val="Body Text"/>
    <w:basedOn w:val="1"/>
    <w:next w:val="2"/>
    <w:link w:val="80"/>
    <w:qFormat/>
    <w:uiPriority w:val="99"/>
    <w:pPr>
      <w:widowControl w:val="0"/>
      <w:spacing w:line="360" w:lineRule="auto"/>
      <w:jc w:val="both"/>
    </w:pPr>
    <w:rPr>
      <w:rFonts w:ascii="楷体_GB2312" w:hAnsi="Times New Roman" w:eastAsia="楷体_GB2312"/>
      <w:kern w:val="2"/>
      <w:sz w:val="32"/>
    </w:rPr>
  </w:style>
  <w:style w:type="paragraph" w:styleId="4">
    <w:name w:val="toc 6"/>
    <w:next w:val="1"/>
    <w:qFormat/>
    <w:uiPriority w:val="0"/>
    <w:pPr>
      <w:widowControl w:val="0"/>
      <w:autoSpaceDE w:val="0"/>
      <w:autoSpaceDN w:val="0"/>
      <w:adjustRightInd w:val="0"/>
      <w:ind w:left="2100" w:leftChars="1000"/>
      <w:jc w:val="left"/>
    </w:pPr>
    <w:rPr>
      <w:rFonts w:ascii="Calibri" w:hAnsi="Calibri" w:eastAsia="宋体" w:cs="Times New Roman"/>
      <w:kern w:val="2"/>
      <w:sz w:val="20"/>
      <w:szCs w:val="22"/>
      <w:lang w:val="en-US" w:eastAsia="zh-CN" w:bidi="ar-SA"/>
    </w:rPr>
  </w:style>
  <w:style w:type="paragraph" w:styleId="12">
    <w:name w:val="Normal Indent"/>
    <w:basedOn w:val="1"/>
    <w:link w:val="71"/>
    <w:qFormat/>
    <w:uiPriority w:val="99"/>
    <w:pPr>
      <w:ind w:firstLine="420"/>
    </w:pPr>
    <w:rPr>
      <w:rFonts w:ascii="Times New Roman" w:hAnsi="Times New Roman"/>
    </w:rPr>
  </w:style>
  <w:style w:type="paragraph" w:styleId="15">
    <w:name w:val="Document Map"/>
    <w:basedOn w:val="1"/>
    <w:link w:val="70"/>
    <w:qFormat/>
    <w:uiPriority w:val="0"/>
    <w:rPr>
      <w:rFonts w:ascii="宋体"/>
      <w:sz w:val="18"/>
      <w:szCs w:val="18"/>
    </w:rPr>
  </w:style>
  <w:style w:type="paragraph" w:styleId="16">
    <w:name w:val="annotation text"/>
    <w:basedOn w:val="1"/>
    <w:link w:val="101"/>
    <w:qFormat/>
    <w:uiPriority w:val="0"/>
    <w:rPr>
      <w:rFonts w:ascii="Times New Roman" w:hAnsi="Times New Roman"/>
    </w:rPr>
  </w:style>
  <w:style w:type="paragraph" w:styleId="17">
    <w:name w:val="Body Text Indent"/>
    <w:basedOn w:val="1"/>
    <w:link w:val="86"/>
    <w:qFormat/>
    <w:uiPriority w:val="0"/>
    <w:pPr>
      <w:spacing w:after="120"/>
      <w:ind w:left="420" w:leftChars="200"/>
    </w:pPr>
  </w:style>
  <w:style w:type="paragraph" w:styleId="18">
    <w:name w:val="List Number 3"/>
    <w:basedOn w:val="1"/>
    <w:semiHidden/>
    <w:unhideWhenUsed/>
    <w:qFormat/>
    <w:uiPriority w:val="0"/>
    <w:pPr>
      <w:numPr>
        <w:ilvl w:val="0"/>
        <w:numId w:val="1"/>
      </w:numPr>
    </w:pPr>
  </w:style>
  <w:style w:type="paragraph" w:styleId="19">
    <w:name w:val="Block Text"/>
    <w:basedOn w:val="1"/>
    <w:qFormat/>
    <w:uiPriority w:val="99"/>
    <w:pPr>
      <w:adjustRightInd w:val="0"/>
      <w:spacing w:line="300" w:lineRule="auto"/>
      <w:ind w:left="958" w:right="-120" w:rightChars="-120"/>
    </w:pPr>
    <w:rPr>
      <w:rFonts w:ascii="宋体" w:hAnsi="宋体"/>
      <w:sz w:val="28"/>
    </w:rPr>
  </w:style>
  <w:style w:type="paragraph" w:styleId="20">
    <w:name w:val="toc 3"/>
    <w:basedOn w:val="1"/>
    <w:next w:val="1"/>
    <w:qFormat/>
    <w:uiPriority w:val="39"/>
    <w:pPr>
      <w:ind w:left="840" w:leftChars="400"/>
    </w:pPr>
  </w:style>
  <w:style w:type="paragraph" w:styleId="21">
    <w:name w:val="Plain Text"/>
    <w:basedOn w:val="1"/>
    <w:next w:val="1"/>
    <w:link w:val="73"/>
    <w:qFormat/>
    <w:uiPriority w:val="0"/>
    <w:pPr>
      <w:widowControl w:val="0"/>
      <w:jc w:val="both"/>
    </w:pPr>
    <w:rPr>
      <w:rFonts w:ascii="宋体" w:hAnsi="Courier New"/>
      <w:kern w:val="2"/>
    </w:rPr>
  </w:style>
  <w:style w:type="paragraph" w:styleId="22">
    <w:name w:val="Date"/>
    <w:basedOn w:val="1"/>
    <w:next w:val="1"/>
    <w:link w:val="105"/>
    <w:qFormat/>
    <w:uiPriority w:val="0"/>
    <w:pPr>
      <w:widowControl w:val="0"/>
      <w:jc w:val="both"/>
    </w:pPr>
    <w:rPr>
      <w:rFonts w:ascii="宋体" w:hAnsi="Times New Roman"/>
      <w:sz w:val="24"/>
    </w:rPr>
  </w:style>
  <w:style w:type="paragraph" w:styleId="23">
    <w:name w:val="Body Text Indent 2"/>
    <w:basedOn w:val="1"/>
    <w:link w:val="108"/>
    <w:qFormat/>
    <w:uiPriority w:val="0"/>
    <w:pPr>
      <w:spacing w:line="360" w:lineRule="auto"/>
      <w:ind w:left="784"/>
    </w:pPr>
    <w:rPr>
      <w:rFonts w:ascii="Times New Roman" w:hAnsi="Times New Roman"/>
    </w:rPr>
  </w:style>
  <w:style w:type="paragraph" w:styleId="24">
    <w:name w:val="Balloon Text"/>
    <w:basedOn w:val="1"/>
    <w:link w:val="69"/>
    <w:qFormat/>
    <w:uiPriority w:val="0"/>
    <w:rPr>
      <w:sz w:val="18"/>
      <w:szCs w:val="18"/>
    </w:rPr>
  </w:style>
  <w:style w:type="paragraph" w:styleId="25">
    <w:name w:val="footer"/>
    <w:basedOn w:val="1"/>
    <w:link w:val="94"/>
    <w:qFormat/>
    <w:uiPriority w:val="99"/>
    <w:pPr>
      <w:tabs>
        <w:tab w:val="center" w:pos="4153"/>
        <w:tab w:val="right" w:pos="8306"/>
      </w:tabs>
      <w:snapToGrid w:val="0"/>
    </w:pPr>
    <w:rPr>
      <w:rFonts w:ascii="Times New Roman" w:hAnsi="Times New Roman"/>
      <w:sz w:val="18"/>
    </w:rPr>
  </w:style>
  <w:style w:type="paragraph" w:styleId="26">
    <w:name w:val="header"/>
    <w:basedOn w:val="1"/>
    <w:link w:val="9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7">
    <w:name w:val="toc 1"/>
    <w:basedOn w:val="1"/>
    <w:next w:val="1"/>
    <w:qFormat/>
    <w:uiPriority w:val="39"/>
    <w:pPr>
      <w:tabs>
        <w:tab w:val="right" w:leader="middleDot" w:pos="8948"/>
      </w:tabs>
    </w:pPr>
    <w:rPr>
      <w:rFonts w:ascii="宋体" w:hAnsi="宋体"/>
      <w:b/>
      <w:bCs/>
      <w:caps/>
      <w:szCs w:val="21"/>
    </w:rPr>
  </w:style>
  <w:style w:type="paragraph" w:styleId="28">
    <w:name w:val="List"/>
    <w:basedOn w:val="1"/>
    <w:qFormat/>
    <w:uiPriority w:val="0"/>
    <w:pPr>
      <w:widowControl w:val="0"/>
      <w:ind w:left="200" w:hanging="200" w:hangingChars="200"/>
      <w:jc w:val="both"/>
    </w:pPr>
    <w:rPr>
      <w:kern w:val="2"/>
      <w:sz w:val="28"/>
      <w:szCs w:val="24"/>
    </w:rPr>
  </w:style>
  <w:style w:type="paragraph" w:styleId="29">
    <w:name w:val="footnote text"/>
    <w:basedOn w:val="1"/>
    <w:link w:val="184"/>
    <w:unhideWhenUsed/>
    <w:qFormat/>
    <w:uiPriority w:val="99"/>
    <w:pPr>
      <w:widowControl w:val="0"/>
      <w:snapToGrid w:val="0"/>
    </w:pPr>
    <w:rPr>
      <w:rFonts w:ascii="Times New Roman" w:hAnsi="Times New Roman"/>
      <w:kern w:val="2"/>
      <w:sz w:val="18"/>
      <w:szCs w:val="18"/>
    </w:rPr>
  </w:style>
  <w:style w:type="paragraph" w:styleId="30">
    <w:name w:val="Body Text Indent 3"/>
    <w:basedOn w:val="1"/>
    <w:link w:val="91"/>
    <w:qFormat/>
    <w:uiPriority w:val="0"/>
    <w:pPr>
      <w:spacing w:after="120"/>
      <w:ind w:left="420" w:leftChars="200"/>
    </w:pPr>
    <w:rPr>
      <w:rFonts w:ascii="Times New Roman" w:hAnsi="Times New Roman"/>
      <w:sz w:val="16"/>
      <w:szCs w:val="16"/>
    </w:rPr>
  </w:style>
  <w:style w:type="paragraph" w:styleId="31">
    <w:name w:val="table of figures"/>
    <w:basedOn w:val="1"/>
    <w:next w:val="1"/>
    <w:qFormat/>
    <w:uiPriority w:val="0"/>
    <w:pPr>
      <w:widowControl w:val="0"/>
      <w:ind w:left="840" w:leftChars="200" w:hanging="420" w:hangingChars="200"/>
      <w:jc w:val="both"/>
    </w:pPr>
    <w:rPr>
      <w:kern w:val="2"/>
      <w:szCs w:val="22"/>
    </w:rPr>
  </w:style>
  <w:style w:type="paragraph" w:styleId="32">
    <w:name w:val="toc 2"/>
    <w:basedOn w:val="1"/>
    <w:next w:val="1"/>
    <w:qFormat/>
    <w:uiPriority w:val="39"/>
    <w:pPr>
      <w:tabs>
        <w:tab w:val="right" w:leader="middleDot" w:pos="8948"/>
      </w:tabs>
      <w:spacing w:before="60" w:after="60"/>
      <w:ind w:left="210"/>
    </w:pPr>
    <w:rPr>
      <w:smallCaps/>
    </w:rPr>
  </w:style>
  <w:style w:type="paragraph" w:styleId="33">
    <w:name w:val="Body Text 2"/>
    <w:basedOn w:val="1"/>
    <w:link w:val="115"/>
    <w:qFormat/>
    <w:uiPriority w:val="0"/>
    <w:pPr>
      <w:widowControl w:val="0"/>
      <w:jc w:val="center"/>
    </w:pPr>
    <w:rPr>
      <w:rFonts w:ascii="宋体" w:hAnsi="宋体"/>
      <w:kern w:val="2"/>
      <w:sz w:val="44"/>
      <w:szCs w:val="24"/>
    </w:rPr>
  </w:style>
  <w:style w:type="paragraph" w:styleId="34">
    <w:name w:val="Normal (Web)"/>
    <w:basedOn w:val="1"/>
    <w:link w:val="124"/>
    <w:unhideWhenUsed/>
    <w:qFormat/>
    <w:uiPriority w:val="99"/>
    <w:pPr>
      <w:spacing w:before="100" w:beforeAutospacing="1" w:after="100" w:afterAutospacing="1"/>
    </w:pPr>
    <w:rPr>
      <w:rFonts w:ascii="宋体" w:hAnsi="宋体" w:cs="宋体"/>
      <w:sz w:val="24"/>
      <w:szCs w:val="24"/>
    </w:rPr>
  </w:style>
  <w:style w:type="paragraph" w:styleId="35">
    <w:name w:val="Title"/>
    <w:basedOn w:val="1"/>
    <w:next w:val="1"/>
    <w:link w:val="132"/>
    <w:qFormat/>
    <w:uiPriority w:val="0"/>
    <w:pPr>
      <w:widowControl w:val="0"/>
      <w:spacing w:before="240" w:after="60" w:line="400" w:lineRule="exact"/>
      <w:ind w:firstLine="200" w:firstLineChars="200"/>
      <w:jc w:val="center"/>
      <w:outlineLvl w:val="0"/>
    </w:pPr>
    <w:rPr>
      <w:rFonts w:ascii="Cambria" w:hAnsi="Cambria"/>
      <w:b/>
      <w:bCs/>
      <w:kern w:val="2"/>
      <w:sz w:val="32"/>
      <w:szCs w:val="32"/>
    </w:rPr>
  </w:style>
  <w:style w:type="paragraph" w:styleId="36">
    <w:name w:val="annotation subject"/>
    <w:basedOn w:val="16"/>
    <w:next w:val="16"/>
    <w:link w:val="102"/>
    <w:qFormat/>
    <w:uiPriority w:val="0"/>
    <w:rPr>
      <w:b/>
      <w:bCs/>
    </w:rPr>
  </w:style>
  <w:style w:type="paragraph" w:styleId="37">
    <w:name w:val="Body Text First Indent 2"/>
    <w:basedOn w:val="17"/>
    <w:link w:val="109"/>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rFonts w:ascii="Calibri" w:hAnsi="Calibri" w:eastAsia="宋体" w:cs="Times New Roman"/>
      <w:b/>
      <w:bCs/>
    </w:rPr>
  </w:style>
  <w:style w:type="character" w:styleId="42">
    <w:name w:val="page number"/>
    <w:basedOn w:val="40"/>
    <w:qFormat/>
    <w:uiPriority w:val="0"/>
  </w:style>
  <w:style w:type="character" w:styleId="43">
    <w:name w:val="FollowedHyperlink"/>
    <w:qFormat/>
    <w:uiPriority w:val="99"/>
    <w:rPr>
      <w:rFonts w:ascii="Calibri" w:hAnsi="Calibri" w:eastAsia="宋体" w:cs="Times New Roman"/>
      <w:color w:val="800080"/>
      <w:u w:val="single"/>
    </w:rPr>
  </w:style>
  <w:style w:type="character" w:styleId="44">
    <w:name w:val="Emphasis"/>
    <w:qFormat/>
    <w:uiPriority w:val="20"/>
    <w:rPr>
      <w:rFonts w:ascii="Calibri" w:hAnsi="Calibri" w:eastAsia="宋体" w:cs="Times New Roman"/>
    </w:rPr>
  </w:style>
  <w:style w:type="character" w:styleId="45">
    <w:name w:val="line number"/>
    <w:qFormat/>
    <w:uiPriority w:val="0"/>
    <w:rPr>
      <w:rFonts w:ascii="Calibri" w:hAnsi="Calibri" w:eastAsia="宋体" w:cs="Times New Roman"/>
    </w:rPr>
  </w:style>
  <w:style w:type="character" w:styleId="46">
    <w:name w:val="HTML Definition"/>
    <w:unhideWhenUsed/>
    <w:qFormat/>
    <w:uiPriority w:val="99"/>
    <w:rPr>
      <w:rFonts w:ascii="Calibri" w:hAnsi="Calibri" w:eastAsia="宋体" w:cs="Times New Roman"/>
    </w:rPr>
  </w:style>
  <w:style w:type="character" w:styleId="47">
    <w:name w:val="HTML Variable"/>
    <w:unhideWhenUsed/>
    <w:qFormat/>
    <w:uiPriority w:val="99"/>
    <w:rPr>
      <w:rFonts w:ascii="Calibri" w:hAnsi="Calibri" w:eastAsia="宋体" w:cs="Times New Roman"/>
    </w:rPr>
  </w:style>
  <w:style w:type="character" w:styleId="48">
    <w:name w:val="Hyperlink"/>
    <w:basedOn w:val="40"/>
    <w:qFormat/>
    <w:uiPriority w:val="99"/>
    <w:rPr>
      <w:rFonts w:ascii="Calibri" w:hAnsi="Calibri" w:eastAsia="宋体" w:cs="Times New Roman"/>
      <w:color w:val="0563C1"/>
      <w:u w:val="single"/>
    </w:rPr>
  </w:style>
  <w:style w:type="character" w:styleId="49">
    <w:name w:val="HTML Code"/>
    <w:unhideWhenUsed/>
    <w:qFormat/>
    <w:uiPriority w:val="99"/>
    <w:rPr>
      <w:rFonts w:hint="eastAsia" w:ascii="Arial" w:hAnsi="Arial" w:eastAsia="宋体" w:cs="Arial"/>
      <w:sz w:val="20"/>
    </w:rPr>
  </w:style>
  <w:style w:type="character" w:styleId="50">
    <w:name w:val="annotation reference"/>
    <w:qFormat/>
    <w:uiPriority w:val="0"/>
    <w:rPr>
      <w:rFonts w:ascii="Calibri" w:hAnsi="Calibri" w:eastAsia="宋体" w:cs="Times New Roman"/>
      <w:sz w:val="21"/>
      <w:szCs w:val="21"/>
    </w:rPr>
  </w:style>
  <w:style w:type="character" w:styleId="51">
    <w:name w:val="HTML Cite"/>
    <w:unhideWhenUsed/>
    <w:qFormat/>
    <w:uiPriority w:val="99"/>
    <w:rPr>
      <w:rFonts w:ascii="Calibri" w:hAnsi="Calibri" w:eastAsia="宋体" w:cs="Times New Roman"/>
    </w:rPr>
  </w:style>
  <w:style w:type="character" w:styleId="52">
    <w:name w:val="footnote reference"/>
    <w:basedOn w:val="40"/>
    <w:unhideWhenUsed/>
    <w:qFormat/>
    <w:uiPriority w:val="99"/>
    <w:rPr>
      <w:szCs w:val="20"/>
      <w:vertAlign w:val="superscript"/>
    </w:rPr>
  </w:style>
  <w:style w:type="character" w:styleId="53">
    <w:name w:val="HTML Keyboard"/>
    <w:unhideWhenUsed/>
    <w:qFormat/>
    <w:uiPriority w:val="99"/>
    <w:rPr>
      <w:rFonts w:hint="default" w:ascii="Arial" w:hAnsi="Arial" w:eastAsia="宋体" w:cs="Arial"/>
      <w:sz w:val="20"/>
    </w:rPr>
  </w:style>
  <w:style w:type="character" w:styleId="54">
    <w:name w:val="HTML Sample"/>
    <w:unhideWhenUsed/>
    <w:qFormat/>
    <w:uiPriority w:val="99"/>
    <w:rPr>
      <w:rFonts w:hint="default" w:ascii="Arial" w:hAnsi="Arial" w:eastAsia="宋体" w:cs="Arial"/>
    </w:rPr>
  </w:style>
  <w:style w:type="paragraph" w:customStyle="1" w:styleId="55">
    <w:name w:val="表格文字"/>
    <w:basedOn w:val="21"/>
    <w:next w:val="3"/>
    <w:qFormat/>
    <w:uiPriority w:val="0"/>
    <w:pPr>
      <w:jc w:val="left"/>
    </w:pPr>
    <w:rPr>
      <w:kern w:val="21"/>
      <w:szCs w:val="21"/>
    </w:rPr>
  </w:style>
  <w:style w:type="paragraph" w:customStyle="1" w:styleId="56">
    <w:name w:val="正文文本首行缩进1"/>
    <w:basedOn w:val="3"/>
    <w:qFormat/>
    <w:uiPriority w:val="0"/>
    <w:pPr>
      <w:spacing w:line="500" w:lineRule="exact"/>
      <w:ind w:firstLine="420"/>
    </w:pPr>
    <w:rPr>
      <w:sz w:val="28"/>
    </w:rPr>
  </w:style>
  <w:style w:type="paragraph" w:customStyle="1" w:styleId="57">
    <w:name w:val="Char Char Char Char Char Char Char Char Char Char Char Char Char Char Char Char"/>
    <w:basedOn w:val="1"/>
    <w:qFormat/>
    <w:uiPriority w:val="0"/>
    <w:pPr>
      <w:tabs>
        <w:tab w:val="left" w:pos="360"/>
      </w:tabs>
    </w:pPr>
  </w:style>
  <w:style w:type="paragraph" w:customStyle="1" w:styleId="58">
    <w:name w:val="中等深浅网格 1 - 强调文字颜色 21"/>
    <w:basedOn w:val="1"/>
    <w:qFormat/>
    <w:uiPriority w:val="34"/>
    <w:pPr>
      <w:ind w:firstLine="420" w:firstLineChars="200"/>
    </w:pPr>
  </w:style>
  <w:style w:type="paragraph" w:styleId="59">
    <w:name w:val="List Paragraph"/>
    <w:basedOn w:val="1"/>
    <w:qFormat/>
    <w:uiPriority w:val="99"/>
    <w:pPr>
      <w:ind w:firstLine="420" w:firstLineChars="200"/>
    </w:p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62">
    <w:name w:val="普通(网站)11"/>
    <w:basedOn w:val="1"/>
    <w:qFormat/>
    <w:uiPriority w:val="99"/>
    <w:pPr>
      <w:spacing w:beforeAutospacing="1" w:afterAutospacing="1"/>
    </w:pPr>
    <w:rPr>
      <w:rFonts w:ascii="宋体" w:hAnsi="宋体"/>
      <w:sz w:val="24"/>
      <w:szCs w:val="24"/>
    </w:rPr>
  </w:style>
  <w:style w:type="paragraph" w:customStyle="1" w:styleId="63">
    <w:name w:val="正文文本缩进11"/>
    <w:basedOn w:val="1"/>
    <w:qFormat/>
    <w:uiPriority w:val="0"/>
    <w:pPr>
      <w:spacing w:line="200" w:lineRule="exact"/>
      <w:ind w:firstLine="301"/>
    </w:pPr>
  </w:style>
  <w:style w:type="paragraph" w:customStyle="1" w:styleId="64">
    <w:name w:val="纯文本1"/>
    <w:basedOn w:val="65"/>
    <w:qFormat/>
    <w:uiPriority w:val="0"/>
    <w:pPr>
      <w:widowControl/>
      <w:jc w:val="left"/>
    </w:pPr>
    <w:rPr>
      <w:rFonts w:ascii="宋体" w:hAnsi="Courier New"/>
    </w:rPr>
  </w:style>
  <w:style w:type="paragraph" w:customStyle="1" w:styleId="65">
    <w:name w:val="正文1"/>
    <w:link w:val="8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列出段落1"/>
    <w:basedOn w:val="1"/>
    <w:qFormat/>
    <w:uiPriority w:val="0"/>
    <w:pPr>
      <w:ind w:firstLine="420" w:firstLineChars="200"/>
    </w:pPr>
  </w:style>
  <w:style w:type="paragraph" w:customStyle="1" w:styleId="68">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69">
    <w:name w:val="批注框文本 Char"/>
    <w:basedOn w:val="40"/>
    <w:link w:val="24"/>
    <w:qFormat/>
    <w:uiPriority w:val="0"/>
    <w:rPr>
      <w:rFonts w:ascii="Calibri" w:hAnsi="Calibri"/>
      <w:sz w:val="18"/>
      <w:szCs w:val="18"/>
    </w:rPr>
  </w:style>
  <w:style w:type="character" w:customStyle="1" w:styleId="70">
    <w:name w:val="文档结构图 Char"/>
    <w:basedOn w:val="40"/>
    <w:link w:val="15"/>
    <w:qFormat/>
    <w:uiPriority w:val="0"/>
    <w:rPr>
      <w:rFonts w:ascii="宋体" w:hAnsi="Calibri"/>
      <w:sz w:val="18"/>
      <w:szCs w:val="18"/>
    </w:rPr>
  </w:style>
  <w:style w:type="character" w:customStyle="1" w:styleId="71">
    <w:name w:val="正文缩进 Char"/>
    <w:link w:val="12"/>
    <w:qFormat/>
    <w:uiPriority w:val="0"/>
    <w:rPr>
      <w:sz w:val="21"/>
    </w:rPr>
  </w:style>
  <w:style w:type="character" w:customStyle="1" w:styleId="72">
    <w:name w:val="标题 1 Char"/>
    <w:link w:val="5"/>
    <w:qFormat/>
    <w:uiPriority w:val="0"/>
    <w:rPr>
      <w:rFonts w:ascii="宋体"/>
      <w:b/>
      <w:kern w:val="44"/>
      <w:sz w:val="24"/>
    </w:rPr>
  </w:style>
  <w:style w:type="character" w:customStyle="1" w:styleId="73">
    <w:name w:val="纯文本 Char"/>
    <w:link w:val="21"/>
    <w:qFormat/>
    <w:uiPriority w:val="0"/>
    <w:rPr>
      <w:rFonts w:ascii="宋体" w:hAnsi="Courier New"/>
      <w:kern w:val="2"/>
      <w:sz w:val="21"/>
    </w:rPr>
  </w:style>
  <w:style w:type="paragraph" w:customStyle="1" w:styleId="74">
    <w:name w:val="Proposals body"/>
    <w:basedOn w:val="1"/>
    <w:next w:val="1"/>
    <w:qFormat/>
    <w:uiPriority w:val="0"/>
    <w:pPr>
      <w:spacing w:line="360" w:lineRule="auto"/>
    </w:pPr>
    <w:rPr>
      <w:rFonts w:ascii="宋体" w:hAnsi="Times New Roman"/>
      <w:snapToGrid w:val="0"/>
      <w:color w:val="000000"/>
      <w:sz w:val="24"/>
    </w:rPr>
  </w:style>
  <w:style w:type="character" w:customStyle="1" w:styleId="75">
    <w:name w:val="标题 4 Char"/>
    <w:basedOn w:val="40"/>
    <w:link w:val="8"/>
    <w:qFormat/>
    <w:uiPriority w:val="0"/>
    <w:rPr>
      <w:rFonts w:ascii="宋体" w:hAnsi="Arial"/>
      <w:color w:val="000000"/>
      <w:sz w:val="21"/>
    </w:rPr>
  </w:style>
  <w:style w:type="character" w:customStyle="1" w:styleId="76">
    <w:name w:val="标题 6 Char"/>
    <w:basedOn w:val="40"/>
    <w:link w:val="10"/>
    <w:qFormat/>
    <w:uiPriority w:val="0"/>
    <w:rPr>
      <w:rFonts w:ascii="Arial" w:hAnsi="Arial" w:eastAsia="黑体"/>
      <w:b/>
      <w:color w:val="000000"/>
      <w:sz w:val="24"/>
    </w:rPr>
  </w:style>
  <w:style w:type="character" w:customStyle="1" w:styleId="77">
    <w:name w:val="标题 7 Char"/>
    <w:basedOn w:val="40"/>
    <w:link w:val="11"/>
    <w:qFormat/>
    <w:uiPriority w:val="0"/>
    <w:rPr>
      <w:rFonts w:ascii="宋体"/>
      <w:b/>
      <w:color w:val="000000"/>
      <w:sz w:val="24"/>
    </w:rPr>
  </w:style>
  <w:style w:type="character" w:customStyle="1" w:styleId="78">
    <w:name w:val="标题 8 Char"/>
    <w:basedOn w:val="40"/>
    <w:link w:val="13"/>
    <w:qFormat/>
    <w:uiPriority w:val="0"/>
    <w:rPr>
      <w:rFonts w:ascii="Arial" w:hAnsi="Arial" w:eastAsia="黑体"/>
      <w:color w:val="000000"/>
      <w:sz w:val="24"/>
    </w:rPr>
  </w:style>
  <w:style w:type="character" w:customStyle="1" w:styleId="79">
    <w:name w:val="标题 9 Char"/>
    <w:basedOn w:val="40"/>
    <w:link w:val="14"/>
    <w:qFormat/>
    <w:uiPriority w:val="0"/>
    <w:rPr>
      <w:rFonts w:ascii="Arial" w:hAnsi="Arial" w:eastAsia="黑体"/>
      <w:color w:val="000000"/>
      <w:sz w:val="21"/>
    </w:rPr>
  </w:style>
  <w:style w:type="character" w:customStyle="1" w:styleId="80">
    <w:name w:val="正文文本 Char"/>
    <w:link w:val="3"/>
    <w:qFormat/>
    <w:uiPriority w:val="99"/>
    <w:rPr>
      <w:rFonts w:ascii="楷体_GB2312" w:eastAsia="楷体_GB2312"/>
      <w:kern w:val="2"/>
      <w:sz w:val="32"/>
    </w:rPr>
  </w:style>
  <w:style w:type="character" w:customStyle="1" w:styleId="81">
    <w:name w:val="正文首行缩进 Char"/>
    <w:basedOn w:val="80"/>
    <w:link w:val="2"/>
    <w:qFormat/>
    <w:uiPriority w:val="99"/>
  </w:style>
  <w:style w:type="character" w:customStyle="1" w:styleId="82">
    <w:name w:val="标题 2 Char"/>
    <w:link w:val="6"/>
    <w:qFormat/>
    <w:uiPriority w:val="9"/>
    <w:rPr>
      <w:rFonts w:ascii="Cambria" w:hAnsi="Cambria"/>
      <w:b/>
      <w:bCs/>
      <w:sz w:val="32"/>
      <w:szCs w:val="32"/>
    </w:rPr>
  </w:style>
  <w:style w:type="character" w:customStyle="1" w:styleId="83">
    <w:name w:val="标题 3 Char"/>
    <w:link w:val="7"/>
    <w:qFormat/>
    <w:uiPriority w:val="0"/>
    <w:rPr>
      <w:b/>
      <w:bCs/>
      <w:sz w:val="32"/>
      <w:szCs w:val="32"/>
    </w:rPr>
  </w:style>
  <w:style w:type="character" w:customStyle="1" w:styleId="84">
    <w:name w:val="正文缩进 Char1"/>
    <w:qFormat/>
    <w:uiPriority w:val="99"/>
    <w:rPr>
      <w:rFonts w:ascii="Calibri" w:hAnsi="Calibri" w:eastAsia="宋体" w:cs="Times New Roman"/>
      <w:kern w:val="2"/>
      <w:sz w:val="21"/>
      <w:szCs w:val="22"/>
    </w:rPr>
  </w:style>
  <w:style w:type="character" w:customStyle="1" w:styleId="85">
    <w:name w:val="标题 5 Char"/>
    <w:link w:val="9"/>
    <w:qFormat/>
    <w:uiPriority w:val="0"/>
    <w:rPr>
      <w:rFonts w:ascii="宋体" w:hAnsi="Calibri"/>
      <w:b/>
      <w:color w:val="000000"/>
      <w:sz w:val="28"/>
    </w:rPr>
  </w:style>
  <w:style w:type="character" w:customStyle="1" w:styleId="86">
    <w:name w:val="正文文本缩进 Char"/>
    <w:link w:val="17"/>
    <w:qFormat/>
    <w:uiPriority w:val="0"/>
    <w:rPr>
      <w:rFonts w:ascii="Calibri" w:hAnsi="Calibri"/>
      <w:sz w:val="21"/>
    </w:rPr>
  </w:style>
  <w:style w:type="character" w:customStyle="1" w:styleId="87">
    <w:name w:val="未处理的提及"/>
    <w:unhideWhenUsed/>
    <w:qFormat/>
    <w:uiPriority w:val="99"/>
    <w:rPr>
      <w:rFonts w:ascii="Calibri" w:hAnsi="Calibri" w:eastAsia="宋体" w:cs="Times New Roman"/>
      <w:color w:val="605E5C"/>
      <w:shd w:val="clear" w:color="auto" w:fill="E1DFDD"/>
    </w:rPr>
  </w:style>
  <w:style w:type="character" w:customStyle="1" w:styleId="88">
    <w:name w:val="正文1 Char"/>
    <w:link w:val="65"/>
    <w:qFormat/>
    <w:uiPriority w:val="0"/>
    <w:rPr>
      <w:kern w:val="2"/>
      <w:sz w:val="21"/>
    </w:rPr>
  </w:style>
  <w:style w:type="character" w:customStyle="1" w:styleId="89">
    <w:name w:val="unnamed51"/>
    <w:qFormat/>
    <w:uiPriority w:val="0"/>
    <w:rPr>
      <w:rFonts w:ascii="Calibri" w:hAnsi="Calibri" w:eastAsia="宋体" w:cs="Times New Roman"/>
      <w:sz w:val="22"/>
      <w:szCs w:val="22"/>
    </w:rPr>
  </w:style>
  <w:style w:type="character" w:customStyle="1" w:styleId="90">
    <w:name w:val="正文文本缩进 3 Char"/>
    <w:link w:val="30"/>
    <w:qFormat/>
    <w:uiPriority w:val="0"/>
    <w:rPr>
      <w:sz w:val="16"/>
      <w:szCs w:val="16"/>
    </w:rPr>
  </w:style>
  <w:style w:type="character" w:customStyle="1" w:styleId="91">
    <w:name w:val="正文文本缩进 3 Char1"/>
    <w:basedOn w:val="40"/>
    <w:link w:val="30"/>
    <w:semiHidden/>
    <w:qFormat/>
    <w:uiPriority w:val="0"/>
    <w:rPr>
      <w:rFonts w:ascii="Calibri" w:hAnsi="Calibri"/>
      <w:sz w:val="16"/>
      <w:szCs w:val="16"/>
    </w:rPr>
  </w:style>
  <w:style w:type="character" w:customStyle="1" w:styleId="92">
    <w:name w:val="纯文本 Char1"/>
    <w:qFormat/>
    <w:uiPriority w:val="0"/>
    <w:rPr>
      <w:rFonts w:ascii="宋体" w:hAnsi="Courier New" w:eastAsia="宋体"/>
      <w:kern w:val="2"/>
      <w:sz w:val="21"/>
      <w:lang w:val="en-US" w:eastAsia="zh-CN" w:bidi="ar-SA"/>
    </w:rPr>
  </w:style>
  <w:style w:type="character" w:customStyle="1" w:styleId="93">
    <w:name w:val="font01"/>
    <w:qFormat/>
    <w:uiPriority w:val="0"/>
    <w:rPr>
      <w:rFonts w:hint="eastAsia" w:ascii="仿宋" w:hAnsi="仿宋" w:eastAsia="仿宋" w:cs="仿宋"/>
      <w:color w:val="000000"/>
      <w:sz w:val="24"/>
      <w:szCs w:val="24"/>
      <w:u w:val="none"/>
    </w:rPr>
  </w:style>
  <w:style w:type="character" w:customStyle="1" w:styleId="94">
    <w:name w:val="页脚 Char"/>
    <w:link w:val="25"/>
    <w:qFormat/>
    <w:uiPriority w:val="99"/>
    <w:rPr>
      <w:sz w:val="18"/>
    </w:rPr>
  </w:style>
  <w:style w:type="character" w:customStyle="1" w:styleId="95">
    <w:name w:val="font31"/>
    <w:qFormat/>
    <w:uiPriority w:val="0"/>
    <w:rPr>
      <w:rFonts w:hint="eastAsia" w:ascii="宋体" w:hAnsi="宋体" w:eastAsia="宋体" w:cs="Times New Roman"/>
      <w:color w:val="000000"/>
      <w:sz w:val="21"/>
      <w:szCs w:val="21"/>
      <w:u w:val="none"/>
    </w:rPr>
  </w:style>
  <w:style w:type="character" w:customStyle="1" w:styleId="96">
    <w:name w:val="my正文 Char"/>
    <w:link w:val="97"/>
    <w:qFormat/>
    <w:locked/>
    <w:uiPriority w:val="0"/>
    <w:rPr>
      <w:kern w:val="2"/>
      <w:sz w:val="24"/>
      <w:szCs w:val="22"/>
    </w:rPr>
  </w:style>
  <w:style w:type="paragraph" w:customStyle="1" w:styleId="97">
    <w:name w:val="my正文"/>
    <w:basedOn w:val="1"/>
    <w:link w:val="96"/>
    <w:qFormat/>
    <w:uiPriority w:val="0"/>
    <w:pPr>
      <w:widowControl w:val="0"/>
      <w:spacing w:line="360" w:lineRule="auto"/>
      <w:ind w:firstLine="480"/>
      <w:jc w:val="both"/>
    </w:pPr>
    <w:rPr>
      <w:rFonts w:ascii="Times New Roman" w:hAnsi="Times New Roman"/>
      <w:kern w:val="2"/>
      <w:sz w:val="24"/>
      <w:szCs w:val="22"/>
    </w:rPr>
  </w:style>
  <w:style w:type="character" w:customStyle="1" w:styleId="98">
    <w:name w:val="表正文 Char"/>
    <w:qFormat/>
    <w:uiPriority w:val="0"/>
    <w:rPr>
      <w:rFonts w:ascii="Times New Roman" w:hAnsi="Times New Roman" w:eastAsia="宋体" w:cs="Times New Roman"/>
      <w:sz w:val="21"/>
    </w:rPr>
  </w:style>
  <w:style w:type="character" w:customStyle="1" w:styleId="99">
    <w:name w:val="页眉 Char"/>
    <w:link w:val="26"/>
    <w:qFormat/>
    <w:uiPriority w:val="99"/>
    <w:rPr>
      <w:rFonts w:ascii="Calibri" w:hAnsi="Calibri"/>
      <w:sz w:val="18"/>
    </w:rPr>
  </w:style>
  <w:style w:type="character" w:customStyle="1" w:styleId="100">
    <w:name w:val="批注主题 Char"/>
    <w:link w:val="36"/>
    <w:qFormat/>
    <w:uiPriority w:val="0"/>
    <w:rPr>
      <w:b/>
      <w:bCs/>
      <w:sz w:val="21"/>
    </w:rPr>
  </w:style>
  <w:style w:type="character" w:customStyle="1" w:styleId="101">
    <w:name w:val="批注文字 Char"/>
    <w:basedOn w:val="40"/>
    <w:link w:val="16"/>
    <w:qFormat/>
    <w:uiPriority w:val="0"/>
    <w:rPr>
      <w:sz w:val="21"/>
    </w:rPr>
  </w:style>
  <w:style w:type="character" w:customStyle="1" w:styleId="102">
    <w:name w:val="批注主题 Char1"/>
    <w:basedOn w:val="101"/>
    <w:link w:val="36"/>
    <w:qFormat/>
    <w:uiPriority w:val="0"/>
  </w:style>
  <w:style w:type="character" w:customStyle="1" w:styleId="103">
    <w:name w:val="font61"/>
    <w:qFormat/>
    <w:uiPriority w:val="0"/>
    <w:rPr>
      <w:rFonts w:hint="eastAsia" w:ascii="等线" w:hAnsi="等线" w:eastAsia="等线" w:cs="等线"/>
      <w:b/>
      <w:color w:val="FF0000"/>
      <w:sz w:val="22"/>
      <w:szCs w:val="22"/>
      <w:u w:val="none"/>
    </w:rPr>
  </w:style>
  <w:style w:type="character" w:customStyle="1" w:styleId="104">
    <w:name w:val="纯文本 Char2"/>
    <w:qFormat/>
    <w:uiPriority w:val="0"/>
    <w:rPr>
      <w:rFonts w:ascii="宋体" w:hAnsi="Courier New" w:eastAsia="宋体"/>
    </w:rPr>
  </w:style>
  <w:style w:type="character" w:customStyle="1" w:styleId="105">
    <w:name w:val="日期 Char"/>
    <w:link w:val="22"/>
    <w:qFormat/>
    <w:uiPriority w:val="0"/>
    <w:rPr>
      <w:rFonts w:ascii="宋体"/>
      <w:sz w:val="24"/>
    </w:rPr>
  </w:style>
  <w:style w:type="character" w:customStyle="1" w:styleId="106">
    <w:name w:val="Normal Indent Char Char"/>
    <w:qFormat/>
    <w:uiPriority w:val="0"/>
    <w:rPr>
      <w:rFonts w:ascii="Calibri" w:hAnsi="Calibri" w:eastAsia="宋体" w:cs="Times New Roman"/>
      <w:sz w:val="21"/>
      <w:lang w:val="en-US" w:eastAsia="zh-CN" w:bidi="ar-SA"/>
    </w:rPr>
  </w:style>
  <w:style w:type="character" w:customStyle="1" w:styleId="107">
    <w:name w:val="正文文本缩进 2 Char"/>
    <w:link w:val="23"/>
    <w:qFormat/>
    <w:uiPriority w:val="0"/>
    <w:rPr>
      <w:sz w:val="21"/>
    </w:rPr>
  </w:style>
  <w:style w:type="character" w:customStyle="1" w:styleId="108">
    <w:name w:val="正文文本缩进 2 Char1"/>
    <w:basedOn w:val="40"/>
    <w:link w:val="23"/>
    <w:semiHidden/>
    <w:qFormat/>
    <w:uiPriority w:val="0"/>
    <w:rPr>
      <w:rFonts w:ascii="Calibri" w:hAnsi="Calibri"/>
      <w:sz w:val="21"/>
    </w:rPr>
  </w:style>
  <w:style w:type="character" w:customStyle="1" w:styleId="109">
    <w:name w:val="正文首行缩进 2 Char"/>
    <w:basedOn w:val="86"/>
    <w:link w:val="37"/>
    <w:qFormat/>
    <w:uiPriority w:val="99"/>
  </w:style>
  <w:style w:type="character" w:customStyle="1" w:styleId="110">
    <w:name w:val="Para head"/>
    <w:qFormat/>
    <w:uiPriority w:val="0"/>
    <w:rPr>
      <w:rFonts w:ascii="Arial" w:hAnsi="Arial" w:eastAsia="Times New Roman" w:cs="Times New Roman"/>
      <w:sz w:val="20"/>
    </w:rPr>
  </w:style>
  <w:style w:type="character" w:customStyle="1" w:styleId="111">
    <w:name w:val="批注框文本 Char1"/>
    <w:qFormat/>
    <w:uiPriority w:val="0"/>
    <w:rPr>
      <w:rFonts w:ascii="Calibri" w:hAnsi="Calibri" w:eastAsia="宋体" w:cs="Times New Roman"/>
      <w:kern w:val="2"/>
      <w:sz w:val="18"/>
      <w:szCs w:val="18"/>
    </w:rPr>
  </w:style>
  <w:style w:type="character" w:customStyle="1" w:styleId="112">
    <w:name w:val="h Char"/>
    <w:qFormat/>
    <w:uiPriority w:val="0"/>
    <w:rPr>
      <w:sz w:val="18"/>
    </w:rPr>
  </w:style>
  <w:style w:type="character" w:customStyle="1" w:styleId="113">
    <w:name w:val="font11"/>
    <w:qFormat/>
    <w:uiPriority w:val="0"/>
    <w:rPr>
      <w:rFonts w:hint="eastAsia" w:ascii="宋体" w:hAnsi="宋体" w:eastAsia="宋体" w:cs="宋体"/>
      <w:color w:val="000000"/>
      <w:sz w:val="20"/>
      <w:szCs w:val="20"/>
      <w:u w:val="none"/>
    </w:rPr>
  </w:style>
  <w:style w:type="character" w:customStyle="1" w:styleId="114">
    <w:name w:val="正文文本 2 Char"/>
    <w:link w:val="33"/>
    <w:qFormat/>
    <w:uiPriority w:val="0"/>
    <w:rPr>
      <w:rFonts w:ascii="宋体" w:hAnsi="宋体"/>
      <w:kern w:val="2"/>
      <w:sz w:val="44"/>
      <w:szCs w:val="24"/>
    </w:rPr>
  </w:style>
  <w:style w:type="character" w:customStyle="1" w:styleId="115">
    <w:name w:val="正文文本 2 Char1"/>
    <w:basedOn w:val="40"/>
    <w:link w:val="33"/>
    <w:semiHidden/>
    <w:qFormat/>
    <w:uiPriority w:val="0"/>
    <w:rPr>
      <w:rFonts w:ascii="Calibri" w:hAnsi="Calibri"/>
      <w:sz w:val="21"/>
    </w:rPr>
  </w:style>
  <w:style w:type="paragraph" w:customStyle="1" w:styleId="116">
    <w:name w:val="Char Char Char Char Char Char Char1"/>
    <w:basedOn w:val="1"/>
    <w:qFormat/>
    <w:uiPriority w:val="0"/>
    <w:pPr>
      <w:widowControl w:val="0"/>
      <w:jc w:val="both"/>
    </w:pPr>
    <w:rPr>
      <w:rFonts w:ascii="宋体" w:hAnsi="宋体" w:cs="宋体"/>
      <w:color w:val="FF0000"/>
      <w:szCs w:val="21"/>
    </w:rPr>
  </w:style>
  <w:style w:type="paragraph" w:customStyle="1" w:styleId="117">
    <w:name w:val="默认段落字体 Para Char Char Char Char Char Char Char Char Char1 Char Char Char Char"/>
    <w:basedOn w:val="1"/>
    <w:qFormat/>
    <w:uiPriority w:val="0"/>
    <w:pPr>
      <w:widowControl w:val="0"/>
      <w:jc w:val="both"/>
    </w:pPr>
    <w:rPr>
      <w:rFonts w:ascii="Tahoma" w:hAnsi="Tahoma"/>
      <w:kern w:val="2"/>
      <w:sz w:val="24"/>
      <w:szCs w:val="22"/>
    </w:rPr>
  </w:style>
  <w:style w:type="paragraph" w:customStyle="1" w:styleId="118">
    <w:name w:val="font0"/>
    <w:basedOn w:val="1"/>
    <w:qFormat/>
    <w:uiPriority w:val="0"/>
    <w:pPr>
      <w:spacing w:before="100" w:beforeAutospacing="1" w:after="100" w:afterAutospacing="1"/>
    </w:pPr>
    <w:rPr>
      <w:rFonts w:hint="eastAsia" w:ascii="宋体" w:hAnsi="宋体" w:cs="Courier New"/>
      <w:sz w:val="24"/>
      <w:szCs w:val="24"/>
      <w:lang w:eastAsia="en-US"/>
    </w:rPr>
  </w:style>
  <w:style w:type="paragraph" w:customStyle="1" w:styleId="119">
    <w:name w:val="table_1stline"/>
    <w:basedOn w:val="1"/>
    <w:qFormat/>
    <w:uiPriority w:val="0"/>
    <w:pPr>
      <w:spacing w:before="120"/>
    </w:pPr>
    <w:rPr>
      <w:rFonts w:ascii="Times New Roman" w:hAnsi="Times New Roman"/>
      <w:bCs/>
      <w:sz w:val="20"/>
      <w:lang w:val="de-DE" w:eastAsia="de-DE"/>
    </w:rPr>
  </w:style>
  <w:style w:type="paragraph" w:customStyle="1" w:styleId="120">
    <w:name w:val="菲页2"/>
    <w:basedOn w:val="7"/>
    <w:qFormat/>
    <w:uiPriority w:val="0"/>
    <w:pPr>
      <w:numPr>
        <w:ilvl w:val="2"/>
        <w:numId w:val="2"/>
      </w:numPr>
      <w:tabs>
        <w:tab w:val="left" w:pos="1560"/>
        <w:tab w:val="left" w:pos="2040"/>
      </w:tabs>
      <w:spacing w:before="120" w:after="120" w:line="360" w:lineRule="auto"/>
      <w:jc w:val="center"/>
    </w:pPr>
    <w:rPr>
      <w:rFonts w:ascii="黑体" w:hAnsi="宋体" w:eastAsia="黑体"/>
      <w:b w:val="0"/>
      <w:bCs w:val="0"/>
      <w:sz w:val="44"/>
      <w:szCs w:val="20"/>
    </w:rPr>
  </w:style>
  <w:style w:type="paragraph" w:customStyle="1" w:styleId="121">
    <w:name w:val="日期1"/>
    <w:basedOn w:val="1"/>
    <w:next w:val="1"/>
    <w:qFormat/>
    <w:uiPriority w:val="0"/>
    <w:pPr>
      <w:widowControl w:val="0"/>
      <w:ind w:left="2500" w:leftChars="2500"/>
      <w:jc w:val="both"/>
    </w:pPr>
    <w:rPr>
      <w:rFonts w:ascii="Times New Roman" w:hAnsi="Times New Roman"/>
      <w:kern w:val="2"/>
    </w:rPr>
  </w:style>
  <w:style w:type="paragraph" w:customStyle="1" w:styleId="122">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 w:val="24"/>
      <w:szCs w:val="24"/>
      <w:lang w:eastAsia="en-US"/>
    </w:rPr>
  </w:style>
  <w:style w:type="paragraph" w:customStyle="1" w:styleId="123">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szCs w:val="21"/>
      <w:lang w:eastAsia="en-US"/>
    </w:rPr>
  </w:style>
  <w:style w:type="character" w:customStyle="1" w:styleId="124">
    <w:name w:val="普通(网站) Char"/>
    <w:basedOn w:val="40"/>
    <w:link w:val="34"/>
    <w:qFormat/>
    <w:uiPriority w:val="99"/>
    <w:rPr>
      <w:rFonts w:ascii="宋体" w:hAnsi="宋体" w:cs="宋体"/>
      <w:sz w:val="24"/>
      <w:szCs w:val="24"/>
    </w:rPr>
  </w:style>
  <w:style w:type="paragraph" w:customStyle="1" w:styleId="125">
    <w:name w:val="正文－恩普"/>
    <w:basedOn w:val="12"/>
    <w:qFormat/>
    <w:uiPriority w:val="0"/>
    <w:pPr>
      <w:widowControl w:val="0"/>
      <w:spacing w:line="360" w:lineRule="auto"/>
      <w:ind w:firstLine="200" w:firstLineChars="200"/>
      <w:jc w:val="both"/>
    </w:pPr>
    <w:rPr>
      <w:kern w:val="2"/>
      <w:sz w:val="24"/>
      <w:szCs w:val="24"/>
    </w:rPr>
  </w:style>
  <w:style w:type="paragraph" w:customStyle="1" w:styleId="126">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sz w:val="18"/>
      <w:szCs w:val="18"/>
    </w:rPr>
  </w:style>
  <w:style w:type="paragraph" w:customStyle="1" w:styleId="12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sz w:val="24"/>
      <w:szCs w:val="24"/>
      <w:lang w:eastAsia="en-US"/>
    </w:rPr>
  </w:style>
  <w:style w:type="paragraph" w:customStyle="1" w:styleId="128">
    <w:name w:val="菲页(卷)"/>
    <w:basedOn w:val="5"/>
    <w:next w:val="65"/>
    <w:qFormat/>
    <w:uiPriority w:val="0"/>
    <w:pPr>
      <w:keepLines w:val="0"/>
      <w:widowControl/>
      <w:numPr>
        <w:ilvl w:val="0"/>
        <w:numId w:val="2"/>
      </w:numPr>
      <w:tabs>
        <w:tab w:val="left" w:pos="420"/>
        <w:tab w:val="left" w:pos="1200"/>
        <w:tab w:val="clear" w:pos="840"/>
      </w:tabs>
      <w:adjustRightInd/>
      <w:snapToGrid/>
      <w:spacing w:line="240" w:lineRule="auto"/>
      <w:jc w:val="center"/>
      <w:outlineLvl w:val="1"/>
    </w:pPr>
    <w:rPr>
      <w:rFonts w:ascii="黑体" w:eastAsia="黑体"/>
      <w:b w:val="0"/>
      <w:kern w:val="0"/>
      <w:sz w:val="52"/>
    </w:rPr>
  </w:style>
  <w:style w:type="paragraph" w:customStyle="1" w:styleId="129">
    <w:name w:val="表文字"/>
    <w:basedOn w:val="12"/>
    <w:qFormat/>
    <w:uiPriority w:val="0"/>
    <w:pPr>
      <w:widowControl w:val="0"/>
      <w:overflowPunct w:val="0"/>
      <w:autoSpaceDE w:val="0"/>
      <w:autoSpaceDN w:val="0"/>
      <w:adjustRightInd w:val="0"/>
      <w:snapToGrid w:val="0"/>
      <w:spacing w:line="360" w:lineRule="auto"/>
      <w:ind w:firstLine="0"/>
      <w:jc w:val="both"/>
    </w:pPr>
    <w:rPr>
      <w:rFonts w:ascii="Calibri" w:hAnsi="Calibri" w:eastAsia="幼圆"/>
      <w:kern w:val="28"/>
      <w:szCs w:val="22"/>
    </w:rPr>
  </w:style>
  <w:style w:type="paragraph" w:customStyle="1" w:styleId="13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4"/>
      <w:szCs w:val="24"/>
      <w:lang w:eastAsia="en-US"/>
    </w:rPr>
  </w:style>
  <w:style w:type="paragraph" w:customStyle="1" w:styleId="131">
    <w:name w:val="Char Char Char"/>
    <w:basedOn w:val="1"/>
    <w:qFormat/>
    <w:uiPriority w:val="0"/>
    <w:pPr>
      <w:widowControl w:val="0"/>
      <w:jc w:val="both"/>
    </w:pPr>
    <w:rPr>
      <w:rFonts w:ascii="Times New Roman" w:hAnsi="Times New Roman"/>
      <w:kern w:val="2"/>
    </w:rPr>
  </w:style>
  <w:style w:type="character" w:customStyle="1" w:styleId="132">
    <w:name w:val="标题 Char"/>
    <w:basedOn w:val="40"/>
    <w:link w:val="35"/>
    <w:qFormat/>
    <w:uiPriority w:val="0"/>
    <w:rPr>
      <w:rFonts w:ascii="Cambria" w:hAnsi="Cambria"/>
      <w:b/>
      <w:bCs/>
      <w:kern w:val="2"/>
      <w:sz w:val="32"/>
      <w:szCs w:val="32"/>
    </w:rPr>
  </w:style>
  <w:style w:type="paragraph" w:customStyle="1" w:styleId="133">
    <w:name w:val="_Style 3"/>
    <w:basedOn w:val="1"/>
    <w:qFormat/>
    <w:uiPriority w:val="0"/>
    <w:pPr>
      <w:widowControl w:val="0"/>
      <w:ind w:firstLine="420" w:firstLineChars="200"/>
      <w:jc w:val="both"/>
    </w:pPr>
    <w:rPr>
      <w:kern w:val="2"/>
      <w:szCs w:val="22"/>
    </w:rPr>
  </w:style>
  <w:style w:type="paragraph" w:customStyle="1" w:styleId="134">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5">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0"/>
      <w:lang w:eastAsia="en-US"/>
    </w:rPr>
  </w:style>
  <w:style w:type="paragraph" w:customStyle="1" w:styleId="136">
    <w:name w:val="Char Char18"/>
    <w:basedOn w:val="1"/>
    <w:qFormat/>
    <w:uiPriority w:val="0"/>
    <w:pPr>
      <w:widowControl w:val="0"/>
      <w:jc w:val="both"/>
    </w:pPr>
    <w:rPr>
      <w:rFonts w:ascii="Times New Roman" w:hAnsi="Times New Roman"/>
      <w:kern w:val="2"/>
      <w:szCs w:val="24"/>
    </w:rPr>
  </w:style>
  <w:style w:type="paragraph" w:customStyle="1" w:styleId="13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sz w:val="24"/>
      <w:szCs w:val="24"/>
      <w:lang w:eastAsia="en-US"/>
    </w:rPr>
  </w:style>
  <w:style w:type="paragraph" w:customStyle="1" w:styleId="138">
    <w:name w:val="Char3"/>
    <w:basedOn w:val="1"/>
    <w:qFormat/>
    <w:uiPriority w:val="0"/>
    <w:pPr>
      <w:widowControl w:val="0"/>
      <w:jc w:val="both"/>
    </w:pPr>
    <w:rPr>
      <w:rFonts w:ascii="Times New Roman" w:hAnsi="Times New Roman"/>
      <w:kern w:val="2"/>
      <w:szCs w:val="24"/>
    </w:rPr>
  </w:style>
  <w:style w:type="paragraph" w:customStyle="1" w:styleId="139">
    <w:name w:val="正文 1.1.1"/>
    <w:basedOn w:val="1"/>
    <w:next w:val="1"/>
    <w:qFormat/>
    <w:uiPriority w:val="0"/>
    <w:pPr>
      <w:widowControl w:val="0"/>
      <w:numPr>
        <w:ilvl w:val="2"/>
        <w:numId w:val="3"/>
      </w:numPr>
      <w:tabs>
        <w:tab w:val="left" w:pos="851"/>
      </w:tabs>
      <w:adjustRightInd w:val="0"/>
      <w:spacing w:line="360" w:lineRule="auto"/>
      <w:jc w:val="both"/>
      <w:textAlignment w:val="baseline"/>
      <w:outlineLvl w:val="2"/>
    </w:pPr>
    <w:rPr>
      <w:rFonts w:ascii="宋体" w:hAnsi="宋体"/>
      <w:color w:val="FF0000"/>
      <w:sz w:val="28"/>
      <w:szCs w:val="21"/>
    </w:rPr>
  </w:style>
  <w:style w:type="paragraph" w:customStyle="1" w:styleId="140">
    <w:name w:val="目录文字"/>
    <w:basedOn w:val="1"/>
    <w:qFormat/>
    <w:uiPriority w:val="0"/>
    <w:pPr>
      <w:spacing w:line="480" w:lineRule="auto"/>
    </w:pPr>
    <w:rPr>
      <w:rFonts w:ascii="宋体" w:hAnsi="宋体"/>
      <w:sz w:val="24"/>
    </w:rPr>
  </w:style>
  <w:style w:type="paragraph" w:customStyle="1" w:styleId="141">
    <w:name w:val="正文段"/>
    <w:basedOn w:val="1"/>
    <w:qFormat/>
    <w:uiPriority w:val="0"/>
    <w:pPr>
      <w:widowControl w:val="0"/>
      <w:snapToGrid w:val="0"/>
      <w:spacing w:afterLines="50"/>
      <w:ind w:firstLine="200" w:firstLineChars="200"/>
      <w:jc w:val="both"/>
    </w:pPr>
    <w:rPr>
      <w:rFonts w:ascii="Times New Roman" w:hAnsi="Times New Roman"/>
      <w:kern w:val="2"/>
      <w:sz w:val="24"/>
      <w:szCs w:val="22"/>
    </w:rPr>
  </w:style>
  <w:style w:type="paragraph" w:customStyle="1" w:styleId="142">
    <w:name w:val="列出段落2"/>
    <w:basedOn w:val="1"/>
    <w:qFormat/>
    <w:uiPriority w:val="0"/>
    <w:pPr>
      <w:widowControl w:val="0"/>
      <w:ind w:firstLine="420" w:firstLineChars="200"/>
      <w:jc w:val="both"/>
    </w:pPr>
    <w:rPr>
      <w:kern w:val="2"/>
      <w:szCs w:val="22"/>
    </w:rPr>
  </w:style>
  <w:style w:type="paragraph" w:customStyle="1" w:styleId="14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Cs w:val="21"/>
      <w:lang w:eastAsia="en-US"/>
    </w:rPr>
  </w:style>
  <w:style w:type="paragraph" w:customStyle="1" w:styleId="144">
    <w:name w:val="font6"/>
    <w:basedOn w:val="1"/>
    <w:qFormat/>
    <w:uiPriority w:val="0"/>
    <w:pPr>
      <w:spacing w:before="100" w:beforeAutospacing="1" w:after="100" w:afterAutospacing="1"/>
    </w:pPr>
    <w:rPr>
      <w:rFonts w:ascii="Times New Roman" w:hAnsi="Times New Roman" w:eastAsia="Arial Unicode MS"/>
      <w:szCs w:val="21"/>
      <w:lang w:eastAsia="en-US"/>
    </w:rPr>
  </w:style>
  <w:style w:type="paragraph" w:customStyle="1" w:styleId="145">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Cs w:val="21"/>
      <w:lang w:eastAsia="en-US"/>
    </w:rPr>
  </w:style>
  <w:style w:type="paragraph" w:customStyle="1" w:styleId="146">
    <w:name w:val="彩色列表 - 强调文字颜色 11"/>
    <w:basedOn w:val="1"/>
    <w:qFormat/>
    <w:uiPriority w:val="99"/>
    <w:pPr>
      <w:ind w:firstLine="420" w:firstLineChars="200"/>
    </w:pPr>
    <w:rPr>
      <w:rFonts w:ascii="Times New Roman" w:hAnsi="Times New Roman"/>
    </w:rPr>
  </w:style>
  <w:style w:type="paragraph" w:customStyle="1" w:styleId="147">
    <w:name w:val="Char2"/>
    <w:basedOn w:val="1"/>
    <w:qFormat/>
    <w:uiPriority w:val="0"/>
    <w:pPr>
      <w:widowControl w:val="0"/>
      <w:jc w:val="both"/>
    </w:pPr>
    <w:rPr>
      <w:rFonts w:ascii="仿宋_GB2312" w:hAnsi="Times New Roman" w:eastAsia="仿宋_GB2312"/>
      <w:b/>
      <w:kern w:val="2"/>
      <w:sz w:val="32"/>
      <w:szCs w:val="32"/>
    </w:rPr>
  </w:style>
  <w:style w:type="paragraph" w:customStyle="1" w:styleId="148">
    <w:name w:val="标题 21"/>
    <w:basedOn w:val="1"/>
    <w:next w:val="1"/>
    <w:qFormat/>
    <w:uiPriority w:val="0"/>
    <w:pPr>
      <w:keepNext/>
      <w:keepLines/>
      <w:widowControl w:val="0"/>
      <w:spacing w:before="100" w:after="100" w:line="415" w:lineRule="auto"/>
      <w:ind w:left="576" w:hanging="576"/>
      <w:jc w:val="both"/>
      <w:outlineLvl w:val="1"/>
    </w:pPr>
    <w:rPr>
      <w:rFonts w:ascii="Times New Roman" w:hAnsi="Times New Roman"/>
      <w:b/>
      <w:iCs/>
      <w:sz w:val="32"/>
      <w:szCs w:val="28"/>
    </w:rPr>
  </w:style>
  <w:style w:type="paragraph" w:customStyle="1" w:styleId="149">
    <w:name w:val="Char Char Char Char Char Char Char Char Char Char Char Char Char Char Char Char Char Char Char"/>
    <w:basedOn w:val="1"/>
    <w:qFormat/>
    <w:uiPriority w:val="0"/>
    <w:pPr>
      <w:widowControl w:val="0"/>
      <w:jc w:val="both"/>
    </w:pPr>
    <w:rPr>
      <w:rFonts w:ascii="Times New Roman" w:hAnsi="Times New Roman"/>
    </w:rPr>
  </w:style>
  <w:style w:type="paragraph" w:customStyle="1" w:styleId="150">
    <w:name w:val="正文21"/>
    <w:basedOn w:val="1"/>
    <w:link w:val="151"/>
    <w:qFormat/>
    <w:uiPriority w:val="0"/>
    <w:pPr>
      <w:widowControl w:val="0"/>
      <w:spacing w:before="156" w:line="360" w:lineRule="auto"/>
      <w:ind w:firstLine="510" w:firstLineChars="200"/>
      <w:jc w:val="both"/>
    </w:pPr>
    <w:rPr>
      <w:kern w:val="2"/>
      <w:sz w:val="24"/>
      <w:szCs w:val="22"/>
    </w:rPr>
  </w:style>
  <w:style w:type="character" w:customStyle="1" w:styleId="151">
    <w:name w:val="正文2 Char Char"/>
    <w:link w:val="150"/>
    <w:qFormat/>
    <w:uiPriority w:val="0"/>
    <w:rPr>
      <w:rFonts w:ascii="Calibri" w:hAnsi="Calibri"/>
      <w:kern w:val="2"/>
      <w:sz w:val="24"/>
      <w:szCs w:val="22"/>
    </w:rPr>
  </w:style>
  <w:style w:type="paragraph" w:customStyle="1" w:styleId="152">
    <w:name w:val="Table Paragraph"/>
    <w:basedOn w:val="1"/>
    <w:unhideWhenUsed/>
    <w:qFormat/>
    <w:uiPriority w:val="1"/>
    <w:pPr>
      <w:widowControl w:val="0"/>
      <w:jc w:val="both"/>
    </w:pPr>
    <w:rPr>
      <w:rFonts w:hint="eastAsia" w:ascii="Times New Roman" w:hAnsi="Times New Roman"/>
      <w:kern w:val="2"/>
      <w:sz w:val="24"/>
      <w:szCs w:val="22"/>
    </w:rPr>
  </w:style>
  <w:style w:type="paragraph" w:customStyle="1" w:styleId="153">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154">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sz w:val="16"/>
      <w:szCs w:val="16"/>
      <w:lang w:eastAsia="en-US"/>
    </w:rPr>
  </w:style>
  <w:style w:type="paragraph" w:customStyle="1" w:styleId="155">
    <w:name w:val="保留正文"/>
    <w:basedOn w:val="3"/>
    <w:qFormat/>
    <w:uiPriority w:val="0"/>
    <w:pPr>
      <w:keepNext/>
      <w:spacing w:after="160" w:line="240" w:lineRule="auto"/>
    </w:pPr>
    <w:rPr>
      <w:rFonts w:ascii="Times New Roman" w:eastAsia="宋体"/>
      <w:sz w:val="21"/>
      <w:szCs w:val="24"/>
    </w:rPr>
  </w:style>
  <w:style w:type="paragraph" w:customStyle="1" w:styleId="156">
    <w:name w:val="Char1"/>
    <w:basedOn w:val="1"/>
    <w:qFormat/>
    <w:uiPriority w:val="0"/>
    <w:rPr>
      <w:rFonts w:ascii="Times New Roman" w:hAnsi="Times New Roman"/>
    </w:rPr>
  </w:style>
  <w:style w:type="paragraph" w:customStyle="1" w:styleId="157">
    <w:name w:val="Char21"/>
    <w:basedOn w:val="1"/>
    <w:qFormat/>
    <w:uiPriority w:val="0"/>
    <w:pPr>
      <w:widowControl w:val="0"/>
      <w:jc w:val="both"/>
    </w:pPr>
    <w:rPr>
      <w:rFonts w:ascii="仿宋_GB2312" w:hAnsi="Times New Roman" w:eastAsia="仿宋_GB2312"/>
      <w:b/>
      <w:kern w:val="2"/>
      <w:sz w:val="32"/>
      <w:szCs w:val="32"/>
    </w:rPr>
  </w:style>
  <w:style w:type="paragraph" w:customStyle="1" w:styleId="15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59">
    <w:name w:val="列出段落3"/>
    <w:basedOn w:val="1"/>
    <w:qFormat/>
    <w:uiPriority w:val="0"/>
    <w:pPr>
      <w:widowControl w:val="0"/>
      <w:spacing w:line="360" w:lineRule="auto"/>
      <w:ind w:firstLine="420" w:firstLineChars="200"/>
      <w:jc w:val="both"/>
    </w:pPr>
    <w:rPr>
      <w:rFonts w:eastAsia="仿宋"/>
      <w:kern w:val="2"/>
      <w:sz w:val="24"/>
      <w:szCs w:val="24"/>
    </w:rPr>
  </w:style>
  <w:style w:type="paragraph" w:customStyle="1" w:styleId="160">
    <w:name w:val="样式1"/>
    <w:basedOn w:val="1"/>
    <w:qFormat/>
    <w:uiPriority w:val="0"/>
    <w:pPr>
      <w:widowControl w:val="0"/>
      <w:spacing w:before="120" w:after="120" w:line="300" w:lineRule="auto"/>
      <w:jc w:val="both"/>
    </w:pPr>
    <w:rPr>
      <w:rFonts w:ascii="宋体" w:hAnsi="宋体"/>
      <w:b/>
      <w:kern w:val="2"/>
      <w:sz w:val="24"/>
    </w:rPr>
  </w:style>
  <w:style w:type="paragraph" w:customStyle="1" w:styleId="161">
    <w:name w:val="样式 首行缩进:  0 字符"/>
    <w:basedOn w:val="1"/>
    <w:qFormat/>
    <w:uiPriority w:val="0"/>
    <w:pPr>
      <w:widowControl w:val="0"/>
      <w:jc w:val="both"/>
    </w:pPr>
    <w:rPr>
      <w:rFonts w:ascii="Times New Roman" w:hAnsi="Times New Roman"/>
      <w:kern w:val="2"/>
      <w:szCs w:val="22"/>
    </w:rPr>
  </w:style>
  <w:style w:type="paragraph" w:customStyle="1" w:styleId="162">
    <w:name w:val="表内文字"/>
    <w:basedOn w:val="1"/>
    <w:qFormat/>
    <w:uiPriority w:val="0"/>
    <w:pPr>
      <w:widowControl w:val="0"/>
      <w:spacing w:line="500" w:lineRule="atLeast"/>
      <w:jc w:val="center"/>
    </w:pPr>
    <w:rPr>
      <w:rFonts w:ascii="Arial" w:hAnsi="Arial" w:eastAsia="楷体_GB2312"/>
      <w:kern w:val="2"/>
      <w:sz w:val="28"/>
      <w:szCs w:val="22"/>
    </w:rPr>
  </w:style>
  <w:style w:type="paragraph" w:customStyle="1" w:styleId="163">
    <w:name w:val="自定义标题2"/>
    <w:basedOn w:val="148"/>
    <w:next w:val="1"/>
    <w:qFormat/>
    <w:uiPriority w:val="0"/>
    <w:pPr>
      <w:widowControl/>
      <w:spacing w:before="240" w:after="60" w:line="360" w:lineRule="auto"/>
      <w:ind w:left="420" w:hanging="420"/>
    </w:pPr>
    <w:rPr>
      <w:rFonts w:ascii="宋体" w:hAnsi="宋体" w:cs="Arial"/>
      <w:bCs/>
      <w:sz w:val="24"/>
    </w:rPr>
  </w:style>
  <w:style w:type="paragraph" w:customStyle="1" w:styleId="164">
    <w:name w:val="Indent a)"/>
    <w:basedOn w:val="1"/>
    <w:qFormat/>
    <w:uiPriority w:val="0"/>
    <w:pPr>
      <w:tabs>
        <w:tab w:val="left" w:pos="1843"/>
        <w:tab w:val="right" w:pos="9072"/>
      </w:tabs>
      <w:suppressAutoHyphens/>
      <w:spacing w:line="360" w:lineRule="auto"/>
      <w:ind w:right="-21" w:rightChars="-10" w:firstLine="420" w:firstLineChars="200"/>
      <w:jc w:val="both"/>
    </w:pPr>
    <w:rPr>
      <w:rFonts w:ascii="宋体" w:hAnsi="宋体"/>
      <w:color w:val="000000"/>
      <w:kern w:val="2"/>
    </w:rPr>
  </w:style>
  <w:style w:type="paragraph" w:customStyle="1" w:styleId="165">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166">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sz w:val="14"/>
      <w:szCs w:val="14"/>
      <w:lang w:eastAsia="en-US"/>
    </w:rPr>
  </w:style>
  <w:style w:type="paragraph" w:customStyle="1" w:styleId="167">
    <w:name w:val="font5"/>
    <w:basedOn w:val="1"/>
    <w:qFormat/>
    <w:uiPriority w:val="0"/>
    <w:pPr>
      <w:spacing w:before="100" w:beforeAutospacing="1" w:after="100" w:afterAutospacing="1"/>
    </w:pPr>
    <w:rPr>
      <w:rFonts w:hint="eastAsia" w:ascii="宋体" w:hAnsi="宋体" w:cs="Courier New"/>
      <w:sz w:val="18"/>
      <w:szCs w:val="18"/>
      <w:lang w:eastAsia="en-US"/>
    </w:rPr>
  </w:style>
  <w:style w:type="paragraph" w:customStyle="1" w:styleId="168">
    <w:name w:val="列出段落31"/>
    <w:basedOn w:val="1"/>
    <w:qFormat/>
    <w:uiPriority w:val="99"/>
    <w:pPr>
      <w:widowControl w:val="0"/>
      <w:ind w:firstLine="420" w:firstLineChars="200"/>
      <w:jc w:val="both"/>
    </w:pPr>
    <w:rPr>
      <w:kern w:val="2"/>
      <w:szCs w:val="22"/>
    </w:rPr>
  </w:style>
  <w:style w:type="paragraph" w:customStyle="1" w:styleId="169">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sz w:val="22"/>
      <w:szCs w:val="22"/>
    </w:rPr>
  </w:style>
  <w:style w:type="paragraph" w:customStyle="1" w:styleId="170">
    <w:name w:val="Char Char Char Char Char Char Char Char Char Char Char Char Char Char Char Char1"/>
    <w:basedOn w:val="1"/>
    <w:qFormat/>
    <w:uiPriority w:val="0"/>
    <w:pPr>
      <w:widowControl w:val="0"/>
      <w:tabs>
        <w:tab w:val="left" w:pos="360"/>
      </w:tabs>
      <w:jc w:val="both"/>
    </w:pPr>
    <w:rPr>
      <w:rFonts w:ascii="Times New Roman" w:hAnsi="Times New Roman"/>
      <w:kern w:val="2"/>
    </w:rPr>
  </w:style>
  <w:style w:type="paragraph" w:customStyle="1" w:styleId="171">
    <w:name w:val="附件"/>
    <w:basedOn w:val="5"/>
    <w:qFormat/>
    <w:uiPriority w:val="0"/>
    <w:pPr>
      <w:keepNext w:val="0"/>
      <w:keepLines w:val="0"/>
      <w:pageBreakBefore/>
      <w:spacing w:beforeLines="100" w:afterLines="100" w:line="240" w:lineRule="auto"/>
      <w:jc w:val="center"/>
    </w:pPr>
    <w:rPr>
      <w:rFonts w:hAnsi="宋体"/>
      <w:sz w:val="28"/>
      <w:szCs w:val="36"/>
    </w:rPr>
  </w:style>
  <w:style w:type="paragraph" w:customStyle="1" w:styleId="172">
    <w:name w:val="!BECC正文"/>
    <w:basedOn w:val="1"/>
    <w:qFormat/>
    <w:uiPriority w:val="0"/>
    <w:pPr>
      <w:widowControl w:val="0"/>
      <w:tabs>
        <w:tab w:val="left" w:pos="0"/>
      </w:tabs>
      <w:spacing w:beforeLines="50" w:afterLines="50" w:line="360" w:lineRule="auto"/>
      <w:ind w:firstLine="200"/>
      <w:contextualSpacing/>
      <w:jc w:val="both"/>
    </w:pPr>
    <w:rPr>
      <w:rFonts w:ascii="Times New Roman" w:hAnsi="Times New Roman"/>
      <w:kern w:val="2"/>
      <w:sz w:val="24"/>
      <w:szCs w:val="22"/>
    </w:rPr>
  </w:style>
  <w:style w:type="paragraph" w:customStyle="1" w:styleId="173">
    <w:name w:val="表格样式"/>
    <w:qFormat/>
    <w:uiPriority w:val="0"/>
    <w:pPr>
      <w:widowControl w:val="0"/>
      <w:wordWrap w:val="0"/>
    </w:pPr>
    <w:rPr>
      <w:rFonts w:ascii="Times New Roman" w:hAnsi="Times New Roman" w:eastAsia="仿宋" w:cs="Times New Roman"/>
      <w:kern w:val="2"/>
      <w:sz w:val="21"/>
      <w:szCs w:val="21"/>
      <w:lang w:val="en-US" w:eastAsia="zh-CN" w:bidi="ar-SA"/>
    </w:rPr>
  </w:style>
  <w:style w:type="paragraph" w:customStyle="1" w:styleId="174">
    <w:name w:val="font8"/>
    <w:basedOn w:val="1"/>
    <w:qFormat/>
    <w:uiPriority w:val="0"/>
    <w:pPr>
      <w:spacing w:before="100" w:beforeAutospacing="1" w:after="100" w:afterAutospacing="1"/>
    </w:pPr>
    <w:rPr>
      <w:rFonts w:ascii="Times New Roman" w:hAnsi="Times New Roman" w:eastAsia="Arial Unicode MS"/>
      <w:sz w:val="24"/>
      <w:szCs w:val="24"/>
      <w:lang w:eastAsia="en-US"/>
    </w:rPr>
  </w:style>
  <w:style w:type="paragraph" w:customStyle="1" w:styleId="175">
    <w:name w:val="Char Char Char Char Char Char Char"/>
    <w:basedOn w:val="1"/>
    <w:qFormat/>
    <w:uiPriority w:val="0"/>
    <w:pPr>
      <w:widowControl w:val="0"/>
      <w:jc w:val="both"/>
    </w:pPr>
    <w:rPr>
      <w:rFonts w:ascii="仿宋_GB2312" w:hAnsi="Times New Roman" w:eastAsia="仿宋_GB2312"/>
      <w:b/>
      <w:kern w:val="2"/>
      <w:sz w:val="32"/>
      <w:szCs w:val="32"/>
    </w:rPr>
  </w:style>
  <w:style w:type="paragraph" w:customStyle="1" w:styleId="176">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14"/>
      <w:szCs w:val="14"/>
      <w:lang w:eastAsia="en-US"/>
    </w:rPr>
  </w:style>
  <w:style w:type="paragraph" w:customStyle="1" w:styleId="177">
    <w:name w:val="font7"/>
    <w:basedOn w:val="1"/>
    <w:qFormat/>
    <w:uiPriority w:val="0"/>
    <w:pPr>
      <w:spacing w:before="100" w:beforeAutospacing="1" w:after="100" w:afterAutospacing="1"/>
    </w:pPr>
    <w:rPr>
      <w:rFonts w:hint="eastAsia" w:ascii="宋体" w:hAnsi="宋体" w:cs="Courier New"/>
      <w:szCs w:val="21"/>
      <w:lang w:eastAsia="en-US"/>
    </w:rPr>
  </w:style>
  <w:style w:type="paragraph" w:customStyle="1" w:styleId="178">
    <w:name w:val="目录"/>
    <w:basedOn w:val="1"/>
    <w:qFormat/>
    <w:uiPriority w:val="0"/>
    <w:pPr>
      <w:jc w:val="center"/>
    </w:pPr>
    <w:rPr>
      <w:rFonts w:hint="eastAsia" w:ascii="宋体" w:hAnsi="Times New Roman"/>
      <w:b/>
      <w:sz w:val="36"/>
    </w:rPr>
  </w:style>
  <w:style w:type="paragraph" w:customStyle="1" w:styleId="179">
    <w:name w:val="菲页1"/>
    <w:basedOn w:val="6"/>
    <w:qFormat/>
    <w:uiPriority w:val="0"/>
    <w:pPr>
      <w:jc w:val="center"/>
    </w:pPr>
    <w:rPr>
      <w:rFonts w:ascii="黑体" w:hAnsi="宋体" w:eastAsia="黑体"/>
      <w:b w:val="0"/>
      <w:color w:val="000000"/>
      <w:sz w:val="52"/>
    </w:rPr>
  </w:style>
  <w:style w:type="paragraph" w:customStyle="1" w:styleId="180">
    <w:name w:val="_Style 1"/>
    <w:basedOn w:val="1"/>
    <w:qFormat/>
    <w:uiPriority w:val="34"/>
    <w:pPr>
      <w:ind w:firstLine="420" w:firstLineChars="200"/>
    </w:pPr>
    <w:rPr>
      <w:szCs w:val="22"/>
    </w:rPr>
  </w:style>
  <w:style w:type="paragraph" w:customStyle="1" w:styleId="181">
    <w:name w:val="纯文本2"/>
    <w:basedOn w:val="134"/>
    <w:qFormat/>
    <w:uiPriority w:val="0"/>
    <w:pPr>
      <w:widowControl/>
      <w:jc w:val="left"/>
    </w:pPr>
    <w:rPr>
      <w:rFonts w:ascii="宋体" w:hAnsi="Courier New"/>
    </w:rPr>
  </w:style>
  <w:style w:type="paragraph" w:customStyle="1" w:styleId="182">
    <w:name w:val="p15"/>
    <w:basedOn w:val="1"/>
    <w:qFormat/>
    <w:uiPriority w:val="0"/>
    <w:pPr>
      <w:snapToGrid w:val="0"/>
      <w:jc w:val="both"/>
    </w:pPr>
    <w:rPr>
      <w:rFonts w:ascii="Times New Roman" w:hAnsi="Times New Roman"/>
      <w:color w:val="000000"/>
      <w:szCs w:val="21"/>
    </w:rPr>
  </w:style>
  <w:style w:type="character" w:customStyle="1" w:styleId="183">
    <w:name w:val="脚注文本 Char"/>
    <w:basedOn w:val="40"/>
    <w:link w:val="29"/>
    <w:qFormat/>
    <w:uiPriority w:val="99"/>
    <w:rPr>
      <w:kern w:val="2"/>
      <w:sz w:val="18"/>
      <w:szCs w:val="18"/>
    </w:rPr>
  </w:style>
  <w:style w:type="character" w:customStyle="1" w:styleId="184">
    <w:name w:val="脚注文本 Char1"/>
    <w:basedOn w:val="40"/>
    <w:link w:val="29"/>
    <w:semiHidden/>
    <w:qFormat/>
    <w:uiPriority w:val="0"/>
    <w:rPr>
      <w:rFonts w:ascii="Calibri" w:hAnsi="Calibri"/>
      <w:sz w:val="18"/>
      <w:szCs w:val="18"/>
    </w:rPr>
  </w:style>
  <w:style w:type="paragraph" w:customStyle="1" w:styleId="185">
    <w:name w:val="Char"/>
    <w:basedOn w:val="1"/>
    <w:qFormat/>
    <w:uiPriority w:val="0"/>
    <w:pPr>
      <w:spacing w:line="240" w:lineRule="exact"/>
    </w:pPr>
    <w:rPr>
      <w:rFonts w:ascii="Verdana" w:hAnsi="Verdana" w:eastAsia="楷体_GB2312"/>
      <w:b/>
      <w:i/>
      <w:iCs/>
      <w:color w:val="000000"/>
      <w:sz w:val="20"/>
      <w:lang w:eastAsia="en-US"/>
    </w:rPr>
  </w:style>
  <w:style w:type="paragraph" w:customStyle="1" w:styleId="186">
    <w:name w:val="l正文"/>
    <w:qFormat/>
    <w:uiPriority w:val="0"/>
    <w:pPr>
      <w:spacing w:line="300" w:lineRule="auto"/>
      <w:ind w:firstLine="200" w:firstLineChars="200"/>
    </w:pPr>
    <w:rPr>
      <w:rFonts w:ascii="楷体_GB2312" w:hAnsi="Times" w:eastAsia="楷体_GB2312" w:cs="等线"/>
      <w:sz w:val="24"/>
      <w:szCs w:val="24"/>
      <w:lang w:val="en-US" w:eastAsia="zh-CN" w:bidi="ar-SA"/>
    </w:rPr>
  </w:style>
  <w:style w:type="character" w:customStyle="1" w:styleId="187">
    <w:name w:val="font81"/>
    <w:basedOn w:val="40"/>
    <w:qFormat/>
    <w:uiPriority w:val="0"/>
    <w:rPr>
      <w:rFonts w:hint="eastAsia" w:ascii="宋体" w:hAnsi="宋体" w:eastAsia="宋体" w:cs="宋体"/>
      <w:color w:val="FF0000"/>
      <w:sz w:val="22"/>
      <w:szCs w:val="22"/>
      <w:u w:val="none"/>
    </w:rPr>
  </w:style>
  <w:style w:type="paragraph" w:styleId="188">
    <w:name w:val="No Spacing"/>
    <w:qFormat/>
    <w:uiPriority w:val="1"/>
    <w:pPr>
      <w:widowControl w:val="0"/>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29149-C0C9-4C3D-A53A-3174BA51BE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9451</Words>
  <Characters>53877</Characters>
  <Lines>448</Lines>
  <Paragraphs>126</Paragraphs>
  <TotalTime>41</TotalTime>
  <ScaleCrop>false</ScaleCrop>
  <LinksUpToDate>false</LinksUpToDate>
  <CharactersWithSpaces>63202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2020-01-03T01:14:00Z</dcterms:created>
  <dc:creator>  so_yoya╮</dc:creator>
  <cp:lastModifiedBy>，</cp:lastModifiedBy>
  <cp:lastPrinted>2021-10-08T04:37:00Z</cp:lastPrinted>
  <dcterms:modified xsi:type="dcterms:W3CDTF">2021-10-09T02:29:35Z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99F8DF9D28E448278F48CB67B8B54A82</vt:lpwstr>
  </property>
</Properties>
</file>