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80"/>
        </w:tabs>
        <w:kinsoku/>
        <w:overflowPunct/>
        <w:topLinePunct w:val="0"/>
        <w:bidi w:val="0"/>
        <w:spacing w:line="300" w:lineRule="auto"/>
        <w:jc w:val="both"/>
        <w:rPr>
          <w:rFonts w:ascii="仿宋_GB2312" w:eastAsia="仿宋_GB2312"/>
          <w:sz w:val="52"/>
        </w:rPr>
      </w:pPr>
      <w:bookmarkStart w:id="2076" w:name="_GoBack"/>
      <w:bookmarkEnd w:id="2076"/>
    </w:p>
    <w:p>
      <w:pPr>
        <w:tabs>
          <w:tab w:val="left" w:pos="5580"/>
        </w:tabs>
        <w:kinsoku/>
        <w:overflowPunct/>
        <w:topLinePunct w:val="0"/>
        <w:bidi w:val="0"/>
        <w:spacing w:line="300" w:lineRule="auto"/>
        <w:jc w:val="center"/>
        <w:rPr>
          <w:rFonts w:ascii="仿宋_GB2312" w:eastAsia="仿宋_GB2312"/>
          <w:sz w:val="52"/>
        </w:rPr>
      </w:pPr>
      <w:r>
        <w:rPr>
          <w:rFonts w:hint="eastAsia" w:ascii="仿宋_GB2312" w:eastAsia="仿宋_GB2312"/>
          <w:sz w:val="52"/>
        </w:rPr>
        <w:t>瑞安市公共资源交易中心</w:t>
      </w:r>
    </w:p>
    <w:p>
      <w:pPr>
        <w:kinsoku/>
        <w:overflowPunct/>
        <w:topLinePunct w:val="0"/>
        <w:bidi w:val="0"/>
        <w:spacing w:line="300" w:lineRule="auto"/>
        <w:rPr>
          <w:rFonts w:eastAsia="汉鼎简中楷"/>
          <w:sz w:val="52"/>
        </w:rPr>
      </w:pPr>
    </w:p>
    <w:p>
      <w:pPr>
        <w:kinsoku/>
        <w:overflowPunct/>
        <w:topLinePunct w:val="0"/>
        <w:bidi w:val="0"/>
        <w:spacing w:line="300" w:lineRule="auto"/>
        <w:rPr>
          <w:rFonts w:hint="eastAsia" w:eastAsia="汉鼎简中楷"/>
          <w:sz w:val="72"/>
          <w:lang w:val="en-US" w:eastAsia="zh-CN"/>
        </w:rPr>
      </w:pPr>
      <w:bookmarkStart w:id="0" w:name="_Hlt162751967"/>
      <w:bookmarkEnd w:id="0"/>
    </w:p>
    <w:p>
      <w:pPr>
        <w:kinsoku/>
        <w:overflowPunct/>
        <w:topLinePunct w:val="0"/>
        <w:bidi w:val="0"/>
        <w:spacing w:line="300" w:lineRule="auto"/>
        <w:jc w:val="center"/>
        <w:rPr>
          <w:rFonts w:ascii="楷体_GB2312" w:eastAsia="楷体_GB2312"/>
          <w:b/>
          <w:bCs/>
          <w:sz w:val="72"/>
        </w:rPr>
      </w:pPr>
      <w:r>
        <w:rPr>
          <w:rFonts w:hint="eastAsia" w:ascii="楷体_GB2312" w:eastAsia="楷体_GB2312"/>
          <w:b/>
          <w:bCs/>
          <w:sz w:val="72"/>
        </w:rPr>
        <w:t>磋商文件</w:t>
      </w:r>
    </w:p>
    <w:p>
      <w:pPr>
        <w:kinsoku/>
        <w:overflowPunct/>
        <w:topLinePunct w:val="0"/>
        <w:bidi w:val="0"/>
        <w:spacing w:line="300" w:lineRule="auto"/>
        <w:rPr>
          <w:rFonts w:ascii="汉鼎简中楷" w:eastAsia="汉鼎简中楷"/>
          <w:sz w:val="30"/>
        </w:rPr>
      </w:pPr>
    </w:p>
    <w:p>
      <w:pPr>
        <w:kinsoku/>
        <w:overflowPunct/>
        <w:topLinePunct w:val="0"/>
        <w:bidi w:val="0"/>
        <w:spacing w:line="300" w:lineRule="auto"/>
        <w:rPr>
          <w:rFonts w:ascii="汉鼎简中楷" w:eastAsia="汉鼎简中楷"/>
          <w:sz w:val="30"/>
        </w:rPr>
      </w:pPr>
    </w:p>
    <w:p>
      <w:pPr>
        <w:kinsoku/>
        <w:overflowPunct/>
        <w:topLinePunct w:val="0"/>
        <w:bidi w:val="0"/>
        <w:spacing w:line="300" w:lineRule="auto"/>
        <w:rPr>
          <w:rFonts w:ascii="汉鼎简中楷" w:eastAsia="汉鼎简中楷"/>
          <w:sz w:val="30"/>
        </w:rPr>
      </w:pPr>
    </w:p>
    <w:p>
      <w:pPr>
        <w:kinsoku/>
        <w:overflowPunct/>
        <w:topLinePunct w:val="0"/>
        <w:bidi w:val="0"/>
        <w:spacing w:line="300" w:lineRule="auto"/>
        <w:rPr>
          <w:rFonts w:hint="default" w:ascii="汉鼎简中楷" w:eastAsia="宋体"/>
          <w:sz w:val="30"/>
          <w:lang w:val="en-US" w:eastAsia="zh-CN"/>
        </w:rPr>
      </w:pPr>
      <w:r>
        <w:rPr>
          <w:rFonts w:hint="eastAsia" w:ascii="宋体" w:hAnsi="宋体"/>
          <w:sz w:val="30"/>
          <w:szCs w:val="30"/>
        </w:rPr>
        <w:t xml:space="preserve">         项 目 编 号：</w:t>
      </w:r>
      <w:r>
        <w:rPr>
          <w:rFonts w:hint="eastAsia" w:ascii="宋体" w:hAnsi="宋体"/>
          <w:sz w:val="30"/>
          <w:szCs w:val="30"/>
          <w:lang w:val="en-US" w:eastAsia="zh-CN"/>
        </w:rPr>
        <w:t>RACG201905028</w:t>
      </w:r>
    </w:p>
    <w:p>
      <w:pPr>
        <w:kinsoku/>
        <w:overflowPunct/>
        <w:topLinePunct w:val="0"/>
        <w:bidi w:val="0"/>
        <w:spacing w:line="300" w:lineRule="auto"/>
        <w:ind w:left="3300" w:hanging="3300" w:hangingChars="1100"/>
        <w:rPr>
          <w:rFonts w:hint="eastAsia" w:ascii="宋体" w:hAnsi="宋体" w:eastAsia="宋体"/>
          <w:sz w:val="30"/>
          <w:szCs w:val="30"/>
          <w:lang w:eastAsia="zh-CN"/>
        </w:rPr>
      </w:pPr>
      <w:r>
        <w:rPr>
          <w:rFonts w:hint="eastAsia" w:ascii="宋体" w:hAnsi="宋体"/>
          <w:sz w:val="30"/>
          <w:szCs w:val="30"/>
        </w:rPr>
        <w:t xml:space="preserve">         项 目 名 称：</w:t>
      </w:r>
      <w:r>
        <w:rPr>
          <w:rFonts w:hint="eastAsia" w:ascii="宋体" w:hAnsi="宋体"/>
          <w:sz w:val="30"/>
          <w:szCs w:val="30"/>
          <w:lang w:eastAsia="zh-CN"/>
        </w:rPr>
        <w:t>瑞安市玉海***业务用房改造智能化工程</w:t>
      </w:r>
    </w:p>
    <w:p>
      <w:pPr>
        <w:kinsoku/>
        <w:overflowPunct/>
        <w:topLinePunct w:val="0"/>
        <w:bidi w:val="0"/>
        <w:spacing w:line="300" w:lineRule="auto"/>
        <w:rPr>
          <w:rFonts w:ascii="宋体" w:hAnsi="宋体"/>
          <w:sz w:val="30"/>
          <w:szCs w:val="30"/>
        </w:rPr>
      </w:pPr>
      <w:r>
        <w:rPr>
          <w:rFonts w:hint="eastAsia" w:ascii="宋体" w:hAnsi="宋体"/>
          <w:sz w:val="30"/>
          <w:szCs w:val="30"/>
        </w:rPr>
        <w:t xml:space="preserve">         采 购 方 式：竞争性磋商</w:t>
      </w:r>
    </w:p>
    <w:p>
      <w:pPr>
        <w:kinsoku/>
        <w:overflowPunct/>
        <w:topLinePunct w:val="0"/>
        <w:bidi w:val="0"/>
        <w:spacing w:line="300" w:lineRule="auto"/>
        <w:ind w:right="-388" w:rightChars="-185"/>
        <w:rPr>
          <w:rFonts w:ascii="宋体" w:hAnsi="宋体"/>
          <w:sz w:val="30"/>
          <w:szCs w:val="30"/>
        </w:rPr>
      </w:pPr>
    </w:p>
    <w:p>
      <w:pPr>
        <w:kinsoku/>
        <w:overflowPunct/>
        <w:topLinePunct w:val="0"/>
        <w:bidi w:val="0"/>
        <w:spacing w:line="300" w:lineRule="auto"/>
        <w:rPr>
          <w:rFonts w:ascii="宋体" w:hAnsi="宋体"/>
          <w:sz w:val="30"/>
          <w:szCs w:val="30"/>
        </w:rPr>
      </w:pPr>
    </w:p>
    <w:p>
      <w:pPr>
        <w:kinsoku/>
        <w:overflowPunct/>
        <w:topLinePunct w:val="0"/>
        <w:bidi w:val="0"/>
        <w:spacing w:line="300" w:lineRule="auto"/>
        <w:rPr>
          <w:rFonts w:ascii="宋体" w:hAnsi="宋体"/>
          <w:sz w:val="30"/>
          <w:szCs w:val="30"/>
        </w:rPr>
      </w:pPr>
    </w:p>
    <w:p>
      <w:pPr>
        <w:kinsoku/>
        <w:overflowPunct/>
        <w:topLinePunct w:val="0"/>
        <w:bidi w:val="0"/>
        <w:spacing w:line="300" w:lineRule="auto"/>
        <w:rPr>
          <w:rFonts w:hint="eastAsia" w:ascii="宋体" w:hAnsi="宋体"/>
          <w:sz w:val="30"/>
          <w:szCs w:val="30"/>
        </w:rPr>
      </w:pPr>
      <w:r>
        <w:rPr>
          <w:rFonts w:hint="eastAsia" w:ascii="宋体" w:hAnsi="宋体"/>
          <w:sz w:val="30"/>
          <w:szCs w:val="30"/>
        </w:rPr>
        <w:t xml:space="preserve">         采   购   人：</w:t>
      </w:r>
      <w:r>
        <w:rPr>
          <w:rFonts w:hint="eastAsia" w:ascii="宋体" w:hAnsi="宋体" w:cs="宋体"/>
          <w:sz w:val="30"/>
          <w:szCs w:val="30"/>
        </w:rPr>
        <w:t>瑞安市公安局</w:t>
      </w:r>
    </w:p>
    <w:p>
      <w:pPr>
        <w:kinsoku/>
        <w:overflowPunct/>
        <w:topLinePunct w:val="0"/>
        <w:bidi w:val="0"/>
        <w:spacing w:line="300" w:lineRule="auto"/>
        <w:rPr>
          <w:rFonts w:ascii="宋体" w:hAnsi="宋体"/>
          <w:sz w:val="30"/>
          <w:szCs w:val="30"/>
        </w:rPr>
      </w:pPr>
      <w:r>
        <w:rPr>
          <w:rFonts w:hint="eastAsia" w:ascii="宋体" w:hAnsi="宋体"/>
          <w:sz w:val="30"/>
          <w:szCs w:val="30"/>
        </w:rPr>
        <w:t xml:space="preserve">         采购代理机构：浙江瑞扬工程咨询招标代理股份有限公司</w:t>
      </w:r>
    </w:p>
    <w:p>
      <w:pPr>
        <w:kinsoku/>
        <w:overflowPunct/>
        <w:topLinePunct w:val="0"/>
        <w:bidi w:val="0"/>
        <w:spacing w:line="300" w:lineRule="auto"/>
        <w:jc w:val="center"/>
        <w:rPr>
          <w:rFonts w:ascii="宋体" w:hAnsi="宋体"/>
          <w:sz w:val="30"/>
          <w:szCs w:val="30"/>
        </w:rPr>
      </w:pPr>
    </w:p>
    <w:p>
      <w:pPr>
        <w:kinsoku/>
        <w:overflowPunct/>
        <w:topLinePunct w:val="0"/>
        <w:bidi w:val="0"/>
        <w:spacing w:line="300" w:lineRule="auto"/>
        <w:jc w:val="center"/>
        <w:rPr>
          <w:rFonts w:ascii="汉鼎简中楷" w:eastAsia="汉鼎简中楷"/>
          <w:sz w:val="30"/>
        </w:rPr>
        <w:sectPr>
          <w:headerReference r:id="rId3" w:type="default"/>
          <w:pgSz w:w="11906" w:h="16838"/>
          <w:pgMar w:top="1588" w:right="1248" w:bottom="1134" w:left="1418" w:header="680" w:footer="992" w:gutter="0"/>
          <w:pgNumType w:start="1"/>
          <w:cols w:space="720" w:num="1"/>
          <w:docGrid w:type="lines" w:linePitch="312" w:charSpace="0"/>
        </w:sectPr>
      </w:pPr>
      <w:r>
        <w:rPr>
          <w:rFonts w:hint="eastAsia" w:ascii="宋体" w:hAnsi="宋体"/>
          <w:sz w:val="30"/>
          <w:szCs w:val="30"/>
        </w:rPr>
        <w:t>二○一九年</w:t>
      </w:r>
      <w:r>
        <w:rPr>
          <w:rFonts w:hint="eastAsia" w:ascii="宋体" w:hAnsi="宋体"/>
          <w:sz w:val="30"/>
          <w:szCs w:val="30"/>
          <w:lang w:eastAsia="zh-CN"/>
        </w:rPr>
        <w:t>五</w:t>
      </w:r>
      <w:r>
        <w:rPr>
          <w:rFonts w:hint="eastAsia" w:ascii="宋体" w:hAnsi="宋体"/>
          <w:sz w:val="30"/>
          <w:szCs w:val="30"/>
        </w:rPr>
        <w:t>月</w:t>
      </w:r>
    </w:p>
    <w:p>
      <w:pPr>
        <w:kinsoku/>
        <w:overflowPunct/>
        <w:topLinePunct w:val="0"/>
        <w:bidi w:val="0"/>
        <w:spacing w:before="240" w:beforeLines="100" w:after="240" w:afterLines="100" w:line="300" w:lineRule="auto"/>
        <w:jc w:val="center"/>
        <w:rPr>
          <w:b/>
          <w:sz w:val="32"/>
          <w:szCs w:val="32"/>
        </w:rPr>
      </w:pPr>
      <w:r>
        <w:rPr>
          <w:rFonts w:hint="eastAsia"/>
          <w:b/>
          <w:sz w:val="32"/>
          <w:szCs w:val="32"/>
        </w:rPr>
        <w:t>目    录</w:t>
      </w:r>
    </w:p>
    <w:p>
      <w:pPr>
        <w:pStyle w:val="37"/>
        <w:tabs>
          <w:tab w:val="right" w:leader="dot" w:pos="8504"/>
          <w:tab w:val="clear" w:pos="8948"/>
        </w:tabs>
        <w:kinsoku/>
        <w:overflowPunct/>
        <w:topLinePunct w:val="0"/>
        <w:bidi w:val="0"/>
        <w:spacing w:line="300" w:lineRule="auto"/>
      </w:pPr>
      <w:r>
        <w:rPr>
          <w:b w:val="0"/>
          <w:kern w:val="2"/>
          <w:sz w:val="24"/>
          <w:szCs w:val="24"/>
        </w:rPr>
        <w:fldChar w:fldCharType="begin"/>
      </w:r>
      <w:r>
        <w:rPr>
          <w:b w:val="0"/>
          <w:kern w:val="2"/>
          <w:sz w:val="24"/>
          <w:szCs w:val="24"/>
        </w:rPr>
        <w:instrText xml:space="preserve"> TOC \o "1-3" \h \z \u </w:instrText>
      </w:r>
      <w:r>
        <w:rPr>
          <w:b w:val="0"/>
          <w:kern w:val="2"/>
          <w:sz w:val="24"/>
          <w:szCs w:val="24"/>
        </w:rPr>
        <w:fldChar w:fldCharType="separate"/>
      </w:r>
      <w:r>
        <w:rPr>
          <w:kern w:val="2"/>
          <w:szCs w:val="24"/>
        </w:rPr>
        <w:fldChar w:fldCharType="begin"/>
      </w:r>
      <w:r>
        <w:rPr>
          <w:kern w:val="2"/>
          <w:szCs w:val="24"/>
        </w:rPr>
        <w:instrText xml:space="preserve"> HYPERLINK \l _Toc20502 </w:instrText>
      </w:r>
      <w:r>
        <w:rPr>
          <w:kern w:val="2"/>
          <w:szCs w:val="24"/>
        </w:rPr>
        <w:fldChar w:fldCharType="separate"/>
      </w:r>
      <w:r>
        <w:rPr>
          <w:rFonts w:hint="eastAsia" w:hAnsi="宋体"/>
          <w:szCs w:val="36"/>
        </w:rPr>
        <w:t>第一部分 采购公告</w:t>
      </w:r>
      <w:r>
        <w:tab/>
      </w:r>
      <w:r>
        <w:fldChar w:fldCharType="begin"/>
      </w:r>
      <w:r>
        <w:instrText xml:space="preserve"> PAGEREF _Toc20502 </w:instrText>
      </w:r>
      <w:r>
        <w:fldChar w:fldCharType="separate"/>
      </w:r>
      <w:r>
        <w:t>- 3 -</w:t>
      </w:r>
      <w:r>
        <w:fldChar w:fldCharType="end"/>
      </w:r>
      <w:r>
        <w:rPr>
          <w:kern w:val="2"/>
          <w:szCs w:val="24"/>
        </w:rPr>
        <w:fldChar w:fldCharType="end"/>
      </w:r>
    </w:p>
    <w:p>
      <w:pPr>
        <w:pStyle w:val="37"/>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_Toc13708 </w:instrText>
      </w:r>
      <w:r>
        <w:rPr>
          <w:kern w:val="2"/>
          <w:szCs w:val="24"/>
        </w:rPr>
        <w:fldChar w:fldCharType="separate"/>
      </w:r>
      <w:r>
        <w:rPr>
          <w:rFonts w:hint="eastAsia" w:hAnsi="宋体"/>
          <w:szCs w:val="36"/>
        </w:rPr>
        <w:t>第二部分  磋商供应商须知</w:t>
      </w:r>
      <w:r>
        <w:tab/>
      </w:r>
      <w:r>
        <w:fldChar w:fldCharType="begin"/>
      </w:r>
      <w:r>
        <w:instrText xml:space="preserve"> PAGEREF _Toc13708 </w:instrText>
      </w:r>
      <w:r>
        <w:fldChar w:fldCharType="separate"/>
      </w:r>
      <w:r>
        <w:t>- 5 -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_Toc157 </w:instrText>
      </w:r>
      <w:r>
        <w:rPr>
          <w:kern w:val="2"/>
          <w:szCs w:val="24"/>
        </w:rPr>
        <w:fldChar w:fldCharType="separate"/>
      </w:r>
      <w:r>
        <w:rPr>
          <w:rFonts w:hint="eastAsia"/>
          <w:szCs w:val="24"/>
        </w:rPr>
        <w:t>（一）</w:t>
      </w:r>
      <w:r>
        <w:rPr>
          <w:rFonts w:hint="eastAsia"/>
          <w:bCs/>
          <w:szCs w:val="24"/>
        </w:rPr>
        <w:t>磋商须知前附表</w:t>
      </w:r>
      <w:r>
        <w:tab/>
      </w:r>
      <w:r>
        <w:fldChar w:fldCharType="begin"/>
      </w:r>
      <w:r>
        <w:instrText xml:space="preserve"> PAGEREF _Toc157 </w:instrText>
      </w:r>
      <w:r>
        <w:fldChar w:fldCharType="separate"/>
      </w:r>
      <w:r>
        <w:t>- 5 -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_Toc18624 </w:instrText>
      </w:r>
      <w:r>
        <w:rPr>
          <w:kern w:val="2"/>
          <w:szCs w:val="24"/>
        </w:rPr>
        <w:fldChar w:fldCharType="separate"/>
      </w:r>
      <w:r>
        <w:rPr>
          <w:rFonts w:hint="eastAsia"/>
          <w:szCs w:val="24"/>
        </w:rPr>
        <w:t>（二）总   则</w:t>
      </w:r>
      <w:r>
        <w:tab/>
      </w:r>
      <w:r>
        <w:fldChar w:fldCharType="begin"/>
      </w:r>
      <w:r>
        <w:instrText xml:space="preserve"> PAGEREF _Toc18624 </w:instrText>
      </w:r>
      <w:r>
        <w:fldChar w:fldCharType="separate"/>
      </w:r>
      <w:r>
        <w:t>- 8 -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_Toc24899 </w:instrText>
      </w:r>
      <w:r>
        <w:rPr>
          <w:kern w:val="2"/>
          <w:szCs w:val="24"/>
        </w:rPr>
        <w:fldChar w:fldCharType="separate"/>
      </w:r>
      <w:r>
        <w:rPr>
          <w:rFonts w:hint="eastAsia"/>
          <w:szCs w:val="24"/>
        </w:rPr>
        <w:t>（三）磋商文件说明</w:t>
      </w:r>
      <w:r>
        <w:tab/>
      </w:r>
      <w:r>
        <w:fldChar w:fldCharType="begin"/>
      </w:r>
      <w:r>
        <w:instrText xml:space="preserve"> PAGEREF _Toc24899 </w:instrText>
      </w:r>
      <w:r>
        <w:fldChar w:fldCharType="separate"/>
      </w:r>
      <w:r>
        <w:t>- 9 -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_Toc2222 </w:instrText>
      </w:r>
      <w:r>
        <w:rPr>
          <w:kern w:val="2"/>
          <w:szCs w:val="24"/>
        </w:rPr>
        <w:fldChar w:fldCharType="separate"/>
      </w:r>
      <w:r>
        <w:rPr>
          <w:rFonts w:hint="eastAsia"/>
          <w:szCs w:val="24"/>
        </w:rPr>
        <w:t>（四）磋商响应文件的编制</w:t>
      </w:r>
      <w:r>
        <w:tab/>
      </w:r>
      <w:r>
        <w:fldChar w:fldCharType="begin"/>
      </w:r>
      <w:r>
        <w:instrText xml:space="preserve"> PAGEREF _Toc2222 </w:instrText>
      </w:r>
      <w:r>
        <w:fldChar w:fldCharType="separate"/>
      </w:r>
      <w:r>
        <w:t>- 10 -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_Toc18482 </w:instrText>
      </w:r>
      <w:r>
        <w:rPr>
          <w:kern w:val="2"/>
          <w:szCs w:val="24"/>
        </w:rPr>
        <w:fldChar w:fldCharType="separate"/>
      </w:r>
      <w:r>
        <w:rPr>
          <w:rFonts w:hint="eastAsia"/>
          <w:szCs w:val="24"/>
        </w:rPr>
        <w:t>（五）磋商响应文件的递交</w:t>
      </w:r>
      <w:r>
        <w:tab/>
      </w:r>
      <w:r>
        <w:fldChar w:fldCharType="begin"/>
      </w:r>
      <w:r>
        <w:instrText xml:space="preserve"> PAGEREF _Toc18482 </w:instrText>
      </w:r>
      <w:r>
        <w:fldChar w:fldCharType="separate"/>
      </w:r>
      <w:r>
        <w:t>- 15 -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_Toc9278 </w:instrText>
      </w:r>
      <w:r>
        <w:rPr>
          <w:kern w:val="2"/>
          <w:szCs w:val="24"/>
        </w:rPr>
        <w:fldChar w:fldCharType="separate"/>
      </w:r>
      <w:r>
        <w:rPr>
          <w:rFonts w:hint="eastAsia"/>
          <w:szCs w:val="24"/>
        </w:rPr>
        <w:t>（六）磋商与评审</w:t>
      </w:r>
      <w:r>
        <w:tab/>
      </w:r>
      <w:r>
        <w:fldChar w:fldCharType="begin"/>
      </w:r>
      <w:r>
        <w:instrText xml:space="preserve"> PAGEREF _Toc9278 </w:instrText>
      </w:r>
      <w:r>
        <w:fldChar w:fldCharType="separate"/>
      </w:r>
      <w:r>
        <w:t>- 16 -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_Toc6275 </w:instrText>
      </w:r>
      <w:r>
        <w:rPr>
          <w:kern w:val="2"/>
          <w:szCs w:val="24"/>
        </w:rPr>
        <w:fldChar w:fldCharType="separate"/>
      </w:r>
      <w:r>
        <w:rPr>
          <w:rFonts w:hint="eastAsia"/>
          <w:szCs w:val="24"/>
        </w:rPr>
        <w:t>（七）授予合同</w:t>
      </w:r>
      <w:r>
        <w:tab/>
      </w:r>
      <w:r>
        <w:fldChar w:fldCharType="begin"/>
      </w:r>
      <w:r>
        <w:instrText xml:space="preserve"> PAGEREF _Toc6275 </w:instrText>
      </w:r>
      <w:r>
        <w:fldChar w:fldCharType="separate"/>
      </w:r>
      <w:r>
        <w:t>- 20 -</w:t>
      </w:r>
      <w:r>
        <w:fldChar w:fldCharType="end"/>
      </w:r>
      <w:r>
        <w:rPr>
          <w:kern w:val="2"/>
          <w:szCs w:val="24"/>
        </w:rPr>
        <w:fldChar w:fldCharType="end"/>
      </w:r>
    </w:p>
    <w:p>
      <w:pPr>
        <w:pStyle w:val="37"/>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_Toc23022 </w:instrText>
      </w:r>
      <w:r>
        <w:rPr>
          <w:kern w:val="2"/>
          <w:szCs w:val="24"/>
        </w:rPr>
        <w:fldChar w:fldCharType="separate"/>
      </w:r>
      <w:r>
        <w:rPr>
          <w:rFonts w:hint="eastAsia" w:hAnsi="宋体"/>
          <w:szCs w:val="36"/>
        </w:rPr>
        <w:t xml:space="preserve">第三部分  </w:t>
      </w:r>
      <w:r>
        <w:rPr>
          <w:rFonts w:hint="eastAsia" w:hAnsi="宋体"/>
          <w:szCs w:val="36"/>
          <w:lang w:eastAsia="zh-CN"/>
        </w:rPr>
        <w:t>采购</w:t>
      </w:r>
      <w:r>
        <w:rPr>
          <w:rFonts w:hint="eastAsia" w:hAnsi="宋体"/>
          <w:szCs w:val="36"/>
        </w:rPr>
        <w:t>内容及要求</w:t>
      </w:r>
      <w:r>
        <w:tab/>
      </w:r>
      <w:r>
        <w:fldChar w:fldCharType="begin"/>
      </w:r>
      <w:r>
        <w:instrText xml:space="preserve"> PAGEREF _Toc23022 </w:instrText>
      </w:r>
      <w:r>
        <w:fldChar w:fldCharType="separate"/>
      </w:r>
      <w:r>
        <w:t>- 21 -</w:t>
      </w:r>
      <w:r>
        <w:fldChar w:fldCharType="end"/>
      </w:r>
      <w:r>
        <w:rPr>
          <w:kern w:val="2"/>
          <w:szCs w:val="24"/>
        </w:rPr>
        <w:fldChar w:fldCharType="end"/>
      </w:r>
    </w:p>
    <w:p>
      <w:pPr>
        <w:pStyle w:val="37"/>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_Toc21812 </w:instrText>
      </w:r>
      <w:r>
        <w:rPr>
          <w:kern w:val="2"/>
          <w:szCs w:val="24"/>
        </w:rPr>
        <w:fldChar w:fldCharType="separate"/>
      </w:r>
      <w:r>
        <w:rPr>
          <w:rFonts w:hint="eastAsia" w:hAnsi="宋体"/>
          <w:szCs w:val="36"/>
        </w:rPr>
        <w:t>第四部分  合同条款</w:t>
      </w:r>
      <w:r>
        <w:tab/>
      </w:r>
      <w:r>
        <w:fldChar w:fldCharType="begin"/>
      </w:r>
      <w:r>
        <w:instrText xml:space="preserve"> PAGEREF _Toc21812 </w:instrText>
      </w:r>
      <w:r>
        <w:fldChar w:fldCharType="separate"/>
      </w:r>
      <w:r>
        <w:t>- 55 -</w:t>
      </w:r>
      <w:r>
        <w:fldChar w:fldCharType="end"/>
      </w:r>
      <w:r>
        <w:rPr>
          <w:kern w:val="2"/>
          <w:szCs w:val="24"/>
        </w:rPr>
        <w:fldChar w:fldCharType="end"/>
      </w:r>
    </w:p>
    <w:p>
      <w:pPr>
        <w:pStyle w:val="28"/>
        <w:tabs>
          <w:tab w:val="right" w:leader="dot" w:pos="8504"/>
        </w:tabs>
        <w:kinsoku/>
        <w:overflowPunct/>
        <w:topLinePunct w:val="0"/>
        <w:bidi w:val="0"/>
        <w:spacing w:line="300" w:lineRule="auto"/>
      </w:pPr>
      <w:r>
        <w:rPr>
          <w:kern w:val="2"/>
          <w:szCs w:val="24"/>
        </w:rPr>
        <w:fldChar w:fldCharType="begin"/>
      </w:r>
      <w:r>
        <w:rPr>
          <w:kern w:val="2"/>
          <w:szCs w:val="24"/>
        </w:rPr>
        <w:instrText xml:space="preserve"> HYPERLINK \l _Toc18485 </w:instrText>
      </w:r>
      <w:r>
        <w:rPr>
          <w:kern w:val="2"/>
          <w:szCs w:val="24"/>
        </w:rPr>
        <w:fldChar w:fldCharType="separate"/>
      </w:r>
      <w:r>
        <w:rPr>
          <w:rFonts w:hint="eastAsia" w:ascii="宋体" w:hAnsi="宋体"/>
          <w:szCs w:val="28"/>
        </w:rPr>
        <w:t>第一节 合同协议书</w:t>
      </w:r>
      <w:r>
        <w:tab/>
      </w:r>
      <w:r>
        <w:fldChar w:fldCharType="begin"/>
      </w:r>
      <w:r>
        <w:instrText xml:space="preserve"> PAGEREF _Toc18485 </w:instrText>
      </w:r>
      <w:r>
        <w:fldChar w:fldCharType="separate"/>
      </w:r>
      <w:r>
        <w:t>- 55 -</w:t>
      </w:r>
      <w:r>
        <w:fldChar w:fldCharType="end"/>
      </w:r>
      <w:r>
        <w:rPr>
          <w:kern w:val="2"/>
          <w:szCs w:val="24"/>
        </w:rPr>
        <w:fldChar w:fldCharType="end"/>
      </w:r>
    </w:p>
    <w:p>
      <w:pPr>
        <w:pStyle w:val="28"/>
        <w:tabs>
          <w:tab w:val="right" w:leader="dot" w:pos="8504"/>
        </w:tabs>
        <w:kinsoku/>
        <w:overflowPunct/>
        <w:topLinePunct w:val="0"/>
        <w:bidi w:val="0"/>
        <w:spacing w:line="300" w:lineRule="auto"/>
      </w:pPr>
      <w:r>
        <w:rPr>
          <w:kern w:val="2"/>
          <w:szCs w:val="24"/>
        </w:rPr>
        <w:fldChar w:fldCharType="begin"/>
      </w:r>
      <w:r>
        <w:rPr>
          <w:kern w:val="2"/>
          <w:szCs w:val="24"/>
        </w:rPr>
        <w:instrText xml:space="preserve"> HYPERLINK \l _Toc19275 </w:instrText>
      </w:r>
      <w:r>
        <w:rPr>
          <w:kern w:val="2"/>
          <w:szCs w:val="24"/>
        </w:rPr>
        <w:fldChar w:fldCharType="separate"/>
      </w:r>
      <w:r>
        <w:rPr>
          <w:rFonts w:hint="eastAsia" w:ascii="宋体" w:hAnsi="宋体"/>
          <w:szCs w:val="28"/>
        </w:rPr>
        <w:t>第二节 通用合同条款（略）</w:t>
      </w:r>
      <w:r>
        <w:tab/>
      </w:r>
      <w:r>
        <w:fldChar w:fldCharType="begin"/>
      </w:r>
      <w:r>
        <w:instrText xml:space="preserve"> PAGEREF _Toc19275 </w:instrText>
      </w:r>
      <w:r>
        <w:fldChar w:fldCharType="separate"/>
      </w:r>
      <w:r>
        <w:t>- 58 -</w:t>
      </w:r>
      <w:r>
        <w:fldChar w:fldCharType="end"/>
      </w:r>
      <w:r>
        <w:rPr>
          <w:kern w:val="2"/>
          <w:szCs w:val="24"/>
        </w:rPr>
        <w:fldChar w:fldCharType="end"/>
      </w:r>
    </w:p>
    <w:p>
      <w:pPr>
        <w:pStyle w:val="28"/>
        <w:tabs>
          <w:tab w:val="right" w:leader="dot" w:pos="8504"/>
        </w:tabs>
        <w:kinsoku/>
        <w:overflowPunct/>
        <w:topLinePunct w:val="0"/>
        <w:bidi w:val="0"/>
        <w:spacing w:line="300" w:lineRule="auto"/>
      </w:pPr>
      <w:r>
        <w:rPr>
          <w:kern w:val="2"/>
          <w:szCs w:val="24"/>
        </w:rPr>
        <w:fldChar w:fldCharType="begin"/>
      </w:r>
      <w:r>
        <w:rPr>
          <w:kern w:val="2"/>
          <w:szCs w:val="24"/>
        </w:rPr>
        <w:instrText xml:space="preserve"> HYPERLINK \l _Toc15315 </w:instrText>
      </w:r>
      <w:r>
        <w:rPr>
          <w:kern w:val="2"/>
          <w:szCs w:val="24"/>
        </w:rPr>
        <w:fldChar w:fldCharType="separate"/>
      </w:r>
      <w:r>
        <w:rPr>
          <w:rFonts w:hint="eastAsia" w:ascii="宋体" w:hAnsi="宋体"/>
          <w:szCs w:val="28"/>
        </w:rPr>
        <w:t>第三节 专用合同条款</w:t>
      </w:r>
      <w:r>
        <w:tab/>
      </w:r>
      <w:r>
        <w:fldChar w:fldCharType="begin"/>
      </w:r>
      <w:r>
        <w:instrText xml:space="preserve"> PAGEREF _Toc15315 </w:instrText>
      </w:r>
      <w:r>
        <w:fldChar w:fldCharType="separate"/>
      </w:r>
      <w:r>
        <w:t>- 59 -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_Toc23369 </w:instrText>
      </w:r>
      <w:r>
        <w:rPr>
          <w:kern w:val="2"/>
          <w:szCs w:val="24"/>
        </w:rPr>
        <w:fldChar w:fldCharType="separate"/>
      </w:r>
      <w:r>
        <w:t>2</w:t>
      </w:r>
      <w:r>
        <w:rPr>
          <w:rFonts w:hint="eastAsia"/>
        </w:rPr>
        <w:t>1</w:t>
      </w:r>
      <w:r>
        <w:t xml:space="preserve">. </w:t>
      </w:r>
      <w:r>
        <w:rPr>
          <w:rFonts w:hint="eastAsia"/>
        </w:rPr>
        <w:t>补充条款</w:t>
      </w:r>
      <w:r>
        <w:tab/>
      </w:r>
      <w:r>
        <w:fldChar w:fldCharType="begin"/>
      </w:r>
      <w:r>
        <w:instrText xml:space="preserve"> PAGEREF _Toc23369 </w:instrText>
      </w:r>
      <w:r>
        <w:fldChar w:fldCharType="separate"/>
      </w:r>
      <w:r>
        <w:t>- 78 -</w:t>
      </w:r>
      <w:r>
        <w:fldChar w:fldCharType="end"/>
      </w:r>
      <w:r>
        <w:rPr>
          <w:kern w:val="2"/>
          <w:szCs w:val="24"/>
        </w:rPr>
        <w:fldChar w:fldCharType="end"/>
      </w:r>
    </w:p>
    <w:p>
      <w:pPr>
        <w:pStyle w:val="37"/>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_Toc18711 </w:instrText>
      </w:r>
      <w:r>
        <w:rPr>
          <w:kern w:val="2"/>
          <w:szCs w:val="24"/>
        </w:rPr>
        <w:fldChar w:fldCharType="separate"/>
      </w:r>
      <w:r>
        <w:rPr>
          <w:rFonts w:hint="eastAsia" w:hAnsi="宋体"/>
          <w:szCs w:val="36"/>
        </w:rPr>
        <w:t>第五部分  磋商响应文件格式</w:t>
      </w:r>
      <w:r>
        <w:tab/>
      </w:r>
      <w:r>
        <w:fldChar w:fldCharType="begin"/>
      </w:r>
      <w:r>
        <w:instrText xml:space="preserve"> PAGEREF _Toc18711 </w:instrText>
      </w:r>
      <w:r>
        <w:fldChar w:fldCharType="separate"/>
      </w:r>
      <w:r>
        <w:t>- 101 -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_Toc18163 </w:instrText>
      </w:r>
      <w:r>
        <w:rPr>
          <w:kern w:val="2"/>
          <w:szCs w:val="24"/>
        </w:rPr>
        <w:fldChar w:fldCharType="separate"/>
      </w:r>
      <w:r>
        <w:rPr>
          <w:rFonts w:hint="eastAsia" w:hAnsi="宋体"/>
          <w:szCs w:val="36"/>
        </w:rPr>
        <w:t>附件一 -1 法定代表人授权委托书</w:t>
      </w:r>
      <w:r>
        <w:tab/>
      </w:r>
      <w:r>
        <w:fldChar w:fldCharType="begin"/>
      </w:r>
      <w:r>
        <w:instrText xml:space="preserve"> PAGEREF _Toc18163 </w:instrText>
      </w:r>
      <w:r>
        <w:fldChar w:fldCharType="separate"/>
      </w:r>
      <w:r>
        <w:t>- 102 -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_Toc14517 </w:instrText>
      </w:r>
      <w:r>
        <w:rPr>
          <w:kern w:val="2"/>
          <w:szCs w:val="24"/>
        </w:rPr>
        <w:fldChar w:fldCharType="separate"/>
      </w:r>
      <w:r>
        <w:rPr>
          <w:rFonts w:hint="eastAsia" w:hAnsi="宋体"/>
          <w:szCs w:val="36"/>
        </w:rPr>
        <w:t xml:space="preserve">附件一 -2 </w:t>
      </w:r>
      <w:r>
        <w:rPr>
          <w:rFonts w:hAnsi="宋体"/>
          <w:szCs w:val="36"/>
        </w:rPr>
        <w:t>法定代表人</w:t>
      </w:r>
      <w:r>
        <w:rPr>
          <w:rFonts w:hint="eastAsia" w:hAnsi="宋体"/>
          <w:szCs w:val="36"/>
        </w:rPr>
        <w:t>身份</w:t>
      </w:r>
      <w:r>
        <w:rPr>
          <w:rFonts w:hAnsi="宋体"/>
          <w:szCs w:val="36"/>
        </w:rPr>
        <w:t>证明</w:t>
      </w:r>
      <w:r>
        <w:tab/>
      </w:r>
      <w:r>
        <w:fldChar w:fldCharType="begin"/>
      </w:r>
      <w:r>
        <w:instrText xml:space="preserve"> PAGEREF _Toc14517 </w:instrText>
      </w:r>
      <w:r>
        <w:fldChar w:fldCharType="separate"/>
      </w:r>
      <w:r>
        <w:t>- 103 -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_Toc30428 </w:instrText>
      </w:r>
      <w:r>
        <w:rPr>
          <w:kern w:val="2"/>
          <w:szCs w:val="24"/>
        </w:rPr>
        <w:fldChar w:fldCharType="separate"/>
      </w:r>
      <w:r>
        <w:rPr>
          <w:rFonts w:hint="eastAsia" w:hAnsi="宋体"/>
          <w:szCs w:val="36"/>
        </w:rPr>
        <w:t>附件二</w:t>
      </w:r>
      <w:r>
        <w:rPr>
          <w:rFonts w:hAnsi="宋体"/>
          <w:szCs w:val="36"/>
        </w:rPr>
        <w:t xml:space="preserve">   </w:t>
      </w:r>
      <w:r>
        <w:rPr>
          <w:rFonts w:hint="eastAsia" w:hAnsi="宋体"/>
          <w:szCs w:val="36"/>
        </w:rPr>
        <w:t>磋 商 函</w:t>
      </w:r>
      <w:r>
        <w:tab/>
      </w:r>
      <w:r>
        <w:fldChar w:fldCharType="begin"/>
      </w:r>
      <w:r>
        <w:instrText xml:space="preserve"> PAGEREF _Toc30428 </w:instrText>
      </w:r>
      <w:r>
        <w:fldChar w:fldCharType="separate"/>
      </w:r>
      <w:r>
        <w:t>- 104 -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_Toc16850 </w:instrText>
      </w:r>
      <w:r>
        <w:rPr>
          <w:kern w:val="2"/>
          <w:szCs w:val="24"/>
        </w:rPr>
        <w:fldChar w:fldCharType="separate"/>
      </w:r>
      <w:r>
        <w:rPr>
          <w:rFonts w:hint="eastAsia" w:hAnsi="宋体"/>
          <w:szCs w:val="36"/>
        </w:rPr>
        <w:t>附件三  第（大写数字）轮报价一览表</w:t>
      </w:r>
      <w:r>
        <w:tab/>
      </w:r>
      <w:r>
        <w:fldChar w:fldCharType="begin"/>
      </w:r>
      <w:r>
        <w:instrText xml:space="preserve"> PAGEREF _Toc16850 </w:instrText>
      </w:r>
      <w:r>
        <w:fldChar w:fldCharType="separate"/>
      </w:r>
      <w:r>
        <w:t>- 105 -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_Toc3429 </w:instrText>
      </w:r>
      <w:r>
        <w:rPr>
          <w:kern w:val="2"/>
          <w:szCs w:val="24"/>
        </w:rPr>
        <w:fldChar w:fldCharType="separate"/>
      </w:r>
      <w:r>
        <w:rPr>
          <w:rFonts w:hint="eastAsia" w:hAnsi="宋体"/>
          <w:szCs w:val="36"/>
        </w:rPr>
        <w:t>附件四   已标价工程量清单</w:t>
      </w:r>
      <w:r>
        <w:tab/>
      </w:r>
      <w:r>
        <w:fldChar w:fldCharType="begin"/>
      </w:r>
      <w:r>
        <w:instrText xml:space="preserve"> PAGEREF _Toc3429 </w:instrText>
      </w:r>
      <w:r>
        <w:fldChar w:fldCharType="separate"/>
      </w:r>
      <w:r>
        <w:t>- 106 -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_Toc8455 </w:instrText>
      </w:r>
      <w:r>
        <w:rPr>
          <w:kern w:val="2"/>
          <w:szCs w:val="24"/>
        </w:rPr>
        <w:fldChar w:fldCharType="separate"/>
      </w:r>
      <w:r>
        <w:rPr>
          <w:rFonts w:hint="eastAsia" w:hAnsi="宋体"/>
          <w:szCs w:val="36"/>
        </w:rPr>
        <w:t>附件五   资格审查申请函</w:t>
      </w:r>
      <w:r>
        <w:tab/>
      </w:r>
      <w:r>
        <w:fldChar w:fldCharType="begin"/>
      </w:r>
      <w:r>
        <w:instrText xml:space="preserve"> PAGEREF _Toc8455 </w:instrText>
      </w:r>
      <w:r>
        <w:fldChar w:fldCharType="separate"/>
      </w:r>
      <w:r>
        <w:t>- 129 -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_Toc14305 </w:instrText>
      </w:r>
      <w:r>
        <w:rPr>
          <w:kern w:val="2"/>
          <w:szCs w:val="24"/>
        </w:rPr>
        <w:fldChar w:fldCharType="separate"/>
      </w:r>
      <w:r>
        <w:rPr>
          <w:rFonts w:hint="eastAsia" w:hAnsi="宋体"/>
          <w:szCs w:val="36"/>
        </w:rPr>
        <w:t>附件六   承诺书</w:t>
      </w:r>
      <w:r>
        <w:tab/>
      </w:r>
      <w:r>
        <w:fldChar w:fldCharType="begin"/>
      </w:r>
      <w:r>
        <w:instrText xml:space="preserve"> PAGEREF _Toc14305 </w:instrText>
      </w:r>
      <w:r>
        <w:fldChar w:fldCharType="separate"/>
      </w:r>
      <w:r>
        <w:t>- 130 -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_Toc27616 </w:instrText>
      </w:r>
      <w:r>
        <w:rPr>
          <w:kern w:val="2"/>
          <w:szCs w:val="24"/>
        </w:rPr>
        <w:fldChar w:fldCharType="separate"/>
      </w:r>
      <w:r>
        <w:rPr>
          <w:rFonts w:hint="eastAsia" w:hAnsi="宋体"/>
          <w:szCs w:val="36"/>
        </w:rPr>
        <w:t>附件七   技术响应表</w:t>
      </w:r>
      <w:r>
        <w:tab/>
      </w:r>
      <w:r>
        <w:fldChar w:fldCharType="begin"/>
      </w:r>
      <w:r>
        <w:instrText xml:space="preserve"> PAGEREF _Toc27616 </w:instrText>
      </w:r>
      <w:r>
        <w:fldChar w:fldCharType="separate"/>
      </w:r>
      <w:r>
        <w:t>- 131 -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rPr>
          <w:kern w:val="2"/>
          <w:szCs w:val="24"/>
        </w:rPr>
      </w:pPr>
      <w:r>
        <w:rPr>
          <w:kern w:val="2"/>
          <w:szCs w:val="24"/>
        </w:rPr>
        <w:fldChar w:fldCharType="begin"/>
      </w:r>
      <w:r>
        <w:rPr>
          <w:kern w:val="2"/>
          <w:szCs w:val="24"/>
        </w:rPr>
        <w:instrText xml:space="preserve"> HYPERLINK \l _Toc18114 </w:instrText>
      </w:r>
      <w:r>
        <w:rPr>
          <w:kern w:val="2"/>
          <w:szCs w:val="24"/>
        </w:rPr>
        <w:fldChar w:fldCharType="separate"/>
      </w:r>
      <w:r>
        <w:rPr>
          <w:rFonts w:hint="eastAsia"/>
          <w:kern w:val="2"/>
          <w:szCs w:val="24"/>
          <w:lang w:val="en-US" w:eastAsia="zh-CN"/>
        </w:rPr>
        <w:t>附件八    建议与少量偏离表</w:t>
      </w:r>
      <w:r>
        <w:rPr>
          <w:kern w:val="2"/>
          <w:szCs w:val="24"/>
        </w:rPr>
        <w:tab/>
      </w:r>
      <w:r>
        <w:rPr>
          <w:kern w:val="2"/>
          <w:szCs w:val="24"/>
        </w:rPr>
        <w:fldChar w:fldCharType="begin"/>
      </w:r>
      <w:r>
        <w:rPr>
          <w:kern w:val="2"/>
          <w:szCs w:val="24"/>
        </w:rPr>
        <w:instrText xml:space="preserve"> PAGEREF _Toc18114 </w:instrText>
      </w:r>
      <w:r>
        <w:rPr>
          <w:kern w:val="2"/>
          <w:szCs w:val="24"/>
        </w:rPr>
        <w:fldChar w:fldCharType="separate"/>
      </w:r>
      <w:r>
        <w:rPr>
          <w:kern w:val="2"/>
          <w:szCs w:val="24"/>
        </w:rPr>
        <w:t>- 132 -</w:t>
      </w:r>
      <w:r>
        <w:rPr>
          <w:kern w:val="2"/>
          <w:szCs w:val="24"/>
        </w:rP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_Toc32689 </w:instrText>
      </w:r>
      <w:r>
        <w:rPr>
          <w:kern w:val="2"/>
          <w:szCs w:val="24"/>
        </w:rPr>
        <w:fldChar w:fldCharType="separate"/>
      </w:r>
      <w:r>
        <w:rPr>
          <w:rFonts w:hint="eastAsia" w:ascii="Cambria" w:hAnsi="宋体" w:eastAsia="宋体" w:cs="Times New Roman"/>
          <w:bCs/>
          <w:kern w:val="0"/>
          <w:szCs w:val="36"/>
          <w:lang w:val="en-US" w:eastAsia="zh-CN" w:bidi="ar-SA"/>
        </w:rPr>
        <w:t>附件</w:t>
      </w:r>
      <w:r>
        <w:rPr>
          <w:rFonts w:hint="eastAsia" w:hAnsi="宋体" w:cs="Times New Roman"/>
          <w:bCs/>
          <w:kern w:val="0"/>
          <w:szCs w:val="36"/>
          <w:lang w:val="en-US" w:eastAsia="zh-CN" w:bidi="ar-SA"/>
        </w:rPr>
        <w:t xml:space="preserve">九  </w:t>
      </w:r>
      <w:r>
        <w:rPr>
          <w:rFonts w:hint="eastAsia" w:ascii="Cambria" w:hAnsi="宋体" w:eastAsia="宋体" w:cs="Times New Roman"/>
          <w:bCs/>
          <w:kern w:val="0"/>
          <w:szCs w:val="36"/>
          <w:lang w:val="en-US" w:eastAsia="zh-CN" w:bidi="ar-SA"/>
        </w:rPr>
        <w:t xml:space="preserve"> </w:t>
      </w:r>
      <w:r>
        <w:rPr>
          <w:rFonts w:hint="eastAsia" w:hAnsi="宋体"/>
          <w:szCs w:val="36"/>
        </w:rPr>
        <w:t>磋商供应商基本情况表</w:t>
      </w:r>
      <w:r>
        <w:tab/>
      </w:r>
      <w:r>
        <w:fldChar w:fldCharType="begin"/>
      </w:r>
      <w:r>
        <w:instrText xml:space="preserve"> PAGEREF _Toc32689 </w:instrText>
      </w:r>
      <w:r>
        <w:fldChar w:fldCharType="separate"/>
      </w:r>
      <w:r>
        <w:t>- 133 -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_Toc24083 </w:instrText>
      </w:r>
      <w:r>
        <w:rPr>
          <w:kern w:val="2"/>
          <w:szCs w:val="24"/>
        </w:rPr>
        <w:fldChar w:fldCharType="separate"/>
      </w:r>
      <w:r>
        <w:rPr>
          <w:rFonts w:hint="eastAsia" w:ascii="黑体" w:hAnsi="黑体" w:eastAsia="黑体"/>
        </w:rPr>
        <w:t>附件</w:t>
      </w:r>
      <w:r>
        <w:rPr>
          <w:rFonts w:hint="eastAsia" w:ascii="黑体" w:hAnsi="黑体" w:eastAsia="黑体"/>
          <w:lang w:eastAsia="zh-CN"/>
        </w:rPr>
        <w:t>十</w:t>
      </w:r>
      <w:r>
        <w:rPr>
          <w:rFonts w:hint="eastAsia" w:ascii="黑体" w:hAnsi="黑体" w:eastAsia="黑体"/>
        </w:rPr>
        <w:t xml:space="preserve">   企业安全生产管理机构情况表</w:t>
      </w:r>
      <w:r>
        <w:tab/>
      </w:r>
      <w:r>
        <w:fldChar w:fldCharType="begin"/>
      </w:r>
      <w:r>
        <w:instrText xml:space="preserve"> PAGEREF _Toc24083 </w:instrText>
      </w:r>
      <w:r>
        <w:fldChar w:fldCharType="separate"/>
      </w:r>
      <w:r>
        <w:t>- 134 -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_Toc19311 </w:instrText>
      </w:r>
      <w:r>
        <w:rPr>
          <w:kern w:val="2"/>
          <w:szCs w:val="24"/>
        </w:rPr>
        <w:fldChar w:fldCharType="separate"/>
      </w:r>
      <w:r>
        <w:rPr>
          <w:rFonts w:hint="eastAsia" w:hAnsi="宋体"/>
          <w:szCs w:val="36"/>
        </w:rPr>
        <w:t>附件</w:t>
      </w:r>
      <w:r>
        <w:rPr>
          <w:rFonts w:hint="eastAsia" w:hAnsi="宋体"/>
          <w:szCs w:val="36"/>
          <w:lang w:eastAsia="zh-CN"/>
        </w:rPr>
        <w:t>十一</w:t>
      </w:r>
      <w:r>
        <w:rPr>
          <w:rFonts w:hint="eastAsia" w:hAnsi="宋体"/>
          <w:szCs w:val="36"/>
        </w:rPr>
        <w:t xml:space="preserve">   拟任项目建造师简历表</w:t>
      </w:r>
      <w:r>
        <w:tab/>
      </w:r>
      <w:r>
        <w:fldChar w:fldCharType="begin"/>
      </w:r>
      <w:r>
        <w:instrText xml:space="preserve"> PAGEREF _Toc19311 </w:instrText>
      </w:r>
      <w:r>
        <w:fldChar w:fldCharType="separate"/>
      </w:r>
      <w:r>
        <w:t>- 135 -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_Toc7103 </w:instrText>
      </w:r>
      <w:r>
        <w:rPr>
          <w:kern w:val="2"/>
          <w:szCs w:val="24"/>
        </w:rPr>
        <w:fldChar w:fldCharType="separate"/>
      </w:r>
      <w:r>
        <w:rPr>
          <w:rFonts w:hint="eastAsia" w:hAnsi="宋体"/>
          <w:szCs w:val="36"/>
        </w:rPr>
        <w:t>附件十</w:t>
      </w:r>
      <w:r>
        <w:rPr>
          <w:rFonts w:hint="eastAsia" w:hAnsi="宋体"/>
          <w:szCs w:val="36"/>
          <w:lang w:eastAsia="zh-CN"/>
        </w:rPr>
        <w:t>二</w:t>
      </w:r>
      <w:r>
        <w:rPr>
          <w:rFonts w:hint="eastAsia" w:hAnsi="宋体"/>
          <w:szCs w:val="36"/>
        </w:rPr>
        <w:t xml:space="preserve">   拟投入项目管理人员一览表</w:t>
      </w:r>
      <w:r>
        <w:tab/>
      </w:r>
      <w:r>
        <w:fldChar w:fldCharType="begin"/>
      </w:r>
      <w:r>
        <w:instrText xml:space="preserve"> PAGEREF _Toc7103 </w:instrText>
      </w:r>
      <w:r>
        <w:fldChar w:fldCharType="separate"/>
      </w:r>
      <w:r>
        <w:t>- 136 -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_Toc3026 </w:instrText>
      </w:r>
      <w:r>
        <w:rPr>
          <w:kern w:val="2"/>
          <w:szCs w:val="24"/>
        </w:rPr>
        <w:fldChar w:fldCharType="separate"/>
      </w:r>
      <w:r>
        <w:rPr>
          <w:rFonts w:hint="eastAsia"/>
        </w:rPr>
        <w:t>附件十</w:t>
      </w:r>
      <w:r>
        <w:rPr>
          <w:rFonts w:hint="eastAsia"/>
          <w:lang w:eastAsia="zh-CN"/>
        </w:rPr>
        <w:t>三</w:t>
      </w:r>
      <w:r>
        <w:rPr>
          <w:rFonts w:hint="eastAsia"/>
        </w:rPr>
        <w:t xml:space="preserve"> 《省外企业进浙承接业务备案证明》</w:t>
      </w:r>
      <w:r>
        <w:tab/>
      </w:r>
      <w:r>
        <w:fldChar w:fldCharType="begin"/>
      </w:r>
      <w:r>
        <w:instrText xml:space="preserve"> PAGEREF _Toc3026 </w:instrText>
      </w:r>
      <w:r>
        <w:fldChar w:fldCharType="separate"/>
      </w:r>
      <w:r>
        <w:t>- 137 -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_Toc23046 </w:instrText>
      </w:r>
      <w:r>
        <w:rPr>
          <w:kern w:val="2"/>
          <w:szCs w:val="24"/>
        </w:rPr>
        <w:fldChar w:fldCharType="separate"/>
      </w:r>
      <w:r>
        <w:rPr>
          <w:rFonts w:hint="eastAsia" w:ascii="黑体" w:hAnsi="黑体" w:eastAsia="黑体"/>
          <w:szCs w:val="28"/>
        </w:rPr>
        <w:t>附件十</w:t>
      </w:r>
      <w:r>
        <w:rPr>
          <w:rFonts w:hint="eastAsia" w:ascii="黑体" w:hAnsi="黑体" w:eastAsia="黑体"/>
          <w:szCs w:val="28"/>
          <w:lang w:eastAsia="zh-CN"/>
        </w:rPr>
        <w:t>四</w:t>
      </w:r>
      <w:r>
        <w:rPr>
          <w:rFonts w:hint="eastAsia" w:ascii="黑体" w:hAnsi="黑体" w:eastAsia="黑体"/>
          <w:szCs w:val="28"/>
        </w:rPr>
        <w:t xml:space="preserve">    参加政府采购活动前3年内在经营活动中有/无重大违法记录（包括行贿犯罪记录）的书面声明</w:t>
      </w:r>
      <w:r>
        <w:tab/>
      </w:r>
      <w:r>
        <w:fldChar w:fldCharType="begin"/>
      </w:r>
      <w:r>
        <w:instrText xml:space="preserve"> PAGEREF _Toc23046 </w:instrText>
      </w:r>
      <w:r>
        <w:fldChar w:fldCharType="separate"/>
      </w:r>
      <w:r>
        <w:t>- 138 -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_Toc4056 </w:instrText>
      </w:r>
      <w:r>
        <w:rPr>
          <w:kern w:val="2"/>
          <w:szCs w:val="24"/>
        </w:rPr>
        <w:fldChar w:fldCharType="separate"/>
      </w:r>
      <w:r>
        <w:rPr>
          <w:rFonts w:hint="eastAsia" w:hAnsi="宋体"/>
          <w:szCs w:val="36"/>
        </w:rPr>
        <w:t>附件十</w:t>
      </w:r>
      <w:r>
        <w:rPr>
          <w:rFonts w:hint="eastAsia" w:hAnsi="宋体"/>
          <w:szCs w:val="36"/>
          <w:lang w:eastAsia="zh-CN"/>
        </w:rPr>
        <w:t>五</w:t>
      </w:r>
      <w:r>
        <w:rPr>
          <w:rFonts w:hint="eastAsia" w:hAnsi="宋体"/>
          <w:szCs w:val="36"/>
        </w:rPr>
        <w:t xml:space="preserve">   中小企业声明函</w:t>
      </w:r>
      <w:r>
        <w:tab/>
      </w:r>
      <w:r>
        <w:fldChar w:fldCharType="begin"/>
      </w:r>
      <w:r>
        <w:instrText xml:space="preserve"> PAGEREF _Toc4056 </w:instrText>
      </w:r>
      <w:r>
        <w:fldChar w:fldCharType="separate"/>
      </w:r>
      <w:r>
        <w:t>- 139 -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_Toc23045 </w:instrText>
      </w:r>
      <w:r>
        <w:rPr>
          <w:kern w:val="2"/>
          <w:szCs w:val="24"/>
        </w:rPr>
        <w:fldChar w:fldCharType="separate"/>
      </w:r>
      <w:r>
        <w:rPr>
          <w:rFonts w:hint="eastAsia" w:ascii="Cambria" w:hAnsi="宋体"/>
          <w:bCs/>
          <w:kern w:val="44"/>
          <w:szCs w:val="36"/>
        </w:rPr>
        <w:t>附件十</w:t>
      </w:r>
      <w:r>
        <w:rPr>
          <w:rFonts w:hint="eastAsia" w:ascii="Cambria" w:hAnsi="宋体"/>
          <w:bCs/>
          <w:kern w:val="44"/>
          <w:szCs w:val="36"/>
          <w:lang w:eastAsia="zh-CN"/>
        </w:rPr>
        <w:t>六</w:t>
      </w:r>
      <w:r>
        <w:rPr>
          <w:rFonts w:hint="eastAsia" w:ascii="Cambria" w:hAnsi="宋体"/>
          <w:bCs/>
          <w:kern w:val="44"/>
          <w:szCs w:val="36"/>
        </w:rPr>
        <w:t xml:space="preserve">    残疾人福利性单位声明函</w:t>
      </w:r>
      <w:r>
        <w:tab/>
      </w:r>
      <w:r>
        <w:fldChar w:fldCharType="begin"/>
      </w:r>
      <w:r>
        <w:instrText xml:space="preserve"> PAGEREF _Toc23045 </w:instrText>
      </w:r>
      <w:r>
        <w:fldChar w:fldCharType="separate"/>
      </w:r>
      <w:r>
        <w:t>- 140 -</w:t>
      </w:r>
      <w:r>
        <w:fldChar w:fldCharType="end"/>
      </w:r>
      <w:r>
        <w:rPr>
          <w:kern w:val="2"/>
          <w:szCs w:val="24"/>
        </w:rPr>
        <w:fldChar w:fldCharType="end"/>
      </w:r>
    </w:p>
    <w:p>
      <w:pPr>
        <w:pStyle w:val="44"/>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_Toc23604 </w:instrText>
      </w:r>
      <w:r>
        <w:rPr>
          <w:kern w:val="2"/>
          <w:szCs w:val="24"/>
        </w:rPr>
        <w:fldChar w:fldCharType="separate"/>
      </w:r>
      <w:r>
        <w:rPr>
          <w:rFonts w:hint="eastAsia" w:ascii="Cambria" w:hAnsi="宋体"/>
          <w:bCs/>
          <w:szCs w:val="36"/>
        </w:rPr>
        <w:t>附件十</w:t>
      </w:r>
      <w:r>
        <w:rPr>
          <w:rFonts w:hint="eastAsia" w:ascii="Cambria" w:hAnsi="宋体"/>
          <w:bCs/>
          <w:szCs w:val="36"/>
          <w:lang w:eastAsia="zh-CN"/>
        </w:rPr>
        <w:t>七</w:t>
      </w:r>
      <w:r>
        <w:rPr>
          <w:rFonts w:hint="eastAsia" w:ascii="Cambria" w:hAnsi="宋体"/>
          <w:bCs/>
          <w:szCs w:val="36"/>
        </w:rPr>
        <w:t xml:space="preserve">  2016年1月1日以来企业</w:t>
      </w:r>
      <w:r>
        <w:rPr>
          <w:rFonts w:hint="eastAsia" w:ascii="Cambria" w:hAnsi="宋体"/>
          <w:bCs/>
          <w:szCs w:val="36"/>
          <w:lang w:eastAsia="zh-CN"/>
        </w:rPr>
        <w:t>同</w:t>
      </w:r>
      <w:r>
        <w:rPr>
          <w:rFonts w:hint="eastAsia" w:ascii="Cambria" w:hAnsi="宋体"/>
          <w:bCs/>
          <w:szCs w:val="36"/>
        </w:rPr>
        <w:t>类项目业绩一览表</w:t>
      </w:r>
      <w:r>
        <w:tab/>
      </w:r>
      <w:r>
        <w:fldChar w:fldCharType="begin"/>
      </w:r>
      <w:r>
        <w:instrText xml:space="preserve"> PAGEREF _Toc23604 </w:instrText>
      </w:r>
      <w:r>
        <w:fldChar w:fldCharType="separate"/>
      </w:r>
      <w:r>
        <w:t>- 142 -</w:t>
      </w:r>
      <w:r>
        <w:fldChar w:fldCharType="end"/>
      </w:r>
      <w:r>
        <w:rPr>
          <w:kern w:val="2"/>
          <w:szCs w:val="24"/>
        </w:rPr>
        <w:fldChar w:fldCharType="end"/>
      </w:r>
    </w:p>
    <w:p>
      <w:pPr>
        <w:pStyle w:val="37"/>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_Toc19088 </w:instrText>
      </w:r>
      <w:r>
        <w:rPr>
          <w:kern w:val="2"/>
          <w:szCs w:val="24"/>
        </w:rPr>
        <w:fldChar w:fldCharType="separate"/>
      </w:r>
      <w:r>
        <w:rPr>
          <w:rFonts w:hint="eastAsia" w:hAnsi="宋体"/>
          <w:szCs w:val="36"/>
        </w:rPr>
        <w:t>第六部分  评定办法</w:t>
      </w:r>
      <w:r>
        <w:tab/>
      </w:r>
      <w:r>
        <w:fldChar w:fldCharType="begin"/>
      </w:r>
      <w:r>
        <w:instrText xml:space="preserve"> PAGEREF _Toc19088 </w:instrText>
      </w:r>
      <w:r>
        <w:fldChar w:fldCharType="separate"/>
      </w:r>
      <w:r>
        <w:t>- 143 -</w:t>
      </w:r>
      <w:r>
        <w:fldChar w:fldCharType="end"/>
      </w:r>
      <w:r>
        <w:rPr>
          <w:kern w:val="2"/>
          <w:szCs w:val="24"/>
        </w:rPr>
        <w:fldChar w:fldCharType="end"/>
      </w:r>
    </w:p>
    <w:p>
      <w:pPr>
        <w:pStyle w:val="37"/>
        <w:tabs>
          <w:tab w:val="right" w:leader="dot" w:pos="8504"/>
          <w:tab w:val="clear" w:pos="8948"/>
        </w:tabs>
        <w:kinsoku/>
        <w:overflowPunct/>
        <w:topLinePunct w:val="0"/>
        <w:bidi w:val="0"/>
        <w:spacing w:line="300" w:lineRule="auto"/>
      </w:pPr>
      <w:r>
        <w:rPr>
          <w:kern w:val="2"/>
          <w:szCs w:val="24"/>
        </w:rPr>
        <w:fldChar w:fldCharType="begin"/>
      </w:r>
      <w:r>
        <w:rPr>
          <w:kern w:val="2"/>
          <w:szCs w:val="24"/>
        </w:rPr>
        <w:instrText xml:space="preserve"> HYPERLINK \l _Toc28237 </w:instrText>
      </w:r>
      <w:r>
        <w:rPr>
          <w:kern w:val="2"/>
          <w:szCs w:val="24"/>
        </w:rPr>
        <w:fldChar w:fldCharType="separate"/>
      </w:r>
      <w:r>
        <w:rPr>
          <w:rFonts w:hint="eastAsia" w:hAnsi="宋体"/>
          <w:szCs w:val="36"/>
        </w:rPr>
        <w:t>弃标回执</w:t>
      </w:r>
      <w:r>
        <w:tab/>
      </w:r>
      <w:r>
        <w:fldChar w:fldCharType="begin"/>
      </w:r>
      <w:r>
        <w:instrText xml:space="preserve"> PAGEREF _Toc28237 </w:instrText>
      </w:r>
      <w:r>
        <w:fldChar w:fldCharType="separate"/>
      </w:r>
      <w:r>
        <w:t>- 151 -</w:t>
      </w:r>
      <w:r>
        <w:fldChar w:fldCharType="end"/>
      </w:r>
      <w:r>
        <w:rPr>
          <w:kern w:val="2"/>
          <w:szCs w:val="24"/>
        </w:rPr>
        <w:fldChar w:fldCharType="end"/>
      </w:r>
    </w:p>
    <w:p>
      <w:pPr>
        <w:pStyle w:val="4"/>
        <w:keepNext w:val="0"/>
        <w:keepLines w:val="0"/>
        <w:pageBreakBefore/>
        <w:kinsoku/>
        <w:overflowPunct/>
        <w:topLinePunct w:val="0"/>
        <w:bidi w:val="0"/>
        <w:spacing w:before="120" w:beforeLines="50" w:after="240" w:afterLines="100" w:line="300" w:lineRule="auto"/>
        <w:jc w:val="center"/>
        <w:rPr>
          <w:rFonts w:hAnsi="宋体"/>
          <w:sz w:val="28"/>
          <w:szCs w:val="36"/>
        </w:rPr>
      </w:pPr>
      <w:r>
        <w:rPr>
          <w:kern w:val="2"/>
          <w:szCs w:val="24"/>
        </w:rPr>
        <w:fldChar w:fldCharType="end"/>
      </w:r>
      <w:bookmarkStart w:id="1" w:name="_Toc20502"/>
      <w:r>
        <w:rPr>
          <w:rFonts w:hint="eastAsia" w:hAnsi="宋体"/>
          <w:sz w:val="28"/>
          <w:szCs w:val="36"/>
        </w:rPr>
        <w:t>第一部分 采购公告</w:t>
      </w:r>
      <w:bookmarkEnd w:id="1"/>
    </w:p>
    <w:p>
      <w:pPr>
        <w:kinsoku/>
        <w:overflowPunct/>
        <w:topLinePunct w:val="0"/>
        <w:bidi w:val="0"/>
        <w:spacing w:line="300" w:lineRule="auto"/>
        <w:jc w:val="center"/>
        <w:rPr>
          <w:rFonts w:hint="eastAsia"/>
          <w:sz w:val="22"/>
          <w:szCs w:val="22"/>
        </w:rPr>
      </w:pPr>
      <w:r>
        <w:rPr>
          <w:rFonts w:hint="eastAsia"/>
          <w:b/>
          <w:bCs/>
          <w:sz w:val="22"/>
          <w:szCs w:val="22"/>
        </w:rPr>
        <w:t xml:space="preserve">发布日期: </w:t>
      </w:r>
      <w:r>
        <w:rPr>
          <w:rFonts w:hint="eastAsia"/>
          <w:b w:val="0"/>
          <w:bCs/>
          <w:sz w:val="22"/>
          <w:szCs w:val="22"/>
        </w:rPr>
        <w:t>2019年</w:t>
      </w:r>
      <w:r>
        <w:rPr>
          <w:rFonts w:hint="eastAsia"/>
          <w:b w:val="0"/>
          <w:bCs/>
          <w:sz w:val="22"/>
          <w:szCs w:val="22"/>
          <w:lang w:val="en-US" w:eastAsia="zh-CN"/>
        </w:rPr>
        <w:t>5月22日</w:t>
      </w:r>
    </w:p>
    <w:p>
      <w:pPr>
        <w:kinsoku/>
        <w:overflowPunct/>
        <w:topLinePunct w:val="0"/>
        <w:bidi w:val="0"/>
        <w:spacing w:line="300" w:lineRule="auto"/>
        <w:ind w:firstLine="420" w:firstLineChars="200"/>
        <w:jc w:val="both"/>
        <w:rPr>
          <w:rFonts w:hint="eastAsia" w:ascii="宋体" w:hAnsi="宋体" w:cs="宋体"/>
          <w:szCs w:val="21"/>
        </w:rPr>
      </w:pPr>
      <w:r>
        <w:rPr>
          <w:rFonts w:hint="eastAsia" w:ascii="宋体" w:hAnsi="宋体" w:cs="宋体"/>
          <w:szCs w:val="21"/>
        </w:rPr>
        <w:t>根据《中华人民共和国政府采购法》等有关规定，经批准，浙江瑞扬工程咨询招标代理股份有限公司受</w:t>
      </w:r>
      <w:r>
        <w:rPr>
          <w:rFonts w:hint="eastAsia" w:ascii="Arial" w:hAnsi="Arial" w:cs="Arial"/>
          <w:szCs w:val="21"/>
        </w:rPr>
        <w:t>瑞安市公安局</w:t>
      </w:r>
      <w:r>
        <w:rPr>
          <w:rFonts w:hint="eastAsia" w:ascii="宋体" w:hAnsi="宋体" w:cs="宋体"/>
          <w:szCs w:val="21"/>
        </w:rPr>
        <w:t>委托，就</w:t>
      </w:r>
      <w:r>
        <w:rPr>
          <w:rFonts w:hint="eastAsia" w:ascii="宋体" w:hAnsi="宋体" w:cs="宋体"/>
          <w:szCs w:val="21"/>
          <w:lang w:eastAsia="zh-CN"/>
        </w:rPr>
        <w:t>瑞安市玉海***业务用房改造智能化工程</w:t>
      </w:r>
      <w:r>
        <w:rPr>
          <w:rFonts w:hint="eastAsia" w:ascii="宋体" w:hAnsi="宋体" w:cs="宋体"/>
          <w:szCs w:val="21"/>
        </w:rPr>
        <w:t>进行竞争性磋商，欢迎国内合格的供应商前来磋商。</w:t>
      </w:r>
    </w:p>
    <w:p>
      <w:pPr>
        <w:numPr>
          <w:ilvl w:val="0"/>
          <w:numId w:val="2"/>
        </w:numPr>
        <w:kinsoku/>
        <w:overflowPunct/>
        <w:topLinePunct w:val="0"/>
        <w:bidi w:val="0"/>
        <w:spacing w:before="48" w:beforeLines="20" w:after="48" w:afterLines="20" w:line="300" w:lineRule="auto"/>
        <w:rPr>
          <w:rFonts w:hint="eastAsia" w:ascii="宋体" w:hAnsi="宋体"/>
          <w:szCs w:val="21"/>
        </w:rPr>
      </w:pPr>
      <w:r>
        <w:rPr>
          <w:rFonts w:hint="eastAsia" w:ascii="宋体" w:hAnsi="宋体"/>
          <w:b/>
          <w:szCs w:val="21"/>
        </w:rPr>
        <w:t>采购项目编号：</w:t>
      </w:r>
      <w:r>
        <w:rPr>
          <w:rFonts w:hint="eastAsia" w:ascii="宋体" w:hAnsi="宋体"/>
          <w:b w:val="0"/>
          <w:bCs/>
          <w:szCs w:val="21"/>
          <w:lang w:eastAsia="zh-CN"/>
        </w:rPr>
        <w:t>RACG201905028</w:t>
      </w:r>
      <w:r>
        <w:rPr>
          <w:rFonts w:hint="eastAsia" w:ascii="宋体" w:hAnsi="宋体"/>
          <w:b w:val="0"/>
          <w:bCs/>
          <w:szCs w:val="21"/>
        </w:rPr>
        <w:t xml:space="preserve">  </w:t>
      </w:r>
    </w:p>
    <w:p>
      <w:pPr>
        <w:numPr>
          <w:ilvl w:val="0"/>
          <w:numId w:val="2"/>
        </w:numPr>
        <w:kinsoku/>
        <w:overflowPunct/>
        <w:topLinePunct w:val="0"/>
        <w:bidi w:val="0"/>
        <w:spacing w:before="48" w:beforeLines="20" w:after="48" w:afterLines="20" w:line="300" w:lineRule="auto"/>
        <w:rPr>
          <w:rFonts w:hint="eastAsia" w:ascii="宋体" w:hAnsi="宋体"/>
          <w:b/>
          <w:szCs w:val="21"/>
        </w:rPr>
      </w:pPr>
      <w:r>
        <w:rPr>
          <w:rFonts w:hint="eastAsia" w:ascii="宋体" w:hAnsi="宋体"/>
          <w:b/>
          <w:szCs w:val="21"/>
        </w:rPr>
        <w:t>采购组织类型：</w:t>
      </w:r>
      <w:r>
        <w:rPr>
          <w:rFonts w:hint="eastAsia" w:ascii="宋体" w:hAnsi="宋体"/>
          <w:bCs/>
          <w:szCs w:val="21"/>
        </w:rPr>
        <w:t>分散采购；</w:t>
      </w:r>
    </w:p>
    <w:p>
      <w:pPr>
        <w:numPr>
          <w:ilvl w:val="0"/>
          <w:numId w:val="2"/>
        </w:numPr>
        <w:kinsoku/>
        <w:overflowPunct/>
        <w:topLinePunct w:val="0"/>
        <w:bidi w:val="0"/>
        <w:spacing w:before="48" w:beforeLines="20" w:after="48" w:afterLines="20" w:line="300" w:lineRule="auto"/>
        <w:rPr>
          <w:rFonts w:hint="eastAsia" w:ascii="宋体" w:hAnsi="宋体"/>
          <w:b/>
          <w:szCs w:val="21"/>
        </w:rPr>
      </w:pPr>
      <w:r>
        <w:rPr>
          <w:rFonts w:hint="eastAsia" w:ascii="宋体" w:hAnsi="宋体"/>
          <w:b/>
          <w:szCs w:val="21"/>
        </w:rPr>
        <w:t>采购项目概况：</w:t>
      </w:r>
    </w:p>
    <w:tbl>
      <w:tblPr>
        <w:tblStyle w:val="53"/>
        <w:tblW w:w="0" w:type="auto"/>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366"/>
        <w:gridCol w:w="420"/>
        <w:gridCol w:w="525"/>
        <w:gridCol w:w="1155"/>
        <w:gridCol w:w="3045"/>
        <w:gridCol w:w="735"/>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6" w:hRule="atLeast"/>
        </w:trPr>
        <w:tc>
          <w:tcPr>
            <w:tcW w:w="669" w:type="dxa"/>
            <w:noWrap w:val="0"/>
            <w:vAlign w:val="center"/>
          </w:tcPr>
          <w:p>
            <w:pPr>
              <w:kinsoku/>
              <w:overflowPunct/>
              <w:topLinePunct w:val="0"/>
              <w:bidi w:val="0"/>
              <w:spacing w:line="300" w:lineRule="auto"/>
              <w:jc w:val="center"/>
              <w:rPr>
                <w:rFonts w:hint="eastAsia" w:ascii="宋体" w:hAnsi="宋体"/>
                <w:szCs w:val="21"/>
              </w:rPr>
            </w:pPr>
            <w:r>
              <w:rPr>
                <w:rFonts w:hint="eastAsia" w:ascii="宋体" w:hAnsi="宋体"/>
                <w:szCs w:val="21"/>
              </w:rPr>
              <w:t>标项序号</w:t>
            </w:r>
          </w:p>
        </w:tc>
        <w:tc>
          <w:tcPr>
            <w:tcW w:w="1366" w:type="dxa"/>
            <w:noWrap w:val="0"/>
            <w:vAlign w:val="center"/>
          </w:tcPr>
          <w:p>
            <w:pPr>
              <w:kinsoku/>
              <w:overflowPunct/>
              <w:topLinePunct w:val="0"/>
              <w:bidi w:val="0"/>
              <w:spacing w:line="300" w:lineRule="auto"/>
              <w:ind w:firstLine="210" w:firstLineChars="100"/>
              <w:jc w:val="center"/>
              <w:rPr>
                <w:rFonts w:hint="eastAsia" w:ascii="宋体" w:hAnsi="宋体"/>
                <w:szCs w:val="21"/>
              </w:rPr>
            </w:pPr>
            <w:r>
              <w:rPr>
                <w:rFonts w:hint="eastAsia" w:ascii="宋体" w:hAnsi="宋体"/>
                <w:szCs w:val="21"/>
              </w:rPr>
              <w:t>标项名称</w:t>
            </w:r>
          </w:p>
        </w:tc>
        <w:tc>
          <w:tcPr>
            <w:tcW w:w="420" w:type="dxa"/>
            <w:noWrap w:val="0"/>
            <w:vAlign w:val="center"/>
          </w:tcPr>
          <w:p>
            <w:pPr>
              <w:kinsoku/>
              <w:overflowPunct/>
              <w:topLinePunct w:val="0"/>
              <w:bidi w:val="0"/>
              <w:spacing w:line="300" w:lineRule="auto"/>
              <w:jc w:val="center"/>
              <w:rPr>
                <w:rFonts w:hint="eastAsia" w:ascii="宋体" w:hAnsi="宋体"/>
                <w:szCs w:val="21"/>
              </w:rPr>
            </w:pPr>
            <w:r>
              <w:rPr>
                <w:rFonts w:hint="eastAsia" w:ascii="宋体" w:hAnsi="宋体"/>
                <w:szCs w:val="21"/>
              </w:rPr>
              <w:t>数量</w:t>
            </w:r>
          </w:p>
        </w:tc>
        <w:tc>
          <w:tcPr>
            <w:tcW w:w="525" w:type="dxa"/>
            <w:noWrap w:val="0"/>
            <w:vAlign w:val="center"/>
          </w:tcPr>
          <w:p>
            <w:pPr>
              <w:kinsoku/>
              <w:overflowPunct/>
              <w:topLinePunct w:val="0"/>
              <w:bidi w:val="0"/>
              <w:spacing w:line="300" w:lineRule="auto"/>
              <w:jc w:val="center"/>
              <w:rPr>
                <w:rFonts w:hint="eastAsia" w:ascii="宋体" w:hAnsi="宋体"/>
                <w:szCs w:val="21"/>
              </w:rPr>
            </w:pPr>
            <w:r>
              <w:rPr>
                <w:rFonts w:hint="eastAsia" w:ascii="宋体" w:hAnsi="宋体"/>
                <w:szCs w:val="21"/>
              </w:rPr>
              <w:t>单位</w:t>
            </w:r>
          </w:p>
        </w:tc>
        <w:tc>
          <w:tcPr>
            <w:tcW w:w="1155" w:type="dxa"/>
            <w:noWrap w:val="0"/>
            <w:vAlign w:val="center"/>
          </w:tcPr>
          <w:p>
            <w:pPr>
              <w:kinsoku/>
              <w:overflowPunct/>
              <w:topLinePunct w:val="0"/>
              <w:bidi w:val="0"/>
              <w:spacing w:line="300" w:lineRule="auto"/>
              <w:jc w:val="center"/>
              <w:rPr>
                <w:rFonts w:hint="eastAsia" w:ascii="宋体" w:hAnsi="宋体"/>
                <w:szCs w:val="21"/>
              </w:rPr>
            </w:pPr>
            <w:r>
              <w:rPr>
                <w:rFonts w:hint="eastAsia" w:ascii="宋体" w:hAnsi="宋体"/>
                <w:szCs w:val="21"/>
              </w:rPr>
              <w:t>预算金额(万元)</w:t>
            </w:r>
          </w:p>
        </w:tc>
        <w:tc>
          <w:tcPr>
            <w:tcW w:w="3045" w:type="dxa"/>
            <w:noWrap w:val="0"/>
            <w:vAlign w:val="center"/>
          </w:tcPr>
          <w:p>
            <w:pPr>
              <w:kinsoku/>
              <w:overflowPunct/>
              <w:topLinePunct w:val="0"/>
              <w:bidi w:val="0"/>
              <w:spacing w:line="300" w:lineRule="auto"/>
              <w:jc w:val="center"/>
              <w:rPr>
                <w:rFonts w:hint="eastAsia" w:ascii="宋体" w:hAnsi="宋体"/>
                <w:szCs w:val="21"/>
              </w:rPr>
            </w:pPr>
            <w:r>
              <w:rPr>
                <w:rFonts w:hint="eastAsia" w:ascii="宋体" w:hAnsi="宋体"/>
                <w:szCs w:val="21"/>
              </w:rPr>
              <w:t>简要规格描述或标项基本概况介绍</w:t>
            </w:r>
          </w:p>
        </w:tc>
        <w:tc>
          <w:tcPr>
            <w:tcW w:w="735" w:type="dxa"/>
            <w:noWrap w:val="0"/>
            <w:vAlign w:val="center"/>
          </w:tcPr>
          <w:p>
            <w:pPr>
              <w:kinsoku/>
              <w:overflowPunct/>
              <w:topLinePunct w:val="0"/>
              <w:bidi w:val="0"/>
              <w:spacing w:line="300" w:lineRule="auto"/>
              <w:jc w:val="center"/>
              <w:rPr>
                <w:rFonts w:hint="eastAsia" w:ascii="宋体" w:hAnsi="宋体"/>
                <w:szCs w:val="21"/>
              </w:rPr>
            </w:pPr>
            <w:r>
              <w:rPr>
                <w:rFonts w:hint="eastAsia" w:ascii="宋体" w:hAnsi="宋体"/>
                <w:szCs w:val="21"/>
              </w:rPr>
              <w:t>最高限价</w:t>
            </w:r>
          </w:p>
        </w:tc>
        <w:tc>
          <w:tcPr>
            <w:tcW w:w="1445" w:type="dxa"/>
            <w:noWrap w:val="0"/>
            <w:vAlign w:val="center"/>
          </w:tcPr>
          <w:p>
            <w:pPr>
              <w:kinsoku/>
              <w:overflowPunct/>
              <w:topLinePunct w:val="0"/>
              <w:bidi w:val="0"/>
              <w:spacing w:line="300" w:lineRule="auto"/>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35" w:hRule="atLeast"/>
        </w:trPr>
        <w:tc>
          <w:tcPr>
            <w:tcW w:w="669" w:type="dxa"/>
            <w:noWrap w:val="0"/>
            <w:vAlign w:val="center"/>
          </w:tcPr>
          <w:p>
            <w:pPr>
              <w:kinsoku/>
              <w:overflowPunct/>
              <w:topLinePunct w:val="0"/>
              <w:bidi w:val="0"/>
              <w:spacing w:line="300" w:lineRule="auto"/>
              <w:ind w:firstLine="210" w:firstLineChars="100"/>
              <w:jc w:val="center"/>
              <w:rPr>
                <w:rFonts w:hint="eastAsia" w:ascii="宋体" w:hAnsi="宋体"/>
                <w:szCs w:val="21"/>
              </w:rPr>
            </w:pPr>
            <w:r>
              <w:rPr>
                <w:rFonts w:hint="eastAsia" w:ascii="宋体" w:hAnsi="宋体"/>
                <w:szCs w:val="21"/>
              </w:rPr>
              <w:t>1</w:t>
            </w:r>
          </w:p>
        </w:tc>
        <w:tc>
          <w:tcPr>
            <w:tcW w:w="1366" w:type="dxa"/>
            <w:noWrap w:val="0"/>
            <w:vAlign w:val="center"/>
          </w:tcPr>
          <w:p>
            <w:pPr>
              <w:kinsoku/>
              <w:overflowPunct/>
              <w:topLinePunct w:val="0"/>
              <w:bidi w:val="0"/>
              <w:spacing w:line="300" w:lineRule="auto"/>
              <w:jc w:val="center"/>
              <w:rPr>
                <w:rFonts w:hint="eastAsia" w:ascii="宋体" w:hAnsi="宋体" w:eastAsia="宋体"/>
                <w:szCs w:val="21"/>
                <w:lang w:eastAsia="zh-CN"/>
              </w:rPr>
            </w:pPr>
            <w:r>
              <w:rPr>
                <w:rFonts w:hint="eastAsia" w:ascii="宋体" w:hAnsi="宋体" w:cs="宋体"/>
                <w:szCs w:val="21"/>
                <w:lang w:eastAsia="zh-CN"/>
              </w:rPr>
              <w:t>瑞安市玉海***业务用房改造智能化工程</w:t>
            </w:r>
          </w:p>
        </w:tc>
        <w:tc>
          <w:tcPr>
            <w:tcW w:w="420" w:type="dxa"/>
            <w:noWrap w:val="0"/>
            <w:vAlign w:val="center"/>
          </w:tcPr>
          <w:p>
            <w:pPr>
              <w:kinsoku/>
              <w:overflowPunct/>
              <w:topLinePunct w:val="0"/>
              <w:bidi w:val="0"/>
              <w:spacing w:line="300" w:lineRule="auto"/>
              <w:jc w:val="center"/>
              <w:rPr>
                <w:rFonts w:hint="eastAsia" w:ascii="宋体" w:hAnsi="宋体"/>
                <w:szCs w:val="21"/>
              </w:rPr>
            </w:pPr>
            <w:r>
              <w:rPr>
                <w:rFonts w:hint="eastAsia" w:ascii="宋体" w:hAnsi="宋体"/>
                <w:szCs w:val="21"/>
              </w:rPr>
              <w:t>1</w:t>
            </w:r>
          </w:p>
        </w:tc>
        <w:tc>
          <w:tcPr>
            <w:tcW w:w="525" w:type="dxa"/>
            <w:noWrap w:val="0"/>
            <w:vAlign w:val="center"/>
          </w:tcPr>
          <w:p>
            <w:pPr>
              <w:kinsoku/>
              <w:overflowPunct/>
              <w:topLinePunct w:val="0"/>
              <w:bidi w:val="0"/>
              <w:spacing w:line="300" w:lineRule="auto"/>
              <w:jc w:val="center"/>
              <w:rPr>
                <w:rFonts w:hint="eastAsia" w:ascii="宋体" w:hAnsi="宋体"/>
                <w:szCs w:val="21"/>
              </w:rPr>
            </w:pPr>
            <w:r>
              <w:rPr>
                <w:rFonts w:hint="eastAsia" w:ascii="宋体" w:hAnsi="宋体"/>
                <w:szCs w:val="21"/>
              </w:rPr>
              <w:t>项</w:t>
            </w:r>
          </w:p>
        </w:tc>
        <w:tc>
          <w:tcPr>
            <w:tcW w:w="1155" w:type="dxa"/>
            <w:noWrap w:val="0"/>
            <w:vAlign w:val="center"/>
          </w:tcPr>
          <w:p>
            <w:pPr>
              <w:kinsoku/>
              <w:overflowPunct/>
              <w:topLinePunct w:val="0"/>
              <w:bidi w:val="0"/>
              <w:spacing w:line="300" w:lineRule="auto"/>
              <w:jc w:val="center"/>
              <w:rPr>
                <w:rFonts w:hint="eastAsia" w:ascii="宋体" w:hAnsi="宋体" w:eastAsia="宋体"/>
                <w:szCs w:val="21"/>
                <w:lang w:eastAsia="zh-CN"/>
              </w:rPr>
            </w:pPr>
            <w:r>
              <w:rPr>
                <w:rFonts w:hint="eastAsia" w:ascii="宋体" w:hAnsi="宋体"/>
                <w:szCs w:val="21"/>
                <w:lang w:eastAsia="zh-CN"/>
              </w:rPr>
              <w:t>138.9532</w:t>
            </w:r>
          </w:p>
        </w:tc>
        <w:tc>
          <w:tcPr>
            <w:tcW w:w="3045" w:type="dxa"/>
            <w:noWrap w:val="0"/>
            <w:vAlign w:val="center"/>
          </w:tcPr>
          <w:p>
            <w:pPr>
              <w:kinsoku/>
              <w:overflowPunct/>
              <w:topLinePunct w:val="0"/>
              <w:bidi w:val="0"/>
              <w:spacing w:line="300" w:lineRule="auto"/>
              <w:rPr>
                <w:rFonts w:hint="eastAsia" w:ascii="Arial" w:hAnsi="Arial" w:cs="Arial"/>
                <w:szCs w:val="21"/>
                <w:lang w:eastAsia="zh-CN"/>
              </w:rPr>
            </w:pPr>
            <w:r>
              <w:rPr>
                <w:rFonts w:hint="eastAsia" w:ascii="宋体" w:hAnsi="宋体" w:cs="宋体"/>
                <w:szCs w:val="21"/>
                <w:lang w:eastAsia="zh-CN"/>
              </w:rPr>
              <w:t>智能化</w:t>
            </w:r>
            <w:r>
              <w:rPr>
                <w:rFonts w:hint="eastAsia" w:ascii="宋体" w:hAnsi="宋体" w:cs="宋体"/>
                <w:szCs w:val="21"/>
              </w:rPr>
              <w:t>工程，</w:t>
            </w:r>
            <w:r>
              <w:rPr>
                <w:rFonts w:hint="eastAsia" w:ascii="Arial" w:hAnsi="Arial" w:cs="Arial"/>
                <w:szCs w:val="21"/>
              </w:rPr>
              <w:t>详见工程量清单及图纸；最高投标限价（招标控制价）：</w:t>
            </w:r>
            <w:r>
              <w:rPr>
                <w:rFonts w:hint="eastAsia" w:ascii="Arial" w:hAnsi="Arial" w:cs="Arial"/>
                <w:szCs w:val="21"/>
                <w:lang w:eastAsia="zh-CN"/>
              </w:rPr>
              <w:t>1389532</w:t>
            </w:r>
            <w:r>
              <w:rPr>
                <w:rFonts w:hint="eastAsia" w:ascii="Arial" w:hAnsi="Arial" w:cs="Arial"/>
                <w:szCs w:val="21"/>
              </w:rPr>
              <w:t>元；工期：</w:t>
            </w:r>
            <w:r>
              <w:rPr>
                <w:rFonts w:hint="eastAsia" w:ascii="Arial" w:hAnsi="Arial" w:cs="Arial"/>
                <w:szCs w:val="21"/>
                <w:lang w:val="en-US" w:eastAsia="zh-CN"/>
              </w:rPr>
              <w:t>90日历天</w:t>
            </w:r>
            <w:r>
              <w:rPr>
                <w:rFonts w:hint="eastAsia" w:ascii="Arial" w:hAnsi="Arial" w:cs="Arial"/>
                <w:szCs w:val="21"/>
              </w:rPr>
              <w:t>；质量要求：合格。</w:t>
            </w:r>
          </w:p>
        </w:tc>
        <w:tc>
          <w:tcPr>
            <w:tcW w:w="735" w:type="dxa"/>
            <w:noWrap w:val="0"/>
            <w:vAlign w:val="center"/>
          </w:tcPr>
          <w:p>
            <w:pPr>
              <w:kinsoku/>
              <w:overflowPunct/>
              <w:topLinePunct w:val="0"/>
              <w:bidi w:val="0"/>
              <w:spacing w:line="300" w:lineRule="auto"/>
              <w:rPr>
                <w:rFonts w:hint="eastAsia" w:ascii="Arial" w:hAnsi="Arial" w:cs="Arial"/>
                <w:szCs w:val="21"/>
                <w:lang w:eastAsia="zh-CN"/>
              </w:rPr>
            </w:pPr>
            <w:r>
              <w:rPr>
                <w:rFonts w:hint="eastAsia" w:ascii="Arial" w:hAnsi="Arial" w:cs="Arial"/>
                <w:szCs w:val="21"/>
                <w:lang w:eastAsia="zh-CN"/>
              </w:rPr>
              <w:t>1389532元</w:t>
            </w:r>
          </w:p>
        </w:tc>
        <w:tc>
          <w:tcPr>
            <w:tcW w:w="1445" w:type="dxa"/>
            <w:noWrap w:val="0"/>
            <w:vAlign w:val="center"/>
          </w:tcPr>
          <w:p>
            <w:pPr>
              <w:kinsoku/>
              <w:overflowPunct/>
              <w:topLinePunct w:val="0"/>
              <w:bidi w:val="0"/>
              <w:spacing w:line="300" w:lineRule="auto"/>
              <w:jc w:val="left"/>
              <w:rPr>
                <w:rFonts w:hint="eastAsia" w:ascii="Arial" w:hAnsi="Arial" w:cs="Arial"/>
                <w:szCs w:val="21"/>
                <w:lang w:eastAsia="zh-CN"/>
              </w:rPr>
            </w:pPr>
            <w:r>
              <w:rPr>
                <w:rFonts w:hint="eastAsia" w:ascii="Arial" w:hAnsi="Arial" w:cs="Arial"/>
                <w:szCs w:val="21"/>
                <w:lang w:eastAsia="zh-CN"/>
              </w:rPr>
              <w:t>财政预算价：人民币138.9532万元整。</w:t>
            </w:r>
          </w:p>
        </w:tc>
      </w:tr>
    </w:tbl>
    <w:p>
      <w:pPr>
        <w:kinsoku/>
        <w:overflowPunct/>
        <w:topLinePunct w:val="0"/>
        <w:bidi w:val="0"/>
        <w:spacing w:before="48" w:beforeLines="20" w:after="48" w:afterLines="20" w:line="300" w:lineRule="auto"/>
        <w:rPr>
          <w:rFonts w:ascii="宋体" w:hAnsi="宋体"/>
          <w:b/>
          <w:szCs w:val="21"/>
        </w:rPr>
      </w:pPr>
      <w:r>
        <w:rPr>
          <w:rFonts w:hint="eastAsia" w:ascii="宋体" w:hAnsi="宋体"/>
          <w:b/>
          <w:szCs w:val="21"/>
        </w:rPr>
        <w:t>四、磋商供应商资格要求:</w:t>
      </w:r>
    </w:p>
    <w:p>
      <w:pPr>
        <w:numPr>
          <w:ilvl w:val="0"/>
          <w:numId w:val="3"/>
        </w:numPr>
        <w:kinsoku/>
        <w:overflowPunct/>
        <w:topLinePunct w:val="0"/>
        <w:bidi w:val="0"/>
        <w:spacing w:line="300" w:lineRule="auto"/>
        <w:rPr>
          <w:rFonts w:ascii="宋体" w:hAnsi="宋体" w:cs="宋体"/>
          <w:szCs w:val="21"/>
        </w:rPr>
      </w:pPr>
      <w:r>
        <w:rPr>
          <w:rFonts w:hint="eastAsia" w:ascii="宋体" w:hAnsi="宋体" w:cs="宋体"/>
          <w:szCs w:val="21"/>
        </w:rPr>
        <w:t>符合《中华人民共和国政府采购法》第二十二条规定；</w:t>
      </w:r>
    </w:p>
    <w:p>
      <w:pPr>
        <w:numPr>
          <w:ilvl w:val="0"/>
          <w:numId w:val="3"/>
        </w:numPr>
        <w:kinsoku/>
        <w:overflowPunct/>
        <w:topLinePunct w:val="0"/>
        <w:bidi w:val="0"/>
        <w:snapToGrid w:val="0"/>
        <w:spacing w:line="300" w:lineRule="auto"/>
        <w:jc w:val="both"/>
        <w:rPr>
          <w:rFonts w:hint="eastAsia" w:ascii="Arial" w:hAnsi="Arial"/>
        </w:rPr>
      </w:pPr>
      <w:r>
        <w:rPr>
          <w:rFonts w:hint="eastAsia" w:ascii="Arial" w:hAnsi="Arial"/>
        </w:rPr>
        <w:t>具备电子与智能化工程专业承包（2014版）二级及以上资质</w:t>
      </w:r>
      <w:r>
        <w:rPr>
          <w:rFonts w:hint="eastAsia" w:ascii="Arial" w:hAnsi="Arial"/>
        </w:rPr>
        <w:t>；</w:t>
      </w:r>
    </w:p>
    <w:p>
      <w:pPr>
        <w:numPr>
          <w:ilvl w:val="0"/>
          <w:numId w:val="3"/>
        </w:numPr>
        <w:kinsoku/>
        <w:overflowPunct/>
        <w:topLinePunct w:val="0"/>
        <w:bidi w:val="0"/>
        <w:snapToGrid w:val="0"/>
        <w:spacing w:line="300" w:lineRule="auto"/>
        <w:jc w:val="both"/>
        <w:rPr>
          <w:rFonts w:ascii="Arial" w:hAnsi="Arial"/>
        </w:rPr>
      </w:pPr>
      <w:r>
        <w:rPr>
          <w:rFonts w:hint="eastAsia" w:ascii="Arial" w:hAnsi="Arial"/>
        </w:rPr>
        <w:t>项目负责人需具备注册建造师机电工程二级及以上资格</w:t>
      </w:r>
      <w:r>
        <w:rPr>
          <w:rFonts w:hint="eastAsia" w:ascii="Arial" w:hAnsi="Arial"/>
        </w:rPr>
        <w:t>；</w:t>
      </w:r>
    </w:p>
    <w:p>
      <w:pPr>
        <w:numPr>
          <w:ilvl w:val="0"/>
          <w:numId w:val="3"/>
        </w:numPr>
        <w:kinsoku/>
        <w:overflowPunct/>
        <w:topLinePunct w:val="0"/>
        <w:bidi w:val="0"/>
        <w:snapToGrid w:val="0"/>
        <w:spacing w:line="300" w:lineRule="auto"/>
        <w:jc w:val="both"/>
        <w:rPr>
          <w:rFonts w:ascii="Arial" w:hAnsi="Arial"/>
        </w:rPr>
      </w:pPr>
      <w:r>
        <w:rPr>
          <w:rFonts w:hint="eastAsia" w:ascii="宋体" w:hAnsi="宋体" w:cs="宋体"/>
        </w:rPr>
        <w:t>不接受联合体投标</w:t>
      </w:r>
      <w:r>
        <w:rPr>
          <w:rFonts w:hint="eastAsia" w:ascii="Arial" w:hAnsi="Arial"/>
        </w:rPr>
        <w:t>。</w:t>
      </w:r>
    </w:p>
    <w:p>
      <w:pPr>
        <w:kinsoku/>
        <w:overflowPunct/>
        <w:topLinePunct w:val="0"/>
        <w:bidi w:val="0"/>
        <w:spacing w:line="300" w:lineRule="auto"/>
        <w:rPr>
          <w:rFonts w:hint="eastAsia" w:ascii="宋体" w:hAnsi="宋体"/>
          <w:b/>
          <w:szCs w:val="21"/>
        </w:rPr>
      </w:pPr>
      <w:r>
        <w:rPr>
          <w:rFonts w:hint="eastAsia" w:ascii="宋体" w:hAnsi="宋体"/>
          <w:b/>
          <w:szCs w:val="21"/>
        </w:rPr>
        <w:t>五、磋商文件的报名/发售时间、地址、售价:</w:t>
      </w:r>
    </w:p>
    <w:p>
      <w:pPr>
        <w:numPr>
          <w:ilvl w:val="0"/>
          <w:numId w:val="4"/>
        </w:numPr>
        <w:tabs>
          <w:tab w:val="clear" w:pos="1680"/>
        </w:tabs>
        <w:kinsoku/>
        <w:overflowPunct/>
        <w:topLinePunct w:val="0"/>
        <w:bidi w:val="0"/>
        <w:spacing w:line="300" w:lineRule="auto"/>
        <w:ind w:left="735" w:hanging="315"/>
        <w:rPr>
          <w:rFonts w:hint="eastAsia" w:ascii="宋体" w:hAnsi="宋体"/>
          <w:szCs w:val="21"/>
        </w:rPr>
      </w:pPr>
      <w:r>
        <w:rPr>
          <w:rFonts w:hint="eastAsia" w:ascii="宋体" w:hAnsi="宋体"/>
          <w:szCs w:val="21"/>
        </w:rPr>
        <w:t>报名/发售时间：2019年</w:t>
      </w:r>
      <w:r>
        <w:rPr>
          <w:rFonts w:hint="eastAsia" w:ascii="宋体" w:hAnsi="宋体"/>
          <w:szCs w:val="21"/>
          <w:lang w:val="en-US" w:eastAsia="zh-CN"/>
        </w:rPr>
        <w:t>5月22日</w:t>
      </w:r>
      <w:r>
        <w:rPr>
          <w:rFonts w:hint="eastAsia" w:ascii="宋体" w:hAnsi="宋体"/>
          <w:szCs w:val="21"/>
        </w:rPr>
        <w:t>至磋商截止时间前。</w:t>
      </w:r>
    </w:p>
    <w:p>
      <w:pPr>
        <w:numPr>
          <w:ilvl w:val="0"/>
          <w:numId w:val="4"/>
        </w:numPr>
        <w:tabs>
          <w:tab w:val="clear" w:pos="1680"/>
        </w:tabs>
        <w:kinsoku/>
        <w:overflowPunct/>
        <w:topLinePunct w:val="0"/>
        <w:bidi w:val="0"/>
        <w:spacing w:line="300" w:lineRule="auto"/>
        <w:ind w:left="735" w:hanging="315"/>
        <w:rPr>
          <w:rFonts w:hint="eastAsia" w:ascii="宋体" w:hAnsi="宋体"/>
          <w:szCs w:val="21"/>
        </w:rPr>
      </w:pPr>
      <w:r>
        <w:rPr>
          <w:rFonts w:hint="eastAsia" w:ascii="宋体" w:hAnsi="宋体"/>
          <w:szCs w:val="21"/>
        </w:rPr>
        <w:t>报名/发售地址：磋商供应商登陆温州市公共资源交易网</w:t>
      </w:r>
      <w:r>
        <w:rPr>
          <w:rFonts w:ascii="宋体" w:hAnsi="宋体"/>
          <w:szCs w:val="21"/>
        </w:rPr>
        <w:t>—</w:t>
      </w:r>
      <w:r>
        <w:rPr>
          <w:rFonts w:hint="eastAsia" w:ascii="宋体" w:hAnsi="宋体"/>
          <w:szCs w:val="21"/>
        </w:rPr>
        <w:t>瑞安市分网（</w:t>
      </w:r>
      <w:r>
        <w:rPr>
          <w:rFonts w:ascii="宋体" w:hAnsi="宋体"/>
          <w:szCs w:val="21"/>
        </w:rPr>
        <w:t>http://www.raztb.com</w:t>
      </w:r>
      <w:r>
        <w:rPr>
          <w:rFonts w:hint="eastAsia" w:ascii="宋体" w:hAnsi="宋体"/>
          <w:szCs w:val="21"/>
        </w:rPr>
        <w:t>）会员系统网上报名，不接受现场报名。</w:t>
      </w:r>
    </w:p>
    <w:p>
      <w:pPr>
        <w:numPr>
          <w:ilvl w:val="0"/>
          <w:numId w:val="4"/>
        </w:numPr>
        <w:tabs>
          <w:tab w:val="clear" w:pos="1680"/>
        </w:tabs>
        <w:kinsoku/>
        <w:overflowPunct/>
        <w:topLinePunct w:val="0"/>
        <w:bidi w:val="0"/>
        <w:spacing w:line="300" w:lineRule="auto"/>
        <w:ind w:left="735" w:hanging="315"/>
        <w:rPr>
          <w:rFonts w:hint="eastAsia" w:ascii="宋体" w:hAnsi="宋体"/>
          <w:szCs w:val="21"/>
        </w:rPr>
      </w:pPr>
      <w:r>
        <w:rPr>
          <w:rFonts w:hint="eastAsia" w:ascii="宋体" w:hAnsi="宋体"/>
          <w:szCs w:val="21"/>
        </w:rPr>
        <w:t>标书售价(元)：每本300元。（售后不退）</w:t>
      </w:r>
    </w:p>
    <w:p>
      <w:pPr>
        <w:numPr>
          <w:ilvl w:val="0"/>
          <w:numId w:val="5"/>
        </w:numPr>
        <w:kinsoku/>
        <w:overflowPunct/>
        <w:topLinePunct w:val="0"/>
        <w:bidi w:val="0"/>
        <w:spacing w:line="300" w:lineRule="auto"/>
        <w:ind w:left="422" w:hanging="422" w:hangingChars="200"/>
        <w:rPr>
          <w:rFonts w:hint="eastAsia" w:ascii="宋体" w:hAnsi="宋体"/>
          <w:szCs w:val="21"/>
        </w:rPr>
      </w:pPr>
      <w:r>
        <w:rPr>
          <w:rFonts w:hint="eastAsia" w:ascii="宋体" w:hAnsi="宋体"/>
          <w:b/>
          <w:szCs w:val="21"/>
        </w:rPr>
        <w:t>磋商文件下载地点：</w:t>
      </w:r>
      <w:r>
        <w:rPr>
          <w:rFonts w:hint="eastAsia" w:ascii="宋体" w:hAnsi="宋体"/>
          <w:szCs w:val="21"/>
        </w:rPr>
        <w:t>温州市公共资源交易网</w:t>
      </w:r>
      <w:r>
        <w:rPr>
          <w:rFonts w:ascii="宋体" w:hAnsi="宋体"/>
          <w:szCs w:val="21"/>
        </w:rPr>
        <w:t>—</w:t>
      </w:r>
      <w:r>
        <w:rPr>
          <w:rFonts w:hint="eastAsia" w:ascii="宋体" w:hAnsi="宋体"/>
          <w:szCs w:val="21"/>
        </w:rPr>
        <w:t>瑞安市分网（</w:t>
      </w:r>
      <w:r>
        <w:rPr>
          <w:rFonts w:ascii="宋体" w:hAnsi="宋体"/>
          <w:szCs w:val="21"/>
        </w:rPr>
        <w:t>http://www.raztb.com</w:t>
      </w:r>
      <w:r>
        <w:rPr>
          <w:rFonts w:hint="eastAsia" w:ascii="宋体" w:hAnsi="宋体"/>
          <w:szCs w:val="21"/>
        </w:rPr>
        <w:t>）或浙江省政府采购网（</w:t>
      </w:r>
      <w:r>
        <w:rPr>
          <w:rFonts w:ascii="宋体" w:hAnsi="宋体"/>
          <w:szCs w:val="21"/>
        </w:rPr>
        <w:t>http://www.zjzfcg.gov.cn/</w:t>
      </w:r>
      <w:r>
        <w:rPr>
          <w:rFonts w:hint="eastAsia" w:ascii="宋体" w:hAnsi="宋体"/>
          <w:szCs w:val="21"/>
        </w:rPr>
        <w:t>）下载。</w:t>
      </w:r>
    </w:p>
    <w:p>
      <w:pPr>
        <w:numPr>
          <w:ilvl w:val="0"/>
          <w:numId w:val="5"/>
        </w:numPr>
        <w:kinsoku/>
        <w:overflowPunct/>
        <w:topLinePunct w:val="0"/>
        <w:bidi w:val="0"/>
        <w:spacing w:line="300" w:lineRule="auto"/>
        <w:ind w:left="422" w:hanging="422" w:hangingChars="200"/>
        <w:rPr>
          <w:rFonts w:hint="eastAsia" w:ascii="宋体" w:hAnsi="宋体"/>
          <w:szCs w:val="21"/>
          <w:highlight w:val="none"/>
        </w:rPr>
      </w:pPr>
      <w:r>
        <w:rPr>
          <w:rFonts w:hint="eastAsia" w:ascii="宋体" w:hAnsi="宋体"/>
          <w:b/>
          <w:bCs/>
          <w:szCs w:val="21"/>
        </w:rPr>
        <w:t>磋商截止时间：</w:t>
      </w:r>
      <w:r>
        <w:rPr>
          <w:rFonts w:hint="eastAsia" w:ascii="宋体" w:hAnsi="宋体"/>
          <w:szCs w:val="21"/>
        </w:rPr>
        <w:t>2019年</w:t>
      </w:r>
      <w:r>
        <w:rPr>
          <w:rFonts w:hint="eastAsia" w:ascii="宋体" w:hAnsi="宋体"/>
          <w:szCs w:val="21"/>
          <w:lang w:val="en-US" w:eastAsia="zh-CN"/>
        </w:rPr>
        <w:t>6月4日上</w:t>
      </w:r>
      <w:r>
        <w:rPr>
          <w:rFonts w:hint="eastAsia" w:ascii="宋体" w:hAnsi="宋体"/>
          <w:szCs w:val="21"/>
          <w:highlight w:val="none"/>
        </w:rPr>
        <w:t>午</w:t>
      </w:r>
      <w:r>
        <w:rPr>
          <w:rFonts w:hint="eastAsia" w:ascii="宋体" w:hAnsi="宋体"/>
          <w:szCs w:val="21"/>
          <w:highlight w:val="none"/>
          <w:lang w:val="en-US" w:eastAsia="zh-CN"/>
        </w:rPr>
        <w:t>9</w:t>
      </w:r>
      <w:r>
        <w:rPr>
          <w:rFonts w:hint="eastAsia" w:ascii="宋体" w:hAnsi="宋体"/>
          <w:szCs w:val="21"/>
          <w:highlight w:val="none"/>
        </w:rPr>
        <w:t>：</w:t>
      </w:r>
      <w:r>
        <w:rPr>
          <w:rFonts w:hint="eastAsia" w:ascii="宋体" w:hAnsi="宋体"/>
          <w:szCs w:val="21"/>
          <w:highlight w:val="none"/>
          <w:lang w:val="en-US" w:eastAsia="zh-CN"/>
        </w:rPr>
        <w:t>0</w:t>
      </w:r>
      <w:r>
        <w:rPr>
          <w:rFonts w:hint="eastAsia" w:ascii="宋体" w:hAnsi="宋体"/>
          <w:szCs w:val="21"/>
          <w:highlight w:val="none"/>
        </w:rPr>
        <w:t>0 时止。</w:t>
      </w:r>
    </w:p>
    <w:p>
      <w:pPr>
        <w:numPr>
          <w:ilvl w:val="0"/>
          <w:numId w:val="5"/>
        </w:numPr>
        <w:kinsoku/>
        <w:overflowPunct/>
        <w:topLinePunct w:val="0"/>
        <w:bidi w:val="0"/>
        <w:spacing w:line="300" w:lineRule="auto"/>
        <w:ind w:left="422" w:hanging="422" w:hangingChars="200"/>
        <w:rPr>
          <w:rFonts w:hint="eastAsia" w:ascii="宋体" w:hAnsi="宋体"/>
          <w:szCs w:val="21"/>
          <w:highlight w:val="none"/>
        </w:rPr>
      </w:pPr>
      <w:r>
        <w:rPr>
          <w:rFonts w:hint="eastAsia" w:ascii="宋体" w:hAnsi="宋体"/>
          <w:b/>
          <w:bCs/>
          <w:szCs w:val="21"/>
          <w:highlight w:val="none"/>
        </w:rPr>
        <w:t>磋商响应文件递交时间：</w:t>
      </w:r>
      <w:r>
        <w:rPr>
          <w:rFonts w:hint="eastAsia" w:ascii="宋体" w:hAnsi="宋体"/>
          <w:szCs w:val="21"/>
          <w:highlight w:val="none"/>
        </w:rPr>
        <w:t>2019年</w:t>
      </w:r>
      <w:r>
        <w:rPr>
          <w:rFonts w:hint="eastAsia" w:ascii="宋体" w:hAnsi="宋体"/>
          <w:szCs w:val="21"/>
          <w:highlight w:val="none"/>
          <w:lang w:val="en-US" w:eastAsia="zh-CN"/>
        </w:rPr>
        <w:t>6月4日</w:t>
      </w:r>
      <w:r>
        <w:rPr>
          <w:rFonts w:hint="eastAsia" w:ascii="宋体" w:hAnsi="宋体"/>
          <w:szCs w:val="21"/>
          <w:highlight w:val="none"/>
          <w:lang w:eastAsia="zh-CN"/>
        </w:rPr>
        <w:t>上</w:t>
      </w:r>
      <w:r>
        <w:rPr>
          <w:rFonts w:hint="eastAsia" w:ascii="宋体" w:hAnsi="宋体"/>
          <w:szCs w:val="21"/>
          <w:highlight w:val="none"/>
        </w:rPr>
        <w:t>午</w:t>
      </w:r>
      <w:r>
        <w:rPr>
          <w:rFonts w:hint="eastAsia" w:ascii="宋体" w:hAnsi="宋体"/>
          <w:szCs w:val="21"/>
          <w:highlight w:val="none"/>
          <w:lang w:val="en-US" w:eastAsia="zh-CN"/>
        </w:rPr>
        <w:t>8</w:t>
      </w:r>
      <w:r>
        <w:rPr>
          <w:rFonts w:hint="eastAsia" w:ascii="宋体" w:hAnsi="宋体"/>
          <w:szCs w:val="21"/>
          <w:highlight w:val="none"/>
        </w:rPr>
        <w:t>：</w:t>
      </w:r>
      <w:r>
        <w:rPr>
          <w:rFonts w:hint="eastAsia" w:ascii="宋体" w:hAnsi="宋体"/>
          <w:szCs w:val="21"/>
          <w:highlight w:val="none"/>
          <w:lang w:val="en-US" w:eastAsia="zh-CN"/>
        </w:rPr>
        <w:t>3</w:t>
      </w:r>
      <w:r>
        <w:rPr>
          <w:rFonts w:hint="eastAsia" w:ascii="宋体" w:hAnsi="宋体"/>
          <w:szCs w:val="21"/>
          <w:highlight w:val="none"/>
        </w:rPr>
        <w:t>0-</w:t>
      </w:r>
      <w:r>
        <w:rPr>
          <w:rFonts w:hint="eastAsia" w:ascii="宋体" w:hAnsi="宋体"/>
          <w:szCs w:val="21"/>
          <w:highlight w:val="none"/>
          <w:lang w:val="en-US" w:eastAsia="zh-CN"/>
        </w:rPr>
        <w:t>9</w:t>
      </w:r>
      <w:r>
        <w:rPr>
          <w:rFonts w:hint="eastAsia" w:ascii="宋体" w:hAnsi="宋体"/>
          <w:szCs w:val="21"/>
          <w:highlight w:val="none"/>
        </w:rPr>
        <w:t>：</w:t>
      </w:r>
      <w:r>
        <w:rPr>
          <w:rFonts w:hint="eastAsia" w:ascii="宋体" w:hAnsi="宋体"/>
          <w:szCs w:val="21"/>
          <w:highlight w:val="none"/>
          <w:lang w:val="en-US" w:eastAsia="zh-CN"/>
        </w:rPr>
        <w:t>0</w:t>
      </w:r>
      <w:r>
        <w:rPr>
          <w:rFonts w:hint="eastAsia" w:ascii="宋体" w:hAnsi="宋体"/>
          <w:szCs w:val="21"/>
          <w:highlight w:val="none"/>
        </w:rPr>
        <w:t>0 时止。</w:t>
      </w:r>
    </w:p>
    <w:p>
      <w:pPr>
        <w:tabs>
          <w:tab w:val="left" w:pos="420"/>
          <w:tab w:val="left" w:pos="525"/>
        </w:tabs>
        <w:kinsoku/>
        <w:overflowPunct/>
        <w:topLinePunct w:val="0"/>
        <w:bidi w:val="0"/>
        <w:spacing w:before="48" w:beforeLines="20" w:after="48" w:afterLines="20" w:line="300" w:lineRule="auto"/>
        <w:rPr>
          <w:rFonts w:ascii="宋体" w:hAnsi="宋体"/>
          <w:szCs w:val="21"/>
          <w:highlight w:val="none"/>
        </w:rPr>
      </w:pPr>
      <w:r>
        <w:rPr>
          <w:rFonts w:hint="eastAsia" w:ascii="宋体" w:hAnsi="宋体"/>
          <w:b/>
          <w:szCs w:val="21"/>
          <w:highlight w:val="none"/>
        </w:rPr>
        <w:t>九、磋商响应文件提交地址：</w:t>
      </w:r>
      <w:r>
        <w:rPr>
          <w:rFonts w:hint="eastAsia" w:ascii="宋体" w:hAnsi="宋体"/>
          <w:szCs w:val="21"/>
          <w:highlight w:val="none"/>
        </w:rPr>
        <w:t>瑞安市滨江大道外滩满庭芳大楼三楼开标室（见当日大厅公示栏）</w:t>
      </w:r>
    </w:p>
    <w:p>
      <w:pPr>
        <w:tabs>
          <w:tab w:val="left" w:pos="525"/>
        </w:tabs>
        <w:kinsoku/>
        <w:overflowPunct/>
        <w:topLinePunct w:val="0"/>
        <w:bidi w:val="0"/>
        <w:spacing w:before="48" w:beforeLines="20" w:after="48" w:afterLines="20" w:line="300" w:lineRule="auto"/>
        <w:rPr>
          <w:rFonts w:ascii="宋体" w:hAnsi="宋体"/>
          <w:szCs w:val="21"/>
          <w:highlight w:val="none"/>
        </w:rPr>
      </w:pPr>
      <w:r>
        <w:rPr>
          <w:rFonts w:hint="eastAsia" w:ascii="宋体" w:hAnsi="宋体"/>
          <w:b/>
          <w:szCs w:val="21"/>
          <w:highlight w:val="none"/>
        </w:rPr>
        <w:t>十、磋商响应文件开启时间：</w:t>
      </w:r>
      <w:r>
        <w:rPr>
          <w:rFonts w:hint="eastAsia" w:ascii="宋体" w:hAnsi="宋体"/>
          <w:szCs w:val="21"/>
          <w:highlight w:val="none"/>
        </w:rPr>
        <w:t>2019年</w:t>
      </w:r>
      <w:r>
        <w:rPr>
          <w:rFonts w:hint="eastAsia" w:ascii="宋体" w:hAnsi="宋体"/>
          <w:szCs w:val="21"/>
          <w:highlight w:val="none"/>
          <w:lang w:val="en-US" w:eastAsia="zh-CN"/>
        </w:rPr>
        <w:t>6月4日上</w:t>
      </w:r>
      <w:r>
        <w:rPr>
          <w:rFonts w:hint="eastAsia" w:ascii="宋体" w:hAnsi="宋体"/>
          <w:szCs w:val="21"/>
          <w:highlight w:val="none"/>
        </w:rPr>
        <w:t>午</w:t>
      </w:r>
      <w:r>
        <w:rPr>
          <w:rFonts w:hint="eastAsia" w:ascii="宋体" w:hAnsi="宋体"/>
          <w:szCs w:val="21"/>
          <w:highlight w:val="none"/>
          <w:lang w:val="en-US" w:eastAsia="zh-CN"/>
        </w:rPr>
        <w:t>9</w:t>
      </w:r>
      <w:r>
        <w:rPr>
          <w:rFonts w:hint="eastAsia" w:ascii="宋体" w:hAnsi="宋体"/>
          <w:szCs w:val="21"/>
          <w:highlight w:val="none"/>
        </w:rPr>
        <w:t>：</w:t>
      </w:r>
      <w:r>
        <w:rPr>
          <w:rFonts w:hint="eastAsia" w:ascii="宋体" w:hAnsi="宋体"/>
          <w:szCs w:val="21"/>
          <w:highlight w:val="none"/>
          <w:lang w:val="en-US" w:eastAsia="zh-CN"/>
        </w:rPr>
        <w:t>0</w:t>
      </w:r>
      <w:r>
        <w:rPr>
          <w:rFonts w:hint="eastAsia" w:ascii="宋体" w:hAnsi="宋体"/>
          <w:szCs w:val="21"/>
          <w:highlight w:val="none"/>
        </w:rPr>
        <w:t>0 正。</w:t>
      </w:r>
    </w:p>
    <w:p>
      <w:pPr>
        <w:tabs>
          <w:tab w:val="left" w:pos="420"/>
          <w:tab w:val="left" w:pos="525"/>
        </w:tabs>
        <w:kinsoku/>
        <w:overflowPunct/>
        <w:topLinePunct w:val="0"/>
        <w:bidi w:val="0"/>
        <w:spacing w:before="48" w:beforeLines="20" w:after="48" w:afterLines="20" w:line="300" w:lineRule="auto"/>
        <w:rPr>
          <w:rFonts w:ascii="宋体" w:hAnsi="宋体"/>
          <w:szCs w:val="21"/>
        </w:rPr>
      </w:pPr>
      <w:r>
        <w:rPr>
          <w:rFonts w:hint="eastAsia" w:ascii="宋体" w:hAnsi="宋体"/>
          <w:b/>
          <w:szCs w:val="21"/>
        </w:rPr>
        <w:t>十一、磋商地址：</w:t>
      </w:r>
      <w:r>
        <w:rPr>
          <w:rFonts w:hint="eastAsia" w:ascii="宋体" w:hAnsi="宋体"/>
          <w:szCs w:val="21"/>
        </w:rPr>
        <w:t>瑞安市滨江大道外滩满庭芳大楼三楼开标室（见当日大厅公示栏）。</w:t>
      </w:r>
    </w:p>
    <w:p>
      <w:pPr>
        <w:kinsoku/>
        <w:overflowPunct/>
        <w:topLinePunct w:val="0"/>
        <w:bidi w:val="0"/>
        <w:spacing w:before="48" w:beforeLines="20" w:after="48" w:afterLines="20" w:line="300" w:lineRule="auto"/>
        <w:rPr>
          <w:rFonts w:hint="eastAsia" w:ascii="宋体" w:hAnsi="宋体"/>
          <w:b/>
          <w:szCs w:val="21"/>
        </w:rPr>
      </w:pPr>
      <w:r>
        <w:rPr>
          <w:rFonts w:hint="eastAsia" w:ascii="宋体" w:hAnsi="宋体"/>
          <w:b/>
          <w:szCs w:val="21"/>
        </w:rPr>
        <w:t>十</w:t>
      </w:r>
      <w:r>
        <w:rPr>
          <w:rFonts w:hint="eastAsia" w:ascii="宋体" w:hAnsi="宋体"/>
          <w:b/>
          <w:szCs w:val="21"/>
          <w:lang w:eastAsia="zh-CN"/>
        </w:rPr>
        <w:t>二</w:t>
      </w:r>
      <w:r>
        <w:rPr>
          <w:rFonts w:hint="eastAsia" w:ascii="宋体" w:hAnsi="宋体"/>
          <w:b/>
          <w:szCs w:val="21"/>
        </w:rPr>
        <w:t>、公告期限：3个工作日</w:t>
      </w:r>
    </w:p>
    <w:p>
      <w:pPr>
        <w:pStyle w:val="539"/>
        <w:kinsoku/>
        <w:overflowPunct/>
        <w:topLinePunct w:val="0"/>
        <w:bidi w:val="0"/>
        <w:spacing w:before="48" w:beforeLines="20" w:after="48" w:afterLines="20" w:line="300" w:lineRule="auto"/>
        <w:ind w:firstLine="0" w:firstLineChars="0"/>
        <w:rPr>
          <w:rFonts w:hint="eastAsia" w:ascii="宋体" w:hAnsi="宋体"/>
          <w:b/>
          <w:szCs w:val="21"/>
        </w:rPr>
      </w:pPr>
      <w:r>
        <w:rPr>
          <w:rFonts w:hint="eastAsia" w:ascii="宋体" w:hAnsi="宋体"/>
          <w:b/>
          <w:szCs w:val="21"/>
        </w:rPr>
        <w:t>十</w:t>
      </w:r>
      <w:r>
        <w:rPr>
          <w:rFonts w:hint="eastAsia" w:ascii="宋体" w:hAnsi="宋体"/>
          <w:b/>
          <w:szCs w:val="21"/>
          <w:lang w:eastAsia="zh-CN"/>
        </w:rPr>
        <w:t>三</w:t>
      </w:r>
      <w:r>
        <w:rPr>
          <w:rFonts w:hint="eastAsia" w:ascii="宋体" w:hAnsi="宋体"/>
          <w:b/>
          <w:szCs w:val="21"/>
        </w:rPr>
        <w:t>、其他事项</w:t>
      </w:r>
    </w:p>
    <w:p>
      <w:pPr>
        <w:kinsoku/>
        <w:overflowPunct/>
        <w:topLinePunct w:val="0"/>
        <w:bidi w:val="0"/>
        <w:spacing w:line="300" w:lineRule="auto"/>
        <w:ind w:firstLine="420"/>
        <w:rPr>
          <w:rFonts w:hint="eastAsia" w:ascii="宋体" w:hAnsi="宋体"/>
          <w:szCs w:val="21"/>
        </w:rPr>
      </w:pPr>
      <w:r>
        <w:rPr>
          <w:rFonts w:hint="eastAsia" w:ascii="宋体" w:hAnsi="宋体"/>
          <w:szCs w:val="21"/>
        </w:rPr>
        <w:t>1．磋商供应商认为磋商文件使自己的权益受到损害的，可以自收到磋商文件之日（发售截止日之后收到磋商文件的，以发售截止日为准）或者磋商文件公告期限届满之日（公告发布后的第4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insoku/>
        <w:overflowPunct/>
        <w:topLinePunct w:val="0"/>
        <w:bidi w:val="0"/>
        <w:spacing w:line="300" w:lineRule="auto"/>
        <w:ind w:firstLine="420"/>
        <w:rPr>
          <w:rFonts w:hint="eastAsia" w:ascii="宋体" w:hAnsi="宋体"/>
          <w:szCs w:val="21"/>
        </w:rPr>
      </w:pPr>
      <w:r>
        <w:rPr>
          <w:rFonts w:hint="eastAsia" w:ascii="宋体" w:hAnsi="宋体"/>
          <w:szCs w:val="21"/>
        </w:rPr>
        <w:t>2</w:t>
      </w:r>
      <w:r>
        <w:rPr>
          <w:rFonts w:hint="eastAsia" w:ascii="宋体" w:hAnsi="宋体"/>
          <w:szCs w:val="21"/>
          <w:highlight w:val="none"/>
        </w:rPr>
        <w:t>.磋商供应商须先在温州市公共资源交易网（</w:t>
      </w:r>
      <w:r>
        <w:rPr>
          <w:rFonts w:ascii="宋体" w:hAnsi="宋体"/>
          <w:szCs w:val="21"/>
          <w:highlight w:val="none"/>
        </w:rPr>
        <w:t>https://ggzy.wzzbtb.com/wzcms/</w:t>
      </w:r>
      <w:r>
        <w:rPr>
          <w:rFonts w:hint="eastAsia" w:ascii="宋体" w:hAnsi="宋体"/>
          <w:szCs w:val="21"/>
          <w:highlight w:val="none"/>
        </w:rPr>
        <w:t>）登记入库（入库相关事宜请参照《全市建设工程招标投标交易主体信息统一入库的通知（试行）》），再在温州市公共资源交易网</w:t>
      </w:r>
      <w:r>
        <w:rPr>
          <w:rFonts w:ascii="宋体" w:hAnsi="宋体"/>
          <w:szCs w:val="21"/>
          <w:highlight w:val="none"/>
        </w:rPr>
        <w:t>—</w:t>
      </w:r>
      <w:r>
        <w:rPr>
          <w:rFonts w:hint="eastAsia" w:ascii="宋体" w:hAnsi="宋体"/>
          <w:szCs w:val="21"/>
          <w:highlight w:val="none"/>
        </w:rPr>
        <w:t>瑞安市分网（</w:t>
      </w:r>
      <w:r>
        <w:rPr>
          <w:rFonts w:ascii="宋体" w:hAnsi="宋体"/>
          <w:szCs w:val="21"/>
          <w:highlight w:val="none"/>
        </w:rPr>
        <w:t>http://www.raztb.com/TPFront/</w:t>
      </w:r>
      <w:r>
        <w:rPr>
          <w:rFonts w:hint="eastAsia" w:ascii="宋体" w:hAnsi="宋体"/>
          <w:szCs w:val="21"/>
          <w:highlight w:val="none"/>
        </w:rPr>
        <w:t>）进行网上报名</w:t>
      </w:r>
      <w:r>
        <w:rPr>
          <w:rFonts w:hint="eastAsia" w:ascii="宋体" w:hAnsi="宋体"/>
          <w:szCs w:val="21"/>
        </w:rPr>
        <w:t>。</w:t>
      </w:r>
    </w:p>
    <w:p>
      <w:pPr>
        <w:kinsoku/>
        <w:overflowPunct/>
        <w:topLinePunct w:val="0"/>
        <w:bidi w:val="0"/>
        <w:spacing w:line="300" w:lineRule="auto"/>
        <w:ind w:firstLine="420"/>
        <w:rPr>
          <w:rFonts w:hint="eastAsia" w:ascii="宋体" w:hAnsi="宋体"/>
          <w:szCs w:val="21"/>
        </w:rPr>
      </w:pPr>
      <w:r>
        <w:rPr>
          <w:rFonts w:hint="eastAsia" w:ascii="宋体" w:hAnsi="宋体"/>
          <w:szCs w:val="21"/>
        </w:rPr>
        <w:t>3．磋商供应商已进行报名并获取了取磋商文件而又放弃参加投标的，可于磋商响应截止时间之前登录温州市公共资源交易网</w:t>
      </w:r>
      <w:r>
        <w:rPr>
          <w:rFonts w:ascii="宋体" w:hAnsi="宋体"/>
          <w:szCs w:val="21"/>
        </w:rPr>
        <w:t>—</w:t>
      </w:r>
      <w:r>
        <w:rPr>
          <w:rFonts w:hint="eastAsia" w:ascii="宋体" w:hAnsi="宋体"/>
          <w:szCs w:val="21"/>
        </w:rPr>
        <w:t>瑞安市分网（</w:t>
      </w:r>
      <w:r>
        <w:rPr>
          <w:rFonts w:ascii="宋体" w:hAnsi="宋体"/>
          <w:szCs w:val="21"/>
        </w:rPr>
        <w:t>http://www.raztb.com</w:t>
      </w:r>
      <w:r>
        <w:rPr>
          <w:rFonts w:hint="eastAsia" w:ascii="宋体" w:hAnsi="宋体"/>
          <w:szCs w:val="21"/>
        </w:rPr>
        <w:t>）会员系统网上取消报名。</w:t>
      </w:r>
    </w:p>
    <w:p>
      <w:pPr>
        <w:kinsoku/>
        <w:overflowPunct/>
        <w:topLinePunct w:val="0"/>
        <w:bidi w:val="0"/>
        <w:spacing w:line="300" w:lineRule="auto"/>
        <w:ind w:firstLine="420"/>
        <w:rPr>
          <w:rFonts w:hint="eastAsia" w:ascii="宋体" w:hAnsi="宋体"/>
          <w:szCs w:val="21"/>
        </w:rPr>
      </w:pPr>
      <w:r>
        <w:rPr>
          <w:rFonts w:hint="eastAsia" w:ascii="宋体" w:hAnsi="宋体"/>
          <w:szCs w:val="21"/>
        </w:rPr>
        <w:t>4．根据《浙江省政府采购供应商注册登记和诚信管理暂行办法》，中标成交的磋商供应商，必须事先申请加入“浙江省政府采购供应商库”；请磋商供应商登入“浙江政府采购网”进行登记注册。</w:t>
      </w:r>
    </w:p>
    <w:p>
      <w:pPr>
        <w:kinsoku/>
        <w:overflowPunct/>
        <w:topLinePunct w:val="0"/>
        <w:bidi w:val="0"/>
        <w:spacing w:line="300" w:lineRule="auto"/>
        <w:ind w:firstLine="420"/>
        <w:rPr>
          <w:rFonts w:hint="eastAsia"/>
        </w:rPr>
      </w:pPr>
      <w:r>
        <w:rPr>
          <w:rFonts w:hint="eastAsia"/>
        </w:rPr>
        <w:t>5．根据浙财采监〔2012〕11号文件，在磋商响应截止时间之前已注册并加入“浙江省政府采购供应商库”且符合财政部、工业和信息化部《关于印发〈政府采购促进中小企业发展暂行办法〉的通知》（财库〔2011〕181号，以下简称《暂行办法》）规定的中小企业（含微型企业）条件的，在参加本项目投标活动时可享受《暂行办法》规定的优惠政策。</w:t>
      </w:r>
    </w:p>
    <w:p>
      <w:pPr>
        <w:kinsoku/>
        <w:overflowPunct/>
        <w:topLinePunct w:val="0"/>
        <w:bidi w:val="0"/>
        <w:spacing w:line="300" w:lineRule="auto"/>
        <w:ind w:firstLine="420"/>
        <w:rPr>
          <w:rFonts w:hint="eastAsia"/>
        </w:rPr>
      </w:pPr>
      <w:r>
        <w:rPr>
          <w:rFonts w:hint="eastAsia"/>
        </w:rPr>
        <w:t>6. 本项目优先采购本国货物和服务，必须进行的技术引进和转让需符合国家政策和有利于国内行业的发展。项目中涉及到的设备、材料属于政府采购节能产品、环境标志产品的，要求符合相关规定。</w:t>
      </w:r>
    </w:p>
    <w:p>
      <w:pPr>
        <w:kinsoku/>
        <w:overflowPunct/>
        <w:topLinePunct w:val="0"/>
        <w:bidi w:val="0"/>
        <w:spacing w:line="300" w:lineRule="auto"/>
        <w:rPr>
          <w:rFonts w:ascii="宋体" w:hAnsi="宋体"/>
          <w:szCs w:val="21"/>
        </w:rPr>
      </w:pPr>
      <w:r>
        <w:rPr>
          <w:rFonts w:hint="eastAsia" w:ascii="宋体" w:hAnsi="宋体"/>
          <w:b/>
          <w:szCs w:val="21"/>
        </w:rPr>
        <w:t>十</w:t>
      </w:r>
      <w:r>
        <w:rPr>
          <w:rFonts w:hint="eastAsia" w:ascii="宋体" w:hAnsi="宋体"/>
          <w:b/>
          <w:szCs w:val="21"/>
          <w:lang w:eastAsia="zh-CN"/>
        </w:rPr>
        <w:t>四</w:t>
      </w:r>
      <w:r>
        <w:rPr>
          <w:rFonts w:hint="eastAsia" w:ascii="宋体" w:hAnsi="宋体"/>
          <w:b/>
          <w:szCs w:val="21"/>
        </w:rPr>
        <w:t>、联系人及联系电话</w:t>
      </w:r>
    </w:p>
    <w:p>
      <w:pPr>
        <w:kinsoku/>
        <w:overflowPunct/>
        <w:topLinePunct w:val="0"/>
        <w:bidi w:val="0"/>
        <w:spacing w:line="300" w:lineRule="auto"/>
        <w:ind w:left="210" w:leftChars="100"/>
        <w:rPr>
          <w:rFonts w:hint="eastAsia" w:ascii="宋体" w:hAnsi="宋体"/>
          <w:szCs w:val="21"/>
        </w:rPr>
      </w:pPr>
      <w:r>
        <w:rPr>
          <w:rFonts w:hint="eastAsia" w:ascii="宋体" w:hAnsi="宋体"/>
          <w:szCs w:val="21"/>
        </w:rPr>
        <w:t>1、</w:t>
      </w:r>
      <w:r>
        <w:rPr>
          <w:rFonts w:hint="eastAsia" w:ascii="宋体" w:hAnsi="宋体" w:cs="宋体"/>
          <w:szCs w:val="21"/>
        </w:rPr>
        <w:t xml:space="preserve">代理机构名称：浙江瑞扬工程咨询招标代理股份有限公司 </w:t>
      </w:r>
    </w:p>
    <w:p>
      <w:pPr>
        <w:kinsoku/>
        <w:overflowPunct/>
        <w:topLinePunct w:val="0"/>
        <w:bidi w:val="0"/>
        <w:spacing w:line="300" w:lineRule="auto"/>
        <w:ind w:left="210" w:leftChars="100"/>
        <w:rPr>
          <w:rFonts w:hint="eastAsia" w:ascii="宋体" w:hAnsi="宋体" w:eastAsia="宋体"/>
          <w:color w:val="000000"/>
          <w:szCs w:val="21"/>
          <w:lang w:eastAsia="zh-CN"/>
        </w:rPr>
      </w:pPr>
      <w:r>
        <w:rPr>
          <w:rFonts w:hint="eastAsia" w:ascii="宋体" w:hAnsi="宋体"/>
          <w:color w:val="000000"/>
          <w:szCs w:val="21"/>
        </w:rPr>
        <w:t>联系人</w:t>
      </w:r>
      <w:r>
        <w:rPr>
          <w:rFonts w:hint="eastAsia" w:ascii="宋体" w:hAnsi="宋体" w:cs="宋体"/>
          <w:color w:val="000000"/>
          <w:szCs w:val="21"/>
        </w:rPr>
        <w:t>：</w:t>
      </w:r>
      <w:r>
        <w:rPr>
          <w:rFonts w:hint="eastAsia" w:ascii="宋体" w:hAnsi="宋体" w:cs="宋体"/>
          <w:color w:val="000000"/>
          <w:szCs w:val="21"/>
          <w:lang w:eastAsia="zh-CN"/>
        </w:rPr>
        <w:t>叶明东、蔡欢欢</w:t>
      </w:r>
    </w:p>
    <w:p>
      <w:pPr>
        <w:kinsoku/>
        <w:overflowPunct/>
        <w:topLinePunct w:val="0"/>
        <w:bidi w:val="0"/>
        <w:spacing w:line="300" w:lineRule="auto"/>
        <w:ind w:left="210" w:leftChars="100"/>
        <w:rPr>
          <w:rFonts w:hint="eastAsia" w:ascii="宋体" w:hAnsi="宋体"/>
          <w:color w:val="000000"/>
          <w:szCs w:val="21"/>
        </w:rPr>
      </w:pPr>
      <w:r>
        <w:rPr>
          <w:rFonts w:hint="eastAsia" w:ascii="宋体" w:hAnsi="宋体"/>
          <w:color w:val="000000"/>
          <w:szCs w:val="21"/>
        </w:rPr>
        <w:t>联系电话</w:t>
      </w:r>
      <w:r>
        <w:rPr>
          <w:rFonts w:hint="eastAsia" w:ascii="宋体" w:hAnsi="宋体" w:cs="宋体"/>
          <w:color w:val="000000"/>
          <w:szCs w:val="21"/>
        </w:rPr>
        <w:t>：</w:t>
      </w:r>
      <w:r>
        <w:rPr>
          <w:rFonts w:hint="eastAsia" w:ascii="宋体" w:hAnsi="宋体" w:cs="宋体"/>
          <w:color w:val="000000"/>
          <w:szCs w:val="21"/>
          <w:lang w:eastAsia="zh-CN"/>
        </w:rPr>
        <w:t>18857771757</w:t>
      </w:r>
      <w:r>
        <w:rPr>
          <w:rFonts w:hint="eastAsia" w:ascii="宋体" w:hAnsi="宋体" w:cs="宋体"/>
          <w:color w:val="000000"/>
          <w:szCs w:val="21"/>
        </w:rPr>
        <w:t>、0577-65802277</w:t>
      </w:r>
    </w:p>
    <w:p>
      <w:pPr>
        <w:kinsoku/>
        <w:overflowPunct/>
        <w:topLinePunct w:val="0"/>
        <w:bidi w:val="0"/>
        <w:spacing w:line="300" w:lineRule="auto"/>
        <w:ind w:left="210" w:leftChars="100"/>
        <w:rPr>
          <w:rFonts w:hint="eastAsia" w:ascii="宋体" w:hAnsi="宋体"/>
          <w:color w:val="000000"/>
          <w:szCs w:val="21"/>
        </w:rPr>
      </w:pPr>
      <w:r>
        <w:rPr>
          <w:rFonts w:hint="eastAsia" w:ascii="宋体" w:hAnsi="宋体"/>
          <w:color w:val="000000"/>
          <w:szCs w:val="21"/>
        </w:rPr>
        <w:t>传真：</w:t>
      </w:r>
      <w:r>
        <w:rPr>
          <w:rFonts w:hint="eastAsia" w:ascii="宋体" w:hAnsi="宋体" w:cs="宋体"/>
          <w:color w:val="000000"/>
          <w:szCs w:val="21"/>
        </w:rPr>
        <w:t>0577-65802277</w:t>
      </w:r>
    </w:p>
    <w:p>
      <w:pPr>
        <w:kinsoku/>
        <w:overflowPunct/>
        <w:topLinePunct w:val="0"/>
        <w:bidi w:val="0"/>
        <w:spacing w:line="300" w:lineRule="auto"/>
        <w:ind w:left="210" w:leftChars="100"/>
        <w:rPr>
          <w:rFonts w:hint="eastAsia" w:ascii="宋体" w:hAnsi="宋体"/>
          <w:color w:val="000000"/>
          <w:szCs w:val="21"/>
        </w:rPr>
      </w:pPr>
      <w:r>
        <w:rPr>
          <w:rFonts w:hint="eastAsia" w:ascii="宋体" w:hAnsi="宋体"/>
          <w:color w:val="000000"/>
          <w:szCs w:val="21"/>
        </w:rPr>
        <w:t>地址：</w:t>
      </w:r>
      <w:r>
        <w:rPr>
          <w:rFonts w:hint="eastAsia" w:ascii="宋体" w:hAnsi="宋体" w:cs="宋体"/>
          <w:color w:val="000000"/>
          <w:szCs w:val="21"/>
        </w:rPr>
        <w:t>瑞安市安福路28号三楼</w:t>
      </w:r>
    </w:p>
    <w:p>
      <w:pPr>
        <w:kinsoku/>
        <w:overflowPunct/>
        <w:topLinePunct w:val="0"/>
        <w:bidi w:val="0"/>
        <w:spacing w:line="300" w:lineRule="auto"/>
        <w:ind w:firstLine="210" w:firstLineChars="100"/>
        <w:rPr>
          <w:rFonts w:hint="eastAsia" w:ascii="宋体" w:hAnsi="宋体"/>
          <w:szCs w:val="21"/>
        </w:rPr>
      </w:pPr>
      <w:r>
        <w:rPr>
          <w:rFonts w:hint="eastAsia" w:ascii="宋体" w:hAnsi="宋体"/>
          <w:szCs w:val="21"/>
        </w:rPr>
        <w:t>2、采购人：瑞安市公安局</w:t>
      </w:r>
    </w:p>
    <w:p>
      <w:pPr>
        <w:kinsoku/>
        <w:overflowPunct/>
        <w:topLinePunct w:val="0"/>
        <w:bidi w:val="0"/>
        <w:spacing w:line="300" w:lineRule="auto"/>
        <w:ind w:left="210" w:leftChars="100"/>
        <w:rPr>
          <w:rFonts w:hint="eastAsia" w:ascii="宋体" w:hAnsi="宋体"/>
          <w:szCs w:val="21"/>
        </w:rPr>
      </w:pPr>
      <w:r>
        <w:rPr>
          <w:rFonts w:hint="eastAsia" w:ascii="宋体" w:hAnsi="宋体"/>
          <w:szCs w:val="21"/>
        </w:rPr>
        <w:t>联系人：</w:t>
      </w:r>
      <w:r>
        <w:rPr>
          <w:rFonts w:hint="eastAsia"/>
        </w:rPr>
        <w:t>王先生</w:t>
      </w:r>
    </w:p>
    <w:p>
      <w:pPr>
        <w:kinsoku/>
        <w:overflowPunct/>
        <w:topLinePunct w:val="0"/>
        <w:bidi w:val="0"/>
        <w:spacing w:line="300" w:lineRule="auto"/>
        <w:ind w:left="210" w:leftChars="100"/>
        <w:rPr>
          <w:rFonts w:hint="eastAsia" w:ascii="宋体" w:hAnsi="宋体" w:cs="宋体"/>
          <w:szCs w:val="21"/>
        </w:rPr>
      </w:pPr>
      <w:r>
        <w:rPr>
          <w:rFonts w:hint="eastAsia" w:ascii="宋体" w:hAnsi="宋体" w:cs="宋体"/>
          <w:szCs w:val="21"/>
        </w:rPr>
        <w:t>联系电话：</w:t>
      </w:r>
      <w:r>
        <w:rPr>
          <w:rFonts w:hint="eastAsia"/>
        </w:rPr>
        <w:t>13806848886</w:t>
      </w:r>
    </w:p>
    <w:p>
      <w:pPr>
        <w:kinsoku/>
        <w:overflowPunct/>
        <w:topLinePunct w:val="0"/>
        <w:bidi w:val="0"/>
        <w:spacing w:line="300" w:lineRule="auto"/>
        <w:ind w:left="210" w:leftChars="100"/>
        <w:rPr>
          <w:rFonts w:hint="eastAsia" w:ascii="宋体" w:hAnsi="宋体" w:cs="宋体"/>
          <w:szCs w:val="21"/>
        </w:rPr>
      </w:pPr>
      <w:r>
        <w:rPr>
          <w:rFonts w:hint="eastAsia" w:ascii="宋体" w:hAnsi="宋体" w:cs="宋体"/>
          <w:szCs w:val="21"/>
        </w:rPr>
        <w:t>地址：</w:t>
      </w:r>
      <w:r>
        <w:t>瑞安市安阳街道隆山东路525号</w:t>
      </w:r>
    </w:p>
    <w:p>
      <w:pPr>
        <w:numPr>
          <w:ilvl w:val="0"/>
          <w:numId w:val="6"/>
        </w:numPr>
        <w:kinsoku/>
        <w:overflowPunct/>
        <w:topLinePunct w:val="0"/>
        <w:bidi w:val="0"/>
        <w:spacing w:line="300" w:lineRule="auto"/>
        <w:ind w:left="210" w:leftChars="100"/>
        <w:rPr>
          <w:rFonts w:hint="eastAsia" w:ascii="宋体" w:hAnsi="宋体" w:cs="宋体"/>
          <w:szCs w:val="21"/>
        </w:rPr>
      </w:pPr>
      <w:r>
        <w:rPr>
          <w:rFonts w:hint="eastAsia" w:ascii="宋体" w:hAnsi="宋体"/>
          <w:szCs w:val="21"/>
        </w:rPr>
        <w:t>同级政府采购监督管理部门名称：瑞安市</w:t>
      </w:r>
      <w:r>
        <w:rPr>
          <w:rFonts w:hint="eastAsia" w:ascii="宋体" w:hAnsi="宋体" w:cs="宋体"/>
          <w:szCs w:val="21"/>
        </w:rPr>
        <w:t>财政局政府采购监督管理科</w:t>
      </w:r>
    </w:p>
    <w:p>
      <w:pPr>
        <w:kinsoku/>
        <w:overflowPunct/>
        <w:topLinePunct w:val="0"/>
        <w:bidi w:val="0"/>
        <w:spacing w:line="300" w:lineRule="auto"/>
        <w:ind w:firstLine="210" w:firstLineChars="100"/>
        <w:rPr>
          <w:rFonts w:hint="eastAsia" w:ascii="宋体" w:hAnsi="宋体" w:cs="宋体"/>
          <w:szCs w:val="21"/>
        </w:rPr>
      </w:pPr>
      <w:r>
        <w:rPr>
          <w:rFonts w:hint="eastAsia" w:ascii="宋体" w:hAnsi="宋体" w:cs="宋体"/>
          <w:szCs w:val="21"/>
        </w:rPr>
        <w:t>联系人：黄艳雁</w:t>
      </w:r>
    </w:p>
    <w:p>
      <w:pPr>
        <w:kinsoku/>
        <w:overflowPunct/>
        <w:topLinePunct w:val="0"/>
        <w:bidi w:val="0"/>
        <w:spacing w:line="300" w:lineRule="auto"/>
        <w:ind w:firstLine="210" w:firstLineChars="100"/>
        <w:rPr>
          <w:rFonts w:hint="eastAsia" w:ascii="宋体" w:hAnsi="宋体" w:cs="宋体"/>
          <w:szCs w:val="21"/>
        </w:rPr>
      </w:pPr>
      <w:r>
        <w:rPr>
          <w:rFonts w:hint="eastAsia" w:ascii="宋体" w:hAnsi="宋体" w:cs="宋体"/>
          <w:szCs w:val="21"/>
        </w:rPr>
        <w:t>联系电话：0577-65827567</w:t>
      </w:r>
    </w:p>
    <w:p>
      <w:pPr>
        <w:kinsoku/>
        <w:overflowPunct/>
        <w:topLinePunct w:val="0"/>
        <w:bidi w:val="0"/>
        <w:spacing w:line="300" w:lineRule="auto"/>
        <w:ind w:firstLine="210" w:firstLineChars="100"/>
        <w:rPr>
          <w:rFonts w:hint="eastAsia" w:ascii="宋体" w:hAnsi="宋体" w:cs="宋体"/>
          <w:szCs w:val="21"/>
        </w:rPr>
      </w:pPr>
      <w:r>
        <w:rPr>
          <w:rFonts w:hint="eastAsia" w:ascii="宋体" w:hAnsi="宋体" w:cs="宋体"/>
          <w:szCs w:val="21"/>
        </w:rPr>
        <w:t>传真：0577-65827570</w:t>
      </w:r>
    </w:p>
    <w:p>
      <w:pPr>
        <w:kinsoku/>
        <w:overflowPunct/>
        <w:topLinePunct w:val="0"/>
        <w:bidi w:val="0"/>
        <w:spacing w:line="300" w:lineRule="auto"/>
        <w:ind w:firstLine="210" w:firstLineChars="100"/>
        <w:rPr>
          <w:rFonts w:hint="eastAsia" w:ascii="宋体" w:hAnsi="宋体" w:cs="宋体"/>
          <w:szCs w:val="21"/>
        </w:rPr>
      </w:pPr>
      <w:r>
        <w:rPr>
          <w:rFonts w:hint="eastAsia" w:ascii="宋体" w:hAnsi="宋体" w:cs="宋体"/>
          <w:szCs w:val="21"/>
        </w:rPr>
        <w:t>地址：瑞安市财政局大楼15楼</w:t>
      </w:r>
    </w:p>
    <w:p>
      <w:pPr>
        <w:pStyle w:val="4"/>
        <w:keepNext w:val="0"/>
        <w:keepLines w:val="0"/>
        <w:pageBreakBefore/>
        <w:kinsoku/>
        <w:overflowPunct/>
        <w:topLinePunct w:val="0"/>
        <w:bidi w:val="0"/>
        <w:spacing w:before="240" w:beforeLines="100" w:after="240" w:afterLines="100" w:line="300" w:lineRule="auto"/>
        <w:jc w:val="center"/>
        <w:rPr>
          <w:rFonts w:hAnsi="宋体"/>
          <w:sz w:val="28"/>
          <w:szCs w:val="36"/>
        </w:rPr>
      </w:pPr>
      <w:bookmarkStart w:id="2" w:name="_Toc13708"/>
      <w:r>
        <w:rPr>
          <w:rFonts w:hint="eastAsia" w:hAnsi="宋体"/>
          <w:sz w:val="28"/>
          <w:szCs w:val="36"/>
        </w:rPr>
        <w:t>第二部分  磋商供应商须知</w:t>
      </w:r>
      <w:bookmarkEnd w:id="2"/>
    </w:p>
    <w:p>
      <w:pPr>
        <w:pStyle w:val="5"/>
        <w:kinsoku/>
        <w:overflowPunct/>
        <w:topLinePunct w:val="0"/>
        <w:bidi w:val="0"/>
        <w:spacing w:before="120" w:beforeLines="50" w:after="120" w:afterLines="50" w:line="300" w:lineRule="auto"/>
        <w:jc w:val="center"/>
        <w:rPr>
          <w:bCs w:val="0"/>
          <w:sz w:val="24"/>
          <w:szCs w:val="24"/>
        </w:rPr>
      </w:pPr>
      <w:bookmarkStart w:id="3" w:name="_Toc22937"/>
      <w:bookmarkStart w:id="4" w:name="_Toc157"/>
      <w:r>
        <w:rPr>
          <w:rFonts w:hint="eastAsia"/>
          <w:sz w:val="24"/>
          <w:szCs w:val="24"/>
        </w:rPr>
        <w:t>（一）</w:t>
      </w:r>
      <w:r>
        <w:rPr>
          <w:rFonts w:hint="eastAsia"/>
          <w:bCs w:val="0"/>
          <w:sz w:val="24"/>
          <w:szCs w:val="24"/>
        </w:rPr>
        <w:t>磋商须知前附表</w:t>
      </w:r>
      <w:bookmarkEnd w:id="3"/>
      <w:bookmarkEnd w:id="4"/>
    </w:p>
    <w:tbl>
      <w:tblPr>
        <w:tblStyle w:val="5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44"/>
        <w:gridCol w:w="1917"/>
        <w:gridCol w:w="6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59" w:hRule="atLeast"/>
          <w:jc w:val="center"/>
        </w:trPr>
        <w:tc>
          <w:tcPr>
            <w:tcW w:w="644" w:type="dxa"/>
            <w:noWrap w:val="0"/>
            <w:vAlign w:val="center"/>
          </w:tcPr>
          <w:p>
            <w:pPr>
              <w:kinsoku/>
              <w:overflowPunct/>
              <w:topLinePunct w:val="0"/>
              <w:bidi w:val="0"/>
              <w:spacing w:line="300" w:lineRule="auto"/>
              <w:jc w:val="center"/>
              <w:rPr>
                <w:rFonts w:ascii="宋体" w:hAnsi="宋体" w:cs="Arial"/>
                <w:b/>
                <w:szCs w:val="21"/>
              </w:rPr>
            </w:pPr>
            <w:r>
              <w:rPr>
                <w:rFonts w:hint="eastAsia" w:ascii="宋体" w:hAnsi="宋体" w:cs="Arial"/>
                <w:b/>
                <w:szCs w:val="21"/>
              </w:rPr>
              <w:t>项号</w:t>
            </w:r>
          </w:p>
        </w:tc>
        <w:tc>
          <w:tcPr>
            <w:tcW w:w="1917" w:type="dxa"/>
            <w:noWrap w:val="0"/>
            <w:vAlign w:val="center"/>
          </w:tcPr>
          <w:p>
            <w:pPr>
              <w:kinsoku/>
              <w:overflowPunct/>
              <w:topLinePunct w:val="0"/>
              <w:bidi w:val="0"/>
              <w:spacing w:line="300" w:lineRule="auto"/>
              <w:jc w:val="center"/>
              <w:rPr>
                <w:rFonts w:ascii="宋体" w:hAnsi="宋体" w:cs="Arial"/>
                <w:b/>
                <w:szCs w:val="21"/>
              </w:rPr>
            </w:pPr>
            <w:r>
              <w:rPr>
                <w:rFonts w:hint="eastAsia" w:ascii="宋体" w:hAnsi="宋体" w:cs="Arial"/>
                <w:b/>
                <w:szCs w:val="21"/>
              </w:rPr>
              <w:t>内容</w:t>
            </w:r>
          </w:p>
        </w:tc>
        <w:tc>
          <w:tcPr>
            <w:tcW w:w="6519" w:type="dxa"/>
            <w:noWrap w:val="0"/>
            <w:vAlign w:val="center"/>
          </w:tcPr>
          <w:p>
            <w:pPr>
              <w:kinsoku/>
              <w:overflowPunct/>
              <w:topLinePunct w:val="0"/>
              <w:bidi w:val="0"/>
              <w:spacing w:line="300" w:lineRule="auto"/>
              <w:jc w:val="center"/>
              <w:rPr>
                <w:rFonts w:ascii="宋体" w:hAnsi="宋体" w:cs="Arial"/>
                <w:b/>
                <w:szCs w:val="21"/>
              </w:rPr>
            </w:pPr>
            <w:r>
              <w:rPr>
                <w:rFonts w:hint="eastAsia" w:ascii="宋体" w:hAnsi="宋体" w:cs="Arial"/>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90" w:hRule="atLeast"/>
          <w:jc w:val="center"/>
        </w:trPr>
        <w:tc>
          <w:tcPr>
            <w:tcW w:w="644"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1</w:t>
            </w:r>
          </w:p>
        </w:tc>
        <w:tc>
          <w:tcPr>
            <w:tcW w:w="1917"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项目名称</w:t>
            </w:r>
          </w:p>
        </w:tc>
        <w:tc>
          <w:tcPr>
            <w:tcW w:w="6519" w:type="dxa"/>
            <w:noWrap w:val="0"/>
            <w:vAlign w:val="center"/>
          </w:tcPr>
          <w:p>
            <w:pPr>
              <w:kinsoku/>
              <w:overflowPunct/>
              <w:topLinePunct w:val="0"/>
              <w:bidi w:val="0"/>
              <w:spacing w:line="300" w:lineRule="auto"/>
              <w:rPr>
                <w:rFonts w:hint="eastAsia" w:ascii="宋体" w:hAnsi="宋体" w:eastAsia="宋体" w:cs="Arial"/>
                <w:szCs w:val="21"/>
                <w:lang w:eastAsia="zh-CN"/>
              </w:rPr>
            </w:pPr>
            <w:r>
              <w:rPr>
                <w:rFonts w:hint="eastAsia" w:ascii="宋体" w:hAnsi="宋体" w:cs="Arial"/>
                <w:szCs w:val="21"/>
                <w:lang w:eastAsia="zh-CN"/>
              </w:rPr>
              <w:t>瑞安市玉海***业务用房改造智能化工程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90" w:hRule="atLeast"/>
          <w:jc w:val="center"/>
        </w:trPr>
        <w:tc>
          <w:tcPr>
            <w:tcW w:w="644"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2</w:t>
            </w:r>
          </w:p>
        </w:tc>
        <w:tc>
          <w:tcPr>
            <w:tcW w:w="1917"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项目编号</w:t>
            </w:r>
          </w:p>
        </w:tc>
        <w:tc>
          <w:tcPr>
            <w:tcW w:w="6519" w:type="dxa"/>
            <w:noWrap w:val="0"/>
            <w:vAlign w:val="center"/>
          </w:tcPr>
          <w:p>
            <w:pPr>
              <w:kinsoku/>
              <w:overflowPunct/>
              <w:topLinePunct w:val="0"/>
              <w:bidi w:val="0"/>
              <w:spacing w:line="300" w:lineRule="auto"/>
              <w:rPr>
                <w:rFonts w:hint="default" w:ascii="宋体" w:hAnsi="宋体" w:eastAsia="宋体" w:cs="Arial"/>
                <w:szCs w:val="21"/>
                <w:lang w:val="en-US" w:eastAsia="zh-CN"/>
              </w:rPr>
            </w:pPr>
            <w:r>
              <w:rPr>
                <w:rFonts w:hint="eastAsia" w:ascii="Arial" w:hAnsi="Arial" w:cs="Arial"/>
                <w:szCs w:val="21"/>
                <w:lang w:val="en-US" w:eastAsia="zh-CN"/>
              </w:rPr>
              <w:t>RACG201905028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90" w:hRule="atLeast"/>
          <w:jc w:val="center"/>
        </w:trPr>
        <w:tc>
          <w:tcPr>
            <w:tcW w:w="644"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3</w:t>
            </w:r>
          </w:p>
        </w:tc>
        <w:tc>
          <w:tcPr>
            <w:tcW w:w="1917"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szCs w:val="21"/>
              </w:rPr>
              <w:t>资金来源</w:t>
            </w:r>
          </w:p>
        </w:tc>
        <w:tc>
          <w:tcPr>
            <w:tcW w:w="6519" w:type="dxa"/>
            <w:noWrap w:val="0"/>
            <w:vAlign w:val="center"/>
          </w:tcPr>
          <w:p>
            <w:pPr>
              <w:kinsoku/>
              <w:overflowPunct/>
              <w:topLinePunct w:val="0"/>
              <w:bidi w:val="0"/>
              <w:spacing w:line="300" w:lineRule="auto"/>
              <w:rPr>
                <w:rFonts w:ascii="宋体" w:hAnsi="宋体" w:cs="Arial"/>
                <w:szCs w:val="21"/>
              </w:rPr>
            </w:pPr>
            <w:r>
              <w:rPr>
                <w:rFonts w:hint="eastAsia" w:ascii="宋体" w:hAnsi="宋体"/>
                <w:szCs w:val="21"/>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90" w:hRule="atLeast"/>
          <w:jc w:val="center"/>
        </w:trPr>
        <w:tc>
          <w:tcPr>
            <w:tcW w:w="644"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4</w:t>
            </w:r>
          </w:p>
        </w:tc>
        <w:tc>
          <w:tcPr>
            <w:tcW w:w="1917" w:type="dxa"/>
            <w:noWrap w:val="0"/>
            <w:vAlign w:val="center"/>
          </w:tcPr>
          <w:p>
            <w:pPr>
              <w:kinsoku/>
              <w:overflowPunct/>
              <w:topLinePunct w:val="0"/>
              <w:bidi w:val="0"/>
              <w:adjustRightInd w:val="0"/>
              <w:spacing w:line="300" w:lineRule="auto"/>
              <w:jc w:val="center"/>
              <w:rPr>
                <w:rFonts w:ascii="宋体" w:hAnsi="宋体"/>
                <w:szCs w:val="21"/>
              </w:rPr>
            </w:pPr>
            <w:r>
              <w:rPr>
                <w:rFonts w:hint="eastAsia" w:ascii="宋体" w:hAnsi="宋体"/>
                <w:szCs w:val="21"/>
              </w:rPr>
              <w:t>采购人</w:t>
            </w:r>
          </w:p>
        </w:tc>
        <w:tc>
          <w:tcPr>
            <w:tcW w:w="6519" w:type="dxa"/>
            <w:noWrap w:val="0"/>
            <w:vAlign w:val="center"/>
          </w:tcPr>
          <w:p>
            <w:pPr>
              <w:kinsoku/>
              <w:overflowPunct/>
              <w:topLinePunct w:val="0"/>
              <w:bidi w:val="0"/>
              <w:adjustRightInd w:val="0"/>
              <w:spacing w:line="300" w:lineRule="auto"/>
              <w:rPr>
                <w:rFonts w:hint="eastAsia" w:ascii="宋体" w:hAnsi="宋体"/>
                <w:color w:val="auto"/>
                <w:szCs w:val="21"/>
                <w:highlight w:val="none"/>
              </w:rPr>
            </w:pPr>
            <w:r>
              <w:rPr>
                <w:rFonts w:hint="eastAsia" w:ascii="宋体" w:hAnsi="宋体"/>
                <w:szCs w:val="21"/>
              </w:rPr>
              <w:t>名称：瑞安市公安局</w:t>
            </w:r>
          </w:p>
          <w:p>
            <w:pPr>
              <w:kinsoku/>
              <w:overflowPunct/>
              <w:topLinePunct w:val="0"/>
              <w:bidi w:val="0"/>
              <w:spacing w:line="300" w:lineRule="auto"/>
              <w:rPr>
                <w:rFonts w:hint="eastAsia" w:ascii="宋体" w:hAnsi="宋体" w:cs="宋体"/>
                <w:color w:val="auto"/>
                <w:szCs w:val="21"/>
                <w:highlight w:val="none"/>
              </w:rPr>
            </w:pPr>
            <w:r>
              <w:rPr>
                <w:rFonts w:hint="eastAsia" w:ascii="宋体" w:hAnsi="宋体" w:cs="宋体"/>
                <w:color w:val="auto"/>
                <w:szCs w:val="21"/>
                <w:highlight w:val="none"/>
              </w:rPr>
              <w:t>联系人：</w:t>
            </w:r>
            <w:r>
              <w:rPr>
                <w:rFonts w:hint="eastAsia"/>
                <w:color w:val="auto"/>
                <w:highlight w:val="none"/>
              </w:rPr>
              <w:t>王先生</w:t>
            </w:r>
          </w:p>
          <w:p>
            <w:pPr>
              <w:kinsoku/>
              <w:overflowPunct/>
              <w:topLinePunct w:val="0"/>
              <w:bidi w:val="0"/>
              <w:spacing w:line="300" w:lineRule="auto"/>
              <w:rPr>
                <w:rFonts w:ascii="宋体" w:hAnsi="宋体" w:cs="宋体"/>
                <w:szCs w:val="21"/>
              </w:rPr>
            </w:pPr>
            <w:r>
              <w:rPr>
                <w:rFonts w:hint="eastAsia" w:ascii="宋体" w:hAnsi="宋体" w:cs="宋体"/>
                <w:color w:val="auto"/>
                <w:szCs w:val="21"/>
                <w:highlight w:val="none"/>
              </w:rPr>
              <w:t>联系电话：</w:t>
            </w:r>
            <w:r>
              <w:rPr>
                <w:rFonts w:hint="eastAsia"/>
                <w:color w:val="auto"/>
                <w:highlight w:val="none"/>
              </w:rPr>
              <w:t>13806848886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371" w:hRule="atLeast"/>
          <w:jc w:val="center"/>
        </w:trPr>
        <w:tc>
          <w:tcPr>
            <w:tcW w:w="644"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5</w:t>
            </w:r>
          </w:p>
        </w:tc>
        <w:tc>
          <w:tcPr>
            <w:tcW w:w="1917" w:type="dxa"/>
            <w:noWrap w:val="0"/>
            <w:vAlign w:val="center"/>
          </w:tcPr>
          <w:p>
            <w:pPr>
              <w:kinsoku/>
              <w:overflowPunct/>
              <w:topLinePunct w:val="0"/>
              <w:bidi w:val="0"/>
              <w:adjustRightInd w:val="0"/>
              <w:spacing w:line="300" w:lineRule="auto"/>
              <w:jc w:val="center"/>
              <w:rPr>
                <w:rFonts w:ascii="宋体" w:hAnsi="宋体"/>
                <w:szCs w:val="21"/>
              </w:rPr>
            </w:pPr>
            <w:r>
              <w:rPr>
                <w:rFonts w:hint="eastAsia" w:ascii="宋体" w:hAnsi="宋体"/>
                <w:szCs w:val="21"/>
              </w:rPr>
              <w:t>采购代理机构</w:t>
            </w:r>
          </w:p>
        </w:tc>
        <w:tc>
          <w:tcPr>
            <w:tcW w:w="6519" w:type="dxa"/>
            <w:noWrap w:val="0"/>
            <w:vAlign w:val="center"/>
          </w:tcPr>
          <w:p>
            <w:pPr>
              <w:kinsoku/>
              <w:overflowPunct/>
              <w:topLinePunct w:val="0"/>
              <w:bidi w:val="0"/>
              <w:adjustRightInd w:val="0"/>
              <w:spacing w:line="300" w:lineRule="auto"/>
              <w:rPr>
                <w:rFonts w:ascii="宋体" w:hAnsi="宋体"/>
                <w:szCs w:val="21"/>
              </w:rPr>
            </w:pPr>
            <w:r>
              <w:rPr>
                <w:rFonts w:hint="eastAsia" w:ascii="宋体" w:hAnsi="宋体"/>
                <w:szCs w:val="21"/>
              </w:rPr>
              <w:t>名称：浙江瑞扬工程咨询招标代理股份有限公司</w:t>
            </w:r>
          </w:p>
          <w:p>
            <w:pPr>
              <w:kinsoku/>
              <w:overflowPunct/>
              <w:topLinePunct w:val="0"/>
              <w:bidi w:val="0"/>
              <w:adjustRightInd w:val="0"/>
              <w:spacing w:line="300" w:lineRule="auto"/>
              <w:rPr>
                <w:rFonts w:ascii="宋体" w:hAnsi="宋体"/>
                <w:szCs w:val="21"/>
              </w:rPr>
            </w:pPr>
            <w:r>
              <w:rPr>
                <w:rFonts w:hint="eastAsia" w:ascii="宋体" w:hAnsi="宋体"/>
                <w:szCs w:val="21"/>
              </w:rPr>
              <w:t>地址：</w:t>
            </w:r>
            <w:r>
              <w:rPr>
                <w:rFonts w:hint="eastAsia" w:ascii="宋体" w:hAnsi="宋体"/>
                <w:bCs/>
                <w:szCs w:val="21"/>
              </w:rPr>
              <w:t>瑞安市</w:t>
            </w:r>
            <w:r>
              <w:rPr>
                <w:rFonts w:hint="eastAsia" w:ascii="宋体" w:hAnsi="宋体" w:cs="Arial"/>
                <w:szCs w:val="21"/>
              </w:rPr>
              <w:t>安福路28号三楼</w:t>
            </w:r>
          </w:p>
          <w:p>
            <w:pPr>
              <w:kinsoku/>
              <w:overflowPunct/>
              <w:topLinePunct w:val="0"/>
              <w:bidi w:val="0"/>
              <w:spacing w:line="300" w:lineRule="auto"/>
              <w:rPr>
                <w:rFonts w:hint="eastAsia" w:ascii="宋体" w:hAnsi="宋体" w:eastAsia="宋体" w:cs="宋体"/>
                <w:szCs w:val="21"/>
                <w:lang w:eastAsia="zh-CN"/>
              </w:rPr>
            </w:pPr>
            <w:r>
              <w:rPr>
                <w:rFonts w:hint="eastAsia" w:ascii="宋体" w:hAnsi="宋体" w:cs="宋体"/>
                <w:szCs w:val="21"/>
              </w:rPr>
              <w:t>联系人：</w:t>
            </w:r>
            <w:r>
              <w:rPr>
                <w:rFonts w:hint="eastAsia" w:ascii="宋体" w:hAnsi="宋体" w:cs="宋体"/>
                <w:color w:val="000000"/>
                <w:szCs w:val="21"/>
                <w:lang w:eastAsia="zh-CN"/>
              </w:rPr>
              <w:t>叶明东、蔡欢欢</w:t>
            </w:r>
          </w:p>
          <w:p>
            <w:pPr>
              <w:kinsoku/>
              <w:overflowPunct/>
              <w:topLinePunct w:val="0"/>
              <w:bidi w:val="0"/>
              <w:spacing w:line="300" w:lineRule="auto"/>
              <w:rPr>
                <w:rFonts w:hint="eastAsia" w:ascii="宋体" w:hAnsi="宋体" w:cs="宋体"/>
                <w:szCs w:val="21"/>
              </w:rPr>
            </w:pPr>
            <w:r>
              <w:rPr>
                <w:rFonts w:hint="eastAsia" w:ascii="宋体" w:hAnsi="宋体" w:cs="宋体"/>
                <w:szCs w:val="21"/>
              </w:rPr>
              <w:t>联系电话：</w:t>
            </w:r>
            <w:r>
              <w:rPr>
                <w:rFonts w:hint="eastAsia" w:ascii="宋体" w:hAnsi="宋体" w:cs="宋体"/>
                <w:szCs w:val="21"/>
                <w:lang w:eastAsia="zh-CN"/>
              </w:rPr>
              <w:t>18857771757</w:t>
            </w:r>
            <w:r>
              <w:rPr>
                <w:rFonts w:hint="eastAsia" w:ascii="宋体" w:hAnsi="宋体" w:cs="宋体"/>
                <w:color w:val="000000"/>
                <w:szCs w:val="21"/>
              </w:rPr>
              <w:t>、0577-65802277</w:t>
            </w:r>
          </w:p>
          <w:p>
            <w:pPr>
              <w:kinsoku/>
              <w:overflowPunct/>
              <w:topLinePunct w:val="0"/>
              <w:bidi w:val="0"/>
              <w:spacing w:line="300" w:lineRule="auto"/>
              <w:rPr>
                <w:rFonts w:ascii="宋体" w:hAnsi="宋体" w:cs="宋体"/>
                <w:szCs w:val="21"/>
              </w:rPr>
            </w:pPr>
            <w:r>
              <w:rPr>
                <w:rFonts w:hint="eastAsia" w:ascii="宋体" w:hAnsi="宋体" w:cs="宋体"/>
                <w:szCs w:val="21"/>
              </w:rPr>
              <w:t>传真：</w:t>
            </w:r>
            <w:r>
              <w:rPr>
                <w:rFonts w:hint="eastAsia" w:ascii="宋体" w:hAnsi="宋体" w:cs="宋体"/>
                <w:color w:val="000000"/>
                <w:szCs w:val="21"/>
              </w:rPr>
              <w:t>0577-65802277</w:t>
            </w:r>
            <w:r>
              <w:rPr>
                <w:rFonts w:ascii="宋体" w:hAnsi="宋体" w:cs="宋体"/>
                <w:szCs w:val="21"/>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65" w:hRule="atLeast"/>
          <w:jc w:val="center"/>
        </w:trPr>
        <w:tc>
          <w:tcPr>
            <w:tcW w:w="644"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6</w:t>
            </w:r>
          </w:p>
        </w:tc>
        <w:tc>
          <w:tcPr>
            <w:tcW w:w="1917"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采购内容</w:t>
            </w:r>
          </w:p>
        </w:tc>
        <w:tc>
          <w:tcPr>
            <w:tcW w:w="6519" w:type="dxa"/>
            <w:noWrap w:val="0"/>
            <w:vAlign w:val="center"/>
          </w:tcPr>
          <w:p>
            <w:pPr>
              <w:kinsoku/>
              <w:overflowPunct/>
              <w:topLinePunct w:val="0"/>
              <w:bidi w:val="0"/>
              <w:spacing w:line="300" w:lineRule="auto"/>
              <w:rPr>
                <w:rFonts w:ascii="宋体" w:hAnsi="宋体" w:cs="Arial"/>
                <w:szCs w:val="21"/>
              </w:rPr>
            </w:pPr>
            <w:r>
              <w:rPr>
                <w:rFonts w:hint="eastAsia" w:ascii="宋体" w:hAnsi="宋体" w:cs="宋体"/>
                <w:szCs w:val="21"/>
                <w:lang w:eastAsia="zh-CN"/>
              </w:rPr>
              <w:t>智能化</w:t>
            </w:r>
            <w:r>
              <w:rPr>
                <w:rFonts w:hint="eastAsia" w:ascii="宋体" w:hAnsi="宋体" w:cs="宋体"/>
                <w:szCs w:val="21"/>
              </w:rPr>
              <w:t>工程，</w:t>
            </w:r>
            <w:r>
              <w:rPr>
                <w:rFonts w:hint="eastAsia" w:ascii="Arial" w:hAnsi="Arial" w:cs="Arial"/>
                <w:szCs w:val="21"/>
              </w:rPr>
              <w:t>详见工程量清单及图纸；最高投标限价（招标控制价）：</w:t>
            </w:r>
            <w:r>
              <w:rPr>
                <w:rFonts w:hint="eastAsia" w:ascii="Arial" w:hAnsi="Arial" w:cs="Arial"/>
                <w:szCs w:val="21"/>
                <w:lang w:eastAsia="zh-CN"/>
              </w:rPr>
              <w:t>1389532</w:t>
            </w:r>
            <w:r>
              <w:rPr>
                <w:rFonts w:hint="eastAsia" w:ascii="Arial" w:hAnsi="Arial" w:cs="Arial"/>
                <w:szCs w:val="21"/>
              </w:rPr>
              <w:t>元；工期：</w:t>
            </w:r>
            <w:r>
              <w:rPr>
                <w:rFonts w:hint="eastAsia" w:ascii="Arial" w:hAnsi="Arial" w:cs="Arial"/>
                <w:szCs w:val="21"/>
                <w:lang w:val="en-US" w:eastAsia="zh-CN"/>
              </w:rPr>
              <w:t>90日历天</w:t>
            </w:r>
            <w:r>
              <w:rPr>
                <w:rFonts w:hint="eastAsia" w:ascii="Arial" w:hAnsi="Arial" w:cs="Arial"/>
                <w:szCs w:val="21"/>
              </w:rPr>
              <w:t>；质量要求：合格。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91" w:hRule="atLeast"/>
          <w:jc w:val="center"/>
        </w:trPr>
        <w:tc>
          <w:tcPr>
            <w:tcW w:w="644"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7</w:t>
            </w:r>
          </w:p>
        </w:tc>
        <w:tc>
          <w:tcPr>
            <w:tcW w:w="1917"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磋商供应商</w:t>
            </w:r>
          </w:p>
          <w:p>
            <w:pPr>
              <w:kinsoku/>
              <w:overflowPunct/>
              <w:topLinePunct w:val="0"/>
              <w:bidi w:val="0"/>
              <w:spacing w:line="300" w:lineRule="auto"/>
              <w:jc w:val="center"/>
              <w:rPr>
                <w:rFonts w:ascii="宋体" w:hAnsi="宋体" w:cs="Arial"/>
                <w:szCs w:val="21"/>
              </w:rPr>
            </w:pPr>
            <w:r>
              <w:rPr>
                <w:rFonts w:hint="eastAsia" w:ascii="宋体" w:hAnsi="宋体" w:cs="Arial"/>
                <w:szCs w:val="21"/>
              </w:rPr>
              <w:t>资格要求</w:t>
            </w:r>
          </w:p>
        </w:tc>
        <w:tc>
          <w:tcPr>
            <w:tcW w:w="6519" w:type="dxa"/>
            <w:noWrap w:val="0"/>
            <w:vAlign w:val="center"/>
          </w:tcPr>
          <w:p>
            <w:pPr>
              <w:numPr>
                <w:ilvl w:val="0"/>
                <w:numId w:val="7"/>
              </w:numPr>
              <w:tabs>
                <w:tab w:val="left" w:pos="0"/>
              </w:tabs>
              <w:kinsoku/>
              <w:overflowPunct/>
              <w:topLinePunct w:val="0"/>
              <w:bidi w:val="0"/>
              <w:spacing w:line="300" w:lineRule="auto"/>
              <w:rPr>
                <w:rFonts w:ascii="宋体" w:hAnsi="宋体"/>
              </w:rPr>
            </w:pPr>
            <w:r>
              <w:rPr>
                <w:rFonts w:hint="eastAsia" w:ascii="宋体" w:hAnsi="宋体"/>
              </w:rPr>
              <w:t>符合《中华人民共和国政府采购法》第二十二条的要求；</w:t>
            </w:r>
          </w:p>
          <w:p>
            <w:pPr>
              <w:numPr>
                <w:ilvl w:val="0"/>
                <w:numId w:val="8"/>
              </w:numPr>
              <w:tabs>
                <w:tab w:val="left" w:pos="0"/>
              </w:tabs>
              <w:kinsoku/>
              <w:overflowPunct/>
              <w:topLinePunct w:val="0"/>
              <w:bidi w:val="0"/>
              <w:spacing w:line="300" w:lineRule="auto"/>
              <w:rPr>
                <w:rFonts w:hint="eastAsia" w:ascii="宋体" w:hAnsi="宋体"/>
              </w:rPr>
            </w:pPr>
            <w:r>
              <w:rPr>
                <w:rFonts w:hint="eastAsia" w:ascii="宋体" w:hAnsi="宋体"/>
              </w:rPr>
              <w:t>具备电子与智能化工程专业承包（2014版）二级及以上资质；</w:t>
            </w:r>
          </w:p>
          <w:p>
            <w:pPr>
              <w:numPr>
                <w:ilvl w:val="0"/>
                <w:numId w:val="8"/>
              </w:numPr>
              <w:tabs>
                <w:tab w:val="left" w:pos="0"/>
              </w:tabs>
              <w:kinsoku/>
              <w:overflowPunct/>
              <w:topLinePunct w:val="0"/>
              <w:bidi w:val="0"/>
              <w:spacing w:line="300" w:lineRule="auto"/>
              <w:rPr>
                <w:rFonts w:ascii="宋体" w:hAnsi="宋体"/>
              </w:rPr>
            </w:pPr>
            <w:r>
              <w:rPr>
                <w:rFonts w:hint="eastAsia" w:ascii="宋体" w:hAnsi="宋体"/>
              </w:rPr>
              <w:t>项目负责人需具备注册建造师机电工程二级及以上资格；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34" w:hRule="atLeast"/>
          <w:jc w:val="center"/>
        </w:trPr>
        <w:tc>
          <w:tcPr>
            <w:tcW w:w="644"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8</w:t>
            </w:r>
          </w:p>
        </w:tc>
        <w:tc>
          <w:tcPr>
            <w:tcW w:w="1917" w:type="dxa"/>
            <w:noWrap w:val="0"/>
            <w:vAlign w:val="center"/>
          </w:tcPr>
          <w:p>
            <w:pPr>
              <w:kinsoku/>
              <w:overflowPunct/>
              <w:topLinePunct w:val="0"/>
              <w:bidi w:val="0"/>
              <w:adjustRightInd w:val="0"/>
              <w:spacing w:line="300" w:lineRule="auto"/>
              <w:jc w:val="center"/>
              <w:rPr>
                <w:rFonts w:ascii="宋体" w:hAnsi="宋体"/>
                <w:szCs w:val="21"/>
              </w:rPr>
            </w:pPr>
            <w:r>
              <w:rPr>
                <w:rFonts w:hint="eastAsia" w:ascii="宋体" w:hAnsi="宋体"/>
                <w:szCs w:val="21"/>
              </w:rPr>
              <w:t>是否接受联合体投标</w:t>
            </w:r>
          </w:p>
        </w:tc>
        <w:tc>
          <w:tcPr>
            <w:tcW w:w="6519" w:type="dxa"/>
            <w:noWrap w:val="0"/>
            <w:vAlign w:val="center"/>
          </w:tcPr>
          <w:p>
            <w:pPr>
              <w:kinsoku/>
              <w:overflowPunct/>
              <w:topLinePunct w:val="0"/>
              <w:bidi w:val="0"/>
              <w:adjustRightInd w:val="0"/>
              <w:spacing w:line="300" w:lineRule="auto"/>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r>
              <w:rPr>
                <w:rFonts w:hint="eastAsia" w:ascii="宋体" w:hAnsi="宋体"/>
                <w:szCs w:val="21"/>
              </w:rPr>
              <w:t>不接受</w:t>
            </w:r>
          </w:p>
          <w:p>
            <w:pPr>
              <w:kinsoku/>
              <w:overflowPunct/>
              <w:topLinePunct w:val="0"/>
              <w:bidi w:val="0"/>
              <w:adjustRightInd w:val="0"/>
              <w:spacing w:line="300" w:lineRule="auto"/>
              <w:rPr>
                <w:rFonts w:ascii="宋体" w:hAnsi="宋体"/>
                <w:i/>
                <w:szCs w:val="21"/>
              </w:rPr>
            </w:pPr>
            <w:r>
              <w:rPr>
                <w:rFonts w:ascii="宋体" w:hAnsi="宋体"/>
                <w:szCs w:val="21"/>
              </w:rPr>
              <w:t>□</w:t>
            </w:r>
            <w:r>
              <w:rPr>
                <w:rFonts w:hint="eastAsia" w:ascii="宋体" w:hAnsi="宋体"/>
                <w:szCs w:val="21"/>
              </w:rPr>
              <w:t xml:space="preserve"> 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34" w:hRule="atLeast"/>
          <w:jc w:val="center"/>
        </w:trPr>
        <w:tc>
          <w:tcPr>
            <w:tcW w:w="644"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9</w:t>
            </w:r>
          </w:p>
        </w:tc>
        <w:tc>
          <w:tcPr>
            <w:tcW w:w="1917" w:type="dxa"/>
            <w:noWrap w:val="0"/>
            <w:vAlign w:val="center"/>
          </w:tcPr>
          <w:p>
            <w:pPr>
              <w:kinsoku/>
              <w:overflowPunct/>
              <w:topLinePunct w:val="0"/>
              <w:bidi w:val="0"/>
              <w:adjustRightInd w:val="0"/>
              <w:spacing w:line="300" w:lineRule="auto"/>
              <w:jc w:val="center"/>
              <w:rPr>
                <w:rFonts w:ascii="宋体" w:hAnsi="宋体"/>
                <w:szCs w:val="21"/>
              </w:rPr>
            </w:pPr>
            <w:r>
              <w:rPr>
                <w:rFonts w:hint="eastAsia" w:ascii="宋体" w:hAnsi="宋体"/>
                <w:szCs w:val="21"/>
              </w:rPr>
              <w:t>踏勘现场</w:t>
            </w:r>
          </w:p>
        </w:tc>
        <w:tc>
          <w:tcPr>
            <w:tcW w:w="6519" w:type="dxa"/>
            <w:noWrap w:val="0"/>
            <w:vAlign w:val="center"/>
          </w:tcPr>
          <w:p>
            <w:pPr>
              <w:kinsoku/>
              <w:overflowPunct/>
              <w:topLinePunct w:val="0"/>
              <w:bidi w:val="0"/>
              <w:adjustRightInd w:val="0"/>
              <w:spacing w:line="300" w:lineRule="auto"/>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r>
              <w:rPr>
                <w:rFonts w:hint="eastAsia" w:ascii="宋体" w:hAnsi="宋体"/>
                <w:szCs w:val="21"/>
              </w:rPr>
              <w:t xml:space="preserve"> 不组织</w:t>
            </w:r>
          </w:p>
          <w:p>
            <w:pPr>
              <w:kinsoku/>
              <w:overflowPunct/>
              <w:topLinePunct w:val="0"/>
              <w:bidi w:val="0"/>
              <w:adjustRightInd w:val="0"/>
              <w:spacing w:line="300" w:lineRule="auto"/>
              <w:rPr>
                <w:rFonts w:ascii="宋体" w:hAnsi="宋体"/>
                <w:i/>
                <w:szCs w:val="21"/>
              </w:rPr>
            </w:pPr>
            <w:r>
              <w:rPr>
                <w:rFonts w:ascii="宋体" w:hAnsi="宋体"/>
                <w:szCs w:val="21"/>
              </w:rPr>
              <w:t>□</w:t>
            </w:r>
            <w:r>
              <w:rPr>
                <w:rFonts w:hint="eastAsia" w:ascii="宋体" w:hAnsi="宋体"/>
                <w:szCs w:val="21"/>
              </w:rPr>
              <w:t xml:space="preserve"> 组织    踏勘时间</w:t>
            </w:r>
            <w:r>
              <w:rPr>
                <w:rFonts w:hint="eastAsia" w:ascii="宋体" w:hAnsi="宋体"/>
                <w:i/>
                <w:szCs w:val="21"/>
              </w:rPr>
              <w:t xml:space="preserve">：               </w:t>
            </w:r>
            <w:r>
              <w:rPr>
                <w:rFonts w:hint="eastAsia" w:ascii="宋体" w:hAnsi="宋体"/>
                <w:szCs w:val="21"/>
              </w:rPr>
              <w:t xml:space="preserve">  踏勘集中地点：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34" w:hRule="atLeast"/>
          <w:jc w:val="center"/>
        </w:trPr>
        <w:tc>
          <w:tcPr>
            <w:tcW w:w="644"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10</w:t>
            </w:r>
          </w:p>
        </w:tc>
        <w:tc>
          <w:tcPr>
            <w:tcW w:w="1917" w:type="dxa"/>
            <w:noWrap w:val="0"/>
            <w:vAlign w:val="center"/>
          </w:tcPr>
          <w:p>
            <w:pPr>
              <w:kinsoku/>
              <w:overflowPunct/>
              <w:topLinePunct w:val="0"/>
              <w:bidi w:val="0"/>
              <w:adjustRightInd w:val="0"/>
              <w:spacing w:line="300" w:lineRule="auto"/>
              <w:jc w:val="center"/>
              <w:rPr>
                <w:rFonts w:ascii="宋体" w:hAnsi="宋体"/>
                <w:szCs w:val="21"/>
              </w:rPr>
            </w:pPr>
            <w:r>
              <w:rPr>
                <w:rFonts w:hint="eastAsia" w:ascii="宋体" w:hAnsi="宋体"/>
                <w:szCs w:val="21"/>
              </w:rPr>
              <w:t>是否允许递交备选投标方案</w:t>
            </w:r>
          </w:p>
        </w:tc>
        <w:tc>
          <w:tcPr>
            <w:tcW w:w="6519" w:type="dxa"/>
            <w:noWrap w:val="0"/>
            <w:vAlign w:val="center"/>
          </w:tcPr>
          <w:p>
            <w:pPr>
              <w:kinsoku/>
              <w:overflowPunct/>
              <w:topLinePunct w:val="0"/>
              <w:bidi w:val="0"/>
              <w:adjustRightInd w:val="0"/>
              <w:spacing w:line="300" w:lineRule="auto"/>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r>
              <w:rPr>
                <w:rFonts w:hint="eastAsia" w:ascii="宋体" w:hAnsi="宋体"/>
                <w:szCs w:val="21"/>
              </w:rPr>
              <w:t xml:space="preserve"> 不允许</w:t>
            </w:r>
          </w:p>
          <w:p>
            <w:pPr>
              <w:kinsoku/>
              <w:overflowPunct/>
              <w:topLinePunct w:val="0"/>
              <w:bidi w:val="0"/>
              <w:adjustRightInd w:val="0"/>
              <w:spacing w:line="300" w:lineRule="auto"/>
              <w:rPr>
                <w:rFonts w:ascii="宋体" w:hAnsi="宋体" w:cs="仿宋_GB2312"/>
                <w:szCs w:val="21"/>
              </w:rPr>
            </w:pPr>
            <w:r>
              <w:rPr>
                <w:rFonts w:ascii="宋体" w:hAnsi="宋体"/>
                <w:szCs w:val="21"/>
              </w:rPr>
              <w:t>□</w:t>
            </w:r>
            <w:r>
              <w:rPr>
                <w:rFonts w:hint="eastAsia" w:ascii="宋体" w:hAnsi="宋体"/>
                <w:szCs w:val="21"/>
              </w:rPr>
              <w:t xml:space="preserve">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90" w:hRule="atLeast"/>
          <w:jc w:val="center"/>
        </w:trPr>
        <w:tc>
          <w:tcPr>
            <w:tcW w:w="644"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11</w:t>
            </w:r>
          </w:p>
        </w:tc>
        <w:tc>
          <w:tcPr>
            <w:tcW w:w="1917" w:type="dxa"/>
            <w:noWrap w:val="0"/>
            <w:vAlign w:val="center"/>
          </w:tcPr>
          <w:p>
            <w:pPr>
              <w:kinsoku/>
              <w:overflowPunct/>
              <w:topLinePunct w:val="0"/>
              <w:bidi w:val="0"/>
              <w:adjustRightInd w:val="0"/>
              <w:spacing w:line="300" w:lineRule="auto"/>
              <w:jc w:val="center"/>
              <w:rPr>
                <w:rFonts w:ascii="宋体" w:hAnsi="宋体"/>
                <w:szCs w:val="21"/>
              </w:rPr>
            </w:pPr>
            <w:r>
              <w:rPr>
                <w:rFonts w:hint="eastAsia" w:ascii="宋体" w:hAnsi="宋体"/>
                <w:szCs w:val="21"/>
              </w:rPr>
              <w:t>报价货币</w:t>
            </w:r>
          </w:p>
        </w:tc>
        <w:tc>
          <w:tcPr>
            <w:tcW w:w="6519" w:type="dxa"/>
            <w:noWrap w:val="0"/>
            <w:vAlign w:val="center"/>
          </w:tcPr>
          <w:p>
            <w:pPr>
              <w:kinsoku/>
              <w:overflowPunct/>
              <w:topLinePunct w:val="0"/>
              <w:bidi w:val="0"/>
              <w:adjustRightInd w:val="0"/>
              <w:spacing w:line="300" w:lineRule="auto"/>
              <w:rPr>
                <w:rFonts w:ascii="宋体" w:hAnsi="宋体"/>
                <w:szCs w:val="21"/>
              </w:rPr>
            </w:pPr>
            <w:r>
              <w:rPr>
                <w:rFonts w:hint="eastAsia" w:ascii="宋体" w:hAnsi="宋体"/>
                <w:szCs w:val="21"/>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90" w:hRule="atLeast"/>
          <w:jc w:val="center"/>
        </w:trPr>
        <w:tc>
          <w:tcPr>
            <w:tcW w:w="644"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12</w:t>
            </w:r>
          </w:p>
        </w:tc>
        <w:tc>
          <w:tcPr>
            <w:tcW w:w="1917" w:type="dxa"/>
            <w:noWrap w:val="0"/>
            <w:vAlign w:val="center"/>
          </w:tcPr>
          <w:p>
            <w:pPr>
              <w:kinsoku/>
              <w:overflowPunct/>
              <w:topLinePunct w:val="0"/>
              <w:bidi w:val="0"/>
              <w:adjustRightInd w:val="0"/>
              <w:spacing w:line="300" w:lineRule="auto"/>
              <w:jc w:val="center"/>
              <w:rPr>
                <w:rFonts w:ascii="宋体" w:hAnsi="宋体"/>
                <w:szCs w:val="21"/>
              </w:rPr>
            </w:pPr>
            <w:r>
              <w:rPr>
                <w:rFonts w:hint="eastAsia" w:ascii="宋体" w:hAnsi="宋体"/>
                <w:szCs w:val="21"/>
              </w:rPr>
              <w:t>报价语言</w:t>
            </w:r>
          </w:p>
        </w:tc>
        <w:tc>
          <w:tcPr>
            <w:tcW w:w="6519" w:type="dxa"/>
            <w:noWrap w:val="0"/>
            <w:vAlign w:val="center"/>
          </w:tcPr>
          <w:p>
            <w:pPr>
              <w:kinsoku/>
              <w:overflowPunct/>
              <w:topLinePunct w:val="0"/>
              <w:bidi w:val="0"/>
              <w:adjustRightInd w:val="0"/>
              <w:spacing w:line="300" w:lineRule="auto"/>
              <w:rPr>
                <w:rFonts w:ascii="宋体" w:hAnsi="宋体"/>
                <w:szCs w:val="21"/>
              </w:rPr>
            </w:pPr>
            <w:r>
              <w:rPr>
                <w:rFonts w:hint="eastAsia" w:ascii="宋体" w:hAnsi="宋体"/>
                <w:szCs w:val="21"/>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90" w:hRule="atLeast"/>
          <w:jc w:val="center"/>
        </w:trPr>
        <w:tc>
          <w:tcPr>
            <w:tcW w:w="644"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13</w:t>
            </w:r>
          </w:p>
        </w:tc>
        <w:tc>
          <w:tcPr>
            <w:tcW w:w="1917"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磋商响应文件份数</w:t>
            </w:r>
          </w:p>
        </w:tc>
        <w:tc>
          <w:tcPr>
            <w:tcW w:w="6519" w:type="dxa"/>
            <w:noWrap w:val="0"/>
            <w:vAlign w:val="center"/>
          </w:tcPr>
          <w:p>
            <w:pPr>
              <w:pStyle w:val="37"/>
              <w:kinsoku/>
              <w:overflowPunct/>
              <w:topLinePunct w:val="0"/>
              <w:bidi w:val="0"/>
              <w:spacing w:line="300" w:lineRule="auto"/>
            </w:pPr>
            <w:r>
              <w:rPr>
                <w:rFonts w:hint="eastAsia"/>
              </w:rPr>
              <w:t>正本壹份，副本肆份。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90" w:hRule="atLeast"/>
          <w:jc w:val="center"/>
        </w:trPr>
        <w:tc>
          <w:tcPr>
            <w:tcW w:w="644"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14</w:t>
            </w:r>
          </w:p>
        </w:tc>
        <w:tc>
          <w:tcPr>
            <w:tcW w:w="1917"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响应文件有效期</w:t>
            </w:r>
          </w:p>
        </w:tc>
        <w:tc>
          <w:tcPr>
            <w:tcW w:w="6519" w:type="dxa"/>
            <w:noWrap w:val="0"/>
            <w:vAlign w:val="center"/>
          </w:tcPr>
          <w:p>
            <w:pPr>
              <w:kinsoku/>
              <w:overflowPunct/>
              <w:topLinePunct w:val="0"/>
              <w:bidi w:val="0"/>
              <w:spacing w:line="300" w:lineRule="auto"/>
              <w:rPr>
                <w:rFonts w:ascii="宋体" w:hAnsi="宋体" w:cs="Arial"/>
                <w:szCs w:val="21"/>
              </w:rPr>
            </w:pPr>
            <w:r>
              <w:rPr>
                <w:rFonts w:hint="eastAsia" w:ascii="宋体" w:hAnsi="宋体" w:cs="Arial"/>
                <w:szCs w:val="21"/>
              </w:rPr>
              <w:t>磋商响应文件截止时间起90日历天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34" w:hRule="atLeast"/>
          <w:jc w:val="center"/>
        </w:trPr>
        <w:tc>
          <w:tcPr>
            <w:tcW w:w="644"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15</w:t>
            </w:r>
          </w:p>
        </w:tc>
        <w:tc>
          <w:tcPr>
            <w:tcW w:w="1917"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签字或盖章要求</w:t>
            </w:r>
          </w:p>
        </w:tc>
        <w:tc>
          <w:tcPr>
            <w:tcW w:w="6519" w:type="dxa"/>
            <w:noWrap w:val="0"/>
            <w:vAlign w:val="center"/>
          </w:tcPr>
          <w:p>
            <w:pPr>
              <w:kinsoku/>
              <w:overflowPunct/>
              <w:topLinePunct w:val="0"/>
              <w:bidi w:val="0"/>
              <w:spacing w:line="300" w:lineRule="auto"/>
              <w:rPr>
                <w:rFonts w:ascii="宋体" w:hAnsi="宋体" w:cs="Arial"/>
                <w:szCs w:val="21"/>
              </w:rPr>
            </w:pPr>
            <w:r>
              <w:rPr>
                <w:rFonts w:hint="eastAsia" w:ascii="宋体" w:hAnsi="宋体"/>
                <w:szCs w:val="21"/>
              </w:rPr>
              <w:t>磋商响应文件中需签字或盖章的地方均加盖磋商供应商单位全称的公章，不得使用投标专用章、合同章等类似图章代替，并经法定代表人或其授权代表盖章（或签字），</w:t>
            </w:r>
            <w:r>
              <w:rPr>
                <w:rFonts w:ascii="宋体" w:hAnsi="宋体"/>
                <w:szCs w:val="21"/>
              </w:rPr>
              <w:t>否则作无效标处理</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247" w:hRule="atLeast"/>
          <w:jc w:val="center"/>
        </w:trPr>
        <w:tc>
          <w:tcPr>
            <w:tcW w:w="644"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16</w:t>
            </w:r>
          </w:p>
        </w:tc>
        <w:tc>
          <w:tcPr>
            <w:tcW w:w="1917"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密封、装订要求</w:t>
            </w:r>
          </w:p>
        </w:tc>
        <w:tc>
          <w:tcPr>
            <w:tcW w:w="6519" w:type="dxa"/>
            <w:noWrap w:val="0"/>
            <w:vAlign w:val="center"/>
          </w:tcPr>
          <w:p>
            <w:pPr>
              <w:kinsoku/>
              <w:overflowPunct/>
              <w:topLinePunct w:val="0"/>
              <w:bidi w:val="0"/>
              <w:spacing w:line="300" w:lineRule="auto"/>
              <w:rPr>
                <w:rFonts w:ascii="宋体" w:hAnsi="宋体"/>
                <w:szCs w:val="21"/>
              </w:rPr>
            </w:pPr>
            <w:r>
              <w:rPr>
                <w:rFonts w:hint="eastAsia" w:ascii="宋体" w:hAnsi="宋体"/>
                <w:szCs w:val="21"/>
              </w:rPr>
              <w:t>磋商供应商应将磋商响应文件按规定包装密封，包装袋上应有磋商供应商公章及法定代表人或其授权代表盖章（或签字）。若磋商响应文件未按要求包装密封，则将被拒绝接受或作无效标处理。标函封袋建议使用由瑞安市招标投标协会监制的标函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34" w:hRule="atLeast"/>
          <w:jc w:val="center"/>
        </w:trPr>
        <w:tc>
          <w:tcPr>
            <w:tcW w:w="644"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17</w:t>
            </w:r>
          </w:p>
        </w:tc>
        <w:tc>
          <w:tcPr>
            <w:tcW w:w="1917"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磋商样品</w:t>
            </w:r>
          </w:p>
        </w:tc>
        <w:tc>
          <w:tcPr>
            <w:tcW w:w="6519" w:type="dxa"/>
            <w:noWrap w:val="0"/>
            <w:vAlign w:val="center"/>
          </w:tcPr>
          <w:p>
            <w:pPr>
              <w:kinsoku/>
              <w:overflowPunct/>
              <w:topLinePunct w:val="0"/>
              <w:bidi w:val="0"/>
              <w:spacing w:line="300" w:lineRule="auto"/>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r>
              <w:rPr>
                <w:rFonts w:hint="eastAsia" w:ascii="宋体" w:hAnsi="宋体"/>
                <w:szCs w:val="21"/>
              </w:rPr>
              <w:t>不需要</w:t>
            </w:r>
          </w:p>
          <w:p>
            <w:pPr>
              <w:kinsoku/>
              <w:overflowPunct/>
              <w:topLinePunct w:val="0"/>
              <w:bidi w:val="0"/>
              <w:spacing w:line="300" w:lineRule="auto"/>
              <w:rPr>
                <w:rFonts w:ascii="宋体" w:hAnsi="宋体"/>
                <w:szCs w:val="21"/>
              </w:rPr>
            </w:pPr>
            <w:r>
              <w:rPr>
                <w:rFonts w:ascii="宋体" w:hAnsi="宋体"/>
                <w:szCs w:val="21"/>
              </w:rPr>
              <w:t>□</w:t>
            </w:r>
            <w:r>
              <w:rPr>
                <w:rFonts w:hint="eastAsia" w:ascii="宋体" w:hAnsi="宋体"/>
                <w:szCs w:val="21"/>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34" w:hRule="atLeast"/>
          <w:jc w:val="center"/>
        </w:trPr>
        <w:tc>
          <w:tcPr>
            <w:tcW w:w="644" w:type="dxa"/>
            <w:noWrap w:val="0"/>
            <w:vAlign w:val="center"/>
          </w:tcPr>
          <w:p>
            <w:pPr>
              <w:spacing w:line="276" w:lineRule="auto"/>
              <w:jc w:val="center"/>
              <w:rPr>
                <w:rFonts w:hint="eastAsia" w:ascii="宋体" w:hAnsi="宋体" w:cs="Arial"/>
                <w:szCs w:val="21"/>
              </w:rPr>
            </w:pPr>
            <w:r>
              <w:rPr>
                <w:rFonts w:hint="eastAsia" w:ascii="宋体" w:hAnsi="宋体" w:cs="Arial"/>
                <w:szCs w:val="21"/>
              </w:rPr>
              <w:t>18</w:t>
            </w:r>
          </w:p>
        </w:tc>
        <w:tc>
          <w:tcPr>
            <w:tcW w:w="1917" w:type="dxa"/>
            <w:noWrap w:val="0"/>
            <w:vAlign w:val="center"/>
          </w:tcPr>
          <w:p>
            <w:pPr>
              <w:spacing w:line="276" w:lineRule="auto"/>
              <w:jc w:val="center"/>
              <w:rPr>
                <w:rFonts w:hint="eastAsia" w:ascii="宋体" w:hAnsi="宋体" w:cs="Arial"/>
                <w:szCs w:val="21"/>
              </w:rPr>
            </w:pPr>
            <w:r>
              <w:rPr>
                <w:rFonts w:hint="eastAsia" w:ascii="宋体" w:hAnsi="宋体" w:cs="Arial"/>
                <w:szCs w:val="21"/>
              </w:rPr>
              <w:t>磋商保证金</w:t>
            </w:r>
          </w:p>
        </w:tc>
        <w:tc>
          <w:tcPr>
            <w:tcW w:w="6519" w:type="dxa"/>
            <w:noWrap w:val="0"/>
            <w:vAlign w:val="center"/>
          </w:tcPr>
          <w:p>
            <w:pPr>
              <w:spacing w:line="276" w:lineRule="auto"/>
              <w:rPr>
                <w:rFonts w:ascii="宋体" w:hAnsi="宋体" w:cs="Arial"/>
                <w:b/>
                <w:szCs w:val="21"/>
              </w:rPr>
            </w:pPr>
            <w:r>
              <w:rPr>
                <w:rFonts w:hint="eastAsia" w:ascii="宋体" w:hAnsi="宋体" w:cs="Arial"/>
                <w:szCs w:val="21"/>
              </w:rPr>
              <w:t>磋商保证金金额：人民币</w:t>
            </w:r>
            <w:r>
              <w:rPr>
                <w:rFonts w:hint="eastAsia" w:ascii="宋体" w:hAnsi="宋体" w:cs="Arial"/>
                <w:b/>
                <w:bCs/>
                <w:szCs w:val="21"/>
                <w:u w:val="single"/>
                <w:lang w:val="en-US" w:eastAsia="zh-CN"/>
              </w:rPr>
              <w:t>0</w:t>
            </w:r>
            <w:r>
              <w:rPr>
                <w:rFonts w:hint="eastAsia" w:ascii="宋体" w:hAnsi="宋体" w:cs="Arial"/>
                <w:b/>
                <w:bCs/>
                <w:szCs w:val="21"/>
                <w:u w:val="none"/>
                <w:lang w:val="en-US" w:eastAsia="zh-CN"/>
              </w:rPr>
              <w:t>元</w:t>
            </w:r>
            <w:r>
              <w:rPr>
                <w:rFonts w:hint="eastAsia" w:ascii="宋体" w:hAnsi="宋体" w:cs="Arial"/>
                <w:b/>
                <w:szCs w:val="21"/>
              </w:rPr>
              <w:t>。</w:t>
            </w:r>
          </w:p>
          <w:p>
            <w:pPr>
              <w:spacing w:line="276" w:lineRule="auto"/>
              <w:rPr>
                <w:rFonts w:ascii="宋体" w:hAnsi="宋体" w:cs="Arial"/>
                <w:bCs/>
                <w:szCs w:val="21"/>
              </w:rPr>
            </w:pPr>
            <w:r>
              <w:rPr>
                <w:rFonts w:hint="eastAsia" w:ascii="宋体" w:hAnsi="宋体" w:cs="Arial"/>
                <w:bCs/>
                <w:szCs w:val="21"/>
              </w:rPr>
              <w:t>截止时间：磋商响应截止时间前凭有效凭据，到瑞安市公共资源交易中心结算窗口换取收款收据。收款收据原件需在开标前校验。</w:t>
            </w:r>
          </w:p>
          <w:p>
            <w:pPr>
              <w:spacing w:line="380" w:lineRule="exact"/>
              <w:rPr>
                <w:rFonts w:hint="eastAsia" w:ascii="宋体" w:hAnsi="宋体" w:cs="宋体"/>
                <w:szCs w:val="21"/>
              </w:rPr>
            </w:pPr>
            <w:r>
              <w:rPr>
                <w:rFonts w:hint="eastAsia" w:ascii="宋体" w:hAnsi="宋体" w:cs="Arial"/>
                <w:bCs/>
                <w:szCs w:val="21"/>
              </w:rPr>
              <w:t>形    式：</w:t>
            </w:r>
            <w:r>
              <w:rPr>
                <w:rFonts w:hint="eastAsia" w:ascii="宋体" w:hAnsi="宋体" w:cs="宋体"/>
                <w:szCs w:val="21"/>
              </w:rPr>
              <w:t xml:space="preserve">交付方式: </w:t>
            </w:r>
            <w:r>
              <w:rPr>
                <w:rFonts w:hint="eastAsia" w:ascii="宋体" w:hAnsi="宋体" w:cs="Arial"/>
                <w:bCs/>
                <w:szCs w:val="21"/>
              </w:rPr>
              <w:t>保证金应以支票/电子汇款/汇票/本票等非现金形式提交；不得用现金提交，不得通过供应商分支机构或第三者帐户转入，必须从供应商银行帐户汇出，并在本项目投标截止时间前到达瑞安市公共资源交易中心规定帐户之一。</w:t>
            </w:r>
          </w:p>
          <w:p>
            <w:pPr>
              <w:spacing w:line="276" w:lineRule="auto"/>
              <w:rPr>
                <w:rFonts w:hint="eastAsia" w:ascii="宋体" w:hAnsi="宋体" w:cs="宋体"/>
                <w:szCs w:val="21"/>
              </w:rPr>
            </w:pPr>
            <w:r>
              <w:rPr>
                <w:rFonts w:hint="eastAsia" w:ascii="宋体" w:hAnsi="宋体" w:cs="宋体"/>
                <w:szCs w:val="21"/>
              </w:rPr>
              <w:t>（一）单位名称：瑞安市公共资源交易中心</w:t>
            </w:r>
          </w:p>
          <w:p>
            <w:pPr>
              <w:spacing w:line="276" w:lineRule="auto"/>
              <w:rPr>
                <w:rFonts w:hint="eastAsia" w:ascii="宋体" w:hAnsi="宋体" w:cs="宋体"/>
                <w:szCs w:val="21"/>
              </w:rPr>
            </w:pPr>
            <w:r>
              <w:rPr>
                <w:rFonts w:hint="eastAsia" w:ascii="宋体" w:hAnsi="宋体" w:cs="宋体"/>
                <w:szCs w:val="21"/>
              </w:rPr>
              <w:t>开户银行：中国建设银行股份有限公司瑞安支行营业部</w:t>
            </w:r>
          </w:p>
          <w:p>
            <w:pPr>
              <w:spacing w:line="276" w:lineRule="auto"/>
              <w:rPr>
                <w:rFonts w:hint="eastAsia" w:ascii="宋体" w:hAnsi="宋体" w:cs="宋体"/>
                <w:szCs w:val="21"/>
              </w:rPr>
            </w:pPr>
            <w:r>
              <w:rPr>
                <w:rFonts w:hint="eastAsia" w:ascii="宋体" w:hAnsi="宋体" w:cs="宋体"/>
                <w:szCs w:val="21"/>
              </w:rPr>
              <w:t>银行账号：33050162613500000235</w:t>
            </w:r>
          </w:p>
          <w:p>
            <w:pPr>
              <w:spacing w:line="276" w:lineRule="auto"/>
              <w:rPr>
                <w:rFonts w:hint="eastAsia" w:ascii="宋体" w:hAnsi="宋体" w:cs="宋体"/>
                <w:szCs w:val="21"/>
              </w:rPr>
            </w:pPr>
            <w:r>
              <w:rPr>
                <w:rFonts w:hint="eastAsia" w:ascii="宋体" w:hAnsi="宋体" w:cs="宋体"/>
                <w:szCs w:val="21"/>
              </w:rPr>
              <w:t>（二）单位名称：瑞安市公共资源交易中心</w:t>
            </w:r>
          </w:p>
          <w:p>
            <w:pPr>
              <w:spacing w:line="276" w:lineRule="auto"/>
              <w:rPr>
                <w:rFonts w:hint="eastAsia" w:ascii="宋体" w:hAnsi="宋体" w:cs="宋体"/>
                <w:szCs w:val="21"/>
              </w:rPr>
            </w:pPr>
            <w:r>
              <w:rPr>
                <w:rFonts w:hint="eastAsia" w:ascii="宋体" w:hAnsi="宋体" w:cs="宋体"/>
                <w:szCs w:val="21"/>
              </w:rPr>
              <w:t>开户银行：中国农业银行股份有限公司瑞安市支行</w:t>
            </w:r>
          </w:p>
          <w:p>
            <w:pPr>
              <w:spacing w:line="276" w:lineRule="auto"/>
              <w:rPr>
                <w:rFonts w:hint="eastAsia" w:ascii="宋体" w:hAnsi="宋体" w:cs="宋体"/>
                <w:szCs w:val="21"/>
              </w:rPr>
            </w:pPr>
            <w:r>
              <w:rPr>
                <w:rFonts w:hint="eastAsia" w:ascii="宋体" w:hAnsi="宋体" w:cs="宋体"/>
                <w:szCs w:val="21"/>
              </w:rPr>
              <w:t>银行账号：19245101040025216</w:t>
            </w:r>
          </w:p>
          <w:p>
            <w:pPr>
              <w:spacing w:line="380" w:lineRule="exact"/>
              <w:rPr>
                <w:rFonts w:ascii="宋体" w:hAnsi="宋体" w:cs="宋体"/>
                <w:szCs w:val="21"/>
              </w:rPr>
            </w:pPr>
            <w:r>
              <w:rPr>
                <w:rFonts w:hint="eastAsia" w:ascii="宋体" w:hAnsi="宋体" w:cs="宋体"/>
                <w:szCs w:val="21"/>
              </w:rPr>
              <w:t>瑞安市公共资源交易中心财务结算窗口联系电话：0577-65879515</w:t>
            </w:r>
          </w:p>
          <w:p>
            <w:pPr>
              <w:snapToGrid w:val="0"/>
              <w:spacing w:line="400" w:lineRule="atLeast"/>
              <w:jc w:val="both"/>
              <w:rPr>
                <w:rFonts w:hint="eastAsia" w:ascii="宋体" w:hAnsi="宋体"/>
                <w:b/>
                <w:szCs w:val="21"/>
                <w:u w:val="single"/>
              </w:rPr>
            </w:pPr>
            <w:r>
              <w:rPr>
                <w:rFonts w:hint="eastAsia" w:ascii="宋体" w:hAnsi="宋体"/>
                <w:b/>
                <w:szCs w:val="21"/>
                <w:u w:val="single"/>
              </w:rPr>
              <w:t>注意事项：</w:t>
            </w:r>
          </w:p>
          <w:p>
            <w:pPr>
              <w:snapToGrid w:val="0"/>
              <w:spacing w:line="400" w:lineRule="atLeast"/>
              <w:jc w:val="both"/>
              <w:rPr>
                <w:rFonts w:hint="eastAsia" w:ascii="Arial" w:hAnsi="Arial"/>
              </w:rPr>
            </w:pPr>
            <w:r>
              <w:rPr>
                <w:rFonts w:hint="eastAsia" w:ascii="宋体" w:hAnsi="宋体"/>
                <w:b/>
                <w:szCs w:val="21"/>
                <w:u w:val="single"/>
              </w:rPr>
              <w:t>1.供应商必须先</w:t>
            </w:r>
            <w:r>
              <w:rPr>
                <w:rFonts w:hint="eastAsia"/>
                <w:b/>
                <w:u w:val="single"/>
              </w:rPr>
              <w:t>办理温州市公共资源交易网瑞安市分网会员诚信库入库手续，再进行网上报名，才可办理投标保证金缴纳。</w:t>
            </w:r>
          </w:p>
          <w:p>
            <w:pPr>
              <w:snapToGrid w:val="0"/>
              <w:spacing w:line="400" w:lineRule="atLeast"/>
              <w:rPr>
                <w:rFonts w:ascii="宋体" w:hAnsi="宋体"/>
                <w:szCs w:val="21"/>
              </w:rPr>
            </w:pPr>
            <w:r>
              <w:rPr>
                <w:rFonts w:hint="eastAsia"/>
                <w:b/>
                <w:u w:val="single"/>
              </w:rPr>
              <w:t>2.提倡以电子汇款方式提交投标保证金；请尽量提前办理投标保证金事宜，确保开标前到达瑞安市公共资源交易中心规定帐户。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17" w:hRule="atLeast"/>
          <w:jc w:val="center"/>
        </w:trPr>
        <w:tc>
          <w:tcPr>
            <w:tcW w:w="644" w:type="dxa"/>
            <w:noWrap w:val="0"/>
            <w:vAlign w:val="center"/>
          </w:tcPr>
          <w:p>
            <w:pPr>
              <w:kinsoku/>
              <w:overflowPunct/>
              <w:topLinePunct w:val="0"/>
              <w:bidi w:val="0"/>
              <w:spacing w:line="300" w:lineRule="auto"/>
              <w:jc w:val="center"/>
              <w:rPr>
                <w:rFonts w:hint="default" w:ascii="宋体" w:hAnsi="宋体" w:eastAsia="宋体" w:cs="Arial"/>
                <w:szCs w:val="21"/>
                <w:lang w:val="en-US" w:eastAsia="zh-CN"/>
              </w:rPr>
            </w:pPr>
            <w:r>
              <w:rPr>
                <w:rFonts w:hint="eastAsia" w:ascii="宋体" w:hAnsi="宋体" w:cs="Arial"/>
                <w:szCs w:val="21"/>
              </w:rPr>
              <w:t>19</w:t>
            </w:r>
          </w:p>
        </w:tc>
        <w:tc>
          <w:tcPr>
            <w:tcW w:w="1917" w:type="dxa"/>
            <w:noWrap w:val="0"/>
            <w:vAlign w:val="center"/>
          </w:tcPr>
          <w:p>
            <w:pPr>
              <w:kinsoku/>
              <w:overflowPunct/>
              <w:topLinePunct w:val="0"/>
              <w:bidi w:val="0"/>
              <w:adjustRightInd w:val="0"/>
              <w:spacing w:line="300" w:lineRule="auto"/>
              <w:jc w:val="center"/>
              <w:rPr>
                <w:rFonts w:ascii="宋体" w:hAnsi="宋体"/>
                <w:szCs w:val="21"/>
              </w:rPr>
            </w:pPr>
            <w:r>
              <w:rPr>
                <w:rFonts w:hint="eastAsia" w:ascii="宋体" w:hAnsi="宋体"/>
                <w:szCs w:val="21"/>
              </w:rPr>
              <w:t>履约担保</w:t>
            </w:r>
          </w:p>
        </w:tc>
        <w:tc>
          <w:tcPr>
            <w:tcW w:w="6519" w:type="dxa"/>
            <w:noWrap w:val="0"/>
            <w:vAlign w:val="center"/>
          </w:tcPr>
          <w:p>
            <w:pPr>
              <w:kinsoku/>
              <w:overflowPunct/>
              <w:topLinePunct w:val="0"/>
              <w:autoSpaceDE w:val="0"/>
              <w:autoSpaceDN w:val="0"/>
              <w:bidi w:val="0"/>
              <w:adjustRightInd w:val="0"/>
              <w:spacing w:line="300" w:lineRule="auto"/>
              <w:rPr>
                <w:szCs w:val="21"/>
              </w:rPr>
            </w:pPr>
            <w:r>
              <w:rPr>
                <w:rFonts w:hint="eastAsia" w:ascii="宋体" w:hAnsi="宋体" w:cs="仿宋_GB2312"/>
                <w:szCs w:val="21"/>
              </w:rPr>
              <w:t>履约担保的金额：</w:t>
            </w:r>
            <w:r>
              <w:rPr>
                <w:rFonts w:hint="eastAsia"/>
                <w:szCs w:val="21"/>
              </w:rPr>
              <w:t>合同总价款</w:t>
            </w:r>
            <w:r>
              <w:rPr>
                <w:rFonts w:hint="eastAsia"/>
                <w:szCs w:val="21"/>
                <w:u w:val="single"/>
              </w:rPr>
              <w:t>4.5</w:t>
            </w:r>
            <w:r>
              <w:rPr>
                <w:szCs w:val="21"/>
              </w:rPr>
              <w:t>%</w:t>
            </w:r>
            <w:r>
              <w:rPr>
                <w:rFonts w:hint="eastAsia"/>
                <w:szCs w:val="21"/>
              </w:rPr>
              <w:t>。</w:t>
            </w:r>
          </w:p>
          <w:p>
            <w:pPr>
              <w:kinsoku/>
              <w:overflowPunct/>
              <w:topLinePunct w:val="0"/>
              <w:autoSpaceDE w:val="0"/>
              <w:autoSpaceDN w:val="0"/>
              <w:bidi w:val="0"/>
              <w:adjustRightInd w:val="0"/>
              <w:spacing w:line="300" w:lineRule="auto"/>
              <w:rPr>
                <w:rFonts w:ascii="宋体" w:hAnsi="宋体" w:cs="仿宋_GB2312"/>
                <w:szCs w:val="21"/>
              </w:rPr>
            </w:pPr>
            <w:r>
              <w:rPr>
                <w:rFonts w:hint="eastAsia" w:ascii="宋体" w:hAnsi="宋体" w:cs="仿宋_GB2312"/>
                <w:szCs w:val="21"/>
              </w:rPr>
              <w:t>形</w:t>
            </w:r>
            <w:r>
              <w:rPr>
                <w:rFonts w:hint="eastAsia"/>
                <w:szCs w:val="21"/>
              </w:rPr>
              <w:t>式：</w:t>
            </w:r>
            <w:r>
              <w:rPr>
                <w:rFonts w:hint="eastAsia" w:ascii="宋体" w:hAnsi="宋体" w:cs="仿宋_GB2312"/>
                <w:szCs w:val="21"/>
              </w:rPr>
              <w:t>以银行转账/转账支票/银行汇票形式交纳至</w:t>
            </w:r>
            <w:r>
              <w:rPr>
                <w:rFonts w:hint="eastAsia" w:ascii="宋体" w:hAnsi="宋体" w:cs="仿宋_GB2312"/>
                <w:szCs w:val="21"/>
                <w:lang w:eastAsia="zh-CN"/>
              </w:rPr>
              <w:t>采购人</w:t>
            </w:r>
            <w:r>
              <w:rPr>
                <w:rFonts w:hint="eastAsia" w:ascii="宋体" w:hAnsi="宋体" w:cs="仿宋_GB2312"/>
                <w:szCs w:val="21"/>
              </w:rPr>
              <w:t>指定帐户。</w:t>
            </w:r>
          </w:p>
          <w:p>
            <w:pPr>
              <w:kinsoku/>
              <w:overflowPunct/>
              <w:topLinePunct w:val="0"/>
              <w:bidi w:val="0"/>
              <w:adjustRightInd w:val="0"/>
              <w:spacing w:line="300" w:lineRule="auto"/>
              <w:rPr>
                <w:rFonts w:ascii="宋体" w:hAnsi="宋体"/>
                <w:szCs w:val="21"/>
              </w:rPr>
            </w:pPr>
            <w:r>
              <w:rPr>
                <w:rFonts w:hint="eastAsia" w:ascii="Arial" w:hAnsi="Arial" w:cs="Arial"/>
                <w:b/>
                <w:u w:val="single"/>
              </w:rPr>
              <w:t>另：本工程风险控制价 =</w:t>
            </w:r>
            <w:r>
              <w:rPr>
                <w:rFonts w:hint="eastAsia" w:ascii="宋体" w:hAnsi="宋体" w:cs="宋体"/>
                <w:b/>
                <w:bCs/>
                <w:szCs w:val="21"/>
                <w:u w:val="single"/>
              </w:rPr>
              <w:t>最高投标限价×85%</w:t>
            </w:r>
            <w:r>
              <w:rPr>
                <w:rFonts w:hint="eastAsia" w:ascii="Arial" w:hAnsi="Arial" w:cs="Arial"/>
                <w:b/>
                <w:u w:val="single"/>
              </w:rPr>
              <w:t>，凡低于该风险控制价成交的，成交供应商在提交履约保证金的同时必须额外提交成交价净值与风险控制价之差额作为低价风险金（形式为银行转账/转账支票/银行汇票）交纳至采购人指定帐户</w:t>
            </w:r>
            <w:r>
              <w:rPr>
                <w:rFonts w:hint="eastAsia" w:ascii="宋体" w:hAnsi="宋体" w:cs="宋体"/>
                <w:b/>
                <w:bCs/>
                <w:szCs w:val="21"/>
                <w:u w:val="single"/>
              </w:rPr>
              <w:t>，否则取消其中标资格。低价风险金退回同履约保证金。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91" w:hRule="atLeast"/>
          <w:jc w:val="center"/>
        </w:trPr>
        <w:tc>
          <w:tcPr>
            <w:tcW w:w="644"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20</w:t>
            </w:r>
          </w:p>
        </w:tc>
        <w:tc>
          <w:tcPr>
            <w:tcW w:w="1917" w:type="dxa"/>
            <w:noWrap w:val="0"/>
            <w:vAlign w:val="center"/>
          </w:tcPr>
          <w:p>
            <w:pPr>
              <w:kinsoku/>
              <w:overflowPunct/>
              <w:topLinePunct w:val="0"/>
              <w:bidi w:val="0"/>
              <w:spacing w:line="300" w:lineRule="auto"/>
              <w:jc w:val="center"/>
              <w:rPr>
                <w:rFonts w:hint="eastAsia" w:ascii="宋体" w:hAnsi="宋体" w:cs="Arial"/>
                <w:szCs w:val="21"/>
              </w:rPr>
            </w:pPr>
            <w:r>
              <w:rPr>
                <w:rFonts w:hint="eastAsia" w:ascii="宋体" w:hAnsi="宋体" w:cs="Arial"/>
                <w:szCs w:val="21"/>
              </w:rPr>
              <w:t>磋商文件发售时间及地址</w:t>
            </w:r>
          </w:p>
        </w:tc>
        <w:tc>
          <w:tcPr>
            <w:tcW w:w="6519" w:type="dxa"/>
            <w:noWrap w:val="0"/>
            <w:vAlign w:val="center"/>
          </w:tcPr>
          <w:p>
            <w:pPr>
              <w:kinsoku/>
              <w:overflowPunct/>
              <w:topLinePunct w:val="0"/>
              <w:bidi w:val="0"/>
              <w:spacing w:line="300" w:lineRule="auto"/>
              <w:rPr>
                <w:rFonts w:hint="eastAsia" w:ascii="宋体" w:hAnsi="宋体" w:cs="Arial"/>
                <w:szCs w:val="21"/>
              </w:rPr>
            </w:pPr>
            <w:r>
              <w:rPr>
                <w:rFonts w:hint="eastAsia" w:ascii="宋体" w:hAnsi="宋体" w:cs="Arial"/>
                <w:szCs w:val="21"/>
              </w:rPr>
              <w:t>1.报名/发售时间：2019年</w:t>
            </w:r>
            <w:r>
              <w:rPr>
                <w:rFonts w:hint="eastAsia" w:ascii="宋体" w:hAnsi="宋体" w:cs="Arial"/>
                <w:szCs w:val="21"/>
                <w:lang w:val="en-US" w:eastAsia="zh-CN"/>
              </w:rPr>
              <w:t>5月22日</w:t>
            </w:r>
            <w:r>
              <w:rPr>
                <w:rFonts w:hint="eastAsia" w:ascii="宋体" w:hAnsi="宋体" w:cs="Arial"/>
                <w:szCs w:val="21"/>
              </w:rPr>
              <w:t>至磋商截止时间前。</w:t>
            </w:r>
          </w:p>
          <w:p>
            <w:pPr>
              <w:kinsoku/>
              <w:overflowPunct/>
              <w:topLinePunct w:val="0"/>
              <w:bidi w:val="0"/>
              <w:spacing w:line="300" w:lineRule="auto"/>
              <w:rPr>
                <w:rFonts w:ascii="宋体" w:hAnsi="宋体" w:cs="Arial"/>
                <w:szCs w:val="21"/>
              </w:rPr>
            </w:pPr>
            <w:r>
              <w:rPr>
                <w:rFonts w:hint="eastAsia" w:ascii="宋体" w:hAnsi="宋体" w:cs="Arial"/>
                <w:szCs w:val="21"/>
              </w:rPr>
              <w:t>2.报名/发售地址：磋商供应商登陆温州市公共资源交易网—瑞安市分网（http://www.raztb.com）会员系统网上报名，不接受现场报名。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90" w:hRule="atLeast"/>
          <w:jc w:val="center"/>
        </w:trPr>
        <w:tc>
          <w:tcPr>
            <w:tcW w:w="644"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21</w:t>
            </w:r>
          </w:p>
        </w:tc>
        <w:tc>
          <w:tcPr>
            <w:tcW w:w="1917"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磋商截止时间</w:t>
            </w:r>
          </w:p>
        </w:tc>
        <w:tc>
          <w:tcPr>
            <w:tcW w:w="6519" w:type="dxa"/>
            <w:noWrap w:val="0"/>
            <w:vAlign w:val="center"/>
          </w:tcPr>
          <w:p>
            <w:pPr>
              <w:kinsoku/>
              <w:overflowPunct/>
              <w:topLinePunct w:val="0"/>
              <w:bidi w:val="0"/>
              <w:spacing w:line="300" w:lineRule="auto"/>
              <w:rPr>
                <w:rFonts w:ascii="宋体" w:hAnsi="宋体" w:cs="Arial"/>
                <w:szCs w:val="21"/>
              </w:rPr>
            </w:pPr>
            <w:r>
              <w:rPr>
                <w:rFonts w:hint="eastAsia" w:ascii="宋体" w:hAnsi="宋体" w:cs="宋体"/>
                <w:szCs w:val="21"/>
                <w:u w:val="single"/>
              </w:rPr>
              <w:t>2019年</w:t>
            </w:r>
            <w:r>
              <w:rPr>
                <w:rFonts w:hint="eastAsia" w:ascii="宋体" w:hAnsi="宋体" w:cs="宋体"/>
                <w:szCs w:val="21"/>
                <w:u w:val="single"/>
                <w:lang w:val="en-US" w:eastAsia="zh-CN"/>
              </w:rPr>
              <w:t>6月4日上午9：00</w:t>
            </w:r>
            <w:r>
              <w:rPr>
                <w:rFonts w:hint="eastAsia" w:ascii="宋体" w:hAnsi="宋体" w:cs="宋体"/>
                <w:szCs w:val="21"/>
                <w:highlight w:val="none"/>
                <w:u w:val="single"/>
                <w:lang w:val="en-US" w:eastAsia="zh-CN"/>
              </w:rPr>
              <w:t xml:space="preserve"> </w:t>
            </w:r>
            <w:r>
              <w:rPr>
                <w:rFonts w:hint="eastAsia" w:ascii="宋体" w:hAnsi="宋体" w:cs="Arial"/>
                <w:szCs w:val="21"/>
                <w:highlight w:val="none"/>
              </w:rPr>
              <w:t>止</w:t>
            </w:r>
            <w:r>
              <w:rPr>
                <w:rFonts w:ascii="宋体" w:hAnsi="宋体" w:cs="Arial"/>
                <w:szCs w:val="21"/>
                <w:highlight w:val="none"/>
              </w:rPr>
              <w:t>(</w:t>
            </w:r>
            <w:r>
              <w:rPr>
                <w:rFonts w:hint="eastAsia" w:ascii="宋体" w:hAnsi="宋体" w:cs="Arial"/>
                <w:szCs w:val="21"/>
              </w:rPr>
              <w:t>北京时间</w:t>
            </w:r>
            <w:r>
              <w:rPr>
                <w:rFonts w:ascii="宋体" w:hAnsi="宋体" w:cs="Arial"/>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34" w:hRule="atLeast"/>
          <w:jc w:val="center"/>
        </w:trPr>
        <w:tc>
          <w:tcPr>
            <w:tcW w:w="644"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22</w:t>
            </w:r>
          </w:p>
        </w:tc>
        <w:tc>
          <w:tcPr>
            <w:tcW w:w="1917"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szCs w:val="21"/>
              </w:rPr>
              <w:t>磋商响应文件递交时间及地点</w:t>
            </w:r>
          </w:p>
        </w:tc>
        <w:tc>
          <w:tcPr>
            <w:tcW w:w="6519" w:type="dxa"/>
            <w:noWrap w:val="0"/>
            <w:vAlign w:val="center"/>
          </w:tcPr>
          <w:p>
            <w:pPr>
              <w:kinsoku/>
              <w:overflowPunct/>
              <w:topLinePunct w:val="0"/>
              <w:bidi w:val="0"/>
              <w:spacing w:line="300" w:lineRule="auto"/>
              <w:rPr>
                <w:rFonts w:ascii="宋体" w:hAnsi="宋体" w:cs="Arial"/>
                <w:szCs w:val="21"/>
                <w:u w:val="single"/>
              </w:rPr>
            </w:pPr>
            <w:r>
              <w:rPr>
                <w:rFonts w:hint="eastAsia" w:ascii="宋体" w:hAnsi="宋体" w:cs="Arial"/>
                <w:snapToGrid w:val="0"/>
                <w:szCs w:val="21"/>
              </w:rPr>
              <w:t>2019年</w:t>
            </w:r>
            <w:r>
              <w:rPr>
                <w:rFonts w:hint="eastAsia" w:ascii="宋体" w:hAnsi="宋体" w:cs="Arial"/>
                <w:snapToGrid w:val="0"/>
                <w:szCs w:val="21"/>
                <w:lang w:val="en-US" w:eastAsia="zh-CN"/>
              </w:rPr>
              <w:t>6月4日</w:t>
            </w:r>
            <w:r>
              <w:rPr>
                <w:rFonts w:hint="eastAsia" w:ascii="宋体" w:hAnsi="宋体" w:cs="Arial"/>
                <w:snapToGrid w:val="0"/>
                <w:szCs w:val="21"/>
                <w:highlight w:val="none"/>
                <w:lang w:eastAsia="zh-CN"/>
              </w:rPr>
              <w:t>上</w:t>
            </w:r>
            <w:r>
              <w:rPr>
                <w:rFonts w:hint="eastAsia" w:ascii="宋体" w:hAnsi="宋体" w:cs="Arial"/>
                <w:snapToGrid w:val="0"/>
                <w:szCs w:val="21"/>
                <w:highlight w:val="none"/>
              </w:rPr>
              <w:t>午</w:t>
            </w:r>
            <w:r>
              <w:rPr>
                <w:rFonts w:hint="eastAsia" w:ascii="宋体" w:hAnsi="宋体" w:cs="Arial"/>
                <w:snapToGrid w:val="0"/>
                <w:szCs w:val="21"/>
                <w:highlight w:val="none"/>
                <w:lang w:val="en-US" w:eastAsia="zh-CN"/>
              </w:rPr>
              <w:t>8</w:t>
            </w:r>
            <w:r>
              <w:rPr>
                <w:rFonts w:hint="eastAsia" w:ascii="宋体" w:hAnsi="宋体" w:cs="Arial"/>
                <w:snapToGrid w:val="0"/>
                <w:szCs w:val="21"/>
                <w:highlight w:val="none"/>
              </w:rPr>
              <w:t>:</w:t>
            </w:r>
            <w:r>
              <w:rPr>
                <w:rFonts w:hint="eastAsia" w:ascii="宋体" w:hAnsi="宋体" w:cs="Arial"/>
                <w:snapToGrid w:val="0"/>
                <w:szCs w:val="21"/>
                <w:highlight w:val="none"/>
                <w:lang w:val="en-US" w:eastAsia="zh-CN"/>
              </w:rPr>
              <w:t>3</w:t>
            </w:r>
            <w:r>
              <w:rPr>
                <w:rFonts w:hint="eastAsia" w:ascii="宋体" w:hAnsi="宋体" w:cs="Arial"/>
                <w:snapToGrid w:val="0"/>
                <w:szCs w:val="21"/>
                <w:highlight w:val="none"/>
              </w:rPr>
              <w:t>0</w:t>
            </w:r>
            <w:r>
              <w:rPr>
                <w:rFonts w:hint="eastAsia" w:ascii="宋体" w:hAnsi="宋体" w:cs="Arial"/>
                <w:szCs w:val="21"/>
                <w:highlight w:val="none"/>
              </w:rPr>
              <w:t>～</w:t>
            </w:r>
            <w:r>
              <w:rPr>
                <w:rFonts w:hint="eastAsia" w:ascii="宋体" w:hAnsi="宋体" w:cs="Arial"/>
                <w:szCs w:val="21"/>
                <w:highlight w:val="none"/>
                <w:lang w:val="en-US" w:eastAsia="zh-CN"/>
              </w:rPr>
              <w:t>9</w:t>
            </w:r>
            <w:r>
              <w:rPr>
                <w:rFonts w:hint="eastAsia" w:ascii="宋体" w:hAnsi="宋体" w:cs="Arial"/>
                <w:szCs w:val="21"/>
                <w:highlight w:val="none"/>
              </w:rPr>
              <w:t>:</w:t>
            </w:r>
            <w:r>
              <w:rPr>
                <w:rFonts w:hint="eastAsia" w:ascii="宋体" w:hAnsi="宋体" w:cs="Arial"/>
                <w:szCs w:val="21"/>
                <w:highlight w:val="none"/>
                <w:lang w:val="en-US" w:eastAsia="zh-CN"/>
              </w:rPr>
              <w:t>0</w:t>
            </w:r>
            <w:r>
              <w:rPr>
                <w:rFonts w:hint="eastAsia" w:ascii="宋体" w:hAnsi="宋体" w:cs="Arial"/>
                <w:szCs w:val="21"/>
                <w:highlight w:val="none"/>
              </w:rPr>
              <w:t>0</w:t>
            </w:r>
            <w:r>
              <w:rPr>
                <w:rFonts w:hint="eastAsia" w:ascii="宋体" w:hAnsi="宋体" w:cs="Arial"/>
                <w:szCs w:val="21"/>
              </w:rPr>
              <w:t>；瑞安市</w:t>
            </w:r>
            <w:r>
              <w:rPr>
                <w:rFonts w:ascii="宋体" w:hAnsi="宋体" w:cs="Arial"/>
                <w:szCs w:val="21"/>
              </w:rPr>
              <w:t>滨江大道外滩满庭芳大楼三楼</w:t>
            </w:r>
            <w:r>
              <w:rPr>
                <w:rFonts w:hint="eastAsia" w:ascii="宋体" w:hAnsi="宋体" w:cs="Arial"/>
                <w:szCs w:val="21"/>
              </w:rPr>
              <w:t>开标室（见当日大厅公示栏）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73" w:hRule="atLeast"/>
          <w:jc w:val="center"/>
        </w:trPr>
        <w:tc>
          <w:tcPr>
            <w:tcW w:w="644"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23</w:t>
            </w:r>
          </w:p>
        </w:tc>
        <w:tc>
          <w:tcPr>
            <w:tcW w:w="1917"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磋商开始时间</w:t>
            </w:r>
          </w:p>
          <w:p>
            <w:pPr>
              <w:kinsoku/>
              <w:overflowPunct/>
              <w:topLinePunct w:val="0"/>
              <w:bidi w:val="0"/>
              <w:spacing w:line="300" w:lineRule="auto"/>
              <w:jc w:val="center"/>
              <w:rPr>
                <w:rFonts w:ascii="宋体" w:hAnsi="宋体" w:cs="Arial"/>
                <w:szCs w:val="21"/>
              </w:rPr>
            </w:pPr>
            <w:r>
              <w:rPr>
                <w:rFonts w:hint="eastAsia" w:ascii="宋体" w:hAnsi="宋体" w:cs="Arial"/>
                <w:szCs w:val="21"/>
              </w:rPr>
              <w:t>磋商地点</w:t>
            </w:r>
          </w:p>
        </w:tc>
        <w:tc>
          <w:tcPr>
            <w:tcW w:w="6519" w:type="dxa"/>
            <w:noWrap w:val="0"/>
            <w:vAlign w:val="center"/>
          </w:tcPr>
          <w:p>
            <w:pPr>
              <w:kinsoku/>
              <w:overflowPunct/>
              <w:topLinePunct w:val="0"/>
              <w:bidi w:val="0"/>
              <w:spacing w:line="300" w:lineRule="auto"/>
              <w:rPr>
                <w:rFonts w:ascii="宋体" w:hAnsi="宋体" w:cs="Arial"/>
                <w:szCs w:val="21"/>
              </w:rPr>
            </w:pPr>
            <w:r>
              <w:rPr>
                <w:rFonts w:hint="eastAsia" w:ascii="宋体" w:hAnsi="宋体" w:cs="Arial"/>
                <w:szCs w:val="21"/>
              </w:rPr>
              <w:t>磋商开始时间：</w:t>
            </w:r>
            <w:r>
              <w:rPr>
                <w:rFonts w:hint="eastAsia" w:ascii="宋体" w:hAnsi="宋体" w:cs="Arial"/>
                <w:szCs w:val="21"/>
                <w:u w:val="single"/>
              </w:rPr>
              <w:t>2019年</w:t>
            </w:r>
            <w:r>
              <w:rPr>
                <w:rFonts w:hint="eastAsia" w:ascii="宋体" w:hAnsi="宋体" w:cs="Arial"/>
                <w:szCs w:val="21"/>
                <w:u w:val="single"/>
                <w:lang w:val="en-US" w:eastAsia="zh-CN"/>
              </w:rPr>
              <w:t xml:space="preserve">6月4日上午9：00 </w:t>
            </w:r>
            <w:r>
              <w:rPr>
                <w:rFonts w:hint="eastAsia" w:ascii="宋体" w:hAnsi="宋体" w:cs="Arial"/>
                <w:szCs w:val="21"/>
              </w:rPr>
              <w:t>正</w:t>
            </w:r>
            <w:r>
              <w:rPr>
                <w:rFonts w:ascii="宋体" w:hAnsi="宋体" w:cs="Arial"/>
                <w:szCs w:val="21"/>
              </w:rPr>
              <w:t xml:space="preserve"> (</w:t>
            </w:r>
            <w:r>
              <w:rPr>
                <w:rFonts w:hint="eastAsia" w:ascii="宋体" w:hAnsi="宋体" w:cs="Arial"/>
                <w:szCs w:val="21"/>
              </w:rPr>
              <w:t>北京时间</w:t>
            </w:r>
            <w:r>
              <w:rPr>
                <w:rFonts w:ascii="宋体" w:hAnsi="宋体" w:cs="Arial"/>
                <w:szCs w:val="21"/>
              </w:rPr>
              <w:t>)</w:t>
            </w:r>
          </w:p>
          <w:p>
            <w:pPr>
              <w:kinsoku/>
              <w:overflowPunct/>
              <w:topLinePunct w:val="0"/>
              <w:bidi w:val="0"/>
              <w:spacing w:line="300" w:lineRule="auto"/>
              <w:rPr>
                <w:rFonts w:ascii="宋体" w:hAnsi="宋体"/>
                <w:szCs w:val="21"/>
              </w:rPr>
            </w:pPr>
            <w:r>
              <w:rPr>
                <w:rFonts w:hint="eastAsia" w:ascii="宋体" w:hAnsi="宋体"/>
                <w:szCs w:val="21"/>
              </w:rPr>
              <w:t>磋商地点：瑞安市公共资源交易中心开标室（见当日大厅公示栏）（滨江大道外滩满庭芳大楼三楼）</w:t>
            </w:r>
          </w:p>
          <w:p>
            <w:pPr>
              <w:kinsoku/>
              <w:overflowPunct/>
              <w:topLinePunct w:val="0"/>
              <w:bidi w:val="0"/>
              <w:spacing w:line="300" w:lineRule="auto"/>
              <w:rPr>
                <w:rFonts w:ascii="宋体" w:hAnsi="宋体" w:cs="Arial"/>
                <w:szCs w:val="21"/>
              </w:rPr>
            </w:pPr>
            <w:r>
              <w:rPr>
                <w:rFonts w:hint="eastAsia" w:ascii="宋体" w:hAnsi="宋体" w:cs="Arial"/>
                <w:szCs w:val="21"/>
              </w:rPr>
              <w:t>参加磋商的磋商供应商的法定代表人（或其授权代表）须携带“本人有效</w:t>
            </w:r>
            <w:r>
              <w:rPr>
                <w:rFonts w:ascii="宋体" w:hAnsi="宋体" w:cs="Arial"/>
                <w:szCs w:val="21"/>
              </w:rPr>
              <w:t>身</w:t>
            </w:r>
            <w:r>
              <w:rPr>
                <w:rFonts w:hint="eastAsia" w:ascii="宋体" w:hAnsi="宋体" w:cs="Arial"/>
                <w:szCs w:val="21"/>
              </w:rPr>
              <w:t>份证件”原件及“</w:t>
            </w:r>
            <w:r>
              <w:rPr>
                <w:rFonts w:ascii="宋体" w:hAnsi="宋体" w:cs="Arial"/>
                <w:szCs w:val="21"/>
              </w:rPr>
              <w:t>法定代表人身份证明</w:t>
            </w:r>
            <w:r>
              <w:rPr>
                <w:rFonts w:hint="eastAsia" w:ascii="宋体" w:hAnsi="宋体" w:cs="Arial"/>
                <w:szCs w:val="21"/>
              </w:rPr>
              <w:t>原件（或法定代表人授权委托书原件）”，出席开标仪式，</w:t>
            </w:r>
            <w:r>
              <w:rPr>
                <w:rFonts w:hint="eastAsia" w:ascii="Arial" w:hAnsi="Arial"/>
              </w:rPr>
              <w:t>磋商供应商法定代表人或其授权代表应准时参加磋商会议并签名报到以证明其出席，否则其磋商响应</w:t>
            </w:r>
            <w:r>
              <w:rPr>
                <w:rFonts w:ascii="Arial" w:hAnsi="Arial"/>
              </w:rPr>
              <w:t>文件作无效标处理</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29" w:hRule="atLeast"/>
          <w:jc w:val="center"/>
        </w:trPr>
        <w:tc>
          <w:tcPr>
            <w:tcW w:w="644"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24</w:t>
            </w:r>
          </w:p>
        </w:tc>
        <w:tc>
          <w:tcPr>
            <w:tcW w:w="1917"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磋商程序</w:t>
            </w:r>
          </w:p>
        </w:tc>
        <w:tc>
          <w:tcPr>
            <w:tcW w:w="6519" w:type="dxa"/>
            <w:noWrap w:val="0"/>
            <w:vAlign w:val="center"/>
          </w:tcPr>
          <w:p>
            <w:pPr>
              <w:kinsoku/>
              <w:overflowPunct/>
              <w:topLinePunct w:val="0"/>
              <w:bidi w:val="0"/>
              <w:spacing w:line="300" w:lineRule="auto"/>
              <w:rPr>
                <w:rFonts w:ascii="宋体" w:hAnsi="宋体"/>
                <w:szCs w:val="21"/>
              </w:rPr>
            </w:pPr>
            <w:r>
              <w:rPr>
                <w:rFonts w:hint="eastAsia" w:ascii="宋体" w:hAnsi="宋体"/>
                <w:szCs w:val="21"/>
              </w:rPr>
              <w:t>（1）宣布竞争性磋商纪律；</w:t>
            </w:r>
          </w:p>
          <w:p>
            <w:pPr>
              <w:kinsoku/>
              <w:overflowPunct/>
              <w:topLinePunct w:val="0"/>
              <w:bidi w:val="0"/>
              <w:spacing w:line="300" w:lineRule="auto"/>
              <w:ind w:left="525" w:hanging="525" w:hangingChars="250"/>
              <w:rPr>
                <w:rFonts w:ascii="宋体" w:hAnsi="宋体"/>
                <w:szCs w:val="21"/>
              </w:rPr>
            </w:pPr>
            <w:r>
              <w:rPr>
                <w:rFonts w:hint="eastAsia" w:ascii="宋体" w:hAnsi="宋体"/>
                <w:szCs w:val="21"/>
              </w:rPr>
              <w:t>（2）公布在磋商截止时间前递交磋商响应文件的磋商供应商名称，并点名确认磋商供应商是否派人到场；</w:t>
            </w:r>
          </w:p>
          <w:p>
            <w:pPr>
              <w:kinsoku/>
              <w:overflowPunct/>
              <w:topLinePunct w:val="0"/>
              <w:bidi w:val="0"/>
              <w:spacing w:line="300" w:lineRule="auto"/>
              <w:rPr>
                <w:rFonts w:ascii="宋体" w:hAnsi="宋体"/>
                <w:szCs w:val="21"/>
              </w:rPr>
            </w:pPr>
            <w:r>
              <w:rPr>
                <w:rFonts w:hint="eastAsia" w:ascii="宋体" w:hAnsi="宋体"/>
                <w:szCs w:val="21"/>
              </w:rPr>
              <w:t>（3）宣布与会人员姓名；</w:t>
            </w:r>
          </w:p>
          <w:p>
            <w:pPr>
              <w:kinsoku/>
              <w:overflowPunct/>
              <w:topLinePunct w:val="0"/>
              <w:bidi w:val="0"/>
              <w:spacing w:line="300" w:lineRule="auto"/>
              <w:rPr>
                <w:rFonts w:ascii="宋体" w:hAnsi="宋体"/>
                <w:szCs w:val="21"/>
              </w:rPr>
            </w:pPr>
            <w:r>
              <w:rPr>
                <w:rFonts w:hint="eastAsia" w:ascii="宋体" w:hAnsi="宋体"/>
                <w:szCs w:val="21"/>
              </w:rPr>
              <w:t>（4）介绍竞争性磋商步骤；</w:t>
            </w:r>
          </w:p>
          <w:p>
            <w:pPr>
              <w:kinsoku/>
              <w:overflowPunct/>
              <w:topLinePunct w:val="0"/>
              <w:bidi w:val="0"/>
              <w:spacing w:line="300" w:lineRule="auto"/>
              <w:ind w:left="525" w:hanging="525" w:hangingChars="250"/>
              <w:rPr>
                <w:rFonts w:ascii="宋体" w:hAnsi="宋体"/>
                <w:szCs w:val="21"/>
              </w:rPr>
            </w:pPr>
            <w:r>
              <w:rPr>
                <w:rFonts w:hint="eastAsia" w:ascii="宋体" w:hAnsi="宋体"/>
                <w:szCs w:val="21"/>
              </w:rPr>
              <w:t>（5）密封情况检查：由监督人员或磋商供应商推选的代表检查磋商响应文件密封情况；</w:t>
            </w:r>
          </w:p>
          <w:p>
            <w:pPr>
              <w:kinsoku/>
              <w:overflowPunct/>
              <w:topLinePunct w:val="0"/>
              <w:bidi w:val="0"/>
              <w:spacing w:line="300" w:lineRule="auto"/>
              <w:rPr>
                <w:rFonts w:ascii="宋体" w:hAnsi="宋体"/>
                <w:szCs w:val="21"/>
              </w:rPr>
            </w:pPr>
            <w:r>
              <w:rPr>
                <w:rFonts w:hint="eastAsia" w:ascii="宋体" w:hAnsi="宋体"/>
                <w:szCs w:val="21"/>
              </w:rPr>
              <w:t>（6）磋商小组审阅磋商响应文件；</w:t>
            </w:r>
          </w:p>
          <w:p>
            <w:pPr>
              <w:kinsoku/>
              <w:overflowPunct/>
              <w:topLinePunct w:val="0"/>
              <w:bidi w:val="0"/>
              <w:spacing w:line="300" w:lineRule="auto"/>
              <w:ind w:left="525" w:hanging="525" w:hangingChars="250"/>
              <w:rPr>
                <w:rFonts w:ascii="宋体" w:hAnsi="宋体"/>
                <w:szCs w:val="21"/>
              </w:rPr>
            </w:pPr>
            <w:r>
              <w:rPr>
                <w:rFonts w:hint="eastAsia" w:ascii="宋体" w:hAnsi="宋体"/>
                <w:szCs w:val="21"/>
              </w:rPr>
              <w:t>（7）磋商小组分别与各供应商磋商并确定最终方案；</w:t>
            </w:r>
          </w:p>
          <w:p>
            <w:pPr>
              <w:kinsoku/>
              <w:overflowPunct/>
              <w:topLinePunct w:val="0"/>
              <w:bidi w:val="0"/>
              <w:spacing w:line="300" w:lineRule="auto"/>
              <w:rPr>
                <w:rFonts w:ascii="宋体" w:hAnsi="宋体"/>
                <w:szCs w:val="21"/>
              </w:rPr>
            </w:pPr>
            <w:r>
              <w:rPr>
                <w:rFonts w:hint="eastAsia" w:ascii="宋体" w:hAnsi="宋体"/>
                <w:szCs w:val="21"/>
              </w:rPr>
              <w:t>（8） 供应商按照磋商文件的变动情况和磋商小组的要求重新提交响应文件；</w:t>
            </w:r>
          </w:p>
          <w:p>
            <w:pPr>
              <w:kinsoku/>
              <w:overflowPunct/>
              <w:topLinePunct w:val="0"/>
              <w:bidi w:val="0"/>
              <w:spacing w:line="300" w:lineRule="auto"/>
              <w:rPr>
                <w:rFonts w:ascii="宋体" w:hAnsi="宋体"/>
                <w:szCs w:val="21"/>
              </w:rPr>
            </w:pPr>
            <w:r>
              <w:rPr>
                <w:rFonts w:hint="eastAsia" w:ascii="宋体" w:hAnsi="宋体"/>
                <w:szCs w:val="21"/>
              </w:rPr>
              <w:t>（9）磋商小组要求所有实质性响应供应商进行最后报价；</w:t>
            </w:r>
          </w:p>
          <w:p>
            <w:pPr>
              <w:kinsoku/>
              <w:overflowPunct/>
              <w:topLinePunct w:val="0"/>
              <w:bidi w:val="0"/>
              <w:spacing w:line="300" w:lineRule="auto"/>
              <w:rPr>
                <w:rFonts w:ascii="宋体" w:hAnsi="宋体"/>
                <w:szCs w:val="21"/>
              </w:rPr>
            </w:pPr>
            <w:r>
              <w:rPr>
                <w:rFonts w:hint="eastAsia" w:ascii="宋体" w:hAnsi="宋体"/>
                <w:szCs w:val="21"/>
              </w:rPr>
              <w:t>（10）由磋商小组采用综合评分法对提交最后报价的供应商的响应文件和最后报价进行综合评分；</w:t>
            </w:r>
          </w:p>
          <w:p>
            <w:pPr>
              <w:kinsoku/>
              <w:overflowPunct/>
              <w:topLinePunct w:val="0"/>
              <w:bidi w:val="0"/>
              <w:spacing w:line="300" w:lineRule="auto"/>
              <w:rPr>
                <w:rFonts w:ascii="宋体" w:hAnsi="宋体" w:cs="Arial"/>
                <w:szCs w:val="21"/>
              </w:rPr>
            </w:pPr>
            <w:r>
              <w:rPr>
                <w:rFonts w:hint="eastAsia" w:ascii="宋体" w:hAnsi="宋体"/>
                <w:szCs w:val="21"/>
              </w:rPr>
              <w:t>（11）磋商小组根据综合评分情况，按照评审得分由高到低顺序推荐成交候选供应商。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04" w:hRule="atLeast"/>
          <w:jc w:val="center"/>
        </w:trPr>
        <w:tc>
          <w:tcPr>
            <w:tcW w:w="644"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25</w:t>
            </w:r>
          </w:p>
        </w:tc>
        <w:tc>
          <w:tcPr>
            <w:tcW w:w="1917"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磋商小组的组建</w:t>
            </w:r>
          </w:p>
        </w:tc>
        <w:tc>
          <w:tcPr>
            <w:tcW w:w="6519" w:type="dxa"/>
            <w:noWrap w:val="0"/>
            <w:vAlign w:val="center"/>
          </w:tcPr>
          <w:p>
            <w:pPr>
              <w:kinsoku/>
              <w:overflowPunct/>
              <w:topLinePunct w:val="0"/>
              <w:bidi w:val="0"/>
              <w:spacing w:line="300" w:lineRule="auto"/>
              <w:rPr>
                <w:rFonts w:ascii="宋体" w:hAnsi="宋体" w:cs="Arial"/>
                <w:szCs w:val="21"/>
              </w:rPr>
            </w:pPr>
            <w:r>
              <w:rPr>
                <w:rFonts w:ascii="ˎ̥" w:hAnsi="ˎ̥"/>
              </w:rPr>
              <w:t>磋商小组由采购人代表和评审专家共</w:t>
            </w:r>
            <w:r>
              <w:rPr>
                <w:rFonts w:hint="eastAsia" w:ascii="ˎ̥" w:hAnsi="ˎ̥"/>
                <w:lang w:val="en-US" w:eastAsia="zh-CN"/>
              </w:rPr>
              <w:t>3</w:t>
            </w:r>
            <w:r>
              <w:rPr>
                <w:rFonts w:ascii="ˎ̥" w:hAnsi="ˎ̥"/>
              </w:rPr>
              <w:t>人</w:t>
            </w:r>
            <w:r>
              <w:rPr>
                <w:rFonts w:hint="eastAsia" w:ascii="ˎ̥" w:hAnsi="ˎ̥"/>
              </w:rPr>
              <w:t>及</w:t>
            </w:r>
            <w:r>
              <w:rPr>
                <w:rFonts w:ascii="ˎ̥" w:hAnsi="ˎ̥"/>
              </w:rPr>
              <w:t>以上单数组成，其中评审专家人数不得少于磋商小组成员总数的2/3。采购人代表不得以评审专家身份参加本部门或本单位采购项目的评审。采购代理机构人员不得参加本机构代理的采购项目的评审。</w:t>
            </w:r>
            <w:r>
              <w:rPr>
                <w:rFonts w:hint="eastAsia" w:ascii="宋体" w:hAnsi="宋体" w:cs="Arial"/>
                <w:szCs w:val="21"/>
              </w:rPr>
              <w:t>评审专家确定方式：按相关规定从专家库中抽取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60" w:hRule="atLeast"/>
          <w:jc w:val="center"/>
        </w:trPr>
        <w:tc>
          <w:tcPr>
            <w:tcW w:w="644" w:type="dxa"/>
            <w:noWrap w:val="0"/>
            <w:vAlign w:val="center"/>
          </w:tcPr>
          <w:p>
            <w:pPr>
              <w:kinsoku/>
              <w:overflowPunct/>
              <w:topLinePunct w:val="0"/>
              <w:bidi w:val="0"/>
              <w:spacing w:line="300" w:lineRule="auto"/>
              <w:jc w:val="center"/>
              <w:rPr>
                <w:rFonts w:hint="eastAsia" w:ascii="宋体" w:hAnsi="宋体" w:cs="Arial"/>
                <w:color w:val="000000"/>
                <w:szCs w:val="21"/>
              </w:rPr>
            </w:pPr>
            <w:r>
              <w:rPr>
                <w:rFonts w:hint="eastAsia" w:ascii="宋体" w:hAnsi="宋体" w:cs="Arial"/>
                <w:color w:val="000000"/>
                <w:szCs w:val="21"/>
              </w:rPr>
              <w:t>26</w:t>
            </w:r>
          </w:p>
        </w:tc>
        <w:tc>
          <w:tcPr>
            <w:tcW w:w="1917" w:type="dxa"/>
            <w:noWrap w:val="0"/>
            <w:vAlign w:val="center"/>
          </w:tcPr>
          <w:p>
            <w:pPr>
              <w:kinsoku/>
              <w:overflowPunct/>
              <w:topLinePunct w:val="0"/>
              <w:bidi w:val="0"/>
              <w:spacing w:line="300" w:lineRule="auto"/>
              <w:jc w:val="center"/>
              <w:rPr>
                <w:rFonts w:hint="eastAsia" w:ascii="宋体" w:hAnsi="宋体" w:cs="Arial"/>
                <w:color w:val="000000"/>
                <w:szCs w:val="21"/>
              </w:rPr>
            </w:pPr>
            <w:r>
              <w:rPr>
                <w:rFonts w:hint="eastAsia" w:ascii="宋体" w:hAnsi="宋体" w:cs="Arial"/>
                <w:color w:val="000000"/>
                <w:szCs w:val="21"/>
              </w:rPr>
              <w:t>落实政府采购支持中小企业、监狱企业及残疾人福利性单位发展政策</w:t>
            </w:r>
          </w:p>
        </w:tc>
        <w:tc>
          <w:tcPr>
            <w:tcW w:w="6519" w:type="dxa"/>
            <w:noWrap w:val="0"/>
            <w:vAlign w:val="center"/>
          </w:tcPr>
          <w:p>
            <w:pPr>
              <w:kinsoku/>
              <w:overflowPunct/>
              <w:topLinePunct w:val="0"/>
              <w:bidi w:val="0"/>
              <w:spacing w:line="300" w:lineRule="auto"/>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专门面向中小企业采购项目</w:t>
            </w:r>
          </w:p>
          <w:p>
            <w:pPr>
              <w:kinsoku/>
              <w:overflowPunct/>
              <w:topLinePunct w:val="0"/>
              <w:bidi w:val="0"/>
              <w:spacing w:line="300" w:lineRule="auto"/>
              <w:rPr>
                <w:rFonts w:ascii="宋体"/>
                <w:color w:val="000000"/>
                <w:szCs w:val="21"/>
              </w:rPr>
            </w:pPr>
            <w:r>
              <w:rPr>
                <w:rFonts w:ascii="宋体" w:hAnsi="宋体"/>
                <w:color w:val="000000"/>
                <w:szCs w:val="21"/>
              </w:rPr>
              <w:fldChar w:fldCharType="begin"/>
            </w:r>
            <w:r>
              <w:rPr>
                <w:rFonts w:ascii="宋体" w:hAnsi="宋体"/>
                <w:color w:val="000000"/>
                <w:szCs w:val="21"/>
              </w:rPr>
              <w:instrText xml:space="preserve"> eq \o\ac(</w:instrText>
            </w:r>
            <w:r>
              <w:rPr>
                <w:rFonts w:hint="eastAsia" w:ascii="宋体" w:hAnsi="宋体"/>
                <w:color w:val="000000"/>
                <w:szCs w:val="21"/>
              </w:rPr>
              <w:instrText xml:space="preserve">□</w:instrText>
            </w:r>
            <w:r>
              <w:rPr>
                <w:rFonts w:ascii="宋体" w:hAnsi="宋体"/>
                <w:color w:val="000000"/>
                <w:szCs w:val="21"/>
              </w:rPr>
              <w:instrText xml:space="preserve">,</w:instrText>
            </w:r>
            <w:r>
              <w:rPr>
                <w:rFonts w:hint="eastAsia" w:ascii="宋体" w:hAnsi="宋体"/>
                <w:color w:val="000000"/>
                <w:szCs w:val="21"/>
              </w:rPr>
              <w:instrText xml:space="preserve">√</w:instrText>
            </w:r>
            <w:r>
              <w:rPr>
                <w:rFonts w:ascii="宋体" w:hAnsi="宋体"/>
                <w:color w:val="000000"/>
                <w:szCs w:val="21"/>
              </w:rPr>
              <w:instrText xml:space="preserve">)</w:instrText>
            </w:r>
            <w:r>
              <w:rPr>
                <w:rFonts w:ascii="宋体" w:hAnsi="宋体"/>
                <w:color w:val="000000"/>
                <w:szCs w:val="21"/>
              </w:rPr>
              <w:fldChar w:fldCharType="end"/>
            </w:r>
            <w:r>
              <w:rPr>
                <w:rFonts w:ascii="宋体" w:hAnsi="宋体"/>
                <w:color w:val="000000"/>
                <w:szCs w:val="21"/>
              </w:rPr>
              <w:t xml:space="preserve"> </w:t>
            </w:r>
            <w:r>
              <w:rPr>
                <w:rFonts w:hint="eastAsia" w:ascii="宋体" w:hAnsi="宋体"/>
                <w:color w:val="000000"/>
                <w:szCs w:val="21"/>
              </w:rPr>
              <w:t>非专门面向中小企业采购项目。对小型和微型企业服务报价给予</w:t>
            </w:r>
            <w:r>
              <w:rPr>
                <w:rFonts w:ascii="宋体" w:hAnsi="宋体"/>
                <w:color w:val="000000"/>
                <w:szCs w:val="21"/>
              </w:rPr>
              <w:t>6%</w:t>
            </w:r>
            <w:r>
              <w:rPr>
                <w:rFonts w:hint="eastAsia" w:ascii="宋体" w:hAnsi="宋体"/>
                <w:color w:val="000000"/>
                <w:szCs w:val="21"/>
              </w:rPr>
              <w:t>～</w:t>
            </w:r>
            <w:r>
              <w:rPr>
                <w:rFonts w:ascii="宋体" w:hAnsi="宋体"/>
                <w:color w:val="000000"/>
                <w:szCs w:val="21"/>
              </w:rPr>
              <w:t>10%</w:t>
            </w:r>
            <w:r>
              <w:rPr>
                <w:rFonts w:hint="eastAsia" w:ascii="宋体" w:hAnsi="宋体"/>
                <w:color w:val="000000"/>
                <w:szCs w:val="21"/>
              </w:rPr>
              <w:t>的扣除，用扣除后的价格参与评审。</w:t>
            </w:r>
          </w:p>
          <w:p>
            <w:pPr>
              <w:kinsoku/>
              <w:overflowPunct/>
              <w:topLinePunct w:val="0"/>
              <w:bidi w:val="0"/>
              <w:spacing w:line="300" w:lineRule="auto"/>
              <w:rPr>
                <w:rFonts w:ascii="宋体" w:hAnsi="宋体"/>
                <w:color w:val="000000"/>
                <w:szCs w:val="21"/>
              </w:rPr>
            </w:pPr>
            <w:r>
              <w:rPr>
                <w:rFonts w:hint="eastAsia" w:ascii="宋体" w:hAnsi="宋体"/>
                <w:color w:val="000000"/>
                <w:szCs w:val="21"/>
              </w:rPr>
              <w:t>本项目的扣除比例为：小型、微型企业均扣除</w:t>
            </w:r>
            <w:r>
              <w:rPr>
                <w:rFonts w:hint="eastAsia" w:ascii="宋体" w:hAnsi="宋体"/>
                <w:color w:val="000000"/>
                <w:szCs w:val="21"/>
                <w:u w:val="single"/>
                <w:lang w:val="en-US" w:eastAsia="zh-CN"/>
              </w:rPr>
              <w:t xml:space="preserve"> </w:t>
            </w:r>
            <w:r>
              <w:rPr>
                <w:rFonts w:ascii="宋体" w:hAnsi="宋体"/>
                <w:color w:val="000000"/>
                <w:szCs w:val="21"/>
                <w:u w:val="single"/>
              </w:rPr>
              <w:t xml:space="preserve">6 </w:t>
            </w:r>
            <w:r>
              <w:rPr>
                <w:rFonts w:ascii="宋体" w:hAnsi="宋体"/>
                <w:color w:val="000000"/>
                <w:szCs w:val="21"/>
              </w:rPr>
              <w:t>%</w:t>
            </w:r>
          </w:p>
          <w:p>
            <w:pPr>
              <w:kinsoku/>
              <w:overflowPunct/>
              <w:topLinePunct w:val="0"/>
              <w:bidi w:val="0"/>
              <w:spacing w:line="300" w:lineRule="auto"/>
              <w:rPr>
                <w:rFonts w:ascii="宋体"/>
                <w:color w:val="000000"/>
                <w:szCs w:val="21"/>
              </w:rPr>
            </w:pPr>
            <w:r>
              <w:rPr>
                <w:rFonts w:hint="eastAsia" w:ascii="宋体" w:hAnsi="宋体"/>
                <w:color w:val="000000"/>
                <w:szCs w:val="21"/>
              </w:rPr>
              <w:t>监狱企业、残疾人福利性单位视同小型、微型企业，享受价格扣除。</w:t>
            </w:r>
          </w:p>
          <w:p>
            <w:pPr>
              <w:kinsoku/>
              <w:overflowPunct/>
              <w:topLinePunct w:val="0"/>
              <w:bidi w:val="0"/>
              <w:spacing w:line="300" w:lineRule="auto"/>
              <w:rPr>
                <w:rFonts w:ascii="ˎ̥" w:hAnsi="ˎ̥"/>
                <w:color w:val="000000"/>
              </w:rPr>
            </w:pPr>
            <w:r>
              <w:rPr>
                <w:rFonts w:hint="eastAsia" w:ascii="宋体" w:hAnsi="宋体"/>
                <w:color w:val="000000"/>
                <w:szCs w:val="21"/>
              </w:rPr>
              <w:t>残疾人福利性单位属于小型、微型企业的，不重复享受政策。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60" w:hRule="atLeast"/>
          <w:jc w:val="center"/>
        </w:trPr>
        <w:tc>
          <w:tcPr>
            <w:tcW w:w="644" w:type="dxa"/>
            <w:noWrap w:val="0"/>
            <w:vAlign w:val="center"/>
          </w:tcPr>
          <w:p>
            <w:pPr>
              <w:kinsoku/>
              <w:overflowPunct/>
              <w:topLinePunct w:val="0"/>
              <w:bidi w:val="0"/>
              <w:spacing w:line="300" w:lineRule="auto"/>
              <w:jc w:val="center"/>
              <w:rPr>
                <w:rFonts w:hint="eastAsia" w:ascii="宋体" w:hAnsi="宋体" w:cs="Arial"/>
                <w:szCs w:val="21"/>
              </w:rPr>
            </w:pPr>
            <w:r>
              <w:rPr>
                <w:rFonts w:hint="eastAsia" w:ascii="宋体" w:hAnsi="宋体" w:cs="Arial"/>
                <w:szCs w:val="21"/>
              </w:rPr>
              <w:t>27</w:t>
            </w:r>
          </w:p>
        </w:tc>
        <w:tc>
          <w:tcPr>
            <w:tcW w:w="1917"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szCs w:val="21"/>
              </w:rPr>
              <w:t>合同授予前的最终审查</w:t>
            </w:r>
          </w:p>
        </w:tc>
        <w:tc>
          <w:tcPr>
            <w:tcW w:w="6519" w:type="dxa"/>
            <w:noWrap w:val="0"/>
            <w:vAlign w:val="center"/>
          </w:tcPr>
          <w:p>
            <w:pPr>
              <w:kinsoku/>
              <w:overflowPunct/>
              <w:topLinePunct w:val="0"/>
              <w:bidi w:val="0"/>
              <w:spacing w:line="300" w:lineRule="auto"/>
              <w:rPr>
                <w:rFonts w:ascii="宋体" w:hAnsi="宋体" w:cs="Arial"/>
                <w:szCs w:val="21"/>
              </w:rPr>
            </w:pPr>
            <w:r>
              <w:rPr>
                <w:rFonts w:hint="eastAsia" w:ascii="宋体" w:hAnsi="宋体" w:cs="Arial"/>
                <w:szCs w:val="21"/>
              </w:rPr>
              <w:t>磋商结束后，采购人将对磋商供应商进行最终审查。最终审查的主要内容是：</w:t>
            </w:r>
          </w:p>
          <w:p>
            <w:pPr>
              <w:numPr>
                <w:ilvl w:val="0"/>
                <w:numId w:val="9"/>
              </w:numPr>
              <w:kinsoku/>
              <w:overflowPunct/>
              <w:topLinePunct w:val="0"/>
              <w:bidi w:val="0"/>
              <w:spacing w:line="300" w:lineRule="auto"/>
              <w:ind w:left="525" w:leftChars="50" w:hanging="420" w:hangingChars="200"/>
              <w:rPr>
                <w:rFonts w:ascii="宋体" w:cs="Arial"/>
                <w:szCs w:val="21"/>
              </w:rPr>
            </w:pPr>
            <w:r>
              <w:rPr>
                <w:rFonts w:hint="eastAsia" w:ascii="宋体" w:hAnsi="宋体"/>
                <w:bCs/>
                <w:szCs w:val="21"/>
              </w:rPr>
              <w:t>磋商</w:t>
            </w:r>
            <w:r>
              <w:rPr>
                <w:rFonts w:hint="eastAsia" w:ascii="宋体" w:hAnsi="宋体" w:cs="Arial"/>
                <w:szCs w:val="21"/>
              </w:rPr>
              <w:t>供应商的资质、业务能力、信誉以往政府采购活动中的业绩和表现；</w:t>
            </w:r>
          </w:p>
          <w:p>
            <w:pPr>
              <w:numPr>
                <w:ilvl w:val="0"/>
                <w:numId w:val="9"/>
              </w:numPr>
              <w:kinsoku/>
              <w:overflowPunct/>
              <w:topLinePunct w:val="0"/>
              <w:bidi w:val="0"/>
              <w:spacing w:line="300" w:lineRule="auto"/>
              <w:ind w:left="525" w:leftChars="50" w:hanging="420" w:hangingChars="200"/>
              <w:rPr>
                <w:rFonts w:ascii="宋体" w:cs="Arial"/>
                <w:szCs w:val="21"/>
              </w:rPr>
            </w:pPr>
            <w:r>
              <w:rPr>
                <w:rFonts w:hint="eastAsia" w:ascii="宋体" w:hAnsi="宋体" w:cs="Arial"/>
                <w:szCs w:val="21"/>
              </w:rPr>
              <w:t>磋商供应商履行合同的能力；</w:t>
            </w:r>
          </w:p>
          <w:p>
            <w:pPr>
              <w:numPr>
                <w:ilvl w:val="0"/>
                <w:numId w:val="9"/>
              </w:numPr>
              <w:kinsoku/>
              <w:overflowPunct/>
              <w:topLinePunct w:val="0"/>
              <w:bidi w:val="0"/>
              <w:spacing w:line="300" w:lineRule="auto"/>
              <w:ind w:left="525" w:leftChars="50" w:hanging="420" w:hangingChars="200"/>
              <w:rPr>
                <w:rFonts w:ascii="宋体" w:hAnsi="宋体" w:cs="Arial"/>
                <w:szCs w:val="21"/>
              </w:rPr>
            </w:pPr>
            <w:r>
              <w:rPr>
                <w:rFonts w:hint="eastAsia" w:ascii="宋体" w:hAnsi="宋体" w:cs="Arial"/>
                <w:szCs w:val="21"/>
              </w:rPr>
              <w:t>是否已经加入“浙江省政府采购供应商库”</w:t>
            </w:r>
            <w:r>
              <w:rPr>
                <w:rFonts w:hint="eastAsia"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247" w:hRule="atLeast"/>
          <w:jc w:val="center"/>
        </w:trPr>
        <w:tc>
          <w:tcPr>
            <w:tcW w:w="644" w:type="dxa"/>
            <w:noWrap w:val="0"/>
            <w:vAlign w:val="center"/>
          </w:tcPr>
          <w:p>
            <w:pPr>
              <w:kinsoku/>
              <w:overflowPunct/>
              <w:topLinePunct w:val="0"/>
              <w:bidi w:val="0"/>
              <w:spacing w:line="300" w:lineRule="auto"/>
              <w:jc w:val="center"/>
              <w:rPr>
                <w:rFonts w:hint="eastAsia" w:ascii="宋体" w:hAnsi="宋体" w:cs="Arial"/>
                <w:szCs w:val="21"/>
              </w:rPr>
            </w:pPr>
            <w:r>
              <w:rPr>
                <w:rFonts w:hint="eastAsia" w:ascii="宋体" w:hAnsi="宋体" w:cs="Arial"/>
                <w:szCs w:val="21"/>
              </w:rPr>
              <w:t>28</w:t>
            </w:r>
          </w:p>
        </w:tc>
        <w:tc>
          <w:tcPr>
            <w:tcW w:w="1917" w:type="dxa"/>
            <w:noWrap w:val="0"/>
            <w:vAlign w:val="center"/>
          </w:tcPr>
          <w:p>
            <w:pPr>
              <w:kinsoku/>
              <w:overflowPunct/>
              <w:topLinePunct w:val="0"/>
              <w:bidi w:val="0"/>
              <w:spacing w:line="300" w:lineRule="auto"/>
              <w:jc w:val="center"/>
              <w:rPr>
                <w:rFonts w:ascii="宋体" w:hAnsi="宋体"/>
                <w:szCs w:val="21"/>
              </w:rPr>
            </w:pPr>
            <w:r>
              <w:rPr>
                <w:rFonts w:hint="eastAsia" w:ascii="宋体" w:hAnsi="宋体"/>
                <w:szCs w:val="21"/>
              </w:rPr>
              <w:t>诚信履约管理</w:t>
            </w:r>
          </w:p>
        </w:tc>
        <w:tc>
          <w:tcPr>
            <w:tcW w:w="6519" w:type="dxa"/>
            <w:noWrap w:val="0"/>
            <w:vAlign w:val="center"/>
          </w:tcPr>
          <w:p>
            <w:pPr>
              <w:kinsoku/>
              <w:overflowPunct/>
              <w:topLinePunct w:val="0"/>
              <w:bidi w:val="0"/>
              <w:spacing w:line="300" w:lineRule="auto"/>
              <w:rPr>
                <w:rFonts w:ascii="宋体" w:hAnsi="宋体" w:cs="Arial"/>
                <w:szCs w:val="21"/>
              </w:rPr>
            </w:pPr>
            <w:r>
              <w:rPr>
                <w:rFonts w:hint="eastAsia" w:ascii="宋体" w:hAnsi="宋体" w:cs="Arial"/>
                <w:szCs w:val="21"/>
              </w:rPr>
              <w:t>合同签订后，采购人依法加强对合同履约进行管理，并在成交供应商服务等重要关节，如实填写《诚信评价反馈表》（表附合同条款中），及时向市公共资源交易中心报备。建立成交供应商诚信履约评价制度，结果纳入诚信档案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17" w:hRule="atLeast"/>
          <w:jc w:val="center"/>
        </w:trPr>
        <w:tc>
          <w:tcPr>
            <w:tcW w:w="644" w:type="dxa"/>
            <w:noWrap w:val="0"/>
            <w:vAlign w:val="center"/>
          </w:tcPr>
          <w:p>
            <w:pPr>
              <w:kinsoku/>
              <w:overflowPunct/>
              <w:topLinePunct w:val="0"/>
              <w:bidi w:val="0"/>
              <w:spacing w:line="300" w:lineRule="auto"/>
              <w:jc w:val="center"/>
              <w:rPr>
                <w:rFonts w:hint="eastAsia" w:ascii="宋体" w:hAnsi="宋体" w:cs="Arial"/>
                <w:szCs w:val="21"/>
              </w:rPr>
            </w:pPr>
            <w:r>
              <w:rPr>
                <w:rFonts w:ascii="宋体" w:hAnsi="宋体" w:cs="Arial"/>
                <w:szCs w:val="21"/>
              </w:rPr>
              <w:t>2</w:t>
            </w:r>
            <w:r>
              <w:rPr>
                <w:rFonts w:hint="eastAsia" w:ascii="宋体" w:hAnsi="宋体" w:cs="Arial"/>
                <w:szCs w:val="21"/>
              </w:rPr>
              <w:t>9</w:t>
            </w:r>
          </w:p>
        </w:tc>
        <w:tc>
          <w:tcPr>
            <w:tcW w:w="1917" w:type="dxa"/>
            <w:noWrap w:val="0"/>
            <w:vAlign w:val="center"/>
          </w:tcPr>
          <w:p>
            <w:pPr>
              <w:kinsoku/>
              <w:overflowPunct/>
              <w:topLinePunct w:val="0"/>
              <w:bidi w:val="0"/>
              <w:spacing w:line="300" w:lineRule="auto"/>
              <w:jc w:val="center"/>
              <w:rPr>
                <w:rFonts w:ascii="宋体" w:hAnsi="宋体" w:cs="Arial"/>
                <w:szCs w:val="21"/>
              </w:rPr>
            </w:pPr>
            <w:r>
              <w:rPr>
                <w:rFonts w:ascii="宋体" w:hAnsi="宋体" w:cs="Arial"/>
                <w:szCs w:val="21"/>
              </w:rPr>
              <w:t>解释</w:t>
            </w:r>
            <w:r>
              <w:rPr>
                <w:rFonts w:hint="eastAsia" w:ascii="宋体" w:hAnsi="宋体" w:cs="Arial"/>
                <w:szCs w:val="21"/>
              </w:rPr>
              <w:t>权</w:t>
            </w:r>
          </w:p>
        </w:tc>
        <w:tc>
          <w:tcPr>
            <w:tcW w:w="6519" w:type="dxa"/>
            <w:noWrap w:val="0"/>
            <w:vAlign w:val="center"/>
          </w:tcPr>
          <w:p>
            <w:pPr>
              <w:kinsoku/>
              <w:overflowPunct/>
              <w:topLinePunct w:val="0"/>
              <w:bidi w:val="0"/>
              <w:spacing w:line="300" w:lineRule="auto"/>
              <w:rPr>
                <w:rFonts w:ascii="宋体" w:hAnsi="宋体" w:cs="Arial"/>
                <w:szCs w:val="21"/>
              </w:rPr>
            </w:pPr>
            <w:r>
              <w:rPr>
                <w:rFonts w:ascii="宋体" w:hAnsi="宋体" w:cs="Arial"/>
                <w:szCs w:val="21"/>
              </w:rPr>
              <w:t>构成本磋商文件的各个组成文件应互为解释，互为说明；如有不明确或不一致，构成合同文件组成内容的，以合同文件约定内容为准；仅适用于</w:t>
            </w:r>
            <w:r>
              <w:rPr>
                <w:rFonts w:hint="eastAsia" w:ascii="宋体" w:hAnsi="宋体" w:cs="Arial"/>
                <w:szCs w:val="21"/>
              </w:rPr>
              <w:t>磋商</w:t>
            </w:r>
            <w:r>
              <w:rPr>
                <w:rFonts w:ascii="宋体" w:hAnsi="宋体" w:cs="Arial"/>
                <w:szCs w:val="21"/>
              </w:rPr>
              <w:t>阶段的约定，按</w:t>
            </w:r>
            <w:r>
              <w:rPr>
                <w:rFonts w:hint="eastAsia" w:ascii="宋体" w:hAnsi="宋体" w:cs="Arial"/>
                <w:szCs w:val="21"/>
              </w:rPr>
              <w:t>采购</w:t>
            </w:r>
            <w:r>
              <w:rPr>
                <w:rFonts w:ascii="宋体" w:hAnsi="宋体" w:cs="Arial"/>
                <w:szCs w:val="21"/>
              </w:rPr>
              <w:t>公告、磋商供应商须知、评</w:t>
            </w:r>
            <w:r>
              <w:rPr>
                <w:rFonts w:hint="eastAsia" w:ascii="宋体" w:hAnsi="宋体" w:cs="Arial"/>
                <w:szCs w:val="21"/>
              </w:rPr>
              <w:t>定</w:t>
            </w:r>
            <w:r>
              <w:rPr>
                <w:rFonts w:ascii="宋体" w:hAnsi="宋体" w:cs="Arial"/>
                <w:szCs w:val="21"/>
              </w:rPr>
              <w:t>办法、磋商响应文件格式的先后顺序解释；同一文件中就同一事项的约定不一致的，以逻辑顺序在后者为准；同一文件不同版本之间有不一致的，以形成时间在后者为准。按本款前述约定仍不能形成结论的，由</w:t>
            </w:r>
            <w:r>
              <w:rPr>
                <w:rFonts w:hint="eastAsia" w:ascii="宋体" w:hAnsi="宋体" w:cs="Arial"/>
                <w:szCs w:val="21"/>
              </w:rPr>
              <w:t>采购人</w:t>
            </w:r>
            <w:r>
              <w:rPr>
                <w:rFonts w:ascii="宋体" w:hAnsi="宋体" w:cs="Arial"/>
                <w:szCs w:val="21"/>
              </w:rPr>
              <w:t>负责解释</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90" w:hRule="atLeast"/>
          <w:jc w:val="center"/>
        </w:trPr>
        <w:tc>
          <w:tcPr>
            <w:tcW w:w="644" w:type="dxa"/>
            <w:noWrap w:val="0"/>
            <w:vAlign w:val="center"/>
          </w:tcPr>
          <w:p>
            <w:pPr>
              <w:kinsoku/>
              <w:overflowPunct/>
              <w:topLinePunct w:val="0"/>
              <w:bidi w:val="0"/>
              <w:spacing w:line="300" w:lineRule="auto"/>
              <w:jc w:val="center"/>
              <w:rPr>
                <w:rFonts w:hint="eastAsia" w:ascii="Arial" w:hAnsi="Arial" w:cs="Arial"/>
                <w:szCs w:val="21"/>
              </w:rPr>
            </w:pPr>
            <w:r>
              <w:rPr>
                <w:rFonts w:hint="eastAsia" w:ascii="宋体" w:hAnsi="宋体" w:cs="Arial"/>
                <w:szCs w:val="21"/>
              </w:rPr>
              <w:t>30</w:t>
            </w:r>
          </w:p>
        </w:tc>
        <w:tc>
          <w:tcPr>
            <w:tcW w:w="1917" w:type="dxa"/>
            <w:noWrap w:val="0"/>
            <w:vAlign w:val="center"/>
          </w:tcPr>
          <w:p>
            <w:pPr>
              <w:kinsoku/>
              <w:overflowPunct/>
              <w:topLinePunct w:val="0"/>
              <w:bidi w:val="0"/>
              <w:spacing w:line="300" w:lineRule="auto"/>
              <w:jc w:val="center"/>
              <w:rPr>
                <w:rFonts w:ascii="宋体" w:hAnsi="宋体" w:cs="Arial"/>
                <w:szCs w:val="21"/>
              </w:rPr>
            </w:pPr>
            <w:r>
              <w:rPr>
                <w:rFonts w:hint="eastAsia" w:ascii="宋体" w:hAnsi="宋体" w:cs="Arial"/>
                <w:szCs w:val="21"/>
              </w:rPr>
              <w:t xml:space="preserve">合同管理                                                                                                                                                                                                                                                                                                                                                                                                                                                                                                                                                                                                                                                                                                                                                                                                                                                                                                                                                                                                                                                                                                                                                                                                                                                                                                                                                                                                                                                                                                                                                                                                                                                                                                                                                                                                                                                                                                                                                                                                                                                                                                                                                                                                                                                                                                                                                                                                                                                                                                                                                                                                                                      </w:t>
            </w:r>
          </w:p>
        </w:tc>
        <w:tc>
          <w:tcPr>
            <w:tcW w:w="6519" w:type="dxa"/>
            <w:noWrap w:val="0"/>
            <w:vAlign w:val="center"/>
          </w:tcPr>
          <w:p>
            <w:pPr>
              <w:kinsoku/>
              <w:overflowPunct/>
              <w:topLinePunct w:val="0"/>
              <w:bidi w:val="0"/>
              <w:spacing w:line="300" w:lineRule="auto"/>
              <w:rPr>
                <w:rFonts w:ascii="Arial" w:hAnsi="Arial" w:cs="Arial"/>
                <w:szCs w:val="21"/>
              </w:rPr>
            </w:pPr>
            <w:r>
              <w:rPr>
                <w:rFonts w:hint="eastAsia" w:ascii="Arial" w:hAnsi="Arial" w:cs="Arial"/>
                <w:szCs w:val="21"/>
              </w:rPr>
              <w:t>1.成交供应商与采购人签订合同后，三个工作日内将合同原件交给浙江瑞扬工程咨询招标代理股份有限公司</w:t>
            </w:r>
            <w:r>
              <w:rPr>
                <w:rFonts w:hint="eastAsia" w:ascii="Arial" w:hAnsi="宋体" w:cs="Arial"/>
                <w:szCs w:val="21"/>
              </w:rPr>
              <w:t>备案</w:t>
            </w:r>
            <w:r>
              <w:rPr>
                <w:rFonts w:hint="eastAsia" w:ascii="Arial" w:hAnsi="Arial" w:cs="Arial"/>
                <w:szCs w:val="21"/>
              </w:rPr>
              <w:t>。</w:t>
            </w:r>
          </w:p>
          <w:p>
            <w:pPr>
              <w:kinsoku/>
              <w:overflowPunct/>
              <w:topLinePunct w:val="0"/>
              <w:bidi w:val="0"/>
              <w:spacing w:line="300" w:lineRule="auto"/>
              <w:rPr>
                <w:rFonts w:ascii="宋体" w:hAnsi="宋体" w:cs="Arial"/>
                <w:b/>
                <w:szCs w:val="21"/>
              </w:rPr>
            </w:pPr>
            <w:r>
              <w:rPr>
                <w:rFonts w:hint="eastAsia" w:ascii="Arial" w:hAnsi="Arial" w:cs="Arial"/>
                <w:szCs w:val="21"/>
              </w:rPr>
              <w:t>2.采购人在合同签订后七个工作日内要及时向财政监督管理部门申请备案。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252" w:hRule="atLeast"/>
          <w:jc w:val="center"/>
        </w:trPr>
        <w:tc>
          <w:tcPr>
            <w:tcW w:w="644" w:type="dxa"/>
            <w:noWrap w:val="0"/>
            <w:vAlign w:val="center"/>
          </w:tcPr>
          <w:p>
            <w:pPr>
              <w:kinsoku/>
              <w:overflowPunct/>
              <w:topLinePunct w:val="0"/>
              <w:bidi w:val="0"/>
              <w:spacing w:line="300" w:lineRule="auto"/>
              <w:jc w:val="center"/>
              <w:rPr>
                <w:rFonts w:hint="default" w:ascii="宋体" w:hAnsi="宋体" w:eastAsia="宋体" w:cs="Arial"/>
                <w:szCs w:val="21"/>
                <w:lang w:val="en-US" w:eastAsia="zh-CN"/>
              </w:rPr>
            </w:pPr>
            <w:r>
              <w:rPr>
                <w:rFonts w:hint="eastAsia" w:ascii="宋体" w:hAnsi="宋体" w:cs="Arial"/>
                <w:szCs w:val="21"/>
                <w:lang w:val="en-US" w:eastAsia="zh-CN"/>
              </w:rPr>
              <w:t>31</w:t>
            </w:r>
          </w:p>
        </w:tc>
        <w:tc>
          <w:tcPr>
            <w:tcW w:w="1917" w:type="dxa"/>
            <w:noWrap w:val="0"/>
            <w:vAlign w:val="center"/>
          </w:tcPr>
          <w:p>
            <w:pPr>
              <w:kinsoku/>
              <w:overflowPunct/>
              <w:topLinePunct w:val="0"/>
              <w:bidi w:val="0"/>
              <w:spacing w:line="300" w:lineRule="auto"/>
              <w:rPr>
                <w:rFonts w:hint="eastAsia"/>
              </w:rPr>
            </w:pPr>
            <w:r>
              <w:rPr>
                <w:rFonts w:hint="eastAsia"/>
              </w:rPr>
              <w:t>备注</w:t>
            </w:r>
          </w:p>
        </w:tc>
        <w:tc>
          <w:tcPr>
            <w:tcW w:w="6519" w:type="dxa"/>
            <w:noWrap w:val="0"/>
            <w:vAlign w:val="center"/>
          </w:tcPr>
          <w:p>
            <w:pPr>
              <w:kinsoku/>
              <w:overflowPunct/>
              <w:topLinePunct w:val="0"/>
              <w:bidi w:val="0"/>
              <w:spacing w:line="300" w:lineRule="auto"/>
              <w:rPr>
                <w:rFonts w:hint="eastAsia"/>
              </w:rPr>
            </w:pPr>
            <w:r>
              <w:rPr>
                <w:rFonts w:hint="eastAsia"/>
              </w:rPr>
              <w:t>1、根据《浙江省政府采购供应商注册登记和诚信管理暂行办法》，中标成交的供应商，必须事先申请加入“浙江省政府采购供应商库”； 请供应商登入“浙江政府采购网”进行登记注册。</w:t>
            </w:r>
          </w:p>
          <w:p>
            <w:pPr>
              <w:kinsoku/>
              <w:overflowPunct/>
              <w:topLinePunct w:val="0"/>
              <w:bidi w:val="0"/>
              <w:spacing w:line="300" w:lineRule="auto"/>
              <w:rPr>
                <w:rFonts w:hint="eastAsia"/>
              </w:rPr>
            </w:pPr>
            <w:r>
              <w:rPr>
                <w:rFonts w:hint="eastAsia"/>
              </w:rPr>
              <w:t>2.本工程采用一般计税方法。</w:t>
            </w:r>
          </w:p>
        </w:tc>
      </w:tr>
    </w:tbl>
    <w:p>
      <w:pPr>
        <w:pStyle w:val="5"/>
        <w:kinsoku/>
        <w:overflowPunct/>
        <w:topLinePunct w:val="0"/>
        <w:bidi w:val="0"/>
        <w:spacing w:before="120" w:beforeLines="50" w:after="120" w:afterLines="50" w:line="300" w:lineRule="auto"/>
        <w:jc w:val="center"/>
        <w:rPr>
          <w:sz w:val="24"/>
          <w:szCs w:val="24"/>
        </w:rPr>
      </w:pPr>
      <w:bookmarkStart w:id="5" w:name="_Toc18624"/>
      <w:bookmarkStart w:id="6" w:name="_Toc16896"/>
      <w:r>
        <w:rPr>
          <w:rFonts w:hint="eastAsia"/>
          <w:sz w:val="24"/>
          <w:szCs w:val="24"/>
        </w:rPr>
        <w:t>（二）总   则</w:t>
      </w:r>
      <w:bookmarkEnd w:id="5"/>
      <w:bookmarkEnd w:id="6"/>
    </w:p>
    <w:p>
      <w:pPr>
        <w:numPr>
          <w:ilvl w:val="0"/>
          <w:numId w:val="10"/>
        </w:numPr>
        <w:kinsoku/>
        <w:overflowPunct/>
        <w:topLinePunct w:val="0"/>
        <w:bidi w:val="0"/>
        <w:snapToGrid w:val="0"/>
        <w:spacing w:line="300" w:lineRule="auto"/>
        <w:jc w:val="both"/>
        <w:rPr>
          <w:rFonts w:ascii="Arial" w:hAnsi="Arial"/>
          <w:b/>
          <w:sz w:val="24"/>
        </w:rPr>
      </w:pPr>
      <w:r>
        <w:rPr>
          <w:rFonts w:hint="eastAsia" w:ascii="Arial" w:hAnsi="Arial"/>
          <w:b/>
          <w:sz w:val="24"/>
        </w:rPr>
        <w:t>说明</w:t>
      </w:r>
    </w:p>
    <w:p>
      <w:pPr>
        <w:numPr>
          <w:ilvl w:val="1"/>
          <w:numId w:val="10"/>
        </w:numPr>
        <w:kinsoku/>
        <w:overflowPunct/>
        <w:topLinePunct w:val="0"/>
        <w:bidi w:val="0"/>
        <w:snapToGrid w:val="0"/>
        <w:spacing w:line="300" w:lineRule="auto"/>
        <w:jc w:val="both"/>
        <w:rPr>
          <w:rFonts w:ascii="宋体" w:hAnsi="宋体"/>
        </w:rPr>
      </w:pPr>
      <w:r>
        <w:rPr>
          <w:rFonts w:hint="eastAsia" w:ascii="宋体" w:hAnsi="宋体"/>
        </w:rPr>
        <w:t>本次竞争性磋商工作是按照《中华人民共和国政府采购法》、</w:t>
      </w:r>
      <w:r>
        <w:rPr>
          <w:rFonts w:hint="eastAsia" w:ascii="宋体" w:hAnsi="宋体" w:cs="宋体"/>
          <w:szCs w:val="21"/>
        </w:rPr>
        <w:t>《政府采购竞争性磋商采购方式管理暂行办法》、</w:t>
      </w:r>
      <w:r>
        <w:rPr>
          <w:rFonts w:hint="eastAsia" w:ascii="宋体" w:hAnsi="宋体"/>
        </w:rPr>
        <w:t>浙江省及项目所在地的有关政府采购规定，结合本项目的实际，组织和实施。</w:t>
      </w:r>
    </w:p>
    <w:p>
      <w:pPr>
        <w:numPr>
          <w:ilvl w:val="1"/>
          <w:numId w:val="10"/>
        </w:numPr>
        <w:kinsoku/>
        <w:overflowPunct/>
        <w:topLinePunct w:val="0"/>
        <w:bidi w:val="0"/>
        <w:snapToGrid w:val="0"/>
        <w:spacing w:line="300" w:lineRule="auto"/>
        <w:jc w:val="both"/>
        <w:rPr>
          <w:rFonts w:ascii="宋体" w:hAnsi="宋体"/>
        </w:rPr>
      </w:pPr>
      <w:r>
        <w:rPr>
          <w:rFonts w:hint="eastAsia" w:ascii="宋体" w:hAnsi="宋体"/>
        </w:rPr>
        <w:t>资金来源：财政资金。</w:t>
      </w:r>
    </w:p>
    <w:p>
      <w:pPr>
        <w:numPr>
          <w:ilvl w:val="1"/>
          <w:numId w:val="10"/>
        </w:numPr>
        <w:kinsoku/>
        <w:overflowPunct/>
        <w:topLinePunct w:val="0"/>
        <w:bidi w:val="0"/>
        <w:snapToGrid w:val="0"/>
        <w:spacing w:line="300" w:lineRule="auto"/>
        <w:jc w:val="both"/>
        <w:rPr>
          <w:rFonts w:ascii="宋体" w:hAnsi="宋体"/>
        </w:rPr>
      </w:pPr>
      <w:r>
        <w:rPr>
          <w:rFonts w:hint="eastAsia" w:ascii="Arial" w:hAnsi="Arial"/>
        </w:rPr>
        <w:t>工程说明</w:t>
      </w:r>
    </w:p>
    <w:p>
      <w:pPr>
        <w:kinsoku/>
        <w:overflowPunct/>
        <w:topLinePunct w:val="0"/>
        <w:bidi w:val="0"/>
        <w:snapToGrid w:val="0"/>
        <w:spacing w:line="300" w:lineRule="auto"/>
        <w:ind w:firstLine="840" w:firstLineChars="400"/>
        <w:jc w:val="both"/>
        <w:rPr>
          <w:rFonts w:ascii="宋体" w:hAnsi="宋体"/>
        </w:rPr>
      </w:pPr>
      <w:r>
        <w:rPr>
          <w:rFonts w:hint="eastAsia" w:ascii="Arial" w:hAnsi="Arial"/>
        </w:rPr>
        <w:t>工程内容</w:t>
      </w:r>
      <w:r>
        <w:rPr>
          <w:rFonts w:hint="eastAsia" w:ascii="宋体" w:hAnsi="宋体" w:cs="Arial"/>
        </w:rPr>
        <w:t>详见第三章</w:t>
      </w:r>
      <w:r>
        <w:rPr>
          <w:rFonts w:hint="eastAsia" w:ascii="宋体" w:hAnsi="宋体" w:cs="Arial"/>
          <w:lang w:eastAsia="zh-CN"/>
        </w:rPr>
        <w:t>采购</w:t>
      </w:r>
      <w:r>
        <w:rPr>
          <w:rFonts w:hint="eastAsia" w:ascii="宋体" w:hAnsi="宋体" w:cs="Arial"/>
        </w:rPr>
        <w:t>内容及要求</w:t>
      </w:r>
    </w:p>
    <w:p>
      <w:pPr>
        <w:kinsoku/>
        <w:overflowPunct/>
        <w:topLinePunct w:val="0"/>
        <w:bidi w:val="0"/>
        <w:snapToGrid w:val="0"/>
        <w:spacing w:line="300" w:lineRule="auto"/>
        <w:ind w:left="851"/>
        <w:jc w:val="both"/>
        <w:rPr>
          <w:rFonts w:ascii="宋体" w:hAnsi="宋体"/>
        </w:rPr>
      </w:pPr>
      <w:r>
        <w:rPr>
          <w:rFonts w:hint="eastAsia" w:ascii="宋体" w:hAnsi="宋体" w:cs="Arial"/>
        </w:rPr>
        <w:t>承包方式：包工包料</w:t>
      </w:r>
    </w:p>
    <w:p>
      <w:pPr>
        <w:kinsoku/>
        <w:overflowPunct/>
        <w:topLinePunct w:val="0"/>
        <w:bidi w:val="0"/>
        <w:snapToGrid w:val="0"/>
        <w:spacing w:line="300" w:lineRule="auto"/>
        <w:ind w:left="851"/>
        <w:jc w:val="both"/>
        <w:rPr>
          <w:rFonts w:ascii="宋体" w:hAnsi="宋体" w:cs="Arial"/>
        </w:rPr>
      </w:pPr>
      <w:r>
        <w:rPr>
          <w:rFonts w:hint="eastAsia" w:ascii="宋体" w:hAnsi="宋体" w:cs="Arial"/>
        </w:rPr>
        <w:t>质量要求：合格</w:t>
      </w:r>
    </w:p>
    <w:p>
      <w:pPr>
        <w:kinsoku/>
        <w:overflowPunct/>
        <w:topLinePunct w:val="0"/>
        <w:bidi w:val="0"/>
        <w:snapToGrid w:val="0"/>
        <w:spacing w:line="300" w:lineRule="auto"/>
        <w:ind w:left="851"/>
        <w:jc w:val="both"/>
        <w:rPr>
          <w:rFonts w:hint="eastAsia" w:ascii="宋体" w:hAnsi="宋体" w:cs="Arial"/>
        </w:rPr>
      </w:pPr>
      <w:r>
        <w:rPr>
          <w:rFonts w:hint="eastAsia" w:ascii="宋体" w:hAnsi="宋体" w:cs="Arial"/>
        </w:rPr>
        <w:t>工    期：</w:t>
      </w:r>
      <w:r>
        <w:rPr>
          <w:rFonts w:hint="eastAsia" w:ascii="宋体" w:hAnsi="宋体" w:cs="Arial"/>
          <w:lang w:val="en-US" w:eastAsia="zh-CN"/>
        </w:rPr>
        <w:t>90日历天</w:t>
      </w:r>
      <w:r>
        <w:rPr>
          <w:rFonts w:hint="eastAsia" w:ascii="宋体" w:hAnsi="宋体" w:cs="Arial"/>
        </w:rPr>
        <w:t>。</w:t>
      </w:r>
    </w:p>
    <w:p>
      <w:pPr>
        <w:numPr>
          <w:ilvl w:val="0"/>
          <w:numId w:val="10"/>
        </w:numPr>
        <w:kinsoku/>
        <w:overflowPunct/>
        <w:topLinePunct w:val="0"/>
        <w:bidi w:val="0"/>
        <w:snapToGrid w:val="0"/>
        <w:spacing w:line="300" w:lineRule="auto"/>
        <w:jc w:val="both"/>
        <w:rPr>
          <w:rFonts w:ascii="Arial" w:hAnsi="Arial"/>
          <w:b/>
          <w:sz w:val="24"/>
        </w:rPr>
      </w:pPr>
      <w:r>
        <w:rPr>
          <w:rFonts w:hint="eastAsia" w:ascii="Arial" w:hAnsi="Arial"/>
          <w:b/>
          <w:sz w:val="24"/>
        </w:rPr>
        <w:t>定义及解释</w:t>
      </w:r>
    </w:p>
    <w:p>
      <w:pPr>
        <w:numPr>
          <w:ilvl w:val="1"/>
          <w:numId w:val="10"/>
        </w:numPr>
        <w:kinsoku/>
        <w:overflowPunct/>
        <w:topLinePunct w:val="0"/>
        <w:bidi w:val="0"/>
        <w:snapToGrid w:val="0"/>
        <w:spacing w:line="300" w:lineRule="auto"/>
        <w:jc w:val="both"/>
        <w:rPr>
          <w:rFonts w:ascii="宋体" w:hAnsi="宋体"/>
        </w:rPr>
      </w:pPr>
      <w:r>
        <w:rPr>
          <w:rFonts w:hint="eastAsia" w:ascii="宋体" w:hAnsi="宋体"/>
        </w:rPr>
        <w:t>采购人：</w:t>
      </w:r>
      <w:r>
        <w:rPr>
          <w:rFonts w:hint="eastAsia" w:ascii="宋体" w:hAnsi="宋体"/>
          <w:szCs w:val="21"/>
        </w:rPr>
        <w:t>瑞安市公安局</w:t>
      </w:r>
      <w:r>
        <w:rPr>
          <w:rFonts w:hint="eastAsia" w:ascii="宋体" w:hAnsi="宋体"/>
        </w:rPr>
        <w:t>；</w:t>
      </w:r>
      <w:r>
        <w:rPr>
          <w:rFonts w:hint="eastAsia" w:ascii="宋体" w:hAnsi="宋体"/>
          <w:lang w:val="en-US" w:eastAsia="zh-CN"/>
        </w:rPr>
        <w:t xml:space="preserve"> </w:t>
      </w:r>
    </w:p>
    <w:p>
      <w:pPr>
        <w:numPr>
          <w:ilvl w:val="1"/>
          <w:numId w:val="10"/>
        </w:numPr>
        <w:kinsoku/>
        <w:overflowPunct/>
        <w:topLinePunct w:val="0"/>
        <w:bidi w:val="0"/>
        <w:snapToGrid w:val="0"/>
        <w:spacing w:line="300" w:lineRule="auto"/>
        <w:jc w:val="both"/>
        <w:rPr>
          <w:rFonts w:ascii="宋体" w:hAnsi="宋体"/>
        </w:rPr>
      </w:pPr>
      <w:r>
        <w:rPr>
          <w:rFonts w:hint="eastAsia" w:ascii="宋体" w:hAnsi="宋体"/>
        </w:rPr>
        <w:t>采购代理机构：浙江瑞扬工程咨询招标代理股份有限公司；</w:t>
      </w:r>
    </w:p>
    <w:p>
      <w:pPr>
        <w:numPr>
          <w:ilvl w:val="1"/>
          <w:numId w:val="10"/>
        </w:numPr>
        <w:kinsoku/>
        <w:overflowPunct/>
        <w:topLinePunct w:val="0"/>
        <w:bidi w:val="0"/>
        <w:snapToGrid w:val="0"/>
        <w:spacing w:line="300" w:lineRule="auto"/>
        <w:jc w:val="both"/>
        <w:rPr>
          <w:rFonts w:ascii="Arial" w:hAnsi="Arial" w:cs="Arial"/>
        </w:rPr>
      </w:pPr>
      <w:r>
        <w:rPr>
          <w:rFonts w:hint="eastAsia" w:ascii="Arial" w:hAnsi="Arial"/>
        </w:rPr>
        <w:t>磋商供应商：磋商供应商是响应采购、参加磋商竞争的依法成立的供应商；</w:t>
      </w:r>
    </w:p>
    <w:p>
      <w:pPr>
        <w:numPr>
          <w:ilvl w:val="1"/>
          <w:numId w:val="10"/>
        </w:numPr>
        <w:kinsoku/>
        <w:overflowPunct/>
        <w:topLinePunct w:val="0"/>
        <w:bidi w:val="0"/>
        <w:snapToGrid w:val="0"/>
        <w:spacing w:line="300" w:lineRule="auto"/>
        <w:jc w:val="both"/>
        <w:rPr>
          <w:rFonts w:ascii="Arial" w:hAnsi="Arial" w:cs="Arial"/>
        </w:rPr>
      </w:pPr>
      <w:r>
        <w:rPr>
          <w:rFonts w:hint="eastAsia" w:ascii="Arial" w:hAnsi="Arial" w:cs="Arial"/>
        </w:rPr>
        <w:t>成交供应商：系指在本次竞争性磋商中成交的磋商供应商；</w:t>
      </w:r>
    </w:p>
    <w:p>
      <w:pPr>
        <w:numPr>
          <w:ilvl w:val="1"/>
          <w:numId w:val="10"/>
        </w:numPr>
        <w:kinsoku/>
        <w:overflowPunct/>
        <w:topLinePunct w:val="0"/>
        <w:bidi w:val="0"/>
        <w:snapToGrid w:val="0"/>
        <w:spacing w:line="300" w:lineRule="auto"/>
        <w:jc w:val="both"/>
        <w:rPr>
          <w:rFonts w:ascii="Arial" w:hAnsi="Arial" w:cs="Arial"/>
        </w:rPr>
      </w:pPr>
      <w:r>
        <w:rPr>
          <w:rFonts w:hint="eastAsia" w:ascii="Arial" w:hAnsi="Arial" w:cs="Arial"/>
        </w:rPr>
        <w:t>磋商小组：磋商小组是依《政府采购法》、《政府采购竞争性磋商采购方式管理暂行办法》组建的专门负责采购评审工作的临时性机构；</w:t>
      </w:r>
    </w:p>
    <w:p>
      <w:pPr>
        <w:numPr>
          <w:ilvl w:val="1"/>
          <w:numId w:val="10"/>
        </w:numPr>
        <w:kinsoku/>
        <w:overflowPunct/>
        <w:topLinePunct w:val="0"/>
        <w:bidi w:val="0"/>
        <w:snapToGrid w:val="0"/>
        <w:spacing w:line="300" w:lineRule="auto"/>
        <w:jc w:val="both"/>
        <w:rPr>
          <w:rFonts w:ascii="Arial" w:hAnsi="Arial" w:cs="Arial"/>
        </w:rPr>
      </w:pPr>
      <w:r>
        <w:rPr>
          <w:rFonts w:hint="eastAsia" w:ascii="Arial" w:hAnsi="Arial" w:cs="Arial"/>
        </w:rPr>
        <w:t>日期：指公历日；</w:t>
      </w:r>
    </w:p>
    <w:p>
      <w:pPr>
        <w:numPr>
          <w:ilvl w:val="1"/>
          <w:numId w:val="10"/>
        </w:numPr>
        <w:kinsoku/>
        <w:overflowPunct/>
        <w:topLinePunct w:val="0"/>
        <w:bidi w:val="0"/>
        <w:snapToGrid w:val="0"/>
        <w:spacing w:line="300" w:lineRule="auto"/>
        <w:jc w:val="both"/>
        <w:rPr>
          <w:rFonts w:ascii="Arial" w:hAnsi="Arial" w:cs="Arial"/>
        </w:rPr>
      </w:pPr>
      <w:r>
        <w:rPr>
          <w:rFonts w:hint="eastAsia" w:ascii="Arial" w:hAnsi="Arial" w:cs="Arial"/>
        </w:rPr>
        <w:t>合同：指由采购所产生的合同或合约文件。</w:t>
      </w:r>
    </w:p>
    <w:p>
      <w:pPr>
        <w:numPr>
          <w:ilvl w:val="1"/>
          <w:numId w:val="10"/>
        </w:numPr>
        <w:kinsoku/>
        <w:overflowPunct/>
        <w:topLinePunct w:val="0"/>
        <w:bidi w:val="0"/>
        <w:snapToGrid w:val="0"/>
        <w:spacing w:line="300" w:lineRule="auto"/>
        <w:jc w:val="both"/>
        <w:rPr>
          <w:rFonts w:ascii="Arial" w:hAnsi="Arial" w:cs="Arial"/>
        </w:rPr>
      </w:pPr>
      <w:r>
        <w:rPr>
          <w:rFonts w:hint="eastAsia" w:ascii="Arial" w:hAnsi="Arial" w:cs="Arial"/>
        </w:rPr>
        <w:t>“书面形式”是指任何手写的、打印的或印刷的文件，包括电报和传真发送</w:t>
      </w:r>
      <w:r>
        <w:rPr>
          <w:rFonts w:hint="eastAsia" w:ascii="Arial" w:hAnsi="Arial"/>
        </w:rPr>
        <w:t>。</w:t>
      </w:r>
    </w:p>
    <w:p>
      <w:pPr>
        <w:numPr>
          <w:ilvl w:val="0"/>
          <w:numId w:val="10"/>
        </w:numPr>
        <w:kinsoku/>
        <w:overflowPunct/>
        <w:topLinePunct w:val="0"/>
        <w:bidi w:val="0"/>
        <w:snapToGrid w:val="0"/>
        <w:spacing w:line="300" w:lineRule="auto"/>
        <w:jc w:val="both"/>
        <w:rPr>
          <w:rFonts w:ascii="Arial" w:hAnsi="Arial"/>
          <w:b/>
          <w:sz w:val="24"/>
        </w:rPr>
      </w:pPr>
      <w:r>
        <w:rPr>
          <w:rFonts w:hint="eastAsia" w:ascii="Arial" w:hAnsi="Arial"/>
          <w:b/>
          <w:sz w:val="24"/>
        </w:rPr>
        <w:t>合格的磋商供应商</w:t>
      </w:r>
    </w:p>
    <w:p>
      <w:pPr>
        <w:numPr>
          <w:ilvl w:val="1"/>
          <w:numId w:val="10"/>
        </w:numPr>
        <w:kinsoku/>
        <w:overflowPunct/>
        <w:topLinePunct w:val="0"/>
        <w:bidi w:val="0"/>
        <w:snapToGrid w:val="0"/>
        <w:spacing w:line="300" w:lineRule="auto"/>
        <w:jc w:val="both"/>
        <w:rPr>
          <w:rFonts w:hint="eastAsia"/>
        </w:rPr>
      </w:pPr>
      <w:r>
        <w:rPr>
          <w:rFonts w:hint="eastAsia"/>
        </w:rPr>
        <w:t>符合《中华人民共和国政府采购法》第二十二条的要求；</w:t>
      </w:r>
    </w:p>
    <w:p>
      <w:pPr>
        <w:numPr>
          <w:ilvl w:val="1"/>
          <w:numId w:val="10"/>
        </w:numPr>
        <w:kinsoku/>
        <w:overflowPunct/>
        <w:topLinePunct w:val="0"/>
        <w:bidi w:val="0"/>
        <w:snapToGrid w:val="0"/>
        <w:spacing w:line="300" w:lineRule="auto"/>
        <w:jc w:val="both"/>
        <w:rPr>
          <w:rFonts w:hint="eastAsia"/>
        </w:rPr>
      </w:pPr>
      <w:r>
        <w:rPr>
          <w:rFonts w:hint="eastAsia"/>
          <w:lang w:eastAsia="zh-CN"/>
        </w:rPr>
        <w:t>具备电子与智能化工程专业承包（2014版）二级及以上资质</w:t>
      </w:r>
      <w:r>
        <w:rPr>
          <w:rFonts w:hint="eastAsia"/>
        </w:rPr>
        <w:t>；</w:t>
      </w:r>
    </w:p>
    <w:p>
      <w:pPr>
        <w:numPr>
          <w:ilvl w:val="1"/>
          <w:numId w:val="10"/>
        </w:numPr>
        <w:kinsoku/>
        <w:overflowPunct/>
        <w:topLinePunct w:val="0"/>
        <w:bidi w:val="0"/>
        <w:snapToGrid w:val="0"/>
        <w:spacing w:line="300" w:lineRule="auto"/>
        <w:jc w:val="both"/>
        <w:rPr>
          <w:rFonts w:hint="eastAsia"/>
        </w:rPr>
      </w:pPr>
      <w:r>
        <w:rPr>
          <w:rFonts w:hint="eastAsia"/>
          <w:lang w:eastAsia="zh-CN"/>
        </w:rPr>
        <w:t>项目负责人需具备注册建造师机电工程二级及以上资格</w:t>
      </w:r>
      <w:r>
        <w:rPr>
          <w:rFonts w:hint="eastAsia"/>
        </w:rPr>
        <w:t>；</w:t>
      </w:r>
    </w:p>
    <w:p>
      <w:pPr>
        <w:numPr>
          <w:ilvl w:val="1"/>
          <w:numId w:val="10"/>
        </w:numPr>
        <w:kinsoku/>
        <w:overflowPunct/>
        <w:topLinePunct w:val="0"/>
        <w:bidi w:val="0"/>
        <w:snapToGrid w:val="0"/>
        <w:spacing w:line="300" w:lineRule="auto"/>
        <w:jc w:val="both"/>
        <w:rPr>
          <w:rFonts w:hint="eastAsia" w:ascii="宋体" w:hAnsi="宋体" w:cs="宋体"/>
        </w:rPr>
      </w:pPr>
      <w:r>
        <w:rPr>
          <w:rFonts w:hint="eastAsia"/>
        </w:rPr>
        <w:t>不接受联合体投标。</w:t>
      </w:r>
    </w:p>
    <w:p>
      <w:pPr>
        <w:numPr>
          <w:ilvl w:val="0"/>
          <w:numId w:val="10"/>
        </w:numPr>
        <w:kinsoku/>
        <w:overflowPunct/>
        <w:topLinePunct w:val="0"/>
        <w:bidi w:val="0"/>
        <w:snapToGrid w:val="0"/>
        <w:spacing w:line="300" w:lineRule="auto"/>
        <w:jc w:val="both"/>
        <w:rPr>
          <w:rFonts w:ascii="Arial" w:hAnsi="Arial"/>
          <w:b/>
          <w:sz w:val="24"/>
        </w:rPr>
      </w:pPr>
      <w:r>
        <w:rPr>
          <w:rFonts w:hint="eastAsia" w:ascii="Arial" w:hAnsi="Arial"/>
          <w:b/>
          <w:sz w:val="24"/>
        </w:rPr>
        <w:t>信用</w:t>
      </w:r>
      <w:r>
        <w:rPr>
          <w:rFonts w:ascii="Arial" w:hAnsi="Arial"/>
          <w:b/>
          <w:sz w:val="24"/>
        </w:rPr>
        <w:t>记录：</w:t>
      </w:r>
    </w:p>
    <w:p>
      <w:pPr>
        <w:numPr>
          <w:ilvl w:val="1"/>
          <w:numId w:val="10"/>
        </w:numPr>
        <w:kinsoku/>
        <w:overflowPunct/>
        <w:topLinePunct w:val="0"/>
        <w:bidi w:val="0"/>
        <w:snapToGrid w:val="0"/>
        <w:spacing w:line="300" w:lineRule="auto"/>
        <w:jc w:val="both"/>
      </w:pPr>
      <w:r>
        <w:rPr>
          <w:rFonts w:hint="eastAsia"/>
        </w:rPr>
        <w:t>信用信息查询的截止时点：</w:t>
      </w:r>
      <w:r>
        <w:rPr>
          <w:rFonts w:hint="eastAsia"/>
          <w:lang w:eastAsia="zh-CN"/>
        </w:rPr>
        <w:t>磋商</w:t>
      </w:r>
      <w:r>
        <w:rPr>
          <w:rFonts w:hint="eastAsia"/>
        </w:rPr>
        <w:t>截止时间前。</w:t>
      </w:r>
    </w:p>
    <w:p>
      <w:pPr>
        <w:numPr>
          <w:ilvl w:val="1"/>
          <w:numId w:val="10"/>
        </w:numPr>
        <w:kinsoku/>
        <w:overflowPunct/>
        <w:topLinePunct w:val="0"/>
        <w:bidi w:val="0"/>
        <w:snapToGrid w:val="0"/>
        <w:spacing w:line="300" w:lineRule="auto"/>
        <w:jc w:val="both"/>
      </w:pPr>
      <w:r>
        <w:rPr>
          <w:rFonts w:hint="eastAsia" w:ascii="宋体" w:hAnsi="宋体"/>
          <w:szCs w:val="21"/>
        </w:rPr>
        <w:t>查询渠道与留存方式：招标采购单位登录“信用中国”（www.creditchina.gov.cn）、“中国政府采购网”（www.ccgp.gov.cn）网站查询各</w:t>
      </w:r>
      <w:r>
        <w:rPr>
          <w:rFonts w:hint="eastAsia" w:ascii="宋体" w:hAnsi="宋体"/>
          <w:szCs w:val="21"/>
          <w:lang w:eastAsia="zh-CN"/>
        </w:rPr>
        <w:t>磋商供应商</w:t>
      </w:r>
      <w:r>
        <w:rPr>
          <w:rFonts w:hint="eastAsia" w:ascii="宋体" w:hAnsi="宋体"/>
          <w:szCs w:val="21"/>
        </w:rPr>
        <w:t>信用记录，网页截图并打印存档。</w:t>
      </w:r>
    </w:p>
    <w:p>
      <w:pPr>
        <w:numPr>
          <w:ilvl w:val="1"/>
          <w:numId w:val="10"/>
        </w:numPr>
        <w:kinsoku/>
        <w:overflowPunct/>
        <w:topLinePunct w:val="0"/>
        <w:bidi w:val="0"/>
        <w:snapToGrid w:val="0"/>
        <w:spacing w:line="300" w:lineRule="auto"/>
        <w:jc w:val="both"/>
        <w:rPr>
          <w:rFonts w:ascii="宋体" w:hAnsi="宋体"/>
        </w:rPr>
      </w:pPr>
      <w:r>
        <w:rPr>
          <w:rFonts w:hint="eastAsia" w:ascii="宋体" w:hAnsi="宋体"/>
          <w:szCs w:val="21"/>
        </w:rPr>
        <w:t>不良信用记录指：被列入失信被执行人、重大税收违法案件当事人名单、政府采购严重违法失信行为记录名单及其他</w:t>
      </w:r>
      <w:r>
        <w:rPr>
          <w:rFonts w:hint="eastAsia" w:ascii="Arial" w:hAnsi="Arial"/>
        </w:rPr>
        <w:t>不符合《中华人民共和国政府采购法》第二十二条规定条件。存在不良信用记录的</w:t>
      </w:r>
      <w:r>
        <w:rPr>
          <w:rFonts w:hint="eastAsia" w:ascii="Arial" w:hAnsi="Arial"/>
          <w:lang w:eastAsia="zh-CN"/>
        </w:rPr>
        <w:t>磋商供应商</w:t>
      </w:r>
      <w:r>
        <w:rPr>
          <w:rFonts w:hint="eastAsia" w:ascii="Arial" w:hAnsi="Arial"/>
        </w:rPr>
        <w:t>，将被拒绝参与政府采购活动。</w:t>
      </w:r>
    </w:p>
    <w:p>
      <w:pPr>
        <w:numPr>
          <w:ilvl w:val="1"/>
          <w:numId w:val="10"/>
        </w:numPr>
        <w:kinsoku/>
        <w:overflowPunct/>
        <w:topLinePunct w:val="0"/>
        <w:bidi w:val="0"/>
        <w:snapToGrid w:val="0"/>
        <w:spacing w:line="300" w:lineRule="auto"/>
        <w:jc w:val="both"/>
        <w:rPr>
          <w:rFonts w:ascii="宋体" w:hAnsi="宋体"/>
        </w:rPr>
      </w:pPr>
      <w:r>
        <w:rPr>
          <w:rFonts w:hint="eastAsia" w:ascii="Arial" w:hAnsi="Arial"/>
        </w:rPr>
        <w:t>联合体</w:t>
      </w:r>
      <w:r>
        <w:rPr>
          <w:rFonts w:hint="eastAsia" w:ascii="Arial" w:hAnsi="Arial"/>
          <w:lang w:eastAsia="zh-CN"/>
        </w:rPr>
        <w:t>磋商</w:t>
      </w:r>
      <w:r>
        <w:rPr>
          <w:rFonts w:hint="eastAsia" w:ascii="Arial" w:hAnsi="Arial"/>
        </w:rPr>
        <w:t>时，招标采购单位将对所有联合体成员进行信用记录查询，联合体成员存在不良信用记录的，视同联合体存在不良信用记录。</w:t>
      </w:r>
    </w:p>
    <w:p>
      <w:pPr>
        <w:numPr>
          <w:ilvl w:val="0"/>
          <w:numId w:val="10"/>
        </w:numPr>
        <w:kinsoku/>
        <w:overflowPunct/>
        <w:topLinePunct w:val="0"/>
        <w:bidi w:val="0"/>
        <w:spacing w:line="300" w:lineRule="auto"/>
        <w:rPr>
          <w:rFonts w:ascii="Arial" w:hAnsi="Arial"/>
          <w:b/>
          <w:sz w:val="24"/>
        </w:rPr>
      </w:pPr>
      <w:r>
        <w:rPr>
          <w:rFonts w:hint="eastAsia" w:ascii="Arial" w:hAnsi="Arial"/>
          <w:b/>
          <w:sz w:val="24"/>
        </w:rPr>
        <w:t>保密与披露事项</w:t>
      </w:r>
    </w:p>
    <w:p>
      <w:pPr>
        <w:numPr>
          <w:ilvl w:val="1"/>
          <w:numId w:val="10"/>
        </w:numPr>
        <w:kinsoku/>
        <w:overflowPunct/>
        <w:topLinePunct w:val="0"/>
        <w:bidi w:val="0"/>
        <w:spacing w:line="300" w:lineRule="auto"/>
        <w:rPr>
          <w:rFonts w:ascii="Arial" w:hAnsi="Arial"/>
        </w:rPr>
      </w:pPr>
      <w:r>
        <w:rPr>
          <w:rFonts w:hint="eastAsia" w:ascii="Arial" w:hAnsi="Arial"/>
        </w:rPr>
        <w:t>磋商供应商不得串通，以不正当的手段妨碍排挤其他磋商供应商，扰乱市场，破坏公平竞争原则。</w:t>
      </w:r>
    </w:p>
    <w:p>
      <w:pPr>
        <w:numPr>
          <w:ilvl w:val="1"/>
          <w:numId w:val="10"/>
        </w:numPr>
        <w:kinsoku/>
        <w:overflowPunct/>
        <w:topLinePunct w:val="0"/>
        <w:bidi w:val="0"/>
        <w:spacing w:line="300" w:lineRule="auto"/>
        <w:jc w:val="both"/>
        <w:rPr>
          <w:rFonts w:ascii="Arial" w:hAnsi="Arial"/>
        </w:rPr>
      </w:pPr>
      <w:r>
        <w:rPr>
          <w:rFonts w:hint="eastAsia" w:ascii="宋体" w:hAnsi="宋体"/>
        </w:rPr>
        <w:t>磋商供应商自购买磋商文件之日起，须承诺承担本竞争性磋商项目下保密义务，不得将因本次竞争性磋商获得的信息向第三方外传</w:t>
      </w:r>
      <w:r>
        <w:rPr>
          <w:rFonts w:ascii="宋体" w:hAnsi="宋体"/>
        </w:rPr>
        <w:t>。</w:t>
      </w:r>
    </w:p>
    <w:p>
      <w:pPr>
        <w:numPr>
          <w:ilvl w:val="1"/>
          <w:numId w:val="10"/>
        </w:numPr>
        <w:kinsoku/>
        <w:overflowPunct/>
        <w:topLinePunct w:val="0"/>
        <w:bidi w:val="0"/>
        <w:spacing w:line="300" w:lineRule="auto"/>
        <w:jc w:val="both"/>
        <w:rPr>
          <w:rFonts w:ascii="Arial" w:hAnsi="Arial"/>
        </w:rPr>
      </w:pPr>
      <w:r>
        <w:rPr>
          <w:rFonts w:hint="eastAsia" w:ascii="宋体" w:hAnsi="宋体"/>
        </w:rPr>
        <w:t>采购机构有权将磋商供应商提供的所有资料向其他政府部门或有关的非政府机构负责评审标书的人员或与评标有关的人员披露</w:t>
      </w:r>
      <w:r>
        <w:rPr>
          <w:rFonts w:ascii="宋体" w:hAnsi="宋体"/>
        </w:rPr>
        <w:t>。</w:t>
      </w:r>
    </w:p>
    <w:p>
      <w:pPr>
        <w:numPr>
          <w:ilvl w:val="1"/>
          <w:numId w:val="10"/>
        </w:numPr>
        <w:kinsoku/>
        <w:overflowPunct/>
        <w:topLinePunct w:val="0"/>
        <w:bidi w:val="0"/>
        <w:spacing w:line="300" w:lineRule="auto"/>
        <w:jc w:val="both"/>
        <w:rPr>
          <w:rFonts w:ascii="Arial" w:hAnsi="Arial"/>
          <w:sz w:val="24"/>
        </w:rPr>
      </w:pPr>
      <w:r>
        <w:rPr>
          <w:rFonts w:hint="eastAsia" w:ascii="宋体" w:hAnsi="宋体"/>
        </w:rPr>
        <w:t>采购机构有权在认为适当时，或在任何第三者提出要求（书面或其他方式）时，无须事先征求成交供应商同意而披露关于已订立合约的资料、成交供应商的名称及地址、成交服务的有关信息以及合约条款等</w:t>
      </w:r>
      <w:r>
        <w:rPr>
          <w:rFonts w:ascii="宋体" w:hAnsi="宋体"/>
        </w:rPr>
        <w:t>。</w:t>
      </w:r>
    </w:p>
    <w:p>
      <w:pPr>
        <w:numPr>
          <w:ilvl w:val="0"/>
          <w:numId w:val="10"/>
        </w:numPr>
        <w:kinsoku/>
        <w:overflowPunct/>
        <w:topLinePunct w:val="0"/>
        <w:bidi w:val="0"/>
        <w:spacing w:line="300" w:lineRule="auto"/>
        <w:rPr>
          <w:rFonts w:ascii="Arial" w:hAnsi="Arial"/>
          <w:b/>
          <w:sz w:val="24"/>
        </w:rPr>
      </w:pPr>
      <w:r>
        <w:rPr>
          <w:rFonts w:hint="eastAsia" w:ascii="Arial" w:hAnsi="Arial"/>
          <w:b/>
          <w:sz w:val="24"/>
        </w:rPr>
        <w:t>磋商费用</w:t>
      </w:r>
    </w:p>
    <w:p>
      <w:pPr>
        <w:numPr>
          <w:ilvl w:val="1"/>
          <w:numId w:val="10"/>
        </w:numPr>
        <w:kinsoku/>
        <w:overflowPunct/>
        <w:topLinePunct w:val="0"/>
        <w:bidi w:val="0"/>
        <w:spacing w:line="300" w:lineRule="auto"/>
        <w:rPr>
          <w:rFonts w:ascii="Arial" w:hAnsi="Arial"/>
        </w:rPr>
      </w:pPr>
      <w:r>
        <w:rPr>
          <w:rFonts w:hint="eastAsia" w:ascii="Arial" w:hAnsi="Arial"/>
        </w:rPr>
        <w:t>磋商供应商应承担所有与编写和提交磋商响应文件有关的费用，不论磋商的结果如何，采购代理机构和采购人在任何情况下均无义务和责任承担这些费用。</w:t>
      </w:r>
    </w:p>
    <w:p>
      <w:pPr>
        <w:numPr>
          <w:ilvl w:val="0"/>
          <w:numId w:val="10"/>
        </w:numPr>
        <w:kinsoku/>
        <w:overflowPunct/>
        <w:topLinePunct w:val="0"/>
        <w:bidi w:val="0"/>
        <w:spacing w:line="300" w:lineRule="auto"/>
        <w:rPr>
          <w:rFonts w:ascii="Arial" w:hAnsi="Arial"/>
        </w:rPr>
      </w:pPr>
      <w:r>
        <w:rPr>
          <w:rFonts w:hint="eastAsia" w:ascii="Arial" w:hAnsi="Arial"/>
          <w:b/>
          <w:sz w:val="24"/>
        </w:rPr>
        <w:t>现场踏勘：</w:t>
      </w:r>
      <w:r>
        <w:rPr>
          <w:rFonts w:hint="eastAsia" w:ascii="Arial" w:hAnsi="Arial"/>
        </w:rPr>
        <w:t>自行前往</w:t>
      </w:r>
    </w:p>
    <w:p>
      <w:pPr>
        <w:numPr>
          <w:ilvl w:val="0"/>
          <w:numId w:val="10"/>
        </w:numPr>
        <w:kinsoku/>
        <w:overflowPunct/>
        <w:topLinePunct w:val="0"/>
        <w:bidi w:val="0"/>
        <w:spacing w:line="300" w:lineRule="auto"/>
        <w:rPr>
          <w:rFonts w:ascii="宋体" w:hAnsi="宋体"/>
          <w:b/>
          <w:sz w:val="24"/>
        </w:rPr>
      </w:pPr>
      <w:r>
        <w:rPr>
          <w:rFonts w:hint="eastAsia" w:ascii="宋体" w:hAnsi="宋体"/>
          <w:b/>
          <w:sz w:val="24"/>
        </w:rPr>
        <w:t>磋商委托</w:t>
      </w:r>
    </w:p>
    <w:p>
      <w:pPr>
        <w:numPr>
          <w:ilvl w:val="1"/>
          <w:numId w:val="10"/>
        </w:numPr>
        <w:kinsoku/>
        <w:overflowPunct/>
        <w:topLinePunct w:val="0"/>
        <w:bidi w:val="0"/>
        <w:spacing w:line="300" w:lineRule="auto"/>
        <w:rPr>
          <w:rFonts w:ascii="宋体" w:hAnsi="宋体"/>
        </w:rPr>
      </w:pPr>
      <w:r>
        <w:rPr>
          <w:rFonts w:hint="eastAsia" w:ascii="宋体" w:hAnsi="宋体"/>
        </w:rPr>
        <w:t>如磋商供应商代表不是法定代表人，须持有《法定代表人授权委托书》。</w:t>
      </w:r>
      <w:r>
        <w:rPr>
          <w:rFonts w:hint="eastAsia" w:ascii="宋体" w:hAnsi="宋体"/>
          <w:b/>
        </w:rPr>
        <w:t>授权委托书需具备以下几项条件：</w:t>
      </w:r>
    </w:p>
    <w:p>
      <w:pPr>
        <w:kinsoku/>
        <w:overflowPunct/>
        <w:topLinePunct w:val="0"/>
        <w:bidi w:val="0"/>
        <w:spacing w:line="300" w:lineRule="auto"/>
        <w:ind w:left="840" w:leftChars="400"/>
        <w:rPr>
          <w:rFonts w:ascii="宋体" w:hAnsi="宋体"/>
        </w:rPr>
      </w:pPr>
      <w:r>
        <w:rPr>
          <w:rFonts w:hint="eastAsia" w:ascii="宋体" w:hAnsi="宋体"/>
        </w:rPr>
        <w:t>a.加盖磋商供应商公章</w:t>
      </w:r>
    </w:p>
    <w:p>
      <w:pPr>
        <w:kinsoku/>
        <w:overflowPunct/>
        <w:topLinePunct w:val="0"/>
        <w:bidi w:val="0"/>
        <w:spacing w:line="300" w:lineRule="auto"/>
        <w:ind w:left="840" w:leftChars="400"/>
        <w:rPr>
          <w:rFonts w:ascii="宋体" w:hAnsi="宋体"/>
        </w:rPr>
      </w:pPr>
      <w:r>
        <w:rPr>
          <w:rFonts w:hint="eastAsia" w:ascii="宋体" w:hAnsi="宋体"/>
        </w:rPr>
        <w:t>b.法定代表人签字或公章</w:t>
      </w:r>
    </w:p>
    <w:p>
      <w:pPr>
        <w:kinsoku/>
        <w:overflowPunct/>
        <w:topLinePunct w:val="0"/>
        <w:bidi w:val="0"/>
        <w:spacing w:line="300" w:lineRule="auto"/>
        <w:ind w:left="840" w:leftChars="400"/>
        <w:rPr>
          <w:rFonts w:ascii="宋体" w:hAnsi="宋体"/>
        </w:rPr>
      </w:pPr>
      <w:r>
        <w:rPr>
          <w:rFonts w:hint="eastAsia" w:ascii="宋体" w:hAnsi="宋体"/>
        </w:rPr>
        <w:t>c.本人身份证件复印件。</w:t>
      </w:r>
    </w:p>
    <w:p>
      <w:pPr>
        <w:pStyle w:val="5"/>
        <w:kinsoku/>
        <w:overflowPunct/>
        <w:topLinePunct w:val="0"/>
        <w:bidi w:val="0"/>
        <w:spacing w:before="120" w:beforeLines="50" w:after="120" w:afterLines="50" w:line="300" w:lineRule="auto"/>
        <w:jc w:val="center"/>
        <w:rPr>
          <w:sz w:val="24"/>
          <w:szCs w:val="24"/>
        </w:rPr>
      </w:pPr>
      <w:bookmarkStart w:id="7" w:name="_Toc24899"/>
      <w:bookmarkStart w:id="8" w:name="_Toc21256"/>
      <w:r>
        <w:rPr>
          <w:rFonts w:hint="eastAsia"/>
          <w:sz w:val="24"/>
          <w:szCs w:val="24"/>
        </w:rPr>
        <w:t>（三）磋商文件说明</w:t>
      </w:r>
      <w:bookmarkEnd w:id="7"/>
      <w:bookmarkEnd w:id="8"/>
    </w:p>
    <w:p>
      <w:pPr>
        <w:numPr>
          <w:ilvl w:val="0"/>
          <w:numId w:val="10"/>
        </w:numPr>
        <w:kinsoku/>
        <w:overflowPunct/>
        <w:topLinePunct w:val="0"/>
        <w:bidi w:val="0"/>
        <w:snapToGrid w:val="0"/>
        <w:spacing w:line="300" w:lineRule="auto"/>
        <w:jc w:val="both"/>
        <w:rPr>
          <w:rFonts w:ascii="Arial" w:hAnsi="Arial"/>
          <w:b/>
          <w:sz w:val="24"/>
        </w:rPr>
      </w:pPr>
      <w:r>
        <w:rPr>
          <w:rFonts w:hint="eastAsia" w:ascii="Arial" w:hAnsi="Arial"/>
          <w:b/>
          <w:sz w:val="24"/>
        </w:rPr>
        <w:t>磋商文件构成</w:t>
      </w:r>
    </w:p>
    <w:p>
      <w:pPr>
        <w:numPr>
          <w:ilvl w:val="1"/>
          <w:numId w:val="10"/>
        </w:numPr>
        <w:kinsoku/>
        <w:overflowPunct/>
        <w:topLinePunct w:val="0"/>
        <w:bidi w:val="0"/>
        <w:snapToGrid w:val="0"/>
        <w:spacing w:line="300" w:lineRule="auto"/>
        <w:jc w:val="both"/>
        <w:rPr>
          <w:szCs w:val="21"/>
        </w:rPr>
      </w:pPr>
      <w:r>
        <w:rPr>
          <w:rFonts w:hint="eastAsia"/>
          <w:szCs w:val="21"/>
        </w:rPr>
        <w:t>磋商文件是用以阐明所需服务，以及竞争性磋商、磋商程序和相应的合同条款。“磋商文件”由下述部分组成：</w:t>
      </w:r>
    </w:p>
    <w:p>
      <w:pPr>
        <w:kinsoku/>
        <w:overflowPunct/>
        <w:topLinePunct w:val="0"/>
        <w:bidi w:val="0"/>
        <w:snapToGrid w:val="0"/>
        <w:spacing w:line="300" w:lineRule="auto"/>
        <w:ind w:left="840" w:leftChars="400"/>
        <w:jc w:val="both"/>
        <w:rPr>
          <w:szCs w:val="21"/>
        </w:rPr>
      </w:pPr>
      <w:r>
        <w:rPr>
          <w:rFonts w:hint="eastAsia"/>
          <w:szCs w:val="21"/>
        </w:rPr>
        <w:t>第一部分  采购公告</w:t>
      </w:r>
    </w:p>
    <w:p>
      <w:pPr>
        <w:kinsoku/>
        <w:overflowPunct/>
        <w:topLinePunct w:val="0"/>
        <w:bidi w:val="0"/>
        <w:snapToGrid w:val="0"/>
        <w:spacing w:line="300" w:lineRule="auto"/>
        <w:ind w:left="840" w:leftChars="400"/>
        <w:jc w:val="both"/>
        <w:rPr>
          <w:szCs w:val="21"/>
        </w:rPr>
      </w:pPr>
      <w:r>
        <w:rPr>
          <w:rFonts w:hint="eastAsia"/>
          <w:szCs w:val="21"/>
        </w:rPr>
        <w:t>第二部分  磋商供应商须知</w:t>
      </w:r>
    </w:p>
    <w:p>
      <w:pPr>
        <w:kinsoku/>
        <w:overflowPunct/>
        <w:topLinePunct w:val="0"/>
        <w:bidi w:val="0"/>
        <w:snapToGrid w:val="0"/>
        <w:spacing w:line="300" w:lineRule="auto"/>
        <w:ind w:left="840" w:leftChars="400"/>
        <w:jc w:val="both"/>
        <w:rPr>
          <w:rFonts w:hint="eastAsia" w:ascii="Arial" w:hAnsi="Arial" w:eastAsia="宋体"/>
          <w:lang w:eastAsia="zh-CN"/>
        </w:rPr>
      </w:pPr>
      <w:r>
        <w:rPr>
          <w:rFonts w:hint="eastAsia" w:ascii="Arial" w:hAnsi="Arial"/>
        </w:rPr>
        <w:t xml:space="preserve">第三部分  </w:t>
      </w:r>
      <w:r>
        <w:rPr>
          <w:rFonts w:hint="eastAsia" w:ascii="宋体" w:hAnsi="宋体" w:cs="Arial"/>
          <w:lang w:eastAsia="zh-CN"/>
        </w:rPr>
        <w:t>采购</w:t>
      </w:r>
      <w:r>
        <w:rPr>
          <w:rFonts w:hint="eastAsia" w:ascii="宋体" w:hAnsi="宋体" w:cs="Arial"/>
        </w:rPr>
        <w:t>内容及要求</w:t>
      </w:r>
      <w:r>
        <w:rPr>
          <w:rFonts w:hint="eastAsia" w:ascii="宋体" w:hAnsi="宋体" w:cs="Arial"/>
          <w:lang w:eastAsia="zh-CN"/>
        </w:rPr>
        <w:t>（工程量清单及图纸）</w:t>
      </w:r>
    </w:p>
    <w:p>
      <w:pPr>
        <w:kinsoku/>
        <w:overflowPunct/>
        <w:topLinePunct w:val="0"/>
        <w:bidi w:val="0"/>
        <w:snapToGrid w:val="0"/>
        <w:spacing w:line="300" w:lineRule="auto"/>
        <w:ind w:left="840" w:leftChars="400"/>
        <w:jc w:val="both"/>
        <w:rPr>
          <w:szCs w:val="21"/>
        </w:rPr>
      </w:pPr>
      <w:r>
        <w:rPr>
          <w:rFonts w:hint="eastAsia"/>
          <w:szCs w:val="21"/>
        </w:rPr>
        <w:t xml:space="preserve">第四部分  </w:t>
      </w:r>
      <w:r>
        <w:rPr>
          <w:rFonts w:hint="eastAsia" w:ascii="Arial" w:hAnsi="Arial"/>
        </w:rPr>
        <w:t>合同条款及格式</w:t>
      </w:r>
    </w:p>
    <w:p>
      <w:pPr>
        <w:kinsoku/>
        <w:overflowPunct/>
        <w:topLinePunct w:val="0"/>
        <w:bidi w:val="0"/>
        <w:snapToGrid w:val="0"/>
        <w:spacing w:line="300" w:lineRule="auto"/>
        <w:ind w:left="840" w:leftChars="400"/>
        <w:jc w:val="both"/>
        <w:rPr>
          <w:szCs w:val="21"/>
        </w:rPr>
      </w:pPr>
      <w:r>
        <w:rPr>
          <w:rFonts w:hint="eastAsia"/>
          <w:szCs w:val="21"/>
        </w:rPr>
        <w:t>第五部分  磋商响应文件格式</w:t>
      </w:r>
    </w:p>
    <w:p>
      <w:pPr>
        <w:kinsoku/>
        <w:overflowPunct/>
        <w:topLinePunct w:val="0"/>
        <w:bidi w:val="0"/>
        <w:snapToGrid w:val="0"/>
        <w:spacing w:line="300" w:lineRule="auto"/>
        <w:ind w:left="840" w:leftChars="400"/>
        <w:jc w:val="both"/>
        <w:rPr>
          <w:szCs w:val="21"/>
        </w:rPr>
      </w:pPr>
      <w:r>
        <w:rPr>
          <w:rFonts w:hint="eastAsia"/>
          <w:szCs w:val="21"/>
        </w:rPr>
        <w:t>第六部分  评定办法</w:t>
      </w:r>
    </w:p>
    <w:p>
      <w:pPr>
        <w:kinsoku/>
        <w:overflowPunct/>
        <w:topLinePunct w:val="0"/>
        <w:bidi w:val="0"/>
        <w:snapToGrid w:val="0"/>
        <w:spacing w:line="300" w:lineRule="auto"/>
        <w:ind w:left="840" w:leftChars="400"/>
        <w:jc w:val="both"/>
        <w:rPr>
          <w:szCs w:val="21"/>
        </w:rPr>
      </w:pPr>
      <w:r>
        <w:rPr>
          <w:rFonts w:hint="eastAsia"/>
          <w:szCs w:val="21"/>
        </w:rPr>
        <w:t xml:space="preserve">第七部分  </w:t>
      </w:r>
      <w:r>
        <w:rPr>
          <w:rFonts w:hint="eastAsia"/>
          <w:szCs w:val="21"/>
          <w:highlight w:val="none"/>
        </w:rPr>
        <w:t>技术标准和要求</w:t>
      </w:r>
    </w:p>
    <w:p>
      <w:pPr>
        <w:kinsoku/>
        <w:overflowPunct/>
        <w:topLinePunct w:val="0"/>
        <w:bidi w:val="0"/>
        <w:snapToGrid w:val="0"/>
        <w:spacing w:line="300" w:lineRule="auto"/>
        <w:ind w:left="840" w:leftChars="400"/>
        <w:jc w:val="both"/>
        <w:rPr>
          <w:szCs w:val="21"/>
        </w:rPr>
      </w:pPr>
      <w:r>
        <w:rPr>
          <w:rFonts w:hint="eastAsia"/>
          <w:szCs w:val="21"/>
        </w:rPr>
        <w:t>第八部分  补充通知及答疑（若有）</w:t>
      </w:r>
    </w:p>
    <w:p>
      <w:pPr>
        <w:numPr>
          <w:ilvl w:val="1"/>
          <w:numId w:val="10"/>
        </w:numPr>
        <w:kinsoku/>
        <w:overflowPunct/>
        <w:topLinePunct w:val="0"/>
        <w:bidi w:val="0"/>
        <w:snapToGrid w:val="0"/>
        <w:spacing w:line="300" w:lineRule="auto"/>
        <w:jc w:val="both"/>
        <w:rPr>
          <w:szCs w:val="21"/>
        </w:rPr>
      </w:pPr>
      <w:r>
        <w:rPr>
          <w:rFonts w:hint="eastAsia"/>
          <w:szCs w:val="21"/>
        </w:rPr>
        <w:t>本磋商文件要求磋商供应商作出实质性响应的有关技术和商务条款，将在该条款前以“▲” 醒目标识。</w:t>
      </w:r>
    </w:p>
    <w:p>
      <w:pPr>
        <w:numPr>
          <w:ilvl w:val="0"/>
          <w:numId w:val="10"/>
        </w:numPr>
        <w:kinsoku/>
        <w:overflowPunct/>
        <w:topLinePunct w:val="0"/>
        <w:bidi w:val="0"/>
        <w:snapToGrid w:val="0"/>
        <w:spacing w:line="300" w:lineRule="auto"/>
        <w:jc w:val="both"/>
        <w:rPr>
          <w:rFonts w:ascii="Arial" w:hAnsi="Arial"/>
          <w:b/>
          <w:sz w:val="24"/>
        </w:rPr>
      </w:pPr>
      <w:r>
        <w:rPr>
          <w:rFonts w:hint="eastAsia" w:ascii="Arial" w:hAnsi="Arial"/>
          <w:b/>
          <w:sz w:val="24"/>
        </w:rPr>
        <w:t>磋商文件的澄清</w:t>
      </w:r>
    </w:p>
    <w:p>
      <w:pPr>
        <w:numPr>
          <w:ilvl w:val="1"/>
          <w:numId w:val="10"/>
        </w:numPr>
        <w:kinsoku/>
        <w:overflowPunct/>
        <w:topLinePunct w:val="0"/>
        <w:bidi w:val="0"/>
        <w:snapToGrid w:val="0"/>
        <w:spacing w:line="300" w:lineRule="auto"/>
        <w:jc w:val="both"/>
        <w:rPr>
          <w:rFonts w:ascii="Arial" w:hAnsi="Arial"/>
        </w:rPr>
      </w:pPr>
      <w:r>
        <w:rPr>
          <w:rFonts w:hint="eastAsia" w:ascii="Arial" w:hAnsi="Arial" w:cs="Arial"/>
        </w:rPr>
        <w:t>任何要求对磋商文件进行澄清的磋商供应商，均应在答疑截止期规定时间以前以书面形式传真或寄送给采购代理机构。</w:t>
      </w:r>
    </w:p>
    <w:p>
      <w:pPr>
        <w:numPr>
          <w:ilvl w:val="1"/>
          <w:numId w:val="10"/>
        </w:numPr>
        <w:kinsoku/>
        <w:overflowPunct/>
        <w:topLinePunct w:val="0"/>
        <w:bidi w:val="0"/>
        <w:snapToGrid w:val="0"/>
        <w:spacing w:line="300" w:lineRule="auto"/>
        <w:jc w:val="both"/>
        <w:rPr>
          <w:rFonts w:ascii="Arial" w:hAnsi="Arial"/>
        </w:rPr>
      </w:pPr>
      <w:r>
        <w:rPr>
          <w:rFonts w:hint="eastAsia" w:ascii="Arial" w:hAnsi="Arial"/>
        </w:rPr>
        <w:t>采购代理机构对已发出的磋商文件进行必要澄清或者修改的，将提交首次响应文件截止时间5日前在“温州市公共资源交易网瑞安市分网”和“浙江省政府采购网”上发布更正公告。</w:t>
      </w:r>
      <w:r>
        <w:rPr>
          <w:rFonts w:hint="eastAsia" w:ascii="Arial" w:hAnsi="Arial" w:cs="Arial"/>
        </w:rPr>
        <w:t>答复中包括原提出的问题，但不包括问题的来源。</w:t>
      </w:r>
      <w:r>
        <w:rPr>
          <w:rFonts w:hint="eastAsia" w:ascii="Arial" w:hAnsi="Arial"/>
        </w:rPr>
        <w:t>供应商登陆温州市公共资源交易网瑞安市分网站会员系统从“下载答疑文件处”自行下载，该澄清和修改的内容作为磋商文件的组成部分。</w:t>
      </w:r>
    </w:p>
    <w:p>
      <w:pPr>
        <w:pStyle w:val="5"/>
        <w:kinsoku/>
        <w:overflowPunct/>
        <w:topLinePunct w:val="0"/>
        <w:bidi w:val="0"/>
        <w:spacing w:before="120" w:beforeLines="50" w:after="120" w:afterLines="50" w:line="300" w:lineRule="auto"/>
        <w:jc w:val="center"/>
        <w:rPr>
          <w:sz w:val="24"/>
          <w:szCs w:val="24"/>
        </w:rPr>
      </w:pPr>
      <w:bookmarkStart w:id="9" w:name="_Toc4586"/>
      <w:bookmarkStart w:id="10" w:name="_Toc2222"/>
      <w:r>
        <w:rPr>
          <w:rFonts w:hint="eastAsia"/>
          <w:sz w:val="24"/>
          <w:szCs w:val="24"/>
        </w:rPr>
        <w:t>（四）磋商响应文件的编制</w:t>
      </w:r>
      <w:bookmarkEnd w:id="9"/>
      <w:bookmarkEnd w:id="10"/>
    </w:p>
    <w:p>
      <w:pPr>
        <w:numPr>
          <w:ilvl w:val="0"/>
          <w:numId w:val="10"/>
        </w:numPr>
        <w:kinsoku/>
        <w:overflowPunct/>
        <w:topLinePunct w:val="0"/>
        <w:bidi w:val="0"/>
        <w:snapToGrid w:val="0"/>
        <w:spacing w:line="300" w:lineRule="auto"/>
        <w:jc w:val="both"/>
        <w:rPr>
          <w:rFonts w:ascii="Arial" w:hAnsi="Arial"/>
          <w:b/>
          <w:bCs/>
          <w:sz w:val="24"/>
        </w:rPr>
      </w:pPr>
      <w:r>
        <w:rPr>
          <w:rFonts w:hint="eastAsia" w:ascii="宋体" w:hAnsi="宋体"/>
          <w:b/>
          <w:bCs/>
          <w:sz w:val="24"/>
        </w:rPr>
        <w:t>磋商响应</w:t>
      </w:r>
      <w:r>
        <w:rPr>
          <w:rFonts w:ascii="宋体" w:hAnsi="宋体"/>
          <w:b/>
          <w:bCs/>
          <w:sz w:val="24"/>
        </w:rPr>
        <w:t>文件的</w:t>
      </w:r>
      <w:r>
        <w:rPr>
          <w:rFonts w:hint="eastAsia" w:ascii="宋体" w:hAnsi="宋体"/>
          <w:b/>
          <w:bCs/>
          <w:sz w:val="24"/>
        </w:rPr>
        <w:t>说明</w:t>
      </w:r>
    </w:p>
    <w:p>
      <w:pPr>
        <w:numPr>
          <w:ilvl w:val="1"/>
          <w:numId w:val="10"/>
        </w:numPr>
        <w:kinsoku/>
        <w:overflowPunct/>
        <w:topLinePunct w:val="0"/>
        <w:bidi w:val="0"/>
        <w:snapToGrid w:val="0"/>
        <w:spacing w:line="300" w:lineRule="auto"/>
        <w:jc w:val="both"/>
        <w:rPr>
          <w:rFonts w:ascii="Arial" w:hAnsi="Arial"/>
        </w:rPr>
      </w:pPr>
      <w:r>
        <w:rPr>
          <w:rFonts w:hint="eastAsia" w:ascii="宋体" w:hAnsi="宋体"/>
        </w:rPr>
        <w:t>磋商响应</w:t>
      </w:r>
      <w:r>
        <w:rPr>
          <w:rFonts w:ascii="宋体" w:hAnsi="宋体"/>
        </w:rPr>
        <w:t>文件应字迹清楚、内容齐全、不得涂改。如有修改，修改处须有法定代表人或其</w:t>
      </w:r>
      <w:r>
        <w:rPr>
          <w:rFonts w:hint="eastAsia" w:ascii="宋体" w:hAnsi="宋体"/>
        </w:rPr>
        <w:t>同一</w:t>
      </w:r>
      <w:r>
        <w:rPr>
          <w:rFonts w:ascii="宋体" w:hAnsi="宋体"/>
        </w:rPr>
        <w:t>授权代</w:t>
      </w:r>
      <w:r>
        <w:rPr>
          <w:rFonts w:hint="eastAsia" w:ascii="宋体" w:hAnsi="宋体"/>
        </w:rPr>
        <w:t>表盖章（或签字）</w:t>
      </w:r>
      <w:r>
        <w:rPr>
          <w:rFonts w:ascii="宋体" w:hAnsi="宋体"/>
        </w:rPr>
        <w:t>。</w:t>
      </w:r>
    </w:p>
    <w:p>
      <w:pPr>
        <w:numPr>
          <w:ilvl w:val="1"/>
          <w:numId w:val="10"/>
        </w:numPr>
        <w:kinsoku/>
        <w:overflowPunct/>
        <w:topLinePunct w:val="0"/>
        <w:bidi w:val="0"/>
        <w:snapToGrid w:val="0"/>
        <w:spacing w:line="300" w:lineRule="auto"/>
        <w:jc w:val="both"/>
        <w:rPr>
          <w:rFonts w:ascii="宋体" w:hAnsi="宋体"/>
        </w:rPr>
      </w:pPr>
      <w:r>
        <w:rPr>
          <w:rFonts w:hint="eastAsia" w:ascii="宋体" w:hAnsi="宋体"/>
        </w:rPr>
        <w:t>供应商必须按磋商文件的要求提供相关技术参数、资料，包括采用的计量单位，并保证磋商响应文件的正确性和真实性，否则磋商小组将作出不利于其</w:t>
      </w:r>
      <w:r>
        <w:rPr>
          <w:rFonts w:hint="eastAsia" w:ascii="宋体" w:hAnsi="宋体"/>
          <w:lang w:eastAsia="zh-CN"/>
        </w:rPr>
        <w:t>磋商</w:t>
      </w:r>
      <w:r>
        <w:rPr>
          <w:rFonts w:hint="eastAsia" w:ascii="宋体" w:hAnsi="宋体"/>
        </w:rPr>
        <w:t>的评定。技术和商务如有偏离均应填写偏离表。不按磋商文件的要求提供的磋商响应文件可能导致无效。</w:t>
      </w:r>
    </w:p>
    <w:p>
      <w:pPr>
        <w:numPr>
          <w:ilvl w:val="0"/>
          <w:numId w:val="10"/>
        </w:numPr>
        <w:kinsoku/>
        <w:overflowPunct/>
        <w:topLinePunct w:val="0"/>
        <w:bidi w:val="0"/>
        <w:snapToGrid w:val="0"/>
        <w:spacing w:line="300" w:lineRule="auto"/>
        <w:jc w:val="both"/>
        <w:rPr>
          <w:rFonts w:ascii="宋体" w:hAnsi="宋体"/>
          <w:b/>
          <w:bCs/>
          <w:sz w:val="24"/>
        </w:rPr>
      </w:pPr>
      <w:r>
        <w:rPr>
          <w:rFonts w:hint="eastAsia" w:ascii="宋体" w:hAnsi="宋体"/>
          <w:b/>
          <w:bCs/>
          <w:sz w:val="24"/>
        </w:rPr>
        <w:t>磋商响应文件的组成</w:t>
      </w:r>
    </w:p>
    <w:p>
      <w:pPr>
        <w:numPr>
          <w:ilvl w:val="1"/>
          <w:numId w:val="10"/>
        </w:numPr>
        <w:kinsoku/>
        <w:overflowPunct/>
        <w:topLinePunct w:val="0"/>
        <w:bidi w:val="0"/>
        <w:snapToGrid w:val="0"/>
        <w:spacing w:line="300" w:lineRule="auto"/>
        <w:jc w:val="both"/>
        <w:rPr>
          <w:rFonts w:ascii="楷体_GB2312" w:eastAsia="楷体_GB2312"/>
          <w:sz w:val="24"/>
        </w:rPr>
      </w:pPr>
      <w:r>
        <w:rPr>
          <w:rFonts w:hint="eastAsia" w:ascii="Arial" w:hAnsi="Arial"/>
        </w:rPr>
        <w:t>磋商供应商编写的磋商响应文件应包括下列部分：</w:t>
      </w:r>
    </w:p>
    <w:p>
      <w:pPr>
        <w:kinsoku/>
        <w:overflowPunct/>
        <w:topLinePunct w:val="0"/>
        <w:bidi w:val="0"/>
        <w:snapToGrid w:val="0"/>
        <w:spacing w:line="300" w:lineRule="auto"/>
        <w:jc w:val="both"/>
        <w:rPr>
          <w:rFonts w:ascii="楷体_GB2312" w:eastAsia="楷体_GB2312"/>
          <w:sz w:val="24"/>
        </w:rPr>
      </w:pPr>
      <w:r>
        <w:rPr>
          <w:rFonts w:hint="eastAsia" w:ascii="宋体" w:hAnsi="宋体" w:cs="仿宋_GB2312"/>
          <w:szCs w:val="21"/>
        </w:rPr>
        <w:t xml:space="preserve">        </w:t>
      </w:r>
      <w:r>
        <w:rPr>
          <w:rFonts w:ascii="宋体" w:hAnsi="宋体" w:cs="仿宋_GB2312"/>
          <w:szCs w:val="21"/>
        </w:rPr>
        <w:t>主要包括下列内容</w:t>
      </w:r>
      <w:r>
        <w:rPr>
          <w:rFonts w:hint="eastAsia" w:ascii="Arial" w:hAnsi="Arial"/>
        </w:rPr>
        <w:t>：</w:t>
      </w:r>
    </w:p>
    <w:p>
      <w:pPr>
        <w:numPr>
          <w:ilvl w:val="0"/>
          <w:numId w:val="11"/>
        </w:numPr>
        <w:kinsoku/>
        <w:overflowPunct/>
        <w:topLinePunct w:val="0"/>
        <w:bidi w:val="0"/>
        <w:spacing w:line="300" w:lineRule="auto"/>
        <w:ind w:left="851" w:right="-115" w:rightChars="-55" w:hanging="142"/>
        <w:rPr>
          <w:rFonts w:ascii="宋体" w:hAnsi="宋体"/>
          <w:szCs w:val="21"/>
        </w:rPr>
      </w:pPr>
      <w:r>
        <w:rPr>
          <w:rFonts w:hint="eastAsia" w:ascii="宋体" w:hAnsi="宋体"/>
          <w:szCs w:val="21"/>
        </w:rPr>
        <w:t>封面；                                               （自拟）</w:t>
      </w:r>
    </w:p>
    <w:p>
      <w:pPr>
        <w:numPr>
          <w:ilvl w:val="0"/>
          <w:numId w:val="11"/>
        </w:numPr>
        <w:kinsoku/>
        <w:overflowPunct/>
        <w:topLinePunct w:val="0"/>
        <w:bidi w:val="0"/>
        <w:spacing w:line="300" w:lineRule="auto"/>
        <w:ind w:left="851" w:hanging="142"/>
        <w:rPr>
          <w:rFonts w:ascii="宋体" w:hAnsi="宋体"/>
          <w:szCs w:val="21"/>
        </w:rPr>
      </w:pPr>
      <w:r>
        <w:rPr>
          <w:rFonts w:ascii="宋体" w:hAnsi="宋体"/>
          <w:szCs w:val="21"/>
        </w:rPr>
        <w:t>法定代表人授权</w:t>
      </w:r>
      <w:r>
        <w:rPr>
          <w:rFonts w:hint="eastAsia" w:ascii="宋体" w:hAnsi="宋体"/>
          <w:szCs w:val="21"/>
        </w:rPr>
        <w:t xml:space="preserve">委托书；                           </w:t>
      </w:r>
      <w:bookmarkStart w:id="11" w:name="OLE_LINK3"/>
      <w:r>
        <w:rPr>
          <w:rFonts w:hint="eastAsia" w:ascii="宋体" w:hAnsi="宋体"/>
        </w:rPr>
        <w:t>（</w:t>
      </w:r>
      <w:r>
        <w:rPr>
          <w:rFonts w:hint="eastAsia" w:ascii="宋体" w:hAnsi="宋体"/>
          <w:szCs w:val="21"/>
        </w:rPr>
        <w:t>第五部分</w:t>
      </w:r>
      <w:r>
        <w:rPr>
          <w:rFonts w:hint="eastAsia" w:ascii="宋体" w:hAnsi="宋体"/>
        </w:rPr>
        <w:t>附件一 -1）</w:t>
      </w:r>
      <w:bookmarkEnd w:id="11"/>
    </w:p>
    <w:p>
      <w:pPr>
        <w:numPr>
          <w:ilvl w:val="0"/>
          <w:numId w:val="11"/>
        </w:numPr>
        <w:kinsoku/>
        <w:overflowPunct/>
        <w:topLinePunct w:val="0"/>
        <w:bidi w:val="0"/>
        <w:spacing w:line="300" w:lineRule="auto"/>
        <w:ind w:left="851" w:hanging="142"/>
        <w:rPr>
          <w:rFonts w:ascii="宋体" w:hAnsi="宋体"/>
          <w:szCs w:val="21"/>
        </w:rPr>
      </w:pPr>
      <w:r>
        <w:rPr>
          <w:rFonts w:hint="eastAsia" w:ascii="宋体" w:hAnsi="宋体"/>
          <w:szCs w:val="21"/>
        </w:rPr>
        <w:t xml:space="preserve">法定代表人身份证明                               </w:t>
      </w:r>
      <w:r>
        <w:rPr>
          <w:rFonts w:hint="eastAsia" w:ascii="宋体" w:hAnsi="宋体"/>
        </w:rPr>
        <w:t>（</w:t>
      </w:r>
      <w:r>
        <w:rPr>
          <w:rFonts w:hint="eastAsia" w:ascii="宋体" w:hAnsi="宋体"/>
          <w:szCs w:val="21"/>
        </w:rPr>
        <w:t>第五部分</w:t>
      </w:r>
      <w:r>
        <w:rPr>
          <w:rFonts w:hint="eastAsia" w:ascii="宋体" w:hAnsi="宋体"/>
        </w:rPr>
        <w:t>附件一 -2）</w:t>
      </w:r>
    </w:p>
    <w:p>
      <w:pPr>
        <w:numPr>
          <w:ilvl w:val="0"/>
          <w:numId w:val="11"/>
        </w:numPr>
        <w:kinsoku/>
        <w:overflowPunct/>
        <w:topLinePunct w:val="0"/>
        <w:bidi w:val="0"/>
        <w:spacing w:line="300" w:lineRule="auto"/>
        <w:ind w:left="851" w:hanging="142"/>
        <w:rPr>
          <w:rFonts w:ascii="宋体" w:hAnsi="宋体"/>
          <w:szCs w:val="21"/>
        </w:rPr>
      </w:pPr>
      <w:r>
        <w:rPr>
          <w:rFonts w:hint="eastAsia" w:ascii="宋体" w:hAnsi="宋体"/>
          <w:szCs w:val="21"/>
        </w:rPr>
        <w:t>磋商函；                                         （第五部分附件二）</w:t>
      </w:r>
    </w:p>
    <w:p>
      <w:pPr>
        <w:numPr>
          <w:ilvl w:val="0"/>
          <w:numId w:val="11"/>
        </w:numPr>
        <w:kinsoku/>
        <w:overflowPunct/>
        <w:topLinePunct w:val="0"/>
        <w:bidi w:val="0"/>
        <w:spacing w:line="300" w:lineRule="auto"/>
        <w:ind w:left="851" w:hanging="142"/>
        <w:rPr>
          <w:rFonts w:ascii="宋体" w:hAnsi="宋体"/>
          <w:szCs w:val="21"/>
        </w:rPr>
      </w:pPr>
      <w:r>
        <w:rPr>
          <w:rFonts w:hint="eastAsia" w:ascii="宋体" w:hAnsi="宋体"/>
          <w:szCs w:val="21"/>
        </w:rPr>
        <w:t>第（大写数字）轮报价一览表                       （第五部分附件三）</w:t>
      </w:r>
    </w:p>
    <w:p>
      <w:pPr>
        <w:numPr>
          <w:ilvl w:val="0"/>
          <w:numId w:val="11"/>
        </w:numPr>
        <w:kinsoku/>
        <w:overflowPunct/>
        <w:topLinePunct w:val="0"/>
        <w:bidi w:val="0"/>
        <w:spacing w:line="300" w:lineRule="auto"/>
        <w:ind w:left="630" w:firstLine="79"/>
        <w:rPr>
          <w:rFonts w:ascii="宋体" w:hAnsi="宋体"/>
          <w:szCs w:val="21"/>
        </w:rPr>
      </w:pPr>
      <w:r>
        <w:rPr>
          <w:rFonts w:hint="eastAsia" w:ascii="宋体" w:hAnsi="宋体"/>
          <w:szCs w:val="21"/>
        </w:rPr>
        <w:t>已标价工程量清单</w:t>
      </w:r>
      <w:r>
        <w:rPr>
          <w:rFonts w:hint="eastAsia" w:ascii="宋体" w:hAnsi="宋体"/>
        </w:rPr>
        <w:t xml:space="preserve">；                               </w:t>
      </w:r>
      <w:r>
        <w:rPr>
          <w:rFonts w:hint="eastAsia" w:ascii="宋体" w:hAnsi="宋体"/>
          <w:szCs w:val="21"/>
        </w:rPr>
        <w:t>（第五部分附件四）</w:t>
      </w:r>
    </w:p>
    <w:p>
      <w:pPr>
        <w:numPr>
          <w:ilvl w:val="0"/>
          <w:numId w:val="12"/>
        </w:numPr>
        <w:kinsoku/>
        <w:overflowPunct/>
        <w:topLinePunct w:val="0"/>
        <w:bidi w:val="0"/>
        <w:spacing w:line="300" w:lineRule="auto"/>
        <w:ind w:firstLine="840"/>
        <w:rPr>
          <w:rFonts w:ascii="宋体" w:hAnsi="宋体"/>
          <w:szCs w:val="21"/>
        </w:rPr>
      </w:pPr>
      <w:r>
        <w:rPr>
          <w:rFonts w:hint="eastAsia" w:ascii="宋体" w:hAnsi="宋体"/>
          <w:szCs w:val="21"/>
        </w:rPr>
        <w:t>投标总价；</w:t>
      </w:r>
    </w:p>
    <w:p>
      <w:pPr>
        <w:numPr>
          <w:ilvl w:val="0"/>
          <w:numId w:val="12"/>
        </w:numPr>
        <w:kinsoku/>
        <w:overflowPunct/>
        <w:topLinePunct w:val="0"/>
        <w:bidi w:val="0"/>
        <w:spacing w:line="300" w:lineRule="auto"/>
        <w:ind w:firstLine="840"/>
        <w:rPr>
          <w:rFonts w:hint="eastAsia" w:ascii="宋体" w:hAnsi="宋体"/>
          <w:szCs w:val="21"/>
        </w:rPr>
      </w:pPr>
      <w:r>
        <w:rPr>
          <w:rFonts w:hint="eastAsia" w:cs="仿宋_GB2312"/>
          <w:szCs w:val="21"/>
        </w:rPr>
        <w:t>总说明</w:t>
      </w:r>
      <w:r>
        <w:rPr>
          <w:rFonts w:hint="eastAsia" w:ascii="宋体" w:hAnsi="宋体"/>
          <w:szCs w:val="21"/>
        </w:rPr>
        <w:t>；</w:t>
      </w:r>
    </w:p>
    <w:p>
      <w:pPr>
        <w:numPr>
          <w:ilvl w:val="0"/>
          <w:numId w:val="12"/>
        </w:numPr>
        <w:kinsoku/>
        <w:overflowPunct/>
        <w:topLinePunct w:val="0"/>
        <w:bidi w:val="0"/>
        <w:spacing w:line="300" w:lineRule="auto"/>
        <w:ind w:firstLine="840"/>
        <w:rPr>
          <w:rFonts w:hint="eastAsia" w:ascii="宋体" w:hAnsi="宋体"/>
          <w:szCs w:val="21"/>
        </w:rPr>
      </w:pPr>
      <w:r>
        <w:rPr>
          <w:rFonts w:hint="eastAsia" w:cs="仿宋_GB2312"/>
          <w:szCs w:val="21"/>
        </w:rPr>
        <w:t>投标报价费用表</w:t>
      </w:r>
      <w:r>
        <w:rPr>
          <w:rFonts w:hint="eastAsia" w:ascii="宋体" w:hAnsi="宋体"/>
          <w:szCs w:val="21"/>
        </w:rPr>
        <w:t>；</w:t>
      </w:r>
    </w:p>
    <w:p>
      <w:pPr>
        <w:numPr>
          <w:ilvl w:val="0"/>
          <w:numId w:val="12"/>
        </w:numPr>
        <w:kinsoku/>
        <w:overflowPunct/>
        <w:topLinePunct w:val="0"/>
        <w:bidi w:val="0"/>
        <w:spacing w:line="300" w:lineRule="auto"/>
        <w:ind w:firstLine="840"/>
        <w:rPr>
          <w:rFonts w:hint="eastAsia" w:ascii="宋体" w:hAnsi="宋体"/>
          <w:szCs w:val="21"/>
        </w:rPr>
      </w:pPr>
      <w:r>
        <w:rPr>
          <w:rFonts w:hint="eastAsia" w:cs="仿宋_GB2312"/>
          <w:szCs w:val="21"/>
        </w:rPr>
        <w:t>单位（专业）工程投标报价费用表</w:t>
      </w:r>
      <w:r>
        <w:rPr>
          <w:rFonts w:hint="eastAsia" w:ascii="宋体" w:hAnsi="宋体"/>
          <w:szCs w:val="21"/>
        </w:rPr>
        <w:t>；</w:t>
      </w:r>
    </w:p>
    <w:p>
      <w:pPr>
        <w:numPr>
          <w:ilvl w:val="0"/>
          <w:numId w:val="12"/>
        </w:numPr>
        <w:kinsoku/>
        <w:overflowPunct/>
        <w:topLinePunct w:val="0"/>
        <w:bidi w:val="0"/>
        <w:spacing w:line="300" w:lineRule="auto"/>
        <w:ind w:firstLine="840"/>
        <w:rPr>
          <w:rFonts w:hint="eastAsia" w:ascii="宋体" w:hAnsi="宋体"/>
          <w:szCs w:val="21"/>
        </w:rPr>
      </w:pPr>
      <w:r>
        <w:rPr>
          <w:rFonts w:hint="eastAsia" w:cs="仿宋_GB2312"/>
          <w:szCs w:val="21"/>
        </w:rPr>
        <w:t>分部分项工程量清单与计价表</w:t>
      </w:r>
      <w:r>
        <w:rPr>
          <w:rFonts w:hint="eastAsia" w:ascii="宋体" w:hAnsi="宋体"/>
          <w:szCs w:val="21"/>
        </w:rPr>
        <w:t>；</w:t>
      </w:r>
    </w:p>
    <w:p>
      <w:pPr>
        <w:numPr>
          <w:ilvl w:val="0"/>
          <w:numId w:val="12"/>
        </w:numPr>
        <w:kinsoku/>
        <w:overflowPunct/>
        <w:topLinePunct w:val="0"/>
        <w:bidi w:val="0"/>
        <w:spacing w:line="300" w:lineRule="auto"/>
        <w:ind w:firstLine="840"/>
        <w:rPr>
          <w:rFonts w:hint="eastAsia" w:ascii="宋体" w:hAnsi="宋体"/>
          <w:szCs w:val="21"/>
        </w:rPr>
      </w:pPr>
      <w:r>
        <w:rPr>
          <w:rFonts w:hint="eastAsia" w:cs="仿宋_GB2312"/>
          <w:szCs w:val="21"/>
        </w:rPr>
        <w:t>施工技术措施项目清单与计价表</w:t>
      </w:r>
      <w:r>
        <w:rPr>
          <w:rFonts w:hint="eastAsia" w:ascii="宋体" w:hAnsi="宋体"/>
          <w:szCs w:val="21"/>
        </w:rPr>
        <w:t>；</w:t>
      </w:r>
    </w:p>
    <w:p>
      <w:pPr>
        <w:numPr>
          <w:ilvl w:val="0"/>
          <w:numId w:val="12"/>
        </w:numPr>
        <w:kinsoku/>
        <w:overflowPunct/>
        <w:topLinePunct w:val="0"/>
        <w:bidi w:val="0"/>
        <w:spacing w:line="300" w:lineRule="auto"/>
        <w:ind w:firstLine="840"/>
        <w:rPr>
          <w:rFonts w:hint="eastAsia" w:ascii="宋体" w:hAnsi="宋体"/>
          <w:szCs w:val="21"/>
        </w:rPr>
      </w:pPr>
      <w:r>
        <w:rPr>
          <w:rFonts w:hint="eastAsia" w:cs="仿宋_GB2312"/>
          <w:szCs w:val="21"/>
        </w:rPr>
        <w:t>综合单价计算表</w:t>
      </w:r>
      <w:r>
        <w:rPr>
          <w:rFonts w:hint="eastAsia" w:ascii="宋体" w:hAnsi="宋体"/>
          <w:szCs w:val="21"/>
        </w:rPr>
        <w:t>；</w:t>
      </w:r>
    </w:p>
    <w:p>
      <w:pPr>
        <w:numPr>
          <w:ilvl w:val="0"/>
          <w:numId w:val="12"/>
        </w:numPr>
        <w:kinsoku/>
        <w:overflowPunct/>
        <w:topLinePunct w:val="0"/>
        <w:bidi w:val="0"/>
        <w:spacing w:line="300" w:lineRule="auto"/>
        <w:ind w:firstLine="840"/>
        <w:rPr>
          <w:rFonts w:hint="eastAsia" w:ascii="宋体" w:hAnsi="宋体"/>
          <w:szCs w:val="21"/>
        </w:rPr>
      </w:pPr>
      <w:r>
        <w:rPr>
          <w:rFonts w:hint="eastAsia" w:cs="仿宋_GB2312"/>
          <w:szCs w:val="21"/>
        </w:rPr>
        <w:t>综合单价计算表（技术措施）</w:t>
      </w:r>
      <w:r>
        <w:rPr>
          <w:rFonts w:hint="eastAsia" w:ascii="宋体" w:hAnsi="宋体"/>
          <w:szCs w:val="21"/>
        </w:rPr>
        <w:t>；</w:t>
      </w:r>
    </w:p>
    <w:p>
      <w:pPr>
        <w:numPr>
          <w:ilvl w:val="0"/>
          <w:numId w:val="12"/>
        </w:numPr>
        <w:kinsoku/>
        <w:overflowPunct/>
        <w:topLinePunct w:val="0"/>
        <w:bidi w:val="0"/>
        <w:spacing w:line="300" w:lineRule="auto"/>
        <w:ind w:firstLine="840"/>
        <w:rPr>
          <w:rFonts w:hint="eastAsia" w:ascii="宋体" w:hAnsi="宋体"/>
          <w:szCs w:val="21"/>
        </w:rPr>
      </w:pPr>
      <w:r>
        <w:rPr>
          <w:rFonts w:hint="eastAsia" w:cs="仿宋_GB2312"/>
          <w:szCs w:val="21"/>
        </w:rPr>
        <w:t>综合单价工料机分析表（</w:t>
      </w:r>
      <w:r>
        <w:rPr>
          <w:rFonts w:hint="eastAsia" w:cs="仿宋_GB2312"/>
          <w:szCs w:val="21"/>
          <w:lang w:eastAsia="zh-CN"/>
        </w:rPr>
        <w:t>磋商响应</w:t>
      </w:r>
      <w:r>
        <w:rPr>
          <w:rFonts w:hint="eastAsia" w:cs="仿宋_GB2312"/>
          <w:szCs w:val="21"/>
        </w:rPr>
        <w:t>文件中暂不提供，中标后按业主要求提供）</w:t>
      </w:r>
      <w:r>
        <w:rPr>
          <w:rFonts w:hint="eastAsia" w:cs="仿宋_GB2312"/>
          <w:szCs w:val="21"/>
          <w:lang w:eastAsia="zh-CN"/>
        </w:rPr>
        <w:t>；</w:t>
      </w:r>
    </w:p>
    <w:p>
      <w:pPr>
        <w:numPr>
          <w:ilvl w:val="0"/>
          <w:numId w:val="12"/>
        </w:numPr>
        <w:kinsoku/>
        <w:overflowPunct/>
        <w:topLinePunct w:val="0"/>
        <w:bidi w:val="0"/>
        <w:spacing w:line="300" w:lineRule="auto"/>
        <w:ind w:firstLine="840"/>
        <w:rPr>
          <w:rFonts w:hint="eastAsia" w:ascii="宋体" w:hAnsi="宋体"/>
          <w:szCs w:val="21"/>
        </w:rPr>
      </w:pPr>
      <w:r>
        <w:rPr>
          <w:rFonts w:hint="eastAsia" w:cs="仿宋_GB2312"/>
          <w:szCs w:val="21"/>
        </w:rPr>
        <w:t>综合单价工料机分析表（技术措施）（</w:t>
      </w:r>
      <w:r>
        <w:rPr>
          <w:rFonts w:hint="eastAsia" w:cs="仿宋_GB2312"/>
          <w:szCs w:val="21"/>
          <w:lang w:eastAsia="zh-CN"/>
        </w:rPr>
        <w:t>磋商响应文件</w:t>
      </w:r>
      <w:r>
        <w:rPr>
          <w:rFonts w:hint="eastAsia" w:cs="仿宋_GB2312"/>
          <w:szCs w:val="21"/>
        </w:rPr>
        <w:t>中暂不提供，中标后按业主要求提供）</w:t>
      </w:r>
      <w:r>
        <w:rPr>
          <w:rFonts w:hint="eastAsia" w:ascii="宋体" w:hAnsi="宋体"/>
          <w:szCs w:val="21"/>
        </w:rPr>
        <w:t>；</w:t>
      </w:r>
    </w:p>
    <w:p>
      <w:pPr>
        <w:numPr>
          <w:ilvl w:val="0"/>
          <w:numId w:val="12"/>
        </w:numPr>
        <w:kinsoku/>
        <w:overflowPunct/>
        <w:topLinePunct w:val="0"/>
        <w:bidi w:val="0"/>
        <w:spacing w:line="300" w:lineRule="auto"/>
        <w:ind w:firstLine="840"/>
        <w:rPr>
          <w:rFonts w:hint="eastAsia" w:ascii="宋体" w:hAnsi="宋体"/>
          <w:szCs w:val="21"/>
        </w:rPr>
      </w:pPr>
      <w:r>
        <w:rPr>
          <w:rFonts w:hint="eastAsia" w:cs="仿宋_GB2312"/>
          <w:szCs w:val="21"/>
        </w:rPr>
        <w:t>施工组织（总价）措施项目清单与计价表</w:t>
      </w:r>
      <w:r>
        <w:rPr>
          <w:rFonts w:hint="eastAsia" w:ascii="宋体" w:hAnsi="宋体"/>
          <w:szCs w:val="21"/>
        </w:rPr>
        <w:t>；</w:t>
      </w:r>
    </w:p>
    <w:p>
      <w:pPr>
        <w:numPr>
          <w:ilvl w:val="0"/>
          <w:numId w:val="12"/>
        </w:numPr>
        <w:kinsoku/>
        <w:overflowPunct/>
        <w:topLinePunct w:val="0"/>
        <w:bidi w:val="0"/>
        <w:spacing w:line="300" w:lineRule="auto"/>
        <w:ind w:firstLine="840"/>
        <w:rPr>
          <w:rFonts w:hint="eastAsia" w:ascii="宋体" w:hAnsi="宋体"/>
          <w:szCs w:val="21"/>
        </w:rPr>
      </w:pPr>
      <w:r>
        <w:rPr>
          <w:rFonts w:hint="eastAsia" w:cs="仿宋_GB2312"/>
          <w:szCs w:val="21"/>
        </w:rPr>
        <w:t>其他项目清单与计价汇总表</w:t>
      </w:r>
      <w:r>
        <w:rPr>
          <w:rFonts w:hint="eastAsia" w:ascii="宋体" w:hAnsi="宋体"/>
          <w:szCs w:val="21"/>
        </w:rPr>
        <w:t>；</w:t>
      </w:r>
    </w:p>
    <w:p>
      <w:pPr>
        <w:numPr>
          <w:ilvl w:val="0"/>
          <w:numId w:val="12"/>
        </w:numPr>
        <w:kinsoku/>
        <w:overflowPunct/>
        <w:topLinePunct w:val="0"/>
        <w:bidi w:val="0"/>
        <w:spacing w:line="300" w:lineRule="auto"/>
        <w:ind w:firstLine="840"/>
        <w:rPr>
          <w:rFonts w:hint="eastAsia" w:ascii="宋体" w:hAnsi="宋体"/>
          <w:szCs w:val="21"/>
        </w:rPr>
      </w:pPr>
      <w:r>
        <w:rPr>
          <w:rFonts w:hint="eastAsia" w:cs="仿宋_GB2312"/>
          <w:szCs w:val="21"/>
        </w:rPr>
        <w:t>暂列金额明细表</w:t>
      </w:r>
      <w:r>
        <w:rPr>
          <w:rFonts w:hint="eastAsia" w:ascii="宋体" w:hAnsi="宋体"/>
          <w:szCs w:val="21"/>
        </w:rPr>
        <w:t>；</w:t>
      </w:r>
    </w:p>
    <w:p>
      <w:pPr>
        <w:numPr>
          <w:ilvl w:val="0"/>
          <w:numId w:val="12"/>
        </w:numPr>
        <w:kinsoku/>
        <w:overflowPunct/>
        <w:topLinePunct w:val="0"/>
        <w:bidi w:val="0"/>
        <w:spacing w:line="300" w:lineRule="auto"/>
        <w:ind w:firstLine="840"/>
        <w:rPr>
          <w:rFonts w:hint="eastAsia" w:ascii="宋体" w:hAnsi="宋体"/>
          <w:szCs w:val="21"/>
        </w:rPr>
      </w:pPr>
      <w:r>
        <w:rPr>
          <w:rFonts w:hint="eastAsia" w:cs="仿宋_GB2312"/>
          <w:szCs w:val="21"/>
        </w:rPr>
        <w:t>材料（工程设备）暂估单价表</w:t>
      </w:r>
      <w:r>
        <w:rPr>
          <w:rFonts w:hint="eastAsia" w:ascii="宋体" w:hAnsi="宋体"/>
          <w:szCs w:val="21"/>
        </w:rPr>
        <w:t>；</w:t>
      </w:r>
    </w:p>
    <w:p>
      <w:pPr>
        <w:numPr>
          <w:ilvl w:val="0"/>
          <w:numId w:val="12"/>
        </w:numPr>
        <w:kinsoku/>
        <w:overflowPunct/>
        <w:topLinePunct w:val="0"/>
        <w:bidi w:val="0"/>
        <w:spacing w:line="300" w:lineRule="auto"/>
        <w:ind w:firstLine="840"/>
        <w:rPr>
          <w:rFonts w:hint="eastAsia" w:ascii="宋体" w:hAnsi="宋体"/>
          <w:szCs w:val="21"/>
        </w:rPr>
      </w:pPr>
      <w:r>
        <w:rPr>
          <w:rFonts w:hint="eastAsia" w:cs="仿宋_GB2312"/>
          <w:szCs w:val="21"/>
        </w:rPr>
        <w:t>专业工程暂估价表</w:t>
      </w:r>
      <w:r>
        <w:rPr>
          <w:rFonts w:hint="eastAsia" w:ascii="宋体" w:hAnsi="宋体"/>
          <w:szCs w:val="21"/>
        </w:rPr>
        <w:t>；</w:t>
      </w:r>
    </w:p>
    <w:p>
      <w:pPr>
        <w:numPr>
          <w:ilvl w:val="0"/>
          <w:numId w:val="12"/>
        </w:numPr>
        <w:kinsoku/>
        <w:overflowPunct/>
        <w:topLinePunct w:val="0"/>
        <w:bidi w:val="0"/>
        <w:spacing w:line="300" w:lineRule="auto"/>
        <w:ind w:firstLine="840"/>
        <w:rPr>
          <w:rFonts w:hint="eastAsia" w:ascii="宋体" w:hAnsi="宋体"/>
          <w:szCs w:val="21"/>
        </w:rPr>
      </w:pPr>
      <w:r>
        <w:rPr>
          <w:rFonts w:hint="eastAsia" w:cs="仿宋_GB2312"/>
          <w:szCs w:val="21"/>
        </w:rPr>
        <w:t>专项技术措施暂估价表</w:t>
      </w:r>
      <w:r>
        <w:rPr>
          <w:rFonts w:hint="eastAsia" w:ascii="宋体" w:hAnsi="宋体"/>
          <w:szCs w:val="21"/>
        </w:rPr>
        <w:t>；</w:t>
      </w:r>
    </w:p>
    <w:p>
      <w:pPr>
        <w:numPr>
          <w:ilvl w:val="0"/>
          <w:numId w:val="12"/>
        </w:numPr>
        <w:kinsoku/>
        <w:overflowPunct/>
        <w:topLinePunct w:val="0"/>
        <w:bidi w:val="0"/>
        <w:spacing w:line="300" w:lineRule="auto"/>
        <w:ind w:firstLine="840"/>
        <w:rPr>
          <w:rFonts w:hint="eastAsia" w:ascii="宋体" w:hAnsi="宋体"/>
          <w:szCs w:val="21"/>
        </w:rPr>
      </w:pPr>
      <w:r>
        <w:rPr>
          <w:rFonts w:hint="eastAsia" w:cs="仿宋_GB2312"/>
          <w:szCs w:val="21"/>
        </w:rPr>
        <w:t>计日工表</w:t>
      </w:r>
      <w:r>
        <w:rPr>
          <w:rFonts w:hint="eastAsia" w:ascii="宋体" w:hAnsi="宋体"/>
          <w:szCs w:val="21"/>
        </w:rPr>
        <w:t>；</w:t>
      </w:r>
    </w:p>
    <w:p>
      <w:pPr>
        <w:numPr>
          <w:ilvl w:val="0"/>
          <w:numId w:val="12"/>
        </w:numPr>
        <w:kinsoku/>
        <w:overflowPunct/>
        <w:topLinePunct w:val="0"/>
        <w:bidi w:val="0"/>
        <w:spacing w:line="300" w:lineRule="auto"/>
        <w:ind w:firstLine="840"/>
        <w:rPr>
          <w:rFonts w:hint="eastAsia" w:ascii="宋体" w:hAnsi="宋体"/>
          <w:szCs w:val="21"/>
        </w:rPr>
      </w:pPr>
      <w:r>
        <w:rPr>
          <w:rFonts w:hint="eastAsia" w:cs="仿宋_GB2312"/>
          <w:szCs w:val="21"/>
        </w:rPr>
        <w:t>总承包服务费计价表；</w:t>
      </w:r>
    </w:p>
    <w:p>
      <w:pPr>
        <w:numPr>
          <w:ilvl w:val="0"/>
          <w:numId w:val="12"/>
        </w:numPr>
        <w:kinsoku/>
        <w:overflowPunct/>
        <w:topLinePunct w:val="0"/>
        <w:bidi w:val="0"/>
        <w:spacing w:line="300" w:lineRule="auto"/>
        <w:ind w:firstLine="840"/>
        <w:rPr>
          <w:rFonts w:hint="eastAsia" w:ascii="宋体" w:hAnsi="宋体"/>
          <w:szCs w:val="21"/>
        </w:rPr>
      </w:pPr>
      <w:r>
        <w:rPr>
          <w:rFonts w:hint="eastAsia" w:cs="仿宋_GB2312"/>
          <w:szCs w:val="21"/>
        </w:rPr>
        <w:t>主要工日一览表；</w:t>
      </w:r>
    </w:p>
    <w:p>
      <w:pPr>
        <w:numPr>
          <w:ilvl w:val="0"/>
          <w:numId w:val="12"/>
        </w:numPr>
        <w:kinsoku/>
        <w:overflowPunct/>
        <w:topLinePunct w:val="0"/>
        <w:bidi w:val="0"/>
        <w:spacing w:line="300" w:lineRule="auto"/>
        <w:ind w:firstLine="840"/>
        <w:rPr>
          <w:rFonts w:hint="eastAsia" w:ascii="宋体" w:hAnsi="宋体"/>
          <w:szCs w:val="21"/>
        </w:rPr>
      </w:pPr>
      <w:r>
        <w:rPr>
          <w:rFonts w:hint="eastAsia" w:cs="仿宋_GB2312"/>
          <w:szCs w:val="21"/>
        </w:rPr>
        <w:t>发包人提供材料和设备一览表；</w:t>
      </w:r>
    </w:p>
    <w:p>
      <w:pPr>
        <w:numPr>
          <w:ilvl w:val="0"/>
          <w:numId w:val="12"/>
        </w:numPr>
        <w:kinsoku/>
        <w:overflowPunct/>
        <w:topLinePunct w:val="0"/>
        <w:bidi w:val="0"/>
        <w:spacing w:line="300" w:lineRule="auto"/>
        <w:ind w:firstLine="840"/>
        <w:rPr>
          <w:rFonts w:hint="eastAsia" w:ascii="宋体" w:hAnsi="宋体"/>
          <w:szCs w:val="21"/>
        </w:rPr>
      </w:pPr>
      <w:r>
        <w:rPr>
          <w:rFonts w:hint="eastAsia" w:cs="仿宋_GB2312"/>
          <w:szCs w:val="21"/>
        </w:rPr>
        <w:t>主要材料和工程设备一览表；</w:t>
      </w:r>
    </w:p>
    <w:p>
      <w:pPr>
        <w:numPr>
          <w:ilvl w:val="0"/>
          <w:numId w:val="12"/>
        </w:numPr>
        <w:kinsoku/>
        <w:overflowPunct/>
        <w:topLinePunct w:val="0"/>
        <w:bidi w:val="0"/>
        <w:spacing w:line="300" w:lineRule="auto"/>
        <w:ind w:firstLine="840"/>
        <w:rPr>
          <w:rFonts w:hint="eastAsia" w:ascii="宋体" w:hAnsi="宋体"/>
          <w:szCs w:val="21"/>
        </w:rPr>
      </w:pPr>
      <w:r>
        <w:rPr>
          <w:rFonts w:hint="eastAsia" w:cs="仿宋_GB2312"/>
          <w:szCs w:val="21"/>
        </w:rPr>
        <w:t>主要机械台班一览表</w:t>
      </w:r>
      <w:r>
        <w:rPr>
          <w:rFonts w:hint="eastAsia" w:ascii="宋体" w:hAnsi="宋体"/>
          <w:szCs w:val="21"/>
        </w:rPr>
        <w:t>；</w:t>
      </w:r>
    </w:p>
    <w:p>
      <w:pPr>
        <w:numPr>
          <w:ilvl w:val="0"/>
          <w:numId w:val="11"/>
        </w:numPr>
        <w:tabs>
          <w:tab w:val="left" w:pos="1134"/>
          <w:tab w:val="left" w:pos="1418"/>
        </w:tabs>
        <w:kinsoku/>
        <w:overflowPunct/>
        <w:topLinePunct w:val="0"/>
        <w:bidi w:val="0"/>
        <w:spacing w:line="300" w:lineRule="auto"/>
        <w:ind w:left="851" w:hanging="142"/>
        <w:rPr>
          <w:rFonts w:hint="eastAsia"/>
        </w:rPr>
      </w:pPr>
      <w:r>
        <w:rPr>
          <w:rFonts w:hint="eastAsia" w:ascii="宋体" w:hAnsi="宋体"/>
          <w:szCs w:val="21"/>
        </w:rPr>
        <w:t>资格审查申请函；                                   （第五部分附件五</w:t>
      </w:r>
      <w:r>
        <w:rPr>
          <w:rFonts w:hint="eastAsia" w:ascii="宋体" w:hAnsi="宋体"/>
          <w:szCs w:val="21"/>
          <w:lang w:eastAsia="zh-CN"/>
        </w:rPr>
        <w:t>）</w:t>
      </w:r>
    </w:p>
    <w:p>
      <w:pPr>
        <w:numPr>
          <w:ilvl w:val="0"/>
          <w:numId w:val="11"/>
        </w:numPr>
        <w:tabs>
          <w:tab w:val="left" w:pos="1134"/>
          <w:tab w:val="left" w:pos="1418"/>
        </w:tabs>
        <w:kinsoku/>
        <w:overflowPunct/>
        <w:topLinePunct w:val="0"/>
        <w:bidi w:val="0"/>
        <w:spacing w:line="300" w:lineRule="auto"/>
        <w:ind w:left="851" w:hanging="142"/>
        <w:rPr>
          <w:rFonts w:hint="eastAsia"/>
        </w:rPr>
      </w:pPr>
      <w:r>
        <w:rPr>
          <w:rFonts w:hint="eastAsia" w:ascii="宋体" w:hAnsi="宋体"/>
          <w:szCs w:val="21"/>
        </w:rPr>
        <w:t xml:space="preserve">承诺书；  </w:t>
      </w:r>
      <w:bookmarkStart w:id="12" w:name="_Toc531356479"/>
      <w:bookmarkStart w:id="13" w:name="_Toc531678206"/>
      <w:bookmarkStart w:id="14" w:name="_Toc531618005"/>
      <w:bookmarkStart w:id="15" w:name="_Toc517011102"/>
      <w:r>
        <w:rPr>
          <w:rFonts w:hint="eastAsia" w:ascii="宋体" w:hAnsi="宋体"/>
          <w:szCs w:val="21"/>
          <w:lang w:val="en-US" w:eastAsia="zh-CN"/>
        </w:rPr>
        <w:t xml:space="preserve">        </w:t>
      </w:r>
      <w:r>
        <w:rPr>
          <w:rFonts w:hint="eastAsia" w:ascii="宋体" w:hAnsi="宋体"/>
          <w:color w:val="FF0000"/>
          <w:szCs w:val="21"/>
        </w:rPr>
        <w:t xml:space="preserve"> </w:t>
      </w:r>
      <w:r>
        <w:rPr>
          <w:rFonts w:hint="eastAsia" w:ascii="宋体" w:hAnsi="宋体"/>
          <w:szCs w:val="21"/>
          <w:lang w:val="en-US" w:eastAsia="zh-CN"/>
        </w:rPr>
        <w:t xml:space="preserve">                                </w:t>
      </w:r>
      <w:r>
        <w:rPr>
          <w:rFonts w:hint="eastAsia" w:ascii="宋体" w:hAnsi="宋体"/>
          <w:szCs w:val="21"/>
        </w:rPr>
        <w:t>（第五部分附件六)</w:t>
      </w:r>
    </w:p>
    <w:p>
      <w:pPr>
        <w:numPr>
          <w:ilvl w:val="0"/>
          <w:numId w:val="11"/>
        </w:numPr>
        <w:tabs>
          <w:tab w:val="left" w:pos="1134"/>
          <w:tab w:val="left" w:pos="1418"/>
        </w:tabs>
        <w:kinsoku/>
        <w:overflowPunct/>
        <w:topLinePunct w:val="0"/>
        <w:bidi w:val="0"/>
        <w:spacing w:line="300" w:lineRule="auto"/>
        <w:ind w:left="851" w:hanging="142"/>
        <w:rPr>
          <w:rFonts w:hint="eastAsia"/>
        </w:rPr>
      </w:pPr>
      <w:r>
        <w:rPr>
          <w:rFonts w:hint="eastAsia"/>
          <w:color w:val="auto"/>
        </w:rPr>
        <w:t>技术响应表</w:t>
      </w:r>
      <w:bookmarkEnd w:id="12"/>
      <w:bookmarkEnd w:id="13"/>
      <w:bookmarkEnd w:id="14"/>
      <w:bookmarkEnd w:id="15"/>
      <w:r>
        <w:rPr>
          <w:rFonts w:eastAsia="Times New Roman" w:cs="Arial"/>
          <w:b/>
          <w:color w:val="auto"/>
        </w:rPr>
        <w:t xml:space="preserve"> </w:t>
      </w:r>
      <w:r>
        <w:rPr>
          <w:rFonts w:ascii="宋体" w:hAnsi="宋体"/>
        </w:rPr>
        <w:t xml:space="preserve"> </w:t>
      </w:r>
      <w:r>
        <w:rPr>
          <w:rFonts w:hint="eastAsia" w:ascii="宋体" w:hAnsi="宋体"/>
          <w:lang w:val="en-US" w:eastAsia="zh-CN"/>
        </w:rPr>
        <w:t xml:space="preserve">                                       </w:t>
      </w:r>
      <w:r>
        <w:rPr>
          <w:rFonts w:hint="eastAsia" w:ascii="宋体" w:hAnsi="宋体"/>
        </w:rPr>
        <w:t>（</w:t>
      </w:r>
      <w:r>
        <w:rPr>
          <w:rFonts w:hint="eastAsia" w:ascii="宋体" w:hAnsi="宋体"/>
          <w:szCs w:val="21"/>
        </w:rPr>
        <w:t>第五部分</w:t>
      </w:r>
      <w:r>
        <w:rPr>
          <w:rFonts w:hint="eastAsia" w:ascii="宋体" w:hAnsi="宋体"/>
        </w:rPr>
        <w:t>附件七）</w:t>
      </w:r>
    </w:p>
    <w:p>
      <w:pPr>
        <w:numPr>
          <w:ilvl w:val="0"/>
          <w:numId w:val="11"/>
        </w:numPr>
        <w:tabs>
          <w:tab w:val="left" w:pos="1134"/>
          <w:tab w:val="left" w:pos="1418"/>
        </w:tabs>
        <w:kinsoku/>
        <w:overflowPunct/>
        <w:topLinePunct w:val="0"/>
        <w:bidi w:val="0"/>
        <w:spacing w:line="300" w:lineRule="auto"/>
        <w:ind w:left="851" w:hanging="142"/>
        <w:rPr>
          <w:rFonts w:hint="eastAsia" w:ascii="宋体"/>
          <w:szCs w:val="21"/>
        </w:rPr>
      </w:pPr>
      <w:r>
        <w:rPr>
          <w:rFonts w:hint="eastAsia" w:ascii="宋体" w:hAnsi="宋体"/>
          <w:szCs w:val="21"/>
          <w:lang w:val="en-US" w:eastAsia="zh-CN"/>
        </w:rPr>
        <w:t xml:space="preserve">建议与少量偏离表                                  </w:t>
      </w:r>
      <w:r>
        <w:rPr>
          <w:rFonts w:hint="eastAsia" w:ascii="宋体" w:hAnsi="宋体"/>
        </w:rPr>
        <w:t xml:space="preserve"> （</w:t>
      </w:r>
      <w:r>
        <w:rPr>
          <w:rFonts w:hint="eastAsia" w:ascii="宋体" w:hAnsi="宋体"/>
          <w:szCs w:val="21"/>
        </w:rPr>
        <w:t>第五部分</w:t>
      </w:r>
      <w:r>
        <w:rPr>
          <w:rFonts w:hint="eastAsia" w:ascii="宋体" w:hAnsi="宋体"/>
        </w:rPr>
        <w:t>附件八）</w:t>
      </w:r>
      <w:r>
        <w:rPr>
          <w:rFonts w:hint="eastAsia" w:ascii="宋体" w:hAnsi="宋体"/>
          <w:szCs w:val="21"/>
        </w:rPr>
        <w:t xml:space="preserve">                                    </w:t>
      </w:r>
    </w:p>
    <w:p>
      <w:pPr>
        <w:numPr>
          <w:ilvl w:val="0"/>
          <w:numId w:val="11"/>
        </w:numPr>
        <w:tabs>
          <w:tab w:val="left" w:pos="1134"/>
          <w:tab w:val="left" w:pos="1276"/>
          <w:tab w:val="left" w:pos="1418"/>
        </w:tabs>
        <w:kinsoku/>
        <w:overflowPunct/>
        <w:topLinePunct w:val="0"/>
        <w:bidi w:val="0"/>
        <w:spacing w:line="300" w:lineRule="auto"/>
        <w:ind w:left="851" w:hanging="142"/>
        <w:rPr>
          <w:rFonts w:hint="eastAsia" w:ascii="宋体"/>
          <w:szCs w:val="21"/>
        </w:rPr>
      </w:pPr>
      <w:r>
        <w:rPr>
          <w:rFonts w:hint="eastAsia" w:ascii="宋体" w:hAnsi="宋体"/>
        </w:rPr>
        <w:t>磋商供应商基本情况表；</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lang w:val="en-US" w:eastAsia="zh-CN"/>
        </w:rPr>
        <w:t xml:space="preserve">  </w:t>
      </w:r>
      <w:r>
        <w:rPr>
          <w:rFonts w:hint="eastAsia" w:ascii="宋体" w:hAnsi="宋体"/>
        </w:rPr>
        <w:t xml:space="preserve">  （</w:t>
      </w:r>
      <w:r>
        <w:rPr>
          <w:rFonts w:hint="eastAsia" w:ascii="宋体" w:hAnsi="宋体"/>
          <w:szCs w:val="21"/>
        </w:rPr>
        <w:t>第五部分</w:t>
      </w:r>
      <w:r>
        <w:rPr>
          <w:rFonts w:hint="eastAsia" w:ascii="宋体" w:hAnsi="宋体"/>
        </w:rPr>
        <w:t>附件九）</w:t>
      </w:r>
    </w:p>
    <w:p>
      <w:pPr>
        <w:numPr>
          <w:ilvl w:val="0"/>
          <w:numId w:val="12"/>
        </w:numPr>
        <w:kinsoku/>
        <w:overflowPunct/>
        <w:topLinePunct w:val="0"/>
        <w:bidi w:val="0"/>
        <w:spacing w:line="300" w:lineRule="auto"/>
        <w:ind w:firstLine="840"/>
        <w:rPr>
          <w:rFonts w:hint="eastAsia" w:ascii="宋体" w:hAnsi="宋体"/>
          <w:szCs w:val="21"/>
        </w:rPr>
      </w:pPr>
      <w:r>
        <w:rPr>
          <w:rFonts w:hint="eastAsia" w:ascii="宋体" w:hAnsi="宋体"/>
          <w:szCs w:val="21"/>
        </w:rPr>
        <w:t>磋商供应商有效的《法人营业执照》副本（复印件加盖单位公章）；</w:t>
      </w:r>
    </w:p>
    <w:p>
      <w:pPr>
        <w:numPr>
          <w:ilvl w:val="0"/>
          <w:numId w:val="12"/>
        </w:numPr>
        <w:kinsoku/>
        <w:overflowPunct/>
        <w:topLinePunct w:val="0"/>
        <w:bidi w:val="0"/>
        <w:spacing w:line="300" w:lineRule="auto"/>
        <w:ind w:firstLine="840"/>
        <w:rPr>
          <w:rFonts w:hint="eastAsia" w:ascii="宋体" w:hAnsi="宋体"/>
          <w:szCs w:val="21"/>
        </w:rPr>
      </w:pPr>
      <w:r>
        <w:rPr>
          <w:rFonts w:hint="eastAsia" w:ascii="宋体" w:hAnsi="宋体"/>
          <w:szCs w:val="21"/>
        </w:rPr>
        <w:t>磋商供应商有效的《建筑业企业资质证书》副本（复印件加盖单位公章）</w:t>
      </w:r>
    </w:p>
    <w:p>
      <w:pPr>
        <w:numPr>
          <w:ilvl w:val="0"/>
          <w:numId w:val="12"/>
        </w:numPr>
        <w:kinsoku/>
        <w:overflowPunct/>
        <w:topLinePunct w:val="0"/>
        <w:bidi w:val="0"/>
        <w:spacing w:line="300" w:lineRule="auto"/>
        <w:ind w:firstLine="840"/>
        <w:rPr>
          <w:rFonts w:hint="eastAsia" w:ascii="宋体" w:hAnsi="宋体"/>
          <w:szCs w:val="21"/>
        </w:rPr>
      </w:pPr>
      <w:r>
        <w:rPr>
          <w:rFonts w:hint="eastAsia" w:ascii="宋体" w:hAnsi="宋体"/>
          <w:szCs w:val="21"/>
        </w:rPr>
        <w:t>磋商供应商有效的安全生产许可证（复印件加盖单位公章）；</w:t>
      </w:r>
    </w:p>
    <w:p>
      <w:pPr>
        <w:numPr>
          <w:ilvl w:val="0"/>
          <w:numId w:val="11"/>
        </w:numPr>
        <w:tabs>
          <w:tab w:val="left" w:pos="1134"/>
          <w:tab w:val="left" w:pos="1276"/>
          <w:tab w:val="left" w:pos="1418"/>
        </w:tabs>
        <w:kinsoku/>
        <w:overflowPunct/>
        <w:topLinePunct w:val="0"/>
        <w:bidi w:val="0"/>
        <w:spacing w:line="300" w:lineRule="auto"/>
        <w:ind w:left="851" w:hanging="142"/>
        <w:rPr>
          <w:rFonts w:hint="eastAsia" w:ascii="宋体"/>
          <w:szCs w:val="21"/>
        </w:rPr>
      </w:pPr>
      <w:r>
        <w:rPr>
          <w:rFonts w:hint="eastAsia" w:ascii="宋体" w:hAnsi="宋体"/>
        </w:rPr>
        <w:t xml:space="preserve">企业安全生产管理机构情况表；    </w:t>
      </w:r>
      <w:r>
        <w:rPr>
          <w:rFonts w:hint="eastAsia" w:ascii="宋体" w:hAnsi="宋体"/>
          <w:lang w:val="en-US" w:eastAsia="zh-CN"/>
        </w:rPr>
        <w:t xml:space="preserve">                   </w:t>
      </w:r>
      <w:r>
        <w:rPr>
          <w:rFonts w:hint="eastAsia" w:ascii="宋体" w:hAnsi="宋体"/>
        </w:rPr>
        <w:t>（</w:t>
      </w:r>
      <w:r>
        <w:rPr>
          <w:rFonts w:hint="eastAsia" w:ascii="宋体" w:hAnsi="宋体"/>
          <w:szCs w:val="21"/>
        </w:rPr>
        <w:t>第五部分</w:t>
      </w:r>
      <w:r>
        <w:rPr>
          <w:rFonts w:hint="eastAsia" w:ascii="宋体" w:hAnsi="宋体"/>
        </w:rPr>
        <w:t xml:space="preserve">附件十）                 </w:t>
      </w:r>
    </w:p>
    <w:p>
      <w:pPr>
        <w:numPr>
          <w:ilvl w:val="0"/>
          <w:numId w:val="12"/>
        </w:numPr>
        <w:kinsoku/>
        <w:overflowPunct/>
        <w:topLinePunct w:val="0"/>
        <w:bidi w:val="0"/>
        <w:spacing w:line="300" w:lineRule="auto"/>
        <w:ind w:firstLine="840"/>
        <w:rPr>
          <w:rFonts w:hint="eastAsia" w:ascii="宋体" w:hAnsi="宋体"/>
          <w:szCs w:val="21"/>
        </w:rPr>
      </w:pPr>
      <w:r>
        <w:rPr>
          <w:rFonts w:hint="eastAsia" w:ascii="宋体" w:hAnsi="宋体"/>
          <w:szCs w:val="21"/>
        </w:rPr>
        <w:t>企业主要负责人的A类证书（复印件加盖单位公章）。企业主要负责人包括企业法定代表人和企业分管安全生产的副经理，担任这两个岗位的相关人员应当提供“三类人员”A类证书。前一个岗位必须和《建筑业企业资质等级证书》副本上载明的情况一致）；</w:t>
      </w:r>
    </w:p>
    <w:p>
      <w:pPr>
        <w:numPr>
          <w:ilvl w:val="0"/>
          <w:numId w:val="12"/>
        </w:numPr>
        <w:kinsoku/>
        <w:overflowPunct/>
        <w:topLinePunct w:val="0"/>
        <w:bidi w:val="0"/>
        <w:spacing w:line="300" w:lineRule="auto"/>
        <w:ind w:firstLine="840"/>
        <w:rPr>
          <w:rFonts w:hint="eastAsia" w:ascii="宋体" w:hAnsi="宋体"/>
          <w:szCs w:val="21"/>
        </w:rPr>
      </w:pPr>
      <w:r>
        <w:rPr>
          <w:rFonts w:hint="eastAsia" w:ascii="宋体" w:hAnsi="宋体"/>
          <w:szCs w:val="21"/>
        </w:rPr>
        <w:t>企业分管安全生产副经理的任职文件；</w:t>
      </w:r>
    </w:p>
    <w:p>
      <w:pPr>
        <w:numPr>
          <w:ilvl w:val="0"/>
          <w:numId w:val="11"/>
        </w:numPr>
        <w:tabs>
          <w:tab w:val="left" w:pos="1134"/>
          <w:tab w:val="left" w:pos="1276"/>
          <w:tab w:val="left" w:pos="1418"/>
        </w:tabs>
        <w:kinsoku/>
        <w:overflowPunct/>
        <w:topLinePunct w:val="0"/>
        <w:bidi w:val="0"/>
        <w:spacing w:line="300" w:lineRule="auto"/>
        <w:ind w:left="851" w:hanging="142"/>
        <w:rPr>
          <w:rFonts w:hint="eastAsia" w:ascii="宋体"/>
        </w:rPr>
      </w:pPr>
      <w:r>
        <w:rPr>
          <w:rFonts w:hint="eastAsia" w:ascii="宋体" w:hAnsi="宋体"/>
        </w:rPr>
        <w:t>拟任项目建造师简历表；</w:t>
      </w:r>
      <w:r>
        <w:rPr>
          <w:rFonts w:ascii="宋体" w:hAnsi="宋体"/>
        </w:rPr>
        <w:t xml:space="preserve">               </w:t>
      </w:r>
      <w:r>
        <w:rPr>
          <w:rFonts w:hint="eastAsia" w:ascii="宋体" w:hAnsi="宋体"/>
          <w:lang w:val="en-US" w:eastAsia="zh-CN"/>
        </w:rPr>
        <w:t xml:space="preserve">       </w:t>
      </w:r>
      <w:r>
        <w:rPr>
          <w:rFonts w:ascii="宋体" w:hAnsi="宋体"/>
        </w:rPr>
        <w:t xml:space="preserve">    </w:t>
      </w:r>
      <w:r>
        <w:rPr>
          <w:rFonts w:hint="eastAsia" w:ascii="宋体" w:hAnsi="宋体"/>
        </w:rPr>
        <w:t>（</w:t>
      </w:r>
      <w:r>
        <w:rPr>
          <w:rFonts w:hint="eastAsia" w:ascii="宋体" w:hAnsi="宋体"/>
          <w:szCs w:val="21"/>
        </w:rPr>
        <w:t>第五部分</w:t>
      </w:r>
      <w:r>
        <w:rPr>
          <w:rFonts w:hint="eastAsia" w:ascii="宋体" w:hAnsi="宋体"/>
        </w:rPr>
        <w:t>附件十一）</w:t>
      </w:r>
      <w:r>
        <w:rPr>
          <w:rFonts w:ascii="宋体" w:hAnsi="宋体"/>
        </w:rPr>
        <w:t xml:space="preserve">     </w:t>
      </w:r>
      <w:r>
        <w:rPr>
          <w:rFonts w:hint="eastAsia" w:ascii="宋体" w:hAnsi="宋体"/>
        </w:rPr>
        <w:t xml:space="preserve"> </w:t>
      </w:r>
      <w:r>
        <w:rPr>
          <w:rFonts w:ascii="宋体" w:hAnsi="宋体"/>
        </w:rPr>
        <w:t xml:space="preserve">     </w:t>
      </w:r>
    </w:p>
    <w:p>
      <w:pPr>
        <w:numPr>
          <w:ilvl w:val="0"/>
          <w:numId w:val="12"/>
        </w:numPr>
        <w:kinsoku/>
        <w:overflowPunct/>
        <w:topLinePunct w:val="0"/>
        <w:bidi w:val="0"/>
        <w:spacing w:line="300" w:lineRule="auto"/>
        <w:ind w:firstLine="840"/>
        <w:rPr>
          <w:rFonts w:hint="eastAsia" w:ascii="宋体" w:hAnsi="宋体"/>
          <w:szCs w:val="21"/>
        </w:rPr>
      </w:pPr>
      <w:r>
        <w:rPr>
          <w:rFonts w:hint="eastAsia" w:ascii="宋体" w:hAnsi="宋体"/>
          <w:szCs w:val="21"/>
        </w:rPr>
        <w:t>拟任项目建造师资格证书及B类证书（复印件加盖单位公章）；</w:t>
      </w:r>
    </w:p>
    <w:p>
      <w:pPr>
        <w:numPr>
          <w:ilvl w:val="0"/>
          <w:numId w:val="11"/>
        </w:numPr>
        <w:tabs>
          <w:tab w:val="left" w:pos="1134"/>
          <w:tab w:val="left" w:pos="1276"/>
          <w:tab w:val="left" w:pos="1418"/>
        </w:tabs>
        <w:kinsoku/>
        <w:overflowPunct/>
        <w:topLinePunct w:val="0"/>
        <w:bidi w:val="0"/>
        <w:spacing w:line="300" w:lineRule="auto"/>
        <w:ind w:left="851" w:hanging="142"/>
        <w:rPr>
          <w:rFonts w:hint="eastAsia" w:ascii="宋体"/>
        </w:rPr>
      </w:pPr>
      <w:r>
        <w:rPr>
          <w:rFonts w:hint="eastAsia" w:ascii="宋体" w:hAnsi="宋体"/>
        </w:rPr>
        <w:t>拟投入项目管理人员一览表</w:t>
      </w:r>
      <w:r>
        <w:rPr>
          <w:rFonts w:hint="eastAsia" w:ascii="宋体" w:hAnsi="宋体"/>
          <w:lang w:val="en-US" w:eastAsia="zh-CN"/>
        </w:rPr>
        <w:t xml:space="preserve">                        </w:t>
      </w:r>
      <w:r>
        <w:rPr>
          <w:rFonts w:hint="eastAsia" w:ascii="宋体" w:hAnsi="宋体"/>
        </w:rPr>
        <w:t>（</w:t>
      </w:r>
      <w:r>
        <w:rPr>
          <w:rFonts w:hint="eastAsia" w:ascii="宋体" w:hAnsi="宋体"/>
          <w:szCs w:val="21"/>
        </w:rPr>
        <w:t>第五部分</w:t>
      </w:r>
      <w:r>
        <w:rPr>
          <w:rFonts w:hint="eastAsia" w:ascii="宋体" w:hAnsi="宋体"/>
        </w:rPr>
        <w:t>附件十二）</w:t>
      </w:r>
    </w:p>
    <w:p>
      <w:pPr>
        <w:numPr>
          <w:ilvl w:val="0"/>
          <w:numId w:val="0"/>
        </w:numPr>
        <w:tabs>
          <w:tab w:val="left" w:pos="1134"/>
          <w:tab w:val="left" w:pos="1276"/>
          <w:tab w:val="left" w:pos="1418"/>
        </w:tabs>
        <w:kinsoku/>
        <w:overflowPunct/>
        <w:topLinePunct w:val="0"/>
        <w:bidi w:val="0"/>
        <w:spacing w:line="300" w:lineRule="auto"/>
        <w:ind w:left="709" w:leftChars="0"/>
        <w:rPr>
          <w:rFonts w:hint="eastAsia" w:ascii="宋体"/>
        </w:rPr>
      </w:pPr>
      <w:r>
        <w:rPr>
          <w:rFonts w:hint="eastAsia" w:ascii="Arial" w:hAnsi="Arial" w:cs="Arial"/>
        </w:rPr>
        <w:t>注：1.我方拟派该工程现场所有项目管理人员（技术负责人、施工员、安全员、材料员、质检员、资料员等）均已列入。2. 此表投标时不用提供；表格内人员必须满足行业主管部门备案要求，且需在合同签订时提供给业主方。</w:t>
      </w:r>
      <w:r>
        <w:rPr>
          <w:rFonts w:hint="eastAsia" w:ascii="宋体" w:hAnsi="宋体"/>
        </w:rPr>
        <w:t xml:space="preserve">                                           </w:t>
      </w:r>
    </w:p>
    <w:p>
      <w:pPr>
        <w:numPr>
          <w:ilvl w:val="0"/>
          <w:numId w:val="11"/>
        </w:numPr>
        <w:tabs>
          <w:tab w:val="left" w:pos="1134"/>
          <w:tab w:val="left" w:pos="1276"/>
          <w:tab w:val="left" w:pos="1418"/>
        </w:tabs>
        <w:kinsoku/>
        <w:overflowPunct/>
        <w:topLinePunct w:val="0"/>
        <w:bidi w:val="0"/>
        <w:spacing w:line="300" w:lineRule="auto"/>
        <w:ind w:left="851" w:hanging="142"/>
        <w:rPr>
          <w:rFonts w:hint="eastAsia" w:ascii="宋体" w:hAnsi="宋体"/>
        </w:rPr>
      </w:pPr>
      <w:r>
        <w:rPr>
          <w:rFonts w:hint="eastAsia" w:ascii="宋体" w:hAnsi="宋体"/>
        </w:rPr>
        <w:t xml:space="preserve">省外企业进浙承接业务备案证明：根据《浙江省省外建筑业企业和中介服务机构备案管理暂行办法》规定，省外企业必须提供《省外企业进浙承接业务备案证明》（复印件加盖供应商公章）；            </w:t>
      </w:r>
      <w:r>
        <w:rPr>
          <w:rFonts w:hint="eastAsia" w:ascii="宋体" w:hAnsi="宋体"/>
          <w:lang w:val="en-US" w:eastAsia="zh-CN"/>
        </w:rPr>
        <w:t xml:space="preserve">               </w:t>
      </w:r>
      <w:r>
        <w:rPr>
          <w:rFonts w:hint="eastAsia" w:ascii="宋体" w:hAnsi="宋体"/>
        </w:rPr>
        <w:t>（</w:t>
      </w:r>
      <w:r>
        <w:rPr>
          <w:rFonts w:hint="eastAsia" w:ascii="宋体" w:hAnsi="宋体"/>
          <w:szCs w:val="21"/>
        </w:rPr>
        <w:t>第五部分</w:t>
      </w:r>
      <w:r>
        <w:rPr>
          <w:rFonts w:hint="eastAsia" w:ascii="宋体" w:hAnsi="宋体"/>
        </w:rPr>
        <w:t xml:space="preserve">附件十三）            </w:t>
      </w:r>
    </w:p>
    <w:p>
      <w:pPr>
        <w:numPr>
          <w:ilvl w:val="0"/>
          <w:numId w:val="11"/>
        </w:numPr>
        <w:tabs>
          <w:tab w:val="left" w:pos="1134"/>
          <w:tab w:val="left" w:pos="1276"/>
          <w:tab w:val="left" w:pos="1418"/>
        </w:tabs>
        <w:kinsoku/>
        <w:overflowPunct/>
        <w:topLinePunct w:val="0"/>
        <w:bidi w:val="0"/>
        <w:spacing w:line="300" w:lineRule="auto"/>
        <w:ind w:left="851" w:hanging="142"/>
        <w:rPr>
          <w:rFonts w:hint="eastAsia" w:ascii="宋体" w:hAnsi="宋体"/>
        </w:rPr>
      </w:pPr>
      <w:r>
        <w:rPr>
          <w:rFonts w:hint="eastAsia" w:ascii="宋体" w:hAnsi="宋体"/>
        </w:rPr>
        <w:t xml:space="preserve">参加政府采购活动前3年内在经营活动中有/无重大违法记录（包括行贿犯罪记录）的书面声明                                </w:t>
      </w:r>
      <w:r>
        <w:rPr>
          <w:rFonts w:hint="eastAsia" w:ascii="宋体" w:hAnsi="宋体"/>
          <w:lang w:val="en-US" w:eastAsia="zh-CN"/>
        </w:rPr>
        <w:t xml:space="preserve">    </w:t>
      </w:r>
      <w:r>
        <w:rPr>
          <w:rFonts w:hint="eastAsia" w:ascii="宋体" w:hAnsi="宋体"/>
        </w:rPr>
        <w:t xml:space="preserve"> （</w:t>
      </w:r>
      <w:r>
        <w:rPr>
          <w:rFonts w:hint="eastAsia" w:ascii="宋体" w:hAnsi="宋体"/>
          <w:szCs w:val="21"/>
        </w:rPr>
        <w:t>第五部分</w:t>
      </w:r>
      <w:r>
        <w:rPr>
          <w:rFonts w:hint="eastAsia" w:ascii="宋体" w:hAnsi="宋体"/>
        </w:rPr>
        <w:t>附件十四）</w:t>
      </w:r>
      <w:r>
        <w:rPr>
          <w:rFonts w:hint="eastAsia" w:ascii="宋体" w:hAnsi="宋体"/>
          <w:lang w:val="en-US" w:eastAsia="zh-CN"/>
        </w:rPr>
        <w:t xml:space="preserve"> </w:t>
      </w:r>
      <w:r>
        <w:rPr>
          <w:rFonts w:hint="eastAsia" w:ascii="宋体" w:hAnsi="宋体"/>
        </w:rPr>
        <w:t xml:space="preserve">     </w:t>
      </w:r>
    </w:p>
    <w:p>
      <w:pPr>
        <w:numPr>
          <w:ilvl w:val="0"/>
          <w:numId w:val="11"/>
        </w:numPr>
        <w:tabs>
          <w:tab w:val="left" w:pos="1134"/>
          <w:tab w:val="left" w:pos="1276"/>
          <w:tab w:val="left" w:pos="1418"/>
        </w:tabs>
        <w:kinsoku/>
        <w:overflowPunct/>
        <w:topLinePunct w:val="0"/>
        <w:bidi w:val="0"/>
        <w:spacing w:line="300" w:lineRule="auto"/>
        <w:ind w:left="851" w:hanging="142"/>
        <w:rPr>
          <w:rFonts w:hint="eastAsia" w:ascii="宋体" w:hAnsi="宋体"/>
        </w:rPr>
      </w:pPr>
      <w:r>
        <w:rPr>
          <w:rFonts w:hint="eastAsia" w:ascii="新宋体" w:hAnsi="新宋体" w:eastAsia="新宋体"/>
          <w:szCs w:val="21"/>
        </w:rPr>
        <w:t>中小企业声明函</w:t>
      </w:r>
      <w:r>
        <w:rPr>
          <w:rFonts w:hint="eastAsia" w:ascii="宋体" w:hAnsi="宋体"/>
          <w:szCs w:val="21"/>
        </w:rPr>
        <w:t>（小微企业投标时适用）；</w:t>
      </w:r>
      <w:r>
        <w:rPr>
          <w:rFonts w:hint="eastAsia" w:ascii="宋体" w:hAnsi="宋体"/>
        </w:rPr>
        <w:t xml:space="preserve">          （</w:t>
      </w:r>
      <w:r>
        <w:rPr>
          <w:rFonts w:hint="eastAsia" w:ascii="宋体" w:hAnsi="宋体"/>
          <w:szCs w:val="21"/>
        </w:rPr>
        <w:t>第五部分</w:t>
      </w:r>
      <w:r>
        <w:rPr>
          <w:rFonts w:hint="eastAsia" w:ascii="宋体" w:hAnsi="宋体"/>
        </w:rPr>
        <w:t>附件十五）</w:t>
      </w:r>
    </w:p>
    <w:p>
      <w:pPr>
        <w:numPr>
          <w:ilvl w:val="0"/>
          <w:numId w:val="11"/>
        </w:numPr>
        <w:tabs>
          <w:tab w:val="left" w:pos="1134"/>
          <w:tab w:val="left" w:pos="1276"/>
          <w:tab w:val="left" w:pos="1418"/>
        </w:tabs>
        <w:kinsoku/>
        <w:overflowPunct/>
        <w:topLinePunct w:val="0"/>
        <w:bidi w:val="0"/>
        <w:spacing w:line="300" w:lineRule="auto"/>
        <w:ind w:left="851" w:hanging="142"/>
        <w:rPr>
          <w:rFonts w:hint="eastAsia" w:ascii="宋体" w:hAnsi="宋体"/>
        </w:rPr>
      </w:pPr>
      <w:r>
        <w:rPr>
          <w:rFonts w:hint="eastAsia" w:ascii="新宋体" w:hAnsi="新宋体" w:eastAsia="新宋体"/>
          <w:szCs w:val="21"/>
        </w:rPr>
        <w:t>残疾人福利性单位声明函；（残疾人福利性单位投标时适用）；</w:t>
      </w:r>
    </w:p>
    <w:p>
      <w:pPr>
        <w:numPr>
          <w:ilvl w:val="0"/>
          <w:numId w:val="0"/>
        </w:numPr>
        <w:tabs>
          <w:tab w:val="left" w:pos="1134"/>
          <w:tab w:val="left" w:pos="1276"/>
          <w:tab w:val="left" w:pos="1418"/>
        </w:tabs>
        <w:kinsoku/>
        <w:overflowPunct/>
        <w:topLinePunct w:val="0"/>
        <w:bidi w:val="0"/>
        <w:spacing w:line="300" w:lineRule="auto"/>
        <w:jc w:val="right"/>
        <w:rPr>
          <w:rFonts w:hint="eastAsia" w:ascii="宋体" w:hAnsi="宋体"/>
        </w:rPr>
      </w:pPr>
      <w:r>
        <w:rPr>
          <w:rFonts w:hint="eastAsia" w:ascii="宋体" w:hAnsi="宋体"/>
        </w:rPr>
        <w:t>（</w:t>
      </w:r>
      <w:r>
        <w:rPr>
          <w:rFonts w:hint="eastAsia" w:ascii="宋体" w:hAnsi="宋体"/>
          <w:szCs w:val="21"/>
        </w:rPr>
        <w:t>第五部分</w:t>
      </w:r>
      <w:r>
        <w:rPr>
          <w:rFonts w:hint="eastAsia" w:ascii="宋体" w:hAnsi="宋体"/>
        </w:rPr>
        <w:t>附件十</w:t>
      </w:r>
      <w:r>
        <w:rPr>
          <w:rFonts w:hint="eastAsia" w:ascii="宋体" w:hAnsi="宋体"/>
          <w:lang w:eastAsia="zh-CN"/>
        </w:rPr>
        <w:t>六</w:t>
      </w:r>
      <w:r>
        <w:rPr>
          <w:rFonts w:hint="eastAsia" w:ascii="宋体" w:hAnsi="宋体"/>
        </w:rPr>
        <w:t>）</w:t>
      </w:r>
    </w:p>
    <w:p>
      <w:pPr>
        <w:numPr>
          <w:ilvl w:val="0"/>
          <w:numId w:val="11"/>
        </w:numPr>
        <w:tabs>
          <w:tab w:val="left" w:pos="1134"/>
          <w:tab w:val="left" w:pos="1276"/>
          <w:tab w:val="left" w:pos="1418"/>
        </w:tabs>
        <w:kinsoku/>
        <w:overflowPunct/>
        <w:topLinePunct w:val="0"/>
        <w:bidi w:val="0"/>
        <w:spacing w:line="300" w:lineRule="auto"/>
        <w:ind w:left="851" w:hanging="142"/>
        <w:rPr>
          <w:rFonts w:hint="eastAsia" w:ascii="宋体" w:hAnsi="宋体"/>
          <w:highlight w:val="none"/>
        </w:rPr>
      </w:pPr>
      <w:r>
        <w:rPr>
          <w:rFonts w:hint="eastAsia" w:ascii="新宋体" w:hAnsi="新宋体" w:eastAsia="新宋体"/>
          <w:szCs w:val="21"/>
        </w:rPr>
        <w:t>省级以上监狱管理局、戒毒管理局（含新疆生产建设兵团）出具的属于监狱企业的证明文件</w:t>
      </w:r>
      <w:r>
        <w:rPr>
          <w:rFonts w:hint="eastAsia" w:hAnsi="宋体"/>
          <w:szCs w:val="21"/>
        </w:rPr>
        <w:t>（监狱企业投标时适用）；</w:t>
      </w:r>
    </w:p>
    <w:p>
      <w:pPr>
        <w:numPr>
          <w:ilvl w:val="0"/>
          <w:numId w:val="11"/>
        </w:numPr>
        <w:tabs>
          <w:tab w:val="left" w:pos="1134"/>
          <w:tab w:val="left" w:pos="1276"/>
          <w:tab w:val="left" w:pos="1418"/>
        </w:tabs>
        <w:kinsoku/>
        <w:overflowPunct/>
        <w:topLinePunct w:val="0"/>
        <w:bidi w:val="0"/>
        <w:spacing w:line="300" w:lineRule="auto"/>
        <w:ind w:left="851" w:hanging="142"/>
        <w:rPr>
          <w:rFonts w:hint="eastAsia" w:ascii="宋体" w:hAnsi="宋体"/>
          <w:highlight w:val="none"/>
        </w:rPr>
      </w:pPr>
      <w:r>
        <w:rPr>
          <w:rFonts w:hint="eastAsia" w:ascii="新宋体" w:hAnsi="新宋体" w:eastAsia="新宋体"/>
          <w:sz w:val="22"/>
          <w:szCs w:val="22"/>
          <w:highlight w:val="none"/>
        </w:rPr>
        <w:t xml:space="preserve">政府采购政策情况表；   </w:t>
      </w:r>
      <w:r>
        <w:rPr>
          <w:rFonts w:hint="eastAsia" w:ascii="新宋体" w:hAnsi="新宋体" w:eastAsia="新宋体"/>
          <w:sz w:val="22"/>
          <w:szCs w:val="22"/>
          <w:highlight w:val="none"/>
          <w:lang w:val="en-US" w:eastAsia="zh-CN"/>
        </w:rPr>
        <w:t xml:space="preserve"> </w:t>
      </w:r>
      <w:r>
        <w:rPr>
          <w:rFonts w:hint="eastAsia" w:ascii="新宋体" w:hAnsi="新宋体" w:eastAsia="新宋体"/>
          <w:sz w:val="22"/>
          <w:szCs w:val="22"/>
          <w:highlight w:val="none"/>
        </w:rPr>
        <w:t xml:space="preserve">    </w:t>
      </w:r>
      <w:r>
        <w:rPr>
          <w:rFonts w:hint="eastAsia" w:ascii="新宋体" w:hAnsi="新宋体" w:eastAsia="新宋体"/>
          <w:sz w:val="22"/>
          <w:szCs w:val="22"/>
          <w:highlight w:val="none"/>
          <w:lang w:val="en-US" w:eastAsia="zh-CN"/>
        </w:rPr>
        <w:t xml:space="preserve">  </w:t>
      </w:r>
      <w:r>
        <w:rPr>
          <w:rFonts w:hint="eastAsia" w:ascii="新宋体" w:hAnsi="新宋体" w:eastAsia="新宋体"/>
          <w:sz w:val="22"/>
          <w:szCs w:val="22"/>
          <w:highlight w:val="none"/>
        </w:rPr>
        <w:t xml:space="preserve">                （</w:t>
      </w:r>
      <w:r>
        <w:rPr>
          <w:rFonts w:hint="eastAsia" w:ascii="宋体" w:hAnsi="宋体"/>
          <w:szCs w:val="21"/>
          <w:highlight w:val="none"/>
        </w:rPr>
        <w:t>第五部分</w:t>
      </w:r>
      <w:r>
        <w:rPr>
          <w:rFonts w:hint="eastAsia" w:ascii="宋体" w:hAnsi="宋体"/>
          <w:highlight w:val="none"/>
        </w:rPr>
        <w:t>附件十</w:t>
      </w:r>
      <w:r>
        <w:rPr>
          <w:rFonts w:hint="eastAsia" w:ascii="宋体" w:hAnsi="宋体"/>
          <w:highlight w:val="none"/>
          <w:lang w:eastAsia="zh-CN"/>
        </w:rPr>
        <w:t>七</w:t>
      </w:r>
      <w:r>
        <w:rPr>
          <w:rFonts w:hint="eastAsia" w:ascii="新宋体" w:hAnsi="新宋体" w:eastAsia="新宋体"/>
          <w:sz w:val="22"/>
          <w:szCs w:val="22"/>
          <w:highlight w:val="none"/>
          <w:lang w:eastAsia="zh-CN"/>
        </w:rPr>
        <w:t>）</w:t>
      </w:r>
    </w:p>
    <w:p>
      <w:pPr>
        <w:numPr>
          <w:ilvl w:val="0"/>
          <w:numId w:val="11"/>
        </w:numPr>
        <w:tabs>
          <w:tab w:val="left" w:pos="1134"/>
          <w:tab w:val="left" w:pos="1276"/>
          <w:tab w:val="left" w:pos="1418"/>
        </w:tabs>
        <w:kinsoku/>
        <w:overflowPunct/>
        <w:topLinePunct w:val="0"/>
        <w:bidi w:val="0"/>
        <w:spacing w:line="300" w:lineRule="auto"/>
        <w:ind w:left="851" w:hanging="142"/>
        <w:rPr>
          <w:rFonts w:hint="eastAsia" w:ascii="宋体" w:hAnsi="宋体"/>
        </w:rPr>
      </w:pPr>
      <w:r>
        <w:rPr>
          <w:rFonts w:hint="eastAsia" w:ascii="宋体" w:hAnsi="宋体"/>
        </w:rPr>
        <w:t>所投产品纳入《节能产品政府采购清单》、《环境标志产品政府采购清单》（如有）</w:t>
      </w:r>
      <w:r>
        <w:rPr>
          <w:rFonts w:hint="eastAsia"/>
          <w:szCs w:val="21"/>
        </w:rPr>
        <w:t>（复印件加盖公章）</w:t>
      </w:r>
    </w:p>
    <w:p>
      <w:pPr>
        <w:numPr>
          <w:ilvl w:val="0"/>
          <w:numId w:val="11"/>
        </w:numPr>
        <w:tabs>
          <w:tab w:val="left" w:pos="1134"/>
          <w:tab w:val="left" w:pos="1276"/>
          <w:tab w:val="left" w:pos="1418"/>
        </w:tabs>
        <w:kinsoku/>
        <w:overflowPunct/>
        <w:topLinePunct w:val="0"/>
        <w:bidi w:val="0"/>
        <w:spacing w:line="300" w:lineRule="auto"/>
        <w:ind w:left="851" w:hanging="142"/>
        <w:rPr>
          <w:rFonts w:hint="eastAsia" w:ascii="宋体" w:hAnsi="宋体"/>
        </w:rPr>
      </w:pPr>
      <w:r>
        <w:rPr>
          <w:rFonts w:hint="eastAsia" w:ascii="Arial" w:hAnsi="宋体" w:cs="Arial"/>
        </w:rPr>
        <w:t>供应商简介；</w:t>
      </w:r>
    </w:p>
    <w:p>
      <w:pPr>
        <w:numPr>
          <w:ilvl w:val="0"/>
          <w:numId w:val="11"/>
        </w:numPr>
        <w:tabs>
          <w:tab w:val="left" w:pos="1134"/>
          <w:tab w:val="left" w:pos="1276"/>
          <w:tab w:val="left" w:pos="1418"/>
        </w:tabs>
        <w:kinsoku/>
        <w:overflowPunct/>
        <w:topLinePunct w:val="0"/>
        <w:bidi w:val="0"/>
        <w:spacing w:line="300" w:lineRule="auto"/>
        <w:ind w:left="851" w:hanging="142"/>
        <w:rPr>
          <w:rFonts w:hint="eastAsia" w:ascii="宋体" w:hAnsi="宋体"/>
        </w:rPr>
      </w:pPr>
      <w:r>
        <w:rPr>
          <w:rFonts w:hint="eastAsia" w:ascii="新宋体" w:hAnsi="新宋体" w:eastAsia="新宋体"/>
          <w:szCs w:val="21"/>
        </w:rPr>
        <w:t>2016年1月1日以来</w:t>
      </w:r>
      <w:r>
        <w:rPr>
          <w:rFonts w:hint="eastAsia" w:ascii="新宋体" w:hAnsi="新宋体" w:eastAsia="新宋体"/>
          <w:szCs w:val="21"/>
          <w:lang w:eastAsia="zh-CN"/>
        </w:rPr>
        <w:t>企业同</w:t>
      </w:r>
      <w:r>
        <w:rPr>
          <w:rFonts w:hint="eastAsia" w:hAnsi="宋体"/>
          <w:szCs w:val="21"/>
        </w:rPr>
        <w:t>类项目业绩一览表；</w:t>
      </w:r>
      <w:r>
        <w:rPr>
          <w:rFonts w:hint="eastAsia" w:hAnsi="宋体"/>
          <w:szCs w:val="21"/>
          <w:lang w:val="en-US" w:eastAsia="zh-CN"/>
        </w:rPr>
        <w:t xml:space="preserve">     </w:t>
      </w:r>
      <w:r>
        <w:rPr>
          <w:rFonts w:hint="eastAsia" w:ascii="宋体" w:hAnsi="宋体"/>
        </w:rPr>
        <w:t>（</w:t>
      </w:r>
      <w:r>
        <w:rPr>
          <w:rFonts w:hint="eastAsia" w:ascii="宋体" w:hAnsi="宋体"/>
          <w:szCs w:val="21"/>
        </w:rPr>
        <w:t>第五部分</w:t>
      </w:r>
      <w:r>
        <w:rPr>
          <w:rFonts w:hint="eastAsia" w:ascii="宋体" w:hAnsi="宋体"/>
        </w:rPr>
        <w:t>附件十</w:t>
      </w:r>
      <w:r>
        <w:rPr>
          <w:rFonts w:hint="eastAsia" w:ascii="宋体" w:hAnsi="宋体"/>
          <w:lang w:eastAsia="zh-CN"/>
        </w:rPr>
        <w:t>八</w:t>
      </w:r>
      <w:r>
        <w:rPr>
          <w:rFonts w:hint="eastAsia" w:ascii="宋体" w:hAnsi="宋体"/>
        </w:rPr>
        <w:t>）</w:t>
      </w:r>
    </w:p>
    <w:p>
      <w:pPr>
        <w:numPr>
          <w:ilvl w:val="0"/>
          <w:numId w:val="11"/>
        </w:numPr>
        <w:tabs>
          <w:tab w:val="left" w:pos="1134"/>
          <w:tab w:val="left" w:pos="1276"/>
          <w:tab w:val="left" w:pos="1418"/>
        </w:tabs>
        <w:kinsoku/>
        <w:overflowPunct/>
        <w:topLinePunct w:val="0"/>
        <w:bidi w:val="0"/>
        <w:spacing w:line="300" w:lineRule="auto"/>
        <w:ind w:left="851" w:hanging="142"/>
        <w:rPr>
          <w:rFonts w:hint="eastAsia" w:ascii="宋体" w:hAnsi="宋体"/>
          <w:highlight w:val="none"/>
        </w:rPr>
      </w:pPr>
      <w:r>
        <w:rPr>
          <w:rFonts w:hint="eastAsia" w:ascii="Arial" w:hAnsi="宋体" w:cs="Arial"/>
          <w:highlight w:val="none"/>
          <w:lang w:eastAsia="zh-CN"/>
        </w:rPr>
        <w:t>项目实施</w:t>
      </w:r>
      <w:r>
        <w:rPr>
          <w:rFonts w:hint="eastAsia" w:ascii="Arial" w:hAnsi="宋体" w:cs="Arial"/>
          <w:highlight w:val="none"/>
        </w:rPr>
        <w:t>方案；</w:t>
      </w:r>
    </w:p>
    <w:p>
      <w:pPr>
        <w:numPr>
          <w:ilvl w:val="0"/>
          <w:numId w:val="11"/>
        </w:numPr>
        <w:tabs>
          <w:tab w:val="left" w:pos="1134"/>
          <w:tab w:val="left" w:pos="1276"/>
          <w:tab w:val="left" w:pos="1418"/>
        </w:tabs>
        <w:kinsoku/>
        <w:overflowPunct/>
        <w:topLinePunct w:val="0"/>
        <w:bidi w:val="0"/>
        <w:spacing w:line="300" w:lineRule="auto"/>
        <w:ind w:left="851" w:hanging="142"/>
        <w:rPr>
          <w:rFonts w:hint="eastAsia" w:ascii="宋体" w:hAnsi="宋体"/>
          <w:highlight w:val="none"/>
        </w:rPr>
      </w:pPr>
      <w:r>
        <w:rPr>
          <w:rFonts w:hint="eastAsia" w:ascii="宋体" w:hAnsi="宋体" w:cs="Arial"/>
          <w:bCs/>
          <w:kern w:val="28"/>
          <w:highlight w:val="none"/>
        </w:rPr>
        <w:t>售后服务承诺及相关保证措施；</w:t>
      </w:r>
    </w:p>
    <w:p>
      <w:pPr>
        <w:numPr>
          <w:ilvl w:val="0"/>
          <w:numId w:val="11"/>
        </w:numPr>
        <w:tabs>
          <w:tab w:val="left" w:pos="1134"/>
          <w:tab w:val="left" w:pos="1276"/>
          <w:tab w:val="left" w:pos="1418"/>
        </w:tabs>
        <w:kinsoku/>
        <w:overflowPunct/>
        <w:topLinePunct w:val="0"/>
        <w:bidi w:val="0"/>
        <w:spacing w:line="300" w:lineRule="auto"/>
        <w:ind w:left="851" w:hanging="142"/>
        <w:rPr>
          <w:rFonts w:hint="eastAsia" w:ascii="宋体" w:hAnsi="宋体"/>
        </w:rPr>
      </w:pPr>
      <w:r>
        <w:rPr>
          <w:rFonts w:hint="eastAsia" w:ascii="宋体" w:hAnsi="宋体" w:cs="Arial"/>
          <w:bCs/>
          <w:kern w:val="28"/>
          <w:highlight w:val="none"/>
        </w:rPr>
        <w:t>磋商供应</w:t>
      </w:r>
      <w:r>
        <w:rPr>
          <w:rFonts w:hint="eastAsia" w:ascii="宋体" w:hAnsi="宋体" w:cs="Arial"/>
          <w:bCs/>
          <w:kern w:val="28"/>
          <w:highlight w:val="none"/>
          <w:lang w:eastAsia="zh-CN"/>
        </w:rPr>
        <w:t>商</w:t>
      </w:r>
      <w:r>
        <w:rPr>
          <w:rFonts w:hint="eastAsia" w:ascii="宋体" w:hAnsi="宋体" w:cs="Arial"/>
          <w:bCs/>
          <w:kern w:val="28"/>
          <w:highlight w:val="none"/>
        </w:rPr>
        <w:t>认为的其他资料</w:t>
      </w:r>
      <w:r>
        <w:rPr>
          <w:rFonts w:hint="eastAsia" w:hAnsi="宋体"/>
          <w:szCs w:val="21"/>
          <w:highlight w:val="none"/>
        </w:rPr>
        <w:t>；</w:t>
      </w:r>
      <w:r>
        <w:rPr>
          <w:rFonts w:hint="eastAsia" w:ascii="宋体" w:hAnsi="宋体"/>
          <w:highlight w:val="none"/>
        </w:rPr>
        <w:t xml:space="preserve">   </w:t>
      </w:r>
    </w:p>
    <w:p>
      <w:pPr>
        <w:widowControl w:val="0"/>
        <w:tabs>
          <w:tab w:val="left" w:pos="1134"/>
          <w:tab w:val="left" w:pos="1276"/>
          <w:tab w:val="left" w:pos="1418"/>
        </w:tabs>
        <w:kinsoku/>
        <w:overflowPunct/>
        <w:topLinePunct w:val="0"/>
        <w:bidi w:val="0"/>
        <w:spacing w:line="300" w:lineRule="auto"/>
        <w:ind w:left="709"/>
        <w:jc w:val="both"/>
        <w:rPr>
          <w:rFonts w:hint="eastAsia" w:ascii="宋体" w:hAnsi="宋体"/>
          <w:b/>
          <w:bCs/>
          <w:kern w:val="2"/>
          <w:szCs w:val="21"/>
        </w:rPr>
      </w:pPr>
      <w:r>
        <w:rPr>
          <w:rFonts w:hint="eastAsia" w:ascii="宋体" w:hAnsi="宋体"/>
          <w:b/>
          <w:bCs/>
          <w:kern w:val="2"/>
          <w:szCs w:val="21"/>
        </w:rPr>
        <w:t>注：如各类证件在年检、升级、变更，不能提供的，应提供相应的主管部门出具的书面材料复印件加盖单位公章。若无，磋商响应文件则不包括本条款。</w:t>
      </w:r>
    </w:p>
    <w:p>
      <w:pPr>
        <w:numPr>
          <w:ilvl w:val="0"/>
          <w:numId w:val="10"/>
        </w:numPr>
        <w:kinsoku/>
        <w:overflowPunct/>
        <w:topLinePunct w:val="0"/>
        <w:bidi w:val="0"/>
        <w:snapToGrid w:val="0"/>
        <w:spacing w:line="300" w:lineRule="auto"/>
        <w:jc w:val="both"/>
        <w:rPr>
          <w:rFonts w:ascii="宋体" w:hAnsi="宋体"/>
          <w:b/>
          <w:bCs/>
          <w:sz w:val="24"/>
        </w:rPr>
      </w:pPr>
      <w:r>
        <w:rPr>
          <w:rFonts w:hint="eastAsia" w:ascii="宋体" w:hAnsi="宋体"/>
          <w:b/>
          <w:bCs/>
          <w:sz w:val="24"/>
        </w:rPr>
        <w:t>磋商响应格式填写说明</w:t>
      </w:r>
    </w:p>
    <w:p>
      <w:pPr>
        <w:numPr>
          <w:ilvl w:val="1"/>
          <w:numId w:val="10"/>
        </w:numPr>
        <w:kinsoku/>
        <w:overflowPunct/>
        <w:topLinePunct w:val="0"/>
        <w:bidi w:val="0"/>
        <w:snapToGrid w:val="0"/>
        <w:spacing w:line="300" w:lineRule="auto"/>
        <w:jc w:val="both"/>
        <w:rPr>
          <w:rFonts w:ascii="Arial" w:hAnsi="Arial"/>
        </w:rPr>
      </w:pPr>
      <w:r>
        <w:rPr>
          <w:rFonts w:hint="eastAsia" w:ascii="Arial" w:hAnsi="Arial"/>
        </w:rPr>
        <w:t>磋商供应商应在认真阅读磋商文件所有内容的基础上，按照磋商文件的要求编制完整的磋商响应文件。磋商响应文件应按照磋商文件中规定的统一格式填写，严格按照规定的顺序装订成册并编制目录，混乱的编排导致磋商响应文件被误读或采购人查找不到有效文件是磋商供应商的风险。</w:t>
      </w:r>
    </w:p>
    <w:p>
      <w:pPr>
        <w:numPr>
          <w:ilvl w:val="1"/>
          <w:numId w:val="10"/>
        </w:numPr>
        <w:kinsoku/>
        <w:overflowPunct/>
        <w:topLinePunct w:val="0"/>
        <w:bidi w:val="0"/>
        <w:snapToGrid w:val="0"/>
        <w:spacing w:line="300" w:lineRule="auto"/>
        <w:jc w:val="both"/>
        <w:rPr>
          <w:szCs w:val="21"/>
        </w:rPr>
      </w:pPr>
      <w:r>
        <w:rPr>
          <w:rFonts w:hint="eastAsia" w:ascii="Arial" w:hAnsi="Arial"/>
        </w:rPr>
        <w:t>磋商供应商必须保证磋商响应文件所提供的全部资料真实可靠，并接受采购人对其中任何资料进一步审查的要求。提供虚假证明的磋商供应商将被取消政府采购供应商资格，并在政府采购宣传媒体上予以公告。</w:t>
      </w:r>
    </w:p>
    <w:p>
      <w:pPr>
        <w:numPr>
          <w:ilvl w:val="0"/>
          <w:numId w:val="10"/>
        </w:numPr>
        <w:kinsoku/>
        <w:overflowPunct/>
        <w:topLinePunct w:val="0"/>
        <w:bidi w:val="0"/>
        <w:snapToGrid w:val="0"/>
        <w:spacing w:line="300" w:lineRule="auto"/>
        <w:jc w:val="both"/>
        <w:rPr>
          <w:rFonts w:ascii="Arial" w:hAnsi="Arial"/>
          <w:b/>
          <w:sz w:val="24"/>
        </w:rPr>
      </w:pPr>
      <w:r>
        <w:rPr>
          <w:rFonts w:hint="eastAsia" w:ascii="Arial" w:hAnsi="Arial"/>
          <w:b/>
          <w:sz w:val="24"/>
        </w:rPr>
        <w:t>磋商有效期</w:t>
      </w:r>
    </w:p>
    <w:p>
      <w:pPr>
        <w:numPr>
          <w:ilvl w:val="1"/>
          <w:numId w:val="10"/>
        </w:numPr>
        <w:kinsoku/>
        <w:overflowPunct/>
        <w:topLinePunct w:val="0"/>
        <w:bidi w:val="0"/>
        <w:snapToGrid w:val="0"/>
        <w:spacing w:line="300" w:lineRule="auto"/>
        <w:jc w:val="both"/>
        <w:rPr>
          <w:rFonts w:ascii="宋体" w:hAnsi="宋体"/>
          <w:szCs w:val="21"/>
        </w:rPr>
      </w:pPr>
      <w:r>
        <w:rPr>
          <w:rFonts w:hint="eastAsia"/>
          <w:szCs w:val="21"/>
        </w:rPr>
        <w:t>▲</w:t>
      </w:r>
      <w:r>
        <w:rPr>
          <w:rFonts w:hint="eastAsia" w:ascii="宋体" w:hAnsi="宋体"/>
          <w:szCs w:val="21"/>
        </w:rPr>
        <w:t>提交磋商响应文件截止日起90日历天，磋商响应文件应保持有效。磋商有效期比规定期限短的将被视为非响应磋商而予以否决。</w:t>
      </w:r>
    </w:p>
    <w:p>
      <w:pPr>
        <w:numPr>
          <w:ilvl w:val="1"/>
          <w:numId w:val="10"/>
        </w:numPr>
        <w:kinsoku/>
        <w:overflowPunct/>
        <w:topLinePunct w:val="0"/>
        <w:bidi w:val="0"/>
        <w:snapToGrid w:val="0"/>
        <w:spacing w:line="300" w:lineRule="auto"/>
        <w:jc w:val="both"/>
      </w:pPr>
      <w:r>
        <w:rPr>
          <w:rFonts w:hint="eastAsia" w:ascii="宋体" w:hAnsi="宋体"/>
          <w:szCs w:val="21"/>
        </w:rPr>
        <w:t>特殊情况下，采购人可于磋商有效期满之前要求磋商供应商同意延长有效期，要求与答复均应为书面形式</w:t>
      </w:r>
      <w:r>
        <w:rPr>
          <w:rFonts w:hint="eastAsia" w:ascii="宋体" w:hAnsi="宋体"/>
        </w:rPr>
        <w:t>。</w:t>
      </w:r>
    </w:p>
    <w:p>
      <w:pPr>
        <w:numPr>
          <w:ilvl w:val="0"/>
          <w:numId w:val="10"/>
        </w:numPr>
        <w:kinsoku/>
        <w:overflowPunct/>
        <w:topLinePunct w:val="0"/>
        <w:bidi w:val="0"/>
        <w:snapToGrid w:val="0"/>
        <w:spacing w:line="300" w:lineRule="auto"/>
        <w:jc w:val="both"/>
        <w:rPr>
          <w:rFonts w:ascii="Arial" w:hAnsi="Arial"/>
          <w:b/>
          <w:sz w:val="24"/>
        </w:rPr>
      </w:pPr>
      <w:r>
        <w:rPr>
          <w:rFonts w:hint="eastAsia" w:ascii="Arial" w:hAnsi="Arial"/>
          <w:b/>
          <w:sz w:val="24"/>
          <w:szCs w:val="24"/>
        </w:rPr>
        <w:t>磋商报价</w:t>
      </w:r>
    </w:p>
    <w:p>
      <w:pPr>
        <w:numPr>
          <w:ilvl w:val="1"/>
          <w:numId w:val="10"/>
        </w:numPr>
        <w:kinsoku/>
        <w:overflowPunct/>
        <w:topLinePunct w:val="0"/>
        <w:bidi w:val="0"/>
        <w:snapToGrid w:val="0"/>
        <w:spacing w:line="300" w:lineRule="auto"/>
        <w:jc w:val="both"/>
        <w:rPr>
          <w:rFonts w:ascii="宋体" w:hAnsi="宋体"/>
        </w:rPr>
      </w:pPr>
      <w:r>
        <w:rPr>
          <w:rFonts w:hint="eastAsia" w:ascii="宋体" w:hAnsi="宋体"/>
          <w:bCs/>
          <w:szCs w:val="21"/>
        </w:rPr>
        <w:t>磋商</w:t>
      </w:r>
      <w:r>
        <w:rPr>
          <w:rFonts w:hint="eastAsia" w:ascii="宋体" w:hAnsi="宋体"/>
        </w:rPr>
        <w:t>供应商提供的价格应该用人民币投标。投标报价为磋商供应商在磋商文件中提出的各项支付金额的总和。</w:t>
      </w:r>
    </w:p>
    <w:p>
      <w:pPr>
        <w:numPr>
          <w:ilvl w:val="1"/>
          <w:numId w:val="10"/>
        </w:numPr>
        <w:kinsoku/>
        <w:overflowPunct/>
        <w:topLinePunct w:val="0"/>
        <w:bidi w:val="0"/>
        <w:snapToGrid w:val="0"/>
        <w:spacing w:line="300" w:lineRule="auto"/>
        <w:jc w:val="both"/>
        <w:rPr>
          <w:rFonts w:ascii="宋体" w:hAnsi="宋体"/>
          <w:szCs w:val="21"/>
        </w:rPr>
      </w:pPr>
      <w:r>
        <w:rPr>
          <w:rFonts w:ascii="宋体" w:hAnsi="宋体"/>
        </w:rPr>
        <w:t>除非合同中另有规定，</w:t>
      </w:r>
      <w:r>
        <w:rPr>
          <w:rFonts w:hint="eastAsia" w:ascii="宋体" w:hAnsi="宋体"/>
        </w:rPr>
        <w:t>错商供应商</w:t>
      </w:r>
      <w:r>
        <w:rPr>
          <w:rFonts w:ascii="宋体" w:hAnsi="宋体"/>
        </w:rPr>
        <w:t>在投标总价中均包括完成该工程项目的人工费、材料费、施工机械使用费、企业管理费、利润、税金、规费、安全施工费、风险费</w:t>
      </w:r>
      <w:r>
        <w:rPr>
          <w:rFonts w:hint="eastAsia" w:ascii="宋体" w:hAnsi="宋体"/>
        </w:rPr>
        <w:t>及检验试验费</w:t>
      </w:r>
      <w:r>
        <w:rPr>
          <w:rFonts w:ascii="宋体" w:hAnsi="宋体"/>
        </w:rPr>
        <w:t>等所有费用</w:t>
      </w:r>
      <w:r>
        <w:rPr>
          <w:rFonts w:hint="eastAsia" w:ascii="宋体" w:hAnsi="宋体"/>
        </w:rPr>
        <w:t>。</w:t>
      </w:r>
    </w:p>
    <w:p>
      <w:pPr>
        <w:numPr>
          <w:ilvl w:val="1"/>
          <w:numId w:val="10"/>
        </w:numPr>
        <w:kinsoku/>
        <w:overflowPunct/>
        <w:topLinePunct w:val="0"/>
        <w:bidi w:val="0"/>
        <w:snapToGrid w:val="0"/>
        <w:spacing w:line="300" w:lineRule="auto"/>
        <w:jc w:val="both"/>
        <w:rPr>
          <w:rFonts w:ascii="宋体" w:hAnsi="宋体"/>
          <w:szCs w:val="21"/>
        </w:rPr>
      </w:pPr>
      <w:r>
        <w:rPr>
          <w:rFonts w:hint="eastAsia" w:ascii="Arial" w:hAnsi="宋体" w:cs="Arial"/>
          <w:bCs/>
          <w:szCs w:val="21"/>
        </w:rPr>
        <w:t>报价</w:t>
      </w:r>
      <w:r>
        <w:rPr>
          <w:rFonts w:ascii="Arial" w:hAnsi="宋体" w:cs="Arial"/>
          <w:bCs/>
          <w:szCs w:val="21"/>
        </w:rPr>
        <w:t>采用方式：</w:t>
      </w:r>
      <w:r>
        <w:rPr>
          <w:rFonts w:hint="eastAsia" w:ascii="Arial" w:hAnsi="宋体" w:cs="Arial"/>
          <w:bCs/>
          <w:szCs w:val="21"/>
        </w:rPr>
        <w:t>采用工程量清单报价，磋商供应商应按</w:t>
      </w:r>
      <w:r>
        <w:rPr>
          <w:rFonts w:hint="eastAsia" w:ascii="Arial" w:hAnsi="宋体" w:cs="Arial"/>
          <w:bCs/>
          <w:szCs w:val="21"/>
          <w:lang w:eastAsia="zh-CN"/>
        </w:rPr>
        <w:t>采购人</w:t>
      </w:r>
      <w:r>
        <w:rPr>
          <w:rFonts w:hint="eastAsia" w:ascii="Arial" w:hAnsi="宋体" w:cs="Arial"/>
          <w:bCs/>
          <w:szCs w:val="21"/>
        </w:rPr>
        <w:t>提供的工程量清单中列出的工程项目和工程量填报单价和合价</w:t>
      </w:r>
      <w:r>
        <w:rPr>
          <w:rFonts w:hint="eastAsia" w:ascii="Arial" w:hAnsi="宋体" w:cs="Arial"/>
          <w:b/>
          <w:bCs/>
          <w:szCs w:val="21"/>
        </w:rPr>
        <w:t>。</w:t>
      </w:r>
      <w:r>
        <w:rPr>
          <w:rFonts w:hint="eastAsia" w:ascii="宋体" w:hAnsi="宋体"/>
        </w:rPr>
        <w:t>磋商供应商</w:t>
      </w:r>
      <w:r>
        <w:rPr>
          <w:rFonts w:ascii="宋体" w:hAnsi="宋体"/>
        </w:rPr>
        <w:t>未填单价或合价的工程项目，在实施后，</w:t>
      </w:r>
      <w:r>
        <w:rPr>
          <w:rFonts w:hint="eastAsia" w:ascii="宋体" w:hAnsi="宋体"/>
          <w:lang w:eastAsia="zh-CN"/>
        </w:rPr>
        <w:t>采购人</w:t>
      </w:r>
      <w:r>
        <w:rPr>
          <w:rFonts w:ascii="宋体" w:hAnsi="宋体"/>
        </w:rPr>
        <w:t>将不予以支付，视为该项费用已包括在其他有价款的单价或合价内</w:t>
      </w:r>
      <w:r>
        <w:rPr>
          <w:rFonts w:hint="eastAsia" w:ascii="宋体" w:hAnsi="宋体"/>
        </w:rPr>
        <w:t>。</w:t>
      </w:r>
    </w:p>
    <w:p>
      <w:pPr>
        <w:numPr>
          <w:ilvl w:val="1"/>
          <w:numId w:val="10"/>
        </w:numPr>
        <w:kinsoku/>
        <w:overflowPunct/>
        <w:topLinePunct w:val="0"/>
        <w:bidi w:val="0"/>
        <w:snapToGrid w:val="0"/>
        <w:spacing w:line="300" w:lineRule="auto"/>
        <w:jc w:val="both"/>
        <w:rPr>
          <w:rFonts w:ascii="宋体" w:hAnsi="宋体"/>
          <w:szCs w:val="21"/>
        </w:rPr>
      </w:pPr>
      <w:r>
        <w:rPr>
          <w:rFonts w:hint="eastAsia" w:ascii="宋体" w:hAnsi="宋体"/>
          <w:szCs w:val="21"/>
        </w:rPr>
        <w:t>根据本次竞争性磋商采购工作要求，最后只允许有一个磋商报价，磋商供应商应在各自技术和商务占优势的基础上并充分考虑本项目的重要性，在磋商结束后提供给采购机构及采购人最优惠的磋商价格。</w:t>
      </w:r>
    </w:p>
    <w:p>
      <w:pPr>
        <w:numPr>
          <w:ilvl w:val="1"/>
          <w:numId w:val="10"/>
        </w:numPr>
        <w:kinsoku/>
        <w:overflowPunct/>
        <w:topLinePunct w:val="0"/>
        <w:bidi w:val="0"/>
        <w:snapToGrid w:val="0"/>
        <w:spacing w:line="300" w:lineRule="auto"/>
        <w:jc w:val="both"/>
        <w:rPr>
          <w:rFonts w:ascii="Arial" w:hAnsi="Arial"/>
          <w:b/>
          <w:bCs/>
        </w:rPr>
      </w:pPr>
      <w:r>
        <w:rPr>
          <w:rFonts w:hint="eastAsia" w:ascii="宋体" w:hAnsi="宋体"/>
        </w:rPr>
        <w:t>参考造价编制</w:t>
      </w:r>
      <w:r>
        <w:rPr>
          <w:rFonts w:hint="eastAsia"/>
        </w:rPr>
        <w:t>依据：</w:t>
      </w:r>
    </w:p>
    <w:p>
      <w:pPr>
        <w:pStyle w:val="563"/>
        <w:kinsoku/>
        <w:overflowPunct/>
        <w:topLinePunct w:val="0"/>
        <w:bidi w:val="0"/>
        <w:spacing w:line="300" w:lineRule="auto"/>
        <w:ind w:right="-74" w:firstLine="414"/>
      </w:pPr>
      <w:r>
        <w:rPr>
          <w:rFonts w:hint="eastAsia"/>
        </w:rPr>
        <w:t xml:space="preserve"> （</w:t>
      </w:r>
      <w:r>
        <w:t>1</w:t>
      </w:r>
      <w:r>
        <w:rPr>
          <w:rFonts w:hint="eastAsia"/>
        </w:rPr>
        <w:t>）根据《浙江省建设工程计价规则</w:t>
      </w:r>
      <w:r>
        <w:t>(2018</w:t>
      </w:r>
      <w:r>
        <w:rPr>
          <w:rFonts w:hint="eastAsia"/>
        </w:rPr>
        <w:t>版</w:t>
      </w:r>
      <w:r>
        <w:t>)</w:t>
      </w:r>
      <w:r>
        <w:rPr>
          <w:rFonts w:hint="eastAsia"/>
        </w:rPr>
        <w:t>文件及温州市建设工程造价管理处的有关规定。</w:t>
      </w:r>
    </w:p>
    <w:p>
      <w:pPr>
        <w:pStyle w:val="563"/>
        <w:kinsoku/>
        <w:overflowPunct/>
        <w:topLinePunct w:val="0"/>
        <w:bidi w:val="0"/>
        <w:spacing w:line="300" w:lineRule="auto"/>
        <w:ind w:right="-74" w:firstLine="414"/>
      </w:pPr>
      <w:r>
        <w:t>(2)</w:t>
      </w:r>
      <w:r>
        <w:rPr>
          <w:rFonts w:hint="eastAsia"/>
        </w:rPr>
        <w:t>《浙江省建筑工程预算定额</w:t>
      </w:r>
      <w:r>
        <w:t>(2018</w:t>
      </w:r>
      <w:r>
        <w:rPr>
          <w:rFonts w:hint="eastAsia"/>
        </w:rPr>
        <w:t>版</w:t>
      </w:r>
      <w:r>
        <w:t>)</w:t>
      </w:r>
      <w:r>
        <w:rPr>
          <w:rFonts w:hint="eastAsia"/>
        </w:rPr>
        <w:t>》</w:t>
      </w:r>
      <w:r>
        <w:t>;</w:t>
      </w:r>
    </w:p>
    <w:p>
      <w:pPr>
        <w:pStyle w:val="563"/>
        <w:kinsoku/>
        <w:overflowPunct/>
        <w:topLinePunct w:val="0"/>
        <w:bidi w:val="0"/>
        <w:spacing w:line="300" w:lineRule="auto"/>
        <w:ind w:right="-74" w:firstLine="414"/>
      </w:pPr>
      <w:r>
        <w:t>(3)</w:t>
      </w:r>
      <w:r>
        <w:rPr>
          <w:rFonts w:hint="eastAsia"/>
        </w:rPr>
        <w:t>《浙江省安装工程预算定额</w:t>
      </w:r>
      <w:r>
        <w:t>(2018</w:t>
      </w:r>
      <w:r>
        <w:rPr>
          <w:rFonts w:hint="eastAsia"/>
        </w:rPr>
        <w:t>版</w:t>
      </w:r>
      <w:r>
        <w:t>)</w:t>
      </w:r>
      <w:r>
        <w:rPr>
          <w:rFonts w:hint="eastAsia"/>
        </w:rPr>
        <w:t>》</w:t>
      </w:r>
      <w:r>
        <w:t>;</w:t>
      </w:r>
    </w:p>
    <w:p>
      <w:pPr>
        <w:pStyle w:val="563"/>
        <w:kinsoku/>
        <w:overflowPunct/>
        <w:topLinePunct w:val="0"/>
        <w:bidi w:val="0"/>
        <w:spacing w:line="300" w:lineRule="auto"/>
        <w:ind w:right="-74" w:firstLine="414"/>
      </w:pPr>
      <w:r>
        <w:t>(4)</w:t>
      </w:r>
      <w:r>
        <w:rPr>
          <w:rFonts w:hint="eastAsia"/>
        </w:rPr>
        <w:t>《浙江省市政工程预算定额</w:t>
      </w:r>
      <w:r>
        <w:t xml:space="preserve">(2018 </w:t>
      </w:r>
      <w:r>
        <w:rPr>
          <w:rFonts w:hint="eastAsia"/>
        </w:rPr>
        <w:t>版</w:t>
      </w:r>
      <w:r>
        <w:t>)</w:t>
      </w:r>
      <w:r>
        <w:rPr>
          <w:rFonts w:hint="eastAsia"/>
        </w:rPr>
        <w:t>》</w:t>
      </w:r>
      <w:r>
        <w:t>;</w:t>
      </w:r>
    </w:p>
    <w:p>
      <w:pPr>
        <w:pStyle w:val="563"/>
        <w:kinsoku/>
        <w:overflowPunct/>
        <w:topLinePunct w:val="0"/>
        <w:bidi w:val="0"/>
        <w:spacing w:line="300" w:lineRule="auto"/>
        <w:ind w:right="-74" w:firstLine="414"/>
      </w:pPr>
      <w:r>
        <w:t>(5)</w:t>
      </w:r>
      <w:r>
        <w:rPr>
          <w:rFonts w:hint="eastAsia"/>
        </w:rPr>
        <w:t>《浙江省园林绿化及仿古建筑工程预算定额</w:t>
      </w:r>
      <w:r>
        <w:t>(2018</w:t>
      </w:r>
      <w:r>
        <w:rPr>
          <w:rFonts w:hint="eastAsia"/>
        </w:rPr>
        <w:t>版</w:t>
      </w:r>
      <w:r>
        <w:t>)</w:t>
      </w:r>
      <w:r>
        <w:rPr>
          <w:rFonts w:hint="eastAsia"/>
        </w:rPr>
        <w:t>》</w:t>
      </w:r>
      <w:r>
        <w:t>;</w:t>
      </w:r>
    </w:p>
    <w:p>
      <w:pPr>
        <w:pStyle w:val="563"/>
        <w:kinsoku/>
        <w:overflowPunct/>
        <w:topLinePunct w:val="0"/>
        <w:bidi w:val="0"/>
        <w:spacing w:line="300" w:lineRule="auto"/>
        <w:ind w:right="-74" w:firstLine="414"/>
      </w:pPr>
      <w:r>
        <w:t>(6)</w:t>
      </w:r>
      <w:r>
        <w:rPr>
          <w:rFonts w:hint="eastAsia"/>
        </w:rPr>
        <w:t>《浙江省建筑安装材料基期价格</w:t>
      </w:r>
      <w:r>
        <w:t>(2018</w:t>
      </w:r>
      <w:r>
        <w:rPr>
          <w:rFonts w:hint="eastAsia"/>
        </w:rPr>
        <w:t>版</w:t>
      </w:r>
      <w:r>
        <w:t>)</w:t>
      </w:r>
      <w:r>
        <w:rPr>
          <w:rFonts w:hint="eastAsia"/>
        </w:rPr>
        <w:t>》</w:t>
      </w:r>
      <w:r>
        <w:t>;</w:t>
      </w:r>
    </w:p>
    <w:p>
      <w:pPr>
        <w:pStyle w:val="563"/>
        <w:kinsoku/>
        <w:overflowPunct/>
        <w:topLinePunct w:val="0"/>
        <w:bidi w:val="0"/>
        <w:spacing w:line="300" w:lineRule="auto"/>
        <w:ind w:right="-74" w:firstLine="414"/>
      </w:pPr>
      <w:r>
        <w:t>(7)</w:t>
      </w:r>
      <w:r>
        <w:rPr>
          <w:rFonts w:hint="eastAsia"/>
        </w:rPr>
        <w:t>《浙江省施工机械台班费用定额</w:t>
      </w:r>
      <w:r>
        <w:t>(2018</w:t>
      </w:r>
      <w:r>
        <w:rPr>
          <w:rFonts w:hint="eastAsia"/>
        </w:rPr>
        <w:t>版</w:t>
      </w:r>
      <w:r>
        <w:t>)</w:t>
      </w:r>
      <w:r>
        <w:rPr>
          <w:rFonts w:hint="eastAsia"/>
        </w:rPr>
        <w:t>》</w:t>
      </w:r>
      <w:r>
        <w:t>;</w:t>
      </w:r>
    </w:p>
    <w:p>
      <w:pPr>
        <w:pStyle w:val="563"/>
        <w:kinsoku/>
        <w:overflowPunct/>
        <w:topLinePunct w:val="0"/>
        <w:bidi w:val="0"/>
        <w:spacing w:line="300" w:lineRule="auto"/>
        <w:ind w:right="-74" w:firstLine="414"/>
      </w:pPr>
      <w:r>
        <w:t>(8)</w:t>
      </w:r>
      <w:r>
        <w:rPr>
          <w:rFonts w:hint="eastAsia"/>
        </w:rPr>
        <w:t>《房屋建筑与装饰工程工程量计算规范</w:t>
      </w:r>
      <w:r>
        <w:t>(2013</w:t>
      </w:r>
      <w:r>
        <w:rPr>
          <w:rFonts w:hint="eastAsia"/>
        </w:rPr>
        <w:t>版</w:t>
      </w:r>
      <w:r>
        <w:t>)</w:t>
      </w:r>
      <w:r>
        <w:rPr>
          <w:rFonts w:hint="eastAsia"/>
        </w:rPr>
        <w:t>》</w:t>
      </w:r>
      <w:r>
        <w:t>;</w:t>
      </w:r>
    </w:p>
    <w:p>
      <w:pPr>
        <w:pStyle w:val="563"/>
        <w:kinsoku/>
        <w:overflowPunct/>
        <w:topLinePunct w:val="0"/>
        <w:bidi w:val="0"/>
        <w:spacing w:line="300" w:lineRule="auto"/>
        <w:ind w:right="-74" w:firstLine="414"/>
      </w:pPr>
      <w:r>
        <w:t>(9)</w:t>
      </w:r>
      <w:r>
        <w:rPr>
          <w:rFonts w:hint="eastAsia"/>
        </w:rPr>
        <w:t>《通用安装工程工程量计算规范</w:t>
      </w:r>
      <w:r>
        <w:t>(2013</w:t>
      </w:r>
      <w:r>
        <w:rPr>
          <w:rFonts w:hint="eastAsia"/>
        </w:rPr>
        <w:t>版</w:t>
      </w:r>
      <w:r>
        <w:t>)</w:t>
      </w:r>
      <w:r>
        <w:rPr>
          <w:rFonts w:hint="eastAsia"/>
        </w:rPr>
        <w:t>》</w:t>
      </w:r>
      <w:r>
        <w:t>;</w:t>
      </w:r>
    </w:p>
    <w:p>
      <w:pPr>
        <w:pStyle w:val="563"/>
        <w:kinsoku/>
        <w:overflowPunct/>
        <w:topLinePunct w:val="0"/>
        <w:bidi w:val="0"/>
        <w:spacing w:line="300" w:lineRule="auto"/>
        <w:ind w:right="-74" w:firstLine="414"/>
      </w:pPr>
      <w:r>
        <w:t>(10)</w:t>
      </w:r>
      <w:r>
        <w:rPr>
          <w:rFonts w:hint="eastAsia"/>
        </w:rPr>
        <w:t>温住建发</w:t>
      </w:r>
      <w:r>
        <w:t>[2018] 299</w:t>
      </w:r>
      <w:r>
        <w:rPr>
          <w:rFonts w:hint="eastAsia"/>
        </w:rPr>
        <w:t>号传发关于浙江省建设工程计价依据</w:t>
      </w:r>
      <w:r>
        <w:t>( 2018</w:t>
      </w:r>
      <w:r>
        <w:rPr>
          <w:rFonts w:hint="eastAsia"/>
        </w:rPr>
        <w:t>版</w:t>
      </w:r>
      <w:r>
        <w:t>)</w:t>
      </w:r>
      <w:r>
        <w:rPr>
          <w:rFonts w:hint="eastAsia"/>
        </w:rPr>
        <w:t>的通知</w:t>
      </w:r>
      <w:r>
        <w:t>))</w:t>
      </w:r>
    </w:p>
    <w:p>
      <w:pPr>
        <w:pStyle w:val="563"/>
        <w:kinsoku/>
        <w:overflowPunct/>
        <w:topLinePunct w:val="0"/>
        <w:bidi w:val="0"/>
        <w:spacing w:line="300" w:lineRule="auto"/>
        <w:ind w:right="-74" w:firstLine="414"/>
      </w:pPr>
      <w:r>
        <w:t>(17)</w:t>
      </w:r>
      <w:r>
        <w:rPr>
          <w:rFonts w:hint="eastAsia"/>
        </w:rPr>
        <w:t>国家标准图集、部省市有关造价政策文件、规范性文件等</w:t>
      </w:r>
      <w:r>
        <w:t>;</w:t>
      </w:r>
    </w:p>
    <w:p>
      <w:pPr>
        <w:pStyle w:val="563"/>
        <w:kinsoku/>
        <w:overflowPunct/>
        <w:topLinePunct w:val="0"/>
        <w:bidi w:val="0"/>
        <w:spacing w:line="300" w:lineRule="auto"/>
        <w:ind w:right="-74" w:firstLine="414"/>
        <w:rPr>
          <w:rFonts w:hint="eastAsia"/>
        </w:rPr>
      </w:pPr>
      <w:r>
        <w:rPr>
          <w:rFonts w:hint="eastAsia"/>
        </w:rPr>
        <w:t>（</w:t>
      </w:r>
      <w:r>
        <w:t>18)</w:t>
      </w:r>
      <w:r>
        <w:rPr>
          <w:rFonts w:hint="eastAsia"/>
        </w:rPr>
        <w:t>其他相关规定</w:t>
      </w:r>
    </w:p>
    <w:p>
      <w:pPr>
        <w:pStyle w:val="563"/>
        <w:kinsoku/>
        <w:overflowPunct/>
        <w:topLinePunct w:val="0"/>
        <w:bidi w:val="0"/>
        <w:spacing w:line="300" w:lineRule="auto"/>
        <w:ind w:right="-74" w:firstLineChars="0"/>
      </w:pPr>
      <w:r>
        <w:rPr>
          <w:rFonts w:hint="eastAsia"/>
        </w:rPr>
        <w:t>（19）经审定本工程取费标准参照如下：</w:t>
      </w:r>
    </w:p>
    <w:tbl>
      <w:tblPr>
        <w:tblStyle w:val="53"/>
        <w:tblW w:w="0" w:type="auto"/>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4305"/>
        <w:gridCol w:w="337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46" w:hRule="exact"/>
          <w:jc w:val="center"/>
        </w:trPr>
        <w:tc>
          <w:tcPr>
            <w:tcW w:w="1039" w:type="dxa"/>
            <w:tcBorders>
              <w:top w:val="single" w:color="auto" w:sz="6" w:space="0"/>
            </w:tcBorders>
            <w:noWrap w:val="0"/>
            <w:vAlign w:val="center"/>
          </w:tcPr>
          <w:p>
            <w:pPr>
              <w:kinsoku/>
              <w:overflowPunct/>
              <w:topLinePunct w:val="0"/>
              <w:bidi w:val="0"/>
              <w:snapToGrid w:val="0"/>
              <w:spacing w:line="300" w:lineRule="auto"/>
              <w:jc w:val="center"/>
              <w:rPr>
                <w:rFonts w:ascii="宋体" w:cs="Arial"/>
                <w:bCs/>
                <w:szCs w:val="21"/>
              </w:rPr>
            </w:pPr>
            <w:r>
              <w:rPr>
                <w:rFonts w:hint="eastAsia" w:ascii="宋体" w:hAnsi="宋体" w:cs="Arial"/>
                <w:bCs/>
                <w:szCs w:val="21"/>
              </w:rPr>
              <w:t>序号</w:t>
            </w:r>
          </w:p>
        </w:tc>
        <w:tc>
          <w:tcPr>
            <w:tcW w:w="4305" w:type="dxa"/>
            <w:tcBorders>
              <w:top w:val="single" w:color="auto" w:sz="6" w:space="0"/>
              <w:left w:val="single" w:color="auto" w:sz="6" w:space="0"/>
            </w:tcBorders>
            <w:noWrap w:val="0"/>
            <w:vAlign w:val="center"/>
          </w:tcPr>
          <w:p>
            <w:pPr>
              <w:kinsoku/>
              <w:overflowPunct/>
              <w:topLinePunct w:val="0"/>
              <w:bidi w:val="0"/>
              <w:snapToGrid w:val="0"/>
              <w:spacing w:line="300" w:lineRule="auto"/>
              <w:jc w:val="center"/>
              <w:rPr>
                <w:rFonts w:ascii="宋体" w:cs="Arial"/>
                <w:szCs w:val="21"/>
              </w:rPr>
            </w:pPr>
            <w:r>
              <w:rPr>
                <w:rFonts w:hint="eastAsia" w:ascii="宋体" w:hAnsi="宋体" w:cs="Arial"/>
                <w:bCs/>
                <w:szCs w:val="21"/>
              </w:rPr>
              <w:t>项目名称</w:t>
            </w:r>
          </w:p>
        </w:tc>
        <w:tc>
          <w:tcPr>
            <w:tcW w:w="3376" w:type="dxa"/>
            <w:tcBorders>
              <w:top w:val="single" w:color="auto" w:sz="6" w:space="0"/>
            </w:tcBorders>
            <w:noWrap w:val="0"/>
            <w:vAlign w:val="center"/>
          </w:tcPr>
          <w:p>
            <w:pPr>
              <w:kinsoku/>
              <w:overflowPunct/>
              <w:topLinePunct w:val="0"/>
              <w:bidi w:val="0"/>
              <w:snapToGrid w:val="0"/>
              <w:spacing w:line="300" w:lineRule="auto"/>
              <w:jc w:val="center"/>
              <w:rPr>
                <w:rFonts w:ascii="宋体" w:cs="Arial"/>
                <w:szCs w:val="21"/>
              </w:rPr>
            </w:pPr>
            <w:r>
              <w:rPr>
                <w:rFonts w:hint="eastAsia" w:ascii="宋体" w:hAnsi="宋体" w:cs="Arial"/>
                <w:szCs w:val="21"/>
              </w:rPr>
              <w:t>安装费率（</w:t>
            </w:r>
            <w:r>
              <w:rPr>
                <w:rFonts w:ascii="宋体" w:hAnsi="宋体" w:cs="Arial"/>
                <w:szCs w:val="21"/>
              </w:rPr>
              <w:t>%</w:t>
            </w:r>
            <w:r>
              <w:rPr>
                <w:rFonts w:hint="eastAsia" w:ascii="宋体" w:hAnsi="宋体" w:cs="Arial"/>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1" w:hRule="exact"/>
          <w:jc w:val="center"/>
        </w:trPr>
        <w:tc>
          <w:tcPr>
            <w:tcW w:w="1039" w:type="dxa"/>
            <w:tcBorders>
              <w:top w:val="single" w:color="auto" w:sz="6" w:space="0"/>
            </w:tcBorders>
            <w:noWrap w:val="0"/>
            <w:vAlign w:val="center"/>
          </w:tcPr>
          <w:p>
            <w:pPr>
              <w:kinsoku/>
              <w:overflowPunct/>
              <w:topLinePunct w:val="0"/>
              <w:bidi w:val="0"/>
              <w:snapToGrid w:val="0"/>
              <w:spacing w:line="300" w:lineRule="auto"/>
              <w:jc w:val="center"/>
              <w:rPr>
                <w:rFonts w:ascii="宋体" w:cs="Arial"/>
                <w:szCs w:val="21"/>
              </w:rPr>
            </w:pPr>
            <w:r>
              <w:rPr>
                <w:rFonts w:hint="eastAsia" w:ascii="宋体" w:hAnsi="宋体" w:cs="Arial"/>
                <w:szCs w:val="21"/>
              </w:rPr>
              <w:t>一</w:t>
            </w:r>
          </w:p>
        </w:tc>
        <w:tc>
          <w:tcPr>
            <w:tcW w:w="4305" w:type="dxa"/>
            <w:tcBorders>
              <w:top w:val="single" w:color="auto" w:sz="6" w:space="0"/>
              <w:left w:val="single" w:color="auto" w:sz="6" w:space="0"/>
            </w:tcBorders>
            <w:noWrap w:val="0"/>
            <w:vAlign w:val="center"/>
          </w:tcPr>
          <w:p>
            <w:pPr>
              <w:kinsoku/>
              <w:overflowPunct/>
              <w:topLinePunct w:val="0"/>
              <w:bidi w:val="0"/>
              <w:snapToGrid w:val="0"/>
              <w:spacing w:line="300" w:lineRule="auto"/>
              <w:rPr>
                <w:rFonts w:ascii="宋体" w:cs="Arial"/>
                <w:szCs w:val="21"/>
              </w:rPr>
            </w:pPr>
            <w:r>
              <w:rPr>
                <w:rFonts w:hint="eastAsia" w:ascii="宋体" w:hAnsi="宋体" w:cs="Arial"/>
                <w:szCs w:val="21"/>
              </w:rPr>
              <w:t>企业管理费</w:t>
            </w:r>
          </w:p>
        </w:tc>
        <w:tc>
          <w:tcPr>
            <w:tcW w:w="3376" w:type="dxa"/>
            <w:tcBorders>
              <w:top w:val="single" w:color="auto" w:sz="6" w:space="0"/>
            </w:tcBorders>
            <w:noWrap w:val="0"/>
            <w:vAlign w:val="center"/>
          </w:tcPr>
          <w:p>
            <w:pPr>
              <w:kinsoku/>
              <w:overflowPunct/>
              <w:topLinePunct w:val="0"/>
              <w:bidi w:val="0"/>
              <w:snapToGrid w:val="0"/>
              <w:spacing w:line="300" w:lineRule="auto"/>
              <w:jc w:val="center"/>
              <w:rPr>
                <w:rFonts w:hint="eastAsia" w:ascii="宋体" w:cs="Arial"/>
                <w:bCs/>
                <w:szCs w:val="21"/>
              </w:rPr>
            </w:pPr>
            <w:r>
              <w:rPr>
                <w:rFonts w:hint="eastAsia" w:ascii="宋体" w:hAnsi="宋体" w:cs="Arial"/>
                <w:bCs/>
                <w:szCs w:val="21"/>
              </w:rPr>
              <w:t>16.29</w:t>
            </w:r>
            <w:r>
              <w:rPr>
                <w:rFonts w:ascii="宋体" w:hAnsi="宋体" w:cs="Arial"/>
                <w:bCs/>
                <w:szCs w:val="21"/>
              </w:rPr>
              <w:t>~</w:t>
            </w:r>
            <w:r>
              <w:rPr>
                <w:rFonts w:hint="eastAsia" w:ascii="宋体" w:hAnsi="宋体" w:cs="Arial"/>
                <w:bCs/>
                <w:szCs w:val="21"/>
              </w:rPr>
              <w:t>27.15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1" w:hRule="exact"/>
          <w:jc w:val="center"/>
        </w:trPr>
        <w:tc>
          <w:tcPr>
            <w:tcW w:w="1039" w:type="dxa"/>
            <w:tcBorders>
              <w:top w:val="single" w:color="auto" w:sz="6" w:space="0"/>
            </w:tcBorders>
            <w:noWrap w:val="0"/>
            <w:vAlign w:val="center"/>
          </w:tcPr>
          <w:p>
            <w:pPr>
              <w:kinsoku/>
              <w:overflowPunct/>
              <w:topLinePunct w:val="0"/>
              <w:bidi w:val="0"/>
              <w:snapToGrid w:val="0"/>
              <w:spacing w:line="300" w:lineRule="auto"/>
              <w:jc w:val="center"/>
              <w:rPr>
                <w:rFonts w:ascii="宋体" w:cs="Arial"/>
                <w:szCs w:val="21"/>
              </w:rPr>
            </w:pPr>
            <w:r>
              <w:rPr>
                <w:rFonts w:hint="eastAsia" w:ascii="宋体" w:hAnsi="宋体" w:cs="Arial"/>
                <w:szCs w:val="21"/>
              </w:rPr>
              <w:t>二</w:t>
            </w:r>
          </w:p>
        </w:tc>
        <w:tc>
          <w:tcPr>
            <w:tcW w:w="4305" w:type="dxa"/>
            <w:tcBorders>
              <w:top w:val="single" w:color="auto" w:sz="6" w:space="0"/>
              <w:left w:val="single" w:color="auto" w:sz="6" w:space="0"/>
            </w:tcBorders>
            <w:noWrap w:val="0"/>
            <w:vAlign w:val="center"/>
          </w:tcPr>
          <w:p>
            <w:pPr>
              <w:kinsoku/>
              <w:overflowPunct/>
              <w:topLinePunct w:val="0"/>
              <w:bidi w:val="0"/>
              <w:snapToGrid w:val="0"/>
              <w:spacing w:line="300" w:lineRule="auto"/>
              <w:rPr>
                <w:rFonts w:ascii="宋体" w:cs="Arial"/>
                <w:bCs/>
                <w:szCs w:val="21"/>
              </w:rPr>
            </w:pPr>
            <w:r>
              <w:rPr>
                <w:rFonts w:hint="eastAsia" w:ascii="宋体" w:hAnsi="宋体" w:cs="Arial"/>
                <w:szCs w:val="21"/>
              </w:rPr>
              <w:t>利润</w:t>
            </w:r>
          </w:p>
        </w:tc>
        <w:tc>
          <w:tcPr>
            <w:tcW w:w="3376" w:type="dxa"/>
            <w:tcBorders>
              <w:top w:val="single" w:color="auto" w:sz="6" w:space="0"/>
            </w:tcBorders>
            <w:noWrap w:val="0"/>
            <w:vAlign w:val="center"/>
          </w:tcPr>
          <w:p>
            <w:pPr>
              <w:kinsoku/>
              <w:overflowPunct/>
              <w:topLinePunct w:val="0"/>
              <w:bidi w:val="0"/>
              <w:snapToGrid w:val="0"/>
              <w:spacing w:line="300" w:lineRule="auto"/>
              <w:jc w:val="center"/>
              <w:rPr>
                <w:rFonts w:hint="eastAsia" w:ascii="宋体" w:cs="Arial"/>
                <w:bCs/>
                <w:szCs w:val="21"/>
              </w:rPr>
            </w:pPr>
            <w:r>
              <w:rPr>
                <w:rFonts w:ascii="宋体" w:hAnsi="宋体" w:cs="Arial"/>
                <w:bCs/>
                <w:szCs w:val="21"/>
              </w:rPr>
              <w:t>7.</w:t>
            </w:r>
            <w:r>
              <w:rPr>
                <w:rFonts w:hint="eastAsia" w:ascii="宋体" w:hAnsi="宋体" w:cs="Arial"/>
                <w:bCs/>
                <w:szCs w:val="21"/>
              </w:rPr>
              <w:t>80</w:t>
            </w:r>
            <w:r>
              <w:rPr>
                <w:rFonts w:ascii="宋体" w:hAnsi="宋体" w:cs="Arial"/>
                <w:bCs/>
                <w:szCs w:val="21"/>
              </w:rPr>
              <w:t>~1</w:t>
            </w:r>
            <w:r>
              <w:rPr>
                <w:rFonts w:hint="eastAsia" w:ascii="宋体" w:hAnsi="宋体" w:cs="Arial"/>
                <w:bCs/>
                <w:szCs w:val="21"/>
              </w:rPr>
              <w:t>3.00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1" w:hRule="exact"/>
          <w:jc w:val="center"/>
        </w:trPr>
        <w:tc>
          <w:tcPr>
            <w:tcW w:w="1039" w:type="dxa"/>
            <w:tcBorders>
              <w:top w:val="single" w:color="auto" w:sz="6" w:space="0"/>
            </w:tcBorders>
            <w:noWrap w:val="0"/>
            <w:vAlign w:val="center"/>
          </w:tcPr>
          <w:p>
            <w:pPr>
              <w:kinsoku/>
              <w:overflowPunct/>
              <w:topLinePunct w:val="0"/>
              <w:bidi w:val="0"/>
              <w:snapToGrid w:val="0"/>
              <w:spacing w:line="300" w:lineRule="auto"/>
              <w:jc w:val="center"/>
              <w:rPr>
                <w:rFonts w:ascii="宋体" w:cs="Arial"/>
                <w:szCs w:val="21"/>
              </w:rPr>
            </w:pPr>
            <w:r>
              <w:rPr>
                <w:rFonts w:hint="eastAsia" w:ascii="宋体" w:hAnsi="宋体" w:cs="Arial"/>
                <w:szCs w:val="21"/>
              </w:rPr>
              <w:t>三</w:t>
            </w:r>
          </w:p>
        </w:tc>
        <w:tc>
          <w:tcPr>
            <w:tcW w:w="4305" w:type="dxa"/>
            <w:tcBorders>
              <w:top w:val="single" w:color="auto" w:sz="6" w:space="0"/>
              <w:left w:val="single" w:color="auto" w:sz="6" w:space="0"/>
            </w:tcBorders>
            <w:noWrap w:val="0"/>
            <w:vAlign w:val="center"/>
          </w:tcPr>
          <w:p>
            <w:pPr>
              <w:kinsoku/>
              <w:overflowPunct/>
              <w:topLinePunct w:val="0"/>
              <w:bidi w:val="0"/>
              <w:spacing w:line="300" w:lineRule="auto"/>
              <w:rPr>
                <w:rFonts w:ascii="宋体" w:cs="Arial"/>
                <w:szCs w:val="21"/>
              </w:rPr>
            </w:pPr>
            <w:r>
              <w:rPr>
                <w:rFonts w:hint="eastAsia" w:ascii="宋体" w:hAnsi="宋体" w:cs="Arial"/>
                <w:bCs/>
                <w:szCs w:val="21"/>
              </w:rPr>
              <w:t>施工组织措施费</w:t>
            </w:r>
          </w:p>
        </w:tc>
        <w:tc>
          <w:tcPr>
            <w:tcW w:w="3376" w:type="dxa"/>
            <w:tcBorders>
              <w:top w:val="single" w:color="auto" w:sz="6" w:space="0"/>
            </w:tcBorders>
            <w:noWrap w:val="0"/>
            <w:vAlign w:val="center"/>
          </w:tcPr>
          <w:p>
            <w:pPr>
              <w:kinsoku/>
              <w:overflowPunct/>
              <w:topLinePunct w:val="0"/>
              <w:bidi w:val="0"/>
              <w:snapToGrid w:val="0"/>
              <w:spacing w:line="300" w:lineRule="auto"/>
              <w:jc w:val="center"/>
              <w:rPr>
                <w:rFonts w:ascii="宋体" w:cs="Arial"/>
                <w:bCs/>
                <w:szCs w:val="21"/>
              </w:rPr>
            </w:pPr>
            <w:r>
              <w:rPr>
                <w:rFonts w:hint="eastAsia" w:ascii="宋体" w:cs="Arial"/>
                <w:bCs/>
                <w:szCs w:val="21"/>
              </w:rPr>
              <w:t>7.49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1" w:hRule="exact"/>
          <w:jc w:val="center"/>
        </w:trPr>
        <w:tc>
          <w:tcPr>
            <w:tcW w:w="1039" w:type="dxa"/>
            <w:vMerge w:val="restart"/>
            <w:noWrap w:val="0"/>
            <w:vAlign w:val="center"/>
          </w:tcPr>
          <w:p>
            <w:pPr>
              <w:kinsoku/>
              <w:overflowPunct/>
              <w:topLinePunct w:val="0"/>
              <w:bidi w:val="0"/>
              <w:snapToGrid w:val="0"/>
              <w:spacing w:line="300" w:lineRule="auto"/>
              <w:jc w:val="center"/>
              <w:rPr>
                <w:rFonts w:ascii="宋体" w:cs="Arial"/>
                <w:szCs w:val="21"/>
              </w:rPr>
            </w:pPr>
            <w:r>
              <w:rPr>
                <w:rFonts w:hint="eastAsia" w:ascii="宋体" w:hAnsi="宋体" w:cs="Arial"/>
                <w:szCs w:val="21"/>
              </w:rPr>
              <w:t>其中</w:t>
            </w:r>
          </w:p>
        </w:tc>
        <w:tc>
          <w:tcPr>
            <w:tcW w:w="4305" w:type="dxa"/>
            <w:noWrap w:val="0"/>
            <w:vAlign w:val="center"/>
          </w:tcPr>
          <w:p>
            <w:pPr>
              <w:kinsoku/>
              <w:overflowPunct/>
              <w:topLinePunct w:val="0"/>
              <w:bidi w:val="0"/>
              <w:spacing w:line="300" w:lineRule="auto"/>
              <w:rPr>
                <w:rFonts w:ascii="宋体" w:cs="Arial"/>
                <w:bCs/>
                <w:szCs w:val="21"/>
              </w:rPr>
            </w:pPr>
            <w:r>
              <w:rPr>
                <w:rFonts w:ascii="宋体" w:hAnsi="宋体" w:cs="Arial"/>
                <w:bCs/>
                <w:szCs w:val="21"/>
              </w:rPr>
              <w:t>1</w:t>
            </w:r>
            <w:r>
              <w:rPr>
                <w:rFonts w:hint="eastAsia" w:ascii="宋体" w:hAnsi="宋体" w:cs="Arial"/>
                <w:bCs/>
                <w:szCs w:val="21"/>
              </w:rPr>
              <w:t>、安全文明施工基本费</w:t>
            </w:r>
          </w:p>
        </w:tc>
        <w:tc>
          <w:tcPr>
            <w:tcW w:w="3376" w:type="dxa"/>
            <w:noWrap w:val="0"/>
            <w:vAlign w:val="center"/>
          </w:tcPr>
          <w:p>
            <w:pPr>
              <w:kinsoku/>
              <w:overflowPunct/>
              <w:topLinePunct w:val="0"/>
              <w:bidi w:val="0"/>
              <w:snapToGrid w:val="0"/>
              <w:spacing w:line="300" w:lineRule="auto"/>
              <w:jc w:val="center"/>
              <w:rPr>
                <w:rFonts w:hint="eastAsia" w:ascii="宋体" w:cs="Arial"/>
                <w:bCs/>
                <w:szCs w:val="21"/>
              </w:rPr>
            </w:pPr>
            <w:r>
              <w:rPr>
                <w:rFonts w:ascii="宋体" w:hAnsi="宋体" w:cs="Arial"/>
                <w:bCs/>
                <w:szCs w:val="21"/>
              </w:rPr>
              <w:t>6.</w:t>
            </w:r>
            <w:r>
              <w:rPr>
                <w:rFonts w:hint="eastAsia" w:ascii="宋体" w:hAnsi="宋体" w:cs="Arial"/>
                <w:bCs/>
                <w:szCs w:val="21"/>
              </w:rPr>
              <w:t>39</w:t>
            </w:r>
            <w:r>
              <w:rPr>
                <w:rFonts w:ascii="宋体" w:hAnsi="宋体" w:cs="Arial"/>
                <w:bCs/>
                <w:szCs w:val="21"/>
              </w:rPr>
              <w:t>~</w:t>
            </w:r>
            <w:r>
              <w:rPr>
                <w:rFonts w:hint="eastAsia" w:ascii="宋体" w:hAnsi="宋体" w:cs="Arial"/>
                <w:bCs/>
                <w:szCs w:val="21"/>
              </w:rPr>
              <w:t>7.81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1" w:hRule="exact"/>
          <w:jc w:val="center"/>
        </w:trPr>
        <w:tc>
          <w:tcPr>
            <w:tcW w:w="1039" w:type="dxa"/>
            <w:vMerge w:val="continue"/>
            <w:noWrap w:val="0"/>
            <w:vAlign w:val="center"/>
          </w:tcPr>
          <w:p>
            <w:pPr>
              <w:kinsoku/>
              <w:overflowPunct/>
              <w:topLinePunct w:val="0"/>
              <w:bidi w:val="0"/>
              <w:snapToGrid w:val="0"/>
              <w:spacing w:line="300" w:lineRule="auto"/>
              <w:jc w:val="center"/>
              <w:rPr>
                <w:rFonts w:ascii="宋体" w:cs="Arial"/>
                <w:szCs w:val="21"/>
              </w:rPr>
            </w:pPr>
          </w:p>
        </w:tc>
        <w:tc>
          <w:tcPr>
            <w:tcW w:w="4305" w:type="dxa"/>
            <w:noWrap w:val="0"/>
            <w:vAlign w:val="center"/>
          </w:tcPr>
          <w:p>
            <w:pPr>
              <w:kinsoku/>
              <w:overflowPunct/>
              <w:topLinePunct w:val="0"/>
              <w:bidi w:val="0"/>
              <w:snapToGrid w:val="0"/>
              <w:spacing w:line="300" w:lineRule="auto"/>
              <w:rPr>
                <w:rFonts w:ascii="宋体" w:cs="Arial"/>
                <w:bCs/>
                <w:szCs w:val="21"/>
              </w:rPr>
            </w:pPr>
            <w:r>
              <w:rPr>
                <w:rFonts w:ascii="宋体" w:hAnsi="宋体" w:cs="Arial"/>
                <w:szCs w:val="21"/>
              </w:rPr>
              <w:t>2</w:t>
            </w:r>
            <w:r>
              <w:rPr>
                <w:rFonts w:hint="eastAsia" w:ascii="宋体" w:hAnsi="宋体" w:cs="Arial"/>
                <w:szCs w:val="21"/>
              </w:rPr>
              <w:t>、提前竣工增加费</w:t>
            </w:r>
          </w:p>
        </w:tc>
        <w:tc>
          <w:tcPr>
            <w:tcW w:w="3376" w:type="dxa"/>
            <w:noWrap w:val="0"/>
            <w:vAlign w:val="center"/>
          </w:tcPr>
          <w:p>
            <w:pPr>
              <w:kinsoku/>
              <w:overflowPunct/>
              <w:topLinePunct w:val="0"/>
              <w:bidi w:val="0"/>
              <w:snapToGrid w:val="0"/>
              <w:spacing w:line="300" w:lineRule="auto"/>
              <w:jc w:val="center"/>
              <w:rPr>
                <w:rFonts w:ascii="宋体" w:hAnsi="宋体" w:cs="Arial"/>
                <w:bCs/>
                <w:szCs w:val="21"/>
              </w:rPr>
            </w:pPr>
            <w:r>
              <w:rPr>
                <w:rFonts w:ascii="宋体" w:hAnsi="宋体" w:cs="Arial"/>
                <w:bCs/>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1" w:hRule="exact"/>
          <w:jc w:val="center"/>
        </w:trPr>
        <w:tc>
          <w:tcPr>
            <w:tcW w:w="1039" w:type="dxa"/>
            <w:vMerge w:val="continue"/>
            <w:noWrap w:val="0"/>
            <w:vAlign w:val="center"/>
          </w:tcPr>
          <w:p>
            <w:pPr>
              <w:kinsoku/>
              <w:overflowPunct/>
              <w:topLinePunct w:val="0"/>
              <w:bidi w:val="0"/>
              <w:snapToGrid w:val="0"/>
              <w:spacing w:line="300" w:lineRule="auto"/>
              <w:jc w:val="center"/>
              <w:rPr>
                <w:rFonts w:ascii="宋体" w:cs="Arial"/>
                <w:szCs w:val="21"/>
              </w:rPr>
            </w:pPr>
          </w:p>
        </w:tc>
        <w:tc>
          <w:tcPr>
            <w:tcW w:w="4305" w:type="dxa"/>
            <w:noWrap w:val="0"/>
            <w:vAlign w:val="center"/>
          </w:tcPr>
          <w:p>
            <w:pPr>
              <w:kinsoku/>
              <w:overflowPunct/>
              <w:topLinePunct w:val="0"/>
              <w:bidi w:val="0"/>
              <w:spacing w:line="300" w:lineRule="auto"/>
              <w:rPr>
                <w:rFonts w:ascii="宋体" w:cs="Arial"/>
                <w:bCs/>
                <w:szCs w:val="21"/>
              </w:rPr>
            </w:pPr>
            <w:r>
              <w:rPr>
                <w:rFonts w:ascii="宋体" w:hAnsi="宋体" w:cs="Arial"/>
                <w:szCs w:val="21"/>
              </w:rPr>
              <w:t>3</w:t>
            </w:r>
            <w:r>
              <w:rPr>
                <w:rFonts w:hint="eastAsia" w:ascii="宋体" w:hAnsi="宋体" w:cs="Arial"/>
                <w:szCs w:val="21"/>
              </w:rPr>
              <w:t>、二次搬运费</w:t>
            </w:r>
          </w:p>
        </w:tc>
        <w:tc>
          <w:tcPr>
            <w:tcW w:w="3376" w:type="dxa"/>
            <w:noWrap w:val="0"/>
            <w:vAlign w:val="center"/>
          </w:tcPr>
          <w:p>
            <w:pPr>
              <w:kinsoku/>
              <w:overflowPunct/>
              <w:topLinePunct w:val="0"/>
              <w:bidi w:val="0"/>
              <w:snapToGrid w:val="0"/>
              <w:spacing w:line="300" w:lineRule="auto"/>
              <w:jc w:val="center"/>
              <w:rPr>
                <w:rFonts w:hint="eastAsia" w:ascii="宋体" w:cs="Arial"/>
                <w:bCs/>
                <w:szCs w:val="21"/>
              </w:rPr>
            </w:pPr>
            <w:r>
              <w:rPr>
                <w:rFonts w:ascii="宋体" w:hAnsi="宋体" w:cs="Arial"/>
                <w:bCs/>
                <w:szCs w:val="21"/>
              </w:rPr>
              <w:t>0.</w:t>
            </w:r>
            <w:r>
              <w:rPr>
                <w:rFonts w:hint="eastAsia" w:ascii="宋体" w:hAnsi="宋体" w:cs="Arial"/>
                <w:bCs/>
                <w:szCs w:val="21"/>
              </w:rPr>
              <w:t>0</w:t>
            </w:r>
            <w:r>
              <w:rPr>
                <w:rFonts w:ascii="宋体" w:hAnsi="宋体" w:cs="Arial"/>
                <w:bCs/>
                <w:szCs w:val="21"/>
              </w:rPr>
              <w:t>8~0.</w:t>
            </w:r>
            <w:r>
              <w:rPr>
                <w:rFonts w:hint="eastAsia" w:ascii="宋体" w:hAnsi="宋体" w:cs="Arial"/>
                <w:bCs/>
                <w:szCs w:val="21"/>
              </w:rPr>
              <w:t>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1" w:hRule="exact"/>
          <w:jc w:val="center"/>
        </w:trPr>
        <w:tc>
          <w:tcPr>
            <w:tcW w:w="1039" w:type="dxa"/>
            <w:vMerge w:val="continue"/>
            <w:noWrap w:val="0"/>
            <w:vAlign w:val="center"/>
          </w:tcPr>
          <w:p>
            <w:pPr>
              <w:kinsoku/>
              <w:overflowPunct/>
              <w:topLinePunct w:val="0"/>
              <w:bidi w:val="0"/>
              <w:snapToGrid w:val="0"/>
              <w:spacing w:line="300" w:lineRule="auto"/>
              <w:jc w:val="center"/>
              <w:rPr>
                <w:rFonts w:ascii="宋体" w:cs="Arial"/>
                <w:szCs w:val="21"/>
              </w:rPr>
            </w:pPr>
          </w:p>
        </w:tc>
        <w:tc>
          <w:tcPr>
            <w:tcW w:w="4305" w:type="dxa"/>
            <w:noWrap w:val="0"/>
            <w:vAlign w:val="center"/>
          </w:tcPr>
          <w:p>
            <w:pPr>
              <w:kinsoku/>
              <w:overflowPunct/>
              <w:topLinePunct w:val="0"/>
              <w:bidi w:val="0"/>
              <w:snapToGrid w:val="0"/>
              <w:spacing w:line="300" w:lineRule="auto"/>
              <w:rPr>
                <w:rFonts w:ascii="宋体" w:cs="Arial"/>
                <w:bCs/>
                <w:szCs w:val="21"/>
              </w:rPr>
            </w:pPr>
            <w:r>
              <w:rPr>
                <w:rFonts w:ascii="宋体" w:hAnsi="宋体" w:cs="Arial"/>
                <w:szCs w:val="21"/>
              </w:rPr>
              <w:t>4</w:t>
            </w:r>
            <w:r>
              <w:rPr>
                <w:rFonts w:hint="eastAsia" w:ascii="宋体" w:hAnsi="宋体" w:cs="Arial"/>
                <w:szCs w:val="21"/>
              </w:rPr>
              <w:t>、冬雨季施工增加费</w:t>
            </w:r>
          </w:p>
        </w:tc>
        <w:tc>
          <w:tcPr>
            <w:tcW w:w="3376" w:type="dxa"/>
            <w:noWrap w:val="0"/>
            <w:vAlign w:val="center"/>
          </w:tcPr>
          <w:p>
            <w:pPr>
              <w:kinsoku/>
              <w:overflowPunct/>
              <w:topLinePunct w:val="0"/>
              <w:bidi w:val="0"/>
              <w:snapToGrid w:val="0"/>
              <w:spacing w:line="300" w:lineRule="auto"/>
              <w:jc w:val="center"/>
              <w:rPr>
                <w:rFonts w:hint="eastAsia" w:ascii="宋体" w:cs="Arial"/>
                <w:bCs/>
                <w:szCs w:val="21"/>
              </w:rPr>
            </w:pPr>
            <w:r>
              <w:rPr>
                <w:rFonts w:ascii="宋体" w:hAnsi="宋体" w:cs="Arial"/>
                <w:bCs/>
                <w:szCs w:val="21"/>
              </w:rPr>
              <w:t>0.0</w:t>
            </w:r>
            <w:r>
              <w:rPr>
                <w:rFonts w:hint="eastAsia" w:ascii="宋体" w:hAnsi="宋体" w:cs="Arial"/>
                <w:bCs/>
                <w:szCs w:val="21"/>
              </w:rPr>
              <w:t>6</w:t>
            </w:r>
            <w:r>
              <w:rPr>
                <w:rFonts w:ascii="宋体" w:hAnsi="宋体" w:cs="Arial"/>
                <w:bCs/>
                <w:szCs w:val="21"/>
              </w:rPr>
              <w:t>~0.</w:t>
            </w:r>
            <w:r>
              <w:rPr>
                <w:rFonts w:hint="eastAsia" w:ascii="宋体" w:hAnsi="宋体" w:cs="Arial"/>
                <w:bCs/>
                <w:szCs w:val="21"/>
              </w:rPr>
              <w:t>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1" w:hRule="exact"/>
          <w:jc w:val="center"/>
        </w:trPr>
        <w:tc>
          <w:tcPr>
            <w:tcW w:w="1039" w:type="dxa"/>
            <w:vMerge w:val="continue"/>
            <w:noWrap w:val="0"/>
            <w:vAlign w:val="center"/>
          </w:tcPr>
          <w:p>
            <w:pPr>
              <w:kinsoku/>
              <w:overflowPunct/>
              <w:topLinePunct w:val="0"/>
              <w:bidi w:val="0"/>
              <w:snapToGrid w:val="0"/>
              <w:spacing w:line="300" w:lineRule="auto"/>
              <w:jc w:val="center"/>
              <w:rPr>
                <w:rFonts w:ascii="宋体" w:cs="Arial"/>
                <w:szCs w:val="21"/>
              </w:rPr>
            </w:pPr>
          </w:p>
        </w:tc>
        <w:tc>
          <w:tcPr>
            <w:tcW w:w="4305" w:type="dxa"/>
            <w:noWrap w:val="0"/>
            <w:vAlign w:val="center"/>
          </w:tcPr>
          <w:p>
            <w:pPr>
              <w:pStyle w:val="3"/>
              <w:kinsoku/>
              <w:overflowPunct/>
              <w:topLinePunct w:val="0"/>
              <w:bidi w:val="0"/>
              <w:spacing w:after="0" w:line="300" w:lineRule="auto"/>
              <w:jc w:val="both"/>
              <w:rPr>
                <w:rFonts w:ascii="宋体" w:cs="Arial"/>
                <w:bCs/>
                <w:szCs w:val="21"/>
              </w:rPr>
            </w:pPr>
            <w:r>
              <w:rPr>
                <w:rFonts w:ascii="宋体" w:hAnsi="宋体" w:cs="Arial"/>
                <w:szCs w:val="21"/>
              </w:rPr>
              <w:t>5</w:t>
            </w:r>
            <w:r>
              <w:rPr>
                <w:rFonts w:hint="eastAsia" w:ascii="宋体" w:hAnsi="宋体" w:cs="Arial"/>
                <w:szCs w:val="21"/>
              </w:rPr>
              <w:t>、行车、行人干扰增加费</w:t>
            </w:r>
          </w:p>
        </w:tc>
        <w:tc>
          <w:tcPr>
            <w:tcW w:w="3376" w:type="dxa"/>
            <w:noWrap w:val="0"/>
            <w:vAlign w:val="center"/>
          </w:tcPr>
          <w:p>
            <w:pPr>
              <w:kinsoku/>
              <w:overflowPunct/>
              <w:topLinePunct w:val="0"/>
              <w:bidi w:val="0"/>
              <w:spacing w:line="300" w:lineRule="auto"/>
              <w:jc w:val="center"/>
            </w:pPr>
            <w:r>
              <w:rPr>
                <w:rFonts w:ascii="宋体" w:hAnsi="宋体" w:cs="Arial"/>
                <w:bCs/>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05" w:hRule="exact"/>
          <w:jc w:val="center"/>
        </w:trPr>
        <w:tc>
          <w:tcPr>
            <w:tcW w:w="1039" w:type="dxa"/>
            <w:vMerge w:val="continue"/>
            <w:noWrap w:val="0"/>
            <w:vAlign w:val="center"/>
          </w:tcPr>
          <w:p>
            <w:pPr>
              <w:kinsoku/>
              <w:overflowPunct/>
              <w:topLinePunct w:val="0"/>
              <w:bidi w:val="0"/>
              <w:snapToGrid w:val="0"/>
              <w:spacing w:line="300" w:lineRule="auto"/>
              <w:jc w:val="center"/>
              <w:rPr>
                <w:rFonts w:ascii="宋体" w:cs="Arial"/>
                <w:szCs w:val="21"/>
              </w:rPr>
            </w:pPr>
          </w:p>
        </w:tc>
        <w:tc>
          <w:tcPr>
            <w:tcW w:w="4305" w:type="dxa"/>
            <w:noWrap w:val="0"/>
            <w:vAlign w:val="center"/>
          </w:tcPr>
          <w:p>
            <w:pPr>
              <w:kinsoku/>
              <w:overflowPunct/>
              <w:topLinePunct w:val="0"/>
              <w:bidi w:val="0"/>
              <w:spacing w:line="300" w:lineRule="auto"/>
              <w:rPr>
                <w:rFonts w:ascii="宋体" w:cs="Arial"/>
                <w:szCs w:val="21"/>
              </w:rPr>
            </w:pPr>
            <w:r>
              <w:rPr>
                <w:rFonts w:ascii="宋体" w:hAnsi="宋体" w:cs="Arial"/>
                <w:szCs w:val="21"/>
              </w:rPr>
              <w:t>6</w:t>
            </w:r>
            <w:r>
              <w:rPr>
                <w:rFonts w:hint="eastAsia" w:ascii="宋体" w:hAnsi="宋体" w:cs="Arial"/>
                <w:szCs w:val="21"/>
              </w:rPr>
              <w:t>、其他施工组织措施费</w:t>
            </w:r>
          </w:p>
        </w:tc>
        <w:tc>
          <w:tcPr>
            <w:tcW w:w="3376" w:type="dxa"/>
            <w:noWrap w:val="0"/>
            <w:vAlign w:val="center"/>
          </w:tcPr>
          <w:p>
            <w:pPr>
              <w:kinsoku/>
              <w:overflowPunct/>
              <w:topLinePunct w:val="0"/>
              <w:bidi w:val="0"/>
              <w:snapToGrid w:val="0"/>
              <w:spacing w:line="300" w:lineRule="auto"/>
              <w:jc w:val="center"/>
              <w:rPr>
                <w:rFonts w:ascii="宋体" w:hAnsi="宋体" w:cs="Arial"/>
                <w:bCs/>
                <w:szCs w:val="21"/>
              </w:rPr>
            </w:pPr>
            <w:r>
              <w:rPr>
                <w:rFonts w:ascii="宋体" w:hAnsi="宋体" w:cs="Arial"/>
                <w:bCs/>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1" w:hRule="exact"/>
          <w:jc w:val="center"/>
        </w:trPr>
        <w:tc>
          <w:tcPr>
            <w:tcW w:w="1039" w:type="dxa"/>
            <w:noWrap w:val="0"/>
            <w:vAlign w:val="center"/>
          </w:tcPr>
          <w:p>
            <w:pPr>
              <w:kinsoku/>
              <w:overflowPunct/>
              <w:topLinePunct w:val="0"/>
              <w:bidi w:val="0"/>
              <w:snapToGrid w:val="0"/>
              <w:spacing w:line="300" w:lineRule="auto"/>
              <w:jc w:val="center"/>
              <w:rPr>
                <w:rFonts w:ascii="宋体" w:cs="Arial"/>
                <w:szCs w:val="21"/>
              </w:rPr>
            </w:pPr>
            <w:r>
              <w:rPr>
                <w:rFonts w:hint="eastAsia" w:ascii="宋体" w:hAnsi="宋体" w:cs="Arial"/>
                <w:szCs w:val="21"/>
              </w:rPr>
              <w:t>四</w:t>
            </w:r>
          </w:p>
        </w:tc>
        <w:tc>
          <w:tcPr>
            <w:tcW w:w="4305" w:type="dxa"/>
            <w:noWrap w:val="0"/>
            <w:vAlign w:val="center"/>
          </w:tcPr>
          <w:p>
            <w:pPr>
              <w:kinsoku/>
              <w:overflowPunct/>
              <w:topLinePunct w:val="0"/>
              <w:bidi w:val="0"/>
              <w:snapToGrid w:val="0"/>
              <w:spacing w:line="300" w:lineRule="auto"/>
              <w:rPr>
                <w:rFonts w:ascii="宋体" w:cs="Arial"/>
                <w:bCs/>
                <w:szCs w:val="21"/>
              </w:rPr>
            </w:pPr>
            <w:r>
              <w:rPr>
                <w:rFonts w:hint="eastAsia" w:ascii="宋体" w:hAnsi="宋体" w:cs="Arial"/>
                <w:szCs w:val="21"/>
              </w:rPr>
              <w:t>规费</w:t>
            </w:r>
          </w:p>
        </w:tc>
        <w:tc>
          <w:tcPr>
            <w:tcW w:w="3376" w:type="dxa"/>
            <w:noWrap w:val="0"/>
            <w:vAlign w:val="center"/>
          </w:tcPr>
          <w:p>
            <w:pPr>
              <w:kinsoku/>
              <w:overflowPunct/>
              <w:topLinePunct w:val="0"/>
              <w:bidi w:val="0"/>
              <w:snapToGrid w:val="0"/>
              <w:spacing w:line="300" w:lineRule="auto"/>
              <w:jc w:val="center"/>
              <w:rPr>
                <w:rFonts w:hint="eastAsia" w:ascii="宋体" w:cs="Arial"/>
                <w:bCs/>
                <w:szCs w:val="21"/>
              </w:rPr>
            </w:pPr>
            <w:r>
              <w:rPr>
                <w:rFonts w:hint="eastAsia" w:ascii="宋体" w:hAnsi="宋体" w:cs="Arial"/>
                <w:bCs/>
                <w:szCs w:val="21"/>
              </w:rPr>
              <w:t>30.63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1" w:hRule="exact"/>
          <w:jc w:val="center"/>
        </w:trPr>
        <w:tc>
          <w:tcPr>
            <w:tcW w:w="1039" w:type="dxa"/>
            <w:noWrap w:val="0"/>
            <w:vAlign w:val="center"/>
          </w:tcPr>
          <w:p>
            <w:pPr>
              <w:kinsoku/>
              <w:overflowPunct/>
              <w:topLinePunct w:val="0"/>
              <w:bidi w:val="0"/>
              <w:snapToGrid w:val="0"/>
              <w:spacing w:line="300" w:lineRule="auto"/>
              <w:jc w:val="center"/>
              <w:rPr>
                <w:rFonts w:ascii="宋体" w:cs="Arial"/>
                <w:szCs w:val="21"/>
              </w:rPr>
            </w:pPr>
            <w:r>
              <w:rPr>
                <w:rFonts w:hint="eastAsia" w:ascii="宋体" w:hAnsi="宋体" w:cs="Arial"/>
                <w:szCs w:val="21"/>
              </w:rPr>
              <w:t>五</w:t>
            </w:r>
          </w:p>
        </w:tc>
        <w:tc>
          <w:tcPr>
            <w:tcW w:w="4305" w:type="dxa"/>
            <w:noWrap w:val="0"/>
            <w:vAlign w:val="center"/>
          </w:tcPr>
          <w:p>
            <w:pPr>
              <w:kinsoku/>
              <w:overflowPunct/>
              <w:topLinePunct w:val="0"/>
              <w:bidi w:val="0"/>
              <w:spacing w:line="300" w:lineRule="auto"/>
              <w:rPr>
                <w:rFonts w:ascii="宋体" w:cs="Arial"/>
                <w:szCs w:val="21"/>
              </w:rPr>
            </w:pPr>
            <w:r>
              <w:rPr>
                <w:rFonts w:hint="eastAsia" w:ascii="宋体" w:hAnsi="宋体" w:cs="Arial"/>
                <w:szCs w:val="21"/>
              </w:rPr>
              <w:t>税金（不可竞争费用）</w:t>
            </w:r>
          </w:p>
        </w:tc>
        <w:tc>
          <w:tcPr>
            <w:tcW w:w="3376" w:type="dxa"/>
            <w:noWrap w:val="0"/>
            <w:vAlign w:val="center"/>
          </w:tcPr>
          <w:p>
            <w:pPr>
              <w:kinsoku/>
              <w:overflowPunct/>
              <w:topLinePunct w:val="0"/>
              <w:bidi w:val="0"/>
              <w:snapToGrid w:val="0"/>
              <w:spacing w:line="300" w:lineRule="auto"/>
              <w:jc w:val="center"/>
              <w:rPr>
                <w:rFonts w:hint="eastAsia" w:ascii="宋体" w:hAnsi="宋体" w:cs="Arial"/>
                <w:bCs/>
                <w:szCs w:val="21"/>
              </w:rPr>
            </w:pPr>
            <w:r>
              <w:rPr>
                <w:rFonts w:hint="eastAsia" w:ascii="宋体" w:hAnsi="宋体" w:cs="Arial"/>
                <w:bCs/>
                <w:szCs w:val="21"/>
              </w:rPr>
              <w:t>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1" w:hRule="exact"/>
          <w:jc w:val="center"/>
        </w:trPr>
        <w:tc>
          <w:tcPr>
            <w:tcW w:w="1039" w:type="dxa"/>
            <w:noWrap w:val="0"/>
            <w:vAlign w:val="center"/>
          </w:tcPr>
          <w:p>
            <w:pPr>
              <w:kinsoku/>
              <w:overflowPunct/>
              <w:topLinePunct w:val="0"/>
              <w:bidi w:val="0"/>
              <w:snapToGrid w:val="0"/>
              <w:spacing w:line="300" w:lineRule="auto"/>
              <w:jc w:val="center"/>
              <w:rPr>
                <w:rFonts w:ascii="宋体" w:cs="Arial"/>
                <w:szCs w:val="21"/>
              </w:rPr>
            </w:pPr>
            <w:r>
              <w:rPr>
                <w:rFonts w:hint="eastAsia" w:ascii="宋体" w:hAnsi="宋体" w:cs="Arial"/>
                <w:szCs w:val="21"/>
              </w:rPr>
              <w:t>六</w:t>
            </w:r>
          </w:p>
        </w:tc>
        <w:tc>
          <w:tcPr>
            <w:tcW w:w="4305" w:type="dxa"/>
            <w:noWrap w:val="0"/>
            <w:vAlign w:val="center"/>
          </w:tcPr>
          <w:p>
            <w:pPr>
              <w:kinsoku/>
              <w:overflowPunct/>
              <w:topLinePunct w:val="0"/>
              <w:bidi w:val="0"/>
              <w:spacing w:line="300" w:lineRule="auto"/>
              <w:rPr>
                <w:rFonts w:ascii="宋体" w:cs="Arial"/>
                <w:szCs w:val="21"/>
              </w:rPr>
            </w:pPr>
            <w:r>
              <w:rPr>
                <w:rFonts w:hint="eastAsia" w:ascii="宋体" w:hAnsi="宋体" w:cs="Arial"/>
                <w:szCs w:val="21"/>
              </w:rPr>
              <w:t>标化工地增加费</w:t>
            </w:r>
          </w:p>
        </w:tc>
        <w:tc>
          <w:tcPr>
            <w:tcW w:w="3376" w:type="dxa"/>
            <w:noWrap w:val="0"/>
            <w:vAlign w:val="center"/>
          </w:tcPr>
          <w:p>
            <w:pPr>
              <w:kinsoku/>
              <w:overflowPunct/>
              <w:topLinePunct w:val="0"/>
              <w:bidi w:val="0"/>
              <w:snapToGrid w:val="0"/>
              <w:spacing w:line="300" w:lineRule="auto"/>
              <w:jc w:val="center"/>
              <w:rPr>
                <w:rFonts w:ascii="宋体" w:cs="Arial"/>
                <w:bCs/>
                <w:szCs w:val="21"/>
              </w:rPr>
            </w:pPr>
            <w:r>
              <w:rPr>
                <w:rFonts w:ascii="宋体" w:hAnsi="宋体" w:cs="Arial"/>
                <w:bCs/>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1" w:hRule="exact"/>
          <w:jc w:val="center"/>
        </w:trPr>
        <w:tc>
          <w:tcPr>
            <w:tcW w:w="1039" w:type="dxa"/>
            <w:tcBorders>
              <w:bottom w:val="single" w:color="auto" w:sz="6" w:space="0"/>
            </w:tcBorders>
            <w:noWrap w:val="0"/>
            <w:vAlign w:val="center"/>
          </w:tcPr>
          <w:p>
            <w:pPr>
              <w:kinsoku/>
              <w:overflowPunct/>
              <w:topLinePunct w:val="0"/>
              <w:bidi w:val="0"/>
              <w:snapToGrid w:val="0"/>
              <w:spacing w:line="300" w:lineRule="auto"/>
              <w:jc w:val="center"/>
              <w:rPr>
                <w:rFonts w:ascii="宋体" w:cs="Arial"/>
                <w:szCs w:val="21"/>
              </w:rPr>
            </w:pPr>
            <w:r>
              <w:rPr>
                <w:rFonts w:hint="eastAsia" w:ascii="宋体" w:hAnsi="宋体" w:cs="Arial"/>
                <w:szCs w:val="21"/>
              </w:rPr>
              <w:t>七</w:t>
            </w:r>
          </w:p>
        </w:tc>
        <w:tc>
          <w:tcPr>
            <w:tcW w:w="4305" w:type="dxa"/>
            <w:tcBorders>
              <w:bottom w:val="single" w:color="auto" w:sz="6" w:space="0"/>
            </w:tcBorders>
            <w:noWrap w:val="0"/>
            <w:vAlign w:val="center"/>
          </w:tcPr>
          <w:p>
            <w:pPr>
              <w:kinsoku/>
              <w:overflowPunct/>
              <w:topLinePunct w:val="0"/>
              <w:bidi w:val="0"/>
              <w:spacing w:line="300" w:lineRule="auto"/>
              <w:rPr>
                <w:rFonts w:ascii="宋体" w:cs="Arial"/>
                <w:szCs w:val="21"/>
              </w:rPr>
            </w:pPr>
            <w:r>
              <w:rPr>
                <w:rFonts w:hint="eastAsia" w:ascii="宋体" w:hAnsi="宋体" w:cs="Arial"/>
                <w:szCs w:val="21"/>
              </w:rPr>
              <w:t>优质工程增加费</w:t>
            </w:r>
          </w:p>
        </w:tc>
        <w:tc>
          <w:tcPr>
            <w:tcW w:w="3376" w:type="dxa"/>
            <w:tcBorders>
              <w:bottom w:val="single" w:color="auto" w:sz="6" w:space="0"/>
            </w:tcBorders>
            <w:noWrap w:val="0"/>
            <w:vAlign w:val="center"/>
          </w:tcPr>
          <w:p>
            <w:pPr>
              <w:kinsoku/>
              <w:overflowPunct/>
              <w:topLinePunct w:val="0"/>
              <w:bidi w:val="0"/>
              <w:snapToGrid w:val="0"/>
              <w:spacing w:line="300" w:lineRule="auto"/>
              <w:jc w:val="center"/>
              <w:rPr>
                <w:rFonts w:ascii="宋体" w:cs="Arial"/>
                <w:bCs/>
                <w:szCs w:val="21"/>
              </w:rPr>
            </w:pPr>
            <w:r>
              <w:rPr>
                <w:rFonts w:ascii="宋体" w:hAnsi="宋体" w:cs="Arial"/>
                <w:bCs/>
                <w:szCs w:val="21"/>
              </w:rPr>
              <w:t>/</w:t>
            </w:r>
          </w:p>
        </w:tc>
      </w:tr>
    </w:tbl>
    <w:p>
      <w:pPr>
        <w:kinsoku/>
        <w:overflowPunct/>
        <w:topLinePunct w:val="0"/>
        <w:bidi w:val="0"/>
        <w:spacing w:line="300" w:lineRule="auto"/>
        <w:rPr>
          <w:b/>
        </w:rPr>
      </w:pPr>
      <w:r>
        <w:rPr>
          <w:rFonts w:hint="eastAsia"/>
          <w:b/>
        </w:rPr>
        <w:t>注：</w:t>
      </w:r>
    </w:p>
    <w:p>
      <w:pPr>
        <w:kinsoku/>
        <w:overflowPunct/>
        <w:topLinePunct w:val="0"/>
        <w:bidi w:val="0"/>
        <w:spacing w:line="300" w:lineRule="auto"/>
        <w:rPr>
          <w:rFonts w:hint="eastAsia" w:ascii="宋体" w:hAnsi="宋体" w:cs="宋体"/>
          <w:b/>
          <w:bCs/>
          <w:color w:val="auto"/>
          <w:szCs w:val="21"/>
        </w:rPr>
      </w:pPr>
      <w:r>
        <w:rPr>
          <w:rFonts w:hint="eastAsia" w:ascii="宋体" w:hAnsi="宋体" w:cs="宋体"/>
          <w:b/>
          <w:bCs/>
          <w:color w:val="auto"/>
          <w:szCs w:val="21"/>
        </w:rPr>
        <w:t>①以上费率表仅供参考</w:t>
      </w:r>
      <w:r>
        <w:rPr>
          <w:rFonts w:ascii="宋体" w:hAnsi="宋体" w:cs="宋体"/>
          <w:b/>
          <w:bCs/>
          <w:color w:val="auto"/>
          <w:szCs w:val="21"/>
        </w:rPr>
        <w:t>(</w:t>
      </w:r>
      <w:r>
        <w:rPr>
          <w:rFonts w:hint="eastAsia" w:ascii="宋体" w:hAnsi="宋体" w:cs="宋体"/>
          <w:b/>
          <w:bCs/>
          <w:color w:val="auto"/>
          <w:szCs w:val="21"/>
        </w:rPr>
        <w:t>不可竞争费用除外</w:t>
      </w:r>
      <w:r>
        <w:rPr>
          <w:rFonts w:ascii="宋体" w:hAnsi="宋体" w:cs="宋体"/>
          <w:b/>
          <w:bCs/>
          <w:color w:val="auto"/>
          <w:szCs w:val="21"/>
        </w:rPr>
        <w:t>)</w:t>
      </w:r>
      <w:r>
        <w:rPr>
          <w:rFonts w:hint="eastAsia" w:ascii="宋体" w:hAnsi="宋体" w:cs="宋体"/>
          <w:b/>
          <w:bCs/>
          <w:color w:val="auto"/>
          <w:szCs w:val="21"/>
        </w:rPr>
        <w:t>，各</w:t>
      </w:r>
      <w:r>
        <w:rPr>
          <w:rFonts w:hint="eastAsia" w:ascii="宋体" w:hAnsi="宋体" w:cs="宋体"/>
          <w:b/>
          <w:bCs/>
          <w:color w:val="auto"/>
          <w:szCs w:val="21"/>
          <w:lang w:eastAsia="zh-CN"/>
        </w:rPr>
        <w:t>磋商供应商</w:t>
      </w:r>
      <w:r>
        <w:rPr>
          <w:rFonts w:hint="eastAsia" w:ascii="宋体" w:hAnsi="宋体" w:cs="宋体"/>
          <w:b/>
          <w:bCs/>
          <w:color w:val="auto"/>
          <w:szCs w:val="21"/>
        </w:rPr>
        <w:t>自行考虑综合报价，今后不再调整。</w:t>
      </w:r>
    </w:p>
    <w:p>
      <w:pPr>
        <w:kinsoku/>
        <w:overflowPunct/>
        <w:topLinePunct w:val="0"/>
        <w:bidi w:val="0"/>
        <w:spacing w:line="300" w:lineRule="auto"/>
        <w:rPr>
          <w:rFonts w:ascii="宋体" w:cs="宋体"/>
          <w:b/>
          <w:bCs/>
          <w:color w:val="auto"/>
          <w:szCs w:val="21"/>
        </w:rPr>
      </w:pPr>
      <w:r>
        <w:rPr>
          <w:rFonts w:hint="eastAsia" w:ascii="宋体" w:hAnsi="宋体" w:cs="宋体"/>
          <w:b/>
          <w:bCs/>
          <w:color w:val="auto"/>
          <w:szCs w:val="21"/>
        </w:rPr>
        <w:t>②规费费率不得低于磋商文件规定的标准费率</w:t>
      </w:r>
      <w:r>
        <w:rPr>
          <w:rFonts w:hint="eastAsia" w:ascii="宋体" w:hAnsi="宋体" w:cs="宋体"/>
          <w:b/>
          <w:bCs/>
          <w:color w:val="auto"/>
          <w:szCs w:val="21"/>
          <w:lang w:val="en-US" w:eastAsia="zh-CN"/>
        </w:rPr>
        <w:t>(30.63%)</w:t>
      </w:r>
      <w:r>
        <w:rPr>
          <w:rFonts w:hint="eastAsia" w:ascii="宋体" w:hAnsi="宋体" w:cs="宋体"/>
          <w:b/>
          <w:bCs/>
          <w:color w:val="auto"/>
          <w:szCs w:val="21"/>
        </w:rPr>
        <w:t>的</w:t>
      </w:r>
      <w:r>
        <w:rPr>
          <w:rFonts w:ascii="宋体" w:hAnsi="宋体" w:cs="宋体"/>
          <w:b/>
          <w:bCs/>
          <w:color w:val="auto"/>
          <w:szCs w:val="21"/>
        </w:rPr>
        <w:t>30%</w:t>
      </w:r>
      <w:r>
        <w:rPr>
          <w:rFonts w:hint="eastAsia" w:ascii="宋体" w:hAnsi="宋体" w:cs="宋体"/>
          <w:b/>
          <w:bCs/>
          <w:color w:val="auto"/>
          <w:szCs w:val="21"/>
        </w:rPr>
        <w:t>，否则其</w:t>
      </w:r>
      <w:r>
        <w:rPr>
          <w:rFonts w:hint="eastAsia" w:ascii="宋体" w:hAnsi="宋体" w:cs="宋体"/>
          <w:b/>
          <w:bCs/>
          <w:color w:val="auto"/>
          <w:szCs w:val="21"/>
          <w:lang w:eastAsia="zh-CN"/>
        </w:rPr>
        <w:t>磋商响应文件</w:t>
      </w:r>
      <w:r>
        <w:rPr>
          <w:rFonts w:hint="eastAsia" w:ascii="宋体" w:hAnsi="宋体" w:cs="宋体"/>
          <w:b/>
          <w:bCs/>
          <w:color w:val="auto"/>
          <w:szCs w:val="21"/>
        </w:rPr>
        <w:t>将作否决投标。</w:t>
      </w:r>
    </w:p>
    <w:p>
      <w:pPr>
        <w:kinsoku/>
        <w:overflowPunct/>
        <w:topLinePunct w:val="0"/>
        <w:bidi w:val="0"/>
        <w:spacing w:line="300" w:lineRule="auto"/>
        <w:rPr>
          <w:rFonts w:ascii="宋体"/>
          <w:b/>
          <w:bCs/>
          <w:color w:val="auto"/>
          <w:szCs w:val="21"/>
        </w:rPr>
      </w:pPr>
      <w:r>
        <w:rPr>
          <w:rFonts w:hint="eastAsia" w:ascii="宋体" w:hAnsi="宋体" w:cs="宋体"/>
          <w:b/>
          <w:bCs/>
          <w:color w:val="auto"/>
          <w:szCs w:val="21"/>
        </w:rPr>
        <w:t>③安全文明施工基本费费率应当不低于磋商文件规定的费率</w:t>
      </w:r>
      <w:r>
        <w:rPr>
          <w:rFonts w:hint="eastAsia" w:ascii="宋体" w:hAnsi="宋体" w:cs="宋体"/>
          <w:b/>
          <w:bCs/>
          <w:color w:val="auto"/>
          <w:szCs w:val="21"/>
          <w:lang w:val="en-US" w:eastAsia="zh-CN"/>
        </w:rPr>
        <w:t>(</w:t>
      </w:r>
      <w:r>
        <w:rPr>
          <w:rFonts w:hint="eastAsia" w:ascii="宋体" w:hAnsi="宋体" w:cs="宋体"/>
          <w:b/>
          <w:bCs/>
          <w:color w:val="auto"/>
          <w:szCs w:val="21"/>
        </w:rPr>
        <w:t>6.39</w:t>
      </w:r>
      <w:r>
        <w:rPr>
          <w:rFonts w:hint="eastAsia" w:ascii="宋体" w:hAnsi="宋体" w:cs="宋体"/>
          <w:b/>
          <w:bCs/>
          <w:color w:val="auto"/>
          <w:szCs w:val="21"/>
          <w:lang w:val="en-US" w:eastAsia="zh-CN"/>
        </w:rPr>
        <w:t>%)</w:t>
      </w:r>
      <w:r>
        <w:rPr>
          <w:rFonts w:hint="eastAsia" w:ascii="宋体" w:hAnsi="宋体" w:cs="宋体"/>
          <w:b/>
          <w:bCs/>
          <w:color w:val="auto"/>
          <w:szCs w:val="21"/>
        </w:rPr>
        <w:t>下限，否则其</w:t>
      </w:r>
      <w:r>
        <w:rPr>
          <w:rFonts w:hint="eastAsia" w:ascii="宋体" w:hAnsi="宋体" w:cs="宋体"/>
          <w:b/>
          <w:bCs/>
          <w:color w:val="auto"/>
          <w:szCs w:val="21"/>
          <w:lang w:eastAsia="zh-CN"/>
        </w:rPr>
        <w:t>磋商响应文件</w:t>
      </w:r>
      <w:r>
        <w:rPr>
          <w:rFonts w:hint="eastAsia" w:ascii="宋体" w:hAnsi="宋体" w:cs="宋体"/>
          <w:b/>
          <w:bCs/>
          <w:color w:val="auto"/>
          <w:szCs w:val="21"/>
        </w:rPr>
        <w:t>将作否决投标。</w:t>
      </w:r>
    </w:p>
    <w:p>
      <w:pPr>
        <w:numPr>
          <w:ilvl w:val="1"/>
          <w:numId w:val="10"/>
        </w:numPr>
        <w:kinsoku/>
        <w:overflowPunct/>
        <w:topLinePunct w:val="0"/>
        <w:bidi w:val="0"/>
        <w:snapToGrid w:val="0"/>
        <w:spacing w:line="300" w:lineRule="auto"/>
        <w:jc w:val="both"/>
        <w:rPr>
          <w:rFonts w:ascii="宋体" w:hAnsi="宋体"/>
        </w:rPr>
      </w:pPr>
      <w:r>
        <w:rPr>
          <w:rFonts w:ascii="宋体" w:hAnsi="宋体"/>
        </w:rPr>
        <w:t>本清单提供品牌要求并不是唯一标准，</w:t>
      </w:r>
      <w:r>
        <w:rPr>
          <w:rFonts w:hint="eastAsia" w:ascii="宋体" w:hAnsi="宋体"/>
        </w:rPr>
        <w:t>磋商供应商</w:t>
      </w:r>
      <w:r>
        <w:rPr>
          <w:rFonts w:ascii="宋体" w:hAnsi="宋体"/>
        </w:rPr>
        <w:t>可参照清单要求品牌提供“相当于”或“高于”本要求标准的品牌，具体由</w:t>
      </w:r>
      <w:r>
        <w:rPr>
          <w:rFonts w:hint="eastAsia" w:ascii="宋体" w:hAnsi="宋体"/>
          <w:lang w:eastAsia="zh-CN"/>
        </w:rPr>
        <w:t>磋商小组</w:t>
      </w:r>
      <w:r>
        <w:rPr>
          <w:rFonts w:ascii="宋体" w:hAnsi="宋体"/>
        </w:rPr>
        <w:t>确定，假如</w:t>
      </w:r>
      <w:r>
        <w:rPr>
          <w:rFonts w:hint="eastAsia" w:ascii="宋体" w:hAnsi="宋体"/>
        </w:rPr>
        <w:t>磋商小组</w:t>
      </w:r>
      <w:r>
        <w:rPr>
          <w:rFonts w:ascii="宋体" w:hAnsi="宋体"/>
        </w:rPr>
        <w:t>认定</w:t>
      </w:r>
      <w:r>
        <w:rPr>
          <w:rFonts w:hint="eastAsia" w:ascii="宋体" w:hAnsi="宋体"/>
        </w:rPr>
        <w:t>磋商供应商</w:t>
      </w:r>
      <w:r>
        <w:rPr>
          <w:rFonts w:ascii="宋体" w:hAnsi="宋体"/>
        </w:rPr>
        <w:t>提供品牌低于清单要求，可作</w:t>
      </w:r>
      <w:r>
        <w:rPr>
          <w:rFonts w:hint="eastAsia" w:ascii="宋体" w:hAnsi="宋体"/>
        </w:rPr>
        <w:t>无效</w:t>
      </w:r>
      <w:r>
        <w:rPr>
          <w:rFonts w:ascii="宋体" w:hAnsi="宋体"/>
        </w:rPr>
        <w:t>标处理。</w:t>
      </w:r>
      <w:r>
        <w:rPr>
          <w:rFonts w:hint="eastAsia" w:ascii="宋体" w:hAnsi="宋体"/>
        </w:rPr>
        <w:t>磋商供应商未在磋商响应文件中提出其他品牌的，中标后严格按照清单参考品牌进行采购。</w:t>
      </w:r>
    </w:p>
    <w:p>
      <w:pPr>
        <w:numPr>
          <w:ilvl w:val="1"/>
          <w:numId w:val="10"/>
        </w:numPr>
        <w:kinsoku/>
        <w:overflowPunct/>
        <w:topLinePunct w:val="0"/>
        <w:bidi w:val="0"/>
        <w:snapToGrid w:val="0"/>
        <w:spacing w:line="300" w:lineRule="auto"/>
        <w:jc w:val="both"/>
        <w:rPr>
          <w:rFonts w:ascii="宋体" w:hAnsi="宋体"/>
        </w:rPr>
      </w:pPr>
      <w:r>
        <w:rPr>
          <w:rFonts w:hint="eastAsia" w:ascii="宋体" w:hAnsi="宋体"/>
        </w:rPr>
        <w:t>投标报价说明</w:t>
      </w:r>
    </w:p>
    <w:p>
      <w:pPr>
        <w:kinsoku/>
        <w:overflowPunct/>
        <w:topLinePunct w:val="0"/>
        <w:bidi w:val="0"/>
        <w:spacing w:line="300" w:lineRule="auto"/>
        <w:ind w:firstLine="420" w:firstLineChars="200"/>
        <w:rPr>
          <w:rFonts w:ascii="宋体" w:hAnsi="宋体"/>
        </w:rPr>
      </w:pPr>
      <w:r>
        <w:rPr>
          <w:rFonts w:hint="eastAsia" w:ascii="宋体" w:hAnsi="宋体"/>
        </w:rPr>
        <w:t>①工程量清单投标报价应根据磋商文件的有关要求和工程量清单、结合施工现场实际情况、拟定的施工方案或施工组织设计、磋商供应商自身情况，依据企业定额和市场价格信息，或参照本省颁布的“计价依据”以及工程量清单指引进行编制。</w:t>
      </w:r>
    </w:p>
    <w:p>
      <w:pPr>
        <w:kinsoku/>
        <w:overflowPunct/>
        <w:topLinePunct w:val="0"/>
        <w:bidi w:val="0"/>
        <w:spacing w:line="300" w:lineRule="auto"/>
        <w:ind w:firstLine="420" w:firstLineChars="200"/>
        <w:rPr>
          <w:rFonts w:ascii="宋体" w:hAnsi="宋体"/>
        </w:rPr>
      </w:pPr>
      <w:r>
        <w:rPr>
          <w:rFonts w:hint="eastAsia" w:ascii="宋体" w:hAnsi="宋体"/>
        </w:rPr>
        <w:t>②各投磋商应商应充分考虑承包本工程可能存在的包干风险，并计入投标报价，包干风险应包括下列因素：</w:t>
      </w:r>
    </w:p>
    <w:p>
      <w:pPr>
        <w:kinsoku/>
        <w:overflowPunct/>
        <w:topLinePunct w:val="0"/>
        <w:bidi w:val="0"/>
        <w:spacing w:line="300" w:lineRule="auto"/>
        <w:ind w:firstLine="420" w:firstLineChars="200"/>
        <w:rPr>
          <w:rFonts w:ascii="宋体" w:hAnsi="宋体"/>
        </w:rPr>
      </w:pPr>
      <w:r>
        <w:rPr>
          <w:rFonts w:ascii="宋体" w:hAnsi="宋体"/>
        </w:rPr>
        <w:t>a</w:t>
      </w:r>
      <w:r>
        <w:rPr>
          <w:rFonts w:hint="eastAsia" w:ascii="宋体" w:hAnsi="宋体"/>
        </w:rPr>
        <w:t>、本标文考虑的工程费率(除不可竞争性费用外)仅供参考，各磋商供应商可根据自身实力和本工程的实际情况，若须增加，在包干风险费用中自行列支计入综合单价。</w:t>
      </w:r>
    </w:p>
    <w:p>
      <w:pPr>
        <w:kinsoku/>
        <w:overflowPunct/>
        <w:topLinePunct w:val="0"/>
        <w:bidi w:val="0"/>
        <w:spacing w:line="300" w:lineRule="auto"/>
        <w:ind w:firstLine="420" w:firstLineChars="200"/>
        <w:rPr>
          <w:rFonts w:ascii="宋体" w:hAnsi="宋体"/>
        </w:rPr>
      </w:pPr>
      <w:r>
        <w:rPr>
          <w:rFonts w:ascii="宋体" w:hAnsi="宋体"/>
        </w:rPr>
        <w:t>b</w:t>
      </w:r>
      <w:r>
        <w:rPr>
          <w:rFonts w:hint="eastAsia" w:ascii="宋体" w:hAnsi="宋体"/>
        </w:rPr>
        <w:t>、施工期间所发生的施工技术措施费和施工组织措施费以一项为单位的施工单位自行测定综合报价，一次性包干，今后不予调整；其他按相应规定执行。</w:t>
      </w:r>
    </w:p>
    <w:p>
      <w:pPr>
        <w:kinsoku/>
        <w:overflowPunct/>
        <w:topLinePunct w:val="0"/>
        <w:bidi w:val="0"/>
        <w:spacing w:line="300" w:lineRule="auto"/>
        <w:ind w:firstLine="420" w:firstLineChars="200"/>
        <w:rPr>
          <w:rFonts w:ascii="宋体" w:hAnsi="宋体"/>
        </w:rPr>
      </w:pPr>
      <w:r>
        <w:rPr>
          <w:rFonts w:ascii="宋体" w:hAnsi="宋体"/>
        </w:rPr>
        <w:t>c</w:t>
      </w:r>
      <w:r>
        <w:rPr>
          <w:rFonts w:hint="eastAsia" w:ascii="宋体" w:hAnsi="宋体"/>
        </w:rPr>
        <w:t>、除暂定价材料外，其他材料将采用一次性包干，由各磋商供应商根据市场实际价格，参照市场材料价格信息一次性包干所需考虑的增加费用。</w:t>
      </w:r>
    </w:p>
    <w:p>
      <w:pPr>
        <w:kinsoku/>
        <w:overflowPunct/>
        <w:topLinePunct w:val="0"/>
        <w:bidi w:val="0"/>
        <w:spacing w:line="300" w:lineRule="auto"/>
        <w:ind w:firstLine="420" w:firstLineChars="200"/>
        <w:rPr>
          <w:rFonts w:ascii="宋体" w:hAnsi="宋体"/>
        </w:rPr>
      </w:pPr>
      <w:r>
        <w:rPr>
          <w:rFonts w:ascii="宋体" w:hAnsi="宋体"/>
        </w:rPr>
        <w:t>d</w:t>
      </w:r>
      <w:r>
        <w:rPr>
          <w:rFonts w:hint="eastAsia" w:ascii="宋体" w:hAnsi="宋体"/>
        </w:rPr>
        <w:t>、人工、机械等可能存在的政策性调整所需增加的费用；</w:t>
      </w:r>
    </w:p>
    <w:p>
      <w:pPr>
        <w:kinsoku/>
        <w:overflowPunct/>
        <w:topLinePunct w:val="0"/>
        <w:bidi w:val="0"/>
        <w:spacing w:line="300" w:lineRule="auto"/>
        <w:ind w:firstLine="415" w:firstLineChars="198"/>
        <w:rPr>
          <w:rFonts w:ascii="宋体" w:hAnsi="宋体"/>
        </w:rPr>
      </w:pPr>
      <w:r>
        <w:rPr>
          <w:rFonts w:ascii="宋体" w:hAnsi="宋体"/>
        </w:rPr>
        <w:t>e</w:t>
      </w:r>
      <w:r>
        <w:rPr>
          <w:rFonts w:hint="eastAsia" w:ascii="宋体" w:hAnsi="宋体"/>
        </w:rPr>
        <w:t>、报价中应包括施工图内及按常规理解应包含在此范围内所有材料、人工、机械、管理、利润等政策性文件规定应包括的项目费用而定额子目可能包含不完整的费用。</w:t>
      </w:r>
    </w:p>
    <w:p>
      <w:pPr>
        <w:kinsoku/>
        <w:overflowPunct/>
        <w:topLinePunct w:val="0"/>
        <w:bidi w:val="0"/>
        <w:spacing w:line="300" w:lineRule="auto"/>
        <w:ind w:firstLine="420" w:firstLineChars="200"/>
        <w:rPr>
          <w:rFonts w:ascii="宋体" w:hAnsi="宋体"/>
        </w:rPr>
      </w:pPr>
      <w:r>
        <w:rPr>
          <w:rFonts w:ascii="宋体" w:hAnsi="宋体"/>
        </w:rPr>
        <w:t>f</w:t>
      </w:r>
      <w:r>
        <w:rPr>
          <w:rFonts w:hint="eastAsia" w:ascii="宋体" w:hAnsi="宋体"/>
        </w:rPr>
        <w:t>、由于城市管理、交通管理及根据本工程现场的实际条件等原因所增加支出的运输增加的费用。</w:t>
      </w:r>
    </w:p>
    <w:p>
      <w:pPr>
        <w:kinsoku/>
        <w:overflowPunct/>
        <w:topLinePunct w:val="0"/>
        <w:bidi w:val="0"/>
        <w:spacing w:line="300" w:lineRule="auto"/>
        <w:ind w:firstLine="420" w:firstLineChars="200"/>
        <w:rPr>
          <w:rFonts w:ascii="宋体" w:hAnsi="宋体"/>
        </w:rPr>
      </w:pPr>
      <w:r>
        <w:rPr>
          <w:rFonts w:ascii="宋体" w:hAnsi="宋体"/>
        </w:rPr>
        <w:t>g</w:t>
      </w:r>
      <w:r>
        <w:rPr>
          <w:rFonts w:hint="eastAsia" w:ascii="宋体" w:hAnsi="宋体"/>
        </w:rPr>
        <w:t>、由于停电、停水工期将不予顺延，费用也不予增加。</w:t>
      </w:r>
    </w:p>
    <w:p>
      <w:pPr>
        <w:kinsoku/>
        <w:overflowPunct/>
        <w:topLinePunct w:val="0"/>
        <w:bidi w:val="0"/>
        <w:spacing w:line="300" w:lineRule="auto"/>
        <w:ind w:firstLine="420" w:firstLineChars="200"/>
        <w:rPr>
          <w:rFonts w:ascii="宋体" w:hAnsi="宋体"/>
        </w:rPr>
      </w:pPr>
      <w:r>
        <w:rPr>
          <w:rFonts w:ascii="宋体" w:hAnsi="宋体"/>
        </w:rPr>
        <w:t>h</w:t>
      </w:r>
      <w:r>
        <w:rPr>
          <w:rFonts w:hint="eastAsia" w:ascii="宋体" w:hAnsi="宋体"/>
        </w:rPr>
        <w:t>、其他在本标文中没有包含，但实际可能发生及磋商供应商认为应当计列的一切费用，均属包干风险费用应计的内容，今后除本标文规定允许调整的内容按规定调整外，一次性包干。</w:t>
      </w:r>
    </w:p>
    <w:p>
      <w:pPr>
        <w:kinsoku/>
        <w:overflowPunct/>
        <w:topLinePunct w:val="0"/>
        <w:bidi w:val="0"/>
        <w:spacing w:line="300" w:lineRule="auto"/>
        <w:ind w:firstLine="420" w:firstLineChars="200"/>
        <w:rPr>
          <w:rFonts w:ascii="宋体" w:hAnsi="宋体"/>
        </w:rPr>
      </w:pPr>
      <w:r>
        <w:rPr>
          <w:rFonts w:hint="eastAsia" w:ascii="宋体" w:hAnsi="宋体"/>
        </w:rPr>
        <w:t>i、暂定价材料单价或综合单价的由采购人确定准于计取的费用磋商供应商认为不足的或可能发生的其他费用，磋商供应商应予以考虑。暂定价格的材料由采购人确定供应商和单价的，成交供应商无条件接受并予以配合并进行质量验收。暂定价材料价格、采管费及安装损耗由磋商供应商自行测算后计入综合单价。</w:t>
      </w:r>
    </w:p>
    <w:p>
      <w:pPr>
        <w:kinsoku/>
        <w:overflowPunct/>
        <w:topLinePunct w:val="0"/>
        <w:bidi w:val="0"/>
        <w:spacing w:line="300" w:lineRule="auto"/>
        <w:ind w:firstLine="420" w:firstLineChars="200"/>
        <w:rPr>
          <w:rFonts w:ascii="宋体" w:hAnsi="宋体"/>
        </w:rPr>
      </w:pPr>
      <w:r>
        <w:rPr>
          <w:rFonts w:hint="eastAsia" w:ascii="宋体" w:hAnsi="宋体"/>
        </w:rPr>
        <w:t>③磋商应商的投标单价在合同实施期间不因市场定额、政府文件调整等的变化而变化，今后除暂定价材料按建设单位确认的价格调整外，均不予调整（注：审计部门有权对暂定材料价格审查调整）。</w:t>
      </w:r>
    </w:p>
    <w:p>
      <w:pPr>
        <w:kinsoku/>
        <w:overflowPunct/>
        <w:topLinePunct w:val="0"/>
        <w:bidi w:val="0"/>
        <w:spacing w:line="300" w:lineRule="auto"/>
        <w:ind w:firstLine="420" w:firstLineChars="200"/>
        <w:rPr>
          <w:rFonts w:ascii="宋体" w:hAnsi="宋体" w:cs="宋体"/>
          <w:b/>
          <w:szCs w:val="21"/>
        </w:rPr>
      </w:pPr>
      <w:r>
        <w:rPr>
          <w:rFonts w:hint="eastAsia" w:ascii="宋体" w:hAnsi="宋体"/>
        </w:rPr>
        <w:t>④采购需要更改设计错误，成交供应商无条件接受，不得以此理由提出工期索赔，并按修改后的施工图进行施工和按本磋商文件规定计取费用。</w:t>
      </w:r>
    </w:p>
    <w:p>
      <w:pPr>
        <w:numPr>
          <w:ilvl w:val="0"/>
          <w:numId w:val="10"/>
        </w:numPr>
        <w:kinsoku/>
        <w:overflowPunct/>
        <w:topLinePunct w:val="0"/>
        <w:bidi w:val="0"/>
        <w:snapToGrid w:val="0"/>
        <w:spacing w:line="300" w:lineRule="auto"/>
        <w:jc w:val="both"/>
        <w:rPr>
          <w:rFonts w:ascii="Arial" w:hAnsi="Arial"/>
        </w:rPr>
      </w:pPr>
      <w:r>
        <w:rPr>
          <w:rFonts w:hint="eastAsia" w:ascii="Arial" w:hAnsi="Arial"/>
          <w:b/>
          <w:sz w:val="24"/>
        </w:rPr>
        <w:t>磋商响应文件的式样和签署</w:t>
      </w:r>
    </w:p>
    <w:p>
      <w:pPr>
        <w:numPr>
          <w:ilvl w:val="1"/>
          <w:numId w:val="10"/>
        </w:numPr>
        <w:kinsoku/>
        <w:overflowPunct/>
        <w:topLinePunct w:val="0"/>
        <w:bidi w:val="0"/>
        <w:snapToGrid w:val="0"/>
        <w:spacing w:line="300" w:lineRule="auto"/>
        <w:jc w:val="both"/>
        <w:rPr>
          <w:szCs w:val="21"/>
        </w:rPr>
      </w:pPr>
      <w:r>
        <w:rPr>
          <w:rFonts w:hint="eastAsia"/>
          <w:szCs w:val="21"/>
        </w:rPr>
        <w:t>磋商供应商应</w:t>
      </w:r>
      <w:r>
        <w:rPr>
          <w:rFonts w:hint="eastAsia"/>
          <w:b/>
          <w:szCs w:val="21"/>
        </w:rPr>
        <w:t>提供壹份正本和肆份副本</w:t>
      </w:r>
      <w:r>
        <w:rPr>
          <w:rFonts w:hint="eastAsia"/>
          <w:szCs w:val="21"/>
        </w:rPr>
        <w:t>(统一规格用A4纸)，并在每一份“磋商响应文件”上要明确注明“正本”或“副本”字样。一旦正本和副本有差异，以正本为准。</w:t>
      </w:r>
    </w:p>
    <w:p>
      <w:pPr>
        <w:numPr>
          <w:ilvl w:val="1"/>
          <w:numId w:val="10"/>
        </w:numPr>
        <w:kinsoku/>
        <w:overflowPunct/>
        <w:topLinePunct w:val="0"/>
        <w:bidi w:val="0"/>
        <w:snapToGrid w:val="0"/>
        <w:spacing w:line="300" w:lineRule="auto"/>
        <w:jc w:val="both"/>
        <w:rPr>
          <w:szCs w:val="21"/>
        </w:rPr>
      </w:pPr>
      <w:r>
        <w:rPr>
          <w:rFonts w:hint="eastAsia"/>
          <w:szCs w:val="21"/>
        </w:rPr>
        <w:t>磋商响应文件“正本”的内容是属于磋商供应商自己制作的，并合成本装订(统一规格用A4纸)。均须用不褪色墨水书写或打印，并在“磋商文件格式”规定处由磋商供应商的法定代表人或其授权代表盖章（或签字）。</w:t>
      </w:r>
    </w:p>
    <w:p>
      <w:pPr>
        <w:numPr>
          <w:ilvl w:val="1"/>
          <w:numId w:val="10"/>
        </w:numPr>
        <w:kinsoku/>
        <w:overflowPunct/>
        <w:topLinePunct w:val="0"/>
        <w:bidi w:val="0"/>
        <w:snapToGrid w:val="0"/>
        <w:spacing w:line="300" w:lineRule="auto"/>
        <w:jc w:val="both"/>
        <w:rPr>
          <w:szCs w:val="21"/>
        </w:rPr>
      </w:pPr>
      <w:r>
        <w:rPr>
          <w:rFonts w:hint="eastAsia"/>
          <w:szCs w:val="21"/>
        </w:rPr>
        <w:t>磋商响应文件副本可以用磋商响应文件的正本复印而成。</w:t>
      </w:r>
    </w:p>
    <w:p>
      <w:pPr>
        <w:numPr>
          <w:ilvl w:val="1"/>
          <w:numId w:val="10"/>
        </w:numPr>
        <w:kinsoku/>
        <w:overflowPunct/>
        <w:topLinePunct w:val="0"/>
        <w:bidi w:val="0"/>
        <w:snapToGrid w:val="0"/>
        <w:spacing w:line="300" w:lineRule="auto"/>
        <w:jc w:val="both"/>
        <w:rPr>
          <w:rFonts w:ascii="Arial" w:hAnsi="Arial"/>
        </w:rPr>
      </w:pPr>
      <w:r>
        <w:rPr>
          <w:rFonts w:hint="eastAsia"/>
          <w:szCs w:val="21"/>
        </w:rPr>
        <w:t>磋商响应文件不得涂改和增删，如有修改错漏处，必须由同一签署人签字或盖章。</w:t>
      </w:r>
    </w:p>
    <w:p>
      <w:pPr>
        <w:numPr>
          <w:ilvl w:val="0"/>
          <w:numId w:val="10"/>
        </w:numPr>
        <w:kinsoku/>
        <w:overflowPunct/>
        <w:topLinePunct w:val="0"/>
        <w:bidi w:val="0"/>
        <w:snapToGrid w:val="0"/>
        <w:spacing w:line="300" w:lineRule="auto"/>
        <w:jc w:val="both"/>
        <w:rPr>
          <w:rFonts w:ascii="Arial" w:hAnsi="Arial"/>
          <w:b/>
          <w:bCs/>
          <w:sz w:val="24"/>
        </w:rPr>
      </w:pPr>
      <w:r>
        <w:rPr>
          <w:rFonts w:hint="eastAsia" w:ascii="Arial" w:hAnsi="Arial"/>
          <w:b/>
          <w:bCs/>
          <w:sz w:val="24"/>
        </w:rPr>
        <w:t>串通行为</w:t>
      </w:r>
    </w:p>
    <w:p>
      <w:pPr>
        <w:numPr>
          <w:ilvl w:val="1"/>
          <w:numId w:val="10"/>
        </w:numPr>
        <w:kinsoku/>
        <w:overflowPunct/>
        <w:topLinePunct w:val="0"/>
        <w:bidi w:val="0"/>
        <w:snapToGrid w:val="0"/>
        <w:spacing w:line="300" w:lineRule="auto"/>
        <w:jc w:val="both"/>
        <w:rPr>
          <w:rFonts w:ascii="Arial" w:hAnsi="Arial"/>
        </w:rPr>
      </w:pPr>
      <w:r>
        <w:rPr>
          <w:rFonts w:hint="eastAsia" w:ascii="Arial" w:hAnsi="Arial"/>
        </w:rPr>
        <w:t>磋商供应商或采购组织单位有下列情形之一的，应按串通行为认定：</w:t>
      </w:r>
    </w:p>
    <w:p>
      <w:pPr>
        <w:numPr>
          <w:ilvl w:val="0"/>
          <w:numId w:val="13"/>
        </w:numPr>
        <w:kinsoku/>
        <w:overflowPunct/>
        <w:topLinePunct w:val="0"/>
        <w:bidi w:val="0"/>
        <w:snapToGrid w:val="0"/>
        <w:spacing w:line="300" w:lineRule="auto"/>
        <w:jc w:val="both"/>
        <w:rPr>
          <w:rFonts w:ascii="宋体" w:hAnsi="宋体"/>
        </w:rPr>
      </w:pPr>
      <w:r>
        <w:rPr>
          <w:rFonts w:hint="eastAsia" w:ascii="宋体" w:hAnsi="宋体"/>
        </w:rPr>
        <w:t xml:space="preserve">不同磋商供应商的磋商响应文件由同一单位或人员编制的； </w:t>
      </w:r>
    </w:p>
    <w:p>
      <w:pPr>
        <w:numPr>
          <w:ilvl w:val="0"/>
          <w:numId w:val="13"/>
        </w:numPr>
        <w:kinsoku/>
        <w:overflowPunct/>
        <w:topLinePunct w:val="0"/>
        <w:bidi w:val="0"/>
        <w:snapToGrid w:val="0"/>
        <w:spacing w:line="300" w:lineRule="auto"/>
        <w:jc w:val="both"/>
        <w:rPr>
          <w:rFonts w:ascii="宋体" w:hAnsi="宋体"/>
        </w:rPr>
      </w:pPr>
      <w:r>
        <w:rPr>
          <w:rFonts w:hint="eastAsia" w:ascii="宋体" w:hAnsi="宋体"/>
        </w:rPr>
        <w:t>不同供应商委托同一单位或人员办理投标事宜的；</w:t>
      </w:r>
    </w:p>
    <w:p>
      <w:pPr>
        <w:numPr>
          <w:ilvl w:val="0"/>
          <w:numId w:val="13"/>
        </w:numPr>
        <w:kinsoku/>
        <w:overflowPunct/>
        <w:topLinePunct w:val="0"/>
        <w:bidi w:val="0"/>
        <w:snapToGrid w:val="0"/>
        <w:spacing w:line="300" w:lineRule="auto"/>
        <w:jc w:val="both"/>
        <w:rPr>
          <w:rFonts w:ascii="宋体" w:hAnsi="宋体"/>
        </w:rPr>
      </w:pPr>
      <w:r>
        <w:rPr>
          <w:rFonts w:hint="eastAsia" w:ascii="宋体" w:hAnsi="宋体"/>
        </w:rPr>
        <w:t xml:space="preserve">不同磋商供应商的磋商响应文件中的内容出现非正常的一致，或者报价细目呈明显规律性变化，或在完全可比的情况下投标总价均高于市场平均价的； </w:t>
      </w:r>
    </w:p>
    <w:p>
      <w:pPr>
        <w:numPr>
          <w:ilvl w:val="0"/>
          <w:numId w:val="13"/>
        </w:numPr>
        <w:kinsoku/>
        <w:overflowPunct/>
        <w:topLinePunct w:val="0"/>
        <w:bidi w:val="0"/>
        <w:snapToGrid w:val="0"/>
        <w:spacing w:line="300" w:lineRule="auto"/>
        <w:jc w:val="both"/>
        <w:rPr>
          <w:rFonts w:ascii="宋体" w:hAnsi="宋体"/>
        </w:rPr>
      </w:pPr>
      <w:r>
        <w:rPr>
          <w:rFonts w:hint="eastAsia" w:ascii="宋体" w:hAnsi="宋体"/>
        </w:rPr>
        <w:t>不同磋商供应商的磋商响应文件载明的项目管理或实施人员出现同一单位的工作人员或同一人的；</w:t>
      </w:r>
    </w:p>
    <w:p>
      <w:pPr>
        <w:numPr>
          <w:ilvl w:val="0"/>
          <w:numId w:val="13"/>
        </w:numPr>
        <w:kinsoku/>
        <w:overflowPunct/>
        <w:topLinePunct w:val="0"/>
        <w:bidi w:val="0"/>
        <w:snapToGrid w:val="0"/>
        <w:spacing w:line="300" w:lineRule="auto"/>
        <w:jc w:val="both"/>
        <w:rPr>
          <w:rFonts w:ascii="宋体" w:hAnsi="宋体"/>
        </w:rPr>
      </w:pPr>
      <w:r>
        <w:rPr>
          <w:rFonts w:hint="eastAsia" w:ascii="宋体" w:hAnsi="宋体"/>
        </w:rPr>
        <w:t xml:space="preserve">不同磋商供应商的授权代表为同一单位的工作人员的； </w:t>
      </w:r>
    </w:p>
    <w:p>
      <w:pPr>
        <w:numPr>
          <w:ilvl w:val="0"/>
          <w:numId w:val="13"/>
        </w:numPr>
        <w:kinsoku/>
        <w:overflowPunct/>
        <w:topLinePunct w:val="0"/>
        <w:bidi w:val="0"/>
        <w:snapToGrid w:val="0"/>
        <w:spacing w:line="300" w:lineRule="auto"/>
        <w:jc w:val="both"/>
        <w:rPr>
          <w:rFonts w:ascii="宋体" w:hAnsi="宋体"/>
        </w:rPr>
      </w:pPr>
      <w:r>
        <w:rPr>
          <w:rFonts w:hint="eastAsia" w:ascii="宋体" w:hAnsi="宋体"/>
        </w:rPr>
        <w:t xml:space="preserve">不同磋商供应商的磋商响应文件相互混装，或在一个磋商供应商的磋商响应文件内遗留有其他磋商供应商的签名、盖章等不属于本磋商供应商参加政府采购必需的信息资料的； </w:t>
      </w:r>
    </w:p>
    <w:p>
      <w:pPr>
        <w:numPr>
          <w:ilvl w:val="0"/>
          <w:numId w:val="13"/>
        </w:numPr>
        <w:kinsoku/>
        <w:overflowPunct/>
        <w:topLinePunct w:val="0"/>
        <w:bidi w:val="0"/>
        <w:snapToGrid w:val="0"/>
        <w:spacing w:line="300" w:lineRule="auto"/>
        <w:jc w:val="both"/>
        <w:rPr>
          <w:rFonts w:ascii="宋体" w:hAnsi="宋体"/>
        </w:rPr>
      </w:pPr>
      <w:r>
        <w:rPr>
          <w:rFonts w:hint="eastAsia" w:ascii="宋体" w:hAnsi="宋体"/>
        </w:rPr>
        <w:t xml:space="preserve">采购响应截止时间后，采购组织单位协助磋商供应商撤换或更改磋商响应文件的； </w:t>
      </w:r>
    </w:p>
    <w:p>
      <w:pPr>
        <w:numPr>
          <w:ilvl w:val="0"/>
          <w:numId w:val="13"/>
        </w:numPr>
        <w:kinsoku/>
        <w:overflowPunct/>
        <w:topLinePunct w:val="0"/>
        <w:bidi w:val="0"/>
        <w:snapToGrid w:val="0"/>
        <w:spacing w:line="300" w:lineRule="auto"/>
        <w:jc w:val="both"/>
        <w:rPr>
          <w:rFonts w:ascii="宋体" w:hAnsi="宋体"/>
        </w:rPr>
      </w:pPr>
      <w:r>
        <w:rPr>
          <w:rFonts w:hint="eastAsia" w:ascii="宋体" w:hAnsi="宋体"/>
        </w:rPr>
        <w:t>采购组织单位泄露有意向参加政府采购的磋商供应商名称、数量等应当保密的事项的；</w:t>
      </w:r>
    </w:p>
    <w:p>
      <w:pPr>
        <w:numPr>
          <w:ilvl w:val="0"/>
          <w:numId w:val="13"/>
        </w:numPr>
        <w:kinsoku/>
        <w:overflowPunct/>
        <w:topLinePunct w:val="0"/>
        <w:bidi w:val="0"/>
        <w:snapToGrid w:val="0"/>
        <w:spacing w:line="300" w:lineRule="auto"/>
        <w:jc w:val="both"/>
        <w:rPr>
          <w:rFonts w:ascii="宋体" w:hAnsi="宋体"/>
        </w:rPr>
      </w:pPr>
      <w:r>
        <w:rPr>
          <w:rFonts w:hint="eastAsia" w:ascii="宋体" w:hAnsi="宋体"/>
        </w:rPr>
        <w:t>不同磋商供应商之间私下达成书面或口头协议，指定一家磋商供应商成交或轮流成交的；</w:t>
      </w:r>
    </w:p>
    <w:p>
      <w:pPr>
        <w:numPr>
          <w:ilvl w:val="0"/>
          <w:numId w:val="13"/>
        </w:numPr>
        <w:kinsoku/>
        <w:overflowPunct/>
        <w:topLinePunct w:val="0"/>
        <w:bidi w:val="0"/>
        <w:snapToGrid w:val="0"/>
        <w:spacing w:line="300" w:lineRule="auto"/>
        <w:jc w:val="both"/>
        <w:rPr>
          <w:rFonts w:ascii="宋体" w:hAnsi="宋体"/>
        </w:rPr>
      </w:pPr>
      <w:r>
        <w:rPr>
          <w:rFonts w:hint="eastAsia" w:ascii="宋体" w:hAnsi="宋体"/>
        </w:rPr>
        <w:t>法律、法规或规章规定的其他串通行为。</w:t>
      </w:r>
    </w:p>
    <w:p>
      <w:pPr>
        <w:pStyle w:val="5"/>
        <w:kinsoku/>
        <w:overflowPunct/>
        <w:topLinePunct w:val="0"/>
        <w:bidi w:val="0"/>
        <w:spacing w:before="120" w:beforeLines="50" w:after="120" w:afterLines="50" w:line="300" w:lineRule="auto"/>
        <w:jc w:val="center"/>
        <w:rPr>
          <w:sz w:val="24"/>
          <w:szCs w:val="24"/>
        </w:rPr>
      </w:pPr>
      <w:bookmarkStart w:id="16" w:name="_Toc19781"/>
      <w:bookmarkStart w:id="17" w:name="_Toc18482"/>
      <w:r>
        <w:rPr>
          <w:rFonts w:hint="eastAsia"/>
          <w:sz w:val="24"/>
          <w:szCs w:val="24"/>
        </w:rPr>
        <w:t>（五）磋商响应文件的递交</w:t>
      </w:r>
      <w:bookmarkEnd w:id="16"/>
      <w:bookmarkEnd w:id="17"/>
    </w:p>
    <w:p>
      <w:pPr>
        <w:numPr>
          <w:ilvl w:val="0"/>
          <w:numId w:val="10"/>
        </w:numPr>
        <w:kinsoku/>
        <w:overflowPunct/>
        <w:topLinePunct w:val="0"/>
        <w:bidi w:val="0"/>
        <w:snapToGrid w:val="0"/>
        <w:spacing w:line="300" w:lineRule="auto"/>
        <w:jc w:val="both"/>
        <w:rPr>
          <w:rFonts w:ascii="Arial" w:hAnsi="Arial"/>
        </w:rPr>
      </w:pPr>
      <w:r>
        <w:rPr>
          <w:rFonts w:hint="eastAsia" w:ascii="Arial" w:hAnsi="Arial"/>
          <w:b/>
          <w:sz w:val="24"/>
        </w:rPr>
        <w:t>磋商响应文件的密封和标记</w:t>
      </w:r>
    </w:p>
    <w:p>
      <w:pPr>
        <w:numPr>
          <w:ilvl w:val="1"/>
          <w:numId w:val="10"/>
        </w:numPr>
        <w:kinsoku/>
        <w:overflowPunct/>
        <w:topLinePunct w:val="0"/>
        <w:bidi w:val="0"/>
        <w:snapToGrid w:val="0"/>
        <w:spacing w:line="300" w:lineRule="auto"/>
        <w:jc w:val="both"/>
        <w:rPr>
          <w:rFonts w:ascii="楷体_GB2312" w:hAnsi="宋体" w:eastAsia="楷体_GB2312"/>
          <w:b/>
          <w:bCs/>
          <w:u w:val="wave"/>
        </w:rPr>
      </w:pPr>
      <w:r>
        <w:rPr>
          <w:rFonts w:hint="eastAsia" w:ascii="Arial" w:hAnsi="Arial"/>
        </w:rPr>
        <w:t>▲</w:t>
      </w:r>
      <w:r>
        <w:rPr>
          <w:rFonts w:hint="eastAsia" w:ascii="宋体" w:hAnsi="宋体"/>
        </w:rPr>
        <w:t>磋商响应文件</w:t>
      </w:r>
      <w:r>
        <w:rPr>
          <w:rFonts w:hint="eastAsia" w:ascii="宋体" w:hAnsi="宋体"/>
          <w:b/>
        </w:rPr>
        <w:t>应包装密封</w:t>
      </w:r>
      <w:r>
        <w:rPr>
          <w:rFonts w:hint="eastAsia" w:ascii="宋体" w:hAnsi="宋体"/>
        </w:rPr>
        <w:t>，</w:t>
      </w:r>
      <w:r>
        <w:rPr>
          <w:rFonts w:hint="eastAsia" w:ascii="宋体" w:hAnsi="宋体"/>
          <w:szCs w:val="21"/>
        </w:rPr>
        <w:t>包装袋上</w:t>
      </w:r>
      <w:r>
        <w:rPr>
          <w:rFonts w:hint="eastAsia" w:ascii="宋体" w:hAnsi="宋体"/>
        </w:rPr>
        <w:t>应有磋商供应商公章及法定代表人或其授权代表盖章（或签字）。</w:t>
      </w:r>
      <w:r>
        <w:rPr>
          <w:rFonts w:hint="eastAsia" w:ascii="宋体" w:hAnsi="宋体"/>
          <w:u w:val="single"/>
        </w:rPr>
        <w:t>若磋商响应文件未按要求包装密封，则将被拒绝接受或作无效标处理。</w:t>
      </w:r>
    </w:p>
    <w:p>
      <w:pPr>
        <w:numPr>
          <w:ilvl w:val="1"/>
          <w:numId w:val="10"/>
        </w:numPr>
        <w:kinsoku/>
        <w:overflowPunct/>
        <w:topLinePunct w:val="0"/>
        <w:bidi w:val="0"/>
        <w:snapToGrid w:val="0"/>
        <w:spacing w:line="300" w:lineRule="auto"/>
        <w:jc w:val="both"/>
        <w:rPr>
          <w:rFonts w:ascii="宋体" w:hAnsi="宋体"/>
        </w:rPr>
      </w:pPr>
      <w:r>
        <w:rPr>
          <w:rFonts w:hint="eastAsia" w:ascii="宋体" w:hAnsi="宋体"/>
        </w:rPr>
        <w:t>磋商响应文件封皮上写明磋商项目名称、编号、磋商供应商名称、地址、邮政编码、电话、联系人，并注明“开标时启封”字样。</w:t>
      </w:r>
    </w:p>
    <w:p>
      <w:pPr>
        <w:numPr>
          <w:ilvl w:val="1"/>
          <w:numId w:val="10"/>
        </w:numPr>
        <w:kinsoku/>
        <w:overflowPunct/>
        <w:topLinePunct w:val="0"/>
        <w:bidi w:val="0"/>
        <w:snapToGrid w:val="0"/>
        <w:spacing w:line="300" w:lineRule="auto"/>
        <w:jc w:val="both"/>
        <w:rPr>
          <w:rFonts w:ascii="宋体" w:hAnsi="宋体"/>
        </w:rPr>
      </w:pPr>
      <w:r>
        <w:rPr>
          <w:rFonts w:hint="eastAsia" w:ascii="宋体" w:hAnsi="宋体"/>
        </w:rPr>
        <w:t>封套建议采用瑞安市招标投标协会</w:t>
      </w:r>
      <w:r>
        <w:rPr>
          <w:rFonts w:hint="eastAsia" w:ascii="宋体" w:hAnsi="宋体"/>
          <w:szCs w:val="21"/>
        </w:rPr>
        <w:t>监制</w:t>
      </w:r>
      <w:r>
        <w:rPr>
          <w:rFonts w:hint="eastAsia" w:ascii="宋体" w:hAnsi="宋体"/>
        </w:rPr>
        <w:t>的密封封套，并按要求填写。</w:t>
      </w:r>
    </w:p>
    <w:p>
      <w:pPr>
        <w:numPr>
          <w:ilvl w:val="0"/>
          <w:numId w:val="10"/>
        </w:numPr>
        <w:kinsoku/>
        <w:overflowPunct/>
        <w:topLinePunct w:val="0"/>
        <w:bidi w:val="0"/>
        <w:snapToGrid w:val="0"/>
        <w:spacing w:line="300" w:lineRule="auto"/>
        <w:jc w:val="both"/>
        <w:rPr>
          <w:rFonts w:ascii="Arial" w:hAnsi="Arial"/>
          <w:b/>
          <w:sz w:val="24"/>
        </w:rPr>
      </w:pPr>
      <w:r>
        <w:rPr>
          <w:rFonts w:hint="eastAsia" w:ascii="Arial" w:hAnsi="Arial"/>
          <w:b/>
          <w:sz w:val="24"/>
        </w:rPr>
        <w:t>磋商截止时间</w:t>
      </w:r>
    </w:p>
    <w:p>
      <w:pPr>
        <w:numPr>
          <w:ilvl w:val="1"/>
          <w:numId w:val="10"/>
        </w:numPr>
        <w:kinsoku/>
        <w:overflowPunct/>
        <w:topLinePunct w:val="0"/>
        <w:bidi w:val="0"/>
        <w:snapToGrid w:val="0"/>
        <w:spacing w:line="300" w:lineRule="auto"/>
        <w:jc w:val="both"/>
        <w:rPr>
          <w:rFonts w:ascii="Arial" w:hAnsi="Arial"/>
        </w:rPr>
      </w:pPr>
      <w:r>
        <w:rPr>
          <w:rFonts w:hint="eastAsia" w:ascii="Arial" w:hAnsi="Arial"/>
        </w:rPr>
        <w:t>本次采购的磋商开始时间及磋商响应文件递交截止时间：见本磋商文件“采购公告”。采购代理机构收到磋商响应文件的时间不得迟于规定的截止时间。</w:t>
      </w:r>
    </w:p>
    <w:p>
      <w:pPr>
        <w:numPr>
          <w:ilvl w:val="1"/>
          <w:numId w:val="10"/>
        </w:numPr>
        <w:kinsoku/>
        <w:overflowPunct/>
        <w:topLinePunct w:val="0"/>
        <w:bidi w:val="0"/>
        <w:snapToGrid w:val="0"/>
        <w:spacing w:line="300" w:lineRule="auto"/>
        <w:jc w:val="both"/>
        <w:rPr>
          <w:rFonts w:ascii="Arial" w:hAnsi="Arial"/>
        </w:rPr>
      </w:pPr>
      <w:r>
        <w:rPr>
          <w:rFonts w:hint="eastAsia" w:ascii="Arial" w:hAnsi="Arial"/>
        </w:rPr>
        <w:t>在推迟了磋商开始时间的情况下，采购代理机构、采购人和磋商供应商受制约的所有权利和义务均应延长至新的截止时间。</w:t>
      </w:r>
    </w:p>
    <w:p>
      <w:pPr>
        <w:numPr>
          <w:ilvl w:val="0"/>
          <w:numId w:val="10"/>
        </w:numPr>
        <w:kinsoku/>
        <w:overflowPunct/>
        <w:topLinePunct w:val="0"/>
        <w:bidi w:val="0"/>
        <w:snapToGrid w:val="0"/>
        <w:spacing w:line="300" w:lineRule="auto"/>
        <w:jc w:val="both"/>
        <w:rPr>
          <w:rFonts w:ascii="Arial" w:hAnsi="Arial"/>
          <w:b/>
          <w:sz w:val="24"/>
        </w:rPr>
      </w:pPr>
      <w:r>
        <w:rPr>
          <w:rFonts w:hint="eastAsia" w:ascii="Arial" w:hAnsi="Arial"/>
          <w:b/>
          <w:sz w:val="24"/>
        </w:rPr>
        <w:t>磋商响应文件有下列情形之一的，采购代理机构不予受理：</w:t>
      </w:r>
    </w:p>
    <w:p>
      <w:pPr>
        <w:numPr>
          <w:ilvl w:val="1"/>
          <w:numId w:val="10"/>
        </w:numPr>
        <w:kinsoku/>
        <w:overflowPunct/>
        <w:topLinePunct w:val="0"/>
        <w:bidi w:val="0"/>
        <w:snapToGrid w:val="0"/>
        <w:spacing w:line="300" w:lineRule="auto"/>
        <w:jc w:val="both"/>
        <w:rPr>
          <w:rFonts w:ascii="Arial" w:hAnsi="Arial"/>
        </w:rPr>
      </w:pPr>
      <w:r>
        <w:rPr>
          <w:rFonts w:hint="eastAsia" w:ascii="Arial" w:hAnsi="Arial"/>
        </w:rPr>
        <w:t>磋商响应文件逾期送达的或者未送达指定地点的；</w:t>
      </w:r>
    </w:p>
    <w:p>
      <w:pPr>
        <w:numPr>
          <w:ilvl w:val="1"/>
          <w:numId w:val="10"/>
        </w:numPr>
        <w:kinsoku/>
        <w:overflowPunct/>
        <w:topLinePunct w:val="0"/>
        <w:bidi w:val="0"/>
        <w:snapToGrid w:val="0"/>
        <w:spacing w:line="300" w:lineRule="auto"/>
        <w:jc w:val="both"/>
        <w:rPr>
          <w:rFonts w:ascii="Arial" w:hAnsi="Arial"/>
        </w:rPr>
      </w:pPr>
      <w:r>
        <w:rPr>
          <w:rFonts w:hint="eastAsia" w:ascii="Arial" w:hAnsi="Arial"/>
        </w:rPr>
        <w:t>磋商响应文件未按磋商文件要求密封、签署、盖章的。</w:t>
      </w:r>
    </w:p>
    <w:p>
      <w:pPr>
        <w:pStyle w:val="5"/>
        <w:kinsoku/>
        <w:overflowPunct/>
        <w:topLinePunct w:val="0"/>
        <w:bidi w:val="0"/>
        <w:spacing w:before="120" w:beforeLines="50" w:after="120" w:afterLines="50" w:line="300" w:lineRule="auto"/>
        <w:jc w:val="center"/>
        <w:rPr>
          <w:sz w:val="24"/>
          <w:szCs w:val="24"/>
        </w:rPr>
      </w:pPr>
      <w:bookmarkStart w:id="18" w:name="_Toc2404"/>
      <w:bookmarkStart w:id="19" w:name="_Toc9278"/>
      <w:r>
        <w:rPr>
          <w:rFonts w:hint="eastAsia"/>
          <w:sz w:val="24"/>
          <w:szCs w:val="24"/>
        </w:rPr>
        <w:t>（六）磋商与评审</w:t>
      </w:r>
      <w:bookmarkEnd w:id="18"/>
      <w:bookmarkEnd w:id="19"/>
    </w:p>
    <w:p>
      <w:pPr>
        <w:numPr>
          <w:ilvl w:val="0"/>
          <w:numId w:val="10"/>
        </w:numPr>
        <w:kinsoku/>
        <w:overflowPunct/>
        <w:topLinePunct w:val="0"/>
        <w:bidi w:val="0"/>
        <w:snapToGrid w:val="0"/>
        <w:spacing w:line="300" w:lineRule="auto"/>
        <w:jc w:val="both"/>
        <w:rPr>
          <w:rFonts w:ascii="Arial" w:hAnsi="Arial"/>
          <w:b/>
          <w:sz w:val="24"/>
        </w:rPr>
      </w:pPr>
      <w:r>
        <w:rPr>
          <w:rFonts w:hint="eastAsia" w:ascii="Arial" w:hAnsi="Arial"/>
          <w:b/>
          <w:sz w:val="24"/>
        </w:rPr>
        <w:t>磋商</w:t>
      </w:r>
    </w:p>
    <w:p>
      <w:pPr>
        <w:numPr>
          <w:ilvl w:val="1"/>
          <w:numId w:val="10"/>
        </w:numPr>
        <w:kinsoku/>
        <w:overflowPunct/>
        <w:topLinePunct w:val="0"/>
        <w:bidi w:val="0"/>
        <w:snapToGrid w:val="0"/>
        <w:spacing w:line="300" w:lineRule="auto"/>
        <w:jc w:val="both"/>
        <w:rPr>
          <w:rFonts w:ascii="Arial" w:hAnsi="Arial"/>
        </w:rPr>
      </w:pPr>
      <w:r>
        <w:rPr>
          <w:rFonts w:hint="eastAsia" w:ascii="Arial" w:hAnsi="Arial"/>
        </w:rPr>
        <w:t>磋商时间和地点：见本磋商文件“采购公告”。</w:t>
      </w:r>
    </w:p>
    <w:p>
      <w:pPr>
        <w:numPr>
          <w:ilvl w:val="1"/>
          <w:numId w:val="10"/>
        </w:numPr>
        <w:kinsoku/>
        <w:overflowPunct/>
        <w:topLinePunct w:val="0"/>
        <w:bidi w:val="0"/>
        <w:snapToGrid w:val="0"/>
        <w:spacing w:line="300" w:lineRule="auto"/>
        <w:jc w:val="both"/>
        <w:rPr>
          <w:rFonts w:ascii="Arial" w:hAnsi="Arial"/>
        </w:rPr>
      </w:pPr>
      <w:r>
        <w:rPr>
          <w:rFonts w:hint="eastAsia" w:ascii="Arial" w:hAnsi="Arial"/>
        </w:rPr>
        <w:t>采购代理机构组织和主持磋商会议，磋商供应商法定代表人或其授权代表应准时参加磋商会议并签名报到以证明其出席。</w:t>
      </w:r>
      <w:r>
        <w:rPr>
          <w:rFonts w:hint="eastAsia" w:ascii="Arial" w:hAnsi="Arial"/>
          <w:b/>
        </w:rPr>
        <w:t>供应商未参加开标的，视为磋商无效。</w:t>
      </w:r>
    </w:p>
    <w:p>
      <w:pPr>
        <w:pStyle w:val="539"/>
        <w:kinsoku/>
        <w:overflowPunct/>
        <w:topLinePunct w:val="0"/>
        <w:bidi w:val="0"/>
        <w:snapToGrid w:val="0"/>
        <w:spacing w:line="300" w:lineRule="auto"/>
        <w:ind w:left="851" w:firstLine="0" w:firstLineChars="0"/>
        <w:jc w:val="both"/>
        <w:rPr>
          <w:rFonts w:ascii="Arial" w:hAnsi="Arial"/>
        </w:rPr>
      </w:pPr>
      <w:r>
        <w:rPr>
          <w:rFonts w:hint="eastAsia" w:ascii="Arial" w:hAnsi="Arial"/>
        </w:rPr>
        <w:t>供应商的法定代表人或其授权代表符合以下情形之一的，视为供应商未参加开标：（1）供应商的法定代表人或其授权代表未提供有效身份证件原件的；</w:t>
      </w:r>
    </w:p>
    <w:p>
      <w:pPr>
        <w:pStyle w:val="539"/>
        <w:kinsoku/>
        <w:overflowPunct/>
        <w:topLinePunct w:val="0"/>
        <w:bidi w:val="0"/>
        <w:snapToGrid w:val="0"/>
        <w:spacing w:line="300" w:lineRule="auto"/>
        <w:ind w:left="851" w:firstLine="0" w:firstLineChars="0"/>
        <w:jc w:val="both"/>
        <w:rPr>
          <w:rFonts w:ascii="Arial" w:hAnsi="Arial"/>
        </w:rPr>
      </w:pPr>
      <w:r>
        <w:rPr>
          <w:rFonts w:hint="eastAsia" w:ascii="Arial" w:hAnsi="Arial"/>
        </w:rPr>
        <w:t>（2）授权代表未提供本项目“法定代表人授权书”原件的；</w:t>
      </w:r>
    </w:p>
    <w:p>
      <w:pPr>
        <w:pStyle w:val="539"/>
        <w:kinsoku/>
        <w:overflowPunct/>
        <w:topLinePunct w:val="0"/>
        <w:bidi w:val="0"/>
        <w:snapToGrid w:val="0"/>
        <w:spacing w:line="300" w:lineRule="auto"/>
        <w:ind w:left="851" w:firstLine="0" w:firstLineChars="0"/>
        <w:jc w:val="both"/>
        <w:rPr>
          <w:rFonts w:ascii="Arial" w:hAnsi="Arial"/>
        </w:rPr>
      </w:pPr>
      <w:r>
        <w:rPr>
          <w:rFonts w:hint="eastAsia" w:ascii="Arial" w:hAnsi="Arial"/>
        </w:rPr>
        <w:t>（3）法定代表人或其授权代表开标时未到开标现场的。</w:t>
      </w:r>
    </w:p>
    <w:p>
      <w:pPr>
        <w:numPr>
          <w:ilvl w:val="0"/>
          <w:numId w:val="10"/>
        </w:numPr>
        <w:kinsoku/>
        <w:overflowPunct/>
        <w:topLinePunct w:val="0"/>
        <w:bidi w:val="0"/>
        <w:spacing w:line="300" w:lineRule="auto"/>
        <w:rPr>
          <w:rFonts w:ascii="Arial" w:hAnsi="Arial"/>
          <w:b/>
          <w:sz w:val="24"/>
        </w:rPr>
      </w:pPr>
      <w:r>
        <w:rPr>
          <w:rFonts w:hint="eastAsia" w:ascii="Arial" w:hAnsi="Arial"/>
          <w:b/>
          <w:sz w:val="24"/>
        </w:rPr>
        <w:t>磋商小组</w:t>
      </w:r>
    </w:p>
    <w:p>
      <w:pPr>
        <w:numPr>
          <w:ilvl w:val="1"/>
          <w:numId w:val="10"/>
        </w:numPr>
        <w:kinsoku/>
        <w:overflowPunct/>
        <w:topLinePunct w:val="0"/>
        <w:bidi w:val="0"/>
        <w:snapToGrid w:val="0"/>
        <w:spacing w:line="300" w:lineRule="auto"/>
        <w:jc w:val="both"/>
      </w:pPr>
      <w:r>
        <w:rPr>
          <w:rFonts w:hint="eastAsia" w:ascii="Arial" w:hAnsi="Arial"/>
        </w:rPr>
        <w:t>本次采购依法组建磋商小组。</w:t>
      </w:r>
      <w:r>
        <w:t>磋商小组由采购人的代表和有关专家共</w:t>
      </w:r>
      <w:r>
        <w:rPr>
          <w:rFonts w:hint="eastAsia"/>
          <w:lang w:eastAsia="zh-CN"/>
        </w:rPr>
        <w:t>三</w:t>
      </w:r>
      <w:r>
        <w:t>人</w:t>
      </w:r>
      <w:r>
        <w:rPr>
          <w:rFonts w:hint="eastAsia"/>
        </w:rPr>
        <w:t>及</w:t>
      </w:r>
      <w:r>
        <w:t>以上的单数组成，其中专家的人数不得少于成员总数的三分之二</w:t>
      </w:r>
      <w:r>
        <w:rPr>
          <w:rFonts w:hint="eastAsia" w:ascii="宋体" w:hAnsi="宋体"/>
        </w:rPr>
        <w:t>。</w:t>
      </w:r>
    </w:p>
    <w:p>
      <w:pPr>
        <w:numPr>
          <w:ilvl w:val="0"/>
          <w:numId w:val="10"/>
        </w:numPr>
        <w:kinsoku/>
        <w:overflowPunct/>
        <w:topLinePunct w:val="0"/>
        <w:bidi w:val="0"/>
        <w:spacing w:line="300" w:lineRule="auto"/>
        <w:rPr>
          <w:rFonts w:ascii="Arial" w:hAnsi="Arial"/>
          <w:b/>
          <w:sz w:val="24"/>
        </w:rPr>
      </w:pPr>
      <w:r>
        <w:rPr>
          <w:rFonts w:hint="eastAsia" w:ascii="Arial" w:hAnsi="Arial"/>
          <w:b/>
          <w:sz w:val="24"/>
        </w:rPr>
        <w:t>磋商工作程序</w:t>
      </w:r>
    </w:p>
    <w:p>
      <w:pPr>
        <w:numPr>
          <w:ilvl w:val="1"/>
          <w:numId w:val="10"/>
        </w:numPr>
        <w:kinsoku/>
        <w:overflowPunct/>
        <w:topLinePunct w:val="0"/>
        <w:bidi w:val="0"/>
        <w:snapToGrid w:val="0"/>
        <w:spacing w:line="300" w:lineRule="auto"/>
        <w:jc w:val="both"/>
        <w:rPr>
          <w:rFonts w:ascii="Arial" w:hAnsi="Arial"/>
          <w:bCs/>
        </w:rPr>
      </w:pPr>
      <w:r>
        <w:rPr>
          <w:rFonts w:hint="eastAsia" w:ascii="Arial" w:hAnsi="Arial"/>
          <w:bCs/>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numPr>
          <w:ilvl w:val="1"/>
          <w:numId w:val="10"/>
        </w:numPr>
        <w:kinsoku/>
        <w:overflowPunct/>
        <w:topLinePunct w:val="0"/>
        <w:bidi w:val="0"/>
        <w:snapToGrid w:val="0"/>
        <w:spacing w:line="300" w:lineRule="auto"/>
        <w:jc w:val="both"/>
        <w:rPr>
          <w:rFonts w:ascii="Arial" w:hAnsi="Arial"/>
          <w:bCs/>
        </w:rPr>
      </w:pPr>
      <w:r>
        <w:rPr>
          <w:rFonts w:hint="eastAsia" w:ascii="Arial" w:hAnsi="Arial"/>
          <w:bCs/>
        </w:rPr>
        <w:t>磋商小组所有成员集中与单一磋商供应商分别进行磋商。在磋商中，磋商的任何一方不得透露与磋商有关的其他磋商供应商的技术资料、价格和其他信息。</w:t>
      </w:r>
    </w:p>
    <w:p>
      <w:pPr>
        <w:numPr>
          <w:ilvl w:val="1"/>
          <w:numId w:val="10"/>
        </w:numPr>
        <w:kinsoku/>
        <w:overflowPunct/>
        <w:topLinePunct w:val="0"/>
        <w:bidi w:val="0"/>
        <w:snapToGrid w:val="0"/>
        <w:spacing w:line="300" w:lineRule="auto"/>
        <w:jc w:val="both"/>
        <w:rPr>
          <w:rFonts w:ascii="Arial" w:hAnsi="Arial"/>
          <w:bCs/>
        </w:rPr>
      </w:pPr>
      <w:r>
        <w:rPr>
          <w:rFonts w:hint="eastAsia" w:ascii="Arial" w:hAnsi="Arial"/>
          <w:bCs/>
        </w:rPr>
        <w:t>在磋商过程中，磋商小组可以根据磋商文件和磋商情况实质性变动采购需求中的技术、服务要求以及合同草案条款。对磋商文件作出的实质性变动是磋商文件的有效组成部分，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numPr>
          <w:ilvl w:val="1"/>
          <w:numId w:val="10"/>
        </w:numPr>
        <w:kinsoku/>
        <w:overflowPunct/>
        <w:topLinePunct w:val="0"/>
        <w:bidi w:val="0"/>
        <w:snapToGrid w:val="0"/>
        <w:spacing w:line="300" w:lineRule="auto"/>
        <w:jc w:val="both"/>
        <w:rPr>
          <w:rFonts w:ascii="Arial" w:hAnsi="Arial"/>
          <w:bCs/>
        </w:rPr>
      </w:pPr>
      <w:r>
        <w:rPr>
          <w:rFonts w:hint="eastAsia"/>
        </w:rPr>
        <w:t>如若各供应商提供的磋商响应文件如已完全响应本采购文件技术和服务要求的，经采购人和磋商小组认定后，不再组织逐一磋商。</w:t>
      </w:r>
    </w:p>
    <w:p>
      <w:pPr>
        <w:numPr>
          <w:ilvl w:val="1"/>
          <w:numId w:val="10"/>
        </w:numPr>
        <w:kinsoku/>
        <w:overflowPunct/>
        <w:topLinePunct w:val="0"/>
        <w:bidi w:val="0"/>
        <w:snapToGrid w:val="0"/>
        <w:spacing w:line="300" w:lineRule="auto"/>
        <w:jc w:val="both"/>
        <w:rPr>
          <w:b/>
        </w:rPr>
      </w:pPr>
      <w:r>
        <w:rPr>
          <w:rFonts w:hint="eastAsia" w:ascii="Arial" w:hAnsi="Arial"/>
          <w:b/>
        </w:rPr>
        <w:t>最终报价与首次报价不同的，以最终报价为准，成交供应商须在领取成交通知书前向代理机构提供调整后的工程量清单报价。最终报价是磋商响应文件的有效组成部分。</w:t>
      </w:r>
    </w:p>
    <w:p>
      <w:pPr>
        <w:numPr>
          <w:ilvl w:val="0"/>
          <w:numId w:val="10"/>
        </w:numPr>
        <w:kinsoku/>
        <w:overflowPunct/>
        <w:topLinePunct w:val="0"/>
        <w:bidi w:val="0"/>
        <w:spacing w:line="300" w:lineRule="auto"/>
        <w:rPr>
          <w:rFonts w:ascii="Arial" w:hAnsi="Arial"/>
        </w:rPr>
      </w:pPr>
      <w:r>
        <w:rPr>
          <w:rFonts w:hint="eastAsia"/>
        </w:rPr>
        <w:t>初步</w:t>
      </w:r>
      <w:r>
        <w:rPr>
          <w:rFonts w:hint="eastAsia" w:ascii="Arial" w:hAnsi="Arial"/>
        </w:rPr>
        <w:t xml:space="preserve">评审： </w:t>
      </w:r>
    </w:p>
    <w:p>
      <w:pPr>
        <w:numPr>
          <w:ilvl w:val="0"/>
          <w:numId w:val="14"/>
        </w:numPr>
        <w:tabs>
          <w:tab w:val="left" w:pos="0"/>
        </w:tabs>
        <w:kinsoku/>
        <w:overflowPunct/>
        <w:topLinePunct w:val="0"/>
        <w:bidi w:val="0"/>
        <w:snapToGrid w:val="0"/>
        <w:spacing w:line="300" w:lineRule="auto"/>
        <w:ind w:left="0" w:firstLine="640"/>
        <w:jc w:val="both"/>
        <w:rPr>
          <w:rFonts w:ascii="Arial" w:hAnsi="Arial"/>
        </w:rPr>
      </w:pPr>
      <w:bookmarkStart w:id="20" w:name="OLE_LINK30"/>
      <w:r>
        <w:rPr>
          <w:rFonts w:hint="eastAsia" w:ascii="Arial" w:hAnsi="Arial"/>
        </w:rPr>
        <w:t>资格性检查和符合性检查</w:t>
      </w:r>
      <w:bookmarkEnd w:id="20"/>
      <w:r>
        <w:rPr>
          <w:rFonts w:hint="eastAsia" w:ascii="Arial" w:hAnsi="Arial"/>
        </w:rPr>
        <w:t>：磋商小组根据法律法规和磋商文件的规定，对各磋商供应商进行资格性检查和符合性检查。</w:t>
      </w:r>
    </w:p>
    <w:p>
      <w:pPr>
        <w:numPr>
          <w:ilvl w:val="0"/>
          <w:numId w:val="14"/>
        </w:numPr>
        <w:kinsoku/>
        <w:overflowPunct/>
        <w:topLinePunct w:val="0"/>
        <w:bidi w:val="0"/>
        <w:snapToGrid w:val="0"/>
        <w:spacing w:line="300" w:lineRule="auto"/>
        <w:ind w:left="0" w:firstLine="640"/>
        <w:jc w:val="both"/>
        <w:rPr>
          <w:rFonts w:ascii="Arial" w:hAnsi="Arial"/>
        </w:rPr>
      </w:pPr>
      <w:r>
        <w:rPr>
          <w:rFonts w:hint="eastAsia" w:ascii="Arial" w:hAnsi="Arial"/>
        </w:rPr>
        <w:t>▲在评审过程中，报价文件出现但不限于下列情况，按照</w:t>
      </w:r>
      <w:r>
        <w:rPr>
          <w:rFonts w:hint="eastAsia" w:ascii="Arial" w:hAnsi="Arial"/>
          <w:b/>
          <w:bCs/>
        </w:rPr>
        <w:t>无效报价</w:t>
      </w:r>
      <w:r>
        <w:rPr>
          <w:rFonts w:hint="eastAsia" w:ascii="Arial" w:hAnsi="Arial"/>
        </w:rPr>
        <w:t>处理</w:t>
      </w:r>
      <w:r>
        <w:rPr>
          <w:rFonts w:hint="eastAsia" w:ascii="Arial" w:hAnsi="Arial"/>
          <w:b/>
          <w:bCs/>
        </w:rPr>
        <w:t>：</w:t>
      </w:r>
    </w:p>
    <w:p>
      <w:pPr>
        <w:kinsoku/>
        <w:overflowPunct/>
        <w:topLinePunct w:val="0"/>
        <w:bidi w:val="0"/>
        <w:snapToGrid w:val="0"/>
        <w:spacing w:line="300" w:lineRule="auto"/>
        <w:ind w:firstLine="620" w:firstLineChars="294"/>
        <w:jc w:val="both"/>
        <w:rPr>
          <w:rFonts w:ascii="Arial" w:hAnsi="Arial"/>
          <w:b/>
          <w:bCs/>
        </w:rPr>
      </w:pPr>
      <w:r>
        <w:rPr>
          <w:rFonts w:hint="eastAsia" w:ascii="Arial" w:hAnsi="Arial"/>
          <w:b/>
          <w:bCs/>
        </w:rPr>
        <w:t>（1）磋商供应商或其磋商响应文件有下列情况之一的，其磋商响应文件将被否决：</w:t>
      </w:r>
    </w:p>
    <w:p>
      <w:pPr>
        <w:numPr>
          <w:ilvl w:val="0"/>
          <w:numId w:val="15"/>
        </w:numPr>
        <w:tabs>
          <w:tab w:val="left" w:pos="1133"/>
          <w:tab w:val="left" w:pos="1276"/>
          <w:tab w:val="left" w:pos="1418"/>
        </w:tabs>
        <w:kinsoku/>
        <w:overflowPunct/>
        <w:topLinePunct w:val="0"/>
        <w:bidi w:val="0"/>
        <w:spacing w:line="300" w:lineRule="auto"/>
        <w:ind w:firstLine="568"/>
        <w:rPr>
          <w:rFonts w:ascii="宋体"/>
          <w:b/>
          <w:bCs/>
        </w:rPr>
      </w:pPr>
      <w:r>
        <w:rPr>
          <w:rFonts w:hint="eastAsia" w:ascii="宋体" w:hAnsi="宋体"/>
          <w:b/>
          <w:bCs/>
        </w:rPr>
        <w:t>未在磋商文件规定的时间内投标报名的；</w:t>
      </w:r>
    </w:p>
    <w:p>
      <w:pPr>
        <w:numPr>
          <w:ilvl w:val="0"/>
          <w:numId w:val="15"/>
        </w:numPr>
        <w:tabs>
          <w:tab w:val="left" w:pos="1133"/>
          <w:tab w:val="left" w:pos="1276"/>
          <w:tab w:val="left" w:pos="1418"/>
        </w:tabs>
        <w:kinsoku/>
        <w:overflowPunct/>
        <w:topLinePunct w:val="0"/>
        <w:bidi w:val="0"/>
        <w:spacing w:line="300" w:lineRule="auto"/>
        <w:ind w:firstLine="568"/>
        <w:rPr>
          <w:rFonts w:ascii="宋体"/>
          <w:b/>
          <w:bCs/>
        </w:rPr>
      </w:pPr>
      <w:r>
        <w:rPr>
          <w:rFonts w:hint="eastAsia" w:ascii="宋体" w:hAnsi="宋体"/>
          <w:b/>
          <w:bCs/>
        </w:rPr>
        <w:t>存在磋商文件第二部分磋商须知第</w:t>
      </w:r>
      <w:r>
        <w:rPr>
          <w:rFonts w:ascii="宋体" w:hAnsi="宋体"/>
          <w:b/>
          <w:bCs/>
        </w:rPr>
        <w:t>17.4</w:t>
      </w:r>
      <w:r>
        <w:rPr>
          <w:rFonts w:hint="eastAsia" w:ascii="宋体" w:hAnsi="宋体"/>
          <w:b/>
          <w:bCs/>
        </w:rPr>
        <w:t>项规定的情形；</w:t>
      </w:r>
    </w:p>
    <w:p>
      <w:pPr>
        <w:numPr>
          <w:ilvl w:val="0"/>
          <w:numId w:val="15"/>
        </w:numPr>
        <w:tabs>
          <w:tab w:val="left" w:pos="1133"/>
          <w:tab w:val="left" w:pos="1276"/>
          <w:tab w:val="left" w:pos="1418"/>
        </w:tabs>
        <w:kinsoku/>
        <w:overflowPunct/>
        <w:topLinePunct w:val="0"/>
        <w:bidi w:val="0"/>
        <w:spacing w:line="300" w:lineRule="auto"/>
        <w:ind w:firstLine="568"/>
        <w:rPr>
          <w:rFonts w:ascii="宋体"/>
          <w:b/>
          <w:bCs/>
        </w:rPr>
      </w:pPr>
      <w:r>
        <w:rPr>
          <w:rFonts w:hint="eastAsia" w:ascii="宋体" w:hAnsi="宋体" w:cs="宋体"/>
          <w:b/>
          <w:szCs w:val="21"/>
        </w:rPr>
        <w:t>磋商供应商未参加开标的（</w:t>
      </w:r>
      <w:r>
        <w:rPr>
          <w:rFonts w:hint="eastAsia"/>
          <w:b/>
          <w:szCs w:val="21"/>
        </w:rPr>
        <w:t>具体详见磋商文件第二部分（六）磋商与评审第</w:t>
      </w:r>
      <w:r>
        <w:rPr>
          <w:b/>
          <w:szCs w:val="21"/>
        </w:rPr>
        <w:t>21.2</w:t>
      </w:r>
      <w:r>
        <w:rPr>
          <w:rFonts w:hint="eastAsia"/>
          <w:b/>
          <w:szCs w:val="21"/>
        </w:rPr>
        <w:t>项规定</w:t>
      </w:r>
      <w:r>
        <w:rPr>
          <w:rFonts w:hint="eastAsia" w:ascii="宋体" w:hAnsi="宋体" w:cs="宋体"/>
          <w:b/>
          <w:szCs w:val="21"/>
        </w:rPr>
        <w:t>）；</w:t>
      </w:r>
    </w:p>
    <w:p>
      <w:pPr>
        <w:numPr>
          <w:ilvl w:val="0"/>
          <w:numId w:val="15"/>
        </w:numPr>
        <w:tabs>
          <w:tab w:val="left" w:pos="1133"/>
          <w:tab w:val="left" w:pos="1276"/>
          <w:tab w:val="left" w:pos="1418"/>
        </w:tabs>
        <w:kinsoku/>
        <w:overflowPunct/>
        <w:topLinePunct w:val="0"/>
        <w:bidi w:val="0"/>
        <w:spacing w:line="300" w:lineRule="auto"/>
        <w:ind w:firstLine="568"/>
        <w:rPr>
          <w:rFonts w:ascii="宋体"/>
          <w:b/>
          <w:bCs/>
        </w:rPr>
      </w:pPr>
      <w:r>
        <w:rPr>
          <w:rFonts w:hint="eastAsia" w:ascii="宋体" w:hAnsi="宋体"/>
          <w:b/>
          <w:bCs/>
        </w:rPr>
        <w:t>投标报价不是固定价或超过最高投标限价的；</w:t>
      </w:r>
    </w:p>
    <w:p>
      <w:pPr>
        <w:numPr>
          <w:ilvl w:val="0"/>
          <w:numId w:val="15"/>
        </w:numPr>
        <w:tabs>
          <w:tab w:val="left" w:pos="1133"/>
          <w:tab w:val="left" w:pos="1276"/>
          <w:tab w:val="left" w:pos="1418"/>
        </w:tabs>
        <w:kinsoku/>
        <w:overflowPunct/>
        <w:topLinePunct w:val="0"/>
        <w:bidi w:val="0"/>
        <w:spacing w:line="300" w:lineRule="auto"/>
        <w:ind w:firstLine="568"/>
        <w:rPr>
          <w:rFonts w:ascii="宋体"/>
          <w:b/>
          <w:bCs/>
        </w:rPr>
      </w:pPr>
      <w:r>
        <w:rPr>
          <w:rFonts w:hint="eastAsia" w:ascii="宋体" w:hAnsi="宋体"/>
          <w:b/>
          <w:bCs/>
        </w:rPr>
        <w:t>在符合性评审中，磋商小组认定磋商响应文件任一项评审因素不符合磋商文件要求的。</w:t>
      </w:r>
    </w:p>
    <w:p>
      <w:pPr>
        <w:tabs>
          <w:tab w:val="left" w:pos="425"/>
          <w:tab w:val="left" w:pos="1133"/>
          <w:tab w:val="left" w:pos="1276"/>
          <w:tab w:val="left" w:pos="1418"/>
        </w:tabs>
        <w:kinsoku/>
        <w:overflowPunct/>
        <w:topLinePunct w:val="0"/>
        <w:bidi w:val="0"/>
        <w:spacing w:line="300" w:lineRule="auto"/>
        <w:ind w:left="424" w:leftChars="202" w:firstLine="413" w:firstLineChars="196"/>
        <w:rPr>
          <w:rFonts w:ascii="宋体" w:hAnsi="宋体"/>
          <w:b/>
          <w:bCs/>
        </w:rPr>
      </w:pPr>
      <w:r>
        <w:rPr>
          <w:rFonts w:hint="eastAsia" w:ascii="宋体" w:hAnsi="宋体"/>
          <w:b/>
          <w:bCs/>
        </w:rPr>
        <w:t>（2）磋商供应商或其磋商响应文件有下列情形之一的，其磋商响应文件将被否决：</w:t>
      </w:r>
    </w:p>
    <w:p>
      <w:pPr>
        <w:numPr>
          <w:ilvl w:val="0"/>
          <w:numId w:val="16"/>
        </w:numPr>
        <w:tabs>
          <w:tab w:val="left" w:pos="1133"/>
          <w:tab w:val="left" w:pos="1276"/>
          <w:tab w:val="left" w:pos="1418"/>
        </w:tabs>
        <w:kinsoku/>
        <w:overflowPunct/>
        <w:topLinePunct w:val="0"/>
        <w:bidi w:val="0"/>
        <w:spacing w:line="300" w:lineRule="auto"/>
        <w:ind w:firstLine="568"/>
        <w:rPr>
          <w:rFonts w:ascii="宋体" w:hAnsi="宋体"/>
          <w:b/>
          <w:bCs/>
        </w:rPr>
      </w:pPr>
      <w:r>
        <w:rPr>
          <w:rFonts w:hint="eastAsia" w:ascii="宋体" w:hAnsi="宋体"/>
          <w:b/>
          <w:bCs/>
        </w:rPr>
        <w:t>在资格评审中，磋商小组认定磋商响应文件任一项评审因素不符合磋商文件要求的；</w:t>
      </w:r>
    </w:p>
    <w:p>
      <w:pPr>
        <w:numPr>
          <w:ilvl w:val="0"/>
          <w:numId w:val="16"/>
        </w:numPr>
        <w:tabs>
          <w:tab w:val="left" w:pos="1133"/>
          <w:tab w:val="left" w:pos="1276"/>
          <w:tab w:val="left" w:pos="1418"/>
        </w:tabs>
        <w:kinsoku/>
        <w:overflowPunct/>
        <w:topLinePunct w:val="0"/>
        <w:bidi w:val="0"/>
        <w:spacing w:line="300" w:lineRule="auto"/>
        <w:ind w:firstLine="568"/>
        <w:rPr>
          <w:rFonts w:ascii="宋体" w:hAnsi="宋体"/>
          <w:b/>
          <w:bCs/>
        </w:rPr>
      </w:pPr>
      <w:r>
        <w:rPr>
          <w:rFonts w:hint="eastAsia" w:ascii="宋体" w:hAnsi="宋体"/>
          <w:b/>
          <w:bCs/>
        </w:rPr>
        <w:t>税金作为不可竞争性费用，磋商供应商在报价时将其变动的；</w:t>
      </w:r>
    </w:p>
    <w:p>
      <w:pPr>
        <w:numPr>
          <w:ilvl w:val="0"/>
          <w:numId w:val="16"/>
        </w:numPr>
        <w:tabs>
          <w:tab w:val="left" w:pos="1133"/>
          <w:tab w:val="left" w:pos="1276"/>
          <w:tab w:val="left" w:pos="1418"/>
        </w:tabs>
        <w:kinsoku/>
        <w:overflowPunct/>
        <w:topLinePunct w:val="0"/>
        <w:bidi w:val="0"/>
        <w:spacing w:line="300" w:lineRule="auto"/>
        <w:ind w:firstLine="568"/>
        <w:rPr>
          <w:rFonts w:hint="eastAsia" w:ascii="宋体" w:hAnsi="宋体"/>
          <w:b/>
          <w:bCs/>
        </w:rPr>
      </w:pPr>
      <w:r>
        <w:rPr>
          <w:rFonts w:hint="eastAsia" w:ascii="宋体" w:hAnsi="宋体"/>
          <w:b/>
          <w:bCs/>
          <w:lang w:eastAsia="zh-CN"/>
        </w:rPr>
        <w:t>磋商供应商</w:t>
      </w:r>
      <w:r>
        <w:rPr>
          <w:rFonts w:hint="eastAsia" w:ascii="宋体" w:hAnsi="宋体"/>
          <w:b/>
          <w:bCs/>
        </w:rPr>
        <w:t>的投标报价中安全文明施工基本费费率低于磋商文件规定费率（6.39%）的下限；</w:t>
      </w:r>
    </w:p>
    <w:p>
      <w:pPr>
        <w:numPr>
          <w:ilvl w:val="0"/>
          <w:numId w:val="16"/>
        </w:numPr>
        <w:tabs>
          <w:tab w:val="left" w:pos="1133"/>
          <w:tab w:val="left" w:pos="1276"/>
          <w:tab w:val="left" w:pos="1418"/>
        </w:tabs>
        <w:kinsoku/>
        <w:overflowPunct/>
        <w:topLinePunct w:val="0"/>
        <w:bidi w:val="0"/>
        <w:spacing w:line="300" w:lineRule="auto"/>
        <w:ind w:firstLine="568"/>
        <w:rPr>
          <w:rFonts w:ascii="宋体" w:hAnsi="宋体"/>
          <w:b/>
          <w:bCs/>
        </w:rPr>
      </w:pPr>
      <w:r>
        <w:rPr>
          <w:rFonts w:hint="eastAsia" w:ascii="宋体" w:hAnsi="宋体"/>
          <w:b/>
          <w:bCs/>
          <w:lang w:eastAsia="zh-CN"/>
        </w:rPr>
        <w:t>磋商供应商</w:t>
      </w:r>
      <w:r>
        <w:rPr>
          <w:rFonts w:hint="eastAsia" w:ascii="宋体" w:hAnsi="宋体"/>
          <w:b/>
          <w:bCs/>
        </w:rPr>
        <w:t>的投标报价中规费费率低于磋商文件规定的标准费率（30.63）的</w:t>
      </w:r>
      <w:r>
        <w:rPr>
          <w:rFonts w:ascii="宋体" w:hAnsi="宋体"/>
          <w:b/>
          <w:bCs/>
        </w:rPr>
        <w:t>30%</w:t>
      </w:r>
      <w:r>
        <w:rPr>
          <w:rFonts w:hint="eastAsia" w:ascii="宋体" w:hAnsi="宋体"/>
          <w:b/>
          <w:bCs/>
        </w:rPr>
        <w:t>；</w:t>
      </w:r>
    </w:p>
    <w:p>
      <w:pPr>
        <w:numPr>
          <w:ilvl w:val="0"/>
          <w:numId w:val="16"/>
        </w:numPr>
        <w:tabs>
          <w:tab w:val="left" w:pos="1133"/>
          <w:tab w:val="left" w:pos="1276"/>
          <w:tab w:val="left" w:pos="1418"/>
        </w:tabs>
        <w:kinsoku/>
        <w:overflowPunct/>
        <w:topLinePunct w:val="0"/>
        <w:bidi w:val="0"/>
        <w:spacing w:line="300" w:lineRule="auto"/>
        <w:ind w:firstLine="568"/>
        <w:rPr>
          <w:rFonts w:ascii="宋体" w:hAnsi="宋体"/>
          <w:b/>
          <w:bCs/>
        </w:rPr>
      </w:pPr>
      <w:r>
        <w:rPr>
          <w:rFonts w:hint="eastAsia" w:ascii="宋体" w:hAnsi="宋体"/>
          <w:b/>
          <w:bCs/>
        </w:rPr>
        <w:t>工程量清单提供的参考品牌并不是唯一标准，磋商小组认定</w:t>
      </w:r>
      <w:r>
        <w:rPr>
          <w:rFonts w:hint="eastAsia" w:ascii="宋体" w:hAnsi="宋体"/>
          <w:b/>
          <w:bCs/>
          <w:lang w:eastAsia="zh-CN"/>
        </w:rPr>
        <w:t>磋商供应商</w:t>
      </w:r>
      <w:r>
        <w:rPr>
          <w:rFonts w:hint="eastAsia" w:ascii="宋体" w:hAnsi="宋体"/>
          <w:b/>
          <w:bCs/>
        </w:rPr>
        <w:t>提供品牌低于清单要求的；</w:t>
      </w:r>
    </w:p>
    <w:p>
      <w:pPr>
        <w:numPr>
          <w:ilvl w:val="0"/>
          <w:numId w:val="16"/>
        </w:numPr>
        <w:tabs>
          <w:tab w:val="left" w:pos="1133"/>
          <w:tab w:val="left" w:pos="1276"/>
          <w:tab w:val="left" w:pos="1418"/>
        </w:tabs>
        <w:kinsoku/>
        <w:overflowPunct/>
        <w:topLinePunct w:val="0"/>
        <w:bidi w:val="0"/>
        <w:spacing w:line="300" w:lineRule="auto"/>
        <w:ind w:firstLine="568"/>
        <w:rPr>
          <w:rFonts w:ascii="宋体" w:hAnsi="宋体"/>
          <w:b/>
          <w:bCs/>
        </w:rPr>
      </w:pPr>
      <w:r>
        <w:rPr>
          <w:rFonts w:hint="eastAsia" w:ascii="宋体" w:hAnsi="宋体"/>
          <w:b/>
          <w:bCs/>
        </w:rPr>
        <w:t>在磋商结束前，磋商供应商发生重大变化或变更，未及时告知采购人或不再具备磋商文件规定的资格条件或者其投标影响招标公正性的；</w:t>
      </w:r>
    </w:p>
    <w:p>
      <w:pPr>
        <w:numPr>
          <w:ilvl w:val="0"/>
          <w:numId w:val="16"/>
        </w:numPr>
        <w:tabs>
          <w:tab w:val="left" w:pos="1133"/>
          <w:tab w:val="left" w:pos="1276"/>
          <w:tab w:val="left" w:pos="1418"/>
        </w:tabs>
        <w:kinsoku/>
        <w:overflowPunct/>
        <w:topLinePunct w:val="0"/>
        <w:bidi w:val="0"/>
        <w:spacing w:line="300" w:lineRule="auto"/>
        <w:ind w:firstLine="568"/>
        <w:rPr>
          <w:rFonts w:ascii="宋体" w:hAnsi="宋体"/>
          <w:b/>
          <w:bCs/>
        </w:rPr>
      </w:pPr>
      <w:r>
        <w:rPr>
          <w:rFonts w:hint="eastAsia" w:ascii="宋体" w:hAnsi="宋体"/>
          <w:b/>
          <w:bCs/>
        </w:rPr>
        <w:t>使用通过受让或者租借等方式获取的资格、资质证书投标，或以其他方式弄虚作假的；</w:t>
      </w:r>
    </w:p>
    <w:p>
      <w:pPr>
        <w:numPr>
          <w:ilvl w:val="0"/>
          <w:numId w:val="16"/>
        </w:numPr>
        <w:tabs>
          <w:tab w:val="left" w:pos="1133"/>
          <w:tab w:val="left" w:pos="1276"/>
          <w:tab w:val="left" w:pos="1418"/>
        </w:tabs>
        <w:kinsoku/>
        <w:overflowPunct/>
        <w:topLinePunct w:val="0"/>
        <w:bidi w:val="0"/>
        <w:spacing w:line="300" w:lineRule="auto"/>
        <w:ind w:firstLine="568"/>
        <w:rPr>
          <w:rFonts w:ascii="宋体" w:hAnsi="宋体"/>
          <w:b/>
          <w:bCs/>
        </w:rPr>
      </w:pPr>
      <w:r>
        <w:rPr>
          <w:rFonts w:hint="eastAsia" w:ascii="宋体" w:hAnsi="宋体"/>
          <w:b/>
          <w:bCs/>
        </w:rPr>
        <w:t>未按磋商文件要求盖章或签字的；</w:t>
      </w:r>
    </w:p>
    <w:p>
      <w:pPr>
        <w:numPr>
          <w:ilvl w:val="0"/>
          <w:numId w:val="16"/>
        </w:numPr>
        <w:tabs>
          <w:tab w:val="left" w:pos="1133"/>
          <w:tab w:val="left" w:pos="1276"/>
          <w:tab w:val="left" w:pos="1418"/>
        </w:tabs>
        <w:kinsoku/>
        <w:overflowPunct/>
        <w:topLinePunct w:val="0"/>
        <w:bidi w:val="0"/>
        <w:spacing w:line="300" w:lineRule="auto"/>
        <w:ind w:firstLine="568"/>
        <w:rPr>
          <w:rFonts w:hint="eastAsia" w:ascii="宋体" w:hAnsi="宋体"/>
          <w:b/>
          <w:bCs/>
        </w:rPr>
      </w:pPr>
      <w:r>
        <w:rPr>
          <w:rFonts w:hint="eastAsia" w:ascii="宋体" w:hAnsi="宋体"/>
          <w:b/>
          <w:bCs/>
        </w:rPr>
        <w:t>对暂列金额、暂估价或预备费进行修改、变动的；</w:t>
      </w:r>
    </w:p>
    <w:p>
      <w:pPr>
        <w:numPr>
          <w:ilvl w:val="0"/>
          <w:numId w:val="16"/>
        </w:numPr>
        <w:tabs>
          <w:tab w:val="left" w:pos="1133"/>
          <w:tab w:val="left" w:pos="1276"/>
          <w:tab w:val="left" w:pos="1418"/>
        </w:tabs>
        <w:kinsoku/>
        <w:overflowPunct/>
        <w:topLinePunct w:val="0"/>
        <w:bidi w:val="0"/>
        <w:spacing w:line="300" w:lineRule="auto"/>
        <w:ind w:firstLine="568"/>
        <w:rPr>
          <w:rFonts w:ascii="宋体" w:hAnsi="宋体"/>
          <w:b/>
          <w:bCs/>
        </w:rPr>
      </w:pPr>
      <w:r>
        <w:rPr>
          <w:rFonts w:hint="eastAsia" w:ascii="宋体" w:hAnsi="宋体"/>
          <w:b/>
          <w:bCs/>
        </w:rPr>
        <w:t>建造师简历表注明的建造师</w:t>
      </w:r>
      <w:r>
        <w:rPr>
          <w:rFonts w:ascii="宋体" w:hAnsi="宋体"/>
          <w:b/>
          <w:bCs/>
        </w:rPr>
        <w:t>、提供的建造师证书、</w:t>
      </w:r>
      <w:r>
        <w:rPr>
          <w:rFonts w:hint="eastAsia" w:ascii="宋体" w:hAnsi="宋体"/>
          <w:b/>
          <w:bCs/>
          <w:lang w:eastAsia="zh-CN"/>
        </w:rPr>
        <w:t>磋商</w:t>
      </w:r>
      <w:r>
        <w:rPr>
          <w:rFonts w:hint="eastAsia" w:ascii="宋体" w:hAnsi="宋体"/>
          <w:b/>
          <w:bCs/>
        </w:rPr>
        <w:t>函中注明的建造师、报价一览表中注明的建造师任一处不一致的；</w:t>
      </w:r>
    </w:p>
    <w:p>
      <w:pPr>
        <w:numPr>
          <w:ilvl w:val="0"/>
          <w:numId w:val="16"/>
        </w:numPr>
        <w:tabs>
          <w:tab w:val="left" w:pos="1133"/>
          <w:tab w:val="left" w:pos="1276"/>
          <w:tab w:val="left" w:pos="1418"/>
        </w:tabs>
        <w:kinsoku/>
        <w:overflowPunct/>
        <w:topLinePunct w:val="0"/>
        <w:bidi w:val="0"/>
        <w:spacing w:line="300" w:lineRule="auto"/>
        <w:ind w:firstLine="568"/>
        <w:rPr>
          <w:rFonts w:ascii="宋体" w:hAnsi="宋体"/>
          <w:b/>
          <w:bCs/>
        </w:rPr>
      </w:pPr>
      <w:r>
        <w:rPr>
          <w:rFonts w:hint="eastAsia" w:ascii="宋体" w:hAnsi="宋体"/>
          <w:b/>
          <w:bCs/>
        </w:rPr>
        <w:t>不按磋商小组要求澄清、说明或补正的；</w:t>
      </w:r>
    </w:p>
    <w:p>
      <w:pPr>
        <w:numPr>
          <w:ilvl w:val="0"/>
          <w:numId w:val="16"/>
        </w:numPr>
        <w:tabs>
          <w:tab w:val="left" w:pos="1133"/>
          <w:tab w:val="left" w:pos="1276"/>
          <w:tab w:val="left" w:pos="1418"/>
        </w:tabs>
        <w:kinsoku/>
        <w:overflowPunct/>
        <w:topLinePunct w:val="0"/>
        <w:bidi w:val="0"/>
        <w:spacing w:line="300" w:lineRule="auto"/>
        <w:ind w:firstLine="568"/>
        <w:rPr>
          <w:rFonts w:ascii="宋体" w:hAnsi="宋体"/>
          <w:b/>
          <w:bCs/>
        </w:rPr>
      </w:pPr>
      <w:r>
        <w:rPr>
          <w:rFonts w:hint="eastAsia" w:ascii="宋体" w:hAnsi="宋体"/>
          <w:b/>
          <w:bCs/>
        </w:rPr>
        <w:t>磋商响应文件中的各类证件如在年检、升级、变更的，不能提供的，且无相应的主管部门出具的书面材料复印件加盖单位公章的；</w:t>
      </w:r>
    </w:p>
    <w:p>
      <w:pPr>
        <w:numPr>
          <w:ilvl w:val="0"/>
          <w:numId w:val="16"/>
        </w:numPr>
        <w:tabs>
          <w:tab w:val="left" w:pos="1133"/>
          <w:tab w:val="left" w:pos="1276"/>
          <w:tab w:val="left" w:pos="1418"/>
        </w:tabs>
        <w:kinsoku/>
        <w:overflowPunct/>
        <w:topLinePunct w:val="0"/>
        <w:bidi w:val="0"/>
        <w:spacing w:line="300" w:lineRule="auto"/>
        <w:ind w:firstLine="568"/>
        <w:rPr>
          <w:rFonts w:ascii="宋体" w:hAnsi="宋体"/>
          <w:b/>
          <w:bCs/>
        </w:rPr>
      </w:pPr>
      <w:r>
        <w:rPr>
          <w:rFonts w:hint="eastAsia" w:ascii="宋体" w:hAnsi="宋体"/>
          <w:b/>
          <w:bCs/>
        </w:rPr>
        <w:t>磋商小组发现磋商供应商的报价明显低于其他投标报价，或者在设有招标控制价时明显低于招标控制价，使得其投标报价可能低于其个别成本的，应当要求该磋商供应商作出书面说明并提供相应的证明材料。磋商供应商不能合理说明或者不能提供相应证明材料，磋商小组认定该</w:t>
      </w:r>
      <w:r>
        <w:rPr>
          <w:rFonts w:hint="eastAsia" w:ascii="宋体" w:hAnsi="宋体"/>
          <w:b/>
          <w:bCs/>
          <w:lang w:eastAsia="zh-CN"/>
        </w:rPr>
        <w:t>磋商供应商</w:t>
      </w:r>
      <w:r>
        <w:rPr>
          <w:rFonts w:hint="eastAsia" w:ascii="宋体" w:hAnsi="宋体"/>
          <w:b/>
          <w:bCs/>
        </w:rPr>
        <w:t>以低于成本报价竞标的；</w:t>
      </w:r>
    </w:p>
    <w:p>
      <w:pPr>
        <w:numPr>
          <w:ilvl w:val="0"/>
          <w:numId w:val="16"/>
        </w:numPr>
        <w:tabs>
          <w:tab w:val="left" w:pos="1133"/>
          <w:tab w:val="left" w:pos="1276"/>
          <w:tab w:val="left" w:pos="1418"/>
        </w:tabs>
        <w:kinsoku/>
        <w:overflowPunct/>
        <w:topLinePunct w:val="0"/>
        <w:bidi w:val="0"/>
        <w:spacing w:line="300" w:lineRule="auto"/>
        <w:ind w:firstLine="568"/>
        <w:rPr>
          <w:rFonts w:ascii="宋体" w:hAnsi="宋体"/>
          <w:b/>
          <w:bCs/>
        </w:rPr>
      </w:pPr>
      <w:r>
        <w:rPr>
          <w:rFonts w:hint="eastAsia" w:ascii="宋体" w:hAnsi="宋体"/>
          <w:b/>
          <w:bCs/>
        </w:rPr>
        <w:t>被建设行政主管部门限制参加投标或有不良行为记录公示未满期限的；</w:t>
      </w:r>
    </w:p>
    <w:p>
      <w:pPr>
        <w:numPr>
          <w:ilvl w:val="0"/>
          <w:numId w:val="16"/>
        </w:numPr>
        <w:tabs>
          <w:tab w:val="left" w:pos="1133"/>
          <w:tab w:val="left" w:pos="1276"/>
          <w:tab w:val="left" w:pos="1418"/>
        </w:tabs>
        <w:kinsoku/>
        <w:overflowPunct/>
        <w:topLinePunct w:val="0"/>
        <w:bidi w:val="0"/>
        <w:spacing w:line="300" w:lineRule="auto"/>
        <w:ind w:firstLine="568"/>
        <w:rPr>
          <w:rFonts w:hint="eastAsia" w:ascii="宋体" w:hAnsi="宋体"/>
          <w:b/>
          <w:bCs/>
        </w:rPr>
      </w:pPr>
      <w:r>
        <w:rPr>
          <w:rFonts w:hint="eastAsia" w:ascii="宋体" w:hAnsi="宋体"/>
          <w:b/>
          <w:bCs/>
        </w:rPr>
        <w:t>存在重大违法行为的或未提供“参加政府采购活动前3年内在经营活动中有/无重大违法记录（包括行贿犯罪记录）的书面声明”的；</w:t>
      </w:r>
    </w:p>
    <w:p>
      <w:pPr>
        <w:numPr>
          <w:ilvl w:val="0"/>
          <w:numId w:val="16"/>
        </w:numPr>
        <w:tabs>
          <w:tab w:val="left" w:pos="1133"/>
          <w:tab w:val="left" w:pos="1276"/>
          <w:tab w:val="left" w:pos="1418"/>
        </w:tabs>
        <w:kinsoku/>
        <w:overflowPunct/>
        <w:topLinePunct w:val="0"/>
        <w:bidi w:val="0"/>
        <w:spacing w:line="300" w:lineRule="auto"/>
        <w:ind w:firstLine="568"/>
        <w:rPr>
          <w:rFonts w:hint="eastAsia" w:ascii="宋体" w:hAnsi="宋体"/>
          <w:b/>
          <w:bCs/>
        </w:rPr>
      </w:pPr>
      <w:r>
        <w:rPr>
          <w:rFonts w:hint="eastAsia" w:ascii="宋体" w:hAnsi="宋体"/>
          <w:b/>
          <w:bCs/>
        </w:rPr>
        <w:t>存在不良信用记录的（具体详见磋商文件的第二部分《磋商供应商须知》（二）总则第4条）；</w:t>
      </w:r>
    </w:p>
    <w:p>
      <w:pPr>
        <w:numPr>
          <w:ilvl w:val="0"/>
          <w:numId w:val="16"/>
        </w:numPr>
        <w:tabs>
          <w:tab w:val="left" w:pos="1133"/>
          <w:tab w:val="left" w:pos="1276"/>
          <w:tab w:val="left" w:pos="1418"/>
        </w:tabs>
        <w:kinsoku/>
        <w:overflowPunct/>
        <w:topLinePunct w:val="0"/>
        <w:bidi w:val="0"/>
        <w:spacing w:line="300" w:lineRule="auto"/>
        <w:ind w:firstLine="568"/>
        <w:rPr>
          <w:rFonts w:hint="eastAsia" w:ascii="宋体" w:hAnsi="宋体"/>
          <w:b/>
          <w:bCs/>
        </w:rPr>
      </w:pPr>
      <w:r>
        <w:rPr>
          <w:rFonts w:hint="eastAsia" w:ascii="宋体" w:hAnsi="宋体"/>
          <w:b/>
          <w:bCs/>
        </w:rPr>
        <w:t>存在串通投标、挂靠、弄虚作假、行贿等违法行为；</w:t>
      </w:r>
    </w:p>
    <w:p>
      <w:pPr>
        <w:numPr>
          <w:ilvl w:val="0"/>
          <w:numId w:val="16"/>
        </w:numPr>
        <w:tabs>
          <w:tab w:val="left" w:pos="1133"/>
          <w:tab w:val="left" w:pos="1276"/>
          <w:tab w:val="left" w:pos="1418"/>
        </w:tabs>
        <w:kinsoku/>
        <w:overflowPunct/>
        <w:topLinePunct w:val="0"/>
        <w:bidi w:val="0"/>
        <w:spacing w:line="300" w:lineRule="auto"/>
        <w:ind w:firstLine="568"/>
        <w:rPr>
          <w:rFonts w:hint="eastAsia" w:ascii="宋体" w:hAnsi="宋体"/>
          <w:b/>
          <w:bCs/>
        </w:rPr>
      </w:pPr>
      <w:r>
        <w:rPr>
          <w:rFonts w:hint="eastAsia" w:ascii="宋体" w:hAnsi="宋体"/>
          <w:b/>
          <w:bCs/>
        </w:rPr>
        <w:t>未对磋商文件的实质性要求和条件作出响应；</w:t>
      </w:r>
    </w:p>
    <w:p>
      <w:pPr>
        <w:numPr>
          <w:ilvl w:val="0"/>
          <w:numId w:val="16"/>
        </w:numPr>
        <w:tabs>
          <w:tab w:val="left" w:pos="1133"/>
          <w:tab w:val="left" w:pos="1276"/>
          <w:tab w:val="left" w:pos="1418"/>
        </w:tabs>
        <w:kinsoku/>
        <w:overflowPunct/>
        <w:topLinePunct w:val="0"/>
        <w:bidi w:val="0"/>
        <w:spacing w:line="300" w:lineRule="auto"/>
        <w:ind w:firstLine="568"/>
        <w:rPr>
          <w:rFonts w:hint="eastAsia" w:ascii="宋体" w:hAnsi="宋体"/>
          <w:b/>
          <w:bCs/>
        </w:rPr>
      </w:pPr>
      <w:r>
        <w:rPr>
          <w:rFonts w:hint="eastAsia" w:ascii="宋体" w:hAnsi="宋体"/>
          <w:b/>
          <w:bCs/>
        </w:rPr>
        <w:t>本磋商文件中另有规定属于否决投标情形的；</w:t>
      </w:r>
    </w:p>
    <w:p>
      <w:pPr>
        <w:numPr>
          <w:ilvl w:val="0"/>
          <w:numId w:val="16"/>
        </w:numPr>
        <w:tabs>
          <w:tab w:val="left" w:pos="1133"/>
          <w:tab w:val="left" w:pos="1276"/>
          <w:tab w:val="left" w:pos="1418"/>
        </w:tabs>
        <w:kinsoku/>
        <w:overflowPunct/>
        <w:topLinePunct w:val="0"/>
        <w:bidi w:val="0"/>
        <w:spacing w:line="300" w:lineRule="auto"/>
        <w:ind w:firstLine="568"/>
        <w:rPr>
          <w:rFonts w:hint="eastAsia" w:ascii="宋体" w:hAnsi="宋体"/>
          <w:b/>
          <w:bCs/>
        </w:rPr>
      </w:pPr>
      <w:r>
        <w:rPr>
          <w:rFonts w:hint="eastAsia" w:ascii="宋体" w:hAnsi="宋体"/>
          <w:b/>
          <w:bCs/>
        </w:rPr>
        <w:t>国家、省、市、县有关规定属否决投标情形的。</w:t>
      </w:r>
    </w:p>
    <w:p>
      <w:pPr>
        <w:numPr>
          <w:ilvl w:val="1"/>
          <w:numId w:val="10"/>
        </w:numPr>
        <w:kinsoku/>
        <w:overflowPunct/>
        <w:topLinePunct w:val="0"/>
        <w:bidi w:val="0"/>
        <w:snapToGrid w:val="0"/>
        <w:spacing w:line="300" w:lineRule="auto"/>
        <w:jc w:val="both"/>
        <w:rPr>
          <w:rFonts w:ascii="Arial" w:hAnsi="Arial"/>
        </w:rPr>
      </w:pPr>
      <w:r>
        <w:rPr>
          <w:rFonts w:hint="eastAsia" w:ascii="Arial" w:hAnsi="Arial"/>
        </w:rPr>
        <w:t xml:space="preserve">澄清有关问题： </w:t>
      </w:r>
    </w:p>
    <w:p>
      <w:pPr>
        <w:kinsoku/>
        <w:overflowPunct/>
        <w:topLinePunct w:val="0"/>
        <w:bidi w:val="0"/>
        <w:snapToGrid w:val="0"/>
        <w:spacing w:line="300" w:lineRule="auto"/>
        <w:ind w:firstLine="420" w:firstLineChars="200"/>
        <w:jc w:val="both"/>
        <w:rPr>
          <w:rFonts w:ascii="宋体" w:hAnsi="宋体"/>
          <w:snapToGrid w:val="0"/>
          <w:szCs w:val="21"/>
        </w:rPr>
      </w:pPr>
      <w:r>
        <w:rPr>
          <w:rFonts w:hint="eastAsia" w:ascii="宋体" w:hAnsi="宋体"/>
          <w:snapToGrid w:val="0"/>
          <w:szCs w:val="21"/>
        </w:rPr>
        <w:t>24.2.1为有助于对</w:t>
      </w:r>
      <w:r>
        <w:rPr>
          <w:rFonts w:hint="eastAsia" w:ascii="宋体" w:hAnsi="宋体"/>
          <w:snapToGrid w:val="0"/>
          <w:szCs w:val="21"/>
          <w:lang w:eastAsia="zh-CN"/>
        </w:rPr>
        <w:t>磋商响应文件</w:t>
      </w:r>
      <w:r>
        <w:rPr>
          <w:rFonts w:hint="eastAsia" w:ascii="宋体" w:hAnsi="宋体"/>
          <w:snapToGrid w:val="0"/>
          <w:szCs w:val="21"/>
        </w:rPr>
        <w:t>的审核、评价和比较。评审委员会对资格性检查和符合性检查合格的</w:t>
      </w:r>
      <w:r>
        <w:rPr>
          <w:rFonts w:hint="eastAsia" w:ascii="宋体" w:hAnsi="宋体"/>
          <w:snapToGrid w:val="0"/>
          <w:szCs w:val="21"/>
          <w:lang w:eastAsia="zh-CN"/>
        </w:rPr>
        <w:t>磋商响应文件</w:t>
      </w:r>
      <w:r>
        <w:rPr>
          <w:rFonts w:hint="eastAsia" w:ascii="宋体" w:hAnsi="宋体"/>
          <w:snapToGrid w:val="0"/>
          <w:szCs w:val="21"/>
        </w:rPr>
        <w:t>进行澄清，对</w:t>
      </w:r>
      <w:r>
        <w:rPr>
          <w:rFonts w:hint="eastAsia" w:ascii="宋体" w:hAnsi="宋体"/>
          <w:snapToGrid w:val="0"/>
          <w:szCs w:val="21"/>
          <w:lang w:eastAsia="zh-CN"/>
        </w:rPr>
        <w:t>磋商响应文件</w:t>
      </w:r>
      <w:r>
        <w:rPr>
          <w:rFonts w:hint="eastAsia" w:ascii="宋体" w:hAnsi="宋体"/>
          <w:snapToGrid w:val="0"/>
          <w:szCs w:val="21"/>
        </w:rPr>
        <w:t>中含义不明确、同类问题表述不一致或者有明显文字和计算错误的内容，评审委员会可以书面形式（应当由评审委员会专家签字）要求磋商供应商作出必要的澄清、说明或者纠正。</w:t>
      </w:r>
    </w:p>
    <w:p>
      <w:pPr>
        <w:kinsoku/>
        <w:overflowPunct/>
        <w:topLinePunct w:val="0"/>
        <w:bidi w:val="0"/>
        <w:snapToGrid w:val="0"/>
        <w:spacing w:line="300" w:lineRule="auto"/>
        <w:ind w:firstLine="420" w:firstLineChars="200"/>
        <w:jc w:val="both"/>
        <w:rPr>
          <w:rFonts w:ascii="宋体" w:hAnsi="宋体"/>
          <w:snapToGrid w:val="0"/>
          <w:szCs w:val="21"/>
        </w:rPr>
      </w:pPr>
      <w:r>
        <w:rPr>
          <w:rFonts w:hint="eastAsia" w:ascii="宋体" w:hAnsi="宋体"/>
          <w:snapToGrid w:val="0"/>
          <w:szCs w:val="21"/>
        </w:rPr>
        <w:t>24.1.2磋商供应商的澄清、说明或者补正答复先以口头形式答辩，然后在要求的时间内以书面形式提交，书面由其授权的代表签字，并不得超出</w:t>
      </w:r>
      <w:r>
        <w:rPr>
          <w:rFonts w:hint="eastAsia" w:ascii="宋体" w:hAnsi="宋体"/>
          <w:snapToGrid w:val="0"/>
          <w:szCs w:val="21"/>
          <w:lang w:eastAsia="zh-CN"/>
        </w:rPr>
        <w:t>磋商响应文件</w:t>
      </w:r>
      <w:r>
        <w:rPr>
          <w:rFonts w:hint="eastAsia" w:ascii="宋体" w:hAnsi="宋体"/>
          <w:snapToGrid w:val="0"/>
          <w:szCs w:val="21"/>
        </w:rPr>
        <w:t>的范围，或者改变</w:t>
      </w:r>
      <w:r>
        <w:rPr>
          <w:rFonts w:hint="eastAsia" w:ascii="宋体" w:hAnsi="宋体"/>
          <w:snapToGrid w:val="0"/>
          <w:szCs w:val="21"/>
          <w:lang w:eastAsia="zh-CN"/>
        </w:rPr>
        <w:t>磋商响应文件</w:t>
      </w:r>
      <w:r>
        <w:rPr>
          <w:rFonts w:hint="eastAsia" w:ascii="宋体" w:hAnsi="宋体"/>
          <w:snapToGrid w:val="0"/>
          <w:szCs w:val="21"/>
        </w:rPr>
        <w:t>的实质性内容。</w:t>
      </w:r>
    </w:p>
    <w:p>
      <w:pPr>
        <w:numPr>
          <w:ilvl w:val="1"/>
          <w:numId w:val="10"/>
        </w:numPr>
        <w:kinsoku/>
        <w:overflowPunct/>
        <w:topLinePunct w:val="0"/>
        <w:bidi w:val="0"/>
        <w:snapToGrid w:val="0"/>
        <w:spacing w:line="300" w:lineRule="auto"/>
        <w:jc w:val="both"/>
        <w:rPr>
          <w:rFonts w:ascii="Arial" w:hAnsi="Arial"/>
        </w:rPr>
      </w:pPr>
      <w:r>
        <w:rPr>
          <w:rFonts w:hint="eastAsia" w:ascii="Arial" w:hAnsi="Arial"/>
        </w:rPr>
        <w:t>磋商小组详细分析、核准价格表，看其是否有计算上或累加上的算术错误，</w:t>
      </w:r>
      <w:r>
        <w:rPr>
          <w:rFonts w:hint="eastAsia" w:ascii="Arial" w:hAnsi="Arial"/>
          <w:u w:val="wave"/>
        </w:rPr>
        <w:t>并按本磋商文件第六部分“评标办法”中所明确的原则、修正错误的方法，调整</w:t>
      </w:r>
      <w:r>
        <w:rPr>
          <w:rFonts w:hint="eastAsia" w:ascii="Arial" w:hAnsi="Arial"/>
          <w:u w:val="wave"/>
          <w:lang w:eastAsia="zh-CN"/>
        </w:rPr>
        <w:t>磋商响应文件</w:t>
      </w:r>
      <w:r>
        <w:rPr>
          <w:rFonts w:hint="eastAsia" w:ascii="Arial" w:hAnsi="Arial"/>
          <w:u w:val="wave"/>
        </w:rPr>
        <w:t>中的投标报价，并确定评标价。调整后的价格对磋商供应商具有约束力。如果磋商供应商不接受修正后的价格，则其</w:t>
      </w:r>
      <w:r>
        <w:rPr>
          <w:rFonts w:hint="eastAsia" w:ascii="Arial" w:hAnsi="Arial"/>
          <w:u w:val="wave"/>
          <w:lang w:eastAsia="zh-CN"/>
        </w:rPr>
        <w:t>磋商</w:t>
      </w:r>
      <w:r>
        <w:rPr>
          <w:rFonts w:hint="eastAsia" w:ascii="Arial" w:hAnsi="Arial"/>
          <w:u w:val="wave"/>
        </w:rPr>
        <w:t>将被拒绝。</w:t>
      </w:r>
    </w:p>
    <w:p>
      <w:pPr>
        <w:numPr>
          <w:ilvl w:val="1"/>
          <w:numId w:val="10"/>
        </w:numPr>
        <w:kinsoku/>
        <w:overflowPunct/>
        <w:topLinePunct w:val="0"/>
        <w:bidi w:val="0"/>
        <w:snapToGrid w:val="0"/>
        <w:spacing w:line="300" w:lineRule="auto"/>
        <w:jc w:val="both"/>
        <w:rPr>
          <w:rFonts w:ascii="Arial" w:hAnsi="Arial"/>
          <w:u w:val="wave"/>
        </w:rPr>
      </w:pPr>
      <w:r>
        <w:rPr>
          <w:rFonts w:hint="eastAsia" w:ascii="Arial" w:hAnsi="Arial"/>
          <w:u w:val="wave"/>
        </w:rPr>
        <w:t>磋商小组在详细评审时，发现因磋商供应商原因造成投标报价及其综合单价遗漏工程内容、工程数量、费用或发生算术错误、漏算、冒算、多报费用等，累计投标报价错误绝对值总额（冒算、多报费用不得抵消缺漏费用）占投标报价</w:t>
      </w:r>
      <w:r>
        <w:rPr>
          <w:rFonts w:ascii="Arial" w:hAnsi="Arial"/>
          <w:u w:val="wave"/>
        </w:rPr>
        <w:t>3</w:t>
      </w:r>
      <w:r>
        <w:rPr>
          <w:rFonts w:hint="eastAsia" w:ascii="Arial" w:hAnsi="Arial"/>
          <w:u w:val="wave"/>
        </w:rPr>
        <w:t>%（含</w:t>
      </w:r>
      <w:r>
        <w:rPr>
          <w:rFonts w:ascii="Arial" w:hAnsi="Arial"/>
          <w:u w:val="wave"/>
        </w:rPr>
        <w:t>3</w:t>
      </w:r>
      <w:r>
        <w:rPr>
          <w:rFonts w:hint="eastAsia" w:ascii="Arial" w:hAnsi="Arial"/>
          <w:u w:val="wave"/>
        </w:rPr>
        <w:t>%）以上者，作为重大偏差判定作无效标处理，错误绝对值累计占投标报价</w:t>
      </w:r>
      <w:r>
        <w:rPr>
          <w:rFonts w:ascii="Arial" w:hAnsi="Arial"/>
          <w:u w:val="wave"/>
        </w:rPr>
        <w:t>3</w:t>
      </w:r>
      <w:r>
        <w:rPr>
          <w:rFonts w:hint="eastAsia" w:ascii="Arial" w:hAnsi="Arial"/>
          <w:u w:val="wave"/>
        </w:rPr>
        <w:t>%以内则视为该项费用已分配到其它工程量报价中，评标时对投标报价不作调整。</w:t>
      </w:r>
      <w:r>
        <w:rPr>
          <w:rFonts w:hint="eastAsia" w:ascii="Arial" w:hAnsi="Arial"/>
          <w:u w:val="wave"/>
        </w:rPr>
        <w:cr/>
      </w:r>
      <w:r>
        <w:rPr>
          <w:rFonts w:hint="eastAsia" w:ascii="Arial" w:hAnsi="Arial"/>
          <w:u w:val="wave"/>
        </w:rPr>
        <w:t>凡磋商文件要求或工程造价组成应计算的费用而磋商供应商未报，且磋商响应文件中未阐明充分理由并提供足够证据者，均视为缺漏费用。</w:t>
      </w:r>
      <w:r>
        <w:rPr>
          <w:rFonts w:hint="eastAsia" w:ascii="Arial" w:hAnsi="Arial"/>
          <w:u w:val="wave"/>
        </w:rPr>
        <w:cr/>
      </w:r>
      <w:r>
        <w:rPr>
          <w:rFonts w:hint="eastAsia" w:ascii="Arial" w:hAnsi="Arial"/>
          <w:u w:val="wave"/>
        </w:rPr>
        <w:t>对工程量清单漏算的造价计算原则是：漏项的工程量×评审范围内有效磋商供应商中该项最高综合单价后计算税金；对工程量变动的造价计算原则是：增加或减少的数量×该项综合单价后计算税金。</w:t>
      </w:r>
    </w:p>
    <w:p>
      <w:pPr>
        <w:numPr>
          <w:ilvl w:val="1"/>
          <w:numId w:val="10"/>
        </w:numPr>
        <w:kinsoku/>
        <w:overflowPunct/>
        <w:topLinePunct w:val="0"/>
        <w:bidi w:val="0"/>
        <w:snapToGrid w:val="0"/>
        <w:spacing w:line="300" w:lineRule="auto"/>
        <w:jc w:val="both"/>
        <w:rPr>
          <w:rFonts w:ascii="Arial" w:hAnsi="Arial"/>
        </w:rPr>
      </w:pPr>
      <w:r>
        <w:rPr>
          <w:rFonts w:hint="eastAsia" w:ascii="Arial" w:hAnsi="Arial"/>
        </w:rPr>
        <w:t>比较与评价：磋商小组按磋商文件中规定的评审方法和标准，对资格性检查和符合性检查合格的报价文件进行比较和评价；磋商小组</w:t>
      </w:r>
      <w:r>
        <w:rPr>
          <w:rFonts w:ascii="Arial" w:hAnsi="Arial"/>
        </w:rPr>
        <w:t>对报价文件的判定，只依据</w:t>
      </w:r>
      <w:r>
        <w:rPr>
          <w:rFonts w:hint="eastAsia" w:ascii="Arial" w:hAnsi="Arial"/>
        </w:rPr>
        <w:t>报价文件</w:t>
      </w:r>
      <w:r>
        <w:rPr>
          <w:rFonts w:ascii="Arial" w:hAnsi="Arial"/>
        </w:rPr>
        <w:t>内容本身，不依据任何外来证明</w:t>
      </w:r>
      <w:r>
        <w:rPr>
          <w:rFonts w:hint="eastAsia" w:ascii="Arial" w:hAnsi="Arial"/>
        </w:rPr>
        <w:t xml:space="preserve">。   </w:t>
      </w:r>
    </w:p>
    <w:p>
      <w:pPr>
        <w:numPr>
          <w:ilvl w:val="1"/>
          <w:numId w:val="10"/>
        </w:numPr>
        <w:kinsoku/>
        <w:overflowPunct/>
        <w:topLinePunct w:val="0"/>
        <w:bidi w:val="0"/>
        <w:snapToGrid w:val="0"/>
        <w:spacing w:line="300" w:lineRule="auto"/>
        <w:jc w:val="both"/>
        <w:rPr>
          <w:rFonts w:ascii="Arial" w:hAnsi="Arial"/>
          <w:b/>
        </w:rPr>
      </w:pPr>
      <w:r>
        <w:rPr>
          <w:rFonts w:ascii="Arial" w:hAnsi="Arial"/>
        </w:rPr>
        <w:t>如</w:t>
      </w:r>
      <w:r>
        <w:rPr>
          <w:rFonts w:hint="eastAsia" w:ascii="Arial" w:hAnsi="Arial"/>
        </w:rPr>
        <w:t>磋商</w:t>
      </w:r>
      <w:r>
        <w:rPr>
          <w:rFonts w:ascii="Arial" w:hAnsi="Arial"/>
        </w:rPr>
        <w:t>小组一致认为某个</w:t>
      </w:r>
      <w:r>
        <w:rPr>
          <w:rFonts w:hint="eastAsia" w:ascii="Arial" w:hAnsi="Arial"/>
        </w:rPr>
        <w:t>磋商</w:t>
      </w:r>
      <w:r>
        <w:rPr>
          <w:rFonts w:ascii="Arial" w:hAnsi="Arial"/>
        </w:rPr>
        <w:t>供应商的报价明显不合理，有降低</w:t>
      </w:r>
      <w:r>
        <w:rPr>
          <w:rFonts w:hint="eastAsia" w:ascii="Arial" w:hAnsi="Arial"/>
        </w:rPr>
        <w:t>服务</w:t>
      </w:r>
      <w:r>
        <w:rPr>
          <w:rFonts w:ascii="Arial" w:hAnsi="Arial"/>
        </w:rPr>
        <w:t>质量、不能诚信履行</w:t>
      </w:r>
      <w:r>
        <w:rPr>
          <w:rFonts w:hint="eastAsia" w:ascii="Arial" w:hAnsi="Arial"/>
        </w:rPr>
        <w:t>及不正当竞争</w:t>
      </w:r>
      <w:r>
        <w:rPr>
          <w:rFonts w:ascii="Arial" w:hAnsi="Arial"/>
        </w:rPr>
        <w:t>的可能时，</w:t>
      </w:r>
      <w:r>
        <w:rPr>
          <w:rFonts w:hint="eastAsia" w:ascii="Arial" w:hAnsi="Arial"/>
        </w:rPr>
        <w:t>磋商</w:t>
      </w:r>
      <w:r>
        <w:rPr>
          <w:rFonts w:ascii="Arial" w:hAnsi="Arial"/>
        </w:rPr>
        <w:t>小组有权通知</w:t>
      </w:r>
      <w:r>
        <w:rPr>
          <w:rFonts w:hint="eastAsia" w:ascii="Arial" w:hAnsi="Arial"/>
        </w:rPr>
        <w:t>磋商</w:t>
      </w:r>
      <w:r>
        <w:rPr>
          <w:rFonts w:ascii="Arial" w:hAnsi="Arial"/>
        </w:rPr>
        <w:t>供应商限期进行解释。若该</w:t>
      </w:r>
      <w:r>
        <w:rPr>
          <w:rFonts w:hint="eastAsia" w:ascii="Arial" w:hAnsi="Arial"/>
        </w:rPr>
        <w:t>磋商</w:t>
      </w:r>
      <w:r>
        <w:rPr>
          <w:rFonts w:ascii="Arial" w:hAnsi="Arial"/>
        </w:rPr>
        <w:t>供应商未在规定期限内做出解释，或做出的解释不合理，经</w:t>
      </w:r>
      <w:r>
        <w:rPr>
          <w:rFonts w:hint="eastAsia" w:ascii="Arial" w:hAnsi="Arial"/>
        </w:rPr>
        <w:t>磋商</w:t>
      </w:r>
      <w:r>
        <w:rPr>
          <w:rFonts w:ascii="Arial" w:hAnsi="Arial"/>
        </w:rPr>
        <w:t>小组取得一致意见后，可确定拒绝该报价</w:t>
      </w:r>
      <w:r>
        <w:rPr>
          <w:rFonts w:hint="eastAsia" w:ascii="Arial" w:hAnsi="Arial"/>
        </w:rPr>
        <w:t>。</w:t>
      </w:r>
    </w:p>
    <w:p>
      <w:pPr>
        <w:numPr>
          <w:ilvl w:val="1"/>
          <w:numId w:val="10"/>
        </w:numPr>
        <w:kinsoku/>
        <w:overflowPunct/>
        <w:topLinePunct w:val="0"/>
        <w:bidi w:val="0"/>
        <w:snapToGrid w:val="0"/>
        <w:spacing w:line="300" w:lineRule="auto"/>
        <w:jc w:val="both"/>
        <w:rPr>
          <w:rFonts w:ascii="Arial" w:hAnsi="Arial"/>
        </w:rPr>
      </w:pPr>
      <w:r>
        <w:rPr>
          <w:rFonts w:ascii="ˎ̥" w:hAnsi="ˎ̥"/>
        </w:rPr>
        <w:t>经磋商确定最终采购需求和提交最后报价的供应商后，由磋商小组采用综合评分法对提交最后报价的供应商的响应文件和最后报价进行综合评分。</w:t>
      </w:r>
    </w:p>
    <w:p>
      <w:pPr>
        <w:numPr>
          <w:ilvl w:val="0"/>
          <w:numId w:val="10"/>
        </w:numPr>
        <w:kinsoku/>
        <w:overflowPunct/>
        <w:topLinePunct w:val="0"/>
        <w:bidi w:val="0"/>
        <w:spacing w:line="300" w:lineRule="auto"/>
        <w:jc w:val="both"/>
        <w:rPr>
          <w:rFonts w:ascii="ˎ̥" w:hAnsi="ˎ̥"/>
        </w:rPr>
      </w:pPr>
      <w:r>
        <w:rPr>
          <w:rFonts w:hint="eastAsia" w:ascii="ˎ̥" w:hAnsi="ˎ̥"/>
        </w:rPr>
        <w:t>磋商小组根据综合评分情况，按照评审总得分由高到低顺序推荐成交候选供应商，并编写评审报告。评审总得分相同的，按照最终报价由低到高顺序排列；评审总得分且最终报价相同的，由磋商小组按照资信、技术得分由高到低顺序推荐；评审总得分、最终报价及资信、技术得分均相同时，由采购人随机抽取决定。</w:t>
      </w:r>
    </w:p>
    <w:p>
      <w:pPr>
        <w:numPr>
          <w:ilvl w:val="0"/>
          <w:numId w:val="10"/>
        </w:numPr>
        <w:kinsoku/>
        <w:overflowPunct/>
        <w:topLinePunct w:val="0"/>
        <w:bidi w:val="0"/>
        <w:spacing w:line="300" w:lineRule="auto"/>
        <w:jc w:val="both"/>
        <w:rPr>
          <w:rFonts w:ascii="Arial" w:hAnsi="Arial"/>
          <w:b/>
          <w:bCs/>
          <w:sz w:val="24"/>
        </w:rPr>
      </w:pPr>
      <w:r>
        <w:rPr>
          <w:rFonts w:hint="eastAsia" w:ascii="Arial" w:hAnsi="Arial"/>
          <w:b/>
          <w:sz w:val="24"/>
        </w:rPr>
        <w:t>成交供应商的确定</w:t>
      </w:r>
    </w:p>
    <w:p>
      <w:pPr>
        <w:numPr>
          <w:ilvl w:val="1"/>
          <w:numId w:val="10"/>
        </w:numPr>
        <w:kinsoku/>
        <w:overflowPunct/>
        <w:topLinePunct w:val="0"/>
        <w:bidi w:val="0"/>
        <w:snapToGrid w:val="0"/>
        <w:spacing w:line="300" w:lineRule="auto"/>
        <w:jc w:val="both"/>
        <w:rPr>
          <w:rFonts w:ascii="Arial" w:hAnsi="Arial"/>
        </w:rPr>
      </w:pPr>
      <w:r>
        <w:rPr>
          <w:rFonts w:hint="eastAsia" w:ascii="Arial" w:hAnsi="Arial"/>
        </w:rPr>
        <w:t>采购机构按磋商小组的评审结果，确定综合得分排名第一的成交预选供应商为</w:t>
      </w:r>
      <w:r>
        <w:rPr>
          <w:rFonts w:hint="eastAsia" w:ascii="Arial" w:hAnsi="Arial"/>
        </w:rPr>
        <w:t>成交</w:t>
      </w:r>
      <w:r>
        <w:rPr>
          <w:rFonts w:hint="eastAsia" w:ascii="Arial" w:hAnsi="Arial"/>
        </w:rPr>
        <w:t>供应商，当成交预选供应商因故不能成交时，可以确定后续排名</w:t>
      </w:r>
      <w:r>
        <w:rPr>
          <w:rFonts w:hint="eastAsia" w:ascii="Arial" w:hAnsi="Arial"/>
          <w:lang w:eastAsia="zh-CN"/>
        </w:rPr>
        <w:t>的</w:t>
      </w:r>
      <w:r>
        <w:rPr>
          <w:rFonts w:hint="eastAsia" w:ascii="Arial" w:hAnsi="Arial"/>
        </w:rPr>
        <w:t>成交预选供应商为成交供应商。</w:t>
      </w:r>
    </w:p>
    <w:p>
      <w:pPr>
        <w:numPr>
          <w:ilvl w:val="1"/>
          <w:numId w:val="10"/>
        </w:numPr>
        <w:kinsoku/>
        <w:overflowPunct/>
        <w:topLinePunct w:val="0"/>
        <w:bidi w:val="0"/>
        <w:snapToGrid w:val="0"/>
        <w:spacing w:line="300" w:lineRule="auto"/>
        <w:jc w:val="both"/>
        <w:rPr>
          <w:rFonts w:ascii="Arial" w:hAnsi="Arial"/>
        </w:rPr>
      </w:pPr>
      <w:r>
        <w:rPr>
          <w:rFonts w:hint="eastAsia" w:ascii="Arial" w:hAnsi="Arial"/>
        </w:rPr>
        <w:t>采购代理机构将在 “</w:t>
      </w:r>
      <w:r>
        <w:t>温州市公共资源交易网瑞安市分网</w:t>
      </w:r>
      <w:r>
        <w:rPr>
          <w:rFonts w:hint="eastAsia" w:ascii="Arial" w:hAnsi="Arial"/>
        </w:rPr>
        <w:t>”（网址：www.raztb.com）和“浙江省政府采购网”（网址：www.zjzfcg.gov.cn）上发布《成交结果公示》，公示期限一天</w:t>
      </w:r>
      <w:r>
        <w:rPr>
          <w:rFonts w:ascii="Arial" w:hAnsi="Arial"/>
        </w:rPr>
        <w:t>。</w:t>
      </w:r>
    </w:p>
    <w:p>
      <w:pPr>
        <w:numPr>
          <w:ilvl w:val="0"/>
          <w:numId w:val="10"/>
        </w:numPr>
        <w:kinsoku/>
        <w:overflowPunct/>
        <w:topLinePunct w:val="0"/>
        <w:bidi w:val="0"/>
        <w:spacing w:line="300" w:lineRule="auto"/>
        <w:jc w:val="both"/>
        <w:rPr>
          <w:rFonts w:ascii="Arial" w:hAnsi="Arial"/>
          <w:b/>
          <w:bCs/>
          <w:sz w:val="24"/>
        </w:rPr>
      </w:pPr>
      <w:r>
        <w:rPr>
          <w:rFonts w:ascii="宋体" w:hAnsi="宋体"/>
          <w:b/>
          <w:bCs/>
          <w:sz w:val="24"/>
        </w:rPr>
        <w:t>评标过程保密</w:t>
      </w:r>
    </w:p>
    <w:p>
      <w:pPr>
        <w:numPr>
          <w:ilvl w:val="1"/>
          <w:numId w:val="10"/>
        </w:numPr>
        <w:kinsoku/>
        <w:overflowPunct/>
        <w:topLinePunct w:val="0"/>
        <w:bidi w:val="0"/>
        <w:snapToGrid w:val="0"/>
        <w:spacing w:line="300" w:lineRule="auto"/>
        <w:jc w:val="both"/>
        <w:rPr>
          <w:rFonts w:ascii="Arial" w:hAnsi="Arial"/>
        </w:rPr>
      </w:pPr>
      <w:r>
        <w:rPr>
          <w:rFonts w:hint="eastAsia" w:ascii="Arial" w:hAnsi="Arial"/>
        </w:rPr>
        <w:t>磋商之后，直到授予磋商供应商合同止，凡是属于审查、澄清、评价和比较磋商的有关资料以及授标意向等，均不得向磋商供应商或其他无关的人员透露。</w:t>
      </w:r>
    </w:p>
    <w:p>
      <w:pPr>
        <w:numPr>
          <w:ilvl w:val="0"/>
          <w:numId w:val="10"/>
        </w:numPr>
        <w:kinsoku/>
        <w:overflowPunct/>
        <w:topLinePunct w:val="0"/>
        <w:bidi w:val="0"/>
        <w:spacing w:line="300" w:lineRule="auto"/>
        <w:jc w:val="both"/>
        <w:rPr>
          <w:rFonts w:ascii="Arial" w:hAnsi="Arial"/>
          <w:b/>
          <w:sz w:val="24"/>
        </w:rPr>
      </w:pPr>
      <w:r>
        <w:rPr>
          <w:rFonts w:hint="eastAsia" w:ascii="Arial" w:hAnsi="Arial"/>
          <w:b/>
          <w:sz w:val="24"/>
        </w:rPr>
        <w:t>否决任何或所有磋商的权利</w:t>
      </w:r>
    </w:p>
    <w:p>
      <w:pPr>
        <w:numPr>
          <w:ilvl w:val="1"/>
          <w:numId w:val="10"/>
        </w:numPr>
        <w:kinsoku/>
        <w:overflowPunct/>
        <w:topLinePunct w:val="0"/>
        <w:bidi w:val="0"/>
        <w:snapToGrid w:val="0"/>
        <w:spacing w:line="300" w:lineRule="auto"/>
        <w:jc w:val="both"/>
        <w:rPr>
          <w:rFonts w:ascii="Arial" w:hAnsi="Arial"/>
        </w:rPr>
      </w:pPr>
      <w:r>
        <w:rPr>
          <w:rFonts w:hint="eastAsia" w:ascii="Arial" w:hAnsi="Arial"/>
        </w:rPr>
        <w:t>磋商小组经评审，认为所有磋商都不符合磋商文件要求的，可以否决所有磋商。</w:t>
      </w:r>
    </w:p>
    <w:p>
      <w:pPr>
        <w:numPr>
          <w:ilvl w:val="1"/>
          <w:numId w:val="10"/>
        </w:numPr>
        <w:kinsoku/>
        <w:overflowPunct/>
        <w:topLinePunct w:val="0"/>
        <w:bidi w:val="0"/>
        <w:snapToGrid w:val="0"/>
        <w:spacing w:line="300" w:lineRule="auto"/>
        <w:jc w:val="both"/>
        <w:rPr>
          <w:rFonts w:ascii="Arial" w:hAnsi="Arial"/>
        </w:rPr>
      </w:pPr>
      <w:r>
        <w:rPr>
          <w:rFonts w:hint="eastAsia" w:ascii="Arial" w:hAnsi="Arial"/>
        </w:rPr>
        <w:t>如果成交预选供应商不能按照磋商文件要求及其磋商响应文件的承诺签订合同或其磋商响应文件与事实不符，影响采购的公平公开及合同的实施，采购人有权在授予合同前任何时候依照法定程序将合同授予成交备选供应商。如果成交备选供应商仍无法签订合同，采购人将依法不接受或拒绝任何磋商，并宣布采购无效，对受影响的磋商供应商不承担任何责任，也无义务向受影响的磋商供应商解释采取这一行动的理由。</w:t>
      </w:r>
    </w:p>
    <w:p>
      <w:pPr>
        <w:numPr>
          <w:ilvl w:val="0"/>
          <w:numId w:val="10"/>
        </w:numPr>
        <w:kinsoku/>
        <w:overflowPunct/>
        <w:topLinePunct w:val="0"/>
        <w:bidi w:val="0"/>
        <w:spacing w:line="300" w:lineRule="auto"/>
        <w:jc w:val="both"/>
        <w:rPr>
          <w:rFonts w:ascii="Arial" w:hAnsi="Arial"/>
          <w:b/>
          <w:sz w:val="24"/>
        </w:rPr>
      </w:pPr>
      <w:r>
        <w:rPr>
          <w:rFonts w:hint="eastAsia" w:ascii="Arial" w:hAnsi="Arial"/>
          <w:b/>
          <w:sz w:val="24"/>
        </w:rPr>
        <w:t>质疑与投诉</w:t>
      </w:r>
    </w:p>
    <w:p>
      <w:pPr>
        <w:numPr>
          <w:ilvl w:val="1"/>
          <w:numId w:val="10"/>
        </w:numPr>
        <w:kinsoku/>
        <w:overflowPunct/>
        <w:topLinePunct w:val="0"/>
        <w:bidi w:val="0"/>
        <w:snapToGrid w:val="0"/>
        <w:spacing w:line="300" w:lineRule="auto"/>
        <w:jc w:val="both"/>
        <w:rPr>
          <w:rFonts w:ascii="宋体" w:hAnsi="宋体"/>
        </w:rPr>
      </w:pPr>
      <w:r>
        <w:rPr>
          <w:rFonts w:hint="eastAsia" w:ascii="Arial" w:hAnsi="Arial"/>
        </w:rPr>
        <w:t>磋商供应商认为磋商文件、磋商过程和成交结果使自己的合法权益受到损害的，应当在知道或者应知其权益受到损害之日起七个工作日内，以书面形式向采购人、采购代理机构提出质疑。磋商供应商对采购组织单位的质疑答复不满意或者采购组织单位未在规定时间内作出答复的，可以在答复期满后十五个工作日内向同级采购监管部门投诉。</w:t>
      </w:r>
    </w:p>
    <w:p>
      <w:pPr>
        <w:numPr>
          <w:ilvl w:val="1"/>
          <w:numId w:val="10"/>
        </w:numPr>
        <w:kinsoku/>
        <w:overflowPunct/>
        <w:topLinePunct w:val="0"/>
        <w:bidi w:val="0"/>
        <w:snapToGrid w:val="0"/>
        <w:spacing w:line="300" w:lineRule="auto"/>
        <w:jc w:val="both"/>
        <w:rPr>
          <w:rFonts w:ascii="Arial" w:hAnsi="Arial"/>
        </w:rPr>
      </w:pPr>
      <w:r>
        <w:rPr>
          <w:rFonts w:ascii="Arial" w:hAnsi="Arial"/>
        </w:rPr>
        <w:t>对</w:t>
      </w:r>
      <w:r>
        <w:rPr>
          <w:rFonts w:hint="eastAsia" w:ascii="Arial" w:hAnsi="Arial"/>
        </w:rPr>
        <w:t>采购</w:t>
      </w:r>
      <w:r>
        <w:rPr>
          <w:rFonts w:ascii="Arial" w:hAnsi="Arial"/>
        </w:rPr>
        <w:t>公告信息（含供应商资格条件）</w:t>
      </w:r>
      <w:r>
        <w:rPr>
          <w:rFonts w:hint="eastAsia" w:ascii="Arial" w:hAnsi="Arial"/>
        </w:rPr>
        <w:t>或网上下载的采购</w:t>
      </w:r>
      <w:r>
        <w:rPr>
          <w:rFonts w:ascii="Arial" w:hAnsi="Arial"/>
        </w:rPr>
        <w:t>文件提出质疑的，质疑期限自</w:t>
      </w:r>
      <w:r>
        <w:rPr>
          <w:rFonts w:hint="eastAsia" w:ascii="Arial" w:hAnsi="Arial"/>
        </w:rPr>
        <w:t>采购</w:t>
      </w:r>
      <w:r>
        <w:rPr>
          <w:rFonts w:ascii="Arial" w:hAnsi="Arial"/>
        </w:rPr>
        <w:t>公告</w:t>
      </w:r>
      <w:r>
        <w:rPr>
          <w:rFonts w:hint="eastAsia" w:ascii="Arial" w:hAnsi="Arial"/>
        </w:rPr>
        <w:t>或采购</w:t>
      </w:r>
      <w:r>
        <w:rPr>
          <w:rFonts w:ascii="Arial" w:hAnsi="Arial"/>
        </w:rPr>
        <w:t>文件发布之日起计算。对</w:t>
      </w:r>
      <w:r>
        <w:rPr>
          <w:rFonts w:hint="eastAsia" w:ascii="Arial" w:hAnsi="Arial"/>
        </w:rPr>
        <w:t>实行报名购买的采购</w:t>
      </w:r>
      <w:r>
        <w:rPr>
          <w:rFonts w:ascii="Arial" w:hAnsi="Arial"/>
        </w:rPr>
        <w:t>文件提出质疑的，质疑期限自供应商获得</w:t>
      </w:r>
      <w:r>
        <w:rPr>
          <w:rFonts w:hint="eastAsia" w:ascii="Arial" w:hAnsi="Arial"/>
        </w:rPr>
        <w:t>采购</w:t>
      </w:r>
      <w:r>
        <w:rPr>
          <w:rFonts w:ascii="Arial" w:hAnsi="Arial"/>
        </w:rPr>
        <w:t>文件之日起计算（但</w:t>
      </w:r>
      <w:r>
        <w:rPr>
          <w:rFonts w:hint="eastAsia" w:ascii="Arial" w:hAnsi="Arial"/>
        </w:rPr>
        <w:t>采购</w:t>
      </w:r>
      <w:r>
        <w:rPr>
          <w:rFonts w:ascii="Arial" w:hAnsi="Arial"/>
        </w:rPr>
        <w:t>文件在发售或报名截止日后获得的，应当自截止之日起计算），且应当在采购响应截止时间之前提出，否则，被质疑人可不予接受</w:t>
      </w:r>
      <w:r>
        <w:rPr>
          <w:rFonts w:hint="eastAsia" w:ascii="Arial" w:hAnsi="Arial"/>
        </w:rPr>
        <w:t>。</w:t>
      </w:r>
    </w:p>
    <w:p>
      <w:pPr>
        <w:numPr>
          <w:ilvl w:val="1"/>
          <w:numId w:val="10"/>
        </w:numPr>
        <w:kinsoku/>
        <w:overflowPunct/>
        <w:topLinePunct w:val="0"/>
        <w:bidi w:val="0"/>
        <w:snapToGrid w:val="0"/>
        <w:spacing w:line="300" w:lineRule="auto"/>
        <w:jc w:val="both"/>
        <w:rPr>
          <w:rFonts w:ascii="Arial" w:hAnsi="Arial"/>
        </w:rPr>
      </w:pPr>
      <w:r>
        <w:rPr>
          <w:rFonts w:hint="eastAsia" w:ascii="Arial" w:hAnsi="Arial"/>
        </w:rPr>
        <w:t>质疑、投诉应当采用书面形式，质疑书、投诉书均应明确阐述磋商文件、磋商过程和成交结果中使自己合法权益受到损害的实质性内容，提供相关事实、依据和证据及其来源或线索，便于有关单位调查、答复和处理。磋商供应商在法定质疑期内应一次性提出针对同一采购程序环节的质疑。</w:t>
      </w:r>
    </w:p>
    <w:p>
      <w:pPr>
        <w:numPr>
          <w:ilvl w:val="0"/>
          <w:numId w:val="17"/>
        </w:numPr>
        <w:tabs>
          <w:tab w:val="left" w:pos="425"/>
          <w:tab w:val="left" w:pos="1133"/>
        </w:tabs>
        <w:kinsoku/>
        <w:overflowPunct/>
        <w:topLinePunct w:val="0"/>
        <w:bidi w:val="0"/>
        <w:spacing w:line="300" w:lineRule="auto"/>
        <w:ind w:left="1453" w:leftChars="392" w:hanging="630" w:hangingChars="300"/>
        <w:rPr>
          <w:rFonts w:ascii="Arial" w:hAnsi="Arial"/>
        </w:rPr>
      </w:pPr>
      <w:r>
        <w:rPr>
          <w:rFonts w:hint="eastAsia" w:ascii="Arial" w:hAnsi="Arial"/>
        </w:rPr>
        <w:t>质疑受理机构：浙江瑞扬工程咨询招标代理股份有限公司</w:t>
      </w:r>
    </w:p>
    <w:p>
      <w:pPr>
        <w:tabs>
          <w:tab w:val="left" w:pos="425"/>
          <w:tab w:val="left" w:pos="1133"/>
        </w:tabs>
        <w:kinsoku/>
        <w:overflowPunct/>
        <w:topLinePunct w:val="0"/>
        <w:bidi w:val="0"/>
        <w:spacing w:line="300" w:lineRule="auto"/>
        <w:ind w:left="1418"/>
        <w:rPr>
          <w:rFonts w:hint="eastAsia" w:ascii="Arial" w:hAnsi="Arial"/>
        </w:rPr>
      </w:pPr>
      <w:r>
        <w:rPr>
          <w:rFonts w:hint="eastAsia" w:ascii="Arial" w:hAnsi="Arial"/>
        </w:rPr>
        <w:t>受理地址：</w:t>
      </w:r>
      <w:r>
        <w:rPr>
          <w:rFonts w:hint="eastAsia" w:ascii="宋体" w:hAnsi="宋体" w:cs="宋体"/>
          <w:szCs w:val="21"/>
        </w:rPr>
        <w:t>瑞安市安福路28号三楼</w:t>
      </w:r>
    </w:p>
    <w:p>
      <w:pPr>
        <w:tabs>
          <w:tab w:val="left" w:pos="425"/>
          <w:tab w:val="left" w:pos="1133"/>
        </w:tabs>
        <w:kinsoku/>
        <w:overflowPunct/>
        <w:topLinePunct w:val="0"/>
        <w:bidi w:val="0"/>
        <w:spacing w:line="300" w:lineRule="auto"/>
        <w:ind w:left="1418"/>
        <w:rPr>
          <w:rFonts w:ascii="Arial" w:hAnsi="Arial"/>
        </w:rPr>
      </w:pPr>
      <w:r>
        <w:rPr>
          <w:rFonts w:hint="eastAsia" w:ascii="Arial" w:hAnsi="Arial"/>
        </w:rPr>
        <w:t>受理电话：</w:t>
      </w:r>
      <w:r>
        <w:rPr>
          <w:rFonts w:ascii="Arial" w:hAnsi="Arial"/>
        </w:rPr>
        <w:t>0577-6</w:t>
      </w:r>
      <w:r>
        <w:rPr>
          <w:rFonts w:hint="eastAsia" w:ascii="Arial" w:hAnsi="Arial"/>
        </w:rPr>
        <w:t>5802277</w:t>
      </w:r>
    </w:p>
    <w:p>
      <w:pPr>
        <w:numPr>
          <w:ilvl w:val="0"/>
          <w:numId w:val="17"/>
        </w:numPr>
        <w:tabs>
          <w:tab w:val="left" w:pos="425"/>
          <w:tab w:val="left" w:pos="1133"/>
        </w:tabs>
        <w:kinsoku/>
        <w:overflowPunct/>
        <w:topLinePunct w:val="0"/>
        <w:bidi w:val="0"/>
        <w:spacing w:line="300" w:lineRule="auto"/>
        <w:ind w:left="1453" w:leftChars="392" w:hanging="630" w:hangingChars="300"/>
        <w:rPr>
          <w:rFonts w:ascii="Arial" w:hAnsi="Arial"/>
        </w:rPr>
      </w:pPr>
      <w:r>
        <w:rPr>
          <w:rFonts w:hint="eastAsia" w:ascii="Arial" w:hAnsi="Arial"/>
        </w:rPr>
        <w:t>质疑受理机构：瑞安市公安局</w:t>
      </w:r>
    </w:p>
    <w:p>
      <w:pPr>
        <w:tabs>
          <w:tab w:val="left" w:pos="425"/>
          <w:tab w:val="left" w:pos="1133"/>
        </w:tabs>
        <w:kinsoku/>
        <w:overflowPunct/>
        <w:topLinePunct w:val="0"/>
        <w:bidi w:val="0"/>
        <w:spacing w:line="300" w:lineRule="auto"/>
        <w:ind w:left="193" w:leftChars="92" w:firstLine="1260" w:firstLineChars="600"/>
        <w:rPr>
          <w:rFonts w:hint="eastAsia" w:ascii="Arial" w:hAnsi="Arial"/>
        </w:rPr>
      </w:pPr>
      <w:r>
        <w:rPr>
          <w:rFonts w:hint="eastAsia" w:ascii="宋体" w:hAnsi="宋体" w:cs="宋体"/>
          <w:szCs w:val="21"/>
        </w:rPr>
        <w:t>受理地址：</w:t>
      </w:r>
      <w:r>
        <w:rPr>
          <w:rFonts w:ascii="Arial" w:hAnsi="Arial"/>
        </w:rPr>
        <w:t>瑞安市安阳街道隆山东路525号</w:t>
      </w:r>
    </w:p>
    <w:p>
      <w:pPr>
        <w:tabs>
          <w:tab w:val="left" w:pos="425"/>
          <w:tab w:val="left" w:pos="1133"/>
        </w:tabs>
        <w:kinsoku/>
        <w:overflowPunct/>
        <w:topLinePunct w:val="0"/>
        <w:bidi w:val="0"/>
        <w:spacing w:line="300" w:lineRule="auto"/>
        <w:ind w:left="193" w:leftChars="92" w:firstLine="1260" w:firstLineChars="600"/>
        <w:rPr>
          <w:rFonts w:ascii="Arial" w:hAnsi="Arial"/>
        </w:rPr>
      </w:pPr>
      <w:r>
        <w:rPr>
          <w:rFonts w:hint="eastAsia" w:ascii="Arial" w:hAnsi="Arial"/>
        </w:rPr>
        <w:t>受理电话：</w:t>
      </w:r>
      <w:r>
        <w:rPr>
          <w:rFonts w:hint="eastAsia"/>
        </w:rPr>
        <w:t>13806848886</w:t>
      </w:r>
    </w:p>
    <w:p>
      <w:pPr>
        <w:numPr>
          <w:ilvl w:val="0"/>
          <w:numId w:val="17"/>
        </w:numPr>
        <w:tabs>
          <w:tab w:val="left" w:pos="425"/>
          <w:tab w:val="left" w:pos="1133"/>
        </w:tabs>
        <w:kinsoku/>
        <w:overflowPunct/>
        <w:topLinePunct w:val="0"/>
        <w:bidi w:val="0"/>
        <w:spacing w:line="300" w:lineRule="auto"/>
        <w:ind w:left="1453" w:leftChars="392" w:hanging="630" w:hangingChars="300"/>
        <w:rPr>
          <w:rFonts w:ascii="Arial" w:hAnsi="Arial"/>
        </w:rPr>
      </w:pPr>
      <w:r>
        <w:rPr>
          <w:rFonts w:hint="eastAsia" w:ascii="Arial" w:hAnsi="Arial"/>
        </w:rPr>
        <w:t>投诉受理机构：瑞安市财政局政府采购监督管理科</w:t>
      </w:r>
    </w:p>
    <w:p>
      <w:pPr>
        <w:tabs>
          <w:tab w:val="left" w:pos="425"/>
          <w:tab w:val="left" w:pos="1133"/>
        </w:tabs>
        <w:kinsoku/>
        <w:overflowPunct/>
        <w:topLinePunct w:val="0"/>
        <w:bidi w:val="0"/>
        <w:spacing w:line="300" w:lineRule="auto"/>
        <w:ind w:left="1418"/>
        <w:rPr>
          <w:rFonts w:ascii="Arial" w:hAnsi="Arial"/>
        </w:rPr>
      </w:pPr>
      <w:r>
        <w:rPr>
          <w:rFonts w:hint="eastAsia" w:ascii="Arial" w:hAnsi="Arial"/>
        </w:rPr>
        <w:t>投诉地址：瑞安市财政局大楼15楼</w:t>
      </w:r>
    </w:p>
    <w:p>
      <w:pPr>
        <w:tabs>
          <w:tab w:val="left" w:pos="425"/>
          <w:tab w:val="left" w:pos="1133"/>
        </w:tabs>
        <w:kinsoku/>
        <w:overflowPunct/>
        <w:topLinePunct w:val="0"/>
        <w:bidi w:val="0"/>
        <w:spacing w:line="300" w:lineRule="auto"/>
        <w:ind w:left="1418"/>
        <w:rPr>
          <w:rFonts w:ascii="Arial" w:hAnsi="Arial"/>
        </w:rPr>
      </w:pPr>
      <w:r>
        <w:rPr>
          <w:rFonts w:hint="eastAsia" w:ascii="Arial" w:hAnsi="Arial"/>
        </w:rPr>
        <w:t>投诉电话：0577-65827570</w:t>
      </w:r>
    </w:p>
    <w:p>
      <w:pPr>
        <w:tabs>
          <w:tab w:val="left" w:pos="425"/>
          <w:tab w:val="left" w:pos="1133"/>
        </w:tabs>
        <w:kinsoku/>
        <w:overflowPunct/>
        <w:topLinePunct w:val="0"/>
        <w:bidi w:val="0"/>
        <w:spacing w:line="300" w:lineRule="auto"/>
        <w:rPr>
          <w:rFonts w:ascii="Arial" w:hAnsi="Arial"/>
        </w:rPr>
      </w:pPr>
    </w:p>
    <w:p>
      <w:pPr>
        <w:pStyle w:val="5"/>
        <w:kinsoku/>
        <w:overflowPunct/>
        <w:topLinePunct w:val="0"/>
        <w:bidi w:val="0"/>
        <w:spacing w:before="120" w:beforeLines="50" w:after="120" w:afterLines="50" w:line="300" w:lineRule="auto"/>
        <w:jc w:val="center"/>
        <w:rPr>
          <w:sz w:val="24"/>
          <w:szCs w:val="24"/>
        </w:rPr>
      </w:pPr>
      <w:bookmarkStart w:id="21" w:name="_Toc18405"/>
      <w:bookmarkStart w:id="22" w:name="_Toc6275"/>
      <w:r>
        <w:rPr>
          <w:rFonts w:hint="eastAsia"/>
          <w:sz w:val="24"/>
          <w:szCs w:val="24"/>
        </w:rPr>
        <w:t>（七）授予合同</w:t>
      </w:r>
      <w:bookmarkEnd w:id="21"/>
      <w:bookmarkEnd w:id="22"/>
    </w:p>
    <w:p>
      <w:pPr>
        <w:numPr>
          <w:ilvl w:val="0"/>
          <w:numId w:val="10"/>
        </w:numPr>
        <w:kinsoku/>
        <w:overflowPunct/>
        <w:topLinePunct w:val="0"/>
        <w:bidi w:val="0"/>
        <w:spacing w:line="300" w:lineRule="auto"/>
        <w:jc w:val="both"/>
        <w:rPr>
          <w:rFonts w:ascii="Arial" w:hAnsi="Arial"/>
          <w:b/>
          <w:sz w:val="24"/>
        </w:rPr>
      </w:pPr>
      <w:r>
        <w:rPr>
          <w:rFonts w:hint="eastAsia" w:ascii="Arial" w:hAnsi="Arial"/>
          <w:b/>
          <w:sz w:val="24"/>
        </w:rPr>
        <w:t>合同授予标准</w:t>
      </w:r>
    </w:p>
    <w:p>
      <w:pPr>
        <w:numPr>
          <w:ilvl w:val="1"/>
          <w:numId w:val="10"/>
        </w:numPr>
        <w:kinsoku/>
        <w:overflowPunct/>
        <w:topLinePunct w:val="0"/>
        <w:bidi w:val="0"/>
        <w:snapToGrid w:val="0"/>
        <w:spacing w:line="300" w:lineRule="auto"/>
        <w:jc w:val="both"/>
        <w:rPr>
          <w:rFonts w:ascii="宋体" w:hAnsi="宋体"/>
        </w:rPr>
      </w:pPr>
      <w:r>
        <w:rPr>
          <w:rFonts w:hint="eastAsia" w:ascii="Arial" w:hAnsi="Arial"/>
        </w:rPr>
        <w:t>最终审查</w:t>
      </w:r>
    </w:p>
    <w:p>
      <w:pPr>
        <w:kinsoku/>
        <w:overflowPunct/>
        <w:topLinePunct w:val="0"/>
        <w:bidi w:val="0"/>
        <w:snapToGrid w:val="0"/>
        <w:spacing w:line="300" w:lineRule="auto"/>
        <w:ind w:firstLine="840" w:firstLineChars="400"/>
        <w:jc w:val="both"/>
        <w:rPr>
          <w:rFonts w:ascii="Arial" w:hAnsi="Arial"/>
        </w:rPr>
      </w:pPr>
      <w:r>
        <w:rPr>
          <w:rFonts w:hint="eastAsia" w:ascii="Arial" w:hAnsi="Arial"/>
        </w:rPr>
        <w:t>磋商结束后，采购人将对磋商供应商进行最终审查。最终审查的主要内容是：</w:t>
      </w:r>
    </w:p>
    <w:p>
      <w:pPr>
        <w:widowControl w:val="0"/>
        <w:numPr>
          <w:ilvl w:val="1"/>
          <w:numId w:val="18"/>
        </w:numPr>
        <w:kinsoku/>
        <w:overflowPunct/>
        <w:topLinePunct w:val="0"/>
        <w:bidi w:val="0"/>
        <w:spacing w:line="300" w:lineRule="auto"/>
        <w:rPr>
          <w:rFonts w:ascii="宋体"/>
        </w:rPr>
      </w:pPr>
      <w:r>
        <w:rPr>
          <w:rFonts w:hint="eastAsia" w:ascii="宋体" w:hAnsi="宋体"/>
          <w:bCs/>
          <w:szCs w:val="21"/>
        </w:rPr>
        <w:t>磋商</w:t>
      </w:r>
      <w:r>
        <w:rPr>
          <w:rFonts w:hint="eastAsia" w:ascii="宋体" w:hAnsi="宋体" w:cs="Arial"/>
          <w:szCs w:val="21"/>
        </w:rPr>
        <w:t>供应商的资质、业务能力、信誉以往政府采购活动中的业绩和表现；</w:t>
      </w:r>
    </w:p>
    <w:p>
      <w:pPr>
        <w:widowControl w:val="0"/>
        <w:numPr>
          <w:ilvl w:val="1"/>
          <w:numId w:val="18"/>
        </w:numPr>
        <w:kinsoku/>
        <w:overflowPunct/>
        <w:topLinePunct w:val="0"/>
        <w:bidi w:val="0"/>
        <w:spacing w:line="300" w:lineRule="auto"/>
        <w:rPr>
          <w:rFonts w:ascii="宋体"/>
        </w:rPr>
      </w:pPr>
      <w:r>
        <w:rPr>
          <w:rFonts w:hint="eastAsia" w:ascii="宋体" w:hAnsi="宋体"/>
        </w:rPr>
        <w:t>磋商供应商履行合同的能力；</w:t>
      </w:r>
    </w:p>
    <w:p>
      <w:pPr>
        <w:widowControl w:val="0"/>
        <w:numPr>
          <w:ilvl w:val="1"/>
          <w:numId w:val="18"/>
        </w:numPr>
        <w:kinsoku/>
        <w:overflowPunct/>
        <w:topLinePunct w:val="0"/>
        <w:bidi w:val="0"/>
        <w:spacing w:line="300" w:lineRule="auto"/>
        <w:rPr>
          <w:rFonts w:ascii="宋体" w:hAnsi="宋体"/>
        </w:rPr>
      </w:pPr>
      <w:r>
        <w:rPr>
          <w:rFonts w:hint="eastAsia" w:ascii="宋体" w:hAnsi="宋体"/>
          <w:b/>
        </w:rPr>
        <w:t>是否已经加入“浙江省政府采购供应商库”</w:t>
      </w:r>
      <w:r>
        <w:rPr>
          <w:rFonts w:hint="eastAsia" w:ascii="宋体" w:hAnsi="宋体"/>
        </w:rPr>
        <w:t>。</w:t>
      </w:r>
    </w:p>
    <w:p>
      <w:pPr>
        <w:numPr>
          <w:ilvl w:val="1"/>
          <w:numId w:val="10"/>
        </w:numPr>
        <w:kinsoku/>
        <w:overflowPunct/>
        <w:topLinePunct w:val="0"/>
        <w:bidi w:val="0"/>
        <w:snapToGrid w:val="0"/>
        <w:spacing w:line="300" w:lineRule="auto"/>
        <w:jc w:val="both"/>
        <w:rPr>
          <w:rFonts w:ascii="Arial" w:hAnsi="Arial"/>
        </w:rPr>
      </w:pPr>
      <w:r>
        <w:rPr>
          <w:rFonts w:hint="eastAsia" w:ascii="Arial" w:hAnsi="Arial"/>
        </w:rPr>
        <w:t>最终审查工作如需成交供应商配合，成交供应商必须接受。</w:t>
      </w:r>
    </w:p>
    <w:p>
      <w:pPr>
        <w:numPr>
          <w:ilvl w:val="1"/>
          <w:numId w:val="10"/>
        </w:numPr>
        <w:kinsoku/>
        <w:overflowPunct/>
        <w:topLinePunct w:val="0"/>
        <w:bidi w:val="0"/>
        <w:snapToGrid w:val="0"/>
        <w:spacing w:line="300" w:lineRule="auto"/>
        <w:jc w:val="both"/>
        <w:rPr>
          <w:rFonts w:ascii="Arial" w:hAnsi="Arial"/>
        </w:rPr>
      </w:pPr>
      <w:r>
        <w:rPr>
          <w:rFonts w:hint="eastAsia" w:ascii="Arial" w:hAnsi="Arial"/>
        </w:rPr>
        <w:t>成交供应商如未能通过最终审查，采购人将视具体情况，提出具体限时整改要求，成交供应商如未能达到整改要求，其成交资格将被取消。</w:t>
      </w:r>
    </w:p>
    <w:p>
      <w:pPr>
        <w:numPr>
          <w:ilvl w:val="1"/>
          <w:numId w:val="10"/>
        </w:numPr>
        <w:kinsoku/>
        <w:overflowPunct/>
        <w:topLinePunct w:val="0"/>
        <w:bidi w:val="0"/>
        <w:snapToGrid w:val="0"/>
        <w:spacing w:line="300" w:lineRule="auto"/>
        <w:jc w:val="both"/>
        <w:rPr>
          <w:rFonts w:ascii="Arial" w:hAnsi="Arial"/>
        </w:rPr>
      </w:pPr>
      <w:r>
        <w:rPr>
          <w:rFonts w:hint="eastAsia" w:ascii="Arial" w:hAnsi="Arial"/>
        </w:rPr>
        <w:t>采购人将合同授予获接受磋商的磋商供应商。</w:t>
      </w:r>
    </w:p>
    <w:p>
      <w:pPr>
        <w:numPr>
          <w:ilvl w:val="0"/>
          <w:numId w:val="10"/>
        </w:numPr>
        <w:kinsoku/>
        <w:overflowPunct/>
        <w:topLinePunct w:val="0"/>
        <w:bidi w:val="0"/>
        <w:spacing w:line="300" w:lineRule="auto"/>
        <w:jc w:val="both"/>
        <w:rPr>
          <w:rFonts w:ascii="Arial" w:hAnsi="Arial"/>
        </w:rPr>
      </w:pPr>
      <w:r>
        <w:rPr>
          <w:rFonts w:hint="eastAsia" w:ascii="Arial" w:hAnsi="Arial"/>
          <w:b/>
          <w:sz w:val="24"/>
        </w:rPr>
        <w:t>成交通知</w:t>
      </w:r>
    </w:p>
    <w:p>
      <w:pPr>
        <w:numPr>
          <w:ilvl w:val="1"/>
          <w:numId w:val="10"/>
        </w:numPr>
        <w:kinsoku/>
        <w:overflowPunct/>
        <w:topLinePunct w:val="0"/>
        <w:bidi w:val="0"/>
        <w:snapToGrid w:val="0"/>
        <w:spacing w:line="300" w:lineRule="auto"/>
        <w:jc w:val="both"/>
        <w:rPr>
          <w:rFonts w:ascii="Arial" w:hAnsi="Arial"/>
        </w:rPr>
      </w:pPr>
      <w:r>
        <w:rPr>
          <w:rFonts w:hint="eastAsia" w:ascii="Arial" w:hAnsi="Arial"/>
        </w:rPr>
        <w:t>在磋商有效期期满之前，采购机构将用书面形式向获接受的成交供应商发出书面的《成交通知书》。《成交通知书》将是合同的一个组成部分。</w:t>
      </w:r>
    </w:p>
    <w:p>
      <w:pPr>
        <w:numPr>
          <w:ilvl w:val="0"/>
          <w:numId w:val="10"/>
        </w:numPr>
        <w:kinsoku/>
        <w:overflowPunct/>
        <w:topLinePunct w:val="0"/>
        <w:bidi w:val="0"/>
        <w:snapToGrid w:val="0"/>
        <w:spacing w:line="300" w:lineRule="auto"/>
        <w:jc w:val="both"/>
        <w:rPr>
          <w:rFonts w:ascii="宋体" w:hAnsi="宋体"/>
        </w:rPr>
      </w:pPr>
      <w:r>
        <w:rPr>
          <w:rFonts w:hint="eastAsia" w:ascii="Arial" w:hAnsi="Arial"/>
          <w:b/>
          <w:sz w:val="24"/>
        </w:rPr>
        <w:t>签订合同</w:t>
      </w:r>
    </w:p>
    <w:p>
      <w:pPr>
        <w:numPr>
          <w:ilvl w:val="1"/>
          <w:numId w:val="10"/>
        </w:numPr>
        <w:kinsoku/>
        <w:overflowPunct/>
        <w:topLinePunct w:val="0"/>
        <w:bidi w:val="0"/>
        <w:snapToGrid w:val="0"/>
        <w:spacing w:line="300" w:lineRule="auto"/>
        <w:jc w:val="both"/>
        <w:rPr>
          <w:rFonts w:ascii="Arial" w:hAnsi="Arial"/>
          <w:sz w:val="24"/>
        </w:rPr>
      </w:pPr>
      <w:r>
        <w:rPr>
          <w:rFonts w:hint="eastAsia" w:ascii="宋体" w:hAnsi="宋体"/>
        </w:rPr>
        <w:t>成交供应商按《成交通知书》指定的时间、地点与采购人直接签订合同。</w:t>
      </w:r>
    </w:p>
    <w:p>
      <w:pPr>
        <w:numPr>
          <w:ilvl w:val="1"/>
          <w:numId w:val="10"/>
        </w:numPr>
        <w:kinsoku/>
        <w:overflowPunct/>
        <w:topLinePunct w:val="0"/>
        <w:bidi w:val="0"/>
        <w:snapToGrid w:val="0"/>
        <w:spacing w:line="300" w:lineRule="auto"/>
        <w:jc w:val="both"/>
        <w:rPr>
          <w:rFonts w:ascii="Arial" w:hAnsi="Arial"/>
          <w:sz w:val="24"/>
        </w:rPr>
      </w:pPr>
      <w:r>
        <w:rPr>
          <w:rFonts w:hint="eastAsia" w:ascii="宋体" w:hAnsi="宋体"/>
        </w:rPr>
        <w:t>磋商文件、成交供应商的磋商响应文件及其澄清文件等，均为签订经济合同的依据。成交供应商自发出成交通知书后</w:t>
      </w:r>
      <w:r>
        <w:rPr>
          <w:rFonts w:hint="eastAsia" w:ascii="宋体" w:hAnsi="宋体"/>
          <w:lang w:val="en-US" w:eastAsia="zh-CN"/>
        </w:rPr>
        <w:t>7</w:t>
      </w:r>
      <w:r>
        <w:rPr>
          <w:rFonts w:hint="eastAsia" w:ascii="宋体" w:hAnsi="宋体"/>
        </w:rPr>
        <w:t>天内与采购人签订合同。</w:t>
      </w:r>
    </w:p>
    <w:p>
      <w:pPr>
        <w:numPr>
          <w:ilvl w:val="1"/>
          <w:numId w:val="10"/>
        </w:numPr>
        <w:kinsoku/>
        <w:overflowPunct/>
        <w:topLinePunct w:val="0"/>
        <w:bidi w:val="0"/>
        <w:snapToGrid w:val="0"/>
        <w:spacing w:line="300" w:lineRule="auto"/>
        <w:jc w:val="both"/>
        <w:rPr>
          <w:rFonts w:ascii="Arial" w:hAnsi="Arial"/>
          <w:sz w:val="24"/>
        </w:rPr>
      </w:pPr>
      <w:r>
        <w:rPr>
          <w:rFonts w:hint="eastAsia" w:ascii="宋体" w:hAnsi="宋体"/>
        </w:rPr>
        <w:t>成交供应商不遵守磋商文件或磋商书的要约、承诺，擅自修改报价或在发出成交通知书30天内，借故拖延、拒签合同者，采购机构取消该单位的成交权，另选其它磋商供应商成交。</w:t>
      </w:r>
    </w:p>
    <w:p>
      <w:pPr>
        <w:numPr>
          <w:ilvl w:val="0"/>
          <w:numId w:val="10"/>
        </w:numPr>
        <w:kinsoku/>
        <w:overflowPunct/>
        <w:topLinePunct w:val="0"/>
        <w:bidi w:val="0"/>
        <w:snapToGrid w:val="0"/>
        <w:spacing w:line="300" w:lineRule="auto"/>
        <w:jc w:val="both"/>
        <w:rPr>
          <w:rFonts w:ascii="Arial" w:hAnsi="Arial"/>
          <w:b/>
          <w:sz w:val="24"/>
        </w:rPr>
      </w:pPr>
      <w:r>
        <w:rPr>
          <w:rFonts w:hint="eastAsia" w:ascii="Arial" w:hAnsi="Arial"/>
          <w:b/>
          <w:sz w:val="24"/>
        </w:rPr>
        <w:t>采购结果通知</w:t>
      </w:r>
    </w:p>
    <w:p>
      <w:pPr>
        <w:kinsoku/>
        <w:overflowPunct/>
        <w:topLinePunct w:val="0"/>
        <w:bidi w:val="0"/>
        <w:snapToGrid w:val="0"/>
        <w:spacing w:line="300" w:lineRule="auto"/>
        <w:ind w:left="840" w:leftChars="400"/>
        <w:jc w:val="both"/>
        <w:rPr>
          <w:rFonts w:ascii="宋体" w:hAnsi="宋体"/>
        </w:rPr>
      </w:pPr>
      <w:r>
        <w:rPr>
          <w:rFonts w:hint="eastAsia" w:ascii="宋体" w:hAnsi="宋体"/>
        </w:rPr>
        <w:t>采购机构在发出《成交通知书》的同时在 “温州市公共资源交易网瑞安市分网”（网址：www.raztb.com</w:t>
      </w:r>
      <w:r>
        <w:rPr>
          <w:rFonts w:ascii="宋体" w:hAnsi="宋体"/>
        </w:rPr>
        <w:t>）</w:t>
      </w:r>
      <w:r>
        <w:rPr>
          <w:rFonts w:hint="eastAsia" w:ascii="宋体" w:hAnsi="宋体"/>
        </w:rPr>
        <w:t>,</w:t>
      </w:r>
      <w:r>
        <w:rPr>
          <w:rFonts w:hint="eastAsia" w:ascii="Arial" w:hAnsi="Arial"/>
        </w:rPr>
        <w:t>“浙江省政府采购网” （网址：www.zjzfcg.gov.cn</w:t>
      </w:r>
      <w:r>
        <w:rPr>
          <w:rFonts w:ascii="Arial" w:hAnsi="Arial"/>
        </w:rPr>
        <w:t>）</w:t>
      </w:r>
      <w:r>
        <w:rPr>
          <w:rFonts w:hint="eastAsia" w:ascii="宋体" w:hAnsi="宋体"/>
        </w:rPr>
        <w:t>发布成交公告。</w:t>
      </w:r>
    </w:p>
    <w:p>
      <w:pPr>
        <w:numPr>
          <w:ilvl w:val="0"/>
          <w:numId w:val="10"/>
        </w:numPr>
        <w:kinsoku/>
        <w:overflowPunct/>
        <w:topLinePunct w:val="0"/>
        <w:bidi w:val="0"/>
        <w:snapToGrid w:val="0"/>
        <w:spacing w:line="300" w:lineRule="auto"/>
        <w:jc w:val="both"/>
        <w:rPr>
          <w:rFonts w:ascii="宋体" w:hAnsi="宋体"/>
        </w:rPr>
      </w:pPr>
      <w:r>
        <w:rPr>
          <w:rFonts w:hint="eastAsia" w:ascii="Arial" w:hAnsi="Arial"/>
          <w:b/>
          <w:sz w:val="24"/>
        </w:rPr>
        <w:t>代理服务费</w:t>
      </w:r>
    </w:p>
    <w:p>
      <w:pPr>
        <w:kinsoku/>
        <w:overflowPunct/>
        <w:topLinePunct w:val="0"/>
        <w:bidi w:val="0"/>
        <w:spacing w:line="300" w:lineRule="auto"/>
        <w:ind w:left="770" w:hanging="770" w:hangingChars="350"/>
        <w:rPr>
          <w:rFonts w:ascii="宋体" w:hAnsi="宋体"/>
          <w:b/>
          <w:sz w:val="22"/>
          <w:szCs w:val="22"/>
        </w:rPr>
      </w:pPr>
      <w:r>
        <w:rPr>
          <w:rFonts w:hint="eastAsia" w:ascii="宋体" w:hAnsi="宋体"/>
          <w:sz w:val="22"/>
          <w:szCs w:val="22"/>
        </w:rPr>
        <w:t>3</w:t>
      </w:r>
      <w:r>
        <w:rPr>
          <w:rFonts w:hint="eastAsia" w:ascii="宋体" w:hAnsi="宋体"/>
          <w:sz w:val="22"/>
          <w:szCs w:val="22"/>
          <w:lang w:val="en-US" w:eastAsia="zh-CN"/>
        </w:rPr>
        <w:t>4</w:t>
      </w:r>
      <w:r>
        <w:rPr>
          <w:rFonts w:hint="eastAsia" w:ascii="宋体" w:hAnsi="宋体"/>
          <w:sz w:val="22"/>
          <w:szCs w:val="22"/>
        </w:rPr>
        <w:t>.1   经采购人和代理人双方协商，本次采购代理服务费由成交供应商支付，代理服务费按国家计委计价格[2002]1980号文件收取，不足陆仟元整，按陆仟元整收取。上述费用不在报价中单列，该费用必须在领取成交通知书前一次性付清，请供应商在报价时予以考虑。</w:t>
      </w:r>
    </w:p>
    <w:p>
      <w:pPr>
        <w:pStyle w:val="4"/>
        <w:keepNext w:val="0"/>
        <w:keepLines w:val="0"/>
        <w:pageBreakBefore/>
        <w:kinsoku/>
        <w:wordWrap/>
        <w:overflowPunct/>
        <w:topLinePunct w:val="0"/>
        <w:autoSpaceDE/>
        <w:autoSpaceDN/>
        <w:bidi w:val="0"/>
        <w:spacing w:before="240" w:beforeLines="100" w:after="240" w:afterLines="100" w:line="300" w:lineRule="auto"/>
        <w:jc w:val="center"/>
        <w:rPr>
          <w:rFonts w:hint="eastAsia" w:ascii="宋体" w:hAnsi="宋体"/>
          <w:b/>
          <w:bCs/>
          <w:kern w:val="44"/>
          <w:sz w:val="28"/>
          <w:szCs w:val="36"/>
        </w:rPr>
      </w:pPr>
      <w:bookmarkStart w:id="23" w:name="_Toc23022"/>
      <w:bookmarkStart w:id="24" w:name="_Toc363208816"/>
      <w:bookmarkStart w:id="25" w:name="_Toc369785188"/>
      <w:r>
        <w:rPr>
          <w:rFonts w:hint="eastAsia" w:hAnsi="宋体"/>
          <w:sz w:val="28"/>
          <w:szCs w:val="36"/>
        </w:rPr>
        <w:t xml:space="preserve">第三部分  </w:t>
      </w:r>
      <w:r>
        <w:rPr>
          <w:rFonts w:hint="eastAsia" w:hAnsi="宋体"/>
          <w:sz w:val="28"/>
          <w:szCs w:val="36"/>
          <w:lang w:eastAsia="zh-CN"/>
        </w:rPr>
        <w:t>采购</w:t>
      </w:r>
      <w:r>
        <w:rPr>
          <w:rFonts w:hint="eastAsia" w:hAnsi="宋体"/>
          <w:sz w:val="28"/>
          <w:szCs w:val="36"/>
        </w:rPr>
        <w:t>内容及要求</w:t>
      </w:r>
      <w:bookmarkEnd w:id="23"/>
    </w:p>
    <w:p>
      <w:pPr>
        <w:numPr>
          <w:ilvl w:val="0"/>
          <w:numId w:val="0"/>
        </w:numPr>
        <w:kinsoku/>
        <w:wordWrap/>
        <w:overflowPunct/>
        <w:topLinePunct w:val="0"/>
        <w:autoSpaceDE/>
        <w:autoSpaceDN/>
        <w:bidi w:val="0"/>
        <w:snapToGrid w:val="0"/>
        <w:spacing w:line="300" w:lineRule="auto"/>
        <w:ind w:left="360" w:leftChars="0"/>
        <w:jc w:val="both"/>
        <w:rPr>
          <w:rFonts w:hint="eastAsia" w:ascii="宋体" w:hAnsi="宋体"/>
          <w:b/>
          <w:color w:val="000000"/>
        </w:rPr>
      </w:pPr>
      <w:r>
        <w:rPr>
          <w:rFonts w:hint="eastAsia" w:ascii="宋体" w:hAnsi="宋体"/>
          <w:b/>
          <w:color w:val="000000"/>
          <w:sz w:val="24"/>
          <w:szCs w:val="24"/>
          <w:lang w:eastAsia="zh-CN"/>
        </w:rPr>
        <w:t>一、</w:t>
      </w:r>
      <w:r>
        <w:rPr>
          <w:rFonts w:hint="eastAsia" w:ascii="宋体" w:hAnsi="宋体"/>
          <w:b/>
          <w:color w:val="000000"/>
          <w:sz w:val="24"/>
          <w:szCs w:val="24"/>
        </w:rPr>
        <w:t>概述：</w:t>
      </w:r>
    </w:p>
    <w:p>
      <w:pPr>
        <w:numPr>
          <w:ilvl w:val="1"/>
          <w:numId w:val="19"/>
        </w:numPr>
        <w:kinsoku/>
        <w:wordWrap/>
        <w:overflowPunct/>
        <w:topLinePunct w:val="0"/>
        <w:autoSpaceDE/>
        <w:autoSpaceDN/>
        <w:bidi w:val="0"/>
        <w:snapToGrid w:val="0"/>
        <w:spacing w:line="300" w:lineRule="auto"/>
        <w:jc w:val="both"/>
        <w:rPr>
          <w:rFonts w:hint="eastAsia" w:ascii="宋体" w:hAnsi="宋体"/>
          <w:b/>
          <w:color w:val="000000"/>
        </w:rPr>
      </w:pPr>
      <w:r>
        <w:rPr>
          <w:rFonts w:hint="eastAsia" w:ascii="宋体" w:hAnsi="宋体"/>
          <w:color w:val="000000"/>
        </w:rPr>
        <w:t>此份竞争性磋商内容及技术要求书是磋商文件的一部分，包括所有条款的具体说明及技术要求，磋商供应商需在各自技术和商务占优势的基础上对本次招标服务进行投标报价。</w:t>
      </w:r>
    </w:p>
    <w:p>
      <w:pPr>
        <w:numPr>
          <w:ilvl w:val="1"/>
          <w:numId w:val="19"/>
        </w:numPr>
        <w:kinsoku/>
        <w:wordWrap/>
        <w:overflowPunct/>
        <w:topLinePunct w:val="0"/>
        <w:autoSpaceDE/>
        <w:autoSpaceDN/>
        <w:bidi w:val="0"/>
        <w:snapToGrid w:val="0"/>
        <w:spacing w:line="300" w:lineRule="auto"/>
        <w:jc w:val="both"/>
        <w:rPr>
          <w:rFonts w:hint="eastAsia" w:ascii="_x000B__x000C_" w:hAnsi="_x000B__x000C_"/>
          <w:color w:val="000000"/>
          <w:szCs w:val="21"/>
        </w:rPr>
      </w:pPr>
      <w:r>
        <w:rPr>
          <w:rFonts w:hint="eastAsia" w:ascii="宋体" w:hAnsi="宋体"/>
          <w:color w:val="000000"/>
        </w:rPr>
        <w:t>磋商供应商必须完成招标内容和合同（基本要求、价格和服务）规定义务，不允许只对部分内容进行投标。</w:t>
      </w:r>
    </w:p>
    <w:p>
      <w:pPr>
        <w:numPr>
          <w:ilvl w:val="1"/>
          <w:numId w:val="19"/>
        </w:numPr>
        <w:kinsoku/>
        <w:wordWrap/>
        <w:overflowPunct/>
        <w:topLinePunct w:val="0"/>
        <w:autoSpaceDE/>
        <w:autoSpaceDN/>
        <w:bidi w:val="0"/>
        <w:snapToGrid w:val="0"/>
        <w:spacing w:line="300" w:lineRule="auto"/>
        <w:jc w:val="both"/>
        <w:rPr>
          <w:rFonts w:hint="eastAsia" w:ascii="宋体" w:hAnsi="宋体"/>
          <w:color w:val="000000"/>
        </w:rPr>
      </w:pPr>
      <w:r>
        <w:rPr>
          <w:rFonts w:hint="eastAsia" w:ascii="Arial" w:hAnsi="Arial" w:cs="Arial"/>
          <w:color w:val="000000"/>
        </w:rPr>
        <w:t>本次项目服务的标准、规范，应符合国家有关条例及规范。</w:t>
      </w:r>
    </w:p>
    <w:p>
      <w:pPr>
        <w:numPr>
          <w:ilvl w:val="1"/>
          <w:numId w:val="19"/>
        </w:numPr>
        <w:kinsoku/>
        <w:wordWrap/>
        <w:overflowPunct/>
        <w:topLinePunct w:val="0"/>
        <w:autoSpaceDE/>
        <w:autoSpaceDN/>
        <w:bidi w:val="0"/>
        <w:snapToGrid w:val="0"/>
        <w:spacing w:line="300" w:lineRule="auto"/>
        <w:jc w:val="both"/>
        <w:rPr>
          <w:rFonts w:hint="eastAsia" w:ascii="宋体" w:hAnsi="宋体" w:eastAsia="宋体"/>
          <w:b/>
          <w:bCs/>
          <w:kern w:val="44"/>
          <w:sz w:val="28"/>
          <w:szCs w:val="36"/>
          <w:lang w:eastAsia="zh-CN"/>
        </w:rPr>
      </w:pPr>
      <w:r>
        <w:rPr>
          <w:rFonts w:hint="eastAsia" w:ascii="Arial" w:hAnsi="Arial" w:cs="Arial"/>
          <w:color w:val="000000"/>
        </w:rPr>
        <w:t>在投标之前，磋商供应商须仔细阅读磋商文件，如发现有任何疑问、冲突或问题，磋商供应商须在答疑截止时间前以书面形式向采购代理机构提出。逾期磋商供应商不再作答复，有关风险及责任由磋商供应商自行承担。</w:t>
      </w:r>
    </w:p>
    <w:p>
      <w:pPr>
        <w:numPr>
          <w:ilvl w:val="1"/>
          <w:numId w:val="19"/>
        </w:numPr>
        <w:kinsoku/>
        <w:wordWrap/>
        <w:overflowPunct/>
        <w:topLinePunct w:val="0"/>
        <w:autoSpaceDE/>
        <w:autoSpaceDN/>
        <w:bidi w:val="0"/>
        <w:snapToGrid w:val="0"/>
        <w:spacing w:line="300" w:lineRule="auto"/>
        <w:jc w:val="both"/>
        <w:rPr>
          <w:rFonts w:hint="eastAsia" w:ascii="宋体" w:hAnsi="宋体" w:eastAsia="宋体"/>
          <w:b/>
          <w:bCs/>
          <w:color w:val="auto"/>
          <w:kern w:val="44"/>
          <w:sz w:val="28"/>
          <w:szCs w:val="36"/>
          <w:lang w:eastAsia="zh-CN"/>
        </w:rPr>
      </w:pPr>
      <w:r>
        <w:rPr>
          <w:rFonts w:hint="eastAsia" w:ascii="Arial" w:hAnsi="Arial" w:cs="Arial"/>
          <w:color w:val="auto"/>
          <w:lang w:val="en-US" w:eastAsia="zh-CN"/>
        </w:rPr>
        <w:t>本项目优先采购本国货物和服务，必须进行的技术引进和转让需符合国家政策和有利于国内行业的发展。项目中涉及到的设备、材料属于政府采购节能产品、环境标志产品的，要求符合相关规定。</w:t>
      </w:r>
    </w:p>
    <w:p>
      <w:pPr>
        <w:pStyle w:val="4"/>
        <w:keepNext/>
        <w:keepLines/>
        <w:pageBreakBefore w:val="0"/>
        <w:widowControl w:val="0"/>
        <w:kinsoku/>
        <w:wordWrap/>
        <w:overflowPunct/>
        <w:topLinePunct w:val="0"/>
        <w:autoSpaceDE/>
        <w:autoSpaceDN/>
        <w:bidi w:val="0"/>
        <w:adjustRightInd w:val="0"/>
        <w:snapToGrid w:val="0"/>
        <w:spacing w:line="300" w:lineRule="auto"/>
        <w:textAlignment w:val="auto"/>
        <w:rPr>
          <w:rFonts w:hint="eastAsia"/>
          <w:lang w:eastAsia="zh-CN"/>
        </w:rPr>
      </w:pPr>
    </w:p>
    <w:p>
      <w:pPr>
        <w:pStyle w:val="4"/>
        <w:keepNext/>
        <w:keepLines/>
        <w:pageBreakBefore w:val="0"/>
        <w:widowControl w:val="0"/>
        <w:numPr>
          <w:ilvl w:val="0"/>
          <w:numId w:val="20"/>
        </w:numPr>
        <w:kinsoku/>
        <w:wordWrap/>
        <w:overflowPunct/>
        <w:topLinePunct w:val="0"/>
        <w:autoSpaceDE/>
        <w:autoSpaceDN/>
        <w:bidi w:val="0"/>
        <w:adjustRightInd w:val="0"/>
        <w:snapToGrid w:val="0"/>
        <w:spacing w:line="300" w:lineRule="auto"/>
        <w:jc w:val="left"/>
        <w:textAlignment w:val="auto"/>
        <w:rPr>
          <w:rFonts w:hint="eastAsia" w:ascii="宋体" w:hAnsi="宋体" w:eastAsia="宋体" w:cs="Times New Roman"/>
          <w:b/>
          <w:color w:val="000000"/>
          <w:kern w:val="0"/>
          <w:sz w:val="24"/>
          <w:szCs w:val="24"/>
          <w:lang w:val="en-US" w:eastAsia="zh-CN" w:bidi="ar-SA"/>
        </w:rPr>
      </w:pPr>
      <w:bookmarkStart w:id="26" w:name="_Toc21676"/>
      <w:bookmarkStart w:id="27" w:name="_Toc31858"/>
      <w:r>
        <w:rPr>
          <w:rFonts w:hint="eastAsia" w:ascii="宋体" w:hAnsi="宋体" w:eastAsia="宋体" w:cs="Times New Roman"/>
          <w:b/>
          <w:color w:val="000000"/>
          <w:kern w:val="0"/>
          <w:sz w:val="24"/>
          <w:szCs w:val="24"/>
          <w:lang w:val="en-US" w:eastAsia="zh-CN" w:bidi="ar-SA"/>
        </w:rPr>
        <w:t>采购内容及要求：</w:t>
      </w:r>
      <w:bookmarkEnd w:id="26"/>
      <w:bookmarkEnd w:id="27"/>
    </w:p>
    <w:p>
      <w:pPr>
        <w:numPr>
          <w:ilvl w:val="1"/>
          <w:numId w:val="21"/>
        </w:numPr>
        <w:kinsoku/>
        <w:wordWrap/>
        <w:overflowPunct/>
        <w:topLinePunct w:val="0"/>
        <w:autoSpaceDE/>
        <w:autoSpaceDN/>
        <w:bidi w:val="0"/>
        <w:snapToGrid w:val="0"/>
        <w:spacing w:line="300" w:lineRule="auto"/>
        <w:ind w:left="927" w:leftChars="0" w:hanging="567" w:firstLineChars="0"/>
        <w:jc w:val="both"/>
        <w:rPr>
          <w:rFonts w:hint="eastAsia"/>
        </w:rPr>
      </w:pPr>
      <w:r>
        <w:rPr>
          <w:rFonts w:hint="eastAsia" w:ascii="Arial" w:hAnsi="Arial" w:cs="Arial"/>
          <w:b/>
          <w:bCs/>
          <w:color w:val="000000"/>
          <w:lang w:val="en-US" w:eastAsia="zh-CN"/>
        </w:rPr>
        <w:t>工程内容：详见工程量清单及图纸（另册）</w:t>
      </w:r>
    </w:p>
    <w:p>
      <w:pPr>
        <w:numPr>
          <w:ilvl w:val="1"/>
          <w:numId w:val="21"/>
        </w:numPr>
        <w:kinsoku/>
        <w:wordWrap/>
        <w:overflowPunct/>
        <w:topLinePunct w:val="0"/>
        <w:autoSpaceDE/>
        <w:autoSpaceDN/>
        <w:bidi w:val="0"/>
        <w:snapToGrid w:val="0"/>
        <w:spacing w:line="300" w:lineRule="auto"/>
        <w:ind w:left="927" w:leftChars="0" w:hanging="567" w:firstLineChars="0"/>
        <w:jc w:val="both"/>
        <w:rPr>
          <w:rFonts w:hint="eastAsia"/>
        </w:rPr>
      </w:pPr>
      <w:r>
        <w:rPr>
          <w:rFonts w:hint="eastAsia"/>
        </w:rPr>
        <w:t>承包方式：包工包料</w:t>
      </w:r>
    </w:p>
    <w:p>
      <w:pPr>
        <w:numPr>
          <w:ilvl w:val="1"/>
          <w:numId w:val="21"/>
        </w:numPr>
        <w:kinsoku/>
        <w:wordWrap/>
        <w:overflowPunct/>
        <w:topLinePunct w:val="0"/>
        <w:autoSpaceDE/>
        <w:autoSpaceDN/>
        <w:bidi w:val="0"/>
        <w:snapToGrid w:val="0"/>
        <w:spacing w:line="300" w:lineRule="auto"/>
        <w:ind w:left="927" w:leftChars="0" w:hanging="567" w:firstLineChars="0"/>
        <w:jc w:val="both"/>
        <w:rPr>
          <w:rFonts w:hint="eastAsia"/>
        </w:rPr>
      </w:pPr>
      <w:r>
        <w:rPr>
          <w:rFonts w:hint="eastAsia"/>
        </w:rPr>
        <w:t>质量要求：合格</w:t>
      </w:r>
    </w:p>
    <w:p>
      <w:pPr>
        <w:numPr>
          <w:ilvl w:val="1"/>
          <w:numId w:val="21"/>
        </w:numPr>
        <w:kinsoku/>
        <w:wordWrap/>
        <w:overflowPunct/>
        <w:topLinePunct w:val="0"/>
        <w:autoSpaceDE/>
        <w:autoSpaceDN/>
        <w:bidi w:val="0"/>
        <w:snapToGrid w:val="0"/>
        <w:spacing w:line="300" w:lineRule="auto"/>
        <w:ind w:left="927" w:leftChars="0" w:hanging="567" w:firstLineChars="0"/>
        <w:jc w:val="both"/>
        <w:rPr>
          <w:rFonts w:hint="eastAsia" w:ascii="Times New Roman" w:hAnsi="Times New Roman" w:cs="Times New Roman"/>
          <w:lang w:val="en-US" w:eastAsia="zh-CN"/>
        </w:rPr>
      </w:pPr>
      <w:r>
        <w:rPr>
          <w:rFonts w:hint="eastAsia"/>
        </w:rPr>
        <w:t>工    期：</w:t>
      </w:r>
      <w:r>
        <w:rPr>
          <w:rFonts w:hint="eastAsia"/>
          <w:lang w:eastAsia="zh-CN"/>
        </w:rPr>
        <w:t>90日历天</w:t>
      </w:r>
    </w:p>
    <w:p>
      <w:pPr>
        <w:pStyle w:val="4"/>
        <w:kinsoku/>
        <w:wordWrap/>
        <w:overflowPunct/>
        <w:topLinePunct w:val="0"/>
        <w:autoSpaceDE/>
        <w:autoSpaceDN/>
        <w:bidi w:val="0"/>
        <w:spacing w:line="300" w:lineRule="auto"/>
        <w:rPr>
          <w:rFonts w:hint="eastAsia"/>
          <w:lang w:val="en-US" w:eastAsia="zh-CN"/>
        </w:rPr>
      </w:pPr>
    </w:p>
    <w:p>
      <w:pPr>
        <w:pStyle w:val="4"/>
        <w:keepNext/>
        <w:keepLines/>
        <w:pageBreakBefore w:val="0"/>
        <w:widowControl w:val="0"/>
        <w:numPr>
          <w:ilvl w:val="0"/>
          <w:numId w:val="20"/>
        </w:numPr>
        <w:kinsoku/>
        <w:wordWrap/>
        <w:overflowPunct/>
        <w:topLinePunct w:val="0"/>
        <w:autoSpaceDE/>
        <w:autoSpaceDN/>
        <w:bidi w:val="0"/>
        <w:adjustRightInd w:val="0"/>
        <w:snapToGrid w:val="0"/>
        <w:spacing w:line="300" w:lineRule="auto"/>
        <w:jc w:val="left"/>
        <w:textAlignment w:val="auto"/>
        <w:rPr>
          <w:rFonts w:hint="eastAsia" w:ascii="宋体" w:hAnsi="宋体" w:eastAsia="宋体" w:cs="Times New Roman"/>
          <w:b/>
          <w:color w:val="000000"/>
          <w:kern w:val="0"/>
          <w:sz w:val="24"/>
          <w:szCs w:val="24"/>
          <w:lang w:val="en-US" w:eastAsia="zh-CN" w:bidi="ar-SA"/>
        </w:rPr>
      </w:pPr>
      <w:bookmarkStart w:id="28" w:name="_Toc11168"/>
      <w:bookmarkStart w:id="29" w:name="_Toc6755"/>
      <w:r>
        <w:rPr>
          <w:rFonts w:hint="eastAsia" w:ascii="宋体" w:hAnsi="宋体" w:eastAsia="宋体" w:cs="Times New Roman"/>
          <w:b/>
          <w:color w:val="000000"/>
          <w:kern w:val="0"/>
          <w:sz w:val="24"/>
          <w:szCs w:val="24"/>
          <w:lang w:val="en-US" w:eastAsia="zh-CN" w:bidi="ar-SA"/>
        </w:rPr>
        <w:t>设备详细技术参数要求:</w:t>
      </w:r>
      <w:bookmarkEnd w:id="28"/>
      <w:bookmarkEnd w:id="29"/>
    </w:p>
    <w:p>
      <w:pPr>
        <w:numPr>
          <w:ilvl w:val="0"/>
          <w:numId w:val="22"/>
        </w:numPr>
        <w:kinsoku/>
        <w:wordWrap/>
        <w:overflowPunct/>
        <w:topLinePunct w:val="0"/>
        <w:autoSpaceDE/>
        <w:autoSpaceDN/>
        <w:bidi w:val="0"/>
        <w:spacing w:line="300" w:lineRule="auto"/>
        <w:jc w:val="center"/>
        <w:rPr>
          <w:rFonts w:hint="eastAsia" w:ascii="宋体" w:hAnsi="宋体" w:eastAsia="宋体" w:cs="Times New Roman"/>
          <w:b/>
          <w:color w:val="000000"/>
          <w:kern w:val="0"/>
          <w:sz w:val="24"/>
          <w:szCs w:val="24"/>
          <w:lang w:val="en-US" w:eastAsia="zh-CN" w:bidi="ar-SA"/>
        </w:rPr>
      </w:pPr>
      <w:r>
        <w:rPr>
          <w:rFonts w:hint="eastAsia" w:ascii="宋体" w:hAnsi="宋体" w:eastAsia="宋体" w:cs="Times New Roman"/>
          <w:b/>
          <w:color w:val="000000"/>
          <w:kern w:val="0"/>
          <w:sz w:val="24"/>
          <w:szCs w:val="24"/>
          <w:lang w:val="en-US" w:eastAsia="zh-CN" w:bidi="ar-SA"/>
        </w:rPr>
        <w:t>综合布线系统</w:t>
      </w:r>
    </w:p>
    <w:tbl>
      <w:tblPr>
        <w:tblStyle w:val="5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29"/>
        <w:gridCol w:w="65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产品名称</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8336" w:type="dxa"/>
            <w:gridSpan w:val="2"/>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工作区子系统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单孔网络面板</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产品特点：1.符合标准GB 17466.1  《第1部分:通用要求》</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2.可安装超五类、六类和超五类屏蔽、六类屏蔽、超六类屏蔽RJ45模块、RJ11模块和CATV模块</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3.外观采用圆角设计, 造型美观</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4.有便于用户端口标记的透明标示片</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5.采用透明防尘门,人性化设计,手感舒适</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6.装配彩色模块后能够通过透明防尘门了解模块的颜色，以便在工作区通过模块的颜色来区分不同用途</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7.材料： 优质PC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双孔网络面板</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产品特点：1.符合标准GB 17466.1  《第1部分:通用要求》</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2.可安装超五类、六类和超五类屏蔽、六类屏蔽、超六类屏蔽RJ45模块、RJ11模块和CATV模块</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3.外观采用圆角设计, 造型美观</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4.有便于用户端口标记的透明标示片</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5.采用透明防尘门,人性化设计,手感舒适</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6.装配彩色模块后能够通过透明防尘门了解模块的颜色，以便在工作区通过模块的颜色来区分不同用途</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7.材料： 优质PC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双孔地插</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产品特点：1.依据标准GB17466.1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2.通过中国国家强制性产品认证</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val="en-US" w:eastAsia="zh-CN" w:bidi="ar"/>
              </w:rPr>
              <w:t>3</w:t>
            </w:r>
            <w:r>
              <w:rPr>
                <w:rFonts w:hint="eastAsia" w:ascii="宋体" w:hAnsi="宋体" w:cs="宋体"/>
                <w:color w:val="000000"/>
                <w:kern w:val="0"/>
                <w:sz w:val="21"/>
                <w:szCs w:val="21"/>
                <w:lang w:bidi="ar"/>
              </w:rPr>
              <w:t>.面板采用铜合金/不锈钢材料，金属拉丝工艺，表面均匀细致</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val="en-US" w:eastAsia="zh-CN" w:bidi="ar"/>
              </w:rPr>
              <w:t>4</w:t>
            </w:r>
            <w:r>
              <w:rPr>
                <w:rFonts w:hint="eastAsia" w:ascii="宋体" w:hAnsi="宋体" w:cs="宋体"/>
                <w:color w:val="000000"/>
                <w:kern w:val="0"/>
                <w:sz w:val="21"/>
                <w:szCs w:val="21"/>
                <w:lang w:bidi="ar"/>
              </w:rPr>
              <w:t>、2mm厚标准底盒，表面防锈处理，抗压能力强，耐腐蚀性好                                                                                                            功能参数：1.产品规格: 3个信息模块插口</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val="en-US" w:eastAsia="zh-CN" w:bidi="ar"/>
              </w:rPr>
              <w:t>5</w:t>
            </w:r>
            <w:r>
              <w:rPr>
                <w:rFonts w:hint="eastAsia" w:ascii="宋体" w:hAnsi="宋体" w:cs="宋体"/>
                <w:color w:val="000000"/>
                <w:kern w:val="0"/>
                <w:sz w:val="21"/>
                <w:szCs w:val="21"/>
                <w:lang w:bidi="ar"/>
              </w:rPr>
              <w:t>.外形尺寸 ：120×120mm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val="en-US" w:eastAsia="zh-CN" w:bidi="ar"/>
              </w:rPr>
              <w:t>6</w:t>
            </w:r>
            <w:r>
              <w:rPr>
                <w:rFonts w:hint="eastAsia" w:ascii="宋体" w:hAnsi="宋体" w:cs="宋体"/>
                <w:color w:val="000000"/>
                <w:kern w:val="0"/>
                <w:sz w:val="21"/>
                <w:szCs w:val="21"/>
                <w:lang w:bidi="ar"/>
              </w:rPr>
              <w:t>.安装方式 ：暗装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六类非屏蔽模块</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产品特点：1.依据标准YD/T926.3、ISO/IEC 11801、ANSI/TIA-568-C.2</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2.模块内部采用簧片空间排列和PCB布线相结合的双重EMC设计，确保模块的高性能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3.模块具有红、黑、黄、白、绿和蓝六种颜色，可以通过不同颜色区分不同类型网络</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4.模块前部可以安装彩色的电话和电脑标识，以区分模块的具体应用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5.标准的110打线方式，安装便捷；后部具有压线盖，保证电缆端接的可靠性。</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6.兼容568A和568B两种接续标准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7.簧片接触部分镀金50微英寸</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8.满足ANSI/TIA 568C标准的元件级性能要求</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功能参数：1.材料：压线盖为PC、其他塑料件为PC/ABS、簧片为锡青铜带</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2.IDC簧片可接线径： 0.45-0.6mm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3.接触电阻：正常大气压条件下接触电阻≤20mΩ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4.直流电阻：正常大气压条件下直流电阻≤200mΩ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5.绝缘电阻：正常大气压条件下绝缘电阻≥100MΩ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6.抗电强度：DC 1000V(AC 700V)1分钟无击穿和飞弧现象</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7.寿命：插头插座可重复插拔次数≥750次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8336" w:type="dxa"/>
            <w:gridSpan w:val="2"/>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水平、垂直平子系统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六类4对非屏蔽双绞线</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产品特点：1.依据标准YD/T 1019，同时符合标准ISO/IEC 11801、ANSI/TIA-568-C.2</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2.护套材料：PVC</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3.绝缘层材料：PE</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4.结构：十字骨架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5.铜导体直径：φ0.575±0.005 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6.燃烧性能：通过YD/T 1019中规定的单根电缆火焰垂直蔓延试验</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7.单根导体直流电阻：≤7.5Ω/100m at 20℃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8.直流电阻不平衡：≤2%(线对内两导体间)  ≤4%(线对与线对间)</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9.绝缘电阻：≥5000MΩ·km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10.线对对地电容不平衡：≤160pF/100m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11.特性阻抗：100±15Ω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12.安装温度： 0℃～50℃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13.工作温度：  -20℃～60℃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25对大对数电缆</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产品特点：1、 型号：HSYV-3  25*2*0.5</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2、参考标准：YD/T 1019、YD/T 926</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3、产品包装：卷轴包装（305米）</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4、阻燃等级：满足YD/T 1019中对阻燃的要求</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5、结构特性:</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a)导体直径 ≥0.48mm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b)外护套材料 PVC</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c)导体线规 24AWG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d)外护套直径 约12mm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e)绝缘材料 PE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f)外护套厚度 ≥0.55mm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g)绝缘直径 0.85±0.02mm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h)结构     U/UTP</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6、机械特性：</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i)弯曲半径 ≥96mm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j)施工温度 0～50℃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k)使用温度 -20～60℃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7、电气特性:</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l)绝缘电阻 ≥5000MΩ•Km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m)单根导体直流电阻 ≤9.5Ω/100m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n)导体间介电强度 d.c 1KV 1min  a.c 0.7KV 1min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o)线对直流电阻不平衡 ≤%2.5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12芯单模光缆</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产品特点：1.产品符合YD/T1258-4、YD/T 908-2011、GB/T9771.3-2008、GB/T12357.1-2004等标准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2.光缆阻燃级别可通过IEC 60332-3-23（B类）燃烧试验</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3.采用进口芳纶加强元件，保证光缆的优异的抗拉及阻燃性能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4.外护材料具有阻燃、环保等优点</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5.外护套材料PVC                                                                                                                                             光学性能：1、光缆在@1310nm时衰减≤0.36（dB/km）；光缆在@1550nm时衰减≤0.22（dB/km）；光缆在@1300nm时温度附加衰减（-20°~+60°）≤0.05dB/km；光缆在@1550nm时温度附加衰减（-20°~+60°）≤0.05 dB/km                                                                                                                结构参数：1、1-12芯</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长期的允许拉伸力达200N,短期允许拉伸力达660N,</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长期允许压扁力300N/100mm，短期允许压扁力1000N/mm，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动态弯曲半径10D，静态弯曲半径20D；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2、24-96芯</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长期的允许拉伸力达400N,短期允许拉伸力达1320N,</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长期允许压扁力300N/100mm，短期允许压扁力1000N/mm，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动态弯曲半径10D，静态弯曲半径20D；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24芯单模光缆</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产品特点：1.产品符合YD/T1258-4、YD/T 908-2011、GB/T9771.3-2008、GB/T12357.1-2004等标准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2.光缆阻燃级别可通过IEC 60332-3-23（B类）燃烧试验</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3.采用进口芳纶加强元件，保证光缆的优异的抗拉及阻燃性能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4.外护材料具有阻燃、环保等优点</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5.外护套材料PVC                                                                                                                                             光学性能：1、光缆在@1310nm时衰减≤0.36（dB/km）；光缆在@1550nm时衰减≤0.22（dB/km）；光缆在@1300nm时温度附加衰减（-20°~+60°）≤0.05dB/km；光缆在@1550nm时温度附加衰减（-20°~+60°）≤0.05 dB/km                                                                                                                结构参数：1、1-12芯</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长期的允许拉伸力达200N,短期允许拉伸力达660N,</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长期允许压扁力300N/100mm，短期允许压扁力1000N/mm，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动态弯曲半径10D，静态弯曲半径20D；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2、24-96芯</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长期的允许拉伸力达400N,短期允许拉伸力达1320N,</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长期允许压扁力300N/100mm，短期允许压扁力1000N/mm，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动态弯曲半径10D，静态弯曲半径20D；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4芯单模光缆</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产品特点：1.产品符合YD/T1258-4、YD/T 908-2011、GB/T9771.3-2008、GB/T12357.1-2004等标准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2.光缆阻燃级别可通过IEC 60332-3-23（B类）燃烧试验</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3.采用进口芳纶加强元件，保证光缆的优异的抗拉及阻燃性能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4.外护材料具有阻燃、环保等优点</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5.外护套材料PVC                                                                                                                                             光学性能：1、光缆在@1310nm时衰减≤0.36（dB/km）；光缆在@1550nm时衰减≤0.22（dB/km）；光缆在@1300nm时温度附加衰减（-20°~+60°）≤0.05dB/km；光缆在@1550nm时温度附加衰减（-20°~+60°）≤0.05 dB/km                                                                                                                结构参数：1、1-12芯</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长期的允许拉伸力达200N,短期允许拉伸力达660N,</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长期允许压扁力300N/100mm，短期允许压扁力1000N/mm，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动态弯曲半径10D，静态弯曲半径20D；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2、24-96芯</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长期的允许拉伸力达400N,短期允许拉伸力达1320N,</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长期允许压扁力300N/100mm，短期允许压扁力1000N/mm，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动态弯曲半径10D，静态弯曲半径20D；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8336" w:type="dxa"/>
            <w:gridSpan w:val="2"/>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管理区子系统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六类非屏蔽24口配线架（含模块）</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产品特点：1.依据标准YD/T926.3、ISO/IEC 11801、ANSI/TIA-568-C.2</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2.配线架前、后部具有标签管理区域，便于端口管理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3、后部具有挂杆式理线架，标配可重复使用的自粘带</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功能参数：1.安装方式 ：19”标准机柜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2.安装尺寸 ：1U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3.主要材料 ：冷轧钢板、PC/ABS</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4.结构类型 ：整体式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5.背面理线：带背面理线架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6.支持前部标签管理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7.IDC簧片可接线径：0.4-0.6mm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8.接触电阻：正常大气压条件下接触电阻≤20mΩ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9.直流电阻：正常大气压条件下直流电阻≤300mΩ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10.绝缘电阻：正常大气压条件下绝缘电阻≥100MΩ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11.抗电强度：DC 1000V(AC 700V)1分钟无击穿和飞弧现象</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12.寿命：插头插座可重复插拔次数≥750次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19英寸金属1U理线器</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产品特点：1.依据标准YD/T926.3、ISO/IEC 11801、ANSI/TIA-568-C.2</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2.簧片使用优质锡青铜带，镀银厚度50微英寸</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3.适合于语音大对数电缆的端接</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4.采用通用110接线工具端接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5.前部具有标签管理区域，便于端口管理                                                                                                                         功能参数：1.安装方式 ：19”标准机柜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2.安装尺寸 ：1U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3.主要材料 ：冷轧钢板、PC/ABS、ABS、PVC、锡青铜带</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4.支持前部标签管理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5.IDC簧片可接线径： 0.4-0.6mm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6.接触电阻 正常大气压条件下接触电阻：≤20mΩ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7.直流电阻 正常大气压条件下直流电阻：≤300mΩ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8.绝缘电阻 正常大气压条件下绝缘电阻：≥100MΩ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9.抗电强度： DC 1000V(AC 700V)1分钟无击穿和飞弧现象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机架式110型100条语音配线架</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产品特点：1.依据标准: GB/T 3047.2、GB/T 4054</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2.梳齿式设计，方便跳线管理，充足的线槽空间，配有卡接式盖板，方便拆卸和安装</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3.选用优质冷轧钢板制作，表面脱脂、酸洗、磷化、静电喷塑处理，外形美观</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4.架体材料厚度 1.5mm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5.盖板材料厚度 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110理线架</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产品特点：1.依据标准: GB/T 3047.2、GB/T 4054</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2.梳齿式设计，方便跳线管理，充足的线槽空间，配有卡接式盖板，方便拆卸和安装</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3.选用优质冷轧钢板制作，表面脱脂、酸洗、磷化、静电喷塑处理，外形美观</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4.架体材料厚度 1.5mm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5.盖板材料厚度 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六类非屏蔽2米跳线</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产品特点：1.依据标准ANSI/TIA-568-C.2，同时符合标准ISO/IEC 11801、YD/T926.3</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2.采用高性能的多股线缆和先进的制造技术，制造工艺采用整体塑模成型</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3.可提供568A及568B两种接线规格跳线</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功能参数：1.护套材料：PVC</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2.护套颜色：灰、红、蓝、黄、绿</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3.绝缘层材料：PE</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4.导体线规：24AWG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5.结构：十字骨架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6.电缆外径：φ6.0±0.2 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7.簧片镀金：50微英寸</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8.单根导体直流电阻：≤9.0Ω/100m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9.插拔寿命插拔次数：≥750次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RJ45-110非屏蔽跳线,2米</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产品特点：1.依据标准ANSI/TIA-568-C.2，同时符合标准ISO/IEC 11801、YD/T926.3</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2.护套材料 ：PVC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3.护套颜色 ：灰色</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4.绝缘层材料 ：PE</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5.导体线规 ：24AWG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6.电缆外径： φ3.5±0.2 mm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7.水晶头簧片镀金 ：50微英寸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8.110簧片镀镍 ：100微英寸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9.单根导体直流电阻： ≤9.5Ω/100m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10.插拔寿命： 模块端插拔次数≥200次，水晶头端插拔次数≥750次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12口机架式光纤终端盒</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产品特点：1.产品符合YD/T 778-2011 《光纤配线架》行业标准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2.采用全对称设计，左右两侧均可进缆和出纤，支持多种进缆方式以及左右出纤配置丰富，兼容多种光缆以及适配器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3.安装侧耳设置多个安装位置，可用于机柜及ODF架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4.可根据光缆类型选配相应一体化托盘套件（含束状尾纤、适配器）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5.可安装室外光缆固定组件，满足室外光缆进缆固定需求（选配）                                                                                                      功能参数：1.安装方式：19”标准机柜、光配线架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2.安装尺寸：1U、2U、3U、4U</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3.结构类型：托盘式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4.适用光缆：室外光缆、室内光缆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5.适用连接器：LC、SC、FC、ST</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6.成端方式：常规熔接</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7.最大芯数: 144芯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19英寸金属1U理线器</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产品特点：1.依据标准: GB/T 3047.2、GB/T 4054</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2.梳齿式设计，方便跳线管理，充足的线槽空间，配有卡接式盖板，方便拆卸和安装</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3.选用优质冷轧钢板制作，表面脱脂、酸洗、磷化、静电喷塑处理，外形美观</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4.架体材料厚度 1.5mm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5.盖板材料厚度 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LC双工光纤适配器</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1.产品符合YD/T1272.1-2003行业标准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2.机械耐久性：＞500次，插入损耗变化量＜0.2dB，回波损耗变化量＜5dB；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3.插入损耗：＜0.2dB（单模）、小于0.1dB（多模）</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4.互换性：变化量＜0.1dB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5.工作温度：-25℃至70℃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LC单模双芯尾纤</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1、规格：9/125µm 连接到光纤配线架及交换设备的光纤跳线应支持万兆以太网</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2、插损: ≤0.2（典型值）/≤0.35（最大值）</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3、回损：＞50（典型值）/＞45（最大值）</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4、机械耐久性：500次≤0.2dB（插入损耗变化量）/500次＜5dB（回波损耗变化量）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5、物理强度:&lt; 19.6 N</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6、推压强度:&lt; 98N</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7、插拔强度:&lt; 68.6 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LC-LC单模双芯光纤跳线</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1、规格：9/125µm 连接到光纤配线架及交换设备的光纤跳线应支持万兆以太网</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2、插损: ≤0.2（典型值）/≤0.35（最大值）</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3、回损：＞50（典型值）/＞45（最大值）</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4、机械耐久性：500次≤0.2dB（插入损耗变化量）/500次＜5dB（回波损耗变化量）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5、物理强度:&lt; 19.6 N</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6、推压强度:&lt; 98N</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7、插拔强度:&lt; 68.6 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8336" w:type="dxa"/>
            <w:gridSpan w:val="2"/>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设备间子系统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机架式110型100条语音配线架</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产品特点：1.依据标准: GB/T 3047.2、GB/T 4054</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2.梳齿式设计，方便跳线管理，充足的线槽空间，配有卡接式盖板，方便拆卸和安装</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3.选用优质冷轧钢板制作，表面脱脂、酸洗、磷化、静电喷塑处理，外形美观</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4.架体材料厚度 1.5mm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5.盖板材料厚度 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110理线架</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产品特点：1.依据标准: GB/T 3047.2、GB/T 4054</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2.梳齿式设计，方便跳线管理，充足的线槽空间，配有卡接式盖板，方便拆卸和安装</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3.选用优质冷轧钢板制作，表面脱脂、酸洗、磷化、静电喷塑处理，外形美观</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4.架体材料厚度 1.5mm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5.盖板材料厚度 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110-110非屏蔽跳线,2米</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110-110,2米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12口机架式光纤终端盒</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产品特点：1.产品符合YD/T 778-2011 《光纤配线架》行业标准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2.采用全对称设计，左右两侧均可进缆和出纤，支持多种进缆方式以及左右出纤配置丰富，兼容多种光缆以及适配器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3.安装侧耳设置多个安装位置，可用于机柜及ODF架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4.可根据光缆类型选配相应一体化托盘套件（含束状尾纤、适配器）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5.可安装室外光缆固定组件，满足室外光缆进缆固定需求（选配）                                                                                                      功能参数：1.安装方式：19”标准机柜、光配线架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2.安装尺寸：1U、2U、3U、4U</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3.结构类型：托盘式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4.适用光缆：室外光缆、室内光缆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5.适用连接器：LC、SC、FC、ST</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6.成端方式：常规熔接</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7.最大芯数: 144芯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19英寸金属1U理线器</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产品特点：1.依据标准: GB/T 3047.2、GB/T 4054</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2.梳齿式设计，方便跳线管理，充足的线槽空间，配有卡接式盖板，方便拆卸和安装</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3.选用优质冷轧钢板制作，表面脱脂、酸洗、磷化、静电喷塑处理，外形美观</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4.架体材料厚度 1.5mm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5.盖板材料厚度 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LC双工光纤适配器</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1.产品符合YD/T1272.1-2003行业标准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2.机械耐久性：＞500次，插入损耗变化量＜0.2dB，回波损耗变化量＜5dB；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3.插入损耗：＜0.2dB（单模）、小于0.1dB（多模）</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4.互换性：变化量＜0.1dB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5.工作温度：-25℃至70℃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LC单模双芯尾纤</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1、规格：9/125µm 连接到光纤配线架及交换设备的光纤跳线应支持万兆以太网</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2、插损: ≤0.2（典型值）/≤0.35（最大值）</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3、回损：＞50（典型值）/＞45（最大值）</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4、机械耐久性：500次≤0.2dB（插入损耗变化量）/500次＜5dB（回波损耗变化量）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5、物理强度:&lt; 19.6 N</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6、推压强度:&lt; 98N</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7、插拔强度:&lt; 68.6 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LC-LC单模双芯光纤跳线</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1、规格：9/125µm 连接到光纤配线架及交换设备的光纤跳线应支持万兆以太网</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2、插损: ≤0.2（典型值）/≤0.35（最大值）</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3、回损：＞50（典型值）/＞45（最大值）</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4、机械耐久性：500次≤0.2dB（插入损耗变化量）/500次＜5dB（回波损耗变化量）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5、物理强度:&lt; 19.6 N</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6、推压强度:&lt; 98N</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7、插拔强度:&lt; 68.6 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29"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42U机柜</w:t>
            </w:r>
          </w:p>
        </w:tc>
        <w:tc>
          <w:tcPr>
            <w:tcW w:w="6507"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产品特点：1.符合GB/T3047.2、GB/T4054等标准，兼容ANSI/EIA RS-310-D、IEC297-2标准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2.机柜采用优质冷轧钢板；表面脱脂、酸洗、防锈纳米陶瓷化、纯水清洗、粉末静电喷塑。</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3.标准19英寸设计，可用于安装目前市面的交换机、服务器、存储器等网络设备。</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4.机柜采用框架结构，结构坚固，静载承重800KG（去除脚轮）。</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5.防护等级IP20。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6.前门玻璃门和网孔门可选，后部网孔门。网孔门采用高密度平板六角通风孔，具有低风阻和高通风率，适合设备散热的应用需求。</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7.机柜可以满足顶部和底部两种方式的走线。机柜顶部配备走线孔和散热风扇，机柜底部走线孔可以按需调节大小。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8.机柜具有600mm和800mm两种宽度规格，其中800mm宽度的机柜后门为双开门，前部具有垂直理线槽道，便于垂直走线。</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9.机柜标配风扇、6位10A电源、托盘、脚轮和支撑脚等配件。                                                                                                                                        功能参数：</w:t>
            </w:r>
          </w:p>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1、机柜类型：19英寸</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2、机柜宽度：600mm和800mm可选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3、机柜高度：2200mm、2000mm、1800mm、1600mm、1400mm、1200mm可选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4、机柜深度：600mm、800mm、1000mm、1100mm、1200mm可选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5、机柜门类型：前门玻璃门、网孔门可选；后门网孔门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6、侧门：快拆侧门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7、托盘数量：2200mm和2000mm标配3个托盘；其他标配1个托盘</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8、风扇数量：600mm深度机柜标配2风扇；其他标配4风扇</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9、PDU：标配1个六位10A万用孔PDU</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10、浮动螺母：2200mm和2000mm标配40套；其他标配20套</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11、支撑脚：标配4只</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12、脚轮：标配4只</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13、垂直理线槽：800mm宽度机柜前部左右各标配1只</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14、板材厚度：框架2.0mm、前后门1.2mm、横梁1.5mm、侧门1.0mm、立柱2.0mm、其他1.2mm</w:t>
            </w:r>
          </w:p>
        </w:tc>
      </w:tr>
    </w:tbl>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bottom"/>
        <w:rPr>
          <w:rFonts w:hint="eastAsia" w:ascii="宋体" w:hAnsi="宋体" w:eastAsia="宋体" w:cs="Times New Roman"/>
          <w:b/>
          <w:color w:val="000000"/>
          <w:kern w:val="0"/>
          <w:sz w:val="24"/>
          <w:szCs w:val="24"/>
          <w:lang w:val="en-US" w:eastAsia="zh-CN" w:bidi="ar-SA"/>
        </w:rPr>
      </w:pPr>
    </w:p>
    <w:p>
      <w:pPr>
        <w:keepNext w:val="0"/>
        <w:keepLines w:val="0"/>
        <w:pageBreakBefore w:val="0"/>
        <w:widowControl/>
        <w:numPr>
          <w:ilvl w:val="0"/>
          <w:numId w:val="22"/>
        </w:numPr>
        <w:kinsoku/>
        <w:wordWrap/>
        <w:overflowPunct/>
        <w:topLinePunct w:val="0"/>
        <w:autoSpaceDE/>
        <w:autoSpaceDN/>
        <w:bidi w:val="0"/>
        <w:adjustRightInd/>
        <w:snapToGrid/>
        <w:spacing w:line="300" w:lineRule="auto"/>
        <w:jc w:val="center"/>
        <w:textAlignment w:val="bottom"/>
        <w:rPr>
          <w:rFonts w:hint="eastAsia" w:ascii="宋体" w:hAnsi="宋体" w:eastAsia="宋体" w:cs="Times New Roman"/>
          <w:b/>
          <w:color w:val="000000"/>
          <w:kern w:val="0"/>
          <w:sz w:val="24"/>
          <w:szCs w:val="24"/>
          <w:lang w:val="en-US" w:eastAsia="zh-CN" w:bidi="ar-SA"/>
        </w:rPr>
      </w:pPr>
      <w:r>
        <w:rPr>
          <w:rFonts w:hint="eastAsia" w:ascii="宋体" w:hAnsi="宋体" w:eastAsia="宋体" w:cs="Times New Roman"/>
          <w:b/>
          <w:color w:val="000000"/>
          <w:kern w:val="0"/>
          <w:sz w:val="24"/>
          <w:szCs w:val="24"/>
          <w:lang w:val="en-US" w:eastAsia="zh-CN" w:bidi="ar-SA"/>
        </w:rPr>
        <w:t>计算机网络系统</w:t>
      </w:r>
    </w:p>
    <w:tbl>
      <w:tblPr>
        <w:tblStyle w:val="5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4"/>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名称</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8336" w:type="dxa"/>
            <w:gridSpan w:val="2"/>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互联网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48口千兆管理型交换机</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交换容量≥330 Gbps（如果有不同值，以官网较小值为准）,包转发率≥85 Mpps（如果有不同值，以官网较小值为准）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端口类型：千兆电口≥48个，千兆SFP口≥4个</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二层功能：支持MAC地址≥16K；支持4K个VLAN；基于端口的VLAN，基于MAC的VLAN，基于协议的VLAN；支持协议VLAN；支持IGMP Snooping、支持MLD Snooping；支持VLAN内端口隔离；支持Smart link；支持端口聚合，每个聚合组至少8个端口；支持跨设备链路聚合。</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IP路由：支持静态路由、RIP、RIPng、OSPF、OSPFv3，提供官网截图及官网链接证明</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防雷：支持10KV防雷技术，提供官网截图及官网链接证明</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虚拟化：支持智能堆叠，堆叠后逻辑上虚拟为一台设备，具有统一的表项和管理；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支持以太网电口堆叠；支持纵向虚拟化，作为纵向子节点零配置即插即用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千兆单模光模块</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光模块-eSFP-GE-单模模块(1310nm,10km,LC)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8336" w:type="dxa"/>
            <w:gridSpan w:val="2"/>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公安网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28口核心光口交换机</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24口千兆光口，4口万兆光口；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24口千兆管理型交换机</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交换容量≥330 Gbps（如果有不同值，以官网较小值为准）,包转发率≥50 Mpps（如果有不同值，以官网较小值为准）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端口类型：千兆电口≥24个，千兆SFP口≥4个</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二层功能：支持MAC地址≥16K；支持4K个VLAN；基于端口的VLAN，基于MAC的VLAN，基于协议的VLAN；支持协议VLAN；支持IGMP Snooping、支持MLD Snooping；支持VLAN内端口隔离；支持Smart link；支持端口聚合，每个聚合组至少8个端口；支持跨设备链路聚合。</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IP路由：支持静态路由、RIP、RIPng、OSPF、OSPFv3，提供官网截图及官网链接证明</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防雷：支持10KV防雷技术，提供官网截图及官网链接证明</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虚拟化：支持智能堆叠，堆叠后逻辑上虚拟为一台设备，具有统一的表项和管理；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支持以太网电口堆叠；支持纵向虚拟化，作为纵向子节点零配置即插即用；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48口千兆管理型交换机</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交换容量≥330 Gbps（如果有不同值，以官网较小值为准）,包转发率≥85 Mpps（如果有不同值，以官网较小值为准）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端口类型：千兆电口≥48个，千兆SFP口≥4个</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二层功能：支持MAC地址≥16K；支持4K个VLAN；基于端口的VLAN，基于MAC的VLAN，基于协议的VLAN；支持协议VLAN；支持IGMP Snooping、支持MLD Snooping；支持VLAN内端口隔离；支持Smart link；支持端口聚合，每个聚合组至少8个端口；支持跨设备链路聚合。</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IP路由：支持静态路由、RIP、RIPng、OSPF、OSPFv3，提供官网截图及官网链接证明</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防雷：支持10KV防雷技术，提供官网截图及官网链接证明</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虚拟化：支持智能堆叠，堆叠后逻辑上虚拟为一台设备，具有统一的表项和管理；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支持以太网电口堆叠；支持纵向虚拟化，作为纵向子节点零配置即插即用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千兆单模光模块</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光模块-eSFP-GE-单模模块(1310nm,10km,LC)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8336" w:type="dxa"/>
            <w:gridSpan w:val="2"/>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监控网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8口千兆交换机</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8口千兆电口 2口千兆光口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24口千兆(POE)管理型交换机</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交换容量≥330 Gbps（如果有不同值，以官网较小值为准）,包转发率≥50 Mpps（如果有不同值，以官网较小值为准）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端口类型：千兆电口≥24个，千兆SFP口≥4个</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POE功能：支持802.3at、802.3af（POE+），POE供电功率≥360W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二层功能：支持MAC地址≥16K；支持4K个VLAN；基于端口的VLAN，基于MAC的VLAN，基于协议的VLAN；支持协议VLAN；支持IGMP Snooping、支持MLD Snooping；支持VLAN内端口隔离；支持Smart link；支持端口聚合，每个聚合组至少8个端口；支持跨设备链路聚合。</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IP路由：支持静态路由、RIP、RIPng、OSPF、OSPFv3，提供官网截图及官网链接证明</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防雷：支持10KV防雷技术，提供官网截图及官网链接证明</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虚拟化：支持智能堆叠，堆叠后逻辑上虚拟为一台设备，具有统一的表项和管理；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支持以太网电口堆叠；支持纵向虚拟化，作为纵向子节点零配置即插即用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千兆单模光模块</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光模块-eSFP-GE-单模模块(1310nm,10km,LC)</w:t>
            </w:r>
          </w:p>
        </w:tc>
      </w:tr>
    </w:tbl>
    <w:p>
      <w:pPr>
        <w:pStyle w:val="4"/>
        <w:keepNext/>
        <w:keepLines/>
        <w:pageBreakBefore w:val="0"/>
        <w:widowControl w:val="0"/>
        <w:kinsoku/>
        <w:wordWrap/>
        <w:overflowPunct/>
        <w:topLinePunct w:val="0"/>
        <w:autoSpaceDE/>
        <w:autoSpaceDN/>
        <w:bidi w:val="0"/>
        <w:adjustRightInd w:val="0"/>
        <w:snapToGrid w:val="0"/>
        <w:spacing w:line="300" w:lineRule="auto"/>
        <w:textAlignment w:val="auto"/>
        <w:rPr>
          <w:rFonts w:hint="eastAsia" w:ascii="Calibri Light" w:hAnsi="Calibri Light"/>
          <w:b/>
          <w:bCs/>
          <w:sz w:val="32"/>
          <w:szCs w:val="32"/>
        </w:rPr>
      </w:pPr>
    </w:p>
    <w:p>
      <w:pPr>
        <w:keepNext w:val="0"/>
        <w:keepLines w:val="0"/>
        <w:pageBreakBefore w:val="0"/>
        <w:widowControl/>
        <w:numPr>
          <w:ilvl w:val="0"/>
          <w:numId w:val="22"/>
        </w:numPr>
        <w:kinsoku/>
        <w:wordWrap/>
        <w:overflowPunct/>
        <w:topLinePunct w:val="0"/>
        <w:autoSpaceDE/>
        <w:autoSpaceDN/>
        <w:bidi w:val="0"/>
        <w:adjustRightInd/>
        <w:snapToGrid/>
        <w:spacing w:line="300" w:lineRule="auto"/>
        <w:jc w:val="center"/>
        <w:textAlignment w:val="bottom"/>
        <w:rPr>
          <w:rFonts w:hint="eastAsia" w:ascii="宋体" w:hAnsi="宋体" w:eastAsia="宋体" w:cs="Times New Roman"/>
          <w:b/>
          <w:color w:val="000000"/>
          <w:kern w:val="0"/>
          <w:sz w:val="24"/>
          <w:szCs w:val="24"/>
          <w:lang w:val="en-US" w:eastAsia="zh-CN" w:bidi="ar-SA"/>
        </w:rPr>
      </w:pPr>
      <w:r>
        <w:rPr>
          <w:rFonts w:hint="eastAsia" w:ascii="宋体" w:hAnsi="宋体" w:eastAsia="宋体" w:cs="Times New Roman"/>
          <w:b/>
          <w:color w:val="000000"/>
          <w:kern w:val="0"/>
          <w:sz w:val="24"/>
          <w:szCs w:val="24"/>
          <w:lang w:val="en-US" w:eastAsia="zh-CN" w:bidi="ar-SA"/>
        </w:rPr>
        <w:t>视频监控系统</w:t>
      </w:r>
    </w:p>
    <w:tbl>
      <w:tblPr>
        <w:tblStyle w:val="53"/>
        <w:tblW w:w="0" w:type="auto"/>
        <w:tblInd w:w="0" w:type="dxa"/>
        <w:tblLayout w:type="fixed"/>
        <w:tblCellMar>
          <w:top w:w="0" w:type="dxa"/>
          <w:left w:w="0" w:type="dxa"/>
          <w:bottom w:w="0" w:type="dxa"/>
          <w:right w:w="0" w:type="dxa"/>
        </w:tblCellMar>
      </w:tblPr>
      <w:tblGrid>
        <w:gridCol w:w="1854"/>
        <w:gridCol w:w="6482"/>
      </w:tblGrid>
      <w:tr>
        <w:tblPrEx>
          <w:tblCellMar>
            <w:top w:w="0" w:type="dxa"/>
            <w:left w:w="0" w:type="dxa"/>
            <w:bottom w:w="0" w:type="dxa"/>
            <w:right w:w="0" w:type="dxa"/>
          </w:tblCellMar>
        </w:tblPrEx>
        <w:trPr>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名称</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参数</w:t>
            </w:r>
          </w:p>
        </w:tc>
      </w:tr>
      <w:tr>
        <w:tblPrEx>
          <w:tblCellMar>
            <w:top w:w="0" w:type="dxa"/>
            <w:left w:w="0" w:type="dxa"/>
            <w:bottom w:w="0" w:type="dxa"/>
            <w:right w:w="0" w:type="dxa"/>
          </w:tblCellMar>
        </w:tblPrEx>
        <w:trPr>
          <w:trHeight w:val="23" w:hRule="atLeast"/>
        </w:trPr>
        <w:tc>
          <w:tcPr>
            <w:tcW w:w="83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前端</w:t>
            </w:r>
          </w:p>
        </w:tc>
      </w:tr>
      <w:tr>
        <w:tblPrEx>
          <w:tblCellMar>
            <w:top w:w="0" w:type="dxa"/>
            <w:left w:w="0" w:type="dxa"/>
            <w:bottom w:w="0" w:type="dxa"/>
            <w:right w:w="0" w:type="dxa"/>
          </w:tblCellMar>
        </w:tblPrEx>
        <w:trPr>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枪式摄像机(视频周界)</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200万1/2.7”CMOS 全彩筒型网络摄像机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传感器类型:1/2.7” Progressive Scan CMOS</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最小照度:彩色：0.0005Lux@F1.0，AGC ON；0Lux with Light</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镜头:4mm,水平视场角89°;(6mm 水平视场角56°可选)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宽动态范围:120dB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视频压缩标准:H.265 / H.264 / MJPEG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最大图像尺寸:1920 × 1080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存储功能:支持NAS(NFS,SMB/CIFS均支持)</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工作温度和湿度 -30℃~60℃,湿度小于95%(无凝结)</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电源供应:DC12V±20% / PoE(802.3af) (带D型号不支持PoE)</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电源接口类型:Φ5.5圆头电源接口</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功耗:非PoE:5.2W Max；</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防护等级:IP67</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补光照射距离:暖光最远可达30米</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尺寸(mm):114.4 x 106.9 x 220</w:t>
            </w:r>
          </w:p>
        </w:tc>
      </w:tr>
      <w:tr>
        <w:tblPrEx>
          <w:tblCellMar>
            <w:top w:w="0" w:type="dxa"/>
            <w:left w:w="0" w:type="dxa"/>
            <w:bottom w:w="0" w:type="dxa"/>
            <w:right w:w="0" w:type="dxa"/>
          </w:tblCellMar>
        </w:tblPrEx>
        <w:trPr>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防雷器</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二合一</w:t>
            </w:r>
          </w:p>
        </w:tc>
      </w:tr>
      <w:tr>
        <w:tblPrEx>
          <w:tblCellMar>
            <w:top w:w="0" w:type="dxa"/>
            <w:left w:w="0" w:type="dxa"/>
            <w:bottom w:w="0" w:type="dxa"/>
            <w:right w:w="0" w:type="dxa"/>
          </w:tblCellMar>
        </w:tblPrEx>
        <w:trPr>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枪式摄像机</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200万1/2.7”CMOS 全彩筒型网络摄像机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传感器类型:1/2.7” Progressive Scan CMOS</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最小照度:彩色：0.0005Lux@F1.0，AGC ON；0Lux with Light</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镜头:4mm,水平视场角89°;(6mm 水平视场角56°可选)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宽动态范围:120dB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视频压缩标准:H.265 / H.264 / MJPEG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最大图像尺寸:1920 × 1080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存储功能:支持NAS(NFS,SMB/CIFS均支持)</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工作温度和湿度 -30℃~60℃,湿度小于95%(无凝结)</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电源供应:DC12V±20% / PoE(802.3af) (带D型号不支持PoE)</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电源接口类型:Φ5.5圆头电源接口</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功耗:非PoE:5.2W Max；</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防护等级:IP67</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补光照射距离:暖光最远可达30米</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尺寸(mm):114.4 x 106.9 x 220</w:t>
            </w:r>
          </w:p>
        </w:tc>
      </w:tr>
      <w:tr>
        <w:tblPrEx>
          <w:tblCellMar>
            <w:top w:w="0" w:type="dxa"/>
            <w:left w:w="0" w:type="dxa"/>
            <w:bottom w:w="0" w:type="dxa"/>
            <w:right w:w="0" w:type="dxa"/>
          </w:tblCellMar>
        </w:tblPrEx>
        <w:trPr>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枪式摄像机支架</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壁装支架/白/铝合金/尺寸70×97.1×173mm</w:t>
            </w:r>
          </w:p>
        </w:tc>
      </w:tr>
      <w:tr>
        <w:tblPrEx>
          <w:tblCellMar>
            <w:top w:w="0" w:type="dxa"/>
            <w:left w:w="0" w:type="dxa"/>
            <w:bottom w:w="0" w:type="dxa"/>
            <w:right w:w="0" w:type="dxa"/>
          </w:tblCellMar>
        </w:tblPrEx>
        <w:trPr>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球式摄像机</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200万7寸红外；1920×1080@30fps；0.05Lux/F1.6(</w:t>
            </w:r>
            <w:r>
              <w:rPr>
                <w:rFonts w:hint="eastAsia" w:ascii="宋体" w:hAnsi="宋体" w:cs="宋体"/>
                <w:color w:val="000000"/>
                <w:kern w:val="0"/>
                <w:sz w:val="21"/>
                <w:szCs w:val="21"/>
                <w:lang w:eastAsia="zh-CN" w:bidi="ar"/>
              </w:rPr>
              <w:t>彩</w:t>
            </w:r>
            <w:r>
              <w:rPr>
                <w:rFonts w:hint="eastAsia" w:ascii="宋体" w:hAnsi="宋体" w:cs="宋体"/>
                <w:color w:val="000000"/>
                <w:kern w:val="0"/>
                <w:sz w:val="21"/>
                <w:szCs w:val="21"/>
                <w:lang w:bidi="ar"/>
              </w:rPr>
              <w:t>色),0.01Lux/F1.6(黑白) ,0 Lux with IR；150米红外照射距离；焦距：4.7-94mm, 20倍光学；支持音频、报警；支持宽动态、透雾、强光抑制、Smart IR 、3D数字降噪；支持萤石云；区域入侵侦测、越界侦测、音频异常侦测、移动侦测；水平键控速度最大160°/s，垂直键控速度最大120°/s，垂直范围-15°~90°；H.265/H.264/MJPEG；最大支持256GB Micro SD卡；AC24V，40W max(其中加热6W max，红外12W max)；支持IP66；工作温度：-30℃-65℃。</w:t>
            </w:r>
          </w:p>
        </w:tc>
      </w:tr>
      <w:tr>
        <w:tblPrEx>
          <w:tblCellMar>
            <w:top w:w="0" w:type="dxa"/>
            <w:left w:w="0" w:type="dxa"/>
            <w:bottom w:w="0" w:type="dxa"/>
            <w:right w:w="0" w:type="dxa"/>
          </w:tblCellMar>
        </w:tblPrEx>
        <w:trPr>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球式摄像机支架</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配套</w:t>
            </w:r>
          </w:p>
        </w:tc>
      </w:tr>
      <w:tr>
        <w:tblPrEx>
          <w:tblCellMar>
            <w:top w:w="0" w:type="dxa"/>
            <w:left w:w="0" w:type="dxa"/>
            <w:bottom w:w="0" w:type="dxa"/>
            <w:right w:w="0" w:type="dxa"/>
          </w:tblCellMar>
        </w:tblPrEx>
        <w:trPr>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半球摄像机（带音频）</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200万星光级1/2.7”CMOS ICR日夜型半球型网络摄像机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传感器类型 1/2.7" Progressive Scan CMOS</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最小照度 彩色:0.002 Lux @(F1.2,AGC ON), 0 Lux with IR</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镜头 4 mm 水平视场角:81°,垂直视场角:43° (2.8mm,6mm,8mm可选)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调整角度 水平:0°~360°;垂直:0°~ 75°;旋转:0°~360°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镜头接口类型 M12</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宽动态范围 120dB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最大图像尺寸 1920 × 1080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视频压缩标准 H.265/H.264/ MJPEG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存储功能 支持Micro SD/SDHC /SDXC卡(128G)断网本地存储及断网续传,NAS(NFS,SMB/CIFS均支持)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通讯接口 1个RJ45 10M / 100M 自适应以太网口</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音频接口 1对音频输入（Line in）/输出接口(插线式接口)，内置麦克风</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报警接口  1对报警输入输出接口（三极管：超过30毫安建议加继电器）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工作温度和湿度 -30℃~60℃,湿度小于95%(无凝结)</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电源供应 DC12V±20%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电源接口类型 Φ5.5mm圆头电源接口</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功耗 DC12V：5.5W Max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红外照射距离 20-30米</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防护等级 IP67</w:t>
            </w:r>
          </w:p>
        </w:tc>
      </w:tr>
      <w:tr>
        <w:tblPrEx>
          <w:tblCellMar>
            <w:top w:w="0" w:type="dxa"/>
            <w:left w:w="0" w:type="dxa"/>
            <w:bottom w:w="0" w:type="dxa"/>
            <w:right w:w="0" w:type="dxa"/>
          </w:tblCellMar>
        </w:tblPrEx>
        <w:trPr>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审讯专用摄像机（带音频）</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200万 1/3" CMOS ICR日夜型筒型网络摄像机；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最低照度 彩色:0.005Lux @(F1.2,AGC ON) , 0.007Lux @(F1.4,AGC ON) 0 Lux with IR；</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慢快门 支持；</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镜头 2.8-12mm @ F1.4,水平视场角：105.4°-33.6°；</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宽动态范围 120dB；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主码流分辨率与帧率 50Hz: 25fps (1920 × 1080,1280 × 960,1280 × 720)；60Hz: 30fps (1920 × 1080,1280 × 960,1280 ×720)；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第三码流分辨率与帧率 独立于主码流设置，最高支持：50Hz: 25fps(1920 × 1080)；60Hz: 30fps(1920 × 1080)；感兴趣区域 ROI支持三码流分别设置4个固定区域、全画面动态人脸跟踪；</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行为分析 越界侦测,区域入侵侦测,进入/离开区域侦测,徘徊侦测,人员聚集侦测,快速运动侦测,停车侦测,物品遗留/拿取侦测；异常侦测 场景变更侦测,虚焦侦测；</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识别检测</w:t>
            </w:r>
            <w:r>
              <w:rPr>
                <w:rFonts w:hint="eastAsia" w:ascii="宋体" w:hAnsi="宋体" w:cs="宋体"/>
                <w:color w:val="000000"/>
                <w:kern w:val="0"/>
                <w:sz w:val="21"/>
                <w:szCs w:val="21"/>
                <w:lang w:val="en-US" w:eastAsia="zh-CN" w:bidi="ar"/>
              </w:rPr>
              <w:t xml:space="preserve"> </w:t>
            </w:r>
            <w:r>
              <w:rPr>
                <w:rFonts w:hint="eastAsia" w:ascii="宋体" w:hAnsi="宋体" w:cs="宋体"/>
                <w:color w:val="000000"/>
                <w:kern w:val="0"/>
                <w:sz w:val="21"/>
                <w:szCs w:val="21"/>
                <w:lang w:bidi="ar"/>
              </w:rPr>
              <w:t>人脸侦测；</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工作温度和湿度 -30℃~60℃,湿度小于95%(无凝结)；</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电源供应 DC12V / PoE(802.3at)；</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防护等级 IP67；</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-I 红外距离 20-50米；</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功耗 12W MAX ；“-S”表示具有1对麦克风音频输入(Line in)/输出接口、1个BNC模拟输出口、1对报警输入/输出接口(报警输出最大支持DC24V 1A或AC110V 500mA)和1个RS-485接口，有音频陡升/陡降侦测,音频有无侦测功能；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-Z 支持电动镜头</w:t>
            </w:r>
          </w:p>
        </w:tc>
      </w:tr>
      <w:tr>
        <w:tblPrEx>
          <w:tblCellMar>
            <w:top w:w="0" w:type="dxa"/>
            <w:left w:w="0" w:type="dxa"/>
            <w:bottom w:w="0" w:type="dxa"/>
            <w:right w:w="0" w:type="dxa"/>
          </w:tblCellMar>
        </w:tblPrEx>
        <w:trPr>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拾音器</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全向监控拾音器；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拾音范围70平方米；音频传输距离3000米；灵敏度-34dB；信噪比60dB；安装方式：吸顶安装（自带底座转接盘）；连接方式 3芯导线（红-电源  黑-公共地  白-音频）；电源DC12V（9V-18V）；推荐电源：DC12V/1A，两线；</w:t>
            </w:r>
          </w:p>
        </w:tc>
      </w:tr>
      <w:tr>
        <w:tblPrEx>
          <w:tblCellMar>
            <w:top w:w="0" w:type="dxa"/>
            <w:left w:w="0" w:type="dxa"/>
            <w:bottom w:w="0" w:type="dxa"/>
            <w:right w:w="0" w:type="dxa"/>
          </w:tblCellMar>
        </w:tblPrEx>
        <w:trPr>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电梯半球摄像机</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200万1/2.7”CMOS ICR日夜型半球型网络摄像机；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最小照度 0.01 Lux @(F1.2,AGC ON), 0 Lux with IR；</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快门 1/3秒至1/100,000秒；</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镜头 2.8mm, 水平视场角: 113.5°(4mm,6mm,8mm可选)；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调整角度 水平:0°~360°;垂直:0°~ 75°;旋转:0°~360°；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宽动态范围 120dB；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视频压缩标准 H.265 / H.264/ MJPEG；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帧率 50Hz: 25fps (1920 × 1080,1280 × 960,1280 × 720)；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感兴趣区域 ROI支持三码流分别设置1个固定区域；</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存储功能 支持Micro SD(即TF卡)/Micro SDHC/Micro SDXC卡(128G)断网本地存储,NAS(NFS,SMB/CIFS均支持)；</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支持智能后检索，配合NVR支持事件的二次检索分析；</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智能功能：越界侦测,区域入侵侦测,场景变更侦测,人脸侦测,虚焦侦测,物品遗留侦测,物品拾取侦测,非法停车侦测,人员聚集侦测,徘徊侦测,快速移动侦测,进入区域侦测,离开区域侦测，音频异常侦测；</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通讯接口 1 个RJ45 10M / 100M 自适应以太网口</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工作温度和湿度 -10℃~40℃,湿度小于95%(无凝结)；</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电源供应 DC12V±25% / PoE(802.3af)；</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功耗 7W MAX；</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红外照射距离 EXIR：20-30米；</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内置麦克风；</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1对音频输入（Line in）/输出接口（插线式）、1对报警输入/输出（三极管：超过30毫安建议加继电器）接口</w:t>
            </w:r>
          </w:p>
        </w:tc>
      </w:tr>
      <w:tr>
        <w:tblPrEx>
          <w:tblCellMar>
            <w:top w:w="0" w:type="dxa"/>
            <w:left w:w="0" w:type="dxa"/>
            <w:bottom w:w="0" w:type="dxa"/>
            <w:right w:w="0" w:type="dxa"/>
          </w:tblCellMar>
        </w:tblPrEx>
        <w:trPr>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楼层叠加器</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配套</w:t>
            </w:r>
          </w:p>
        </w:tc>
      </w:tr>
      <w:tr>
        <w:tblPrEx>
          <w:tblCellMar>
            <w:top w:w="0" w:type="dxa"/>
            <w:left w:w="0" w:type="dxa"/>
            <w:bottom w:w="0" w:type="dxa"/>
            <w:right w:w="0" w:type="dxa"/>
          </w:tblCellMar>
        </w:tblPrEx>
        <w:trPr>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监控电源</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12V10A</w:t>
            </w:r>
          </w:p>
        </w:tc>
      </w:tr>
      <w:tr>
        <w:tblPrEx>
          <w:tblCellMar>
            <w:top w:w="0" w:type="dxa"/>
            <w:left w:w="0" w:type="dxa"/>
            <w:bottom w:w="0" w:type="dxa"/>
            <w:right w:w="0" w:type="dxa"/>
          </w:tblCellMar>
        </w:tblPrEx>
        <w:trPr>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金属软管</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30公分</w:t>
            </w:r>
          </w:p>
        </w:tc>
      </w:tr>
      <w:tr>
        <w:tblPrEx>
          <w:tblCellMar>
            <w:top w:w="0" w:type="dxa"/>
            <w:left w:w="0" w:type="dxa"/>
            <w:bottom w:w="0" w:type="dxa"/>
            <w:right w:w="0" w:type="dxa"/>
          </w:tblCellMar>
        </w:tblPrEx>
        <w:trPr>
          <w:trHeight w:val="23" w:hRule="atLeast"/>
        </w:trPr>
        <w:tc>
          <w:tcPr>
            <w:tcW w:w="83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控制中心</w:t>
            </w:r>
          </w:p>
        </w:tc>
      </w:tr>
      <w:tr>
        <w:tblPrEx>
          <w:tblCellMar>
            <w:top w:w="0" w:type="dxa"/>
            <w:left w:w="0" w:type="dxa"/>
            <w:bottom w:w="0" w:type="dxa"/>
            <w:right w:w="0" w:type="dxa"/>
          </w:tblCellMar>
        </w:tblPrEx>
        <w:trPr>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32路数字视频硬盘录像机</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硬件规格：</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3U标准机架式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2个HDMI，2个VGA,HDMI+VGA组内同源</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16盘位，可满配6TB硬盘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2个千兆网口</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2个USB2.0接口、1个USB3.0接口</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1个eSATA接口</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支持RAID0、1、5、10，支持全局热备盘</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软件性能：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输入带宽：320M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32路H.264、H.265混合接入</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最大支持16×1080P解码</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支持H.265、H.264解码</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Smart 2.0/整机热备/ANR/智能检索/智能回放/车牌检索/人脸检索/热度图/客流量统计/分时段回放/超高倍速回放/双系统备份</w:t>
            </w:r>
          </w:p>
        </w:tc>
      </w:tr>
      <w:tr>
        <w:tblPrEx>
          <w:tblCellMar>
            <w:top w:w="0" w:type="dxa"/>
            <w:left w:w="0" w:type="dxa"/>
            <w:bottom w:w="0" w:type="dxa"/>
            <w:right w:w="0" w:type="dxa"/>
          </w:tblCellMar>
        </w:tblPrEx>
        <w:trPr>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周界报警超脑</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支持最大16路周界报警（越界、区域入侵）去误报分析</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（说明：最高支持800W分辨率，16路200W，8路400W，2路800W）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硬件规格：</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2U标准机架式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2个HDMI，2个VGA,HDMI+VGA组内同源</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8盘位，可满配6TB硬盘</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2个千兆网口</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2个USB2.0接口、1个USB3.0接口</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1个eSATA接口</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支持RAID0、1、5、10，支持全局热备盘</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报警IO：16进4出(选配16进8出)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软件性能：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输入带宽：320M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32路H.264、H.265混合接入</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最大支持12×1080P解码</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支持H.265、H.264解码</w:t>
            </w:r>
          </w:p>
        </w:tc>
      </w:tr>
      <w:tr>
        <w:tblPrEx>
          <w:tblCellMar>
            <w:top w:w="0" w:type="dxa"/>
            <w:left w:w="0" w:type="dxa"/>
            <w:bottom w:w="0" w:type="dxa"/>
            <w:right w:w="0" w:type="dxa"/>
          </w:tblCellMar>
        </w:tblPrEx>
        <w:trPr>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硬盘</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WD60PURX</w:t>
            </w:r>
          </w:p>
        </w:tc>
      </w:tr>
      <w:tr>
        <w:tblPrEx>
          <w:tblCellMar>
            <w:top w:w="0" w:type="dxa"/>
            <w:left w:w="0" w:type="dxa"/>
            <w:bottom w:w="0" w:type="dxa"/>
            <w:right w:w="0" w:type="dxa"/>
          </w:tblCellMar>
        </w:tblPrEx>
        <w:trPr>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管理电脑</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I5-6500/8G/1TB/2G/19.5"</w:t>
            </w:r>
          </w:p>
        </w:tc>
      </w:tr>
    </w:tbl>
    <w:p>
      <w:pPr>
        <w:pStyle w:val="4"/>
        <w:kinsoku/>
        <w:wordWrap/>
        <w:overflowPunct/>
        <w:topLinePunct w:val="0"/>
        <w:autoSpaceDE/>
        <w:autoSpaceDN/>
        <w:bidi w:val="0"/>
        <w:spacing w:line="300" w:lineRule="auto"/>
        <w:rPr>
          <w:rFonts w:hint="eastAsia"/>
          <w:lang w:val="en-US" w:eastAsia="zh-CN"/>
        </w:rPr>
      </w:pPr>
    </w:p>
    <w:p>
      <w:pPr>
        <w:keepNext w:val="0"/>
        <w:keepLines w:val="0"/>
        <w:pageBreakBefore w:val="0"/>
        <w:widowControl/>
        <w:numPr>
          <w:ilvl w:val="0"/>
          <w:numId w:val="22"/>
        </w:numPr>
        <w:kinsoku/>
        <w:wordWrap/>
        <w:overflowPunct/>
        <w:topLinePunct w:val="0"/>
        <w:autoSpaceDE/>
        <w:autoSpaceDN/>
        <w:bidi w:val="0"/>
        <w:adjustRightInd/>
        <w:snapToGrid/>
        <w:spacing w:line="300" w:lineRule="auto"/>
        <w:jc w:val="center"/>
        <w:textAlignment w:val="bottom"/>
        <w:rPr>
          <w:rFonts w:hint="eastAsia" w:ascii="宋体" w:hAnsi="宋体" w:eastAsia="宋体" w:cs="Times New Roman"/>
          <w:b/>
          <w:color w:val="000000"/>
          <w:kern w:val="0"/>
          <w:sz w:val="24"/>
          <w:szCs w:val="24"/>
          <w:lang w:val="en-US" w:eastAsia="zh-CN" w:bidi="ar-SA"/>
        </w:rPr>
      </w:pPr>
      <w:r>
        <w:rPr>
          <w:rFonts w:hint="eastAsia" w:ascii="宋体" w:hAnsi="宋体" w:eastAsia="宋体" w:cs="Times New Roman"/>
          <w:b/>
          <w:color w:val="000000"/>
          <w:kern w:val="0"/>
          <w:sz w:val="24"/>
          <w:szCs w:val="24"/>
          <w:lang w:val="en-US" w:eastAsia="zh-CN" w:bidi="ar-SA"/>
        </w:rPr>
        <w:t>大屏拼接系统</w:t>
      </w:r>
    </w:p>
    <w:tbl>
      <w:tblPr>
        <w:tblStyle w:val="53"/>
        <w:tblW w:w="0" w:type="auto"/>
        <w:tblInd w:w="0" w:type="dxa"/>
        <w:tblLayout w:type="fixed"/>
        <w:tblCellMar>
          <w:top w:w="0" w:type="dxa"/>
          <w:left w:w="0" w:type="dxa"/>
          <w:bottom w:w="0" w:type="dxa"/>
          <w:right w:w="0" w:type="dxa"/>
        </w:tblCellMar>
      </w:tblPr>
      <w:tblGrid>
        <w:gridCol w:w="1854"/>
        <w:gridCol w:w="6482"/>
      </w:tblGrid>
      <w:tr>
        <w:tblPrEx>
          <w:tblCellMar>
            <w:top w:w="0" w:type="dxa"/>
            <w:left w:w="0" w:type="dxa"/>
            <w:bottom w:w="0" w:type="dxa"/>
            <w:right w:w="0" w:type="dxa"/>
          </w:tblCellMar>
        </w:tblPrEx>
        <w:trPr>
          <w:wBefore w:w="0" w:type="dxa"/>
          <w:wAfter w:w="0" w:type="dxa"/>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名称</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参数</w:t>
            </w:r>
          </w:p>
        </w:tc>
      </w:tr>
      <w:tr>
        <w:tblPrEx>
          <w:tblCellMar>
            <w:top w:w="0" w:type="dxa"/>
            <w:left w:w="0" w:type="dxa"/>
            <w:bottom w:w="0" w:type="dxa"/>
            <w:right w:w="0" w:type="dxa"/>
          </w:tblCellMar>
        </w:tblPrEx>
        <w:trPr>
          <w:wBefore w:w="0" w:type="dxa"/>
          <w:wAfter w:w="0" w:type="dxa"/>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wordWrap/>
              <w:overflowPunct/>
              <w:topLinePunct w:val="0"/>
              <w:autoSpaceDE/>
              <w:autoSpaceDN/>
              <w:bidi w:val="0"/>
              <w:spacing w:line="300" w:lineRule="auto"/>
              <w:jc w:val="center"/>
              <w:rPr>
                <w:rFonts w:hint="eastAsia" w:ascii="宋体" w:hAnsi="宋体" w:eastAsia="宋体" w:cs="宋体"/>
                <w:sz w:val="21"/>
                <w:szCs w:val="21"/>
              </w:rPr>
            </w:pPr>
            <w:r>
              <w:rPr>
                <w:rFonts w:hint="eastAsia" w:ascii="宋体" w:hAnsi="宋体" w:eastAsia="宋体" w:cs="宋体"/>
                <w:sz w:val="21"/>
                <w:szCs w:val="21"/>
              </w:rPr>
              <w:t>LCD液晶显示单元；</w:t>
            </w:r>
          </w:p>
        </w:tc>
        <w:tc>
          <w:tcPr>
            <w:tcW w:w="64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insoku/>
              <w:wordWrap/>
              <w:overflowPunct/>
              <w:topLinePunct w:val="0"/>
              <w:autoSpaceDE/>
              <w:autoSpaceDN/>
              <w:bidi w:val="0"/>
              <w:spacing w:line="300" w:lineRule="auto"/>
              <w:rPr>
                <w:rFonts w:hint="eastAsia" w:ascii="宋体" w:hAnsi="宋体" w:eastAsia="宋体" w:cs="宋体"/>
                <w:sz w:val="21"/>
                <w:szCs w:val="21"/>
              </w:rPr>
            </w:pPr>
            <w:r>
              <w:rPr>
                <w:rFonts w:hint="eastAsia" w:ascii="宋体" w:hAnsi="宋体" w:eastAsia="宋体" w:cs="宋体"/>
                <w:sz w:val="21"/>
                <w:szCs w:val="21"/>
              </w:rPr>
              <w:t>尺LCD液晶显示单元；</w:t>
            </w:r>
          </w:p>
          <w:p>
            <w:pPr>
              <w:kinsoku/>
              <w:wordWrap/>
              <w:overflowPunct/>
              <w:topLinePunct w:val="0"/>
              <w:autoSpaceDE/>
              <w:autoSpaceDN/>
              <w:bidi w:val="0"/>
              <w:spacing w:line="300" w:lineRule="auto"/>
              <w:rPr>
                <w:rFonts w:hint="eastAsia" w:ascii="宋体" w:hAnsi="宋体" w:eastAsia="宋体" w:cs="宋体"/>
                <w:sz w:val="21"/>
                <w:szCs w:val="21"/>
              </w:rPr>
            </w:pPr>
            <w:r>
              <w:rPr>
                <w:rFonts w:hint="eastAsia" w:ascii="宋体" w:hAnsi="宋体" w:eastAsia="宋体" w:cs="宋体"/>
                <w:sz w:val="21"/>
                <w:szCs w:val="21"/>
              </w:rPr>
              <w:t>尺寸：55英寸；</w:t>
            </w:r>
          </w:p>
          <w:p>
            <w:pPr>
              <w:kinsoku/>
              <w:wordWrap/>
              <w:overflowPunct/>
              <w:topLinePunct w:val="0"/>
              <w:autoSpaceDE/>
              <w:autoSpaceDN/>
              <w:bidi w:val="0"/>
              <w:spacing w:line="300" w:lineRule="auto"/>
              <w:rPr>
                <w:rFonts w:hint="eastAsia" w:ascii="宋体" w:hAnsi="宋体" w:eastAsia="宋体" w:cs="宋体"/>
                <w:sz w:val="21"/>
                <w:szCs w:val="21"/>
              </w:rPr>
            </w:pPr>
            <w:r>
              <w:rPr>
                <w:rFonts w:hint="eastAsia" w:ascii="宋体" w:hAnsi="宋体" w:eastAsia="宋体" w:cs="宋体"/>
                <w:sz w:val="21"/>
                <w:szCs w:val="21"/>
              </w:rPr>
              <w:t>分辨率：1920x1080；</w:t>
            </w:r>
          </w:p>
          <w:p>
            <w:pPr>
              <w:kinsoku/>
              <w:wordWrap/>
              <w:overflowPunct/>
              <w:topLinePunct w:val="0"/>
              <w:autoSpaceDE/>
              <w:autoSpaceDN/>
              <w:bidi w:val="0"/>
              <w:spacing w:line="300" w:lineRule="auto"/>
              <w:rPr>
                <w:rFonts w:hint="eastAsia" w:ascii="宋体" w:hAnsi="宋体" w:eastAsia="宋体" w:cs="宋体"/>
                <w:sz w:val="21"/>
                <w:szCs w:val="21"/>
              </w:rPr>
            </w:pPr>
            <w:r>
              <w:rPr>
                <w:rFonts w:hint="eastAsia" w:ascii="宋体" w:hAnsi="宋体" w:eastAsia="宋体" w:cs="宋体"/>
                <w:sz w:val="21"/>
                <w:szCs w:val="21"/>
              </w:rPr>
              <w:t>视角：178°(水平)/ 178°(垂直)；</w:t>
            </w:r>
          </w:p>
          <w:p>
            <w:pPr>
              <w:kinsoku/>
              <w:wordWrap/>
              <w:overflowPunct/>
              <w:topLinePunct w:val="0"/>
              <w:autoSpaceDE/>
              <w:autoSpaceDN/>
              <w:bidi w:val="0"/>
              <w:spacing w:line="300" w:lineRule="auto"/>
              <w:rPr>
                <w:rFonts w:hint="eastAsia" w:ascii="宋体" w:hAnsi="宋体" w:eastAsia="宋体" w:cs="宋体"/>
                <w:sz w:val="21"/>
                <w:szCs w:val="21"/>
              </w:rPr>
            </w:pPr>
            <w:r>
              <w:rPr>
                <w:rFonts w:hint="eastAsia" w:ascii="宋体" w:hAnsi="宋体" w:eastAsia="宋体" w:cs="宋体"/>
                <w:sz w:val="21"/>
                <w:szCs w:val="21"/>
              </w:rPr>
              <w:t>响应时间：8ms(G to G)；</w:t>
            </w:r>
          </w:p>
          <w:p>
            <w:pPr>
              <w:kinsoku/>
              <w:wordWrap/>
              <w:overflowPunct/>
              <w:topLinePunct w:val="0"/>
              <w:autoSpaceDE/>
              <w:autoSpaceDN/>
              <w:bidi w:val="0"/>
              <w:spacing w:line="300" w:lineRule="auto"/>
              <w:rPr>
                <w:rFonts w:hint="eastAsia" w:ascii="宋体" w:hAnsi="宋体" w:eastAsia="宋体" w:cs="宋体"/>
                <w:sz w:val="21"/>
                <w:szCs w:val="21"/>
              </w:rPr>
            </w:pPr>
            <w:r>
              <w:rPr>
                <w:rFonts w:hint="eastAsia" w:ascii="宋体" w:hAnsi="宋体" w:eastAsia="宋体" w:cs="宋体"/>
                <w:sz w:val="21"/>
                <w:szCs w:val="21"/>
              </w:rPr>
              <w:t>对比度：4000:1；</w:t>
            </w:r>
          </w:p>
          <w:p>
            <w:pPr>
              <w:kinsoku/>
              <w:wordWrap/>
              <w:overflowPunct/>
              <w:topLinePunct w:val="0"/>
              <w:autoSpaceDE/>
              <w:autoSpaceDN/>
              <w:bidi w:val="0"/>
              <w:spacing w:line="300" w:lineRule="auto"/>
              <w:rPr>
                <w:rFonts w:hint="eastAsia" w:ascii="宋体" w:hAnsi="宋体" w:eastAsia="宋体" w:cs="宋体"/>
                <w:sz w:val="21"/>
                <w:szCs w:val="21"/>
              </w:rPr>
            </w:pPr>
            <w:r>
              <w:rPr>
                <w:rFonts w:hint="eastAsia" w:ascii="宋体" w:hAnsi="宋体" w:eastAsia="宋体" w:cs="宋体"/>
                <w:sz w:val="21"/>
                <w:szCs w:val="21"/>
              </w:rPr>
              <w:t>亮度：500cd/㎡；</w:t>
            </w:r>
          </w:p>
          <w:p>
            <w:pPr>
              <w:kinsoku/>
              <w:wordWrap/>
              <w:overflowPunct/>
              <w:topLinePunct w:val="0"/>
              <w:autoSpaceDE/>
              <w:autoSpaceDN/>
              <w:bidi w:val="0"/>
              <w:spacing w:line="300" w:lineRule="auto"/>
              <w:rPr>
                <w:rFonts w:hint="eastAsia" w:ascii="宋体" w:hAnsi="宋体" w:eastAsia="宋体" w:cs="宋体"/>
                <w:sz w:val="21"/>
                <w:szCs w:val="21"/>
              </w:rPr>
            </w:pPr>
            <w:r>
              <w:rPr>
                <w:rFonts w:hint="eastAsia" w:ascii="宋体" w:hAnsi="宋体" w:eastAsia="宋体" w:cs="宋体"/>
                <w:sz w:val="21"/>
                <w:szCs w:val="21"/>
              </w:rPr>
              <w:t>物理拼缝：1.7mm；</w:t>
            </w:r>
          </w:p>
          <w:p>
            <w:pPr>
              <w:kinsoku/>
              <w:wordWrap/>
              <w:overflowPunct/>
              <w:topLinePunct w:val="0"/>
              <w:autoSpaceDE/>
              <w:autoSpaceDN/>
              <w:bidi w:val="0"/>
              <w:spacing w:line="300" w:lineRule="auto"/>
              <w:rPr>
                <w:rFonts w:hint="eastAsia" w:ascii="宋体" w:hAnsi="宋体" w:eastAsia="宋体" w:cs="宋体"/>
                <w:sz w:val="21"/>
                <w:szCs w:val="21"/>
              </w:rPr>
            </w:pPr>
            <w:r>
              <w:rPr>
                <w:rFonts w:hint="eastAsia" w:ascii="宋体" w:hAnsi="宋体" w:eastAsia="宋体" w:cs="宋体"/>
                <w:sz w:val="21"/>
                <w:szCs w:val="21"/>
              </w:rPr>
              <w:t>输入接口：VGA×1，DVI×1，BNC×1，YPbPr×1，HDMI×1，USB×1</w:t>
            </w:r>
          </w:p>
          <w:p>
            <w:pPr>
              <w:kinsoku/>
              <w:wordWrap/>
              <w:overflowPunct/>
              <w:topLinePunct w:val="0"/>
              <w:autoSpaceDE/>
              <w:autoSpaceDN/>
              <w:bidi w:val="0"/>
              <w:spacing w:line="300" w:lineRule="auto"/>
              <w:rPr>
                <w:rFonts w:hint="eastAsia" w:ascii="宋体" w:hAnsi="宋体" w:eastAsia="宋体" w:cs="宋体"/>
                <w:sz w:val="21"/>
                <w:szCs w:val="21"/>
              </w:rPr>
            </w:pPr>
            <w:r>
              <w:rPr>
                <w:rFonts w:hint="eastAsia" w:ascii="宋体" w:hAnsi="宋体" w:eastAsia="宋体" w:cs="宋体"/>
                <w:sz w:val="21"/>
                <w:szCs w:val="21"/>
              </w:rPr>
              <w:t>输出接口：VGA×1，DVI×1，BNC×2</w:t>
            </w:r>
          </w:p>
          <w:p>
            <w:pPr>
              <w:kinsoku/>
              <w:wordWrap/>
              <w:overflowPunct/>
              <w:topLinePunct w:val="0"/>
              <w:autoSpaceDE/>
              <w:autoSpaceDN/>
              <w:bidi w:val="0"/>
              <w:spacing w:line="300" w:lineRule="auto"/>
              <w:rPr>
                <w:rFonts w:hint="eastAsia" w:ascii="宋体" w:hAnsi="宋体" w:eastAsia="宋体" w:cs="宋体"/>
                <w:sz w:val="21"/>
                <w:szCs w:val="21"/>
              </w:rPr>
            </w:pPr>
            <w:r>
              <w:rPr>
                <w:rFonts w:hint="eastAsia" w:ascii="宋体" w:hAnsi="宋体" w:eastAsia="宋体" w:cs="宋体"/>
                <w:sz w:val="21"/>
                <w:szCs w:val="21"/>
              </w:rPr>
              <w:t>控制接口：RJ45 for RS-232（输入×1，输出×2）</w:t>
            </w:r>
          </w:p>
          <w:p>
            <w:pPr>
              <w:kinsoku/>
              <w:wordWrap/>
              <w:overflowPunct/>
              <w:topLinePunct w:val="0"/>
              <w:autoSpaceDE/>
              <w:autoSpaceDN/>
              <w:bidi w:val="0"/>
              <w:spacing w:line="300" w:lineRule="auto"/>
              <w:rPr>
                <w:rFonts w:hint="eastAsia" w:ascii="宋体" w:hAnsi="宋体" w:eastAsia="宋体" w:cs="宋体"/>
                <w:sz w:val="21"/>
                <w:szCs w:val="21"/>
              </w:rPr>
            </w:pPr>
            <w:r>
              <w:rPr>
                <w:rFonts w:hint="eastAsia" w:ascii="宋体" w:hAnsi="宋体" w:eastAsia="宋体" w:cs="宋体"/>
                <w:sz w:val="21"/>
                <w:szCs w:val="21"/>
              </w:rPr>
              <w:t>可选配接口：3G SDI(输入×1、输出×1)、DP、HDbaseT、TVI(输入×1、输出×1)、网络源；</w:t>
            </w:r>
          </w:p>
          <w:p>
            <w:pPr>
              <w:kinsoku/>
              <w:wordWrap/>
              <w:overflowPunct/>
              <w:topLinePunct w:val="0"/>
              <w:autoSpaceDE/>
              <w:autoSpaceDN/>
              <w:bidi w:val="0"/>
              <w:spacing w:line="300" w:lineRule="auto"/>
              <w:rPr>
                <w:rFonts w:hint="eastAsia" w:ascii="宋体" w:hAnsi="宋体" w:eastAsia="宋体" w:cs="宋体"/>
                <w:sz w:val="21"/>
                <w:szCs w:val="21"/>
              </w:rPr>
            </w:pPr>
            <w:r>
              <w:rPr>
                <w:rFonts w:hint="eastAsia" w:ascii="宋体" w:hAnsi="宋体" w:eastAsia="宋体" w:cs="宋体"/>
                <w:sz w:val="21"/>
                <w:szCs w:val="21"/>
              </w:rPr>
              <w:t>功耗：≤190W；</w:t>
            </w:r>
          </w:p>
          <w:p>
            <w:pPr>
              <w:kinsoku/>
              <w:wordWrap/>
              <w:overflowPunct/>
              <w:topLinePunct w:val="0"/>
              <w:autoSpaceDE/>
              <w:autoSpaceDN/>
              <w:bidi w:val="0"/>
              <w:spacing w:line="300" w:lineRule="auto"/>
              <w:rPr>
                <w:rFonts w:hint="eastAsia" w:ascii="宋体" w:hAnsi="宋体" w:eastAsia="宋体" w:cs="宋体"/>
                <w:sz w:val="21"/>
                <w:szCs w:val="21"/>
              </w:rPr>
            </w:pPr>
            <w:r>
              <w:rPr>
                <w:rFonts w:hint="eastAsia" w:ascii="宋体" w:hAnsi="宋体" w:eastAsia="宋体" w:cs="宋体"/>
                <w:sz w:val="21"/>
                <w:szCs w:val="21"/>
              </w:rPr>
              <w:t>电源要求：AC 100-240V～, 50/60Hz；</w:t>
            </w:r>
          </w:p>
          <w:p>
            <w:pPr>
              <w:kinsoku/>
              <w:wordWrap/>
              <w:overflowPunct/>
              <w:topLinePunct w:val="0"/>
              <w:autoSpaceDE/>
              <w:autoSpaceDN/>
              <w:bidi w:val="0"/>
              <w:spacing w:line="300" w:lineRule="auto"/>
              <w:rPr>
                <w:rFonts w:hint="eastAsia" w:ascii="宋体" w:hAnsi="宋体" w:eastAsia="宋体" w:cs="宋体"/>
                <w:sz w:val="21"/>
                <w:szCs w:val="21"/>
              </w:rPr>
            </w:pPr>
            <w:r>
              <w:rPr>
                <w:rFonts w:hint="eastAsia" w:ascii="宋体" w:hAnsi="宋体" w:eastAsia="宋体" w:cs="宋体"/>
                <w:sz w:val="21"/>
                <w:szCs w:val="21"/>
              </w:rPr>
              <w:t>寿命：≥60000 小时；</w:t>
            </w:r>
          </w:p>
          <w:p>
            <w:pPr>
              <w:kinsoku/>
              <w:wordWrap/>
              <w:overflowPunct/>
              <w:topLinePunct w:val="0"/>
              <w:autoSpaceDE/>
              <w:autoSpaceDN/>
              <w:bidi w:val="0"/>
              <w:spacing w:line="300" w:lineRule="auto"/>
              <w:rPr>
                <w:rFonts w:hint="eastAsia" w:ascii="宋体" w:hAnsi="宋体" w:eastAsia="宋体" w:cs="宋体"/>
                <w:sz w:val="21"/>
                <w:szCs w:val="21"/>
              </w:rPr>
            </w:pPr>
            <w:r>
              <w:rPr>
                <w:rFonts w:hint="eastAsia" w:ascii="宋体" w:hAnsi="宋体" w:eastAsia="宋体" w:cs="宋体"/>
                <w:sz w:val="21"/>
                <w:szCs w:val="21"/>
              </w:rPr>
              <w:t>工作温度和湿度：0℃--50℃，10%--90%；</w:t>
            </w:r>
          </w:p>
          <w:p>
            <w:pPr>
              <w:kinsoku/>
              <w:wordWrap/>
              <w:overflowPunct/>
              <w:topLinePunct w:val="0"/>
              <w:autoSpaceDE/>
              <w:autoSpaceDN/>
              <w:bidi w:val="0"/>
              <w:spacing w:line="300" w:lineRule="auto"/>
              <w:rPr>
                <w:rFonts w:hint="eastAsia" w:ascii="宋体" w:hAnsi="宋体" w:eastAsia="宋体" w:cs="宋体"/>
                <w:sz w:val="21"/>
                <w:szCs w:val="21"/>
              </w:rPr>
            </w:pPr>
            <w:r>
              <w:rPr>
                <w:rFonts w:hint="eastAsia" w:ascii="宋体" w:hAnsi="宋体" w:eastAsia="宋体" w:cs="宋体"/>
                <w:sz w:val="21"/>
                <w:szCs w:val="21"/>
              </w:rPr>
              <w:t>外形尺寸：1211.54mm×682.34mm×117.36mm（长×宽×高）；</w:t>
            </w:r>
          </w:p>
          <w:p>
            <w:pPr>
              <w:kinsoku/>
              <w:wordWrap/>
              <w:overflowPunct/>
              <w:topLinePunct w:val="0"/>
              <w:autoSpaceDE/>
              <w:autoSpaceDN/>
              <w:bidi w:val="0"/>
              <w:spacing w:line="300" w:lineRule="auto"/>
              <w:rPr>
                <w:rFonts w:hint="eastAsia" w:ascii="宋体" w:hAnsi="宋体" w:eastAsia="宋体" w:cs="宋体"/>
                <w:sz w:val="21"/>
                <w:szCs w:val="21"/>
              </w:rPr>
            </w:pPr>
            <w:r>
              <w:rPr>
                <w:rFonts w:hint="eastAsia" w:ascii="宋体" w:hAnsi="宋体" w:eastAsia="宋体" w:cs="宋体"/>
                <w:sz w:val="21"/>
                <w:szCs w:val="21"/>
              </w:rPr>
              <w:t>边框宽厚：1.1mm（左/上）,0.6mm（右/下）；</w:t>
            </w:r>
          </w:p>
        </w:tc>
      </w:tr>
      <w:tr>
        <w:tblPrEx>
          <w:tblCellMar>
            <w:top w:w="0" w:type="dxa"/>
            <w:left w:w="0" w:type="dxa"/>
            <w:bottom w:w="0" w:type="dxa"/>
            <w:right w:w="0" w:type="dxa"/>
          </w:tblCellMar>
        </w:tblPrEx>
        <w:trPr>
          <w:wBefore w:w="0" w:type="dxa"/>
          <w:wAfter w:w="0" w:type="dxa"/>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55寸新型模块化底座</w:t>
            </w:r>
          </w:p>
        </w:tc>
        <w:tc>
          <w:tcPr>
            <w:tcW w:w="64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wordWrap/>
              <w:overflowPunct/>
              <w:topLinePunct w:val="0"/>
              <w:autoSpaceDE/>
              <w:autoSpaceDN/>
              <w:bidi w:val="0"/>
              <w:spacing w:line="300" w:lineRule="auto"/>
              <w:jc w:val="left"/>
              <w:rPr>
                <w:rFonts w:hint="eastAsia" w:ascii="宋体" w:hAnsi="宋体" w:eastAsia="宋体" w:cs="宋体"/>
                <w:color w:val="000000"/>
                <w:sz w:val="21"/>
                <w:szCs w:val="21"/>
              </w:rPr>
            </w:pPr>
          </w:p>
        </w:tc>
      </w:tr>
      <w:tr>
        <w:tblPrEx>
          <w:tblCellMar>
            <w:top w:w="0" w:type="dxa"/>
            <w:left w:w="0" w:type="dxa"/>
            <w:bottom w:w="0" w:type="dxa"/>
            <w:right w:w="0" w:type="dxa"/>
          </w:tblCellMar>
        </w:tblPrEx>
        <w:trPr>
          <w:wBefore w:w="0" w:type="dxa"/>
          <w:wAfter w:w="0" w:type="dxa"/>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55寸新型模块化框架</w:t>
            </w:r>
          </w:p>
        </w:tc>
        <w:tc>
          <w:tcPr>
            <w:tcW w:w="64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wordWrap/>
              <w:overflowPunct/>
              <w:topLinePunct w:val="0"/>
              <w:autoSpaceDE/>
              <w:autoSpaceDN/>
              <w:bidi w:val="0"/>
              <w:spacing w:line="300" w:lineRule="auto"/>
              <w:jc w:val="left"/>
              <w:rPr>
                <w:rFonts w:hint="eastAsia" w:ascii="宋体" w:hAnsi="宋体" w:eastAsia="宋体" w:cs="宋体"/>
                <w:color w:val="000000"/>
                <w:sz w:val="21"/>
                <w:szCs w:val="21"/>
              </w:rPr>
            </w:pPr>
          </w:p>
        </w:tc>
      </w:tr>
      <w:tr>
        <w:tblPrEx>
          <w:tblCellMar>
            <w:top w:w="0" w:type="dxa"/>
            <w:left w:w="0" w:type="dxa"/>
            <w:bottom w:w="0" w:type="dxa"/>
            <w:right w:w="0" w:type="dxa"/>
          </w:tblCellMar>
        </w:tblPrEx>
        <w:trPr>
          <w:wBefore w:w="0" w:type="dxa"/>
          <w:wAfter w:w="0" w:type="dxa"/>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视频综合平台</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5U机箱（10个业务槽位）+交换板+单主控板+双电源；DVI 编码输入板，支持4 路DVI 信号接入。支持H264 编码， 支持Smart264 编码。</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支持DVI转VGA、HDMI输入，支持复合音频输入；2个DP输入接口,支持DP高清数字信号、超高清数字信号接入,不支持编码。支持两路音频输入。HDMI接口输出265解码板，支持4路HDMI信号输出，支持解码2路2400W@25fps、或4路1200W@25fps、或8路800W@25fps、或16路400W@25fps、或 32路200W@25fps(不支持MPEG-2)，奇数口支持3840x2160@30Hz及以下标准分辨率输出，偶数口支持1080p及以下标准分辨率输出硬件规格：</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3U标准机架式</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2个HDMI，2个VGA,HDMI+VGA组内同源</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 xml:space="preserve">16盘位，可满配6TB硬盘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2个千兆网口</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2个USB2.0接口、1个USB3.0接口</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1个eSATA接口</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支持RAID0、1、5、10，支持全局热备盘</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软件性能：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输入带宽：320M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32路H.264、H.265混合接入</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最大支持16×1080P解码</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支持H.265、H.264解码</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Smart 2.0/整机热备/ANR/智能检索/智能回放/车牌检索/人脸检索/热度图/客流量统计/分时段回放/超高倍速回放/双系统备份</w:t>
            </w:r>
          </w:p>
        </w:tc>
      </w:tr>
      <w:tr>
        <w:tblPrEx>
          <w:tblCellMar>
            <w:top w:w="0" w:type="dxa"/>
            <w:left w:w="0" w:type="dxa"/>
            <w:bottom w:w="0" w:type="dxa"/>
            <w:right w:w="0" w:type="dxa"/>
          </w:tblCellMar>
        </w:tblPrEx>
        <w:trPr>
          <w:wBefore w:w="0" w:type="dxa"/>
          <w:wAfter w:w="0" w:type="dxa"/>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4K(DP)线</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4K(DP)线</w:t>
            </w:r>
          </w:p>
        </w:tc>
      </w:tr>
      <w:tr>
        <w:tblPrEx>
          <w:tblCellMar>
            <w:top w:w="0" w:type="dxa"/>
            <w:left w:w="0" w:type="dxa"/>
            <w:bottom w:w="0" w:type="dxa"/>
            <w:right w:w="0" w:type="dxa"/>
          </w:tblCellMar>
        </w:tblPrEx>
        <w:trPr>
          <w:wBefore w:w="0" w:type="dxa"/>
          <w:wAfter w:w="0" w:type="dxa"/>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HDMI转DVI转接线</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HDMI转DVI转接线</w:t>
            </w:r>
          </w:p>
        </w:tc>
      </w:tr>
      <w:tr>
        <w:tblPrEx>
          <w:tblCellMar>
            <w:top w:w="0" w:type="dxa"/>
            <w:left w:w="0" w:type="dxa"/>
            <w:bottom w:w="0" w:type="dxa"/>
            <w:right w:w="0" w:type="dxa"/>
          </w:tblCellMar>
        </w:tblPrEx>
        <w:trPr>
          <w:wBefore w:w="0" w:type="dxa"/>
          <w:wAfter w:w="0" w:type="dxa"/>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HDMI线</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HDMI线</w:t>
            </w:r>
          </w:p>
        </w:tc>
      </w:tr>
      <w:tr>
        <w:tblPrEx>
          <w:tblCellMar>
            <w:top w:w="0" w:type="dxa"/>
            <w:left w:w="0" w:type="dxa"/>
            <w:bottom w:w="0" w:type="dxa"/>
            <w:right w:w="0" w:type="dxa"/>
          </w:tblCellMar>
        </w:tblPrEx>
        <w:trPr>
          <w:wBefore w:w="0" w:type="dxa"/>
          <w:wAfter w:w="0" w:type="dxa"/>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六类非屏蔽24口配线架（含模块）</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产品特点：1.依据标准YD/T926.3、ISO/IEC 11801、ANSI/TIA-568-C.2</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2.配线架前、后部具有标签管理区域，便于端口管理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3、后部具有挂杆式理线架，标配可重复使用的自粘带</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 xml:space="preserve">功能参数：1.安装方式 ：19”标准机柜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 xml:space="preserve">2.安装尺寸 ：1U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3.主要材料 ：冷轧钢板、PC/ABS</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4.结构类型 ：整体式</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5.背面理线：带背面理线架</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6.支持前部标签管理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7.IDC簧片可接线径：0.4-0.6mm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8.接触电阻：正常大气压条件下接触电阻≤20mΩ</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9.直流电阻：正常大气压条件下直流电阻≤300mΩ</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10.绝缘电阻：正常大气压条件下绝缘电阻≥100MΩ</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11.抗电强度：DC 1000V(AC 700V)1分钟无击穿和飞弧现象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12.寿命：插头插座可重复插拔次数≥750次</w:t>
            </w:r>
          </w:p>
        </w:tc>
      </w:tr>
      <w:tr>
        <w:tblPrEx>
          <w:tblCellMar>
            <w:top w:w="0" w:type="dxa"/>
            <w:left w:w="0" w:type="dxa"/>
            <w:bottom w:w="0" w:type="dxa"/>
            <w:right w:w="0" w:type="dxa"/>
          </w:tblCellMar>
        </w:tblPrEx>
        <w:trPr>
          <w:wBefore w:w="0" w:type="dxa"/>
          <w:wAfter w:w="0" w:type="dxa"/>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19英寸金属1U理线器</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产品特点：1.依据标准: GB/T 3047.2、GB/T 4054</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2.梳齿式设计，方便跳线管理，充足的线槽空间，配有卡接式盖板，方便拆卸和安装</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3.选用优质冷轧钢板制作，表面脱脂、酸洗、磷化、静电喷塑处理，外形美观</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4.架体材料厚度 1.5mm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5.盖板材料厚度 1mm</w:t>
            </w:r>
          </w:p>
        </w:tc>
      </w:tr>
      <w:tr>
        <w:tblPrEx>
          <w:tblCellMar>
            <w:top w:w="0" w:type="dxa"/>
            <w:left w:w="0" w:type="dxa"/>
            <w:bottom w:w="0" w:type="dxa"/>
            <w:right w:w="0" w:type="dxa"/>
          </w:tblCellMar>
        </w:tblPrEx>
        <w:trPr>
          <w:wBefore w:w="0" w:type="dxa"/>
          <w:wAfter w:w="0" w:type="dxa"/>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机架式110型100条语音配线架</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产品特点：1.依据标准: GB/T 3047.2、GB/T 4054</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2.梳齿式设计，方便跳线管理，充足的线槽空间，配有卡接式盖板，方便拆卸和安装</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3.选用优质冷轧钢板制作，表面脱脂、酸洗、磷化、静电喷塑处理，外形美观</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4.架体材料厚度 1.5mm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5.盖板材料厚度 1mm</w:t>
            </w:r>
          </w:p>
        </w:tc>
      </w:tr>
      <w:tr>
        <w:tblPrEx>
          <w:tblCellMar>
            <w:top w:w="0" w:type="dxa"/>
            <w:left w:w="0" w:type="dxa"/>
            <w:bottom w:w="0" w:type="dxa"/>
            <w:right w:w="0" w:type="dxa"/>
          </w:tblCellMar>
        </w:tblPrEx>
        <w:trPr>
          <w:wBefore w:w="0" w:type="dxa"/>
          <w:wAfter w:w="0" w:type="dxa"/>
          <w:trHeight w:val="23" w:hRule="atLeast"/>
        </w:trPr>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110理线架</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产品特点：1.依据标准: GB/T 3047.2、GB/T 4054</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2.梳齿式设计，方便跳线管理，充足的线槽空间，配有卡接式盖板，方便拆卸和安装</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3.选用优质冷轧钢板制作，表面脱脂、酸洗、磷化、静电喷塑处理，外形美观</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4.架体材料厚度 1.5mm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5.盖板材料厚度 1mm</w:t>
            </w:r>
          </w:p>
        </w:tc>
      </w:tr>
    </w:tbl>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bottom"/>
        <w:rPr>
          <w:rFonts w:hint="eastAsia" w:ascii="宋体" w:hAnsi="宋体" w:eastAsia="宋体" w:cs="Times New Roman"/>
          <w:b/>
          <w:color w:val="000000"/>
          <w:kern w:val="0"/>
          <w:sz w:val="24"/>
          <w:szCs w:val="24"/>
          <w:lang w:val="en-US" w:eastAsia="zh-CN" w:bidi="ar-SA"/>
        </w:rPr>
      </w:pPr>
    </w:p>
    <w:p>
      <w:pPr>
        <w:keepNext w:val="0"/>
        <w:keepLines w:val="0"/>
        <w:pageBreakBefore w:val="0"/>
        <w:widowControl/>
        <w:numPr>
          <w:ilvl w:val="0"/>
          <w:numId w:val="22"/>
        </w:numPr>
        <w:kinsoku/>
        <w:wordWrap/>
        <w:overflowPunct/>
        <w:topLinePunct w:val="0"/>
        <w:autoSpaceDE/>
        <w:autoSpaceDN/>
        <w:bidi w:val="0"/>
        <w:adjustRightInd/>
        <w:snapToGrid/>
        <w:spacing w:line="300" w:lineRule="auto"/>
        <w:jc w:val="center"/>
        <w:textAlignment w:val="bottom"/>
        <w:rPr>
          <w:rFonts w:hint="eastAsia" w:ascii="宋体" w:hAnsi="宋体" w:eastAsia="宋体" w:cs="Times New Roman"/>
          <w:b/>
          <w:color w:val="000000"/>
          <w:kern w:val="0"/>
          <w:sz w:val="24"/>
          <w:szCs w:val="24"/>
          <w:lang w:val="en-US" w:eastAsia="zh-CN" w:bidi="ar-SA"/>
        </w:rPr>
      </w:pPr>
      <w:r>
        <w:rPr>
          <w:rFonts w:hint="eastAsia" w:ascii="宋体" w:hAnsi="宋体" w:eastAsia="宋体" w:cs="Times New Roman"/>
          <w:b/>
          <w:color w:val="000000"/>
          <w:kern w:val="0"/>
          <w:sz w:val="24"/>
          <w:szCs w:val="24"/>
          <w:lang w:val="en-US" w:eastAsia="zh-CN" w:bidi="ar-SA"/>
        </w:rPr>
        <w:t>门禁系统</w:t>
      </w:r>
    </w:p>
    <w:tbl>
      <w:tblPr>
        <w:tblStyle w:val="5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4"/>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名称</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管理电脑</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I5-6500/8G/1TB/2G/19.5"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管理软件</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配套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人脸识别门禁读卡器（带密码键盘）</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1、设备外观：采用7英寸LCD触摸显示屏，200万像素双目摄像头，面部识别距离0.3m-1m，支持照片视频防假；</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2、设备容量：支持20000张人脸白名单，1：N人脸比对时间≤1S/人，支持50000张卡片，50000条记录；</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3、认证方式：支持人脸、刷卡、密码（指工号+密码）的认证方式；可读取Mifare卡（IC卡）卡号及内容、CPU序列号、身份证序列号；</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4、通讯方式：采用双网口设计，上行通讯为TCP/IP，支持Ehome跨公网传输；支持外接RS485，Wiegand副读卡器；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5、视频对讲：支持视频语音对讲功能；可充当IPC接NVR，支持视频预览；</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6、输入接口：报警输入*2个，门磁*1个，开门按钮*1个；</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7、输出接口：电锁*1个，报警输出*1个；</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8、工作电压： DC 12V/3A，不自带电源；</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9、使用环境：室内环境，室外环境需配防水罩；</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10、安装方式：标配金属安装挂板，支持明装、86底盒安装；</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11、产品尺寸：330mm*140mm*45mm；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12、工作温度：-20~65℃。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门禁读卡器</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配套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门禁电源</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配套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磁力锁（单、双门）</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锁体尺寸：长500x宽48.5x高25(mm)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吸板尺寸：长180x宽38x高11(mm)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最大拉力：280kgx2(600Lbsx2)直线拉力</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输入电压：DC12V ；工作电流：12V/500mAx2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适用门型：木门、玻璃门、金属门、防火门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出门按钮</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86型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闭门器</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配套</w:t>
            </w:r>
          </w:p>
        </w:tc>
      </w:tr>
    </w:tbl>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bottom"/>
        <w:rPr>
          <w:rFonts w:hint="eastAsia" w:ascii="宋体" w:hAnsi="宋体" w:eastAsia="宋体" w:cs="Times New Roman"/>
          <w:b/>
          <w:color w:val="000000"/>
          <w:kern w:val="0"/>
          <w:sz w:val="24"/>
          <w:szCs w:val="24"/>
          <w:lang w:val="en-US" w:eastAsia="zh-CN" w:bidi="ar-SA"/>
        </w:rPr>
      </w:pPr>
    </w:p>
    <w:p>
      <w:pPr>
        <w:keepNext w:val="0"/>
        <w:keepLines w:val="0"/>
        <w:pageBreakBefore w:val="0"/>
        <w:widowControl/>
        <w:numPr>
          <w:ilvl w:val="0"/>
          <w:numId w:val="22"/>
        </w:numPr>
        <w:kinsoku/>
        <w:wordWrap/>
        <w:overflowPunct/>
        <w:topLinePunct w:val="0"/>
        <w:autoSpaceDE/>
        <w:autoSpaceDN/>
        <w:bidi w:val="0"/>
        <w:adjustRightInd/>
        <w:snapToGrid/>
        <w:spacing w:line="300" w:lineRule="auto"/>
        <w:jc w:val="center"/>
        <w:textAlignment w:val="bottom"/>
        <w:rPr>
          <w:rFonts w:hint="eastAsia" w:ascii="宋体" w:hAnsi="宋体" w:eastAsia="宋体" w:cs="Times New Roman"/>
          <w:b/>
          <w:color w:val="000000"/>
          <w:kern w:val="0"/>
          <w:sz w:val="24"/>
          <w:szCs w:val="24"/>
          <w:lang w:val="en-US" w:eastAsia="zh-CN" w:bidi="ar-SA"/>
        </w:rPr>
      </w:pPr>
      <w:r>
        <w:rPr>
          <w:rFonts w:hint="eastAsia" w:ascii="宋体" w:hAnsi="宋体" w:eastAsia="宋体" w:cs="Times New Roman"/>
          <w:b/>
          <w:color w:val="000000"/>
          <w:kern w:val="0"/>
          <w:sz w:val="24"/>
          <w:szCs w:val="24"/>
          <w:lang w:val="en-US" w:eastAsia="zh-CN" w:bidi="ar-SA"/>
        </w:rPr>
        <w:t>多媒体会议系统</w:t>
      </w:r>
    </w:p>
    <w:tbl>
      <w:tblPr>
        <w:tblStyle w:val="5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4"/>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名称</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8336" w:type="dxa"/>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小会议室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液晶电视</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基本参数电视类型LED电视分辨率4K电视屏幕尺寸70英寸屏幕比例16:9颜色分类黑色能效等级三级电视接口HDMI接口数量3个接口类型HDMI、LAN端子USB图像参数视频显示格式、2160p背光灯类型、LED发光二极管扫描方式、逐行扫描接收制式、PAL\NTSC\SECAM功能参数3D类型、无网络连接方式、有线/无线操作系统、安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弹起式多媒体桌插</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HDMI\三插电源\RJ45\音频接口，定制；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8336" w:type="dxa"/>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大会议室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8336" w:type="dxa"/>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显示系统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4500流明投影机</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投影技术：DLP</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标准亮度：≥4500流明（根据ISO21118标准）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DMD尺寸：0.65英寸</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标准分辨率：1280×800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灯泡：≤335W  标准模式下灯泡寿命≥3000小时（节能模式下灯泡寿命≥5000小时）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对比度：≥6000：1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光学变焦：1.7</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端口： D-SUB15针输入×1；D-SUB15针输入出×1；HDMI×2；HDBaseT/Ethernet×1；RCA音频×1；RCA视频×1；音频输入3.5mm×1；音频输出3.5mm×1；控制串口RS232×1；A型USB×1；B型USB×1；RJ45×1；无线网络端口×1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内置扬声器：≥200W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功耗（标准）： ≤416W，最低待机功耗： ≤0.33W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重量：≤5.2KG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颜色增强模式，3档模式可调</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内置DICOM SIM模式，配合医疗演示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USB直读功能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支持HDbaseT传输协议</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支持APPS全新网络影像平台</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支持网络有线/无线投影，支持IOS无线投影，支持Miracast协议，支持最多16画面同时投影</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支持网页分享功能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支持NEC NaViSet网管软件，可同时管控多达3000台投影机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通过VGA线连接可以在电脑上控制投影机（提供中文版软件）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网络控制功能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支持DLP link和RF射频主动立体技术</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支持水平和垂直镜头位移</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机身标识、遥控器及菜单为中文</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不同背景色，可以在黑板或其他颜色背景墙上直接投影</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密码防盗功能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自动开机、直接关机功能，断电保护功能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电动投影幕</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投影机幕布120寸（16：9）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投影机吊架</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高清无缝混插矩阵主机箱</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参数指标：</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（1）插卡式箱体结构：输入卡支持：AV、VGA、DVI、HDMI、SDI；输出卡支持：HDMI、DVI、VGA、SDI、AV卡片式结构，极其容易扩展或更换；</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（2） 视频处理能力：完全支持无缝切换；全彩色处理，无任何色彩丢失；支持帧率适配（如输入25帧输出60帧），内建图像缩放引擎，输入缩放到输出的任意分辨率转换。</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（3）音频处理能力：DVI、VGA、SDI、AV输入支持模拟音频输入混合；HDMI输入支持模拟音频/数字音频选择混合；混合后的信号经切换后，支持内嵌音频输出（HDMI）、或者视频和音频分离输出（DVI、VGA、SDI等）。</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（4）长线驱动能力：输入带有自动均衡，有效减少因为线路传输而导致的确定性抖动（ISI）；输入的驱动能力成品线 20 米（24AWG，不带转接头）；输入支持接收延迟，有效应对当差分对线不等长时进行时间补偿；输出带有预加重功能，以便长线传输后接收端仍可接收信号；输出的驱动能力成品线 20 米（24AWG，不带转接头）；</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（5）HDCP 兼容：确保有内容保护的媒体能正常显示，如蓝光 DVD，GAME BOX 等。</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（6）支持各种输入分辨率：800*600@60，1024*600@600,1024*768@60,1280*720@60,1280*768@60,1280*800@60,1280*960@60；1280*1024@60,1360*768@60,1366*768@60,1440*900@60,1440*1050@60,1680*1050@60,1920*1080@60,1920*1200@60，1080Pi@30。</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（7）支持远程网络控制矩阵切换、RS232切换、面板切换功能；具有掉电记忆功能和现场记忆功能：带有断电现场保护功能；并可保存和调用18个切换状态；</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（8）低功耗设计，无需苛刻的散热条件即可支持7*24小时连续工作；</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（9）单路指示灯设计：指示灯具备低亮、闪烁、高亮状态指示；通过指示灯状态即可判定单路输入或者输出具备就绪、无信号、信号连接正常等状态；</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（10）紧凑设计：每块板卡为4路，可按需求配置不同格式的输入输出板卡；</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（11）发光按键设计：豪华硅胶按键并带有发光指示功能，当前切换信息能直接通过按键背光获得，操作更便捷</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（12）支持协议：支持 3D、HDMI 1.4（部分）、HDCP、与及 DVI 1.0 协议。支持高色深，以及高达 3.25Gbps 速率； 支持一路 RJ45 网络口一路 RS-232 通讯接口。</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（13）冗余双电源设计：当一个电源模块出现故障后，另一块电源模块立刻接替确保能继续正常工作，且电源带热拔插功能。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auto"/>
                <w:kern w:val="0"/>
                <w:sz w:val="21"/>
                <w:szCs w:val="21"/>
                <w:lang w:bidi="ar"/>
              </w:rPr>
            </w:pPr>
            <w:r>
              <w:rPr>
                <w:rFonts w:hint="eastAsia" w:ascii="宋体" w:hAnsi="宋体" w:cs="宋体"/>
                <w:color w:val="auto"/>
                <w:kern w:val="0"/>
                <w:sz w:val="21"/>
                <w:szCs w:val="21"/>
                <w:lang w:bidi="ar"/>
              </w:rPr>
              <w:t>数字高清音视频输入卡</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auto"/>
                <w:kern w:val="0"/>
                <w:sz w:val="21"/>
                <w:szCs w:val="21"/>
                <w:lang w:bidi="ar"/>
              </w:rPr>
            </w:pPr>
            <w:r>
              <w:rPr>
                <w:rFonts w:hint="eastAsia" w:ascii="宋体" w:hAnsi="宋体" w:cs="宋体"/>
                <w:color w:val="auto"/>
                <w:kern w:val="0"/>
                <w:sz w:val="21"/>
                <w:szCs w:val="21"/>
                <w:lang w:bidi="ar"/>
              </w:rPr>
              <w:t>参数指标：</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auto"/>
                <w:kern w:val="0"/>
                <w:sz w:val="21"/>
                <w:szCs w:val="21"/>
                <w:lang w:bidi="ar"/>
              </w:rPr>
            </w:pPr>
            <w:r>
              <w:rPr>
                <w:rFonts w:hint="eastAsia" w:ascii="宋体" w:hAnsi="宋体" w:cs="宋体"/>
                <w:color w:val="auto"/>
                <w:kern w:val="0"/>
                <w:sz w:val="21"/>
                <w:szCs w:val="21"/>
                <w:lang w:bidi="ar"/>
              </w:rPr>
              <w:t>视频输入：4路HDMI信号输入，HDMI TYPE A母接口；</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auto"/>
                <w:kern w:val="0"/>
                <w:sz w:val="21"/>
                <w:szCs w:val="21"/>
                <w:lang w:bidi="ar"/>
              </w:rPr>
            </w:pPr>
            <w:r>
              <w:rPr>
                <w:rFonts w:hint="eastAsia" w:ascii="宋体" w:hAnsi="宋体" w:cs="宋体"/>
                <w:color w:val="auto"/>
                <w:kern w:val="0"/>
                <w:sz w:val="21"/>
                <w:szCs w:val="21"/>
                <w:lang w:bidi="ar"/>
              </w:rPr>
              <w:t>音频输入：4路HDMI信号内嵌音（立体声）；4路模拟音频（立体声）输入（可选）;混合方式可选：纯数字音频、纯模拟音频、模数混合；</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auto"/>
                <w:kern w:val="0"/>
                <w:sz w:val="21"/>
                <w:szCs w:val="21"/>
                <w:lang w:bidi="ar"/>
              </w:rPr>
            </w:pPr>
            <w:r>
              <w:rPr>
                <w:rFonts w:hint="eastAsia" w:ascii="宋体" w:hAnsi="宋体" w:cs="宋体"/>
                <w:color w:val="auto"/>
                <w:kern w:val="0"/>
                <w:sz w:val="21"/>
                <w:szCs w:val="21"/>
                <w:lang w:bidi="ar"/>
              </w:rPr>
              <w:t>视频信号类型：支持HDMI1.4(部分）;支持800*600~1920*1200 @60 4:4:4 RGB或者4:2:2 YUV信号；</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auto"/>
                <w:kern w:val="0"/>
                <w:sz w:val="21"/>
                <w:szCs w:val="21"/>
                <w:lang w:bidi="ar"/>
              </w:rPr>
            </w:pPr>
            <w:r>
              <w:rPr>
                <w:rFonts w:hint="eastAsia" w:ascii="宋体" w:hAnsi="宋体" w:cs="宋体"/>
                <w:color w:val="auto"/>
                <w:kern w:val="0"/>
                <w:sz w:val="21"/>
                <w:szCs w:val="21"/>
                <w:lang w:bidi="ar"/>
              </w:rPr>
              <w:t>分辨率：支持800X600@60Hz-1080P、1920*1200@60Hz等多种分辨率；</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auto"/>
                <w:kern w:val="0"/>
                <w:sz w:val="21"/>
                <w:szCs w:val="21"/>
                <w:lang w:bidi="ar"/>
              </w:rPr>
            </w:pPr>
            <w:r>
              <w:rPr>
                <w:rFonts w:hint="eastAsia" w:ascii="宋体" w:hAnsi="宋体" w:cs="宋体"/>
                <w:color w:val="auto"/>
                <w:kern w:val="0"/>
                <w:sz w:val="21"/>
                <w:szCs w:val="21"/>
                <w:lang w:bidi="ar"/>
              </w:rPr>
              <w:t>结构：卡板式结构；即插即用；无需设置；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auto"/>
                <w:kern w:val="0"/>
                <w:sz w:val="21"/>
                <w:szCs w:val="21"/>
                <w:lang w:bidi="ar"/>
              </w:rPr>
            </w:pPr>
            <w:r>
              <w:rPr>
                <w:rFonts w:hint="eastAsia" w:ascii="宋体" w:hAnsi="宋体" w:cs="宋体"/>
                <w:color w:val="auto"/>
                <w:kern w:val="0"/>
                <w:sz w:val="21"/>
                <w:szCs w:val="21"/>
                <w:lang w:bidi="ar"/>
              </w:rPr>
              <w:t>数字高清音视频输出卡</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auto"/>
                <w:kern w:val="0"/>
                <w:sz w:val="21"/>
                <w:szCs w:val="21"/>
                <w:lang w:bidi="ar"/>
              </w:rPr>
            </w:pPr>
            <w:r>
              <w:rPr>
                <w:rFonts w:hint="eastAsia" w:ascii="宋体" w:hAnsi="宋体" w:cs="宋体"/>
                <w:color w:val="auto"/>
                <w:kern w:val="0"/>
                <w:sz w:val="21"/>
                <w:szCs w:val="21"/>
                <w:lang w:bidi="ar"/>
              </w:rPr>
              <w:t>参数指标：</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auto"/>
                <w:kern w:val="0"/>
                <w:sz w:val="21"/>
                <w:szCs w:val="21"/>
                <w:lang w:bidi="ar"/>
              </w:rPr>
            </w:pPr>
            <w:r>
              <w:rPr>
                <w:rFonts w:hint="eastAsia" w:ascii="宋体" w:hAnsi="宋体" w:cs="宋体"/>
                <w:color w:val="auto"/>
                <w:kern w:val="0"/>
                <w:sz w:val="21"/>
                <w:szCs w:val="21"/>
                <w:lang w:bidi="ar"/>
              </w:rPr>
              <w:t>视频输出信号：4路HDMI信号输出（带音频）；可强制为DVI输出模式；HDMI TYPE A母接口；</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auto"/>
                <w:kern w:val="0"/>
                <w:sz w:val="21"/>
                <w:szCs w:val="21"/>
                <w:lang w:bidi="ar"/>
              </w:rPr>
            </w:pPr>
            <w:r>
              <w:rPr>
                <w:rFonts w:hint="eastAsia" w:ascii="宋体" w:hAnsi="宋体" w:cs="宋体"/>
                <w:color w:val="auto"/>
                <w:kern w:val="0"/>
                <w:sz w:val="21"/>
                <w:szCs w:val="21"/>
                <w:lang w:bidi="ar"/>
              </w:rPr>
              <w:t>音频输出信号：4路立体声分离输出，音频12位凤凰插接口；</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auto"/>
                <w:kern w:val="0"/>
                <w:sz w:val="21"/>
                <w:szCs w:val="21"/>
                <w:lang w:bidi="ar"/>
              </w:rPr>
            </w:pPr>
            <w:r>
              <w:rPr>
                <w:rFonts w:hint="eastAsia" w:ascii="宋体" w:hAnsi="宋体" w:cs="宋体"/>
                <w:color w:val="auto"/>
                <w:kern w:val="0"/>
                <w:sz w:val="21"/>
                <w:szCs w:val="21"/>
                <w:lang w:bidi="ar"/>
              </w:rPr>
              <w:t>视频信号类型：支持HDMI1.4(部分）;支持800*600~1920*1200 @60 4:4:4 RGB或者4:2:2 YUV信号；</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auto"/>
                <w:kern w:val="0"/>
                <w:sz w:val="21"/>
                <w:szCs w:val="21"/>
                <w:lang w:bidi="ar"/>
              </w:rPr>
            </w:pPr>
            <w:r>
              <w:rPr>
                <w:rFonts w:hint="eastAsia" w:ascii="宋体" w:hAnsi="宋体" w:cs="宋体"/>
                <w:color w:val="auto"/>
                <w:kern w:val="0"/>
                <w:sz w:val="21"/>
                <w:szCs w:val="21"/>
                <w:lang w:bidi="ar"/>
              </w:rPr>
              <w:t>分辨率：支持800X600@60Hz-1080P、1920*1200@60Hz等多种分辨率；</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auto"/>
                <w:kern w:val="0"/>
                <w:sz w:val="21"/>
                <w:szCs w:val="21"/>
                <w:lang w:bidi="ar"/>
              </w:rPr>
            </w:pPr>
            <w:r>
              <w:rPr>
                <w:rFonts w:hint="eastAsia" w:ascii="宋体" w:hAnsi="宋体" w:cs="宋体"/>
                <w:color w:val="auto"/>
                <w:kern w:val="0"/>
                <w:sz w:val="21"/>
                <w:szCs w:val="21"/>
                <w:lang w:bidi="ar"/>
              </w:rPr>
              <w:t>结构：卡板式结构；即插即用；无需设置；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8336" w:type="dxa"/>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扩声系统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二分频全频音箱</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1.倒相式低频辐射的二分频全频系统，解析力高，瞬态表现快，高频延伸度好。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2.面罩使用有孔金属网背贴声学透声棉，美观大方。</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3.采用无谐振箱体，表面黑色大斑点水性油漆喷涂处理，有效防谐振、防滑及防划伤，经久耐用，可悬挂安装。</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4.高音单元独有DTT（减震高音技术）先进技术设计，高音清晰甜美。</w:t>
            </w:r>
            <w:r>
              <w:rPr>
                <w:rFonts w:hint="eastAsia" w:ascii="宋体" w:hAnsi="宋体" w:cs="宋体"/>
                <w:color w:val="000000"/>
                <w:kern w:val="0"/>
                <w:sz w:val="21"/>
                <w:szCs w:val="21"/>
                <w:lang w:eastAsia="zh-CN" w:bidi="ar"/>
              </w:rPr>
              <w:t>磋商</w:t>
            </w:r>
            <w:r>
              <w:rPr>
                <w:rFonts w:hint="eastAsia" w:ascii="宋体" w:hAnsi="宋体" w:cs="宋体"/>
                <w:color w:val="000000"/>
                <w:kern w:val="0"/>
                <w:sz w:val="21"/>
                <w:szCs w:val="21"/>
                <w:lang w:bidi="ar"/>
              </w:rPr>
              <w:t>时提供厂家获得第18届亚运会官方指定公共广播及智能会议系统证书并加盖原厂公章。</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5.低音采用加强型纸盒振膜，配合独用的磁场回路技术，提供丰满而稳定的低音重现，声学特征持久稳定。</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6.单元结构LF:12"×1，HF:1"×1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7.频响范围(±3dB)55Hz-18,000Hz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8.灵敏度（折算到1m，1W）98dB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9.最大声压级123dB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10.输入阻抗8Ω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11.额定功率350W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12.指向性（H×V）90°H×40°V</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13.连接插座2×NeutrikNL4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专业立体声功放</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 1.双声道立体声专业功率放大器；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2.有双声道、单声道和BTL桥接三种输出方式供选择，输出方式开关选择；</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3.每声道音量单独可调；</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4.立体声工作最小负载阻抗为4Ω，BTL工作最小负载阻抗为8Ω；动态功率强劲，可实现低阻抗驱动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5.备有XLR和6.35mm两种信号输入接口，使用灵活方便；</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6.内置温度补偿技术，高温下仍然维持稳定的工作状态。</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7.具备智能保护模式，具有短路保护、直流保护、电源通断多种保护和告警功能（为了保证系统的稳定性及产品使用可靠性，提供一种功放故障自恢复电路证书加盖原厂公章）；</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8.内置先进的整机模拟限幅式保护，即使在过载失真时也不会对您的扬声器系统造成损害。</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9.各通道都配备LED工作状态指示，低噪声设计；</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10.电源采用先进的防冲击保护设计，无论功率再大也不会对交流电网电压及音响产生冲击。</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11.额定输出/每声道,8Ω250W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12.额定输出/每声道,4Ω350W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13.额定输出/桥接,8Ω700W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14.输入灵敏度1.2dBV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吸顶式、壁挂式专业音箱支架</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材料：金属+锌合金</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重量：1.2kg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承重：15-20kg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特点：安装、使用方便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液晶显示可调频真分集无线话筒</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1.100组UHF频率通道可选用，一拖二真分集接收机，空旷接收距离可达150米，包含2支发射机。；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2.带两通道音量监听接口，方便远程监听；</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3.带8级射频电平显示，8级音频电平显示，频道菜单显示，静音显示；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4.平衡和非平衡两种选择输出端口，适应不同的设备连接需求；</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5.LCD液晶显示屏能同时显示工作组，信道号与工作频率。轻触式按钮控制简捷，让用户使用更方便；</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6.超强的抗干扰能力，能有效抑制由外部带来的噪音干扰及同频干扰；</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7.方便快捷的自动搜索功能，接收机能快速搜索到未被用户使用，并且不受干扰的信道；</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8.红外对频功能，能方便、快捷的使发射机与接收机频率同步；</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9.中频丰富，声音且有磁性感和混厚感，属人声话筒音持的精华。</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10.频率范围:520-920MHz（可使用的频率取决于当地的规定）</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11.调制方式:宽带FM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12.信息数目:100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13.信道间隔:250KHz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14.频率稳定度:±0.005%以内</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15.动态范围:100dB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16.最大频偏:±45KHz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17.频率响应:80Hz-18KHz（±3dB）（整个系统的频率取决于话筒单元）</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18.综合信噪比:&gt;105dB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19.综合失真:≤0.5%</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20.工作距离:约150m（工作距离取决于很多音量，包括RF信号的吸收、反射和干扰等）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21.工作温度:-10℃～+50℃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22.接收机方式:二次变频超外差</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23.中频频率:110MHz，10.7MHz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24.无线接口:BNC/50Ω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25.灵敏度:12dBμV（80dBS/N)</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26.灵敏度调节范围:12-32dBμV</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27.离散抑制:≥75dB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28.最大输出电平:+10dBV</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29.供电方式:直流12V300mA输入</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30.音头:动圈式麦克风，电容式（领夹话筒，头戴话筒）</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31.天线:手持麦克风内置螺旋天线，佩挂发射机采用1/4波长鞭状天线</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32.输出功率:高功率30mW；低功率3mW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33.离散抑制:-60dB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34.供电:2节5号1.5V碱性电池</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35.电池寿命:30mW时大约10个小时，3mW时大约15个小时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36.功能特点:采用真分集接收方式，有避免断频现象和延长接收距离</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37.音质特点:中频丰富，唱歌轻松，声音且有磁性感和混厚感，属人声话筒音持的精华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电源时序器</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1.独立的八路大功率电源输出，万能插座，可满足多种三级的电源插座，如国标插座、美标插座以及欧标插座等；还可满足二级欧式的圆头插座；</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2.单路最大输出为10A，总输入电流容量16A；</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3.八路通道开关状态可由面板控制操作和显示；通过面板一键开关，可时序关启通道，实现时序功能；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4.开机时由前级到后级按顺序逐个启动各类设备，关机时由后级到前级逐个关闭各个设备，有效的统一管理控制用电设备，确保整个系统的稳定运行；</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5.电源输出:8路，万能插座</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6.单路负荷:10A</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8.控制方式:手动顺序启动、短路信号触发控制。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7.电源容量:总容量220V，16A</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8.输入电源:AC220-240/50Hz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9.时序间隔:1.5s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调音台</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12通道调音台</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最多6个话筒/12个线路输入(4个单声道+4个立体声)</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2编组母线+1立体声母线</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2AUX(包括FX)</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“D-PRE”话放，带有倒向晶体管电路。</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单旋钮压缩器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单声道输入通道上的PAD开关</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+48V幻象供电</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XLR平衡输出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世界通用的内部全局供电</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可选购安装套件RK-MG12</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金属机身</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技术参数:</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总失真:0.02%；</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频响:20Hz～20kHz；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等效输入噪声:-128dBu；</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串音:-74dB；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耗电:40w；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外观尺寸(W×H×D)：308mmx118mmx422mm(12.1"x4.6"x16.6")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数字前级音频处理器</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1.96KHz采样频率，32-bitDSP处理器，24-bitA/D及D/A转换</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2.2输入6输出，可灵活组合多种分频模式，高、低通分频点均可达20Hz～20KHz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3.提供USB和RS485接口可连接电脑，通过RS485接口可最多连接250台机器和超过1500米的距离外用电脑来控制；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4.直接用面板的功能键和拔轮进行功能设置或是连接电脑通过PC控制软件来控制，均十分方便、直观和简洁</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单机可存储30种用户程序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5.可通过面板的SYSTEM按键来设定密码锁定面板控制功能，以防止闲杂人员的操作破坏机器的工作状态</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6.每个输入和输出均有6段独立的参量均衡，调节增益范围可达±20dB，同时输出通道的均衡还可选择Lo-shelf和Hi-shelf两种斜坡方式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7.2×24LCD蓝色背光显示功能设置，6段LED显示输入/输出的精确数字电平表、哑音及编辑状态</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8.每个输入和输出均有延时和相位控制及哑音设置，延时最长可达1000ms，延时单位可选择毫秒(ms)、米(m)、英尺(ft)三种</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9.输出通道还可控制增益、压限及选择输入通道信号，并能将某通道的所有参数复制到另外一个通道并能进行联动控制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10.可以通过USB接口或RS485接口连接中控来控制矩阵和通道的哑音</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11.可以分功能锁定，实现数据保密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12.输入通道可调噪声门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类型5.1声道</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输出通道及插座5.1声道XLR公卡侬座（一对主声道，一对环绕，一个中置和一个超低）4组光纤输出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输入通道及插座2选1的音乐信号，2对RCA端子输入，灵敏度可选，3组5通道话筒输入，一组光纤输入，一组同轴输入</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输入阻抗平衡：20kΩ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输出阻抗平衡：100Ω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PC接口面板1个USB接口</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其他接口面板1个USB接口，后板一个网络端口，一个WIFI无线接口</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共模拟制比&gt;70dB（1kHz）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输入范围≤+25dBu</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频率响应20Hz～20kHz（-0.5dB）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信噪比&gt;110dB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失真度&lt;0.01%OUTPUT=0dBu/1kHz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通道分离度&gt;80dB（1kHz）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输入通道功能输入哑音每个通道设立单独哑音控制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输入延时每个输入通道有单独延时控制，调节范围是0～30ms；小于10ms，步距为0.1ms；大于10ms，步距为1ms</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输入相位同相（+）或反相（-）</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输入选择视频和音乐的输出同步，音视频信号源的选择分自动模式和手动模式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输入均衡音乐和话筒设9个参量均衡：</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中心频率点：20Hz-20kHz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带宽：0.01oct-3oct、步距为0.01oct</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增益：-30dB～+15dB、步距为0.1dB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默认频点：EQ140Hz，EQ280Hz，EQ3160Hz，EQ4317Hz，EQ5632Hz，EQ61261Hz，EQ72515Hz，EQ85018Hz，EQ910KHz；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9段均衡之外还额外增加斜率固定的高切和低切滤波器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输入增益音乐和话筒有单独的音量调节，调节范围0%～100%，步距为1%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限幅器设置音乐和话筒可单独设置限幅器，可调整参数如下</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门限值：-30dBu～+20dBu，步距为0.1dBu</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防啸叫话筒带4种级别的防啸叫功能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噪声门开启范围：-119dBu～-10dBu，步距1dBu</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输出通道功能输出哑音每个通道设立单独哑音控制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输出相位通道相位、输入分量相位</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输出均衡每输入通道设7个参量均衡：</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中心频率点：20Hz-20kHz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带宽：0.01oct-3oct、步距为0.01oct</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增益：-30dB-+15dB、步距为0.1dB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自动反馈抑制器</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1.64/128超取样24-bitA/D和D/A转换，高解析度</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2.每个声道12个频道反馈自动搜寻，智能处理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3.及时方便的缺省处置，完备的反馈抑制性能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4.单点模式自动搜寻并处理和锁定陷波频点，直到手动复位或重新设置</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5.手动模式可设置2×12个滤波器的所有参数，包括频率、Q值等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6.伺服平衡输入和输出，镀金XLR和TRS端子</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7.每个滤波器均有单点、自动两种模式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8.两个并行处理块，左右声道可单独或并联调整</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9.24-bit高性能DSP处理器，保证了信号的解析度和动态范围</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10.开关软启动，无冲击声，噪声门功能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11.背光2×16字符LCD显示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12.2×8LED电平显示，可显示输入或输出电平</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13.采用高质量贴片元件和贴片自动焊接和在线检测工艺，保证了产品的品质和可靠性</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14.采用专业设计内部供电系统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视频会议终端</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 采用硬件分体式结构,嵌入式操作系统，非PC架构、非工控机架构。2. 会议速率支持128Kbps—8Mbps。3. 支持ITU-T H.323和IETF SIP通信标准。4. 支持H.263、H.264、H.264 High Profile、MPEG4等视频编解码协议。5. 支持G.711、G.722、G.728、G.722.1AnnexC、G.719、MPEG4-AAC LC/LD等音频协议，可达到20KHz以上的宽频效果。6. 支持H.239标准双流协议。7. 支持1080p60、1080p30、720p60、720p30高清视频编解码，并向下兼容4CIF、CIF标清图像格式。8. 支持动态图像双流和PC图像双流两种功能，在保证主流视频1080p 60fps前提下，第二路视频流不低于1080p30fps。9. 提供不少于3路独立的高清视频输入接口、2路高清输出接口，其中需包含1路3G-SDI高清输入接口满足高清摄像机图像到终端的长距离无损传输；提供1路独立的标清视频输入/输出接口，不得采用私有非标接口或转接线缆实现。10. 提供不少于4路音频输入接口，4路音频输出接口，支持模拟卡侬麦克风、数字麦克风音频输入接口。11. 支持1个RJ11电话接口，支持空闲或会议中电话接入。12. 系统具有字幕叠加功能，可通过终端控制系统在本地图像上不同位置设置叠加中文会场名、横幅、滚动字幕。13. 主席终端支持广播发言会场、主席选看、主席轮询、邀请终端入会、强制终端退会、结束会议等功能。14. 支持在终端控制软件对本地和远端会场图像进行实时监控及预览。15. PC安装双流软件后，可以通过无线网络将PC桌面图像发送至终端作为辅流图像源传至远端，图像清晰流畅。16. 终端在空闲状态下，与外置的数字录像点播服务器配合，支持终端点播功能。17. 具有基本的系统检测诊断功能，包括呼叫状态显示、网络信息统计、本端音视频自环测试、日志、远程升级维护等功能。18. 提供不少于2个10/100/1000M以太网接口，支持网口热备份。19. 具备较强的网络抗丢包能力，在IP网络达到12%丢包时声音清晰、图像流畅、无马赛克，25%的丢包率情况下会议仍可进行。2</w:t>
            </w:r>
            <w:r>
              <w:rPr>
                <w:rFonts w:hint="eastAsia" w:ascii="宋体" w:hAnsi="宋体" w:cs="宋体"/>
                <w:color w:val="000000"/>
                <w:kern w:val="0"/>
                <w:sz w:val="21"/>
                <w:szCs w:val="21"/>
                <w:lang w:val="en-US" w:eastAsia="zh-CN" w:bidi="ar"/>
              </w:rPr>
              <w:t>0</w:t>
            </w:r>
            <w:r>
              <w:rPr>
                <w:rFonts w:hint="eastAsia" w:ascii="宋体" w:hAnsi="宋体" w:cs="宋体"/>
                <w:color w:val="000000"/>
                <w:kern w:val="0"/>
                <w:sz w:val="21"/>
                <w:szCs w:val="21"/>
                <w:lang w:bidi="ar"/>
              </w:rPr>
              <w:t>. 支持现有的视频会议系统、要互联互通互控，以及数字对接,不得采用“背靠背”；（必须与</w:t>
            </w:r>
            <w:r>
              <w:rPr>
                <w:rFonts w:hint="eastAsia" w:ascii="宋体" w:hAnsi="宋体" w:cs="宋体"/>
                <w:color w:val="000000"/>
                <w:kern w:val="0"/>
                <w:sz w:val="21"/>
                <w:szCs w:val="21"/>
                <w:lang w:eastAsia="zh-CN" w:bidi="ar"/>
              </w:rPr>
              <w:t>招标人原平台科达</w:t>
            </w:r>
            <w:r>
              <w:rPr>
                <w:rFonts w:hint="eastAsia" w:ascii="宋体" w:hAnsi="宋体" w:cs="宋体"/>
                <w:color w:val="000000"/>
                <w:kern w:val="0"/>
                <w:sz w:val="21"/>
                <w:szCs w:val="21"/>
                <w:lang w:bidi="ar"/>
              </w:rPr>
              <w:t>进行无缝对接，若无法无缝对接需无条件更换支持无缝对接对接的设备）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视频会议摄像机</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 支持壁装、三脚架安装或吊顶安装等多种安装方式，可按用户需求进行安装。2) 镜头图像传感器采用不小于1/2.8" 传感器，支持1080p30、1080p25、720p60、720p50等高清信号输出。3) 支持不小于12倍光学变焦。4) 支持广角镜头，水平视角不小于72°。5) 视频输出接口具备SDI、DVI、HDBaseT接口。6) 支持供电、显示、控制多线合一，只连接一根超五类网线实现供电、图像显示、摄像机控制，支持信号传输100米。7) 支持RS422控制接口，支持标准VISCA协议，支持摄像机通过控制口RS422实现菊花链控制，菊花链控制摄像机不小于7个。8) 支持中文OSD菜单，可在OSD中对摄像机进行设置。9) 水平转动范围：≥ ±160°，垂直转动范围：≥ -90°～50°10) 支持自带显示屏，可方便显示视频输出分辨率。11) 支持根据安装方向自动翻转图像。12) 支持保存不少于255个预置位。13) 支持ZigBee控制，支持360°控制、有遮挡物时也能正常控制。14) 支持终端遥控器通过摄像机反向控制会议终端。15) 提供产品RoHS证书复印件。16) 必须与终端设备同一品牌。（必须与</w:t>
            </w:r>
            <w:r>
              <w:rPr>
                <w:rFonts w:hint="eastAsia" w:ascii="宋体" w:hAnsi="宋体" w:cs="宋体"/>
                <w:color w:val="000000"/>
                <w:kern w:val="0"/>
                <w:sz w:val="21"/>
                <w:szCs w:val="21"/>
                <w:lang w:eastAsia="zh-CN" w:bidi="ar"/>
              </w:rPr>
              <w:t>招标人原平台科达</w:t>
            </w:r>
            <w:r>
              <w:rPr>
                <w:rFonts w:hint="eastAsia" w:ascii="宋体" w:hAnsi="宋体" w:cs="宋体"/>
                <w:color w:val="000000"/>
                <w:kern w:val="0"/>
                <w:sz w:val="21"/>
                <w:szCs w:val="21"/>
                <w:lang w:bidi="ar"/>
              </w:rPr>
              <w:t>进行无缝对接，若无法无缝对接需无条件更换支持无缝对接对接的设备）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会议室机柜</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尺寸:1850*535*485mm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颜色:黑色</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结构材料：铝材；</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标准化模式，以满足各种需求；</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采用高强度钢制可拆装式机柜，最大承载重量达500公斤；</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安装空间39U规格；</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机柜内设计4条可调节铝型材槽轨；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底座可着地或安装活动脚轮；</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装配简单，方便搬运。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弹起式多媒体桌插</w:t>
            </w:r>
          </w:p>
        </w:tc>
        <w:tc>
          <w:tcPr>
            <w:tcW w:w="648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HDMI\三插电源\RJ45\音频接口，定制；</w:t>
            </w:r>
          </w:p>
        </w:tc>
      </w:tr>
    </w:tbl>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bottom"/>
        <w:rPr>
          <w:rFonts w:hint="eastAsia" w:ascii="宋体" w:hAnsi="宋体" w:eastAsia="宋体" w:cs="Times New Roman"/>
          <w:b/>
          <w:color w:val="000000"/>
          <w:kern w:val="0"/>
          <w:sz w:val="24"/>
          <w:szCs w:val="24"/>
          <w:lang w:val="en-US" w:eastAsia="zh-CN" w:bidi="ar-SA"/>
        </w:rPr>
      </w:pPr>
    </w:p>
    <w:p>
      <w:pPr>
        <w:keepNext w:val="0"/>
        <w:keepLines w:val="0"/>
        <w:pageBreakBefore w:val="0"/>
        <w:widowControl/>
        <w:numPr>
          <w:ilvl w:val="0"/>
          <w:numId w:val="22"/>
        </w:numPr>
        <w:kinsoku/>
        <w:wordWrap/>
        <w:overflowPunct/>
        <w:topLinePunct w:val="0"/>
        <w:autoSpaceDE/>
        <w:autoSpaceDN/>
        <w:bidi w:val="0"/>
        <w:adjustRightInd/>
        <w:snapToGrid/>
        <w:spacing w:line="300" w:lineRule="auto"/>
        <w:jc w:val="center"/>
        <w:textAlignment w:val="bottom"/>
        <w:rPr>
          <w:rFonts w:hint="eastAsia" w:ascii="宋体" w:hAnsi="宋体" w:eastAsia="宋体" w:cs="Times New Roman"/>
          <w:b/>
          <w:color w:val="000000"/>
          <w:kern w:val="0"/>
          <w:sz w:val="24"/>
          <w:szCs w:val="24"/>
          <w:lang w:val="en-US" w:eastAsia="zh-CN" w:bidi="ar-SA"/>
        </w:rPr>
      </w:pPr>
      <w:r>
        <w:rPr>
          <w:rFonts w:hint="eastAsia" w:ascii="宋体" w:hAnsi="宋体" w:eastAsia="宋体" w:cs="Times New Roman"/>
          <w:b/>
          <w:color w:val="000000"/>
          <w:kern w:val="0"/>
          <w:sz w:val="24"/>
          <w:szCs w:val="24"/>
          <w:lang w:val="en-US" w:eastAsia="zh-CN" w:bidi="ar-SA"/>
        </w:rPr>
        <w:t>LED温湿度屏系统</w:t>
      </w:r>
    </w:p>
    <w:tbl>
      <w:tblPr>
        <w:tblStyle w:val="5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4"/>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名称</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P3.75</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1、像素间距:3.75mm；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2、像素构成：精选2121自主封装全黑灯珠，高对比度，稳定可靠；</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3、成像原理：LED主动发光；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4、像素密度：44321 点/㎡；</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5、亮度：≥500 cd/m²；</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6、水平视角：≥140°，垂直视角：≥140°；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7、扫描方式:1/32扫描；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8、工作环境温度：-10℃至+40℃；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9、工作环境湿度：10%～80%；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网络异步器(控制器)</w:t>
            </w:r>
          </w:p>
        </w:tc>
        <w:tc>
          <w:tcPr>
            <w:tcW w:w="6482" w:type="dxa"/>
            <w:vMerge w:val="restart"/>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1、后台管理可通过网络对显示屏独立或全局发布信息；2、温度、湿度根据现场时时自动更新数据；</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2、支持多种灰度模式。刷新优先、灰度优先、亮度优先；</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3、软件支持多种备份机制，配置故障快速恢复，发送卡备份、软件历史配置备份、一键回读、一键换卡；</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4、硬件设计防反接电路，防止短路故障引起安全隐患</w:t>
            </w:r>
            <w:r>
              <w:rPr>
                <w:rFonts w:hint="eastAsia" w:ascii="宋体" w:hAnsi="宋体" w:cs="宋体"/>
                <w:color w:val="000000"/>
                <w:kern w:val="0"/>
                <w:sz w:val="21"/>
                <w:szCs w:val="21"/>
                <w:lang w:eastAsia="zh-CN" w:bidi="ar"/>
              </w:rPr>
              <w:t>；</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5、系统支持双网线热备份功能，保证LED显示屏数据传输故障自主修复，不黑屏</w:t>
            </w:r>
            <w:r>
              <w:rPr>
                <w:rFonts w:hint="eastAsia" w:ascii="宋体" w:hAnsi="宋体" w:cs="宋体"/>
                <w:color w:val="000000"/>
                <w:kern w:val="0"/>
                <w:sz w:val="21"/>
                <w:szCs w:val="21"/>
                <w:lang w:eastAsia="zh-CN" w:bidi="ar"/>
              </w:rPr>
              <w:t>；</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6、支持任意分辨率更改；</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7、采用硬件加速设计，走字移动速度效果行业领先；</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8、内置自动走线描点设置，无需手动繁琐操作；</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9、软件支持在线自动检测升级；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感应器</w:t>
            </w:r>
          </w:p>
        </w:tc>
        <w:tc>
          <w:tcPr>
            <w:tcW w:w="6482" w:type="dxa"/>
            <w:vMerge w:val="continue"/>
            <w:noWrap w:val="0"/>
            <w:tcMar>
              <w:top w:w="15" w:type="dxa"/>
              <w:left w:w="15" w:type="dxa"/>
              <w:right w:w="15" w:type="dxa"/>
            </w:tcMar>
            <w:vAlign w:val="center"/>
          </w:tcPr>
          <w:p>
            <w:pPr>
              <w:kinsoku/>
              <w:wordWrap/>
              <w:overflowPunct/>
              <w:topLinePunct w:val="0"/>
              <w:autoSpaceDE/>
              <w:autoSpaceDN/>
              <w:bidi w:val="0"/>
              <w:spacing w:line="300" w:lineRule="auto"/>
              <w:jc w:val="left"/>
              <w:rPr>
                <w:rFonts w:hint="eastAsia" w:ascii="宋体" w:hAnsi="宋体" w:cs="宋体"/>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框架</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配套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管理软件</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配套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8336" w:type="dxa"/>
            <w:gridSpan w:val="2"/>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LED条屏显示系统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P3.75</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像素：像素直径（mm） 3.75mm</w:t>
            </w:r>
          </w:p>
          <w:p>
            <w:pPr>
              <w:widowControl/>
              <w:kinsoku/>
              <w:wordWrap/>
              <w:overflowPunct/>
              <w:topLinePunct w:val="0"/>
              <w:autoSpaceDE/>
              <w:autoSpaceDN/>
              <w:bidi w:val="0"/>
              <w:spacing w:line="300" w:lineRule="auto"/>
              <w:ind w:firstLine="630" w:firstLineChars="300"/>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间距（mm） 4.75</w:t>
            </w:r>
          </w:p>
          <w:p>
            <w:pPr>
              <w:widowControl/>
              <w:kinsoku/>
              <w:wordWrap/>
              <w:overflowPunct/>
              <w:topLinePunct w:val="0"/>
              <w:autoSpaceDE/>
              <w:autoSpaceDN/>
              <w:bidi w:val="0"/>
              <w:spacing w:line="300" w:lineRule="auto"/>
              <w:ind w:firstLine="630" w:firstLineChars="300"/>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像素构成 1R1G（晶元）</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单元板：点数 64×32</w:t>
            </w:r>
          </w:p>
          <w:p>
            <w:pPr>
              <w:widowControl/>
              <w:kinsoku/>
              <w:wordWrap/>
              <w:overflowPunct/>
              <w:topLinePunct w:val="0"/>
              <w:autoSpaceDE/>
              <w:autoSpaceDN/>
              <w:bidi w:val="0"/>
              <w:spacing w:line="300" w:lineRule="auto"/>
              <w:ind w:firstLine="840" w:firstLineChars="400"/>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尺寸（mm） 304×152</w:t>
            </w:r>
          </w:p>
          <w:p>
            <w:pPr>
              <w:widowControl/>
              <w:kinsoku/>
              <w:wordWrap/>
              <w:overflowPunct/>
              <w:topLinePunct w:val="0"/>
              <w:autoSpaceDE/>
              <w:autoSpaceDN/>
              <w:bidi w:val="0"/>
              <w:spacing w:line="300" w:lineRule="auto"/>
              <w:ind w:firstLine="840" w:firstLineChars="400"/>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物理分辨率 2048点/板</w:t>
            </w:r>
          </w:p>
          <w:p>
            <w:pPr>
              <w:widowControl/>
              <w:kinsoku/>
              <w:wordWrap/>
              <w:overflowPunct/>
              <w:topLinePunct w:val="0"/>
              <w:autoSpaceDE/>
              <w:autoSpaceDN/>
              <w:bidi w:val="0"/>
              <w:spacing w:line="300" w:lineRule="auto"/>
              <w:ind w:firstLine="840" w:firstLineChars="400"/>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可显示字数 4×2</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平均功耗（W/m2） ≤250</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密度（点/m2） 44321</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 xml:space="preserve">亮度 ≥800CD/平方米 </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最佳视距 3-10m</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显示颜色 红色蓝色及黄色</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显示模式 VGA 640×480；800×600；1024×768</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屏体厚度 ≤9cm</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换帧频率 ≥60Hz</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刷新频率 ≥120Hz</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环境要求 Win98/Win2000/WinME/WinXP/WinNT/VISTA/7</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输入方式 计算机</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显示方式 脱机显示/局域网远程网络</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显示内容 文字、表格等</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可视角度 140°</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工作温度 －20℃—— +50℃</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工作电压 220V±10%</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最大功耗 ≤750w</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驱动器件 恒压595</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驱动方式 1/16扫描</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灰度 32-64级</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均匀性 像素光强，模组均匀，亮度均匀性&gt;0.95</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平整度 误差&lt;±0.5mm</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 xml:space="preserve">盲点率 ≤万分之一 </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寿  命 ≥10万小时</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连续工作时间 72小时以上</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无故障时间 平均5000小时以上</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重  量 20～30Kg/m2</w:t>
            </w:r>
          </w:p>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性能特点 扫描频率高，屏幕稳定不抖动。稳定性强，寿命高色泽鲜艳。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框架</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配套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网络异步器(控制器)</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1、后台管理可通过网络对显示屏独立或全局发布信息；2、温度、湿度根据现场时时自动更新数据；</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2、支持多种灰度模式。刷新优先、灰度优先、亮度优先；</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3、软件支持多种备份机制，配置故障快速恢复，发送卡备份、软件历史配置备份、一键回读、一键换卡；</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4、硬件设计防反接电路，防止短路故障引起安全隐患</w:t>
            </w:r>
            <w:r>
              <w:rPr>
                <w:rFonts w:hint="eastAsia" w:ascii="宋体" w:hAnsi="宋体" w:cs="宋体"/>
                <w:color w:val="000000"/>
                <w:kern w:val="0"/>
                <w:sz w:val="21"/>
                <w:szCs w:val="21"/>
                <w:lang w:eastAsia="zh-CN" w:bidi="ar"/>
              </w:rPr>
              <w:t>；</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5、系统支持双网线热备份功能，保证LED显示屏数据传输故障自主修复，不黑屏</w:t>
            </w:r>
            <w:r>
              <w:rPr>
                <w:rFonts w:hint="eastAsia" w:ascii="宋体" w:hAnsi="宋体" w:cs="宋体"/>
                <w:color w:val="000000"/>
                <w:kern w:val="0"/>
                <w:sz w:val="21"/>
                <w:szCs w:val="21"/>
                <w:lang w:eastAsia="zh-CN" w:bidi="ar"/>
              </w:rPr>
              <w:t>；</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6、支持任意分辨率更改；</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7、采用硬件加速设计，走字移动速度效果行业领先；</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8、内置自动走线描点设置，无需手动繁琐操作；</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9、软件支持在线自动检测升级；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管理软件</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配套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管理电脑</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I5-6500/8G/1TB/2G/19.5"</w:t>
            </w:r>
          </w:p>
        </w:tc>
      </w:tr>
    </w:tbl>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bottom"/>
        <w:rPr>
          <w:rFonts w:hint="eastAsia" w:ascii="宋体" w:hAnsi="宋体" w:eastAsia="宋体" w:cs="Times New Roman"/>
          <w:b/>
          <w:color w:val="000000"/>
          <w:kern w:val="0"/>
          <w:sz w:val="24"/>
          <w:szCs w:val="24"/>
          <w:lang w:val="en-US" w:eastAsia="zh-CN" w:bidi="ar-SA"/>
        </w:rPr>
      </w:pPr>
    </w:p>
    <w:p>
      <w:pPr>
        <w:keepNext w:val="0"/>
        <w:keepLines w:val="0"/>
        <w:pageBreakBefore w:val="0"/>
        <w:widowControl/>
        <w:numPr>
          <w:ilvl w:val="0"/>
          <w:numId w:val="22"/>
        </w:numPr>
        <w:kinsoku/>
        <w:wordWrap/>
        <w:overflowPunct/>
        <w:topLinePunct w:val="0"/>
        <w:autoSpaceDE/>
        <w:autoSpaceDN/>
        <w:bidi w:val="0"/>
        <w:adjustRightInd/>
        <w:snapToGrid/>
        <w:spacing w:line="300" w:lineRule="auto"/>
        <w:jc w:val="center"/>
        <w:textAlignment w:val="bottom"/>
        <w:rPr>
          <w:rFonts w:hint="eastAsia" w:ascii="宋体" w:hAnsi="宋体" w:eastAsia="宋体" w:cs="Times New Roman"/>
          <w:b/>
          <w:color w:val="000000"/>
          <w:kern w:val="0"/>
          <w:sz w:val="24"/>
          <w:szCs w:val="24"/>
          <w:lang w:val="en-US" w:eastAsia="zh-CN" w:bidi="ar-SA"/>
        </w:rPr>
      </w:pPr>
      <w:r>
        <w:rPr>
          <w:rFonts w:hint="eastAsia" w:ascii="宋体" w:hAnsi="宋体" w:eastAsia="宋体" w:cs="Times New Roman"/>
          <w:b/>
          <w:color w:val="000000"/>
          <w:kern w:val="0"/>
          <w:sz w:val="24"/>
          <w:szCs w:val="24"/>
          <w:lang w:val="en-US" w:eastAsia="zh-CN" w:bidi="ar-SA"/>
        </w:rPr>
        <w:t>LED显示系统</w:t>
      </w:r>
    </w:p>
    <w:tbl>
      <w:tblPr>
        <w:tblStyle w:val="5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4"/>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名称</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P4三合一全彩</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 封装方式：SMD2121表贴三合一黑色灯;led发光管:国星、美卡乐、利亚德</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（一）屏幕像素参数</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 像素间距：纵向：≤4mm，横向：≤4mm。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 像素组成：1R1G1B（2121SMD表贴三合一）。</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 像素密度：≥62500点/㎡。</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（二）屏幕模组（箱体）参数</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 模块解析度及尺寸：品牌定制尺寸</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 模组分辨率:80*40/64*32</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 模块级CPU存储：具有单个LED发光管的亮度和颜色的自适应校正功能。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 信号连接采用沉余连接方式。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 内部连接：最优连接方式，避免模块出现连续性故障。</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（三）屏幕系统参数</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 屏幕亮度：整屏白平衡时≥800cd/㎡。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 亮度均匀性：像素之间亮度均匀性±0.003  Cx,Cy之内，像素光强，显示模块亮度均匀；全屏显示白色时，无明显花屏，无明显“马赛克”现象。</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 屏幕水平视角：≥160°；屏幕垂直视角：≥140°。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 平整度：拼接间隙&lt;0.2mm。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 逐点校正：具有单个LED发光管的亮度和颜色的自适应校正功能。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 色温：3000K—10000K可调。</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 对比度：≥5000:1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 峰值功耗：≤360W/㎡。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9 驱动方式：恒流驱动；采用LED专用驱动器件芯片。</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10 换帧率：50/60 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11 刷新率：≥3000Hz。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12 模块间亮度均匀性：≥97%。</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13 软件接口：Windows NT、Windows2000、Windows XP。</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14 开关电源：超薄型、有过压、过流、短路等自保功能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（四）屏幕系统工作特性</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 连续工作时间：大于72小时。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 低亮高灰：符合亮度在100%时，16bits灰度;20%亮度时12bits灰度。</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 屏幕寿命：大于5万小时。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 单点矫正：支持亮度色度单点矫正</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 LED显示屏图像质量：主观评价等级为优。</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 运行环境：温度：-10℃- +40℃；湿度：10%-80%RH，无凝结。</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 通过高低温工作、存储测试以及盐雾10级测试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视频处理器</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带载120万像素，可以不通过软件对大部分功能做出设置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整个系统采用模块化设计，当出问题时更容易找出问题点并及时更换。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产品使用灵活，每一路的输出位置可以任意调节，高清晰视频输入、输出接口，输入输出都可以接DVI，HDMI，DP显示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发送卡</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联机控制器：发送卡MSD08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接收卡</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联机控制器：数据采集处理接收卡MSD08S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配电箱</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国产国标</w:t>
            </w:r>
            <w:r>
              <w:rPr>
                <w:rFonts w:hint="eastAsia" w:ascii="宋体" w:hAnsi="宋体" w:cs="宋体"/>
                <w:color w:val="000000"/>
                <w:kern w:val="0"/>
                <w:sz w:val="21"/>
                <w:szCs w:val="21"/>
                <w:lang w:eastAsia="zh-CN" w:bidi="ar"/>
              </w:rPr>
              <w:t>知名品牌</w:t>
            </w:r>
            <w:r>
              <w:rPr>
                <w:rFonts w:hint="eastAsia" w:ascii="宋体" w:hAnsi="宋体" w:cs="宋体"/>
                <w:color w:val="000000"/>
                <w:kern w:val="0"/>
                <w:sz w:val="21"/>
                <w:szCs w:val="21"/>
                <w:lang w:bidi="ar"/>
              </w:rPr>
              <w:t>控电器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框架</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贴墙结构，黑色专用显示屏框架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电脑</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I5-6500/8G/1TB/2G/19.5"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管理软件</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LEDSHOW显示屏全彩专用控制软件</w:t>
            </w:r>
          </w:p>
        </w:tc>
      </w:tr>
    </w:tbl>
    <w:p>
      <w:pPr>
        <w:pStyle w:val="4"/>
        <w:kinsoku/>
        <w:wordWrap/>
        <w:overflowPunct/>
        <w:topLinePunct w:val="0"/>
        <w:autoSpaceDE/>
        <w:autoSpaceDN/>
        <w:bidi w:val="0"/>
        <w:spacing w:line="300" w:lineRule="auto"/>
        <w:rPr>
          <w:rFonts w:hint="eastAsia"/>
          <w:lang w:val="en-US" w:eastAsia="zh-CN"/>
        </w:rPr>
      </w:pPr>
    </w:p>
    <w:p>
      <w:pPr>
        <w:keepNext w:val="0"/>
        <w:keepLines w:val="0"/>
        <w:pageBreakBefore w:val="0"/>
        <w:widowControl/>
        <w:numPr>
          <w:ilvl w:val="0"/>
          <w:numId w:val="22"/>
        </w:numPr>
        <w:kinsoku/>
        <w:wordWrap/>
        <w:overflowPunct/>
        <w:topLinePunct w:val="0"/>
        <w:autoSpaceDE/>
        <w:autoSpaceDN/>
        <w:bidi w:val="0"/>
        <w:adjustRightInd/>
        <w:snapToGrid/>
        <w:spacing w:line="300" w:lineRule="auto"/>
        <w:jc w:val="center"/>
        <w:textAlignment w:val="bottom"/>
        <w:rPr>
          <w:rFonts w:hint="eastAsia" w:ascii="宋体" w:hAnsi="宋体" w:eastAsia="宋体" w:cs="Times New Roman"/>
          <w:b/>
          <w:color w:val="000000"/>
          <w:kern w:val="0"/>
          <w:sz w:val="24"/>
          <w:szCs w:val="24"/>
          <w:lang w:val="en-US" w:eastAsia="zh-CN" w:bidi="ar-SA"/>
        </w:rPr>
      </w:pPr>
      <w:r>
        <w:rPr>
          <w:rFonts w:hint="eastAsia" w:ascii="宋体" w:hAnsi="宋体" w:eastAsia="宋体" w:cs="Times New Roman"/>
          <w:b/>
          <w:color w:val="000000"/>
          <w:kern w:val="0"/>
          <w:sz w:val="24"/>
          <w:szCs w:val="24"/>
          <w:lang w:val="en-US" w:eastAsia="zh-CN" w:bidi="ar-SA"/>
        </w:rPr>
        <w:t>微机房系统</w:t>
      </w:r>
    </w:p>
    <w:tbl>
      <w:tblPr>
        <w:tblStyle w:val="5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4"/>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名称</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8336" w:type="dxa"/>
            <w:gridSpan w:val="2"/>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机柜系统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综合柜</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综合柜，尺寸：600*1200*2000mm，适用于全密封一体柜系列，含全封闭式冷热通道，通道深度大于100mm，承重1500kg，支持上线进线，，前门带控制器安装孔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IT柜（标准化机柜）</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IT柜，尺寸：600*1200*2000mm，适用于全密封一体柜系列，含全封闭式冷热通道，通道深度大于100mm，承重1500kg，支持上线进线，前门为全玻门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侧门</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适用于1200mm深度的机柜侧门，单侧使用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盲板</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1U免工具安装盲板，塑胶材质，正面挡风使用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竖直理线板</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42U高竖直理线板，宽度100mm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水平理线架</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1U高度水平方向理线架，黑色带盖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通风系统</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风扇型应急通风系统，全密封机柜使用，位于机柜冷通道和热通道位置，自动启停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PDU</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机柜PDU，单相32A输入，12位10A+4位16A国标输出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8336" w:type="dxa"/>
            <w:gridSpan w:val="2"/>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配电系统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配电模块</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机架式配电模块，总输入：125A/3P，UPS输入：2*64A/3P，UPS输出：2*63A/1P，维修旁路：63A/4P，空调：3*63A/1P，PDU及预留：15*32A/1P，监控及应急通风：2*10A/1P，含C级防雷模块（带32A/4P开关），含主路电能检测，含RS485监控接口，含DC12V输出接口，采用施耐德开关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模块化UPS</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三进单出机架式15KVA，两台ups并机使用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蓄电池</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12V100AH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23" w:hRule="atLeast"/>
        </w:trPr>
        <w:tc>
          <w:tcPr>
            <w:tcW w:w="1854"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电池箱</w:t>
            </w:r>
          </w:p>
        </w:tc>
        <w:tc>
          <w:tcPr>
            <w:tcW w:w="6482"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电池箱及电池连接线</w:t>
            </w:r>
          </w:p>
        </w:tc>
      </w:tr>
    </w:tbl>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bottom"/>
        <w:rPr>
          <w:rFonts w:hint="eastAsia" w:ascii="宋体" w:hAnsi="宋体" w:eastAsia="宋体" w:cs="Times New Roman"/>
          <w:b/>
          <w:color w:val="000000"/>
          <w:kern w:val="0"/>
          <w:sz w:val="24"/>
          <w:szCs w:val="24"/>
          <w:lang w:val="en-US" w:eastAsia="zh-CN" w:bidi="ar-SA"/>
        </w:rPr>
      </w:pPr>
    </w:p>
    <w:p>
      <w:pPr>
        <w:keepNext w:val="0"/>
        <w:keepLines w:val="0"/>
        <w:pageBreakBefore w:val="0"/>
        <w:widowControl/>
        <w:numPr>
          <w:ilvl w:val="0"/>
          <w:numId w:val="22"/>
        </w:numPr>
        <w:kinsoku/>
        <w:wordWrap/>
        <w:overflowPunct/>
        <w:topLinePunct w:val="0"/>
        <w:autoSpaceDE/>
        <w:autoSpaceDN/>
        <w:bidi w:val="0"/>
        <w:adjustRightInd/>
        <w:snapToGrid/>
        <w:spacing w:line="300" w:lineRule="auto"/>
        <w:jc w:val="center"/>
        <w:textAlignment w:val="bottom"/>
        <w:rPr>
          <w:rFonts w:hint="eastAsia" w:ascii="宋体" w:hAnsi="宋体" w:eastAsia="宋体" w:cs="Times New Roman"/>
          <w:b/>
          <w:color w:val="000000"/>
          <w:kern w:val="0"/>
          <w:sz w:val="24"/>
          <w:szCs w:val="24"/>
          <w:lang w:val="en-US" w:eastAsia="zh-CN" w:bidi="ar-SA"/>
        </w:rPr>
      </w:pPr>
      <w:r>
        <w:rPr>
          <w:rFonts w:hint="eastAsia" w:ascii="宋体" w:hAnsi="宋体" w:eastAsia="宋体" w:cs="Times New Roman"/>
          <w:b/>
          <w:color w:val="000000"/>
          <w:kern w:val="0"/>
          <w:sz w:val="24"/>
          <w:szCs w:val="24"/>
          <w:lang w:val="en-US" w:eastAsia="zh-CN" w:bidi="ar-SA"/>
        </w:rPr>
        <w:t>求助报警系统</w:t>
      </w:r>
    </w:p>
    <w:tbl>
      <w:tblPr>
        <w:tblStyle w:val="5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6"/>
        <w:gridCol w:w="6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746"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名称</w:t>
            </w:r>
          </w:p>
        </w:tc>
        <w:tc>
          <w:tcPr>
            <w:tcW w:w="6590"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746"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报警主机</w:t>
            </w:r>
          </w:p>
        </w:tc>
        <w:tc>
          <w:tcPr>
            <w:tcW w:w="6590"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支持本地8路防区+总线扩展248路防区，共计256路防区报警输入</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支持4路本地防区报警输出，可扩展至256路</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支持触发器时控输出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支持两条总线，每条可达2400M（RVV2*1.5mm²），支持星型、树形、手牵手总线拓扑，总线无极性</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支持定时布撤防，每天8个时段</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支持8个子系统和一个公共子系统</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支持主机防拆报警、</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支持探测器防拆报警（本地8路）</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支持1路受控警号（DC12V750mA）输出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支持CID报告，支持话机复用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支持防区报警、系统状态事件联动输出，发生/恢复事件和时间可灵活配置</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支持4个独立中心组，可灵活配置报警数据上传策略、冗余备份策略</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支持两种传输模式：网络传输、电话线传输，支持2组独立以太网接警中心，支持2组独立电话接警中心</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支持ContactIDprotocol，支持话机复用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支持32个LCD键盘包括1个全局键盘和31个子系统键盘，键盘总线总长度不得大于1.2km（Φ1.5mm）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支持1个安装员用户、1个主用户、199个操作用户</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支持16个远程管理用户，1个远程数据通道</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支持8000条报警事件记录，2000条操作事件和1500条管理操作记录，支持远程搜索查询事件日志</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支持外置辅助电源--标准蓄电池，自动充电控制，电压实时监测，掉电保护</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支持AC220V电源供电,主辅电源可自动切换</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支持警号、辅助、键盘等电源保护</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支持1路12V/1A辅电输出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支持远程搜索事件日志</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支持网络远程升级,且配置数据导入导出。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746"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声光报警器</w:t>
            </w:r>
          </w:p>
        </w:tc>
        <w:tc>
          <w:tcPr>
            <w:tcW w:w="6590"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声光报警器(红/白双色外观),12VDC 压电警号,防火ABS阻燃外壳,声压(VDC)：110±3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746"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110/119接口</w:t>
            </w:r>
          </w:p>
        </w:tc>
        <w:tc>
          <w:tcPr>
            <w:tcW w:w="6590"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配套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746"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总线驱动模块</w:t>
            </w:r>
          </w:p>
        </w:tc>
        <w:tc>
          <w:tcPr>
            <w:tcW w:w="6590"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配套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746"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电源模块</w:t>
            </w:r>
          </w:p>
        </w:tc>
        <w:tc>
          <w:tcPr>
            <w:tcW w:w="6590"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配套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746"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可编程键盘</w:t>
            </w:r>
          </w:p>
        </w:tc>
        <w:tc>
          <w:tcPr>
            <w:tcW w:w="6590"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LCD报警键盘；连接到报警主机，可以对报警主机进行操作和编程，通过指示灯和报警音提示报警；</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主机状态指示灯：系统故障（橙色），网络链接状态（绿色），报警（红色），布撤防（蓝色），配置状态（红绿双色）</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功能键：8个，工程、查询，旁路，一键，火警，紧急，左键，右键；</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防拆功能：支持；与主机通讯：485；键盘警情输出：蜂鸣器；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功能特性：对主机编程、撤布防、消警、旁路/旁路恢复、工程测试、子系统操作、继电器操作、主机状态查询；</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支持刷卡布撤防，但刷卡不支持消警功能，卡片数量由主机限制，目前网络主机最大可添加32张卡片；</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支持连接遥控器进行远程布撤防，键盘最多所能支持的无线遥控器数量由主机决定，最多支持32个遥控器；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支持双向遥控器，遥控器LED显示操作结果；</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功耗：1.8W；工作温度：-10℃～＋55℃；工作湿度：10％～90％；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746"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8防区输入模块</w:t>
            </w:r>
          </w:p>
        </w:tc>
        <w:tc>
          <w:tcPr>
            <w:tcW w:w="6590"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配套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746"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报警按钮</w:t>
            </w:r>
          </w:p>
        </w:tc>
        <w:tc>
          <w:tcPr>
            <w:tcW w:w="6590"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紧急按钮面板式（适合86底盒）钥匙复位, 无钉孔,86*86*32mm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746" w:type="dxa"/>
            <w:noWrap w:val="0"/>
            <w:tcMar>
              <w:top w:w="15" w:type="dxa"/>
              <w:left w:w="15" w:type="dxa"/>
              <w:right w:w="15" w:type="dxa"/>
            </w:tcMar>
            <w:vAlign w:val="center"/>
          </w:tcPr>
          <w:p>
            <w:pPr>
              <w:widowControl/>
              <w:kinsoku/>
              <w:wordWrap/>
              <w:overflowPunct/>
              <w:topLinePunct w:val="0"/>
              <w:autoSpaceDE/>
              <w:autoSpaceDN/>
              <w:bidi w:val="0"/>
              <w:spacing w:line="300" w:lineRule="auto"/>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42U机柜</w:t>
            </w:r>
          </w:p>
        </w:tc>
        <w:tc>
          <w:tcPr>
            <w:tcW w:w="6590" w:type="dxa"/>
            <w:noWrap w:val="0"/>
            <w:tcMar>
              <w:top w:w="15" w:type="dxa"/>
              <w:left w:w="15" w:type="dxa"/>
              <w:right w:w="15" w:type="dxa"/>
            </w:tcMar>
            <w:vAlign w:val="center"/>
          </w:tcPr>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产品特点：1.符合GB/T3047.2、GB/T4054等标准，兼容ANSI/EIA RS-310-D、IEC297-2标准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2.机柜采用优质冷轧钢板；表面脱脂、酸洗、防锈纳米陶瓷化、纯水清洗、粉末静电喷塑。</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3.标准19英寸设计，可用于安装目前市面的交换机、服务器、存储器等网络设备。</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4.机柜采用框架结构，结构坚固，静载承重800KG（去除脚轮）。</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5.防护等级IP20。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6.前门玻璃门和网孔门可选，后部网孔门。网孔门采用高密度平板六角通风孔，具有低风阻和高通风率，适合设备散热的应用需求。</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7.机柜可以满足顶部和底部两种方式的走线。机柜顶部配备走线孔和散热风扇，机柜底部走线孔可以按需调节大小。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8.机柜具有600mm和800mm两种宽度规格，其中800mm宽度的机柜后门为双开门，前部具有垂直理线槽道，便于垂直走线。</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9.机柜标配风扇、6位10A电源、托盘、脚轮和支撑脚等配件。</w:t>
            </w:r>
          </w:p>
          <w:p>
            <w:pPr>
              <w:widowControl/>
              <w:kinsoku/>
              <w:wordWrap/>
              <w:overflowPunct/>
              <w:topLinePunct w:val="0"/>
              <w:autoSpaceDE/>
              <w:autoSpaceDN/>
              <w:bidi w:val="0"/>
              <w:spacing w:line="30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功能参数：</w:t>
            </w:r>
          </w:p>
          <w:p>
            <w:pPr>
              <w:widowControl/>
              <w:kinsoku/>
              <w:wordWrap/>
              <w:overflowPunct/>
              <w:topLinePunct w:val="0"/>
              <w:autoSpaceDE/>
              <w:autoSpaceDN/>
              <w:bidi w:val="0"/>
              <w:spacing w:line="300" w:lineRule="auto"/>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1、机柜类型：19英寸</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2、机柜宽度：600mm和800mm可选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3、机柜高度：2200mm、2000mm、1800mm、1600mm、1400mm、1200mm可选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4、机柜深度：600mm、800mm、1000mm、1100mm、1200mm可选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5、机柜门类型：前门玻璃门、网孔门可选；后门网孔门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6、侧门：快拆侧门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7、托盘数量：2200mm和2000mm标配3个托盘；其他标配1个托盘</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8、风扇数量：600mm深度机柜标配2风扇；其他标配4风扇</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9、PDU：标配1个六位10A万用孔PDU</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10、浮动螺母：2200mm和2000mm标配40套；其他标配20套</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11、支撑脚：标配4只</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12、脚轮：标配4只</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13、垂直理线槽：800mm宽度机柜前部左右各标配1只</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14、板材厚度：框架2.0mm、前后门1.2mm、横梁1.5mm、侧门1.0mm、立柱2.0mm、其他1.2mm</w:t>
            </w:r>
          </w:p>
        </w:tc>
      </w:tr>
    </w:tbl>
    <w:p>
      <w:pPr>
        <w:pStyle w:val="4"/>
        <w:kinsoku/>
        <w:wordWrap/>
        <w:overflowPunct/>
        <w:topLinePunct w:val="0"/>
        <w:autoSpaceDE/>
        <w:autoSpaceDN/>
        <w:bidi w:val="0"/>
        <w:spacing w:line="300" w:lineRule="auto"/>
        <w:rPr>
          <w:rFonts w:hint="eastAsia"/>
          <w:sz w:val="21"/>
          <w:szCs w:val="21"/>
          <w:lang w:val="en-US" w:eastAsia="zh-CN"/>
        </w:rPr>
      </w:pPr>
    </w:p>
    <w:p>
      <w:pPr>
        <w:pStyle w:val="4"/>
        <w:numPr>
          <w:ilvl w:val="0"/>
          <w:numId w:val="0"/>
        </w:numPr>
        <w:kinsoku/>
        <w:wordWrap/>
        <w:overflowPunct/>
        <w:topLinePunct w:val="0"/>
        <w:autoSpaceDE/>
        <w:autoSpaceDN/>
        <w:bidi w:val="0"/>
        <w:spacing w:line="300" w:lineRule="auto"/>
        <w:ind w:leftChars="0"/>
        <w:rPr>
          <w:rFonts w:hint="eastAsia" w:ascii="宋体" w:hAnsi="宋体" w:eastAsia="宋体" w:cs="宋体"/>
          <w:b w:val="0"/>
          <w:color w:val="000000"/>
          <w:kern w:val="0"/>
          <w:sz w:val="21"/>
          <w:szCs w:val="21"/>
          <w:lang w:val="en-US" w:eastAsia="zh-CN" w:bidi="ar"/>
        </w:rPr>
      </w:pPr>
      <w:bookmarkStart w:id="30" w:name="_Toc3257"/>
      <w:bookmarkStart w:id="31" w:name="_Toc3742"/>
      <w:bookmarkStart w:id="32" w:name="_Toc14372"/>
      <w:r>
        <w:rPr>
          <w:rFonts w:hint="eastAsia" w:ascii="宋体" w:hAnsi="宋体" w:eastAsia="宋体" w:cs="宋体"/>
          <w:b/>
          <w:bCs/>
          <w:color w:val="000000"/>
          <w:kern w:val="0"/>
          <w:sz w:val="21"/>
          <w:szCs w:val="21"/>
          <w:lang w:val="en-US" w:eastAsia="zh-CN" w:bidi="ar"/>
        </w:rPr>
        <w:t>注：</w:t>
      </w:r>
      <w:bookmarkEnd w:id="30"/>
      <w:bookmarkEnd w:id="31"/>
      <w:bookmarkEnd w:id="32"/>
    </w:p>
    <w:p>
      <w:pPr>
        <w:pStyle w:val="4"/>
        <w:numPr>
          <w:ilvl w:val="0"/>
          <w:numId w:val="23"/>
        </w:numPr>
        <w:kinsoku/>
        <w:wordWrap/>
        <w:overflowPunct/>
        <w:topLinePunct w:val="0"/>
        <w:autoSpaceDE/>
        <w:autoSpaceDN/>
        <w:bidi w:val="0"/>
        <w:spacing w:line="300" w:lineRule="auto"/>
        <w:ind w:left="0" w:leftChars="0" w:firstLine="0" w:firstLineChars="0"/>
        <w:rPr>
          <w:rFonts w:hint="eastAsia" w:ascii="宋体" w:hAnsi="宋体" w:eastAsia="宋体" w:cs="宋体"/>
          <w:b/>
          <w:bCs/>
          <w:color w:val="000000"/>
          <w:kern w:val="0"/>
          <w:sz w:val="21"/>
          <w:szCs w:val="21"/>
          <w:lang w:val="en-US" w:eastAsia="zh-CN" w:bidi="ar"/>
        </w:rPr>
      </w:pPr>
      <w:bookmarkStart w:id="33" w:name="_Toc27708"/>
      <w:bookmarkStart w:id="34" w:name="_Toc13092"/>
      <w:bookmarkStart w:id="35" w:name="_Toc25721"/>
      <w:r>
        <w:rPr>
          <w:rFonts w:hint="eastAsia" w:ascii="宋体" w:hAnsi="宋体" w:eastAsia="宋体" w:cs="宋体"/>
          <w:b/>
          <w:bCs/>
          <w:color w:val="000000"/>
          <w:kern w:val="0"/>
          <w:sz w:val="21"/>
          <w:szCs w:val="21"/>
          <w:lang w:val="en-US" w:eastAsia="zh-CN" w:bidi="ar"/>
        </w:rPr>
        <w:t>以上设备详细技术参数指标可能源自于某一品牌型号产品，除工程量清单</w:t>
      </w:r>
      <w:r>
        <w:rPr>
          <w:rFonts w:hint="eastAsia" w:hAnsi="宋体" w:cs="宋体"/>
          <w:b/>
          <w:bCs/>
          <w:color w:val="000000"/>
          <w:kern w:val="0"/>
          <w:sz w:val="21"/>
          <w:szCs w:val="21"/>
          <w:lang w:val="en-US" w:eastAsia="zh-CN" w:bidi="ar"/>
        </w:rPr>
        <w:t>与技术参数</w:t>
      </w:r>
      <w:r>
        <w:rPr>
          <w:rFonts w:hint="eastAsia" w:ascii="宋体" w:hAnsi="宋体" w:eastAsia="宋体" w:cs="宋体"/>
          <w:b/>
          <w:bCs/>
          <w:color w:val="000000"/>
          <w:kern w:val="0"/>
          <w:sz w:val="21"/>
          <w:szCs w:val="21"/>
          <w:lang w:val="en-US" w:eastAsia="zh-CN" w:bidi="ar"/>
        </w:rPr>
        <w:t>中明确的参考品牌外，请</w:t>
      </w:r>
      <w:r>
        <w:rPr>
          <w:rFonts w:hint="eastAsia" w:hAnsi="宋体" w:cs="宋体"/>
          <w:b/>
          <w:bCs/>
          <w:color w:val="000000"/>
          <w:kern w:val="0"/>
          <w:sz w:val="21"/>
          <w:szCs w:val="21"/>
          <w:lang w:val="en-US" w:eastAsia="zh-CN" w:bidi="ar"/>
        </w:rPr>
        <w:t>磋商供应商</w:t>
      </w:r>
      <w:r>
        <w:rPr>
          <w:rFonts w:hint="eastAsia" w:ascii="宋体" w:hAnsi="宋体" w:eastAsia="宋体" w:cs="宋体"/>
          <w:b/>
          <w:bCs/>
          <w:color w:val="000000"/>
          <w:kern w:val="0"/>
          <w:sz w:val="21"/>
          <w:szCs w:val="21"/>
          <w:lang w:val="en-US" w:eastAsia="zh-CN" w:bidi="ar"/>
        </w:rPr>
        <w:t>选择技术指标达到或优于以</w:t>
      </w:r>
      <w:r>
        <w:rPr>
          <w:rFonts w:hint="eastAsia" w:hAnsi="宋体" w:cs="宋体"/>
          <w:b/>
          <w:bCs/>
          <w:color w:val="000000"/>
          <w:kern w:val="0"/>
          <w:sz w:val="21"/>
          <w:szCs w:val="21"/>
          <w:lang w:val="en-US" w:eastAsia="zh-CN" w:bidi="ar"/>
        </w:rPr>
        <w:t>上</w:t>
      </w:r>
      <w:r>
        <w:rPr>
          <w:rFonts w:hint="eastAsia" w:ascii="宋体" w:hAnsi="宋体" w:eastAsia="宋体" w:cs="宋体"/>
          <w:b/>
          <w:bCs/>
          <w:color w:val="000000"/>
          <w:kern w:val="0"/>
          <w:sz w:val="21"/>
          <w:szCs w:val="21"/>
          <w:lang w:val="en-US" w:eastAsia="zh-CN" w:bidi="ar"/>
        </w:rPr>
        <w:t>要求的产品进行投标报价，并提供相应证明</w:t>
      </w:r>
      <w:r>
        <w:rPr>
          <w:rFonts w:hint="eastAsia" w:hAnsi="宋体" w:cs="宋体"/>
          <w:b/>
          <w:bCs/>
          <w:color w:val="000000"/>
          <w:kern w:val="0"/>
          <w:sz w:val="21"/>
          <w:szCs w:val="21"/>
          <w:lang w:val="en-US" w:eastAsia="zh-CN" w:bidi="ar"/>
        </w:rPr>
        <w:t>（若有）</w:t>
      </w:r>
      <w:r>
        <w:rPr>
          <w:rFonts w:hint="eastAsia" w:ascii="宋体" w:hAnsi="宋体" w:eastAsia="宋体" w:cs="宋体"/>
          <w:b/>
          <w:bCs/>
          <w:color w:val="000000"/>
          <w:kern w:val="0"/>
          <w:sz w:val="21"/>
          <w:szCs w:val="21"/>
          <w:lang w:val="en-US" w:eastAsia="zh-CN" w:bidi="ar"/>
        </w:rPr>
        <w:t>。</w:t>
      </w:r>
      <w:bookmarkEnd w:id="33"/>
      <w:bookmarkEnd w:id="34"/>
      <w:bookmarkEnd w:id="35"/>
    </w:p>
    <w:p>
      <w:pPr>
        <w:pStyle w:val="4"/>
        <w:numPr>
          <w:ilvl w:val="0"/>
          <w:numId w:val="23"/>
        </w:numPr>
        <w:kinsoku/>
        <w:wordWrap/>
        <w:overflowPunct/>
        <w:topLinePunct w:val="0"/>
        <w:autoSpaceDE/>
        <w:autoSpaceDN/>
        <w:bidi w:val="0"/>
        <w:spacing w:line="300" w:lineRule="auto"/>
        <w:ind w:left="0" w:leftChars="0" w:firstLine="0" w:firstLineChars="0"/>
        <w:rPr>
          <w:rFonts w:hint="eastAsia" w:ascii="宋体" w:hAnsi="宋体" w:eastAsia="宋体" w:cs="宋体"/>
          <w:b/>
          <w:bCs/>
          <w:color w:val="000000"/>
          <w:kern w:val="0"/>
          <w:sz w:val="21"/>
          <w:szCs w:val="21"/>
          <w:lang w:val="en-US" w:eastAsia="zh-CN" w:bidi="ar"/>
        </w:rPr>
      </w:pPr>
      <w:bookmarkStart w:id="36" w:name="_Toc11523"/>
      <w:bookmarkStart w:id="37" w:name="_Toc21614"/>
      <w:bookmarkStart w:id="38" w:name="_Toc17698"/>
      <w:r>
        <w:rPr>
          <w:rFonts w:hint="eastAsia" w:ascii="宋体" w:hAnsi="宋体" w:eastAsia="宋体" w:cs="宋体"/>
          <w:b/>
          <w:bCs/>
          <w:color w:val="000000"/>
          <w:kern w:val="0"/>
          <w:sz w:val="21"/>
          <w:szCs w:val="21"/>
          <w:lang w:val="en-US" w:eastAsia="zh-CN" w:bidi="ar"/>
        </w:rPr>
        <w:t>以上产品</w:t>
      </w:r>
      <w:r>
        <w:rPr>
          <w:rFonts w:hint="eastAsia" w:hAnsi="宋体" w:cs="宋体"/>
          <w:b/>
          <w:bCs/>
          <w:color w:val="000000"/>
          <w:kern w:val="0"/>
          <w:sz w:val="21"/>
          <w:szCs w:val="21"/>
          <w:lang w:val="en-US" w:eastAsia="zh-CN" w:bidi="ar"/>
        </w:rPr>
        <w:t>磋商</w:t>
      </w:r>
      <w:r>
        <w:rPr>
          <w:rFonts w:hint="eastAsia" w:ascii="宋体" w:hAnsi="宋体" w:eastAsia="宋体" w:cs="宋体"/>
          <w:b/>
          <w:bCs/>
          <w:color w:val="000000"/>
          <w:kern w:val="0"/>
          <w:sz w:val="21"/>
          <w:szCs w:val="21"/>
          <w:lang w:val="en-US" w:eastAsia="zh-CN" w:bidi="ar"/>
        </w:rPr>
        <w:t>时需提供所涉及产品原厂商针对本项目的授权书、质保函、证明函，如开标时不能提供，</w:t>
      </w:r>
      <w:r>
        <w:rPr>
          <w:rFonts w:hint="eastAsia" w:hAnsi="宋体" w:cs="宋体"/>
          <w:b/>
          <w:bCs/>
          <w:color w:val="000000"/>
          <w:kern w:val="0"/>
          <w:sz w:val="21"/>
          <w:szCs w:val="21"/>
          <w:lang w:val="en-US" w:eastAsia="zh-CN" w:bidi="ar"/>
        </w:rPr>
        <w:t>成交供应商</w:t>
      </w:r>
      <w:r>
        <w:rPr>
          <w:rFonts w:hint="eastAsia" w:ascii="宋体" w:hAnsi="宋体" w:eastAsia="宋体" w:cs="宋体"/>
          <w:b/>
          <w:bCs/>
          <w:color w:val="000000"/>
          <w:kern w:val="0"/>
          <w:sz w:val="21"/>
          <w:szCs w:val="21"/>
          <w:lang w:val="en-US" w:eastAsia="zh-CN" w:bidi="ar"/>
        </w:rPr>
        <w:t>在中标结果公示发出后五个工作日内提供原件，如不能按时提供，应作出相应的承诺，并向</w:t>
      </w:r>
      <w:r>
        <w:rPr>
          <w:rFonts w:hint="eastAsia" w:hAnsi="宋体" w:cs="宋体"/>
          <w:b/>
          <w:bCs/>
          <w:color w:val="000000"/>
          <w:kern w:val="0"/>
          <w:sz w:val="21"/>
          <w:szCs w:val="21"/>
          <w:lang w:val="en-US" w:eastAsia="zh-CN" w:bidi="ar"/>
        </w:rPr>
        <w:t>采购人</w:t>
      </w:r>
      <w:r>
        <w:rPr>
          <w:rFonts w:hint="eastAsia" w:ascii="宋体" w:hAnsi="宋体" w:eastAsia="宋体" w:cs="宋体"/>
          <w:b/>
          <w:bCs/>
          <w:color w:val="000000"/>
          <w:kern w:val="0"/>
          <w:sz w:val="21"/>
          <w:szCs w:val="21"/>
          <w:lang w:val="en-US" w:eastAsia="zh-CN" w:bidi="ar"/>
        </w:rPr>
        <w:t>交纳原厂授权书保证金人民币伍万元整,待质保期满后无息退还</w:t>
      </w:r>
      <w:r>
        <w:rPr>
          <w:rFonts w:hint="eastAsia" w:hAnsi="宋体" w:cs="宋体"/>
          <w:b/>
          <w:bCs/>
          <w:color w:val="000000"/>
          <w:kern w:val="0"/>
          <w:sz w:val="21"/>
          <w:szCs w:val="21"/>
          <w:lang w:val="en-US" w:eastAsia="zh-CN" w:bidi="ar"/>
        </w:rPr>
        <w:t>成交供应商</w:t>
      </w:r>
      <w:r>
        <w:rPr>
          <w:rFonts w:hint="eastAsia" w:ascii="宋体" w:hAnsi="宋体" w:eastAsia="宋体" w:cs="宋体"/>
          <w:b/>
          <w:bCs/>
          <w:color w:val="000000"/>
          <w:kern w:val="0"/>
          <w:sz w:val="21"/>
          <w:szCs w:val="21"/>
          <w:lang w:val="en-US" w:eastAsia="zh-CN" w:bidi="ar"/>
        </w:rPr>
        <w:t>。</w:t>
      </w:r>
      <w:r>
        <w:rPr>
          <w:rFonts w:hint="eastAsia" w:hAnsi="宋体" w:cs="宋体"/>
          <w:b/>
          <w:bCs/>
          <w:color w:val="000000"/>
          <w:kern w:val="0"/>
          <w:sz w:val="21"/>
          <w:szCs w:val="21"/>
          <w:lang w:val="en-US" w:eastAsia="zh-CN" w:bidi="ar"/>
        </w:rPr>
        <w:t>成交供应商</w:t>
      </w:r>
      <w:r>
        <w:rPr>
          <w:rFonts w:hint="eastAsia" w:ascii="宋体" w:hAnsi="宋体" w:eastAsia="宋体" w:cs="宋体"/>
          <w:b/>
          <w:bCs/>
          <w:color w:val="000000"/>
          <w:kern w:val="0"/>
          <w:sz w:val="21"/>
          <w:szCs w:val="21"/>
          <w:lang w:val="en-US" w:eastAsia="zh-CN" w:bidi="ar"/>
        </w:rPr>
        <w:t>供货时应向</w:t>
      </w:r>
      <w:r>
        <w:rPr>
          <w:rFonts w:hint="eastAsia" w:hAnsi="宋体" w:cs="宋体"/>
          <w:b/>
          <w:bCs/>
          <w:color w:val="000000"/>
          <w:kern w:val="0"/>
          <w:sz w:val="21"/>
          <w:szCs w:val="21"/>
          <w:lang w:val="en-US" w:eastAsia="zh-CN" w:bidi="ar"/>
        </w:rPr>
        <w:t>采购人</w:t>
      </w:r>
      <w:r>
        <w:rPr>
          <w:rFonts w:hint="eastAsia" w:ascii="宋体" w:hAnsi="宋体" w:eastAsia="宋体" w:cs="宋体"/>
          <w:b/>
          <w:bCs/>
          <w:color w:val="000000"/>
          <w:kern w:val="0"/>
          <w:sz w:val="21"/>
          <w:szCs w:val="21"/>
          <w:lang w:val="en-US" w:eastAsia="zh-CN" w:bidi="ar"/>
        </w:rPr>
        <w:t>提供设备使用说明书、保修卡等必要的有关资料，产品须符合行业质量认证，具有出厂合格证明。</w:t>
      </w:r>
      <w:bookmarkEnd w:id="36"/>
      <w:bookmarkEnd w:id="37"/>
      <w:bookmarkEnd w:id="38"/>
    </w:p>
    <w:p>
      <w:pPr>
        <w:pStyle w:val="4"/>
        <w:keepNext w:val="0"/>
        <w:keepLines w:val="0"/>
        <w:pageBreakBefore/>
        <w:kinsoku/>
        <w:overflowPunct/>
        <w:topLinePunct w:val="0"/>
        <w:bidi w:val="0"/>
        <w:spacing w:before="240" w:beforeLines="100" w:after="240" w:afterLines="100" w:line="300" w:lineRule="auto"/>
        <w:jc w:val="center"/>
      </w:pPr>
      <w:bookmarkStart w:id="39" w:name="_Toc21812"/>
      <w:r>
        <w:rPr>
          <w:rFonts w:hint="eastAsia" w:hAnsi="宋体"/>
          <w:sz w:val="28"/>
          <w:szCs w:val="36"/>
        </w:rPr>
        <w:t>第四部分  合同条款</w:t>
      </w:r>
      <w:bookmarkEnd w:id="24"/>
      <w:bookmarkEnd w:id="25"/>
      <w:bookmarkEnd w:id="39"/>
    </w:p>
    <w:p>
      <w:pPr>
        <w:kinsoku/>
        <w:overflowPunct/>
        <w:topLinePunct w:val="0"/>
        <w:bidi w:val="0"/>
        <w:spacing w:line="300" w:lineRule="auto"/>
        <w:jc w:val="center"/>
        <w:outlineLvl w:val="2"/>
        <w:rPr>
          <w:rFonts w:ascii="宋体" w:hAnsi="宋体"/>
          <w:b/>
          <w:sz w:val="28"/>
          <w:szCs w:val="28"/>
        </w:rPr>
      </w:pPr>
      <w:bookmarkStart w:id="40" w:name="_Toc403583612"/>
      <w:bookmarkStart w:id="41" w:name="_Toc455133948"/>
      <w:bookmarkStart w:id="42" w:name="_Toc423612091"/>
      <w:bookmarkStart w:id="43" w:name="_Toc388901826"/>
      <w:bookmarkStart w:id="44" w:name="_Toc476733969"/>
      <w:bookmarkStart w:id="45" w:name="_Toc16047"/>
      <w:bookmarkStart w:id="46" w:name="_Toc409706950"/>
      <w:bookmarkStart w:id="47" w:name="_Toc509902198"/>
      <w:bookmarkStart w:id="48" w:name="_Toc480985203"/>
      <w:bookmarkStart w:id="49" w:name="_Toc23193"/>
      <w:bookmarkStart w:id="50" w:name="_Toc18485"/>
      <w:bookmarkStart w:id="51" w:name="_Toc421287823"/>
      <w:bookmarkStart w:id="52" w:name="_Toc421260787"/>
      <w:r>
        <w:rPr>
          <w:rFonts w:hint="eastAsia" w:ascii="宋体" w:hAnsi="宋体"/>
          <w:b/>
          <w:sz w:val="28"/>
          <w:szCs w:val="28"/>
        </w:rPr>
        <w:t>第一节 合同协议书</w:t>
      </w:r>
      <w:bookmarkEnd w:id="40"/>
      <w:bookmarkEnd w:id="41"/>
      <w:bookmarkEnd w:id="42"/>
      <w:bookmarkEnd w:id="43"/>
      <w:bookmarkEnd w:id="44"/>
      <w:bookmarkEnd w:id="45"/>
      <w:bookmarkEnd w:id="46"/>
      <w:bookmarkEnd w:id="47"/>
      <w:bookmarkEnd w:id="48"/>
      <w:bookmarkEnd w:id="49"/>
      <w:bookmarkEnd w:id="50"/>
    </w:p>
    <w:p>
      <w:pPr>
        <w:kinsoku/>
        <w:overflowPunct/>
        <w:topLinePunct w:val="0"/>
        <w:bidi w:val="0"/>
        <w:spacing w:line="300" w:lineRule="auto"/>
        <w:rPr>
          <w:rFonts w:ascii="宋体" w:hAnsi="宋体"/>
          <w:szCs w:val="21"/>
          <w:u w:val="single"/>
        </w:rPr>
      </w:pPr>
      <w:r>
        <w:rPr>
          <w:rFonts w:ascii="宋体" w:hAnsi="宋体"/>
          <w:szCs w:val="21"/>
        </w:rPr>
        <w:t>发包人（全称）：</w:t>
      </w:r>
      <w:r>
        <w:rPr>
          <w:rFonts w:hint="eastAsia" w:ascii="宋体" w:hAnsi="宋体"/>
          <w:szCs w:val="21"/>
          <w:u w:val="single"/>
        </w:rPr>
        <w:t xml:space="preserve"> </w:t>
      </w:r>
      <w:r>
        <w:rPr>
          <w:rFonts w:ascii="宋体" w:hAnsi="宋体"/>
          <w:szCs w:val="21"/>
          <w:u w:val="single"/>
        </w:rPr>
        <w:t xml:space="preserve">                           </w:t>
      </w:r>
    </w:p>
    <w:p>
      <w:pPr>
        <w:kinsoku/>
        <w:overflowPunct/>
        <w:topLinePunct w:val="0"/>
        <w:bidi w:val="0"/>
        <w:spacing w:line="300" w:lineRule="auto"/>
        <w:rPr>
          <w:rFonts w:ascii="宋体" w:hAnsi="宋体"/>
          <w:szCs w:val="21"/>
          <w:u w:val="single"/>
        </w:rPr>
      </w:pPr>
      <w:r>
        <w:rPr>
          <w:rFonts w:ascii="宋体" w:hAnsi="宋体"/>
          <w:szCs w:val="21"/>
        </w:rPr>
        <w:t>承包人（全称）：</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kinsoku/>
        <w:overflowPunct/>
        <w:topLinePunct w:val="0"/>
        <w:bidi w:val="0"/>
        <w:spacing w:line="300" w:lineRule="auto"/>
        <w:ind w:firstLine="420" w:firstLineChars="200"/>
        <w:rPr>
          <w:rFonts w:ascii="宋体" w:hAnsi="宋体"/>
          <w:szCs w:val="21"/>
        </w:rPr>
      </w:pPr>
      <w:r>
        <w:rPr>
          <w:rFonts w:ascii="宋体" w:hAnsi="宋体"/>
          <w:szCs w:val="21"/>
        </w:rPr>
        <w:t>根据《中华人民共和国合同法》、《中华人民共和国建筑法》及有关法律规定，遵循平等、自愿、公平和诚实信用的原则，双方就</w:t>
      </w:r>
      <w:r>
        <w:rPr>
          <w:rFonts w:ascii="宋体" w:hAnsi="宋体"/>
          <w:szCs w:val="21"/>
          <w:u w:val="single"/>
        </w:rPr>
        <w:t xml:space="preserve">                       </w:t>
      </w:r>
      <w:r>
        <w:rPr>
          <w:rFonts w:ascii="宋体" w:hAnsi="宋体"/>
          <w:szCs w:val="21"/>
        </w:rPr>
        <w:t>工程施工及有关事项协商一致</w:t>
      </w:r>
      <w:r>
        <w:rPr>
          <w:rFonts w:hint="eastAsia" w:ascii="宋体" w:hAnsi="宋体"/>
          <w:szCs w:val="21"/>
        </w:rPr>
        <w:t>，</w:t>
      </w:r>
      <w:r>
        <w:rPr>
          <w:rFonts w:ascii="宋体" w:hAnsi="宋体"/>
          <w:szCs w:val="21"/>
        </w:rPr>
        <w:t>共同达成如下协议：</w:t>
      </w:r>
    </w:p>
    <w:p>
      <w:pPr>
        <w:kinsoku/>
        <w:overflowPunct/>
        <w:topLinePunct w:val="0"/>
        <w:bidi w:val="0"/>
        <w:spacing w:line="300" w:lineRule="auto"/>
        <w:ind w:firstLine="420" w:firstLineChars="200"/>
        <w:rPr>
          <w:rFonts w:ascii="宋体" w:hAnsi="宋体"/>
          <w:bCs/>
          <w:szCs w:val="21"/>
        </w:rPr>
      </w:pPr>
      <w:r>
        <w:rPr>
          <w:rFonts w:ascii="宋体" w:hAnsi="宋体"/>
          <w:bCs/>
          <w:szCs w:val="21"/>
        </w:rPr>
        <w:t>一、工程概况</w:t>
      </w:r>
    </w:p>
    <w:p>
      <w:pPr>
        <w:kinsoku/>
        <w:overflowPunct/>
        <w:topLinePunct w:val="0"/>
        <w:bidi w:val="0"/>
        <w:spacing w:line="300" w:lineRule="auto"/>
        <w:ind w:firstLine="411" w:firstLineChars="196"/>
        <w:rPr>
          <w:rFonts w:ascii="宋体" w:hAnsi="宋体"/>
          <w:szCs w:val="21"/>
          <w:u w:val="single"/>
        </w:rPr>
      </w:pPr>
      <w:r>
        <w:rPr>
          <w:rFonts w:ascii="宋体" w:hAnsi="宋体"/>
          <w:bCs/>
          <w:szCs w:val="21"/>
        </w:rPr>
        <w:t>1.工程名称</w:t>
      </w:r>
      <w:r>
        <w:rPr>
          <w:rFonts w:ascii="宋体" w:hAnsi="宋体"/>
          <w:szCs w:val="21"/>
        </w:rPr>
        <w:t>：</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kinsoku/>
        <w:overflowPunct/>
        <w:topLinePunct w:val="0"/>
        <w:bidi w:val="0"/>
        <w:spacing w:line="300" w:lineRule="auto"/>
        <w:ind w:firstLine="411" w:firstLineChars="196"/>
        <w:rPr>
          <w:rFonts w:ascii="宋体" w:hAnsi="宋体"/>
          <w:bCs/>
          <w:szCs w:val="21"/>
        </w:rPr>
      </w:pPr>
      <w:r>
        <w:rPr>
          <w:rFonts w:ascii="宋体" w:hAnsi="宋体"/>
          <w:bCs/>
          <w:szCs w:val="21"/>
        </w:rPr>
        <w:t>2.工程地点：</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kinsoku/>
        <w:overflowPunct/>
        <w:topLinePunct w:val="0"/>
        <w:bidi w:val="0"/>
        <w:spacing w:line="300" w:lineRule="auto"/>
        <w:ind w:firstLine="411" w:firstLineChars="196"/>
        <w:rPr>
          <w:rFonts w:ascii="宋体" w:hAnsi="宋体"/>
          <w:bCs/>
          <w:szCs w:val="21"/>
        </w:rPr>
      </w:pPr>
      <w:r>
        <w:rPr>
          <w:rFonts w:ascii="宋体" w:hAnsi="宋体"/>
          <w:bCs/>
          <w:szCs w:val="21"/>
        </w:rPr>
        <w:t>3.工程立项批准文号：</w:t>
      </w:r>
      <w:r>
        <w:rPr>
          <w:rFonts w:ascii="宋体" w:hAnsi="宋体"/>
          <w:szCs w:val="21"/>
          <w:u w:val="single"/>
        </w:rPr>
        <w:t xml:space="preserve"> </w:t>
      </w:r>
      <w:r>
        <w:rPr>
          <w:rFonts w:hint="eastAsia" w:ascii="宋体" w:hAnsi="宋体"/>
          <w:szCs w:val="21"/>
          <w:u w:val="single"/>
        </w:rPr>
        <w:t xml:space="preserve">                           </w:t>
      </w:r>
    </w:p>
    <w:p>
      <w:pPr>
        <w:kinsoku/>
        <w:overflowPunct/>
        <w:topLinePunct w:val="0"/>
        <w:bidi w:val="0"/>
        <w:spacing w:line="300" w:lineRule="auto"/>
        <w:ind w:firstLine="411" w:firstLineChars="196"/>
        <w:rPr>
          <w:rFonts w:ascii="宋体" w:hAnsi="宋体"/>
          <w:bCs/>
          <w:szCs w:val="21"/>
        </w:rPr>
      </w:pPr>
      <w:r>
        <w:rPr>
          <w:rFonts w:ascii="宋体" w:hAnsi="宋体"/>
          <w:bCs/>
          <w:szCs w:val="21"/>
        </w:rPr>
        <w:t>4.资金来源：</w:t>
      </w:r>
      <w:r>
        <w:rPr>
          <w:rFonts w:hint="eastAsia" w:ascii="宋体" w:hAnsi="宋体"/>
          <w:szCs w:val="21"/>
          <w:u w:val="single"/>
        </w:rPr>
        <w:t xml:space="preserve">                                     </w:t>
      </w:r>
    </w:p>
    <w:p>
      <w:pPr>
        <w:kinsoku/>
        <w:overflowPunct/>
        <w:topLinePunct w:val="0"/>
        <w:bidi w:val="0"/>
        <w:spacing w:line="300" w:lineRule="auto"/>
        <w:ind w:firstLine="411" w:firstLineChars="196"/>
        <w:rPr>
          <w:rFonts w:ascii="宋体" w:hAnsi="宋体"/>
          <w:bCs/>
          <w:szCs w:val="21"/>
        </w:rPr>
      </w:pPr>
      <w:r>
        <w:rPr>
          <w:rFonts w:hint="eastAsia" w:ascii="宋体" w:hAnsi="宋体"/>
          <w:bCs/>
          <w:szCs w:val="21"/>
        </w:rPr>
        <w:t>5.工程内容：</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MingLiU_HKSCS" w:hAnsi="MingLiU_HKSCS" w:cs="MingLiU_HKSCS"/>
          <w:szCs w:val="21"/>
          <w:u w:val="single"/>
        </w:rPr>
        <w:t xml:space="preserve"> </w:t>
      </w:r>
    </w:p>
    <w:p>
      <w:pPr>
        <w:kinsoku/>
        <w:overflowPunct/>
        <w:topLinePunct w:val="0"/>
        <w:bidi w:val="0"/>
        <w:spacing w:line="300" w:lineRule="auto"/>
        <w:ind w:firstLine="411" w:firstLineChars="196"/>
        <w:rPr>
          <w:rFonts w:ascii="宋体" w:hAnsi="宋体"/>
          <w:bCs/>
          <w:szCs w:val="21"/>
        </w:rPr>
      </w:pPr>
      <w:r>
        <w:rPr>
          <w:rFonts w:hint="eastAsia" w:ascii="宋体" w:hAnsi="宋体"/>
          <w:szCs w:val="21"/>
        </w:rPr>
        <w:t>群体工程应附《</w:t>
      </w:r>
      <w:r>
        <w:rPr>
          <w:rFonts w:ascii="宋体" w:hAnsi="宋体"/>
          <w:szCs w:val="21"/>
        </w:rPr>
        <w:t>承包人承揽工程项目一览表</w:t>
      </w:r>
      <w:r>
        <w:rPr>
          <w:rFonts w:hint="eastAsia" w:ascii="宋体" w:hAnsi="宋体"/>
          <w:szCs w:val="21"/>
        </w:rPr>
        <w:t>》（附件1）。</w:t>
      </w:r>
    </w:p>
    <w:p>
      <w:pPr>
        <w:kinsoku/>
        <w:overflowPunct/>
        <w:topLinePunct w:val="0"/>
        <w:bidi w:val="0"/>
        <w:spacing w:line="300" w:lineRule="auto"/>
        <w:ind w:firstLine="411" w:firstLineChars="196"/>
        <w:rPr>
          <w:rFonts w:ascii="宋体" w:hAnsi="宋体"/>
          <w:bCs/>
          <w:szCs w:val="21"/>
        </w:rPr>
      </w:pPr>
      <w:r>
        <w:rPr>
          <w:rFonts w:hint="eastAsia" w:ascii="宋体" w:hAnsi="宋体"/>
          <w:bCs/>
          <w:szCs w:val="21"/>
        </w:rPr>
        <w:t>6</w:t>
      </w:r>
      <w:r>
        <w:rPr>
          <w:rFonts w:ascii="宋体" w:hAnsi="宋体"/>
          <w:bCs/>
          <w:szCs w:val="21"/>
        </w:rPr>
        <w:t>.工程承包范围：</w:t>
      </w:r>
    </w:p>
    <w:p>
      <w:pPr>
        <w:kinsoku/>
        <w:overflowPunct/>
        <w:topLinePunct w:val="0"/>
        <w:bidi w:val="0"/>
        <w:spacing w:line="300" w:lineRule="auto"/>
        <w:ind w:firstLine="405" w:firstLineChars="193"/>
        <w:rPr>
          <w:rFonts w:ascii="宋体" w:hAnsi="宋体"/>
          <w:szCs w:val="21"/>
        </w:rPr>
      </w:pPr>
      <w:r>
        <w:rPr>
          <w:rFonts w:hint="eastAsia" w:ascii="宋体" w:hAnsi="宋体"/>
          <w:szCs w:val="21"/>
          <w:u w:val="single"/>
        </w:rPr>
        <w:t xml:space="preserve">                                                                </w:t>
      </w:r>
    </w:p>
    <w:p>
      <w:pPr>
        <w:kinsoku/>
        <w:overflowPunct/>
        <w:topLinePunct w:val="0"/>
        <w:bidi w:val="0"/>
        <w:spacing w:line="300" w:lineRule="auto"/>
        <w:ind w:firstLine="420" w:firstLineChars="200"/>
        <w:rPr>
          <w:rFonts w:ascii="宋体" w:hAnsi="宋体"/>
          <w:bCs/>
          <w:szCs w:val="21"/>
        </w:rPr>
      </w:pPr>
      <w:r>
        <w:rPr>
          <w:rFonts w:ascii="宋体" w:hAnsi="宋体"/>
          <w:bCs/>
          <w:szCs w:val="21"/>
        </w:rPr>
        <w:t>二、合同工期</w:t>
      </w:r>
    </w:p>
    <w:p>
      <w:pPr>
        <w:kinsoku/>
        <w:overflowPunct/>
        <w:topLinePunct w:val="0"/>
        <w:bidi w:val="0"/>
        <w:spacing w:line="300" w:lineRule="auto"/>
        <w:ind w:firstLine="459"/>
        <w:rPr>
          <w:rFonts w:ascii="宋体" w:hAnsi="宋体"/>
          <w:szCs w:val="21"/>
        </w:rPr>
      </w:pPr>
      <w:r>
        <w:rPr>
          <w:rFonts w:ascii="宋体" w:hAnsi="宋体"/>
          <w:szCs w:val="21"/>
        </w:rPr>
        <w:t>计划开工日期：</w:t>
      </w:r>
      <w:r>
        <w:rPr>
          <w:rFonts w:hint="eastAsia" w:ascii="宋体" w:hAnsi="宋体"/>
          <w:szCs w:val="21"/>
          <w:u w:val="single"/>
        </w:rPr>
        <w:t xml:space="preserve">      </w:t>
      </w:r>
      <w:r>
        <w:rPr>
          <w:rFonts w:ascii="宋体" w:hAnsi="宋体"/>
          <w:szCs w:val="21"/>
        </w:rPr>
        <w:t>年</w:t>
      </w:r>
      <w:r>
        <w:rPr>
          <w:rFonts w:hint="eastAsia"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ascii="宋体" w:hAnsi="宋体"/>
          <w:szCs w:val="21"/>
        </w:rPr>
        <w:t>日。</w:t>
      </w:r>
    </w:p>
    <w:p>
      <w:pPr>
        <w:kinsoku/>
        <w:overflowPunct/>
        <w:topLinePunct w:val="0"/>
        <w:bidi w:val="0"/>
        <w:spacing w:line="300" w:lineRule="auto"/>
        <w:ind w:firstLine="459"/>
        <w:rPr>
          <w:rFonts w:ascii="宋体" w:hAnsi="宋体"/>
          <w:szCs w:val="21"/>
        </w:rPr>
      </w:pPr>
      <w:r>
        <w:rPr>
          <w:rFonts w:ascii="宋体" w:hAnsi="宋体"/>
          <w:szCs w:val="21"/>
        </w:rPr>
        <w:t>计划竣工日期：</w:t>
      </w:r>
      <w:r>
        <w:rPr>
          <w:rFonts w:hint="eastAsia" w:ascii="宋体" w:hAnsi="宋体"/>
          <w:szCs w:val="21"/>
          <w:u w:val="single"/>
        </w:rPr>
        <w:t xml:space="preserve">      </w:t>
      </w:r>
      <w:r>
        <w:rPr>
          <w:rFonts w:ascii="宋体" w:hAnsi="宋体"/>
          <w:szCs w:val="21"/>
        </w:rPr>
        <w:t>年</w:t>
      </w:r>
      <w:r>
        <w:rPr>
          <w:rFonts w:hint="eastAsia"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ascii="宋体" w:hAnsi="宋体"/>
          <w:szCs w:val="21"/>
        </w:rPr>
        <w:t>日。</w:t>
      </w:r>
    </w:p>
    <w:p>
      <w:pPr>
        <w:kinsoku/>
        <w:overflowPunct/>
        <w:topLinePunct w:val="0"/>
        <w:bidi w:val="0"/>
        <w:spacing w:line="300" w:lineRule="auto"/>
        <w:ind w:firstLine="459"/>
        <w:rPr>
          <w:rFonts w:ascii="宋体" w:hAnsi="宋体"/>
          <w:szCs w:val="21"/>
        </w:rPr>
      </w:pPr>
      <w:r>
        <w:rPr>
          <w:rFonts w:ascii="宋体" w:hAnsi="宋体"/>
          <w:szCs w:val="21"/>
        </w:rPr>
        <w:t>工期总日历天数：</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天。工期总日历天数与根据前述计划开竣工日期计算的工期天数不一致的，以工期总日历天数为准。</w:t>
      </w:r>
    </w:p>
    <w:p>
      <w:pPr>
        <w:kinsoku/>
        <w:overflowPunct/>
        <w:topLinePunct w:val="0"/>
        <w:bidi w:val="0"/>
        <w:spacing w:line="300" w:lineRule="auto"/>
        <w:ind w:firstLine="420" w:firstLineChars="200"/>
        <w:rPr>
          <w:rFonts w:ascii="宋体" w:hAnsi="宋体"/>
          <w:bCs/>
          <w:szCs w:val="21"/>
        </w:rPr>
      </w:pPr>
      <w:r>
        <w:rPr>
          <w:rFonts w:ascii="宋体" w:hAnsi="宋体"/>
          <w:bCs/>
          <w:szCs w:val="21"/>
        </w:rPr>
        <w:t>三、质量标准</w:t>
      </w:r>
    </w:p>
    <w:p>
      <w:pPr>
        <w:kinsoku/>
        <w:overflowPunct/>
        <w:topLinePunct w:val="0"/>
        <w:bidi w:val="0"/>
        <w:spacing w:line="300" w:lineRule="auto"/>
        <w:ind w:firstLine="459"/>
        <w:rPr>
          <w:rFonts w:ascii="宋体" w:hAnsi="宋体"/>
          <w:szCs w:val="21"/>
        </w:rPr>
      </w:pPr>
      <w:r>
        <w:rPr>
          <w:rFonts w:ascii="宋体" w:hAnsi="宋体"/>
          <w:szCs w:val="21"/>
        </w:rPr>
        <w:t>工程质量符合</w:t>
      </w:r>
      <w:r>
        <w:rPr>
          <w:rFonts w:hint="eastAsia" w:ascii="MingLiU_HKSCS" w:hAnsi="MingLiU_HKSCS" w:cs="MingLiU_HKSCS"/>
          <w:szCs w:val="21"/>
          <w:u w:val="single"/>
        </w:rPr>
        <w:t xml:space="preserve"> </w:t>
      </w:r>
      <w:r>
        <w:rPr>
          <w:rFonts w:hint="eastAsia" w:ascii="宋体" w:hAnsi="宋体"/>
          <w:szCs w:val="21"/>
          <w:u w:val="single"/>
        </w:rPr>
        <w:t xml:space="preserve">         </w:t>
      </w:r>
      <w:r>
        <w:rPr>
          <w:rFonts w:hint="eastAsia" w:ascii="MingLiU_HKSCS" w:hAnsi="MingLiU_HKSCS" w:cs="MingLiU_HKSCS"/>
          <w:szCs w:val="21"/>
          <w:u w:val="single"/>
        </w:rPr>
        <w:t xml:space="preserve"> </w:t>
      </w:r>
      <w:r>
        <w:rPr>
          <w:rFonts w:ascii="宋体" w:hAnsi="宋体"/>
          <w:szCs w:val="21"/>
        </w:rPr>
        <w:t>标准。</w:t>
      </w:r>
    </w:p>
    <w:p>
      <w:pPr>
        <w:kinsoku/>
        <w:overflowPunct/>
        <w:topLinePunct w:val="0"/>
        <w:bidi w:val="0"/>
        <w:spacing w:line="300" w:lineRule="auto"/>
        <w:ind w:firstLine="420" w:firstLineChars="200"/>
        <w:rPr>
          <w:rFonts w:ascii="宋体" w:hAnsi="宋体"/>
          <w:bCs/>
          <w:szCs w:val="21"/>
        </w:rPr>
      </w:pPr>
      <w:r>
        <w:rPr>
          <w:rFonts w:ascii="宋体" w:hAnsi="宋体"/>
          <w:bCs/>
          <w:szCs w:val="21"/>
        </w:rPr>
        <w:t>四、签约合同价与合同价格形式</w:t>
      </w:r>
    </w:p>
    <w:p>
      <w:pPr>
        <w:kinsoku/>
        <w:overflowPunct/>
        <w:topLinePunct w:val="0"/>
        <w:bidi w:val="0"/>
        <w:spacing w:line="300" w:lineRule="auto"/>
        <w:ind w:firstLine="420" w:firstLineChars="200"/>
        <w:rPr>
          <w:rFonts w:ascii="宋体" w:hAnsi="宋体"/>
          <w:szCs w:val="21"/>
        </w:rPr>
      </w:pPr>
      <w:r>
        <w:rPr>
          <w:rFonts w:ascii="宋体" w:hAnsi="宋体"/>
          <w:szCs w:val="21"/>
        </w:rPr>
        <w:t>1.签约合同价为：</w:t>
      </w:r>
    </w:p>
    <w:p>
      <w:pPr>
        <w:kinsoku/>
        <w:overflowPunct/>
        <w:topLinePunct w:val="0"/>
        <w:bidi w:val="0"/>
        <w:spacing w:line="300" w:lineRule="auto"/>
        <w:ind w:firstLine="525" w:firstLineChars="250"/>
        <w:rPr>
          <w:rFonts w:ascii="宋体" w:hAnsi="宋体"/>
          <w:szCs w:val="21"/>
        </w:rPr>
      </w:pPr>
      <w:r>
        <w:rPr>
          <w:rFonts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元)；</w:t>
      </w:r>
    </w:p>
    <w:p>
      <w:pPr>
        <w:kinsoku/>
        <w:overflowPunct/>
        <w:topLinePunct w:val="0"/>
        <w:bidi w:val="0"/>
        <w:spacing w:line="300" w:lineRule="auto"/>
        <w:ind w:firstLine="420" w:firstLineChars="200"/>
        <w:rPr>
          <w:rFonts w:ascii="宋体" w:hAnsi="宋体"/>
          <w:szCs w:val="21"/>
        </w:rPr>
      </w:pPr>
      <w:r>
        <w:rPr>
          <w:rFonts w:ascii="宋体" w:hAnsi="宋体"/>
          <w:szCs w:val="21"/>
        </w:rPr>
        <w:t>其中：</w:t>
      </w:r>
    </w:p>
    <w:p>
      <w:pPr>
        <w:kinsoku/>
        <w:overflowPunct/>
        <w:topLinePunct w:val="0"/>
        <w:bidi w:val="0"/>
        <w:spacing w:line="300" w:lineRule="auto"/>
        <w:ind w:firstLine="420" w:firstLineChars="200"/>
        <w:rPr>
          <w:rFonts w:ascii="宋体" w:hAnsi="宋体"/>
          <w:szCs w:val="21"/>
        </w:rPr>
      </w:pPr>
      <w:r>
        <w:rPr>
          <w:rFonts w:ascii="宋体" w:hAnsi="宋体"/>
          <w:szCs w:val="21"/>
        </w:rPr>
        <w:t>（1）安全文明施工费：</w:t>
      </w:r>
    </w:p>
    <w:p>
      <w:pPr>
        <w:kinsoku/>
        <w:overflowPunct/>
        <w:topLinePunct w:val="0"/>
        <w:bidi w:val="0"/>
        <w:spacing w:line="300" w:lineRule="auto"/>
        <w:ind w:firstLine="945" w:firstLineChars="450"/>
        <w:rPr>
          <w:rFonts w:ascii="宋体" w:hAnsi="宋体"/>
          <w:szCs w:val="21"/>
        </w:rPr>
      </w:pPr>
      <w:r>
        <w:rPr>
          <w:rFonts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元)；</w:t>
      </w:r>
    </w:p>
    <w:p>
      <w:pPr>
        <w:kinsoku/>
        <w:overflowPunct/>
        <w:topLinePunct w:val="0"/>
        <w:bidi w:val="0"/>
        <w:spacing w:line="300" w:lineRule="auto"/>
        <w:ind w:firstLine="420" w:firstLineChars="200"/>
        <w:rPr>
          <w:rFonts w:ascii="宋体" w:hAnsi="宋体"/>
          <w:szCs w:val="21"/>
        </w:rPr>
      </w:pPr>
      <w:r>
        <w:rPr>
          <w:rFonts w:ascii="宋体" w:hAnsi="宋体"/>
          <w:szCs w:val="21"/>
        </w:rPr>
        <w:t>（2）材料和工程设备暂估价金额：</w:t>
      </w:r>
    </w:p>
    <w:p>
      <w:pPr>
        <w:kinsoku/>
        <w:overflowPunct/>
        <w:topLinePunct w:val="0"/>
        <w:bidi w:val="0"/>
        <w:spacing w:line="300" w:lineRule="auto"/>
        <w:ind w:firstLine="945" w:firstLineChars="450"/>
        <w:rPr>
          <w:rFonts w:ascii="宋体" w:hAnsi="宋体"/>
          <w:szCs w:val="21"/>
        </w:rPr>
      </w:pPr>
      <w:r>
        <w:rPr>
          <w:rFonts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元)；</w:t>
      </w:r>
    </w:p>
    <w:p>
      <w:pPr>
        <w:kinsoku/>
        <w:overflowPunct/>
        <w:topLinePunct w:val="0"/>
        <w:bidi w:val="0"/>
        <w:spacing w:line="300" w:lineRule="auto"/>
        <w:ind w:firstLine="420" w:firstLineChars="200"/>
        <w:rPr>
          <w:rFonts w:ascii="宋体" w:hAnsi="宋体"/>
          <w:szCs w:val="21"/>
        </w:rPr>
      </w:pPr>
      <w:r>
        <w:rPr>
          <w:rFonts w:ascii="宋体" w:hAnsi="宋体"/>
          <w:szCs w:val="21"/>
        </w:rPr>
        <w:t>（3）专业工程暂估价金额：</w:t>
      </w:r>
    </w:p>
    <w:p>
      <w:pPr>
        <w:kinsoku/>
        <w:overflowPunct/>
        <w:topLinePunct w:val="0"/>
        <w:bidi w:val="0"/>
        <w:spacing w:line="300" w:lineRule="auto"/>
        <w:ind w:firstLine="945" w:firstLineChars="450"/>
        <w:rPr>
          <w:rFonts w:ascii="宋体" w:hAnsi="宋体"/>
          <w:szCs w:val="21"/>
        </w:rPr>
      </w:pPr>
      <w:r>
        <w:rPr>
          <w:rFonts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元)；</w:t>
      </w:r>
    </w:p>
    <w:p>
      <w:pPr>
        <w:kinsoku/>
        <w:overflowPunct/>
        <w:topLinePunct w:val="0"/>
        <w:bidi w:val="0"/>
        <w:spacing w:line="300" w:lineRule="auto"/>
        <w:ind w:firstLine="420" w:firstLineChars="200"/>
        <w:rPr>
          <w:rFonts w:ascii="宋体" w:hAnsi="宋体"/>
          <w:szCs w:val="21"/>
        </w:rPr>
      </w:pPr>
      <w:r>
        <w:rPr>
          <w:rFonts w:ascii="宋体" w:hAnsi="宋体"/>
          <w:szCs w:val="21"/>
        </w:rPr>
        <w:t>（4）暂列金额：</w:t>
      </w:r>
    </w:p>
    <w:p>
      <w:pPr>
        <w:kinsoku/>
        <w:overflowPunct/>
        <w:topLinePunct w:val="0"/>
        <w:bidi w:val="0"/>
        <w:spacing w:line="300" w:lineRule="auto"/>
        <w:ind w:firstLine="945" w:firstLineChars="450"/>
        <w:rPr>
          <w:rFonts w:ascii="宋体" w:hAnsi="宋体"/>
          <w:szCs w:val="21"/>
        </w:rPr>
      </w:pPr>
      <w:r>
        <w:rPr>
          <w:rFonts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元)。</w:t>
      </w:r>
    </w:p>
    <w:p>
      <w:pPr>
        <w:kinsoku/>
        <w:overflowPunct/>
        <w:topLinePunct w:val="0"/>
        <w:bidi w:val="0"/>
        <w:spacing w:line="300" w:lineRule="auto"/>
        <w:ind w:firstLine="420" w:firstLineChars="200"/>
        <w:rPr>
          <w:rFonts w:ascii="宋体" w:hAnsi="宋体"/>
          <w:szCs w:val="21"/>
        </w:rPr>
      </w:pPr>
      <w:r>
        <w:rPr>
          <w:rFonts w:ascii="宋体" w:hAnsi="宋体"/>
          <w:szCs w:val="21"/>
        </w:rPr>
        <w:t>2.合同价格形式：</w:t>
      </w:r>
      <w:r>
        <w:rPr>
          <w:rFonts w:hint="eastAsia" w:ascii="宋体" w:hAnsi="宋体"/>
          <w:szCs w:val="21"/>
          <w:u w:val="single"/>
        </w:rPr>
        <w:t xml:space="preserve">                           </w:t>
      </w:r>
    </w:p>
    <w:p>
      <w:pPr>
        <w:kinsoku/>
        <w:overflowPunct/>
        <w:topLinePunct w:val="0"/>
        <w:bidi w:val="0"/>
        <w:spacing w:line="300" w:lineRule="auto"/>
        <w:ind w:firstLine="420" w:firstLineChars="200"/>
        <w:rPr>
          <w:rFonts w:ascii="宋体" w:hAnsi="宋体"/>
          <w:bCs/>
          <w:szCs w:val="21"/>
        </w:rPr>
      </w:pPr>
      <w:r>
        <w:rPr>
          <w:rFonts w:ascii="宋体" w:hAnsi="宋体"/>
          <w:bCs/>
          <w:szCs w:val="21"/>
        </w:rPr>
        <w:t>五、项目经理</w:t>
      </w:r>
    </w:p>
    <w:p>
      <w:pPr>
        <w:kinsoku/>
        <w:overflowPunct/>
        <w:topLinePunct w:val="0"/>
        <w:bidi w:val="0"/>
        <w:spacing w:line="300" w:lineRule="auto"/>
        <w:ind w:firstLine="420" w:firstLineChars="200"/>
        <w:rPr>
          <w:rFonts w:ascii="宋体" w:hAnsi="宋体"/>
          <w:szCs w:val="21"/>
        </w:rPr>
      </w:pPr>
      <w:r>
        <w:rPr>
          <w:rFonts w:ascii="宋体" w:hAnsi="宋体"/>
          <w:szCs w:val="21"/>
        </w:rPr>
        <w:t>承包人项目经理：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kinsoku/>
        <w:overflowPunct/>
        <w:topLinePunct w:val="0"/>
        <w:bidi w:val="0"/>
        <w:spacing w:line="300" w:lineRule="auto"/>
        <w:ind w:firstLine="420" w:firstLineChars="200"/>
        <w:rPr>
          <w:rFonts w:ascii="宋体" w:hAnsi="宋体"/>
          <w:bCs/>
          <w:szCs w:val="21"/>
        </w:rPr>
      </w:pPr>
      <w:r>
        <w:rPr>
          <w:rFonts w:ascii="宋体" w:hAnsi="宋体"/>
          <w:bCs/>
          <w:szCs w:val="21"/>
        </w:rPr>
        <w:t>六、合同文件构成</w:t>
      </w:r>
    </w:p>
    <w:p>
      <w:pPr>
        <w:kinsoku/>
        <w:overflowPunct/>
        <w:topLinePunct w:val="0"/>
        <w:bidi w:val="0"/>
        <w:spacing w:line="300" w:lineRule="auto"/>
        <w:ind w:firstLine="420" w:firstLineChars="200"/>
        <w:rPr>
          <w:rFonts w:ascii="宋体" w:hAnsi="宋体"/>
          <w:bCs/>
          <w:szCs w:val="21"/>
        </w:rPr>
      </w:pPr>
      <w:r>
        <w:rPr>
          <w:rFonts w:ascii="宋体" w:hAnsi="宋体"/>
          <w:bCs/>
          <w:szCs w:val="21"/>
        </w:rPr>
        <w:t>本协议书与下列文件一起构成合同文件：</w:t>
      </w:r>
    </w:p>
    <w:p>
      <w:pPr>
        <w:kinsoku/>
        <w:overflowPunct/>
        <w:topLinePunct w:val="0"/>
        <w:autoSpaceDE w:val="0"/>
        <w:autoSpaceDN w:val="0"/>
        <w:bidi w:val="0"/>
        <w:adjustRightInd w:val="0"/>
        <w:spacing w:line="300" w:lineRule="auto"/>
        <w:ind w:firstLine="420" w:firstLineChars="200"/>
        <w:rPr>
          <w:rFonts w:ascii="宋体" w:hAnsi="宋体"/>
          <w:szCs w:val="21"/>
        </w:rPr>
      </w:pPr>
      <w:r>
        <w:rPr>
          <w:rFonts w:ascii="宋体" w:hAnsi="宋体"/>
          <w:szCs w:val="21"/>
        </w:rPr>
        <w:t>（1）中标通知书（如果有）；</w:t>
      </w:r>
    </w:p>
    <w:p>
      <w:pPr>
        <w:kinsoku/>
        <w:overflowPunct/>
        <w:topLinePunct w:val="0"/>
        <w:autoSpaceDE w:val="0"/>
        <w:autoSpaceDN w:val="0"/>
        <w:bidi w:val="0"/>
        <w:adjustRightInd w:val="0"/>
        <w:spacing w:line="300" w:lineRule="auto"/>
        <w:ind w:firstLine="420" w:firstLineChars="200"/>
        <w:rPr>
          <w:rFonts w:ascii="宋体" w:hAnsi="宋体"/>
          <w:szCs w:val="21"/>
        </w:rPr>
      </w:pPr>
      <w:r>
        <w:rPr>
          <w:rFonts w:ascii="宋体" w:hAnsi="宋体"/>
          <w:szCs w:val="21"/>
        </w:rPr>
        <w:t>（2）</w:t>
      </w:r>
      <w:r>
        <w:rPr>
          <w:rFonts w:hint="eastAsia" w:ascii="宋体" w:hAnsi="宋体"/>
          <w:szCs w:val="21"/>
          <w:lang w:eastAsia="zh-CN"/>
        </w:rPr>
        <w:t>磋商函</w:t>
      </w:r>
      <w:r>
        <w:rPr>
          <w:rFonts w:ascii="宋体" w:hAnsi="宋体"/>
          <w:szCs w:val="21"/>
        </w:rPr>
        <w:t xml:space="preserve">及其附录（如果有）； </w:t>
      </w:r>
    </w:p>
    <w:p>
      <w:pPr>
        <w:kinsoku/>
        <w:overflowPunct/>
        <w:topLinePunct w:val="0"/>
        <w:autoSpaceDE w:val="0"/>
        <w:autoSpaceDN w:val="0"/>
        <w:bidi w:val="0"/>
        <w:adjustRightInd w:val="0"/>
        <w:spacing w:line="300" w:lineRule="auto"/>
        <w:ind w:firstLine="420" w:firstLineChars="200"/>
        <w:rPr>
          <w:rFonts w:ascii="宋体" w:hAnsi="宋体"/>
          <w:szCs w:val="21"/>
        </w:rPr>
      </w:pPr>
      <w:r>
        <w:rPr>
          <w:rFonts w:ascii="宋体" w:hAnsi="宋体"/>
          <w:szCs w:val="21"/>
        </w:rPr>
        <w:t>（3）专用合同条款及其附件；</w:t>
      </w:r>
    </w:p>
    <w:p>
      <w:pPr>
        <w:kinsoku/>
        <w:overflowPunct/>
        <w:topLinePunct w:val="0"/>
        <w:autoSpaceDE w:val="0"/>
        <w:autoSpaceDN w:val="0"/>
        <w:bidi w:val="0"/>
        <w:adjustRightInd w:val="0"/>
        <w:spacing w:line="300" w:lineRule="auto"/>
        <w:ind w:firstLine="420" w:firstLineChars="200"/>
        <w:rPr>
          <w:rFonts w:ascii="宋体" w:hAnsi="宋体"/>
          <w:szCs w:val="21"/>
        </w:rPr>
      </w:pPr>
      <w:r>
        <w:rPr>
          <w:rFonts w:ascii="宋体" w:hAnsi="宋体"/>
          <w:szCs w:val="21"/>
        </w:rPr>
        <w:t>（4）通用合同条款；</w:t>
      </w:r>
    </w:p>
    <w:p>
      <w:pPr>
        <w:kinsoku/>
        <w:overflowPunct/>
        <w:topLinePunct w:val="0"/>
        <w:autoSpaceDE w:val="0"/>
        <w:autoSpaceDN w:val="0"/>
        <w:bidi w:val="0"/>
        <w:adjustRightInd w:val="0"/>
        <w:spacing w:line="300" w:lineRule="auto"/>
        <w:ind w:firstLine="420" w:firstLineChars="200"/>
        <w:rPr>
          <w:rFonts w:ascii="宋体" w:hAnsi="宋体"/>
          <w:szCs w:val="21"/>
        </w:rPr>
      </w:pPr>
      <w:r>
        <w:rPr>
          <w:rFonts w:ascii="宋体" w:hAnsi="宋体"/>
          <w:szCs w:val="21"/>
        </w:rPr>
        <w:t>（5）技术资信标准和要求；</w:t>
      </w:r>
    </w:p>
    <w:p>
      <w:pPr>
        <w:kinsoku/>
        <w:overflowPunct/>
        <w:topLinePunct w:val="0"/>
        <w:autoSpaceDE w:val="0"/>
        <w:autoSpaceDN w:val="0"/>
        <w:bidi w:val="0"/>
        <w:adjustRightInd w:val="0"/>
        <w:spacing w:line="300" w:lineRule="auto"/>
        <w:ind w:firstLine="420" w:firstLineChars="200"/>
        <w:rPr>
          <w:rFonts w:ascii="宋体" w:hAnsi="宋体"/>
          <w:szCs w:val="21"/>
        </w:rPr>
      </w:pPr>
      <w:r>
        <w:rPr>
          <w:rFonts w:ascii="宋体" w:hAnsi="宋体"/>
          <w:szCs w:val="21"/>
        </w:rPr>
        <w:t>（6）图纸（如果有）；</w:t>
      </w:r>
    </w:p>
    <w:p>
      <w:pPr>
        <w:kinsoku/>
        <w:overflowPunct/>
        <w:topLinePunct w:val="0"/>
        <w:autoSpaceDE w:val="0"/>
        <w:autoSpaceDN w:val="0"/>
        <w:bidi w:val="0"/>
        <w:adjustRightInd w:val="0"/>
        <w:spacing w:line="300" w:lineRule="auto"/>
        <w:ind w:firstLine="420" w:firstLineChars="200"/>
        <w:rPr>
          <w:rFonts w:ascii="宋体" w:hAnsi="宋体"/>
          <w:szCs w:val="21"/>
        </w:rPr>
      </w:pPr>
      <w:r>
        <w:rPr>
          <w:rFonts w:ascii="宋体" w:hAnsi="宋体"/>
          <w:szCs w:val="21"/>
        </w:rPr>
        <w:t>（7）已标价工程量清单或预算书；</w:t>
      </w:r>
    </w:p>
    <w:p>
      <w:pPr>
        <w:kinsoku/>
        <w:overflowPunct/>
        <w:topLinePunct w:val="0"/>
        <w:autoSpaceDE w:val="0"/>
        <w:autoSpaceDN w:val="0"/>
        <w:bidi w:val="0"/>
        <w:adjustRightInd w:val="0"/>
        <w:spacing w:line="300" w:lineRule="auto"/>
        <w:ind w:firstLine="420" w:firstLineChars="200"/>
        <w:rPr>
          <w:rFonts w:ascii="宋体" w:hAnsi="宋体"/>
          <w:szCs w:val="21"/>
        </w:rPr>
      </w:pPr>
      <w:r>
        <w:rPr>
          <w:rFonts w:ascii="宋体" w:hAnsi="宋体"/>
          <w:szCs w:val="21"/>
        </w:rPr>
        <w:t>（8）其他合同文件。</w:t>
      </w:r>
    </w:p>
    <w:p>
      <w:pPr>
        <w:kinsoku/>
        <w:overflowPunct/>
        <w:topLinePunct w:val="0"/>
        <w:autoSpaceDE w:val="0"/>
        <w:autoSpaceDN w:val="0"/>
        <w:bidi w:val="0"/>
        <w:adjustRightInd w:val="0"/>
        <w:spacing w:line="300" w:lineRule="auto"/>
        <w:ind w:firstLine="420" w:firstLineChars="200"/>
        <w:rPr>
          <w:rFonts w:ascii="宋体" w:hAnsi="宋体"/>
          <w:szCs w:val="21"/>
        </w:rPr>
      </w:pPr>
      <w:r>
        <w:rPr>
          <w:rFonts w:ascii="宋体" w:hAnsi="宋体"/>
          <w:szCs w:val="21"/>
        </w:rPr>
        <w:t>在合同订立及履行过程中形成的与合同有关的文件均构成合同文件组成部分。</w:t>
      </w:r>
    </w:p>
    <w:p>
      <w:pPr>
        <w:kinsoku/>
        <w:overflowPunct/>
        <w:topLinePunct w:val="0"/>
        <w:autoSpaceDE w:val="0"/>
        <w:autoSpaceDN w:val="0"/>
        <w:bidi w:val="0"/>
        <w:adjustRightInd w:val="0"/>
        <w:spacing w:line="300" w:lineRule="auto"/>
        <w:ind w:firstLine="420" w:firstLineChars="200"/>
        <w:rPr>
          <w:rFonts w:ascii="宋体" w:hAnsi="宋体"/>
          <w:szCs w:val="21"/>
        </w:rPr>
      </w:pPr>
      <w:r>
        <w:rPr>
          <w:rFonts w:ascii="宋体" w:hAnsi="宋体"/>
          <w:szCs w:val="21"/>
        </w:rPr>
        <w:t>上述各项合同文件包括合同当事人就该项合同文件所作出的补充和修改，属于同一类内容的文件，应以最新签署的为准。</w:t>
      </w:r>
      <w:r>
        <w:rPr>
          <w:rFonts w:hint="eastAsia" w:ascii="宋体" w:hAnsi="宋体"/>
          <w:szCs w:val="21"/>
        </w:rPr>
        <w:t>专用合同条款及其附件须经合同当事人签字或盖章。</w:t>
      </w:r>
    </w:p>
    <w:p>
      <w:pPr>
        <w:kinsoku/>
        <w:overflowPunct/>
        <w:topLinePunct w:val="0"/>
        <w:bidi w:val="0"/>
        <w:spacing w:line="300" w:lineRule="auto"/>
        <w:ind w:firstLine="420" w:firstLineChars="200"/>
        <w:rPr>
          <w:rFonts w:ascii="宋体" w:hAnsi="宋体"/>
          <w:bCs/>
          <w:szCs w:val="21"/>
        </w:rPr>
      </w:pPr>
      <w:r>
        <w:rPr>
          <w:rFonts w:ascii="宋体" w:hAnsi="宋体"/>
          <w:bCs/>
          <w:szCs w:val="21"/>
        </w:rPr>
        <w:t>七、承诺</w:t>
      </w:r>
    </w:p>
    <w:p>
      <w:pPr>
        <w:kinsoku/>
        <w:overflowPunct/>
        <w:topLinePunct w:val="0"/>
        <w:bidi w:val="0"/>
        <w:spacing w:line="300" w:lineRule="auto"/>
        <w:ind w:firstLine="420" w:firstLineChars="200"/>
        <w:rPr>
          <w:rFonts w:ascii="宋体" w:hAnsi="宋体"/>
          <w:bCs/>
          <w:szCs w:val="21"/>
        </w:rPr>
      </w:pPr>
      <w:r>
        <w:rPr>
          <w:rFonts w:ascii="宋体" w:hAnsi="宋体"/>
          <w:bCs/>
          <w:szCs w:val="21"/>
        </w:rPr>
        <w:t>1.发包人承诺按照法律规定履行项目审批手续、筹集工程建设资金并按照合同约定的期限和方式支付合同价款。</w:t>
      </w:r>
    </w:p>
    <w:p>
      <w:pPr>
        <w:kinsoku/>
        <w:overflowPunct/>
        <w:topLinePunct w:val="0"/>
        <w:bidi w:val="0"/>
        <w:spacing w:line="300" w:lineRule="auto"/>
        <w:ind w:firstLine="420" w:firstLineChars="200"/>
        <w:rPr>
          <w:rFonts w:ascii="宋体" w:hAnsi="宋体"/>
          <w:bCs/>
          <w:szCs w:val="21"/>
        </w:rPr>
      </w:pPr>
      <w:r>
        <w:rPr>
          <w:rFonts w:ascii="宋体" w:hAnsi="宋体"/>
          <w:bCs/>
          <w:szCs w:val="21"/>
        </w:rPr>
        <w:t>2.承包人承诺按照法律规定及合同约定组织完成工程施工，确保工程质量和安全，不进行转包及违法分包，并在缺陷责任期及保修期内承担相应的工程维修责任。</w:t>
      </w:r>
    </w:p>
    <w:p>
      <w:pPr>
        <w:kinsoku/>
        <w:overflowPunct/>
        <w:topLinePunct w:val="0"/>
        <w:bidi w:val="0"/>
        <w:spacing w:line="300" w:lineRule="auto"/>
        <w:ind w:firstLine="420" w:firstLineChars="200"/>
        <w:rPr>
          <w:rFonts w:ascii="宋体" w:hAnsi="宋体"/>
          <w:bCs/>
          <w:szCs w:val="21"/>
        </w:rPr>
      </w:pPr>
      <w:r>
        <w:rPr>
          <w:rFonts w:ascii="宋体" w:hAnsi="宋体"/>
          <w:bCs/>
          <w:szCs w:val="21"/>
        </w:rPr>
        <w:t>3.发包人和承包人通过招投标形式签订合同的，双方理解并</w:t>
      </w:r>
      <w:r>
        <w:rPr>
          <w:rFonts w:hint="eastAsia" w:ascii="宋体" w:hAnsi="宋体"/>
          <w:bCs/>
          <w:szCs w:val="21"/>
        </w:rPr>
        <w:t>承诺</w:t>
      </w:r>
      <w:r>
        <w:rPr>
          <w:rFonts w:ascii="宋体" w:hAnsi="宋体"/>
          <w:bCs/>
          <w:szCs w:val="21"/>
        </w:rPr>
        <w:t>不再就同一工程另行签订与合同实质性内容相背离的协议。</w:t>
      </w:r>
    </w:p>
    <w:p>
      <w:pPr>
        <w:kinsoku/>
        <w:overflowPunct/>
        <w:topLinePunct w:val="0"/>
        <w:bidi w:val="0"/>
        <w:spacing w:line="300" w:lineRule="auto"/>
        <w:ind w:firstLine="420" w:firstLineChars="200"/>
        <w:rPr>
          <w:rFonts w:ascii="宋体" w:hAnsi="宋体"/>
          <w:bCs/>
          <w:szCs w:val="21"/>
        </w:rPr>
      </w:pPr>
      <w:r>
        <w:rPr>
          <w:rFonts w:ascii="宋体" w:hAnsi="宋体"/>
          <w:bCs/>
          <w:szCs w:val="21"/>
        </w:rPr>
        <w:t>八、词语含义</w:t>
      </w:r>
    </w:p>
    <w:p>
      <w:pPr>
        <w:kinsoku/>
        <w:overflowPunct/>
        <w:topLinePunct w:val="0"/>
        <w:bidi w:val="0"/>
        <w:spacing w:line="300" w:lineRule="auto"/>
        <w:ind w:firstLine="420" w:firstLineChars="200"/>
        <w:rPr>
          <w:rFonts w:ascii="宋体" w:hAnsi="宋体"/>
          <w:bCs/>
          <w:szCs w:val="21"/>
        </w:rPr>
      </w:pPr>
      <w:r>
        <w:rPr>
          <w:rFonts w:ascii="宋体" w:hAnsi="宋体"/>
          <w:bCs/>
          <w:szCs w:val="21"/>
        </w:rPr>
        <w:t>本协议书中词语含义与第二部分通用合同条款中赋予的含义相同。</w:t>
      </w:r>
    </w:p>
    <w:p>
      <w:pPr>
        <w:kinsoku/>
        <w:overflowPunct/>
        <w:topLinePunct w:val="0"/>
        <w:bidi w:val="0"/>
        <w:spacing w:line="300" w:lineRule="auto"/>
        <w:ind w:firstLine="420" w:firstLineChars="200"/>
        <w:rPr>
          <w:rFonts w:ascii="宋体" w:hAnsi="宋体"/>
          <w:bCs/>
          <w:szCs w:val="21"/>
        </w:rPr>
      </w:pPr>
      <w:r>
        <w:rPr>
          <w:rFonts w:ascii="宋体" w:hAnsi="宋体"/>
          <w:bCs/>
          <w:szCs w:val="21"/>
        </w:rPr>
        <w:t>九、签订时间</w:t>
      </w:r>
    </w:p>
    <w:p>
      <w:pPr>
        <w:kinsoku/>
        <w:overflowPunct/>
        <w:topLinePunct w:val="0"/>
        <w:bidi w:val="0"/>
        <w:spacing w:line="300" w:lineRule="auto"/>
        <w:ind w:firstLine="420" w:firstLineChars="200"/>
        <w:rPr>
          <w:rFonts w:ascii="宋体" w:hAnsi="宋体"/>
          <w:bCs/>
          <w:szCs w:val="21"/>
        </w:rPr>
      </w:pPr>
      <w:r>
        <w:rPr>
          <w:rFonts w:ascii="宋体" w:hAnsi="宋体"/>
          <w:bCs/>
          <w:szCs w:val="21"/>
        </w:rPr>
        <w:t>本合同于</w:t>
      </w:r>
      <w:r>
        <w:rPr>
          <w:rFonts w:ascii="宋体" w:hAnsi="宋体"/>
          <w:bCs/>
          <w:szCs w:val="21"/>
          <w:u w:val="single"/>
        </w:rPr>
        <w:t xml:space="preserve">         </w:t>
      </w:r>
      <w:r>
        <w:rPr>
          <w:rFonts w:ascii="宋体" w:hAnsi="宋体"/>
          <w:bCs/>
          <w:szCs w:val="21"/>
        </w:rPr>
        <w:t>年</w:t>
      </w:r>
      <w:r>
        <w:rPr>
          <w:rFonts w:ascii="宋体" w:hAnsi="宋体"/>
          <w:bCs/>
          <w:szCs w:val="21"/>
          <w:u w:val="single"/>
        </w:rPr>
        <w:t xml:space="preserve">    </w:t>
      </w:r>
      <w:r>
        <w:rPr>
          <w:rFonts w:ascii="宋体" w:hAnsi="宋体"/>
          <w:bCs/>
          <w:szCs w:val="21"/>
        </w:rPr>
        <w:t>月</w:t>
      </w:r>
      <w:r>
        <w:rPr>
          <w:rFonts w:ascii="宋体" w:hAnsi="宋体"/>
          <w:bCs/>
          <w:szCs w:val="21"/>
          <w:u w:val="single"/>
        </w:rPr>
        <w:t xml:space="preserve">    </w:t>
      </w:r>
      <w:r>
        <w:rPr>
          <w:rFonts w:ascii="宋体" w:hAnsi="宋体"/>
          <w:bCs/>
          <w:szCs w:val="21"/>
        </w:rPr>
        <w:t>日签订。</w:t>
      </w:r>
    </w:p>
    <w:p>
      <w:pPr>
        <w:kinsoku/>
        <w:overflowPunct/>
        <w:topLinePunct w:val="0"/>
        <w:bidi w:val="0"/>
        <w:spacing w:line="300" w:lineRule="auto"/>
        <w:ind w:firstLine="420" w:firstLineChars="200"/>
        <w:rPr>
          <w:rFonts w:ascii="宋体" w:hAnsi="宋体"/>
          <w:bCs/>
          <w:szCs w:val="21"/>
        </w:rPr>
      </w:pPr>
      <w:r>
        <w:rPr>
          <w:rFonts w:ascii="宋体" w:hAnsi="宋体"/>
          <w:szCs w:val="21"/>
        </w:rPr>
        <w:t>十、签订地点</w:t>
      </w:r>
    </w:p>
    <w:p>
      <w:pPr>
        <w:kinsoku/>
        <w:overflowPunct/>
        <w:topLinePunct w:val="0"/>
        <w:bidi w:val="0"/>
        <w:spacing w:line="300" w:lineRule="auto"/>
        <w:ind w:firstLine="420" w:firstLineChars="200"/>
        <w:rPr>
          <w:rFonts w:ascii="宋体" w:hAnsi="宋体"/>
          <w:bCs/>
          <w:szCs w:val="21"/>
        </w:rPr>
      </w:pPr>
      <w:r>
        <w:rPr>
          <w:rFonts w:ascii="宋体" w:hAnsi="宋体"/>
          <w:bCs/>
          <w:szCs w:val="21"/>
        </w:rPr>
        <w:t>本合同在</w:t>
      </w:r>
      <w:r>
        <w:rPr>
          <w:rFonts w:ascii="宋体" w:hAnsi="宋体"/>
          <w:bCs/>
          <w:szCs w:val="21"/>
          <w:u w:val="single"/>
        </w:rPr>
        <w:t xml:space="preserve">                                    </w:t>
      </w:r>
      <w:r>
        <w:rPr>
          <w:rFonts w:ascii="宋体" w:hAnsi="宋体"/>
          <w:bCs/>
          <w:szCs w:val="21"/>
        </w:rPr>
        <w:t>签订。</w:t>
      </w:r>
    </w:p>
    <w:p>
      <w:pPr>
        <w:kinsoku/>
        <w:overflowPunct/>
        <w:topLinePunct w:val="0"/>
        <w:bidi w:val="0"/>
        <w:spacing w:line="300" w:lineRule="auto"/>
        <w:ind w:firstLine="420" w:firstLineChars="200"/>
        <w:rPr>
          <w:rFonts w:ascii="宋体" w:hAnsi="宋体"/>
          <w:bCs/>
          <w:szCs w:val="21"/>
        </w:rPr>
      </w:pPr>
      <w:r>
        <w:rPr>
          <w:rFonts w:ascii="宋体" w:hAnsi="宋体"/>
          <w:szCs w:val="21"/>
        </w:rPr>
        <w:t>十一、补充协议</w:t>
      </w:r>
    </w:p>
    <w:p>
      <w:pPr>
        <w:kinsoku/>
        <w:overflowPunct/>
        <w:topLinePunct w:val="0"/>
        <w:bidi w:val="0"/>
        <w:spacing w:line="300" w:lineRule="auto"/>
        <w:ind w:firstLine="420" w:firstLineChars="200"/>
        <w:rPr>
          <w:rFonts w:ascii="宋体" w:hAnsi="宋体"/>
          <w:bCs/>
          <w:szCs w:val="21"/>
        </w:rPr>
      </w:pPr>
      <w:r>
        <w:rPr>
          <w:rFonts w:ascii="宋体" w:hAnsi="宋体"/>
          <w:bCs/>
          <w:szCs w:val="21"/>
        </w:rPr>
        <w:t>合同未尽事宜，合同当事人另行签订补充协议</w:t>
      </w:r>
      <w:r>
        <w:rPr>
          <w:rFonts w:hint="eastAsia" w:ascii="宋体" w:hAnsi="宋体"/>
          <w:bCs/>
          <w:szCs w:val="21"/>
        </w:rPr>
        <w:t>，</w:t>
      </w:r>
      <w:r>
        <w:rPr>
          <w:rFonts w:ascii="宋体" w:hAnsi="宋体"/>
          <w:bCs/>
          <w:szCs w:val="21"/>
        </w:rPr>
        <w:t>补充协议是合同的组成部分。</w:t>
      </w:r>
    </w:p>
    <w:p>
      <w:pPr>
        <w:kinsoku/>
        <w:overflowPunct/>
        <w:topLinePunct w:val="0"/>
        <w:bidi w:val="0"/>
        <w:spacing w:line="300" w:lineRule="auto"/>
        <w:ind w:firstLine="420" w:firstLineChars="200"/>
        <w:rPr>
          <w:rFonts w:ascii="宋体" w:hAnsi="宋体"/>
          <w:bCs/>
          <w:szCs w:val="21"/>
        </w:rPr>
      </w:pPr>
      <w:r>
        <w:rPr>
          <w:rFonts w:ascii="宋体" w:hAnsi="宋体"/>
          <w:szCs w:val="21"/>
        </w:rPr>
        <w:t>十二、合同生效</w:t>
      </w:r>
    </w:p>
    <w:p>
      <w:pPr>
        <w:kinsoku/>
        <w:overflowPunct/>
        <w:topLinePunct w:val="0"/>
        <w:bidi w:val="0"/>
        <w:spacing w:line="300" w:lineRule="auto"/>
        <w:ind w:firstLine="420" w:firstLineChars="200"/>
        <w:rPr>
          <w:rFonts w:ascii="宋体" w:hAnsi="宋体"/>
          <w:bCs/>
          <w:szCs w:val="21"/>
        </w:rPr>
      </w:pPr>
      <w:r>
        <w:rPr>
          <w:rFonts w:ascii="宋体" w:hAnsi="宋体"/>
          <w:bCs/>
          <w:szCs w:val="21"/>
        </w:rPr>
        <w:t>本合同自</w:t>
      </w:r>
      <w:r>
        <w:rPr>
          <w:rFonts w:ascii="宋体" w:hAnsi="宋体"/>
          <w:bCs/>
          <w:szCs w:val="21"/>
          <w:u w:val="single"/>
        </w:rPr>
        <w:t xml:space="preserve">                                   </w:t>
      </w:r>
      <w:r>
        <w:rPr>
          <w:rFonts w:ascii="宋体" w:hAnsi="宋体"/>
          <w:bCs/>
          <w:szCs w:val="21"/>
        </w:rPr>
        <w:t>生效。</w:t>
      </w:r>
    </w:p>
    <w:p>
      <w:pPr>
        <w:kinsoku/>
        <w:overflowPunct/>
        <w:topLinePunct w:val="0"/>
        <w:bidi w:val="0"/>
        <w:spacing w:line="300" w:lineRule="auto"/>
        <w:ind w:firstLine="420" w:firstLineChars="200"/>
        <w:rPr>
          <w:rFonts w:ascii="宋体" w:hAnsi="宋体"/>
          <w:bCs/>
          <w:szCs w:val="21"/>
        </w:rPr>
      </w:pPr>
      <w:r>
        <w:rPr>
          <w:rFonts w:ascii="宋体" w:hAnsi="宋体"/>
          <w:szCs w:val="21"/>
        </w:rPr>
        <w:t>十三、合同份数</w:t>
      </w:r>
    </w:p>
    <w:p>
      <w:pPr>
        <w:kinsoku/>
        <w:overflowPunct/>
        <w:topLinePunct w:val="0"/>
        <w:bidi w:val="0"/>
        <w:spacing w:line="300" w:lineRule="auto"/>
        <w:ind w:firstLine="420" w:firstLineChars="200"/>
        <w:rPr>
          <w:rFonts w:ascii="宋体" w:hAnsi="宋体"/>
          <w:bCs/>
          <w:szCs w:val="21"/>
        </w:rPr>
      </w:pPr>
      <w:r>
        <w:rPr>
          <w:rFonts w:ascii="宋体" w:hAnsi="宋体"/>
          <w:bCs/>
          <w:szCs w:val="21"/>
        </w:rPr>
        <w:t>本合同一式</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份，均具有同等法律效力，发包人执</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份，承包人执</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份。</w:t>
      </w:r>
    </w:p>
    <w:p>
      <w:pPr>
        <w:kinsoku/>
        <w:overflowPunct/>
        <w:topLinePunct w:val="0"/>
        <w:bidi w:val="0"/>
        <w:spacing w:line="300" w:lineRule="auto"/>
        <w:rPr>
          <w:rFonts w:ascii="宋体" w:hAnsi="宋体"/>
          <w:bCs/>
          <w:szCs w:val="21"/>
        </w:rPr>
      </w:pPr>
    </w:p>
    <w:p>
      <w:pPr>
        <w:kinsoku/>
        <w:overflowPunct/>
        <w:topLinePunct w:val="0"/>
        <w:bidi w:val="0"/>
        <w:spacing w:line="300" w:lineRule="auto"/>
        <w:rPr>
          <w:rFonts w:ascii="宋体" w:hAnsi="宋体"/>
          <w:szCs w:val="21"/>
        </w:rPr>
      </w:pPr>
      <w:r>
        <w:rPr>
          <w:rFonts w:ascii="宋体" w:hAnsi="宋体"/>
          <w:szCs w:val="21"/>
        </w:rPr>
        <w:t>发包人</w:t>
      </w:r>
      <w:r>
        <w:rPr>
          <w:rFonts w:hint="eastAsia" w:ascii="宋体" w:hAnsi="宋体"/>
          <w:szCs w:val="21"/>
        </w:rPr>
        <w:t xml:space="preserve">：  </w:t>
      </w:r>
      <w:r>
        <w:rPr>
          <w:rFonts w:ascii="宋体" w:hAnsi="宋体"/>
          <w:szCs w:val="21"/>
        </w:rPr>
        <w:t>(公章)</w:t>
      </w:r>
      <w:r>
        <w:rPr>
          <w:rFonts w:hint="eastAsia" w:ascii="宋体" w:hAnsi="宋体"/>
          <w:szCs w:val="21"/>
        </w:rPr>
        <w:t xml:space="preserve">                            </w:t>
      </w:r>
      <w:r>
        <w:rPr>
          <w:rFonts w:ascii="宋体" w:hAnsi="宋体"/>
          <w:szCs w:val="21"/>
        </w:rPr>
        <w:t>承包人</w:t>
      </w:r>
      <w:r>
        <w:rPr>
          <w:rFonts w:hint="eastAsia" w:ascii="宋体" w:hAnsi="宋体"/>
          <w:szCs w:val="21"/>
        </w:rPr>
        <w:t xml:space="preserve">：  </w:t>
      </w:r>
      <w:r>
        <w:rPr>
          <w:rFonts w:ascii="宋体" w:hAnsi="宋体"/>
          <w:szCs w:val="21"/>
        </w:rPr>
        <w:t>(公章)</w:t>
      </w:r>
    </w:p>
    <w:p>
      <w:pPr>
        <w:kinsoku/>
        <w:overflowPunct/>
        <w:topLinePunct w:val="0"/>
        <w:bidi w:val="0"/>
        <w:spacing w:line="300" w:lineRule="auto"/>
        <w:rPr>
          <w:rFonts w:ascii="宋体" w:hAnsi="宋体"/>
          <w:szCs w:val="21"/>
          <w:u w:val="single"/>
        </w:rPr>
      </w:pPr>
      <w:r>
        <w:rPr>
          <w:rFonts w:hint="eastAsia" w:ascii="宋体" w:hAnsi="宋体"/>
          <w:szCs w:val="21"/>
        </w:rPr>
        <w:t xml:space="preserve">                                 </w:t>
      </w:r>
    </w:p>
    <w:p>
      <w:pPr>
        <w:kinsoku/>
        <w:overflowPunct/>
        <w:topLinePunct w:val="0"/>
        <w:bidi w:val="0"/>
        <w:spacing w:line="300" w:lineRule="auto"/>
        <w:rPr>
          <w:rFonts w:ascii="宋体" w:hAnsi="宋体"/>
          <w:szCs w:val="21"/>
        </w:rPr>
      </w:pPr>
      <w:r>
        <w:rPr>
          <w:rFonts w:hint="eastAsia" w:ascii="宋体" w:hAnsi="宋体"/>
          <w:szCs w:val="21"/>
        </w:rPr>
        <w:t>法定代表人或其委托代理人：                  法定代表人或其委托代理人：</w:t>
      </w:r>
    </w:p>
    <w:p>
      <w:pPr>
        <w:kinsoku/>
        <w:overflowPunct/>
        <w:topLinePunct w:val="0"/>
        <w:bidi w:val="0"/>
        <w:spacing w:line="300" w:lineRule="auto"/>
        <w:rPr>
          <w:rFonts w:ascii="宋体" w:hAnsi="宋体"/>
          <w:szCs w:val="21"/>
        </w:rPr>
      </w:pPr>
      <w:r>
        <w:rPr>
          <w:rFonts w:hint="eastAsia" w:ascii="宋体" w:hAnsi="宋体"/>
          <w:szCs w:val="21"/>
        </w:rPr>
        <w:t>（签字或盖章）                              （签字或盖章）</w:t>
      </w:r>
    </w:p>
    <w:p>
      <w:pPr>
        <w:kinsoku/>
        <w:overflowPunct/>
        <w:topLinePunct w:val="0"/>
        <w:bidi w:val="0"/>
        <w:spacing w:line="300" w:lineRule="auto"/>
        <w:rPr>
          <w:rFonts w:ascii="宋体" w:hAnsi="宋体"/>
          <w:szCs w:val="21"/>
          <w:u w:val="single"/>
        </w:rPr>
      </w:pPr>
    </w:p>
    <w:p>
      <w:pPr>
        <w:tabs>
          <w:tab w:val="left" w:pos="4410"/>
        </w:tabs>
        <w:kinsoku/>
        <w:overflowPunct/>
        <w:topLinePunct w:val="0"/>
        <w:bidi w:val="0"/>
        <w:spacing w:line="300" w:lineRule="auto"/>
        <w:rPr>
          <w:rFonts w:ascii="宋体" w:hAnsi="宋体"/>
          <w:szCs w:val="21"/>
        </w:rPr>
      </w:pPr>
      <w:r>
        <w:rPr>
          <w:rFonts w:hint="eastAsia" w:ascii="宋体" w:hAnsi="宋体"/>
          <w:szCs w:val="21"/>
        </w:rPr>
        <w:t>组织机构代码：</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组织机构代码：</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p>
    <w:p>
      <w:pPr>
        <w:kinsoku/>
        <w:overflowPunct/>
        <w:topLinePunct w:val="0"/>
        <w:bidi w:val="0"/>
        <w:spacing w:line="300" w:lineRule="auto"/>
        <w:rPr>
          <w:rFonts w:ascii="宋体" w:hAnsi="宋体"/>
          <w:szCs w:val="21"/>
        </w:rPr>
      </w:pPr>
      <w:r>
        <w:rPr>
          <w:rFonts w:ascii="宋体" w:hAnsi="宋体"/>
          <w:szCs w:val="21"/>
        </w:rPr>
        <w:t>地  址：</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 xml:space="preserve">                </w:t>
      </w:r>
      <w:r>
        <w:rPr>
          <w:rFonts w:ascii="宋体" w:hAnsi="宋体"/>
          <w:szCs w:val="21"/>
        </w:rPr>
        <w:t>地  址：</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kinsoku/>
        <w:overflowPunct/>
        <w:topLinePunct w:val="0"/>
        <w:bidi w:val="0"/>
        <w:spacing w:line="300" w:lineRule="auto"/>
        <w:rPr>
          <w:rFonts w:ascii="宋体" w:hAnsi="宋体"/>
          <w:szCs w:val="21"/>
        </w:rPr>
      </w:pPr>
      <w:r>
        <w:rPr>
          <w:rFonts w:ascii="宋体" w:hAnsi="宋体"/>
          <w:szCs w:val="21"/>
        </w:rPr>
        <w:t>邮政编码：</w:t>
      </w:r>
      <w:r>
        <w:rPr>
          <w:rFonts w:hint="eastAsia"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 xml:space="preserve"> </w:t>
      </w:r>
      <w:r>
        <w:rPr>
          <w:rFonts w:ascii="宋体" w:hAnsi="宋体"/>
          <w:szCs w:val="21"/>
        </w:rPr>
        <w:t>邮政编码：</w:t>
      </w:r>
      <w:r>
        <w:rPr>
          <w:rFonts w:hint="eastAsia" w:ascii="宋体" w:hAnsi="宋体"/>
          <w:szCs w:val="21"/>
          <w:u w:val="single"/>
        </w:rPr>
        <w:t xml:space="preserve">                      </w:t>
      </w:r>
    </w:p>
    <w:p>
      <w:pPr>
        <w:kinsoku/>
        <w:overflowPunct/>
        <w:topLinePunct w:val="0"/>
        <w:bidi w:val="0"/>
        <w:spacing w:line="300" w:lineRule="auto"/>
        <w:rPr>
          <w:rFonts w:ascii="宋体" w:hAnsi="宋体"/>
          <w:szCs w:val="21"/>
        </w:rPr>
      </w:pPr>
      <w:r>
        <w:rPr>
          <w:rFonts w:ascii="宋体" w:hAnsi="宋体"/>
          <w:szCs w:val="21"/>
        </w:rPr>
        <w:t>法定代表人：</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法定代表人：</w:t>
      </w:r>
      <w:r>
        <w:rPr>
          <w:rFonts w:hint="eastAsia" w:ascii="宋体" w:hAnsi="宋体"/>
          <w:szCs w:val="21"/>
          <w:u w:val="single"/>
        </w:rPr>
        <w:t xml:space="preserve">                   </w:t>
      </w:r>
      <w:r>
        <w:rPr>
          <w:rFonts w:ascii="宋体" w:hAnsi="宋体"/>
          <w:szCs w:val="21"/>
          <w:u w:val="single"/>
        </w:rPr>
        <w:t xml:space="preserve"> </w:t>
      </w:r>
    </w:p>
    <w:p>
      <w:pPr>
        <w:kinsoku/>
        <w:overflowPunct/>
        <w:topLinePunct w:val="0"/>
        <w:bidi w:val="0"/>
        <w:spacing w:line="300" w:lineRule="auto"/>
        <w:rPr>
          <w:rFonts w:ascii="宋体" w:hAnsi="宋体"/>
          <w:szCs w:val="21"/>
        </w:rPr>
      </w:pPr>
      <w:r>
        <w:rPr>
          <w:rFonts w:ascii="宋体" w:hAnsi="宋体"/>
          <w:szCs w:val="21"/>
        </w:rPr>
        <w:t>委托代理人：</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委托代理人：</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kinsoku/>
        <w:overflowPunct/>
        <w:topLinePunct w:val="0"/>
        <w:bidi w:val="0"/>
        <w:spacing w:line="300" w:lineRule="auto"/>
        <w:rPr>
          <w:rFonts w:ascii="宋体" w:hAnsi="宋体"/>
          <w:szCs w:val="21"/>
        </w:rPr>
      </w:pPr>
      <w:r>
        <w:rPr>
          <w:rFonts w:ascii="宋体" w:hAnsi="宋体"/>
          <w:szCs w:val="21"/>
        </w:rPr>
        <w:t>电  话：</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电  话：</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kinsoku/>
        <w:overflowPunct/>
        <w:topLinePunct w:val="0"/>
        <w:bidi w:val="0"/>
        <w:spacing w:line="300" w:lineRule="auto"/>
        <w:rPr>
          <w:rFonts w:ascii="宋体" w:hAnsi="宋体"/>
          <w:szCs w:val="21"/>
        </w:rPr>
      </w:pPr>
      <w:r>
        <w:rPr>
          <w:rFonts w:ascii="宋体" w:hAnsi="宋体"/>
          <w:szCs w:val="21"/>
        </w:rPr>
        <w:t>传  真：</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传  真：</w:t>
      </w:r>
      <w:r>
        <w:rPr>
          <w:rFonts w:hint="eastAsia" w:ascii="宋体" w:hAnsi="宋体"/>
          <w:szCs w:val="21"/>
          <w:u w:val="single"/>
        </w:rPr>
        <w:t xml:space="preserve">                        </w:t>
      </w:r>
    </w:p>
    <w:p>
      <w:pPr>
        <w:kinsoku/>
        <w:overflowPunct/>
        <w:topLinePunct w:val="0"/>
        <w:bidi w:val="0"/>
        <w:spacing w:line="300" w:lineRule="auto"/>
        <w:rPr>
          <w:rFonts w:ascii="宋体" w:hAnsi="宋体"/>
          <w:szCs w:val="21"/>
        </w:rPr>
      </w:pPr>
      <w:r>
        <w:rPr>
          <w:rFonts w:ascii="宋体" w:hAnsi="宋体"/>
          <w:szCs w:val="21"/>
        </w:rPr>
        <w:t>电子信箱：</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电子信箱：</w:t>
      </w:r>
      <w:r>
        <w:rPr>
          <w:rFonts w:hint="eastAsia" w:ascii="宋体" w:hAnsi="宋体"/>
          <w:szCs w:val="21"/>
          <w:u w:val="single"/>
        </w:rPr>
        <w:t xml:space="preserve">                       </w:t>
      </w:r>
    </w:p>
    <w:p>
      <w:pPr>
        <w:kinsoku/>
        <w:overflowPunct/>
        <w:topLinePunct w:val="0"/>
        <w:bidi w:val="0"/>
        <w:spacing w:line="300" w:lineRule="auto"/>
        <w:rPr>
          <w:rFonts w:ascii="宋体" w:hAnsi="宋体"/>
          <w:szCs w:val="21"/>
        </w:rPr>
      </w:pPr>
      <w:r>
        <w:rPr>
          <w:rFonts w:ascii="宋体" w:hAnsi="宋体"/>
          <w:szCs w:val="21"/>
        </w:rPr>
        <w:t>开户银行：</w:t>
      </w:r>
      <w:r>
        <w:rPr>
          <w:rFonts w:hint="eastAsia"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开户银行：</w:t>
      </w:r>
      <w:r>
        <w:rPr>
          <w:rFonts w:hint="eastAsia" w:ascii="宋体" w:hAnsi="宋体"/>
          <w:szCs w:val="21"/>
          <w:u w:val="single"/>
        </w:rPr>
        <w:t xml:space="preserve">                       </w:t>
      </w:r>
    </w:p>
    <w:p>
      <w:pPr>
        <w:kinsoku/>
        <w:overflowPunct/>
        <w:topLinePunct w:val="0"/>
        <w:bidi w:val="0"/>
        <w:spacing w:line="300" w:lineRule="auto"/>
        <w:rPr>
          <w:rFonts w:ascii="宋体" w:hAnsi="宋体"/>
          <w:szCs w:val="21"/>
          <w:u w:val="single"/>
        </w:rPr>
      </w:pPr>
      <w:r>
        <w:rPr>
          <w:rFonts w:ascii="宋体" w:hAnsi="宋体"/>
          <w:szCs w:val="21"/>
        </w:rPr>
        <w:t>账  号：</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账</w:t>
      </w:r>
      <w:r>
        <w:rPr>
          <w:rFonts w:hint="eastAsia" w:ascii="宋体" w:hAnsi="宋体"/>
          <w:szCs w:val="21"/>
        </w:rPr>
        <w:t xml:space="preserve"> </w:t>
      </w:r>
      <w:r>
        <w:rPr>
          <w:rFonts w:ascii="宋体" w:hAnsi="宋体"/>
          <w:szCs w:val="21"/>
        </w:rPr>
        <w:t xml:space="preserve"> 号：</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kinsoku/>
        <w:overflowPunct/>
        <w:topLinePunct w:val="0"/>
        <w:bidi w:val="0"/>
        <w:spacing w:line="300" w:lineRule="auto"/>
        <w:rPr>
          <w:rFonts w:ascii="宋体" w:hAnsi="宋体"/>
          <w:szCs w:val="21"/>
          <w:u w:val="single"/>
        </w:rPr>
      </w:pPr>
    </w:p>
    <w:p>
      <w:pPr>
        <w:kinsoku/>
        <w:overflowPunct/>
        <w:topLinePunct w:val="0"/>
        <w:bidi w:val="0"/>
        <w:spacing w:line="300" w:lineRule="auto"/>
        <w:rPr>
          <w:rFonts w:ascii="宋体" w:hAnsi="宋体"/>
          <w:szCs w:val="21"/>
          <w:u w:val="single"/>
        </w:rPr>
      </w:pPr>
    </w:p>
    <w:p>
      <w:pPr>
        <w:kinsoku/>
        <w:overflowPunct/>
        <w:topLinePunct w:val="0"/>
        <w:bidi w:val="0"/>
        <w:spacing w:line="300" w:lineRule="auto"/>
        <w:rPr>
          <w:rFonts w:ascii="宋体" w:hAnsi="宋体"/>
          <w:szCs w:val="21"/>
          <w:u w:val="single"/>
        </w:rPr>
      </w:pPr>
    </w:p>
    <w:p>
      <w:pPr>
        <w:kinsoku/>
        <w:overflowPunct/>
        <w:topLinePunct w:val="0"/>
        <w:bidi w:val="0"/>
        <w:spacing w:line="300" w:lineRule="auto"/>
        <w:jc w:val="center"/>
        <w:outlineLvl w:val="2"/>
        <w:rPr>
          <w:rFonts w:ascii="宋体" w:hAnsi="宋体"/>
          <w:b/>
          <w:sz w:val="28"/>
          <w:szCs w:val="28"/>
        </w:rPr>
      </w:pPr>
      <w:bookmarkStart w:id="53" w:name="_Toc455133949"/>
      <w:bookmarkStart w:id="54" w:name="_Toc403583613"/>
      <w:bookmarkStart w:id="55" w:name="_Toc480985204"/>
      <w:bookmarkStart w:id="56" w:name="_Toc409706951"/>
      <w:bookmarkStart w:id="57" w:name="_Toc476733970"/>
      <w:bookmarkStart w:id="58" w:name="_Toc509902199"/>
      <w:bookmarkStart w:id="59" w:name="_Toc423612092"/>
      <w:bookmarkStart w:id="60" w:name="_Toc388901827"/>
      <w:r>
        <w:rPr>
          <w:rFonts w:hint="eastAsia" w:ascii="宋体" w:hAnsi="宋体"/>
          <w:b/>
          <w:sz w:val="28"/>
          <w:szCs w:val="28"/>
        </w:rPr>
        <w:br w:type="page"/>
      </w:r>
      <w:bookmarkStart w:id="61" w:name="_Toc19275"/>
      <w:bookmarkStart w:id="62" w:name="_Toc1400"/>
      <w:bookmarkStart w:id="63" w:name="_Toc17506"/>
      <w:r>
        <w:rPr>
          <w:rFonts w:hint="eastAsia" w:ascii="宋体" w:hAnsi="宋体"/>
          <w:b/>
          <w:sz w:val="28"/>
          <w:szCs w:val="28"/>
        </w:rPr>
        <w:t>第二节 通用合同条款（略）</w:t>
      </w:r>
      <w:bookmarkEnd w:id="53"/>
      <w:bookmarkEnd w:id="54"/>
      <w:bookmarkEnd w:id="55"/>
      <w:bookmarkEnd w:id="56"/>
      <w:bookmarkEnd w:id="57"/>
      <w:bookmarkEnd w:id="58"/>
      <w:bookmarkEnd w:id="59"/>
      <w:bookmarkEnd w:id="60"/>
      <w:bookmarkEnd w:id="61"/>
      <w:bookmarkEnd w:id="62"/>
      <w:bookmarkEnd w:id="63"/>
    </w:p>
    <w:p>
      <w:pPr>
        <w:kinsoku/>
        <w:overflowPunct/>
        <w:topLinePunct w:val="0"/>
        <w:bidi w:val="0"/>
        <w:spacing w:line="300" w:lineRule="auto"/>
        <w:ind w:firstLine="480" w:firstLineChars="200"/>
        <w:rPr>
          <w:rFonts w:ascii="宋体" w:hAnsi="宋体"/>
          <w:sz w:val="24"/>
          <w:szCs w:val="21"/>
        </w:rPr>
      </w:pPr>
    </w:p>
    <w:p>
      <w:pPr>
        <w:kinsoku/>
        <w:overflowPunct/>
        <w:topLinePunct w:val="0"/>
        <w:bidi w:val="0"/>
        <w:spacing w:line="300" w:lineRule="auto"/>
        <w:rPr>
          <w:rFonts w:ascii="宋体" w:hAnsi="宋体"/>
          <w:szCs w:val="21"/>
        </w:rPr>
      </w:pPr>
      <w:r>
        <w:rPr>
          <w:rFonts w:hint="eastAsia" w:ascii="宋体" w:hAnsi="宋体"/>
          <w:szCs w:val="21"/>
        </w:rPr>
        <w:t>通用合同条款使用住房城乡建设部、工商总局</w:t>
      </w:r>
      <w:r>
        <w:rPr>
          <w:rFonts w:ascii="宋体" w:hAnsi="宋体"/>
          <w:szCs w:val="21"/>
        </w:rPr>
        <w:t>201</w:t>
      </w:r>
      <w:r>
        <w:rPr>
          <w:rFonts w:hint="eastAsia" w:ascii="宋体" w:hAnsi="宋体"/>
          <w:szCs w:val="21"/>
        </w:rPr>
        <w:t>7年02月01日印发的“住房城乡建设部 工商总局关于印发建设工程施工合同（示范文本）的通知”（建市[2017]56号）</w:t>
      </w:r>
    </w:p>
    <w:p>
      <w:pPr>
        <w:pStyle w:val="5"/>
        <w:kinsoku/>
        <w:overflowPunct/>
        <w:topLinePunct w:val="0"/>
        <w:bidi w:val="0"/>
        <w:spacing w:before="72" w:after="72" w:line="300" w:lineRule="auto"/>
        <w:jc w:val="center"/>
        <w:sectPr>
          <w:footerReference r:id="rId4" w:type="default"/>
          <w:pgSz w:w="11906" w:h="16838"/>
          <w:pgMar w:top="1588" w:right="1701" w:bottom="1418" w:left="1701" w:header="851" w:footer="737" w:gutter="0"/>
          <w:pgNumType w:fmt="numberInDash" w:start="1"/>
          <w:cols w:space="720" w:num="1"/>
          <w:docGrid w:linePitch="312" w:charSpace="0"/>
        </w:sectPr>
      </w:pPr>
    </w:p>
    <w:p>
      <w:pPr>
        <w:kinsoku/>
        <w:overflowPunct/>
        <w:topLinePunct w:val="0"/>
        <w:bidi w:val="0"/>
        <w:spacing w:line="300" w:lineRule="auto"/>
        <w:jc w:val="center"/>
        <w:outlineLvl w:val="2"/>
        <w:rPr>
          <w:rFonts w:ascii="宋体" w:hAnsi="宋体"/>
          <w:b/>
          <w:sz w:val="28"/>
          <w:szCs w:val="28"/>
        </w:rPr>
      </w:pPr>
      <w:bookmarkStart w:id="64" w:name="_Toc509902200"/>
      <w:bookmarkStart w:id="65" w:name="_Toc480985205"/>
      <w:bookmarkStart w:id="66" w:name="_Toc1431"/>
      <w:bookmarkStart w:id="67" w:name="_Toc12119"/>
      <w:bookmarkStart w:id="68" w:name="_Toc476733971"/>
      <w:bookmarkStart w:id="69" w:name="_Toc15315"/>
      <w:r>
        <w:rPr>
          <w:rFonts w:hint="eastAsia" w:ascii="宋体" w:hAnsi="宋体"/>
          <w:b/>
          <w:sz w:val="28"/>
          <w:szCs w:val="28"/>
        </w:rPr>
        <w:t>第三节 专用合同条款</w:t>
      </w:r>
      <w:bookmarkEnd w:id="51"/>
      <w:bookmarkEnd w:id="52"/>
      <w:bookmarkEnd w:id="64"/>
      <w:bookmarkEnd w:id="65"/>
      <w:bookmarkEnd w:id="66"/>
      <w:bookmarkEnd w:id="67"/>
      <w:bookmarkEnd w:id="68"/>
      <w:bookmarkEnd w:id="69"/>
    </w:p>
    <w:p>
      <w:pPr>
        <w:pStyle w:val="5"/>
        <w:kinsoku/>
        <w:overflowPunct/>
        <w:topLinePunct w:val="0"/>
        <w:bidi w:val="0"/>
        <w:spacing w:line="300" w:lineRule="auto"/>
      </w:pPr>
      <w:bookmarkStart w:id="70" w:name="_Toc513214603"/>
      <w:bookmarkStart w:id="71" w:name="_Toc474503066"/>
      <w:bookmarkStart w:id="72" w:name="_Toc512604449"/>
      <w:bookmarkStart w:id="73" w:name="_Toc527029561"/>
      <w:bookmarkStart w:id="74" w:name="_Toc421260788"/>
      <w:bookmarkStart w:id="75" w:name="_Toc513209217"/>
      <w:bookmarkStart w:id="76" w:name="_Toc513038381"/>
      <w:bookmarkStart w:id="77" w:name="_Toc476733972"/>
      <w:bookmarkStart w:id="78" w:name="_Toc509902201"/>
      <w:bookmarkStart w:id="79" w:name="_Toc480985206"/>
      <w:bookmarkStart w:id="80" w:name="_Toc511635755"/>
      <w:bookmarkStart w:id="81" w:name="_Toc490491793"/>
      <w:bookmarkStart w:id="82" w:name="_Toc24890"/>
      <w:bookmarkStart w:id="83" w:name="_Toc421287824"/>
      <w:bookmarkStart w:id="84" w:name="_Toc511649732"/>
      <w:bookmarkStart w:id="85" w:name="_Toc14729"/>
      <w:bookmarkStart w:id="86" w:name="_Toc23279"/>
      <w:bookmarkStart w:id="87" w:name="_Toc1802"/>
      <w:bookmarkStart w:id="88" w:name="_Toc3903904"/>
      <w:bookmarkStart w:id="89" w:name="_Toc6772"/>
      <w:bookmarkStart w:id="90" w:name="_Toc18169"/>
      <w:bookmarkStart w:id="91" w:name="_Toc30106"/>
      <w:bookmarkStart w:id="92" w:name="_Toc26723"/>
      <w:bookmarkStart w:id="93" w:name="_Toc16128"/>
      <w:r>
        <w:rPr>
          <w:rFonts w:hint="eastAsia"/>
        </w:rPr>
        <w:t>1. 一般约定</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6"/>
        <w:kinsoku/>
        <w:overflowPunct/>
        <w:topLinePunct w:val="0"/>
        <w:bidi w:val="0"/>
        <w:spacing w:line="300" w:lineRule="auto"/>
      </w:pPr>
      <w:bookmarkStart w:id="94" w:name="_Toc17847"/>
      <w:bookmarkStart w:id="95" w:name="_Toc31921"/>
      <w:bookmarkStart w:id="96" w:name="_Toc513214604"/>
      <w:bookmarkStart w:id="97" w:name="_Toc13203"/>
      <w:bookmarkStart w:id="98" w:name="_Toc511649733"/>
      <w:bookmarkStart w:id="99" w:name="_Toc513209218"/>
      <w:bookmarkStart w:id="100" w:name="_Toc490491794"/>
      <w:bookmarkStart w:id="101" w:name="_Toc511635756"/>
      <w:bookmarkStart w:id="102" w:name="_Toc527029562"/>
      <w:bookmarkStart w:id="103" w:name="_Toc7172"/>
      <w:bookmarkStart w:id="104" w:name="_Toc509902202"/>
      <w:bookmarkStart w:id="105" w:name="_Toc28157"/>
      <w:bookmarkStart w:id="106" w:name="_Toc513038382"/>
      <w:bookmarkStart w:id="107" w:name="_Toc17"/>
      <w:bookmarkStart w:id="108" w:name="_Toc3903905"/>
      <w:bookmarkStart w:id="109" w:name="_Toc17494"/>
      <w:bookmarkStart w:id="110" w:name="_Toc512604450"/>
      <w:bookmarkStart w:id="111" w:name="_Toc480985207"/>
      <w:bookmarkStart w:id="112" w:name="_Toc9820"/>
      <w:bookmarkStart w:id="113" w:name="_Toc17264"/>
      <w:bookmarkStart w:id="114" w:name="_Toc476733973"/>
      <w:r>
        <w:rPr>
          <w:rFonts w:hint="eastAsia"/>
        </w:rPr>
        <w:t>1.1 词语定义</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kinsoku/>
        <w:overflowPunct/>
        <w:topLinePunct w:val="0"/>
        <w:bidi w:val="0"/>
        <w:spacing w:line="300" w:lineRule="auto"/>
      </w:pPr>
      <w:r>
        <w:t>1.1.1合同</w:t>
      </w:r>
    </w:p>
    <w:p>
      <w:pPr>
        <w:kinsoku/>
        <w:overflowPunct/>
        <w:topLinePunct w:val="0"/>
        <w:bidi w:val="0"/>
        <w:spacing w:line="300" w:lineRule="auto"/>
        <w:rPr>
          <w:szCs w:val="21"/>
          <w:u w:val="single"/>
        </w:rPr>
      </w:pPr>
      <w:r>
        <w:t>1.1.1.10其他合同文件包括：</w:t>
      </w: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u w:val="single"/>
        </w:rPr>
        <w:t>磋商文件、</w:t>
      </w:r>
      <w:r>
        <w:rPr>
          <w:u w:val="single"/>
        </w:rPr>
        <w:fldChar w:fldCharType="begin"/>
      </w:r>
      <w:r>
        <w:rPr>
          <w:u w:val="single"/>
        </w:rPr>
        <w:instrText xml:space="preserve"> </w:instrText>
      </w:r>
      <w:r>
        <w:rPr>
          <w:rFonts w:hint="eastAsia"/>
          <w:u w:val="single"/>
        </w:rPr>
        <w:instrText xml:space="preserve">= 2 \* GB3</w:instrText>
      </w:r>
      <w:r>
        <w:rPr>
          <w:u w:val="single"/>
        </w:rPr>
        <w:instrText xml:space="preserve"> </w:instrText>
      </w:r>
      <w:r>
        <w:rPr>
          <w:u w:val="single"/>
        </w:rPr>
        <w:fldChar w:fldCharType="separate"/>
      </w:r>
      <w:r>
        <w:rPr>
          <w:rFonts w:hint="eastAsia"/>
          <w:u w:val="single"/>
        </w:rPr>
        <w:t>②</w:t>
      </w:r>
      <w:r>
        <w:rPr>
          <w:u w:val="single"/>
        </w:rPr>
        <w:fldChar w:fldCharType="end"/>
      </w:r>
      <w:r>
        <w:rPr>
          <w:u w:val="single"/>
        </w:rPr>
        <w:t>磋商文件的澄清</w:t>
      </w:r>
      <w:r>
        <w:rPr>
          <w:rFonts w:hint="eastAsia"/>
          <w:u w:val="single"/>
        </w:rPr>
        <w:t>、</w:t>
      </w:r>
      <w:r>
        <w:rPr>
          <w:u w:val="single"/>
        </w:rPr>
        <w:t>修改、补充文件</w:t>
      </w:r>
      <w:r>
        <w:rPr>
          <w:rFonts w:hint="eastAsia"/>
          <w:u w:val="single"/>
        </w:rPr>
        <w:t>、</w:t>
      </w:r>
      <w:r>
        <w:rPr>
          <w:u w:val="single"/>
        </w:rPr>
        <w:fldChar w:fldCharType="begin"/>
      </w:r>
      <w:r>
        <w:rPr>
          <w:u w:val="single"/>
        </w:rPr>
        <w:instrText xml:space="preserve"> </w:instrText>
      </w:r>
      <w:r>
        <w:rPr>
          <w:rFonts w:hint="eastAsia"/>
          <w:u w:val="single"/>
        </w:rPr>
        <w:instrText xml:space="preserve">= 3 \* GB3</w:instrText>
      </w:r>
      <w:r>
        <w:rPr>
          <w:u w:val="single"/>
        </w:rPr>
        <w:instrText xml:space="preserve"> </w:instrText>
      </w:r>
      <w:r>
        <w:rPr>
          <w:u w:val="single"/>
        </w:rPr>
        <w:fldChar w:fldCharType="separate"/>
      </w:r>
      <w:r>
        <w:rPr>
          <w:rFonts w:hint="eastAsia"/>
          <w:u w:val="single"/>
        </w:rPr>
        <w:t>③</w:t>
      </w:r>
      <w:r>
        <w:rPr>
          <w:u w:val="single"/>
        </w:rPr>
        <w:fldChar w:fldCharType="end"/>
      </w:r>
      <w:r>
        <w:rPr>
          <w:rFonts w:hint="eastAsia"/>
          <w:u w:val="single"/>
        </w:rPr>
        <w:t>经合同当事人约定的与工程施工有关的具有合同约束力的文件或书面协议，</w:t>
      </w:r>
      <w:r>
        <w:rPr>
          <w:u w:val="single"/>
        </w:rPr>
        <w:t>如 “</w:t>
      </w:r>
      <w:r>
        <w:rPr>
          <w:rFonts w:hint="eastAsia"/>
          <w:u w:val="single"/>
        </w:rPr>
        <w:t>履约</w:t>
      </w:r>
      <w:r>
        <w:rPr>
          <w:u w:val="single"/>
        </w:rPr>
        <w:t>过程中经发承包双方</w:t>
      </w:r>
      <w:r>
        <w:rPr>
          <w:rFonts w:hint="eastAsia"/>
          <w:u w:val="single"/>
        </w:rPr>
        <w:t>确认</w:t>
      </w:r>
      <w:r>
        <w:rPr>
          <w:u w:val="single"/>
        </w:rPr>
        <w:t>的会议纪要”</w:t>
      </w:r>
      <w:r>
        <w:rPr>
          <w:rFonts w:hint="eastAsia"/>
          <w:u w:val="single"/>
        </w:rPr>
        <w:t xml:space="preserve">等 </w:t>
      </w:r>
      <w:r>
        <w:rPr>
          <w:rFonts w:hint="eastAsia"/>
        </w:rPr>
        <w:t>。</w:t>
      </w:r>
    </w:p>
    <w:p>
      <w:pPr>
        <w:kinsoku/>
        <w:overflowPunct/>
        <w:topLinePunct w:val="0"/>
        <w:bidi w:val="0"/>
        <w:spacing w:line="300" w:lineRule="auto"/>
        <w:rPr>
          <w:szCs w:val="21"/>
        </w:rPr>
      </w:pPr>
      <w:r>
        <w:rPr>
          <w:szCs w:val="21"/>
        </w:rPr>
        <w:t>1.1.2 合同当事人及其他相关方</w:t>
      </w:r>
    </w:p>
    <w:p>
      <w:pPr>
        <w:kinsoku/>
        <w:overflowPunct/>
        <w:topLinePunct w:val="0"/>
        <w:bidi w:val="0"/>
        <w:spacing w:line="300" w:lineRule="auto"/>
        <w:rPr>
          <w:szCs w:val="21"/>
        </w:rPr>
      </w:pPr>
      <w:r>
        <w:rPr>
          <w:szCs w:val="21"/>
        </w:rPr>
        <w:t>1.1.2.4监理人：</w:t>
      </w:r>
    </w:p>
    <w:p>
      <w:pPr>
        <w:kinsoku/>
        <w:overflowPunct/>
        <w:topLinePunct w:val="0"/>
        <w:bidi w:val="0"/>
        <w:spacing w:line="300" w:lineRule="auto"/>
        <w:rPr>
          <w:szCs w:val="21"/>
        </w:rPr>
      </w:pPr>
      <w:r>
        <w:rPr>
          <w:szCs w:val="21"/>
        </w:rPr>
        <w:t>名    称：</w:t>
      </w:r>
      <w:r>
        <w:rPr>
          <w:rFonts w:hint="eastAsia"/>
          <w:szCs w:val="21"/>
          <w:u w:val="single"/>
        </w:rPr>
        <w:t xml:space="preserve">                                                                 </w:t>
      </w:r>
      <w:r>
        <w:rPr>
          <w:rFonts w:hint="eastAsia"/>
          <w:szCs w:val="21"/>
        </w:rPr>
        <w:t>。</w:t>
      </w:r>
    </w:p>
    <w:p>
      <w:pPr>
        <w:kinsoku/>
        <w:overflowPunct/>
        <w:topLinePunct w:val="0"/>
        <w:bidi w:val="0"/>
        <w:spacing w:line="300" w:lineRule="auto"/>
        <w:rPr>
          <w:szCs w:val="21"/>
        </w:rPr>
      </w:pPr>
      <w:r>
        <w:rPr>
          <w:szCs w:val="21"/>
        </w:rPr>
        <w:t>资质类别和等级：</w:t>
      </w:r>
      <w:r>
        <w:rPr>
          <w:rFonts w:hint="eastAsia" w:cs="宋体"/>
          <w:szCs w:val="21"/>
          <w:u w:val="single"/>
        </w:rPr>
        <w:t></w:t>
      </w:r>
      <w:r>
        <w:rPr>
          <w:rFonts w:hint="eastAsia"/>
          <w:szCs w:val="21"/>
          <w:u w:val="single"/>
        </w:rPr>
        <w:t xml:space="preserve">            </w:t>
      </w:r>
      <w:r>
        <w:rPr>
          <w:rFonts w:hint="eastAsia" w:cs="宋体"/>
          <w:szCs w:val="21"/>
          <w:u w:val="single"/>
        </w:rPr>
        <w:t></w:t>
      </w:r>
      <w:r>
        <w:rPr>
          <w:rFonts w:hint="eastAsia"/>
          <w:szCs w:val="21"/>
          <w:u w:val="single"/>
        </w:rPr>
        <w:t xml:space="preserve"> </w:t>
      </w:r>
      <w:r>
        <w:rPr>
          <w:rFonts w:hint="eastAsia" w:cs="宋体"/>
          <w:szCs w:val="21"/>
          <w:u w:val="single"/>
        </w:rPr>
        <w:t></w:t>
      </w:r>
      <w:r>
        <w:rPr>
          <w:rFonts w:hint="eastAsia"/>
          <w:szCs w:val="21"/>
          <w:u w:val="single"/>
        </w:rPr>
        <w:t xml:space="preserve">                          </w:t>
      </w:r>
      <w:r>
        <w:rPr>
          <w:rFonts w:hint="eastAsia"/>
          <w:szCs w:val="21"/>
        </w:rPr>
        <w:t>。</w:t>
      </w:r>
    </w:p>
    <w:p>
      <w:pPr>
        <w:kinsoku/>
        <w:overflowPunct/>
        <w:topLinePunct w:val="0"/>
        <w:bidi w:val="0"/>
        <w:spacing w:line="300" w:lineRule="auto"/>
        <w:rPr>
          <w:szCs w:val="21"/>
        </w:rPr>
      </w:pPr>
      <w:r>
        <w:rPr>
          <w:szCs w:val="21"/>
        </w:rPr>
        <w:t>联系电话：</w:t>
      </w:r>
      <w:r>
        <w:rPr>
          <w:rFonts w:hint="eastAsia" w:cs="宋体"/>
          <w:szCs w:val="21"/>
          <w:u w:val="single"/>
        </w:rPr>
        <w:t></w:t>
      </w:r>
      <w:r>
        <w:rPr>
          <w:rFonts w:hint="eastAsia"/>
          <w:szCs w:val="21"/>
          <w:u w:val="single"/>
        </w:rPr>
        <w:t xml:space="preserve">   </w:t>
      </w:r>
      <w:r>
        <w:rPr>
          <w:szCs w:val="21"/>
          <w:u w:val="single"/>
        </w:rPr>
        <w:t xml:space="preserve"> </w:t>
      </w:r>
      <w:r>
        <w:rPr>
          <w:rFonts w:hint="eastAsia" w:cs="宋体"/>
          <w:szCs w:val="21"/>
          <w:u w:val="single"/>
        </w:rPr>
        <w:t></w:t>
      </w:r>
      <w:r>
        <w:rPr>
          <w:rFonts w:hint="eastAsia"/>
          <w:szCs w:val="21"/>
          <w:u w:val="single"/>
        </w:rPr>
        <w:t xml:space="preserve">     </w:t>
      </w:r>
      <w:r>
        <w:rPr>
          <w:rFonts w:hint="eastAsia" w:cs="宋体"/>
          <w:szCs w:val="21"/>
          <w:u w:val="single"/>
        </w:rPr>
        <w:t></w:t>
      </w:r>
      <w:r>
        <w:rPr>
          <w:rFonts w:hint="eastAsia"/>
          <w:szCs w:val="21"/>
          <w:u w:val="single"/>
        </w:rPr>
        <w:t xml:space="preserve">            </w:t>
      </w:r>
      <w:r>
        <w:rPr>
          <w:rFonts w:hint="eastAsia" w:cs="宋体"/>
          <w:szCs w:val="21"/>
          <w:u w:val="single"/>
        </w:rPr>
        <w:t></w:t>
      </w:r>
      <w:r>
        <w:rPr>
          <w:rFonts w:hint="eastAsia"/>
          <w:szCs w:val="21"/>
          <w:u w:val="single"/>
        </w:rPr>
        <w:t xml:space="preserve">                </w:t>
      </w:r>
      <w:r>
        <w:rPr>
          <w:rFonts w:hint="eastAsia"/>
          <w:szCs w:val="21"/>
        </w:rPr>
        <w:t>。</w:t>
      </w:r>
    </w:p>
    <w:p>
      <w:pPr>
        <w:kinsoku/>
        <w:overflowPunct/>
        <w:topLinePunct w:val="0"/>
        <w:bidi w:val="0"/>
        <w:spacing w:line="300" w:lineRule="auto"/>
        <w:rPr>
          <w:szCs w:val="21"/>
        </w:rPr>
      </w:pPr>
      <w:r>
        <w:rPr>
          <w:szCs w:val="21"/>
        </w:rPr>
        <w:t>电子信箱：</w:t>
      </w:r>
      <w:r>
        <w:rPr>
          <w:rFonts w:hint="eastAsia"/>
          <w:szCs w:val="21"/>
          <w:u w:val="single"/>
        </w:rPr>
        <w:t xml:space="preserve">                                                                 </w:t>
      </w:r>
      <w:r>
        <w:rPr>
          <w:rFonts w:hint="eastAsia"/>
          <w:szCs w:val="21"/>
        </w:rPr>
        <w:t>。</w:t>
      </w:r>
    </w:p>
    <w:p>
      <w:pPr>
        <w:kinsoku/>
        <w:overflowPunct/>
        <w:topLinePunct w:val="0"/>
        <w:bidi w:val="0"/>
        <w:spacing w:line="300" w:lineRule="auto"/>
        <w:rPr>
          <w:szCs w:val="21"/>
        </w:rPr>
      </w:pPr>
      <w:r>
        <w:rPr>
          <w:szCs w:val="21"/>
        </w:rPr>
        <w:t>通信地址：</w:t>
      </w:r>
      <w:r>
        <w:rPr>
          <w:rFonts w:hint="eastAsia" w:cs="宋体"/>
          <w:szCs w:val="21"/>
          <w:u w:val="single"/>
        </w:rPr>
        <w:t></w:t>
      </w:r>
      <w:r>
        <w:rPr>
          <w:rFonts w:hint="eastAsia"/>
          <w:szCs w:val="21"/>
          <w:u w:val="single"/>
        </w:rPr>
        <w:t xml:space="preserve">    </w:t>
      </w:r>
      <w:r>
        <w:rPr>
          <w:rFonts w:hint="eastAsia" w:cs="宋体"/>
          <w:szCs w:val="21"/>
          <w:u w:val="single"/>
        </w:rPr>
        <w:t></w:t>
      </w:r>
      <w:r>
        <w:rPr>
          <w:rFonts w:hint="eastAsia"/>
          <w:szCs w:val="21"/>
          <w:u w:val="single"/>
        </w:rPr>
        <w:t xml:space="preserve">            </w:t>
      </w:r>
      <w:r>
        <w:rPr>
          <w:rFonts w:hint="eastAsia" w:cs="宋体"/>
          <w:szCs w:val="21"/>
          <w:u w:val="single"/>
        </w:rPr>
        <w:t></w:t>
      </w:r>
      <w:r>
        <w:rPr>
          <w:rFonts w:hint="eastAsia"/>
          <w:szCs w:val="21"/>
          <w:u w:val="single"/>
        </w:rPr>
        <w:t xml:space="preserve">                     </w:t>
      </w:r>
      <w:r>
        <w:rPr>
          <w:rFonts w:hint="eastAsia"/>
          <w:szCs w:val="21"/>
        </w:rPr>
        <w:t>。</w:t>
      </w:r>
    </w:p>
    <w:p>
      <w:pPr>
        <w:kinsoku/>
        <w:overflowPunct/>
        <w:topLinePunct w:val="0"/>
        <w:bidi w:val="0"/>
        <w:spacing w:line="300" w:lineRule="auto"/>
        <w:rPr>
          <w:szCs w:val="21"/>
        </w:rPr>
      </w:pPr>
      <w:r>
        <w:rPr>
          <w:szCs w:val="21"/>
        </w:rPr>
        <w:t>1.1.2.5 设计人：</w:t>
      </w:r>
    </w:p>
    <w:p>
      <w:pPr>
        <w:kinsoku/>
        <w:overflowPunct/>
        <w:topLinePunct w:val="0"/>
        <w:bidi w:val="0"/>
        <w:spacing w:line="300" w:lineRule="auto"/>
        <w:rPr>
          <w:szCs w:val="21"/>
        </w:rPr>
      </w:pPr>
      <w:r>
        <w:rPr>
          <w:szCs w:val="21"/>
        </w:rPr>
        <w:t>名    称：</w:t>
      </w:r>
      <w:r>
        <w:rPr>
          <w:rFonts w:hint="eastAsia" w:cs="宋体"/>
          <w:szCs w:val="21"/>
          <w:u w:val="single"/>
        </w:rPr>
        <w:t></w:t>
      </w:r>
      <w:r>
        <w:rPr>
          <w:rFonts w:hint="eastAsia"/>
          <w:szCs w:val="21"/>
          <w:u w:val="single"/>
        </w:rPr>
        <w:t xml:space="preserve">             </w:t>
      </w:r>
      <w:r>
        <w:rPr>
          <w:rFonts w:hint="eastAsia" w:cs="宋体"/>
          <w:szCs w:val="21"/>
          <w:u w:val="single"/>
        </w:rPr>
        <w:t></w:t>
      </w:r>
      <w:r>
        <w:rPr>
          <w:rFonts w:hint="eastAsia"/>
          <w:szCs w:val="21"/>
          <w:u w:val="single"/>
        </w:rPr>
        <w:t xml:space="preserve"> </w:t>
      </w:r>
      <w:r>
        <w:rPr>
          <w:rFonts w:hint="eastAsia" w:cs="宋体"/>
          <w:szCs w:val="21"/>
          <w:u w:val="single"/>
        </w:rPr>
        <w:t></w:t>
      </w:r>
      <w:r>
        <w:rPr>
          <w:rFonts w:hint="eastAsia"/>
          <w:szCs w:val="21"/>
          <w:u w:val="single"/>
        </w:rPr>
        <w:t xml:space="preserve">                       </w:t>
      </w:r>
      <w:r>
        <w:rPr>
          <w:rFonts w:hint="eastAsia"/>
          <w:szCs w:val="21"/>
        </w:rPr>
        <w:t>。</w:t>
      </w:r>
    </w:p>
    <w:p>
      <w:pPr>
        <w:kinsoku/>
        <w:overflowPunct/>
        <w:topLinePunct w:val="0"/>
        <w:bidi w:val="0"/>
        <w:spacing w:line="300" w:lineRule="auto"/>
        <w:rPr>
          <w:szCs w:val="21"/>
        </w:rPr>
      </w:pPr>
      <w:r>
        <w:rPr>
          <w:szCs w:val="21"/>
        </w:rPr>
        <w:t>资质类别和等级：</w:t>
      </w:r>
      <w:r>
        <w:rPr>
          <w:rFonts w:hint="eastAsia" w:cs="宋体"/>
          <w:szCs w:val="21"/>
          <w:u w:val="single"/>
        </w:rPr>
        <w:t></w:t>
      </w:r>
      <w:r>
        <w:rPr>
          <w:rFonts w:hint="eastAsia"/>
          <w:szCs w:val="21"/>
          <w:u w:val="single"/>
        </w:rPr>
        <w:t xml:space="preserve">            </w:t>
      </w:r>
      <w:r>
        <w:rPr>
          <w:rFonts w:hint="eastAsia" w:cs="宋体"/>
          <w:szCs w:val="21"/>
          <w:u w:val="single"/>
        </w:rPr>
        <w:t></w:t>
      </w:r>
      <w:r>
        <w:rPr>
          <w:rFonts w:hint="eastAsia"/>
          <w:szCs w:val="21"/>
          <w:u w:val="single"/>
        </w:rPr>
        <w:t xml:space="preserve">  </w:t>
      </w:r>
      <w:r>
        <w:rPr>
          <w:rFonts w:hint="eastAsia" w:cs="宋体"/>
          <w:szCs w:val="21"/>
          <w:u w:val="single"/>
        </w:rPr>
        <w:t></w:t>
      </w:r>
      <w:r>
        <w:rPr>
          <w:rFonts w:hint="eastAsia"/>
          <w:szCs w:val="21"/>
          <w:u w:val="single"/>
        </w:rPr>
        <w:t xml:space="preserve">                       </w:t>
      </w:r>
      <w:r>
        <w:rPr>
          <w:rFonts w:hint="eastAsia"/>
          <w:szCs w:val="21"/>
        </w:rPr>
        <w:t>。</w:t>
      </w:r>
    </w:p>
    <w:p>
      <w:pPr>
        <w:kinsoku/>
        <w:overflowPunct/>
        <w:topLinePunct w:val="0"/>
        <w:bidi w:val="0"/>
        <w:spacing w:line="300" w:lineRule="auto"/>
        <w:rPr>
          <w:szCs w:val="21"/>
        </w:rPr>
      </w:pPr>
      <w:r>
        <w:rPr>
          <w:szCs w:val="21"/>
        </w:rPr>
        <w:t>联系电话：</w:t>
      </w:r>
      <w:r>
        <w:rPr>
          <w:rFonts w:hint="eastAsia" w:cs="宋体"/>
          <w:szCs w:val="21"/>
          <w:u w:val="single"/>
        </w:rPr>
        <w:t></w:t>
      </w:r>
      <w:r>
        <w:rPr>
          <w:rFonts w:hint="eastAsia"/>
          <w:szCs w:val="21"/>
          <w:u w:val="single"/>
        </w:rPr>
        <w:t xml:space="preserve">    </w:t>
      </w:r>
      <w:r>
        <w:rPr>
          <w:rFonts w:hint="eastAsia" w:cs="宋体"/>
          <w:szCs w:val="21"/>
          <w:u w:val="single"/>
        </w:rPr>
        <w:t></w:t>
      </w:r>
      <w:r>
        <w:rPr>
          <w:rFonts w:hint="eastAsia"/>
          <w:szCs w:val="21"/>
          <w:u w:val="single"/>
        </w:rPr>
        <w:t xml:space="preserve">            </w:t>
      </w:r>
      <w:r>
        <w:rPr>
          <w:rFonts w:hint="eastAsia" w:cs="宋体"/>
          <w:szCs w:val="21"/>
          <w:u w:val="single"/>
        </w:rPr>
        <w:t></w:t>
      </w:r>
      <w:r>
        <w:rPr>
          <w:szCs w:val="21"/>
          <w:u w:val="single"/>
        </w:rPr>
        <w:t xml:space="preserve">          </w:t>
      </w:r>
      <w:r>
        <w:rPr>
          <w:rFonts w:hint="eastAsia"/>
          <w:szCs w:val="21"/>
          <w:u w:val="single"/>
        </w:rPr>
        <w:t xml:space="preserve">             </w:t>
      </w:r>
      <w:r>
        <w:rPr>
          <w:rFonts w:hint="eastAsia"/>
          <w:szCs w:val="21"/>
        </w:rPr>
        <w:t>。</w:t>
      </w:r>
    </w:p>
    <w:p>
      <w:pPr>
        <w:kinsoku/>
        <w:overflowPunct/>
        <w:topLinePunct w:val="0"/>
        <w:bidi w:val="0"/>
        <w:spacing w:line="300" w:lineRule="auto"/>
        <w:rPr>
          <w:szCs w:val="21"/>
        </w:rPr>
      </w:pPr>
      <w:r>
        <w:rPr>
          <w:szCs w:val="21"/>
        </w:rPr>
        <w:t>电子信箱：</w:t>
      </w:r>
      <w:r>
        <w:rPr>
          <w:rFonts w:hint="eastAsia" w:cs="宋体"/>
          <w:szCs w:val="21"/>
          <w:u w:val="single"/>
        </w:rPr>
        <w:t></w:t>
      </w:r>
      <w:r>
        <w:rPr>
          <w:rFonts w:hint="eastAsia"/>
          <w:szCs w:val="21"/>
          <w:u w:val="single"/>
        </w:rPr>
        <w:t xml:space="preserve">    </w:t>
      </w:r>
      <w:r>
        <w:rPr>
          <w:rFonts w:hint="eastAsia" w:cs="宋体"/>
          <w:szCs w:val="21"/>
          <w:u w:val="single"/>
        </w:rPr>
        <w:t></w:t>
      </w:r>
      <w:r>
        <w:rPr>
          <w:rFonts w:hint="eastAsia"/>
          <w:szCs w:val="21"/>
          <w:u w:val="single"/>
        </w:rPr>
        <w:t xml:space="preserve">              </w:t>
      </w:r>
      <w:r>
        <w:rPr>
          <w:rFonts w:hint="eastAsia" w:cs="宋体"/>
          <w:szCs w:val="21"/>
          <w:u w:val="single"/>
        </w:rPr>
        <w:t></w:t>
      </w:r>
      <w:r>
        <w:rPr>
          <w:rFonts w:hint="eastAsia"/>
          <w:szCs w:val="21"/>
          <w:u w:val="single"/>
        </w:rPr>
        <w:t xml:space="preserve">                       </w:t>
      </w:r>
      <w:r>
        <w:rPr>
          <w:rFonts w:hint="eastAsia"/>
          <w:szCs w:val="21"/>
        </w:rPr>
        <w:t>。</w:t>
      </w:r>
    </w:p>
    <w:p>
      <w:pPr>
        <w:kinsoku/>
        <w:overflowPunct/>
        <w:topLinePunct w:val="0"/>
        <w:bidi w:val="0"/>
        <w:spacing w:line="300" w:lineRule="auto"/>
        <w:rPr>
          <w:szCs w:val="21"/>
        </w:rPr>
      </w:pPr>
      <w:r>
        <w:rPr>
          <w:szCs w:val="21"/>
        </w:rPr>
        <w:t>通信地址：</w:t>
      </w:r>
      <w:r>
        <w:rPr>
          <w:rFonts w:hint="eastAsia" w:cs="宋体"/>
          <w:szCs w:val="21"/>
          <w:u w:val="single"/>
        </w:rPr>
        <w:t></w:t>
      </w:r>
      <w:r>
        <w:rPr>
          <w:rFonts w:hint="eastAsia"/>
          <w:szCs w:val="21"/>
          <w:u w:val="single"/>
        </w:rPr>
        <w:t xml:space="preserve">    </w:t>
      </w:r>
      <w:r>
        <w:rPr>
          <w:rFonts w:hint="eastAsia" w:cs="宋体"/>
          <w:szCs w:val="21"/>
          <w:u w:val="single"/>
        </w:rPr>
        <w:t></w:t>
      </w:r>
      <w:r>
        <w:rPr>
          <w:rFonts w:hint="eastAsia"/>
          <w:szCs w:val="21"/>
          <w:u w:val="single"/>
        </w:rPr>
        <w:t xml:space="preserve">            </w:t>
      </w:r>
      <w:r>
        <w:rPr>
          <w:rFonts w:hint="eastAsia" w:cs="宋体"/>
          <w:szCs w:val="21"/>
          <w:u w:val="single"/>
        </w:rPr>
        <w:t></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w:t>
      </w:r>
    </w:p>
    <w:p>
      <w:pPr>
        <w:kinsoku/>
        <w:overflowPunct/>
        <w:topLinePunct w:val="0"/>
        <w:bidi w:val="0"/>
        <w:spacing w:line="300" w:lineRule="auto"/>
        <w:rPr>
          <w:szCs w:val="21"/>
        </w:rPr>
      </w:pPr>
      <w:r>
        <w:rPr>
          <w:szCs w:val="21"/>
        </w:rPr>
        <w:t>1.1.3 工程和设备</w:t>
      </w:r>
    </w:p>
    <w:p>
      <w:pPr>
        <w:kinsoku/>
        <w:overflowPunct/>
        <w:topLinePunct w:val="0"/>
        <w:bidi w:val="0"/>
        <w:spacing w:line="300" w:lineRule="auto"/>
        <w:rPr>
          <w:szCs w:val="21"/>
        </w:rPr>
      </w:pPr>
      <w:r>
        <w:rPr>
          <w:szCs w:val="21"/>
        </w:rPr>
        <w:t>1.1.3.7 作为施工现场组成部分的其他场所包括：</w:t>
      </w:r>
      <w:r>
        <w:rPr>
          <w:rFonts w:hint="eastAsia"/>
          <w:szCs w:val="21"/>
          <w:u w:val="single"/>
        </w:rPr>
        <w:t xml:space="preserve">详见总平 </w:t>
      </w:r>
      <w:r>
        <w:rPr>
          <w:rFonts w:hint="eastAsia"/>
          <w:szCs w:val="21"/>
        </w:rPr>
        <w:t>。</w:t>
      </w:r>
    </w:p>
    <w:p>
      <w:pPr>
        <w:kinsoku/>
        <w:overflowPunct/>
        <w:topLinePunct w:val="0"/>
        <w:bidi w:val="0"/>
        <w:spacing w:line="300" w:lineRule="auto"/>
        <w:rPr>
          <w:szCs w:val="21"/>
        </w:rPr>
      </w:pPr>
      <w:r>
        <w:rPr>
          <w:szCs w:val="21"/>
        </w:rPr>
        <w:t>1.1.3.9 永久占地包括：</w:t>
      </w:r>
      <w:r>
        <w:rPr>
          <w:rFonts w:hint="eastAsia"/>
          <w:szCs w:val="21"/>
          <w:u w:val="single"/>
        </w:rPr>
        <w:t xml:space="preserve">详见总平   </w:t>
      </w:r>
      <w:r>
        <w:rPr>
          <w:rFonts w:hint="eastAsia"/>
          <w:szCs w:val="21"/>
        </w:rPr>
        <w:t>。</w:t>
      </w:r>
    </w:p>
    <w:p>
      <w:pPr>
        <w:kinsoku/>
        <w:overflowPunct/>
        <w:topLinePunct w:val="0"/>
        <w:bidi w:val="0"/>
        <w:spacing w:line="300" w:lineRule="auto"/>
        <w:rPr>
          <w:szCs w:val="21"/>
        </w:rPr>
      </w:pPr>
      <w:r>
        <w:rPr>
          <w:szCs w:val="21"/>
        </w:rPr>
        <w:t>1.1.3.10 临时占地包括：</w:t>
      </w:r>
      <w:r>
        <w:rPr>
          <w:rFonts w:hint="eastAsia"/>
          <w:szCs w:val="21"/>
          <w:u w:val="single"/>
        </w:rPr>
        <w:t xml:space="preserve">详见总平  </w:t>
      </w:r>
      <w:r>
        <w:rPr>
          <w:rFonts w:hint="eastAsia"/>
          <w:szCs w:val="21"/>
        </w:rPr>
        <w:t>。</w:t>
      </w:r>
    </w:p>
    <w:p>
      <w:pPr>
        <w:pStyle w:val="6"/>
        <w:kinsoku/>
        <w:overflowPunct/>
        <w:topLinePunct w:val="0"/>
        <w:bidi w:val="0"/>
        <w:spacing w:line="300" w:lineRule="auto"/>
      </w:pPr>
      <w:bookmarkStart w:id="115" w:name="_Toc513038383"/>
      <w:bookmarkStart w:id="116" w:name="_Toc26181"/>
      <w:bookmarkStart w:id="117" w:name="_Toc490491795"/>
      <w:bookmarkStart w:id="118" w:name="_Toc509902203"/>
      <w:bookmarkStart w:id="119" w:name="_Toc511649734"/>
      <w:bookmarkStart w:id="120" w:name="_Toc513214605"/>
      <w:bookmarkStart w:id="121" w:name="_Toc511635757"/>
      <w:bookmarkStart w:id="122" w:name="_Toc512604451"/>
      <w:bookmarkStart w:id="123" w:name="_Toc20402"/>
      <w:bookmarkStart w:id="124" w:name="_Toc480985208"/>
      <w:bookmarkStart w:id="125" w:name="_Toc608"/>
      <w:bookmarkStart w:id="126" w:name="_Toc6949"/>
      <w:bookmarkStart w:id="127" w:name="_Toc476733974"/>
      <w:bookmarkStart w:id="128" w:name="_Toc513209219"/>
      <w:bookmarkStart w:id="129" w:name="_Toc12379"/>
      <w:bookmarkStart w:id="130" w:name="_Toc24936"/>
      <w:bookmarkStart w:id="131" w:name="_Toc3903906"/>
      <w:bookmarkStart w:id="132" w:name="_Toc17561"/>
      <w:bookmarkStart w:id="133" w:name="_Toc527029563"/>
      <w:bookmarkStart w:id="134" w:name="_Toc7324"/>
      <w:bookmarkStart w:id="135" w:name="_Toc29632"/>
      <w:r>
        <w:t>1.3法律</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t xml:space="preserve"> </w:t>
      </w:r>
    </w:p>
    <w:p>
      <w:pPr>
        <w:kinsoku/>
        <w:overflowPunct/>
        <w:topLinePunct w:val="0"/>
        <w:bidi w:val="0"/>
        <w:spacing w:line="300" w:lineRule="auto"/>
      </w:pPr>
      <w:r>
        <w:t>适用于合同的其他规范性文件：</w:t>
      </w:r>
      <w:r>
        <w:rPr>
          <w:rFonts w:hint="eastAsia" w:cs="宋体"/>
          <w:u w:val="single"/>
        </w:rPr>
        <w:t>①使用</w:t>
      </w:r>
      <w:r>
        <w:rPr>
          <w:rFonts w:hint="eastAsia"/>
          <w:u w:val="single"/>
        </w:rPr>
        <w:t xml:space="preserve">现行已公布的法律和法规  </w:t>
      </w:r>
      <w:r>
        <w:rPr>
          <w:rFonts w:hint="eastAsia"/>
        </w:rPr>
        <w:t>。</w:t>
      </w:r>
    </w:p>
    <w:p>
      <w:pPr>
        <w:pStyle w:val="6"/>
        <w:kinsoku/>
        <w:overflowPunct/>
        <w:topLinePunct w:val="0"/>
        <w:bidi w:val="0"/>
        <w:spacing w:line="300" w:lineRule="auto"/>
      </w:pPr>
      <w:bookmarkStart w:id="136" w:name="_Toc513209220"/>
      <w:bookmarkStart w:id="137" w:name="_Toc18672"/>
      <w:bookmarkStart w:id="138" w:name="_Toc5896"/>
      <w:bookmarkStart w:id="139" w:name="_Toc511635758"/>
      <w:bookmarkStart w:id="140" w:name="_Toc513214606"/>
      <w:bookmarkStart w:id="141" w:name="_Toc9529"/>
      <w:bookmarkStart w:id="142" w:name="_Toc527029564"/>
      <w:bookmarkStart w:id="143" w:name="_Toc490491796"/>
      <w:bookmarkStart w:id="144" w:name="_Toc512604452"/>
      <w:bookmarkStart w:id="145" w:name="_Toc511649735"/>
      <w:bookmarkStart w:id="146" w:name="_Toc10901"/>
      <w:bookmarkStart w:id="147" w:name="_Toc3903907"/>
      <w:bookmarkStart w:id="148" w:name="_Toc6209"/>
      <w:bookmarkStart w:id="149" w:name="_Toc476733975"/>
      <w:bookmarkStart w:id="150" w:name="_Toc26357"/>
      <w:bookmarkStart w:id="151" w:name="_Toc14300"/>
      <w:bookmarkStart w:id="152" w:name="_Toc9012"/>
      <w:bookmarkStart w:id="153" w:name="_Toc509902204"/>
      <w:bookmarkStart w:id="154" w:name="_Toc513038384"/>
      <w:bookmarkStart w:id="155" w:name="_Toc9971"/>
      <w:bookmarkStart w:id="156" w:name="_Toc480985209"/>
      <w:r>
        <w:t>1.4 标准和规范</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kinsoku/>
        <w:overflowPunct/>
        <w:topLinePunct w:val="0"/>
        <w:bidi w:val="0"/>
        <w:spacing w:line="300" w:lineRule="auto"/>
      </w:pPr>
      <w:r>
        <w:t>1.4.1适用于工程的标准规范包括：</w:t>
      </w:r>
      <w:r>
        <w:rPr>
          <w:rFonts w:hint="eastAsia"/>
          <w:u w:val="single"/>
        </w:rPr>
        <w:t xml:space="preserve">现行的按现行国家、浙江省和市的有关标准规范、质量评定标准和竣工验收规范 </w:t>
      </w:r>
      <w:r>
        <w:rPr>
          <w:rFonts w:hint="eastAsia"/>
        </w:rPr>
        <w:t>。</w:t>
      </w:r>
    </w:p>
    <w:p>
      <w:pPr>
        <w:kinsoku/>
        <w:overflowPunct/>
        <w:topLinePunct w:val="0"/>
        <w:bidi w:val="0"/>
        <w:spacing w:line="300" w:lineRule="auto"/>
      </w:pPr>
      <w:r>
        <w:t>1.4.2 发包人提供国外标准、规范的名称：</w:t>
      </w:r>
      <w:r>
        <w:rPr>
          <w:rFonts w:hint="eastAsia"/>
          <w:u w:val="single"/>
        </w:rPr>
        <w:t xml:space="preserve"> </w:t>
      </w:r>
      <w:r>
        <w:rPr>
          <w:u w:val="single"/>
        </w:rPr>
        <w:t xml:space="preserve"> </w:t>
      </w:r>
      <w:r>
        <w:rPr>
          <w:rFonts w:hint="eastAsia"/>
          <w:u w:val="single"/>
        </w:rPr>
        <w:t>无</w:t>
      </w:r>
      <w:r>
        <w:rPr>
          <w:u w:val="single"/>
        </w:rPr>
        <w:t xml:space="preserve">  </w:t>
      </w:r>
      <w:r>
        <w:rPr>
          <w:rFonts w:hint="eastAsia"/>
        </w:rPr>
        <w:t>。</w:t>
      </w:r>
    </w:p>
    <w:p>
      <w:pPr>
        <w:kinsoku/>
        <w:overflowPunct/>
        <w:topLinePunct w:val="0"/>
        <w:bidi w:val="0"/>
        <w:spacing w:line="300" w:lineRule="auto"/>
      </w:pPr>
      <w:r>
        <w:t>发包人提供国外标准、规范的份数：</w:t>
      </w:r>
      <w:r>
        <w:rPr>
          <w:rFonts w:hint="eastAsia"/>
          <w:u w:val="single"/>
        </w:rPr>
        <w:t xml:space="preserve"> </w:t>
      </w:r>
      <w:r>
        <w:rPr>
          <w:u w:val="single"/>
        </w:rPr>
        <w:t xml:space="preserve"> </w:t>
      </w:r>
      <w:r>
        <w:rPr>
          <w:rFonts w:hint="eastAsia"/>
          <w:u w:val="single"/>
        </w:rPr>
        <w:t>无</w:t>
      </w:r>
      <w:r>
        <w:rPr>
          <w:u w:val="single"/>
        </w:rPr>
        <w:t xml:space="preserve">  </w:t>
      </w:r>
      <w:r>
        <w:rPr>
          <w:rFonts w:hint="eastAsia"/>
        </w:rPr>
        <w:t>。</w:t>
      </w:r>
    </w:p>
    <w:p>
      <w:pPr>
        <w:kinsoku/>
        <w:overflowPunct/>
        <w:topLinePunct w:val="0"/>
        <w:bidi w:val="0"/>
        <w:spacing w:line="300" w:lineRule="auto"/>
      </w:pPr>
      <w:r>
        <w:t>发包人提供国外标准、规范的名称：</w:t>
      </w:r>
      <w:r>
        <w:rPr>
          <w:rFonts w:hint="eastAsia"/>
          <w:u w:val="single"/>
        </w:rPr>
        <w:t xml:space="preserve"> </w:t>
      </w:r>
      <w:r>
        <w:rPr>
          <w:u w:val="single"/>
        </w:rPr>
        <w:t xml:space="preserve"> </w:t>
      </w:r>
      <w:r>
        <w:rPr>
          <w:rFonts w:hint="eastAsia"/>
          <w:u w:val="single"/>
        </w:rPr>
        <w:t>无</w:t>
      </w:r>
      <w:r>
        <w:rPr>
          <w:u w:val="single"/>
        </w:rPr>
        <w:t xml:space="preserve">  </w:t>
      </w:r>
      <w:r>
        <w:rPr>
          <w:rFonts w:hint="eastAsia"/>
        </w:rPr>
        <w:t>。</w:t>
      </w:r>
    </w:p>
    <w:p>
      <w:pPr>
        <w:kinsoku/>
        <w:overflowPunct/>
        <w:topLinePunct w:val="0"/>
        <w:bidi w:val="0"/>
        <w:spacing w:line="300" w:lineRule="auto"/>
      </w:pPr>
      <w:r>
        <w:t>1.4.3发包人对工程的技术资信标准和功能要求的特殊要求：</w:t>
      </w:r>
      <w:r>
        <w:rPr>
          <w:rFonts w:hint="eastAsia"/>
          <w:u w:val="single"/>
        </w:rPr>
        <w:t xml:space="preserve"> </w:t>
      </w:r>
      <w:r>
        <w:rPr>
          <w:u w:val="single"/>
        </w:rPr>
        <w:t xml:space="preserve"> </w:t>
      </w:r>
      <w:r>
        <w:rPr>
          <w:rFonts w:hint="eastAsia"/>
          <w:u w:val="single"/>
        </w:rPr>
        <w:t>无</w:t>
      </w:r>
      <w:r>
        <w:rPr>
          <w:u w:val="single"/>
        </w:rPr>
        <w:t xml:space="preserve">  </w:t>
      </w:r>
      <w:r>
        <w:rPr>
          <w:rFonts w:hint="eastAsia"/>
        </w:rPr>
        <w:t>。</w:t>
      </w:r>
    </w:p>
    <w:p>
      <w:pPr>
        <w:pStyle w:val="6"/>
        <w:kinsoku/>
        <w:overflowPunct/>
        <w:topLinePunct w:val="0"/>
        <w:bidi w:val="0"/>
        <w:spacing w:line="300" w:lineRule="auto"/>
      </w:pPr>
      <w:bookmarkStart w:id="157" w:name="_Toc3903908"/>
      <w:bookmarkStart w:id="158" w:name="_Toc32724"/>
      <w:bookmarkStart w:id="159" w:name="_Toc22720"/>
      <w:bookmarkStart w:id="160" w:name="_Toc32562"/>
      <w:bookmarkStart w:id="161" w:name="_Toc19676"/>
      <w:bookmarkStart w:id="162" w:name="_Toc511635759"/>
      <w:bookmarkStart w:id="163" w:name="_Toc527029565"/>
      <w:bookmarkStart w:id="164" w:name="_Toc512604453"/>
      <w:bookmarkStart w:id="165" w:name="_Toc513214607"/>
      <w:bookmarkStart w:id="166" w:name="_Toc7320"/>
      <w:bookmarkStart w:id="167" w:name="_Toc31971"/>
      <w:bookmarkStart w:id="168" w:name="_Toc513038385"/>
      <w:bookmarkStart w:id="169" w:name="_Toc513209221"/>
      <w:bookmarkStart w:id="170" w:name="_Toc3800"/>
      <w:bookmarkStart w:id="171" w:name="_Toc509902205"/>
      <w:bookmarkStart w:id="172" w:name="_Toc480985210"/>
      <w:bookmarkStart w:id="173" w:name="_Toc490491797"/>
      <w:bookmarkStart w:id="174" w:name="_Toc511649736"/>
      <w:bookmarkStart w:id="175" w:name="_Toc30509"/>
      <w:bookmarkStart w:id="176" w:name="_Toc476733976"/>
      <w:bookmarkStart w:id="177" w:name="_Toc22873"/>
      <w:r>
        <w:t>1.5 合同文件的优先顺序</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kinsoku/>
        <w:overflowPunct/>
        <w:topLinePunct w:val="0"/>
        <w:bidi w:val="0"/>
        <w:spacing w:line="300" w:lineRule="auto"/>
      </w:pPr>
      <w:r>
        <w:t>合同文件组成及优先顺序为：</w:t>
      </w:r>
      <w:r>
        <w:rPr>
          <w:rFonts w:ascii="Arial" w:cs="Arial"/>
          <w:b/>
          <w:szCs w:val="21"/>
          <w:u w:val="single"/>
        </w:rPr>
        <w:t>（</w:t>
      </w:r>
      <w:r>
        <w:rPr>
          <w:rFonts w:ascii="Arial" w:hAnsi="Arial" w:cs="Arial"/>
          <w:b/>
          <w:szCs w:val="21"/>
          <w:u w:val="single"/>
        </w:rPr>
        <w:t>1</w:t>
      </w:r>
      <w:r>
        <w:rPr>
          <w:rFonts w:ascii="Arial" w:cs="Arial"/>
          <w:b/>
          <w:szCs w:val="21"/>
          <w:u w:val="single"/>
        </w:rPr>
        <w:t>）本合同协议书；（</w:t>
      </w:r>
      <w:r>
        <w:rPr>
          <w:rFonts w:ascii="Arial" w:hAnsi="Arial" w:cs="Arial"/>
          <w:b/>
          <w:szCs w:val="21"/>
          <w:u w:val="single"/>
        </w:rPr>
        <w:t>2</w:t>
      </w:r>
      <w:r>
        <w:rPr>
          <w:rFonts w:ascii="Arial" w:cs="Arial"/>
          <w:b/>
          <w:szCs w:val="21"/>
          <w:u w:val="single"/>
        </w:rPr>
        <w:t>）中标通知书；（</w:t>
      </w:r>
      <w:r>
        <w:rPr>
          <w:rFonts w:ascii="Arial" w:hAnsi="Arial" w:cs="Arial"/>
          <w:b/>
          <w:szCs w:val="21"/>
          <w:u w:val="single"/>
        </w:rPr>
        <w:t>3</w:t>
      </w:r>
      <w:r>
        <w:rPr>
          <w:rFonts w:ascii="Arial" w:cs="Arial"/>
          <w:b/>
          <w:szCs w:val="21"/>
          <w:u w:val="single"/>
        </w:rPr>
        <w:t>）</w:t>
      </w:r>
      <w:r>
        <w:rPr>
          <w:rFonts w:hint="eastAsia" w:ascii="Arial" w:cs="Arial"/>
          <w:b/>
          <w:szCs w:val="21"/>
          <w:u w:val="single"/>
          <w:lang w:eastAsia="zh-CN"/>
        </w:rPr>
        <w:t>磋商函</w:t>
      </w:r>
      <w:r>
        <w:rPr>
          <w:rFonts w:ascii="Arial" w:cs="Arial"/>
          <w:b/>
          <w:szCs w:val="21"/>
          <w:u w:val="single"/>
        </w:rPr>
        <w:t>及其附录；（</w:t>
      </w:r>
      <w:r>
        <w:rPr>
          <w:rFonts w:ascii="Arial" w:hAnsi="Arial" w:cs="Arial"/>
          <w:b/>
          <w:szCs w:val="21"/>
          <w:u w:val="single"/>
        </w:rPr>
        <w:t>4</w:t>
      </w:r>
      <w:r>
        <w:rPr>
          <w:rFonts w:ascii="Arial" w:cs="Arial"/>
          <w:b/>
          <w:szCs w:val="21"/>
          <w:u w:val="single"/>
        </w:rPr>
        <w:t>）已标价工程量清单或预算书；（</w:t>
      </w:r>
      <w:r>
        <w:rPr>
          <w:rFonts w:ascii="Arial" w:hAnsi="Arial" w:cs="Arial"/>
          <w:b/>
          <w:szCs w:val="21"/>
          <w:u w:val="single"/>
        </w:rPr>
        <w:t>5</w:t>
      </w:r>
      <w:r>
        <w:rPr>
          <w:rFonts w:ascii="Arial" w:cs="Arial"/>
          <w:b/>
          <w:szCs w:val="21"/>
          <w:u w:val="single"/>
        </w:rPr>
        <w:t>）除</w:t>
      </w:r>
      <w:r>
        <w:rPr>
          <w:rFonts w:hint="eastAsia" w:ascii="Arial" w:cs="Arial"/>
          <w:b/>
          <w:szCs w:val="21"/>
          <w:u w:val="single"/>
          <w:lang w:eastAsia="zh-CN"/>
        </w:rPr>
        <w:t>磋商函</w:t>
      </w:r>
      <w:r>
        <w:rPr>
          <w:rFonts w:ascii="Arial" w:cs="Arial"/>
          <w:b/>
          <w:szCs w:val="21"/>
          <w:u w:val="single"/>
        </w:rPr>
        <w:t>及附录和已标价工程量清单或预算书外的</w:t>
      </w:r>
      <w:r>
        <w:rPr>
          <w:rFonts w:hint="eastAsia" w:ascii="Arial" w:cs="Arial"/>
          <w:b/>
          <w:szCs w:val="21"/>
          <w:u w:val="single"/>
          <w:lang w:eastAsia="zh-CN"/>
        </w:rPr>
        <w:t>磋商响应文件</w:t>
      </w:r>
      <w:r>
        <w:rPr>
          <w:rFonts w:ascii="Arial" w:cs="Arial"/>
          <w:b/>
          <w:szCs w:val="21"/>
          <w:u w:val="single"/>
        </w:rPr>
        <w:t>；（</w:t>
      </w:r>
      <w:r>
        <w:rPr>
          <w:rFonts w:ascii="Arial" w:hAnsi="Arial" w:cs="Arial"/>
          <w:b/>
          <w:szCs w:val="21"/>
          <w:u w:val="single"/>
        </w:rPr>
        <w:t>6</w:t>
      </w:r>
      <w:r>
        <w:rPr>
          <w:rFonts w:ascii="Arial" w:cs="Arial"/>
          <w:b/>
          <w:szCs w:val="21"/>
          <w:u w:val="single"/>
        </w:rPr>
        <w:t>）专用合同条款及其附件；（</w:t>
      </w:r>
      <w:r>
        <w:rPr>
          <w:rFonts w:ascii="Arial" w:hAnsi="Arial" w:cs="Arial"/>
          <w:b/>
          <w:szCs w:val="21"/>
          <w:u w:val="single"/>
        </w:rPr>
        <w:t>7</w:t>
      </w:r>
      <w:r>
        <w:rPr>
          <w:rFonts w:ascii="Arial" w:cs="Arial"/>
          <w:b/>
          <w:szCs w:val="21"/>
          <w:u w:val="single"/>
        </w:rPr>
        <w:t>）通用合同条款；（</w:t>
      </w:r>
      <w:r>
        <w:rPr>
          <w:rFonts w:ascii="Arial" w:hAnsi="Arial" w:cs="Arial"/>
          <w:b/>
          <w:szCs w:val="21"/>
          <w:u w:val="single"/>
        </w:rPr>
        <w:t>8</w:t>
      </w:r>
      <w:r>
        <w:rPr>
          <w:rFonts w:ascii="Arial" w:cs="Arial"/>
          <w:b/>
          <w:szCs w:val="21"/>
          <w:u w:val="single"/>
        </w:rPr>
        <w:t>）合同履行过程中经双方确认的会议纪要；（</w:t>
      </w:r>
      <w:r>
        <w:rPr>
          <w:rFonts w:ascii="Arial" w:hAnsi="Arial" w:cs="Arial"/>
          <w:b/>
          <w:szCs w:val="21"/>
          <w:u w:val="single"/>
        </w:rPr>
        <w:t>9</w:t>
      </w:r>
      <w:r>
        <w:rPr>
          <w:rFonts w:ascii="Arial" w:cs="Arial"/>
          <w:b/>
          <w:szCs w:val="21"/>
          <w:u w:val="single"/>
        </w:rPr>
        <w:t>）技术标准和要求；（</w:t>
      </w:r>
      <w:r>
        <w:rPr>
          <w:rFonts w:ascii="Arial" w:hAnsi="Arial" w:cs="Arial"/>
          <w:b/>
          <w:szCs w:val="21"/>
          <w:u w:val="single"/>
        </w:rPr>
        <w:t>10</w:t>
      </w:r>
      <w:r>
        <w:rPr>
          <w:rFonts w:ascii="Arial" w:cs="Arial"/>
          <w:b/>
          <w:szCs w:val="21"/>
          <w:u w:val="single"/>
        </w:rPr>
        <w:t>）图纸；（</w:t>
      </w:r>
      <w:r>
        <w:rPr>
          <w:rFonts w:ascii="Arial" w:hAnsi="Arial" w:cs="Arial"/>
          <w:b/>
          <w:szCs w:val="21"/>
          <w:u w:val="single"/>
        </w:rPr>
        <w:t>1</w:t>
      </w:r>
      <w:r>
        <w:rPr>
          <w:rFonts w:hint="eastAsia" w:ascii="Arial" w:hAnsi="Arial" w:cs="Arial"/>
          <w:b/>
          <w:szCs w:val="21"/>
          <w:u w:val="single"/>
        </w:rPr>
        <w:t>1</w:t>
      </w:r>
      <w:r>
        <w:rPr>
          <w:rFonts w:ascii="Arial" w:cs="Arial"/>
          <w:b/>
          <w:szCs w:val="21"/>
          <w:u w:val="single"/>
        </w:rPr>
        <w:t>）</w:t>
      </w:r>
      <w:r>
        <w:rPr>
          <w:rFonts w:hint="eastAsia" w:ascii="Arial" w:cs="Arial"/>
          <w:b/>
          <w:szCs w:val="21"/>
          <w:u w:val="single"/>
          <w:lang w:eastAsia="zh-CN"/>
        </w:rPr>
        <w:t>磋商响应文件</w:t>
      </w:r>
      <w:r>
        <w:rPr>
          <w:rFonts w:ascii="Arial" w:cs="Arial"/>
          <w:b/>
          <w:szCs w:val="21"/>
          <w:u w:val="single"/>
        </w:rPr>
        <w:t>及其补充文件</w:t>
      </w:r>
      <w:r>
        <w:rPr>
          <w:rFonts w:hint="eastAsia"/>
        </w:rPr>
        <w:t>。</w:t>
      </w:r>
    </w:p>
    <w:p>
      <w:pPr>
        <w:kinsoku/>
        <w:overflowPunct/>
        <w:topLinePunct w:val="0"/>
        <w:bidi w:val="0"/>
        <w:spacing w:line="300" w:lineRule="auto"/>
        <w:rPr>
          <w:u w:val="single"/>
        </w:rPr>
      </w:pPr>
      <w:r>
        <w:rPr>
          <w:rFonts w:hint="eastAsia"/>
        </w:rPr>
        <w:t>注：双方有关工程洽商、变更等书面协议或文件视为协议书的组成部分。</w:t>
      </w:r>
    </w:p>
    <w:p>
      <w:pPr>
        <w:pStyle w:val="6"/>
        <w:kinsoku/>
        <w:overflowPunct/>
        <w:topLinePunct w:val="0"/>
        <w:bidi w:val="0"/>
        <w:spacing w:line="300" w:lineRule="auto"/>
      </w:pPr>
      <w:bookmarkStart w:id="178" w:name="_Toc527029566"/>
      <w:bookmarkStart w:id="179" w:name="_Toc19206"/>
      <w:bookmarkStart w:id="180" w:name="_Toc512604454"/>
      <w:bookmarkStart w:id="181" w:name="_Toc513214608"/>
      <w:bookmarkStart w:id="182" w:name="_Toc513209222"/>
      <w:bookmarkStart w:id="183" w:name="_Toc26503"/>
      <w:bookmarkStart w:id="184" w:name="_Toc15160"/>
      <w:bookmarkStart w:id="185" w:name="_Toc473"/>
      <w:bookmarkStart w:id="186" w:name="_Toc2163"/>
      <w:bookmarkStart w:id="187" w:name="_Toc4044"/>
      <w:bookmarkStart w:id="188" w:name="_Toc24352"/>
      <w:bookmarkStart w:id="189" w:name="_Toc490491798"/>
      <w:bookmarkStart w:id="190" w:name="_Toc511649737"/>
      <w:bookmarkStart w:id="191" w:name="_Toc3903909"/>
      <w:bookmarkStart w:id="192" w:name="_Toc513038386"/>
      <w:bookmarkStart w:id="193" w:name="_Toc509902206"/>
      <w:bookmarkStart w:id="194" w:name="_Toc5424"/>
      <w:bookmarkStart w:id="195" w:name="_Toc476733977"/>
      <w:bookmarkStart w:id="196" w:name="_Toc511635760"/>
      <w:bookmarkStart w:id="197" w:name="_Toc17631"/>
      <w:bookmarkStart w:id="198" w:name="_Toc480985211"/>
      <w:r>
        <w:rPr>
          <w:rFonts w:hint="eastAsia"/>
        </w:rPr>
        <w:t>1.6 图纸和承包人文件</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kinsoku/>
        <w:overflowPunct/>
        <w:topLinePunct w:val="0"/>
        <w:bidi w:val="0"/>
        <w:spacing w:line="300" w:lineRule="auto"/>
      </w:pPr>
      <w:r>
        <w:rPr>
          <w:rFonts w:hint="eastAsia"/>
        </w:rPr>
        <w:t>1.6.1 图纸的提供</w:t>
      </w:r>
    </w:p>
    <w:p>
      <w:pPr>
        <w:kinsoku/>
        <w:overflowPunct/>
        <w:topLinePunct w:val="0"/>
        <w:bidi w:val="0"/>
        <w:spacing w:line="300" w:lineRule="auto"/>
        <w:rPr>
          <w:rFonts w:ascii="楷体_GB2312" w:eastAsia="楷体_GB2312"/>
        </w:rPr>
      </w:pPr>
      <w:r>
        <w:rPr>
          <w:rFonts w:hint="eastAsia"/>
        </w:rPr>
        <w:t>发包人向承包人提供图纸的期限：</w:t>
      </w:r>
      <w:r>
        <w:rPr>
          <w:rFonts w:hint="eastAsia"/>
          <w:u w:val="single"/>
        </w:rPr>
        <w:t>开工前</w:t>
      </w:r>
      <w:r>
        <w:rPr>
          <w:rFonts w:hint="eastAsia"/>
        </w:rPr>
        <w:t>。</w:t>
      </w:r>
    </w:p>
    <w:p>
      <w:pPr>
        <w:kinsoku/>
        <w:overflowPunct/>
        <w:topLinePunct w:val="0"/>
        <w:bidi w:val="0"/>
        <w:spacing w:line="300" w:lineRule="auto"/>
      </w:pPr>
      <w:r>
        <w:rPr>
          <w:rFonts w:hint="eastAsia"/>
        </w:rPr>
        <w:t>发包人向承包人提供图纸的数量：</w:t>
      </w:r>
      <w:r>
        <w:rPr>
          <w:rFonts w:hint="eastAsia" w:ascii="楷体_GB2312" w:hAnsi="楷体" w:eastAsia="楷体_GB2312"/>
          <w:u w:val="single"/>
        </w:rPr>
        <w:t>合同生效后，提供2套图纸</w:t>
      </w:r>
      <w:r>
        <w:rPr>
          <w:rFonts w:hint="eastAsia"/>
        </w:rPr>
        <w:t>。</w:t>
      </w:r>
    </w:p>
    <w:p>
      <w:pPr>
        <w:kinsoku/>
        <w:overflowPunct/>
        <w:topLinePunct w:val="0"/>
        <w:bidi w:val="0"/>
        <w:spacing w:line="300" w:lineRule="auto"/>
      </w:pPr>
      <w:r>
        <w:rPr>
          <w:rFonts w:hint="eastAsia"/>
        </w:rPr>
        <w:t>发包人向承包人提供图纸的内容：</w:t>
      </w:r>
      <w:r>
        <w:rPr>
          <w:rFonts w:hint="eastAsia"/>
          <w:u w:val="single"/>
        </w:rPr>
        <w:t xml:space="preserve"> 完整的施工图纸</w:t>
      </w:r>
      <w:r>
        <w:rPr>
          <w:rFonts w:hint="eastAsia"/>
        </w:rPr>
        <w:t>。</w:t>
      </w:r>
    </w:p>
    <w:p>
      <w:pPr>
        <w:kinsoku/>
        <w:overflowPunct/>
        <w:topLinePunct w:val="0"/>
        <w:bidi w:val="0"/>
        <w:spacing w:line="300" w:lineRule="auto"/>
      </w:pPr>
      <w:r>
        <w:rPr>
          <w:rFonts w:hint="eastAsia"/>
        </w:rPr>
        <w:t>1.6.4 承包人文件</w:t>
      </w:r>
    </w:p>
    <w:p>
      <w:pPr>
        <w:kinsoku/>
        <w:overflowPunct/>
        <w:topLinePunct w:val="0"/>
        <w:bidi w:val="0"/>
        <w:spacing w:line="300" w:lineRule="auto"/>
      </w:pPr>
      <w:r>
        <w:rPr>
          <w:rFonts w:hint="eastAsia"/>
        </w:rPr>
        <w:t>需要由承包人提供的文件，包括：</w:t>
      </w:r>
      <w:r>
        <w:rPr>
          <w:rFonts w:hint="eastAsia"/>
          <w:u w:val="single"/>
        </w:rPr>
        <w:t>施工组织设计，工程施工进度计划表，每月提供实际完成工程量月报表，下月进度计划表</w:t>
      </w:r>
      <w:r>
        <w:rPr>
          <w:rFonts w:hint="eastAsia"/>
        </w:rPr>
        <w:t>。</w:t>
      </w:r>
    </w:p>
    <w:p>
      <w:pPr>
        <w:kinsoku/>
        <w:overflowPunct/>
        <w:topLinePunct w:val="0"/>
        <w:bidi w:val="0"/>
        <w:spacing w:line="300" w:lineRule="auto"/>
      </w:pPr>
      <w:r>
        <w:rPr>
          <w:rFonts w:hint="eastAsia"/>
        </w:rPr>
        <w:t>承包人提供的文件的期限为：</w:t>
      </w:r>
      <w:r>
        <w:rPr>
          <w:rFonts w:hint="eastAsia"/>
          <w:u w:val="single"/>
        </w:rPr>
        <w:t xml:space="preserve">开工后7天内  </w:t>
      </w:r>
      <w:r>
        <w:rPr>
          <w:rFonts w:hint="eastAsia"/>
        </w:rPr>
        <w:t>。</w:t>
      </w:r>
    </w:p>
    <w:p>
      <w:pPr>
        <w:kinsoku/>
        <w:overflowPunct/>
        <w:topLinePunct w:val="0"/>
        <w:bidi w:val="0"/>
        <w:spacing w:line="300" w:lineRule="auto"/>
      </w:pPr>
      <w:r>
        <w:rPr>
          <w:rFonts w:hint="eastAsia"/>
        </w:rPr>
        <w:t>承包人提供的文件的数量为：</w:t>
      </w:r>
      <w:r>
        <w:rPr>
          <w:rFonts w:hint="eastAsia" w:ascii="楷体_GB2312" w:eastAsia="楷体_GB2312"/>
          <w:u w:val="single"/>
        </w:rPr>
        <w:t xml:space="preserve">一式五份  </w:t>
      </w:r>
      <w:r>
        <w:rPr>
          <w:rFonts w:hint="eastAsia"/>
        </w:rPr>
        <w:t>。</w:t>
      </w:r>
    </w:p>
    <w:p>
      <w:pPr>
        <w:kinsoku/>
        <w:overflowPunct/>
        <w:topLinePunct w:val="0"/>
        <w:bidi w:val="0"/>
        <w:spacing w:line="300" w:lineRule="auto"/>
      </w:pPr>
      <w:r>
        <w:rPr>
          <w:rFonts w:hint="eastAsia"/>
        </w:rPr>
        <w:t>承包人提供的文件的形式为：</w:t>
      </w:r>
      <w:r>
        <w:rPr>
          <w:rFonts w:hint="eastAsia"/>
          <w:u w:val="single"/>
        </w:rPr>
        <w:t xml:space="preserve">纸质文件及电子文件  </w:t>
      </w:r>
      <w:r>
        <w:rPr>
          <w:rFonts w:hint="eastAsia"/>
        </w:rPr>
        <w:t>。</w:t>
      </w:r>
    </w:p>
    <w:p>
      <w:pPr>
        <w:kinsoku/>
        <w:overflowPunct/>
        <w:topLinePunct w:val="0"/>
        <w:bidi w:val="0"/>
        <w:spacing w:line="300" w:lineRule="auto"/>
      </w:pPr>
      <w:r>
        <w:rPr>
          <w:rFonts w:hint="eastAsia"/>
        </w:rPr>
        <w:t>发包人审批承包人文件的期限：</w:t>
      </w:r>
      <w:r>
        <w:rPr>
          <w:rFonts w:hint="eastAsia"/>
          <w:u w:val="single"/>
        </w:rPr>
        <w:t xml:space="preserve">收到施工组织设计（施工方案）和施工进度计划后14天内  </w:t>
      </w:r>
      <w:r>
        <w:rPr>
          <w:rFonts w:hint="eastAsia"/>
        </w:rPr>
        <w:t>。</w:t>
      </w:r>
    </w:p>
    <w:p>
      <w:pPr>
        <w:kinsoku/>
        <w:overflowPunct/>
        <w:topLinePunct w:val="0"/>
        <w:bidi w:val="0"/>
        <w:spacing w:line="300" w:lineRule="auto"/>
      </w:pPr>
      <w:r>
        <w:rPr>
          <w:rFonts w:hint="eastAsia"/>
        </w:rPr>
        <w:t>1.6.5 现场图纸准备</w:t>
      </w:r>
    </w:p>
    <w:p>
      <w:pPr>
        <w:kinsoku/>
        <w:overflowPunct/>
        <w:topLinePunct w:val="0"/>
        <w:bidi w:val="0"/>
        <w:spacing w:line="300" w:lineRule="auto"/>
      </w:pPr>
      <w:r>
        <w:rPr>
          <w:rFonts w:hint="eastAsia"/>
        </w:rPr>
        <w:t>关于现场图纸准备的约定：</w:t>
      </w:r>
      <w:r>
        <w:rPr>
          <w:rFonts w:hint="eastAsia" w:cs="宋体"/>
          <w:u w:val="single"/>
        </w:rPr>
        <w:t>承包人应在施工现场另外保存一套完整的图纸供发包人、监理及有关人员进行工程检查时使用</w:t>
      </w:r>
      <w:r>
        <w:rPr>
          <w:rFonts w:hint="eastAsia"/>
        </w:rPr>
        <w:t>。</w:t>
      </w:r>
    </w:p>
    <w:p>
      <w:pPr>
        <w:pStyle w:val="6"/>
        <w:kinsoku/>
        <w:overflowPunct/>
        <w:topLinePunct w:val="0"/>
        <w:bidi w:val="0"/>
        <w:spacing w:line="300" w:lineRule="auto"/>
      </w:pPr>
      <w:bookmarkStart w:id="199" w:name="_Toc527029567"/>
      <w:bookmarkStart w:id="200" w:name="_Toc17103"/>
      <w:bookmarkStart w:id="201" w:name="_Toc512604455"/>
      <w:bookmarkStart w:id="202" w:name="_Toc32632"/>
      <w:bookmarkStart w:id="203" w:name="_Toc513038387"/>
      <w:bookmarkStart w:id="204" w:name="_Toc3739"/>
      <w:bookmarkStart w:id="205" w:name="_Toc513209223"/>
      <w:bookmarkStart w:id="206" w:name="_Toc476733978"/>
      <w:bookmarkStart w:id="207" w:name="_Toc26834"/>
      <w:bookmarkStart w:id="208" w:name="_Toc3903910"/>
      <w:bookmarkStart w:id="209" w:name="_Toc216"/>
      <w:bookmarkStart w:id="210" w:name="_Toc509902207"/>
      <w:bookmarkStart w:id="211" w:name="_Toc23253"/>
      <w:bookmarkStart w:id="212" w:name="_Toc513214609"/>
      <w:bookmarkStart w:id="213" w:name="_Toc490491799"/>
      <w:bookmarkStart w:id="214" w:name="_Toc6868"/>
      <w:bookmarkStart w:id="215" w:name="_Toc511635761"/>
      <w:bookmarkStart w:id="216" w:name="_Toc8987"/>
      <w:bookmarkStart w:id="217" w:name="_Toc511649738"/>
      <w:bookmarkStart w:id="218" w:name="_Toc480985212"/>
      <w:bookmarkStart w:id="219" w:name="_Toc29933"/>
      <w:r>
        <w:rPr>
          <w:rFonts w:hint="eastAsia"/>
        </w:rPr>
        <w:t>1.7 联络</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kinsoku/>
        <w:overflowPunct/>
        <w:topLinePunct w:val="0"/>
        <w:bidi w:val="0"/>
        <w:spacing w:line="300" w:lineRule="auto"/>
      </w:pPr>
      <w:r>
        <w:t>1.7.1发包人和承包人应当在</w:t>
      </w:r>
      <w:r>
        <w:rPr>
          <w:rFonts w:hint="eastAsia"/>
          <w:u w:val="single"/>
        </w:rPr>
        <w:t>7</w:t>
      </w:r>
      <w:r>
        <w:t>天内将与合同有关的通知、批准、证明、证书、指示、指令、要求、请求、同意、意见、确定和决定等书面函件送达对方当事人</w:t>
      </w:r>
      <w:r>
        <w:rPr>
          <w:rFonts w:hint="eastAsia"/>
        </w:rPr>
        <w:t>。</w:t>
      </w:r>
    </w:p>
    <w:p>
      <w:pPr>
        <w:kinsoku/>
        <w:overflowPunct/>
        <w:topLinePunct w:val="0"/>
        <w:bidi w:val="0"/>
        <w:spacing w:line="300" w:lineRule="auto"/>
      </w:pPr>
      <w:r>
        <w:t>1.7.2 发包人接收文件的地点：</w:t>
      </w:r>
      <w:r>
        <w:rPr>
          <w:rFonts w:hint="eastAsia" w:cs="宋体"/>
          <w:u w:val="single"/>
        </w:rPr>
        <w:t></w:t>
      </w:r>
      <w:r>
        <w:rPr>
          <w:rFonts w:hint="eastAsia"/>
          <w:u w:val="single"/>
        </w:rPr>
        <w:t xml:space="preserve">  </w:t>
      </w:r>
      <w:r>
        <w:rPr>
          <w:rFonts w:hint="eastAsia" w:cs="宋体"/>
          <w:u w:val="single"/>
        </w:rPr>
        <w:t></w:t>
      </w:r>
      <w:r>
        <w:rPr>
          <w:rFonts w:hint="eastAsia"/>
          <w:u w:val="single"/>
        </w:rPr>
        <w:t xml:space="preserve"> </w:t>
      </w:r>
      <w:r>
        <w:rPr>
          <w:rFonts w:hint="eastAsia"/>
        </w:rPr>
        <w:t>。</w:t>
      </w:r>
    </w:p>
    <w:p>
      <w:pPr>
        <w:kinsoku/>
        <w:overflowPunct/>
        <w:topLinePunct w:val="0"/>
        <w:bidi w:val="0"/>
        <w:spacing w:line="300" w:lineRule="auto"/>
      </w:pPr>
      <w:r>
        <w:t>发包人指定的接收人为：</w:t>
      </w:r>
      <w:r>
        <w:rPr>
          <w:rFonts w:hint="eastAsia" w:cs="宋体"/>
          <w:u w:val="single"/>
        </w:rPr>
        <w:t></w:t>
      </w:r>
      <w:r>
        <w:rPr>
          <w:rFonts w:hint="eastAsia"/>
          <w:u w:val="single"/>
        </w:rPr>
        <w:t xml:space="preserve"> </w:t>
      </w:r>
      <w:r>
        <w:rPr>
          <w:rFonts w:hint="eastAsia" w:cs="宋体"/>
          <w:u w:val="single"/>
        </w:rPr>
        <w:t></w:t>
      </w:r>
      <w:r>
        <w:rPr>
          <w:rFonts w:hint="eastAsia"/>
          <w:u w:val="single"/>
        </w:rPr>
        <w:t xml:space="preserve">      </w:t>
      </w:r>
      <w:r>
        <w:rPr>
          <w:rFonts w:hint="eastAsia"/>
        </w:rPr>
        <w:t>。</w:t>
      </w:r>
    </w:p>
    <w:p>
      <w:pPr>
        <w:kinsoku/>
        <w:overflowPunct/>
        <w:topLinePunct w:val="0"/>
        <w:bidi w:val="0"/>
        <w:spacing w:line="300" w:lineRule="auto"/>
      </w:pPr>
      <w:r>
        <w:t>承包人接收文件的地点：</w:t>
      </w:r>
      <w:r>
        <w:rPr>
          <w:rFonts w:hint="eastAsia" w:cs="宋体"/>
          <w:u w:val="single"/>
        </w:rPr>
        <w:t></w:t>
      </w:r>
      <w:r>
        <w:rPr>
          <w:rFonts w:hint="eastAsia"/>
          <w:u w:val="single"/>
        </w:rPr>
        <w:t xml:space="preserve"> </w:t>
      </w:r>
      <w:r>
        <w:rPr>
          <w:rFonts w:hint="eastAsia" w:cs="宋体"/>
          <w:u w:val="single"/>
        </w:rPr>
        <w:t></w:t>
      </w:r>
      <w:r>
        <w:rPr>
          <w:rFonts w:hint="eastAsia"/>
          <w:u w:val="single"/>
        </w:rPr>
        <w:t xml:space="preserve">      </w:t>
      </w:r>
      <w:r>
        <w:rPr>
          <w:rFonts w:hint="eastAsia"/>
        </w:rPr>
        <w:t>。</w:t>
      </w:r>
    </w:p>
    <w:p>
      <w:pPr>
        <w:kinsoku/>
        <w:overflowPunct/>
        <w:topLinePunct w:val="0"/>
        <w:bidi w:val="0"/>
        <w:spacing w:line="300" w:lineRule="auto"/>
      </w:pPr>
      <w:r>
        <w:t>承包人指定的接收人为：</w:t>
      </w:r>
      <w:r>
        <w:rPr>
          <w:rFonts w:hint="eastAsia" w:cs="宋体"/>
          <w:u w:val="single"/>
        </w:rPr>
        <w:t></w:t>
      </w:r>
      <w:r>
        <w:rPr>
          <w:rFonts w:hint="eastAsia"/>
          <w:u w:val="single"/>
        </w:rPr>
        <w:t xml:space="preserve"> </w:t>
      </w:r>
      <w:r>
        <w:rPr>
          <w:rFonts w:hint="eastAsia" w:cs="宋体"/>
          <w:u w:val="single"/>
        </w:rPr>
        <w:t></w:t>
      </w:r>
      <w:r>
        <w:rPr>
          <w:rFonts w:hint="eastAsia"/>
          <w:u w:val="single"/>
        </w:rPr>
        <w:t xml:space="preserve">      </w:t>
      </w:r>
      <w:r>
        <w:rPr>
          <w:rFonts w:hint="eastAsia"/>
        </w:rPr>
        <w:t>。</w:t>
      </w:r>
    </w:p>
    <w:p>
      <w:pPr>
        <w:kinsoku/>
        <w:overflowPunct/>
        <w:topLinePunct w:val="0"/>
        <w:bidi w:val="0"/>
        <w:spacing w:line="300" w:lineRule="auto"/>
      </w:pPr>
      <w:r>
        <w:t>监理人接收文件的地点：</w:t>
      </w:r>
      <w:r>
        <w:rPr>
          <w:rFonts w:hint="eastAsia" w:cs="宋体"/>
          <w:u w:val="single"/>
        </w:rPr>
        <w:t></w:t>
      </w:r>
      <w:r>
        <w:rPr>
          <w:rFonts w:hint="eastAsia"/>
          <w:u w:val="single"/>
        </w:rPr>
        <w:t xml:space="preserve"> </w:t>
      </w:r>
      <w:r>
        <w:rPr>
          <w:rFonts w:hint="eastAsia" w:cs="宋体"/>
          <w:u w:val="single"/>
        </w:rPr>
        <w:t></w:t>
      </w:r>
      <w:r>
        <w:rPr>
          <w:rFonts w:hint="eastAsia"/>
          <w:u w:val="single"/>
        </w:rPr>
        <w:t xml:space="preserve">      </w:t>
      </w:r>
      <w:r>
        <w:rPr>
          <w:rFonts w:hint="eastAsia"/>
        </w:rPr>
        <w:t>。</w:t>
      </w:r>
    </w:p>
    <w:p>
      <w:pPr>
        <w:kinsoku/>
        <w:overflowPunct/>
        <w:topLinePunct w:val="0"/>
        <w:bidi w:val="0"/>
        <w:spacing w:line="300" w:lineRule="auto"/>
      </w:pPr>
      <w:r>
        <w:t>监理人指定的接收人为：</w:t>
      </w:r>
      <w:r>
        <w:rPr>
          <w:rFonts w:hint="eastAsia" w:cs="宋体"/>
          <w:u w:val="single"/>
        </w:rPr>
        <w:t></w:t>
      </w:r>
      <w:r>
        <w:rPr>
          <w:rFonts w:hint="eastAsia"/>
          <w:u w:val="single"/>
        </w:rPr>
        <w:t xml:space="preserve"> </w:t>
      </w:r>
      <w:r>
        <w:rPr>
          <w:rFonts w:hint="eastAsia" w:cs="宋体"/>
          <w:u w:val="single"/>
        </w:rPr>
        <w:t></w:t>
      </w:r>
      <w:r>
        <w:rPr>
          <w:rFonts w:hint="eastAsia"/>
          <w:u w:val="single"/>
        </w:rPr>
        <w:t xml:space="preserve">  </w:t>
      </w:r>
      <w:r>
        <w:rPr>
          <w:u w:val="single"/>
        </w:rPr>
        <w:t xml:space="preserve"> </w:t>
      </w:r>
      <w:r>
        <w:rPr>
          <w:rFonts w:hint="eastAsia"/>
          <w:u w:val="single"/>
        </w:rPr>
        <w:t xml:space="preserve">   </w:t>
      </w:r>
      <w:r>
        <w:rPr>
          <w:rFonts w:hint="eastAsia"/>
        </w:rPr>
        <w:t>。</w:t>
      </w:r>
    </w:p>
    <w:p>
      <w:pPr>
        <w:pStyle w:val="6"/>
        <w:kinsoku/>
        <w:overflowPunct/>
        <w:topLinePunct w:val="0"/>
        <w:bidi w:val="0"/>
        <w:spacing w:line="300" w:lineRule="auto"/>
      </w:pPr>
      <w:bookmarkStart w:id="220" w:name="_Toc13677"/>
      <w:bookmarkStart w:id="221" w:name="_Toc11722"/>
      <w:bookmarkStart w:id="222" w:name="_Toc512604456"/>
      <w:bookmarkStart w:id="223" w:name="_Toc490491800"/>
      <w:bookmarkStart w:id="224" w:name="_Toc511649739"/>
      <w:bookmarkStart w:id="225" w:name="_Toc11595"/>
      <w:bookmarkStart w:id="226" w:name="_Toc527029568"/>
      <w:bookmarkStart w:id="227" w:name="_Toc15063"/>
      <w:bookmarkStart w:id="228" w:name="_Toc3903911"/>
      <w:bookmarkStart w:id="229" w:name="_Toc30925"/>
      <w:bookmarkStart w:id="230" w:name="_Toc476733979"/>
      <w:bookmarkStart w:id="231" w:name="_Toc8425"/>
      <w:bookmarkStart w:id="232" w:name="_Toc480985213"/>
      <w:bookmarkStart w:id="233" w:name="_Toc511635762"/>
      <w:bookmarkStart w:id="234" w:name="_Toc513214610"/>
      <w:bookmarkStart w:id="235" w:name="_Toc513038388"/>
      <w:bookmarkStart w:id="236" w:name="_Toc11804"/>
      <w:bookmarkStart w:id="237" w:name="_Toc513209224"/>
      <w:bookmarkStart w:id="238" w:name="_Toc32086"/>
      <w:bookmarkStart w:id="239" w:name="_Toc1476"/>
      <w:bookmarkStart w:id="240" w:name="_Toc509902208"/>
      <w:r>
        <w:t>1.10 交通运输</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kinsoku/>
        <w:overflowPunct/>
        <w:topLinePunct w:val="0"/>
        <w:bidi w:val="0"/>
        <w:spacing w:line="300" w:lineRule="auto"/>
      </w:pPr>
      <w:r>
        <w:rPr>
          <w:rFonts w:hint="eastAsia"/>
        </w:rPr>
        <w:t>1.10.1 出入现场的权利</w:t>
      </w:r>
    </w:p>
    <w:p>
      <w:pPr>
        <w:kinsoku/>
        <w:overflowPunct/>
        <w:topLinePunct w:val="0"/>
        <w:bidi w:val="0"/>
        <w:spacing w:line="300" w:lineRule="auto"/>
        <w:rPr>
          <w:u w:val="single"/>
        </w:rPr>
      </w:pPr>
      <w:r>
        <w:rPr>
          <w:rFonts w:hint="eastAsia"/>
        </w:rPr>
        <w:t>关于出入现场的权利的约定：</w:t>
      </w:r>
      <w:r>
        <w:rPr>
          <w:rFonts w:hint="eastAsia" w:cs="宋体"/>
          <w:u w:val="single"/>
        </w:rPr>
        <w:t xml:space="preserve">由承包人按发包人要求负责取得出入施工现场所需的批准手续和全部权利，并承担相关手续费用  </w:t>
      </w:r>
      <w:r>
        <w:rPr>
          <w:rFonts w:hint="eastAsia"/>
        </w:rPr>
        <w:t>。</w:t>
      </w:r>
    </w:p>
    <w:p>
      <w:pPr>
        <w:kinsoku/>
        <w:overflowPunct/>
        <w:topLinePunct w:val="0"/>
        <w:bidi w:val="0"/>
        <w:spacing w:line="300" w:lineRule="auto"/>
      </w:pPr>
      <w:r>
        <w:rPr>
          <w:rFonts w:hint="eastAsia"/>
        </w:rPr>
        <w:t>1.10.3 场内交通</w:t>
      </w:r>
    </w:p>
    <w:p>
      <w:pPr>
        <w:kinsoku/>
        <w:overflowPunct/>
        <w:topLinePunct w:val="0"/>
        <w:bidi w:val="0"/>
        <w:spacing w:line="300" w:lineRule="auto"/>
      </w:pPr>
      <w:r>
        <w:rPr>
          <w:rFonts w:hint="eastAsia"/>
        </w:rPr>
        <w:t>关于场外交通和场内交通的边界的约定：</w:t>
      </w:r>
      <w:r>
        <w:rPr>
          <w:rFonts w:hint="eastAsia" w:cs="宋体"/>
          <w:u w:val="single"/>
        </w:rPr>
        <w:t>（建议以规划红线图为主）</w:t>
      </w:r>
      <w:r>
        <w:rPr>
          <w:rFonts w:hint="eastAsia"/>
        </w:rPr>
        <w:t>。</w:t>
      </w:r>
    </w:p>
    <w:p>
      <w:pPr>
        <w:kinsoku/>
        <w:overflowPunct/>
        <w:topLinePunct w:val="0"/>
        <w:bidi w:val="0"/>
        <w:spacing w:line="300" w:lineRule="auto"/>
      </w:pPr>
      <w:r>
        <w:rPr>
          <w:rFonts w:hint="eastAsia"/>
        </w:rPr>
        <w:t>关于发包人向承包人免费提供满足工程施工需要的场内道路和交通设施的约定：</w:t>
      </w:r>
      <w:r>
        <w:rPr>
          <w:rFonts w:hint="eastAsia" w:cs="宋体"/>
          <w:u w:val="single"/>
        </w:rPr>
        <w:t>由发包人现场指定。</w:t>
      </w:r>
    </w:p>
    <w:p>
      <w:pPr>
        <w:kinsoku/>
        <w:overflowPunct/>
        <w:topLinePunct w:val="0"/>
        <w:bidi w:val="0"/>
        <w:spacing w:line="300" w:lineRule="auto"/>
      </w:pPr>
      <w:r>
        <w:rPr>
          <w:rFonts w:hint="eastAsia"/>
        </w:rPr>
        <w:t xml:space="preserve"> 1.10.4超大件和超重件的运输</w:t>
      </w:r>
    </w:p>
    <w:p>
      <w:pPr>
        <w:kinsoku/>
        <w:overflowPunct/>
        <w:topLinePunct w:val="0"/>
        <w:bidi w:val="0"/>
        <w:spacing w:line="300" w:lineRule="auto"/>
      </w:pPr>
      <w:r>
        <w:rPr>
          <w:rFonts w:hint="eastAsia"/>
        </w:rPr>
        <w:t>运输超大件或超重件所需的道路和桥梁临时加固改造费用和其他有关费用由</w:t>
      </w:r>
      <w:r>
        <w:rPr>
          <w:rFonts w:hint="eastAsia"/>
          <w:u w:val="single"/>
        </w:rPr>
        <w:t xml:space="preserve">  承包人  </w:t>
      </w:r>
      <w:r>
        <w:rPr>
          <w:rFonts w:hint="eastAsia"/>
        </w:rPr>
        <w:t>承担。</w:t>
      </w:r>
    </w:p>
    <w:p>
      <w:pPr>
        <w:pStyle w:val="6"/>
        <w:kinsoku/>
        <w:overflowPunct/>
        <w:topLinePunct w:val="0"/>
        <w:bidi w:val="0"/>
        <w:spacing w:line="300" w:lineRule="auto"/>
      </w:pPr>
      <w:bookmarkStart w:id="241" w:name="_Toc3676"/>
      <w:bookmarkStart w:id="242" w:name="_Toc30418"/>
      <w:bookmarkStart w:id="243" w:name="_Toc480985214"/>
      <w:bookmarkStart w:id="244" w:name="_Toc27258"/>
      <w:bookmarkStart w:id="245" w:name="_Toc511649740"/>
      <w:bookmarkStart w:id="246" w:name="_Toc511635763"/>
      <w:bookmarkStart w:id="247" w:name="_Toc13201"/>
      <w:bookmarkStart w:id="248" w:name="_Toc509902209"/>
      <w:bookmarkStart w:id="249" w:name="_Toc476733980"/>
      <w:bookmarkStart w:id="250" w:name="_Toc513038389"/>
      <w:bookmarkStart w:id="251" w:name="_Toc490491801"/>
      <w:bookmarkStart w:id="252" w:name="_Toc527029569"/>
      <w:bookmarkStart w:id="253" w:name="_Toc513214611"/>
      <w:bookmarkStart w:id="254" w:name="_Toc512604457"/>
      <w:bookmarkStart w:id="255" w:name="_Toc19678"/>
      <w:bookmarkStart w:id="256" w:name="_Toc18017"/>
      <w:bookmarkStart w:id="257" w:name="_Toc26069"/>
      <w:bookmarkStart w:id="258" w:name="_Toc851"/>
      <w:bookmarkStart w:id="259" w:name="_Toc30248"/>
      <w:bookmarkStart w:id="260" w:name="_Toc3903912"/>
      <w:bookmarkStart w:id="261" w:name="_Toc513209225"/>
      <w:r>
        <w:t>1.11 知识产权</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kinsoku/>
        <w:overflowPunct/>
        <w:topLinePunct w:val="0"/>
        <w:bidi w:val="0"/>
        <w:spacing w:line="300" w:lineRule="auto"/>
      </w:pPr>
      <w:r>
        <w:rPr>
          <w:rFonts w:hint="eastAsia"/>
        </w:rPr>
        <w:t>1.11.1关于发包人提供给承包人的图纸、发包人为实施工程自行编制或委托编制的技术规范以及反映发包人关于合同要求或其他类似性质的文件的著作权的归属：</w:t>
      </w:r>
      <w:r>
        <w:rPr>
          <w:rFonts w:hint="eastAsia" w:cs="宋体"/>
          <w:u w:val="single"/>
        </w:rPr>
        <w:t>发包人</w:t>
      </w:r>
      <w:r>
        <w:rPr>
          <w:rFonts w:hint="eastAsia"/>
          <w:u w:val="single"/>
        </w:rPr>
        <w:t xml:space="preserve">  </w:t>
      </w:r>
      <w:r>
        <w:rPr>
          <w:rFonts w:hint="eastAsia"/>
        </w:rPr>
        <w:t>。</w:t>
      </w:r>
    </w:p>
    <w:p>
      <w:pPr>
        <w:kinsoku/>
        <w:overflowPunct/>
        <w:topLinePunct w:val="0"/>
        <w:bidi w:val="0"/>
        <w:spacing w:line="300" w:lineRule="auto"/>
      </w:pPr>
      <w:r>
        <w:rPr>
          <w:rFonts w:hint="eastAsia"/>
        </w:rPr>
        <w:t>关于发包人提供的上述文件的使用限制的要求：</w:t>
      </w:r>
      <w:r>
        <w:rPr>
          <w:rFonts w:hint="eastAsia"/>
          <w:u w:val="single"/>
        </w:rPr>
        <w:t xml:space="preserve"> 不经发包人同意，不得擅自给第三方  </w:t>
      </w:r>
      <w:r>
        <w:rPr>
          <w:rFonts w:hint="eastAsia"/>
        </w:rPr>
        <w:t>。</w:t>
      </w:r>
    </w:p>
    <w:p>
      <w:pPr>
        <w:kinsoku/>
        <w:overflowPunct/>
        <w:topLinePunct w:val="0"/>
        <w:bidi w:val="0"/>
        <w:spacing w:line="300" w:lineRule="auto"/>
      </w:pPr>
      <w:r>
        <w:rPr>
          <w:rFonts w:hint="eastAsia"/>
        </w:rPr>
        <w:t>1.11.2 关于承包人为实施工程所编制文件的著作权的归属：</w:t>
      </w:r>
      <w:r>
        <w:rPr>
          <w:rFonts w:hint="eastAsia"/>
          <w:u w:val="single"/>
        </w:rPr>
        <w:t xml:space="preserve"> 除署名权以外的著作权属于发包人</w:t>
      </w:r>
      <w:r>
        <w:rPr>
          <w:rFonts w:hint="eastAsia" w:cs="宋体"/>
          <w:u w:val="single"/>
        </w:rPr>
        <w:t></w:t>
      </w:r>
      <w:r>
        <w:rPr>
          <w:rFonts w:hint="eastAsia"/>
        </w:rPr>
        <w:t>。</w:t>
      </w:r>
    </w:p>
    <w:p>
      <w:pPr>
        <w:kinsoku/>
        <w:overflowPunct/>
        <w:topLinePunct w:val="0"/>
        <w:bidi w:val="0"/>
        <w:spacing w:line="300" w:lineRule="auto"/>
      </w:pPr>
      <w:r>
        <w:rPr>
          <w:rFonts w:hint="eastAsia"/>
        </w:rPr>
        <w:t>关于承包人提供的上述文件的使用限制的要求：</w:t>
      </w:r>
      <w:r>
        <w:rPr>
          <w:rFonts w:hint="eastAsia"/>
          <w:u w:val="single"/>
        </w:rPr>
        <w:t xml:space="preserve"> 不经发包人同意，不得擅自给第三方  </w:t>
      </w:r>
      <w:r>
        <w:rPr>
          <w:rFonts w:hint="eastAsia"/>
        </w:rPr>
        <w:t>。</w:t>
      </w:r>
    </w:p>
    <w:p>
      <w:pPr>
        <w:kinsoku/>
        <w:overflowPunct/>
        <w:topLinePunct w:val="0"/>
        <w:bidi w:val="0"/>
        <w:spacing w:line="300" w:lineRule="auto"/>
        <w:rPr>
          <w:u w:val="single"/>
        </w:rPr>
      </w:pPr>
      <w:r>
        <w:rPr>
          <w:rFonts w:hint="eastAsia"/>
        </w:rPr>
        <w:t>1.11.4 承包人在施工过程中所采用的专利、专有技术、技术秘密的使用费的承担方式：</w:t>
      </w:r>
      <w:r>
        <w:rPr>
          <w:rFonts w:hint="eastAsia"/>
          <w:u w:val="single"/>
        </w:rPr>
        <w:t xml:space="preserve"> 承包人自理并包括在投标总价内  </w:t>
      </w:r>
      <w:r>
        <w:rPr>
          <w:rFonts w:hint="eastAsia"/>
        </w:rPr>
        <w:t>。</w:t>
      </w:r>
    </w:p>
    <w:p>
      <w:pPr>
        <w:pStyle w:val="7"/>
        <w:kinsoku/>
        <w:overflowPunct/>
        <w:topLinePunct w:val="0"/>
        <w:bidi w:val="0"/>
        <w:spacing w:before="120" w:after="120" w:line="300" w:lineRule="auto"/>
        <w:ind w:firstLine="420"/>
        <w:rPr>
          <w:b/>
          <w:color w:val="auto"/>
          <w:szCs w:val="21"/>
        </w:rPr>
      </w:pPr>
      <w:bookmarkStart w:id="262" w:name="_Toc351203634"/>
      <w:r>
        <w:rPr>
          <w:rFonts w:hAnsi="宋体"/>
          <w:b/>
          <w:color w:val="auto"/>
          <w:szCs w:val="21"/>
        </w:rPr>
        <w:t>1.13</w:t>
      </w:r>
      <w:r>
        <w:rPr>
          <w:rFonts w:hint="eastAsia" w:hAnsi="宋体"/>
          <w:b/>
          <w:color w:val="auto"/>
          <w:szCs w:val="21"/>
        </w:rPr>
        <w:t>工程量清单错误的修正</w:t>
      </w:r>
    </w:p>
    <w:bookmarkEnd w:id="262"/>
    <w:p>
      <w:pPr>
        <w:kinsoku/>
        <w:overflowPunct/>
        <w:topLinePunct w:val="0"/>
        <w:bidi w:val="0"/>
        <w:spacing w:line="300" w:lineRule="auto"/>
        <w:ind w:firstLine="420"/>
      </w:pPr>
      <w:r>
        <w:rPr>
          <w:rFonts w:hint="eastAsia"/>
        </w:rPr>
        <w:t>一、工程量清单项目和工程量调整。</w:t>
      </w:r>
    </w:p>
    <w:p>
      <w:pPr>
        <w:kinsoku/>
        <w:overflowPunct/>
        <w:topLinePunct w:val="0"/>
        <w:bidi w:val="0"/>
        <w:spacing w:line="300" w:lineRule="auto"/>
        <w:ind w:firstLine="420"/>
      </w:pPr>
      <w:r>
        <w:rPr>
          <w:rFonts w:hint="eastAsia"/>
        </w:rPr>
        <w:t>（</w:t>
      </w:r>
      <w:r>
        <w:t>1</w:t>
      </w:r>
      <w:r>
        <w:rPr>
          <w:rFonts w:hint="eastAsia"/>
        </w:rPr>
        <w:t>）采用工程量清单综合单价计价工程，发生下列情况的工程量清单项目应予调整：</w:t>
      </w:r>
    </w:p>
    <w:p>
      <w:pPr>
        <w:kinsoku/>
        <w:overflowPunct/>
        <w:topLinePunct w:val="0"/>
        <w:bidi w:val="0"/>
        <w:spacing w:line="300" w:lineRule="auto"/>
        <w:ind w:firstLine="420"/>
      </w:pPr>
      <w:r>
        <w:rPr>
          <w:rFonts w:hint="eastAsia"/>
        </w:rPr>
        <w:t>①发包人提供的工程量清单项目漏项、重复列项；</w:t>
      </w:r>
    </w:p>
    <w:p>
      <w:pPr>
        <w:kinsoku/>
        <w:overflowPunct/>
        <w:topLinePunct w:val="0"/>
        <w:bidi w:val="0"/>
        <w:spacing w:line="300" w:lineRule="auto"/>
        <w:ind w:firstLine="420"/>
      </w:pPr>
      <w:r>
        <w:rPr>
          <w:rFonts w:hint="eastAsia"/>
        </w:rPr>
        <w:t>②工程变更引起新增或减少清单项目。</w:t>
      </w:r>
    </w:p>
    <w:p>
      <w:pPr>
        <w:kinsoku/>
        <w:overflowPunct/>
        <w:topLinePunct w:val="0"/>
        <w:bidi w:val="0"/>
        <w:spacing w:line="300" w:lineRule="auto"/>
        <w:ind w:firstLine="420"/>
      </w:pPr>
      <w:r>
        <w:rPr>
          <w:rFonts w:hint="eastAsia"/>
        </w:rPr>
        <w:t>③施工图纸、工程变更后与原招标工程量清单的特征描述不符。</w:t>
      </w:r>
    </w:p>
    <w:p>
      <w:pPr>
        <w:kinsoku/>
        <w:overflowPunct/>
        <w:topLinePunct w:val="0"/>
        <w:bidi w:val="0"/>
        <w:spacing w:line="300" w:lineRule="auto"/>
        <w:ind w:firstLine="420"/>
      </w:pPr>
      <w:r>
        <w:rPr>
          <w:rFonts w:hint="eastAsia"/>
        </w:rPr>
        <w:t>（</w:t>
      </w:r>
      <w:r>
        <w:t>2</w:t>
      </w:r>
      <w:r>
        <w:rPr>
          <w:rFonts w:hint="eastAsia"/>
        </w:rPr>
        <w:t>）采用工程量清单综合单价计价工程，发生下列情况的，工程量清单项目的工程量应予调整：</w:t>
      </w:r>
    </w:p>
    <w:p>
      <w:pPr>
        <w:kinsoku/>
        <w:overflowPunct/>
        <w:topLinePunct w:val="0"/>
        <w:bidi w:val="0"/>
        <w:spacing w:line="300" w:lineRule="auto"/>
        <w:ind w:firstLine="420"/>
      </w:pPr>
      <w:r>
        <w:rPr>
          <w:rFonts w:hint="eastAsia"/>
        </w:rPr>
        <w:t>①发包人提供的工程量清单项目工程量有偏差（即分部分项工程量清单项目数量差异绝对值≥</w:t>
      </w:r>
      <w:r>
        <w:t>3%</w:t>
      </w:r>
      <w:r>
        <w:rPr>
          <w:rFonts w:hint="eastAsia"/>
        </w:rPr>
        <w:t>或分部分项工程量清单项目差异部分造价绝对值≥</w:t>
      </w:r>
      <w:r>
        <w:t>1%</w:t>
      </w:r>
      <w:r>
        <w:rPr>
          <w:rFonts w:hint="eastAsia"/>
        </w:rPr>
        <w:t>投标造价）；</w:t>
      </w:r>
    </w:p>
    <w:p>
      <w:pPr>
        <w:kinsoku/>
        <w:overflowPunct/>
        <w:topLinePunct w:val="0"/>
        <w:bidi w:val="0"/>
        <w:spacing w:line="300" w:lineRule="auto"/>
        <w:ind w:firstLine="420"/>
      </w:pPr>
      <w:r>
        <w:rPr>
          <w:rFonts w:hint="eastAsia"/>
        </w:rPr>
        <w:t>②工程变更引起的工程量的增减。</w:t>
      </w:r>
    </w:p>
    <w:p>
      <w:pPr>
        <w:kinsoku/>
        <w:overflowPunct/>
        <w:topLinePunct w:val="0"/>
        <w:bidi w:val="0"/>
        <w:spacing w:line="300" w:lineRule="auto"/>
        <w:ind w:firstLine="420"/>
      </w:pPr>
      <w:r>
        <w:rPr>
          <w:rFonts w:hint="eastAsia"/>
        </w:rPr>
        <w:t>（</w:t>
      </w:r>
      <w:r>
        <w:t>3</w:t>
      </w:r>
      <w:r>
        <w:rPr>
          <w:rFonts w:hint="eastAsia"/>
        </w:rPr>
        <w:t>）清单项目或工程量调整应根据合同约定、施工图纸、工程变更联系单等内容，按“计价规范”、浙江省“计价依据”等要求进行列项、计量。</w:t>
      </w:r>
    </w:p>
    <w:p>
      <w:pPr>
        <w:kinsoku/>
        <w:overflowPunct/>
        <w:topLinePunct w:val="0"/>
        <w:bidi w:val="0"/>
        <w:spacing w:line="300" w:lineRule="auto"/>
        <w:ind w:firstLine="420"/>
      </w:pPr>
      <w:r>
        <w:rPr>
          <w:rFonts w:hint="eastAsia"/>
        </w:rPr>
        <w:t>二、综合单价调整。</w:t>
      </w:r>
    </w:p>
    <w:p>
      <w:pPr>
        <w:kinsoku/>
        <w:overflowPunct/>
        <w:topLinePunct w:val="0"/>
        <w:bidi w:val="0"/>
        <w:spacing w:line="300" w:lineRule="auto"/>
        <w:ind w:firstLine="420"/>
      </w:pPr>
      <w:r>
        <w:rPr>
          <w:rFonts w:hint="eastAsia"/>
        </w:rPr>
        <w:t>因第</w:t>
      </w:r>
      <w:r>
        <w:t>1.13</w:t>
      </w:r>
      <w:r>
        <w:rPr>
          <w:rFonts w:hint="eastAsia"/>
        </w:rPr>
        <w:t>款第一条的工程量清单项目或工程数量变化，按以下规定调整综合单价：</w:t>
      </w:r>
    </w:p>
    <w:p>
      <w:pPr>
        <w:kinsoku/>
        <w:overflowPunct/>
        <w:topLinePunct w:val="0"/>
        <w:bidi w:val="0"/>
        <w:spacing w:line="300" w:lineRule="auto"/>
        <w:ind w:firstLine="420"/>
      </w:pPr>
      <w:r>
        <w:rPr>
          <w:rFonts w:hint="eastAsia"/>
        </w:rPr>
        <w:t>（</w:t>
      </w:r>
      <w:r>
        <w:t>1</w:t>
      </w:r>
      <w:r>
        <w:rPr>
          <w:rFonts w:hint="eastAsia"/>
        </w:rPr>
        <w:t>）已标价工程量清单中有适用综合单价的，按原综合单价；合价金额占合同总价</w:t>
      </w:r>
      <w:r>
        <w:t>2%</w:t>
      </w:r>
      <w:r>
        <w:rPr>
          <w:rFonts w:hint="eastAsia"/>
        </w:rPr>
        <w:t>及以上的分部分项清单项目，其工程量增减超过本项工程量</w:t>
      </w:r>
      <w:r>
        <w:t>15%</w:t>
      </w:r>
      <w:r>
        <w:rPr>
          <w:rFonts w:hint="eastAsia"/>
        </w:rPr>
        <w:t>及以上，或合价金额占合同总价不到</w:t>
      </w:r>
      <w:r>
        <w:t>2%</w:t>
      </w:r>
      <w:r>
        <w:rPr>
          <w:rFonts w:hint="eastAsia"/>
        </w:rPr>
        <w:t>的分部分项清单项目，但其工程量增减超过本项目工程数量</w:t>
      </w:r>
      <w:r>
        <w:t>25%</w:t>
      </w:r>
      <w:r>
        <w:rPr>
          <w:rFonts w:hint="eastAsia"/>
        </w:rPr>
        <w:t>及以上时，增减工程量单价按第</w:t>
      </w:r>
      <w:r>
        <w:t>1.13</w:t>
      </w:r>
      <w:r>
        <w:rPr>
          <w:rFonts w:hint="eastAsia"/>
        </w:rPr>
        <w:t>款第二条第（</w:t>
      </w:r>
      <w:r>
        <w:t>3</w:t>
      </w:r>
      <w:r>
        <w:rPr>
          <w:rFonts w:hint="eastAsia"/>
        </w:rPr>
        <w:t>）点处理。</w:t>
      </w:r>
    </w:p>
    <w:p>
      <w:pPr>
        <w:kinsoku/>
        <w:overflowPunct/>
        <w:topLinePunct w:val="0"/>
        <w:bidi w:val="0"/>
        <w:spacing w:line="300" w:lineRule="auto"/>
        <w:ind w:firstLine="420"/>
      </w:pPr>
      <w:r>
        <w:rPr>
          <w:rFonts w:hint="eastAsia"/>
        </w:rPr>
        <w:t>（</w:t>
      </w:r>
      <w:r>
        <w:t>2</w:t>
      </w:r>
      <w:r>
        <w:rPr>
          <w:rFonts w:hint="eastAsia"/>
        </w:rPr>
        <w:t>）已标价工程量清单中没有适用的综合单价，但有类似的工程项目综合单价，可参照类似工程项目综合单价计算确定。</w:t>
      </w:r>
    </w:p>
    <w:p>
      <w:pPr>
        <w:kinsoku/>
        <w:overflowPunct/>
        <w:topLinePunct w:val="0"/>
        <w:bidi w:val="0"/>
        <w:spacing w:line="300" w:lineRule="auto"/>
        <w:ind w:firstLine="420"/>
      </w:pPr>
      <w:r>
        <w:rPr>
          <w:rFonts w:hint="eastAsia"/>
        </w:rPr>
        <w:t>①某种材料（或半成品及成品）等级、标准变化的，清单组合子目不变，仅调整不同的材料市场价格之差；</w:t>
      </w:r>
    </w:p>
    <w:p>
      <w:pPr>
        <w:kinsoku/>
        <w:overflowPunct/>
        <w:topLinePunct w:val="0"/>
        <w:bidi w:val="0"/>
        <w:spacing w:line="300" w:lineRule="auto"/>
        <w:ind w:firstLine="420"/>
      </w:pPr>
      <w:r>
        <w:rPr>
          <w:rFonts w:hint="eastAsia"/>
        </w:rPr>
        <w:t>②清单项目组合内容中某一个（或多个）定额子目发生变化，不影响其他特征及工程内容价格的，仅调整发生变化的定额子目价格；</w:t>
      </w:r>
    </w:p>
    <w:p>
      <w:pPr>
        <w:kinsoku/>
        <w:overflowPunct/>
        <w:topLinePunct w:val="0"/>
        <w:bidi w:val="0"/>
        <w:spacing w:line="300" w:lineRule="auto"/>
        <w:ind w:firstLine="420"/>
      </w:pPr>
      <w:r>
        <w:rPr>
          <w:rFonts w:hint="eastAsia"/>
        </w:rPr>
        <w:t>③如该类似工程项目综合单价异常，则不宜参照，按第</w:t>
      </w:r>
      <w:r>
        <w:t>1.13</w:t>
      </w:r>
      <w:r>
        <w:rPr>
          <w:rFonts w:hint="eastAsia"/>
        </w:rPr>
        <w:t>款第二条第（</w:t>
      </w:r>
      <w:r>
        <w:t>3</w:t>
      </w:r>
      <w:r>
        <w:rPr>
          <w:rFonts w:hint="eastAsia"/>
        </w:rPr>
        <w:t>）点重新计算综合单价。</w:t>
      </w:r>
    </w:p>
    <w:p>
      <w:pPr>
        <w:kinsoku/>
        <w:overflowPunct/>
        <w:topLinePunct w:val="0"/>
        <w:bidi w:val="0"/>
        <w:spacing w:line="300" w:lineRule="auto"/>
        <w:ind w:firstLine="420"/>
      </w:pPr>
      <w:r>
        <w:rPr>
          <w:rFonts w:hint="eastAsia"/>
        </w:rPr>
        <w:t>（</w:t>
      </w:r>
      <w:r>
        <w:t>3</w:t>
      </w:r>
      <w:r>
        <w:rPr>
          <w:rFonts w:hint="eastAsia"/>
        </w:rPr>
        <w:t>）已标价工程量清单中没有适用的综合单价，可按以下原则处理：</w:t>
      </w:r>
    </w:p>
    <w:p>
      <w:pPr>
        <w:kinsoku/>
        <w:overflowPunct/>
        <w:topLinePunct w:val="0"/>
        <w:bidi w:val="0"/>
        <w:spacing w:line="300" w:lineRule="auto"/>
        <w:ind w:firstLine="420"/>
      </w:pPr>
      <w:r>
        <w:rPr>
          <w:rFonts w:hint="eastAsia"/>
        </w:rPr>
        <w:t>①依据合同约定编制依据、组价原则和承包人投标报价浮动率，提出适当的单价，经发包人确认后执行。</w:t>
      </w:r>
    </w:p>
    <w:p>
      <w:pPr>
        <w:kinsoku/>
        <w:overflowPunct/>
        <w:topLinePunct w:val="0"/>
        <w:bidi w:val="0"/>
        <w:spacing w:line="300" w:lineRule="auto"/>
        <w:ind w:firstLine="420"/>
      </w:pPr>
      <w:r>
        <w:rPr>
          <w:rFonts w:hint="eastAsia"/>
        </w:rPr>
        <w:t>承包人报价浮动率可按下列公式计算：</w:t>
      </w:r>
    </w:p>
    <w:p>
      <w:pPr>
        <w:kinsoku/>
        <w:overflowPunct/>
        <w:topLinePunct w:val="0"/>
        <w:bidi w:val="0"/>
        <w:spacing w:line="300" w:lineRule="auto"/>
        <w:ind w:firstLine="420"/>
      </w:pPr>
      <w:r>
        <w:rPr>
          <w:rFonts w:hint="eastAsia"/>
        </w:rPr>
        <w:t>承包人报价浮动率</w:t>
      </w:r>
      <w:r>
        <w:t>=</w:t>
      </w:r>
      <w:r>
        <w:rPr>
          <w:rFonts w:hint="eastAsia"/>
        </w:rPr>
        <w:t>（</w:t>
      </w:r>
      <w:r>
        <w:t>1-</w:t>
      </w:r>
      <w:r>
        <w:rPr>
          <w:rFonts w:hint="eastAsia"/>
        </w:rPr>
        <w:t>中标价</w:t>
      </w:r>
      <w:r>
        <w:t>/</w:t>
      </w:r>
      <w:r>
        <w:rPr>
          <w:rFonts w:hint="eastAsia"/>
        </w:rPr>
        <w:t>工程量清单预算价）×</w:t>
      </w:r>
      <w:r>
        <w:t>100%</w:t>
      </w:r>
    </w:p>
    <w:p>
      <w:pPr>
        <w:kinsoku/>
        <w:overflowPunct/>
        <w:topLinePunct w:val="0"/>
        <w:bidi w:val="0"/>
        <w:spacing w:line="300" w:lineRule="auto"/>
        <w:ind w:firstLine="420"/>
      </w:pPr>
      <w:r>
        <w:rPr>
          <w:rFonts w:hint="eastAsia"/>
        </w:rPr>
        <w:t>以上公式中的中标价及工程量清单预算价均扣除暂列金额、暂估价。</w:t>
      </w:r>
    </w:p>
    <w:p>
      <w:pPr>
        <w:kinsoku/>
        <w:overflowPunct/>
        <w:topLinePunct w:val="0"/>
        <w:bidi w:val="0"/>
        <w:spacing w:line="300" w:lineRule="auto"/>
        <w:ind w:firstLine="420"/>
      </w:pPr>
      <w:r>
        <w:rPr>
          <w:rFonts w:hint="eastAsia"/>
        </w:rPr>
        <w:t>②承包人依据合同约定的组价原则，合理成本和利润提出适当的单价经发包人确认后执行。</w:t>
      </w:r>
    </w:p>
    <w:p>
      <w:pPr>
        <w:kinsoku/>
        <w:overflowPunct/>
        <w:topLinePunct w:val="0"/>
        <w:bidi w:val="0"/>
        <w:spacing w:line="300" w:lineRule="auto"/>
        <w:ind w:firstLine="420"/>
      </w:pPr>
      <w:r>
        <w:rPr>
          <w:rFonts w:hint="eastAsia"/>
        </w:rPr>
        <w:t>③如当前施行的计价依据缺项内容，承包人应通过市场调查等手段提出单价，经发包人确定后执行。</w:t>
      </w:r>
    </w:p>
    <w:p>
      <w:pPr>
        <w:pStyle w:val="7"/>
        <w:kinsoku/>
        <w:overflowPunct/>
        <w:topLinePunct w:val="0"/>
        <w:bidi w:val="0"/>
        <w:spacing w:before="120" w:after="120" w:line="300" w:lineRule="auto"/>
        <w:ind w:firstLine="420"/>
        <w:rPr>
          <w:b/>
          <w:color w:val="auto"/>
          <w:szCs w:val="21"/>
        </w:rPr>
      </w:pPr>
      <w:r>
        <w:rPr>
          <w:rFonts w:hAnsi="宋体"/>
          <w:b/>
          <w:color w:val="auto"/>
          <w:szCs w:val="21"/>
        </w:rPr>
        <w:t>1.14</w:t>
      </w:r>
      <w:r>
        <w:rPr>
          <w:rFonts w:hint="eastAsia" w:hAnsi="宋体"/>
          <w:b/>
          <w:color w:val="auto"/>
          <w:szCs w:val="21"/>
        </w:rPr>
        <w:t>投标综合单价异常的处理</w:t>
      </w:r>
    </w:p>
    <w:p>
      <w:pPr>
        <w:kinsoku/>
        <w:overflowPunct/>
        <w:topLinePunct w:val="0"/>
        <w:bidi w:val="0"/>
        <w:spacing w:line="300" w:lineRule="auto"/>
        <w:ind w:firstLine="420"/>
      </w:pPr>
      <w:r>
        <w:rPr>
          <w:rFonts w:hint="eastAsia"/>
        </w:rPr>
        <w:t>一、投标综合单价遇下列情况，应对其异常性进行判定：</w:t>
      </w:r>
    </w:p>
    <w:p>
      <w:pPr>
        <w:kinsoku/>
        <w:overflowPunct/>
        <w:topLinePunct w:val="0"/>
        <w:bidi w:val="0"/>
        <w:spacing w:line="300" w:lineRule="auto"/>
        <w:ind w:firstLine="420"/>
      </w:pPr>
      <w:r>
        <w:rPr>
          <w:rFonts w:hint="eastAsia"/>
        </w:rPr>
        <w:t>（</w:t>
      </w:r>
      <w:r>
        <w:t>1</w:t>
      </w:r>
      <w:r>
        <w:rPr>
          <w:rFonts w:hint="eastAsia"/>
        </w:rPr>
        <w:t>）投标综合单价与按合同规定的计价依据计算的综合单价偏差±</w:t>
      </w:r>
      <w:r>
        <w:t>30%</w:t>
      </w:r>
      <w:r>
        <w:rPr>
          <w:rFonts w:hint="eastAsia"/>
        </w:rPr>
        <w:t>以上；</w:t>
      </w:r>
    </w:p>
    <w:p>
      <w:pPr>
        <w:kinsoku/>
        <w:overflowPunct/>
        <w:topLinePunct w:val="0"/>
        <w:bidi w:val="0"/>
        <w:spacing w:line="300" w:lineRule="auto"/>
        <w:ind w:firstLine="420"/>
      </w:pPr>
      <w:r>
        <w:rPr>
          <w:rFonts w:hint="eastAsia"/>
        </w:rPr>
        <w:t>（</w:t>
      </w:r>
      <w:r>
        <w:t>2</w:t>
      </w:r>
      <w:r>
        <w:rPr>
          <w:rFonts w:hint="eastAsia"/>
        </w:rPr>
        <w:t>）虽然综合单价正常，但组成综合单价的人、材、机消耗量或单价与按合同规定计价依据计算出对应的人、材、机消耗量或单价相比偏差±</w:t>
      </w:r>
      <w:r>
        <w:t>30%</w:t>
      </w:r>
      <w:r>
        <w:rPr>
          <w:rFonts w:hint="eastAsia"/>
        </w:rPr>
        <w:t>以上；</w:t>
      </w:r>
    </w:p>
    <w:p>
      <w:pPr>
        <w:kinsoku/>
        <w:overflowPunct/>
        <w:topLinePunct w:val="0"/>
        <w:bidi w:val="0"/>
        <w:spacing w:line="300" w:lineRule="auto"/>
        <w:ind w:firstLine="420"/>
      </w:pPr>
      <w:r>
        <w:rPr>
          <w:rFonts w:hint="eastAsia"/>
        </w:rPr>
        <w:t>（</w:t>
      </w:r>
      <w:r>
        <w:t>3</w:t>
      </w:r>
      <w:r>
        <w:rPr>
          <w:rFonts w:hint="eastAsia"/>
        </w:rPr>
        <w:t>）其他异常情况。</w:t>
      </w:r>
    </w:p>
    <w:p>
      <w:pPr>
        <w:kinsoku/>
        <w:overflowPunct/>
        <w:topLinePunct w:val="0"/>
        <w:bidi w:val="0"/>
        <w:spacing w:line="300" w:lineRule="auto"/>
        <w:ind w:firstLine="420"/>
      </w:pPr>
      <w:r>
        <w:rPr>
          <w:rFonts w:hint="eastAsia"/>
        </w:rPr>
        <w:t>二、综合单价异常且工程量增减超过本项工程量</w:t>
      </w:r>
      <w:r>
        <w:t>15%</w:t>
      </w:r>
      <w:r>
        <w:rPr>
          <w:rFonts w:hint="eastAsia"/>
        </w:rPr>
        <w:t>以上的，按以下原则处理：</w:t>
      </w:r>
    </w:p>
    <w:p>
      <w:pPr>
        <w:kinsoku/>
        <w:overflowPunct/>
        <w:topLinePunct w:val="0"/>
        <w:bidi w:val="0"/>
        <w:spacing w:line="300" w:lineRule="auto"/>
        <w:ind w:firstLine="420"/>
      </w:pPr>
      <w:r>
        <w:rPr>
          <w:rFonts w:hint="eastAsia"/>
        </w:rPr>
        <w:t>（</w:t>
      </w:r>
      <w:r>
        <w:t>1</w:t>
      </w:r>
      <w:r>
        <w:rPr>
          <w:rFonts w:hint="eastAsia"/>
        </w:rPr>
        <w:t>）工程量增加超过本项工程量</w:t>
      </w:r>
      <w:r>
        <w:t>15%</w:t>
      </w:r>
      <w:r>
        <w:rPr>
          <w:rFonts w:hint="eastAsia"/>
        </w:rPr>
        <w:t>以内的，按原综合单价计算，增加超过</w:t>
      </w:r>
      <w:r>
        <w:t>15%</w:t>
      </w:r>
      <w:r>
        <w:rPr>
          <w:rFonts w:hint="eastAsia"/>
        </w:rPr>
        <w:t>以外部分工程量，按第</w:t>
      </w:r>
      <w:r>
        <w:t>1.13</w:t>
      </w:r>
      <w:r>
        <w:rPr>
          <w:rFonts w:hint="eastAsia"/>
        </w:rPr>
        <w:t>款第二条第（</w:t>
      </w:r>
      <w:r>
        <w:t>3</w:t>
      </w:r>
      <w:r>
        <w:rPr>
          <w:rFonts w:hint="eastAsia"/>
        </w:rPr>
        <w:t>）点重新确定综合单价，计算合价；</w:t>
      </w:r>
    </w:p>
    <w:p>
      <w:pPr>
        <w:kinsoku/>
        <w:overflowPunct/>
        <w:topLinePunct w:val="0"/>
        <w:bidi w:val="0"/>
        <w:spacing w:line="300" w:lineRule="auto"/>
        <w:rPr>
          <w:rFonts w:ascii="宋体" w:hAnsi="宋体"/>
        </w:rPr>
      </w:pPr>
      <w:r>
        <w:rPr>
          <w:rFonts w:hint="eastAsia"/>
          <w:b/>
          <w:bCs/>
          <w:kern w:val="2"/>
          <w:szCs w:val="24"/>
        </w:rPr>
        <w:t>（</w:t>
      </w:r>
      <w:r>
        <w:rPr>
          <w:b/>
          <w:bCs/>
          <w:kern w:val="2"/>
          <w:szCs w:val="24"/>
        </w:rPr>
        <w:t>2</w:t>
      </w:r>
      <w:r>
        <w:rPr>
          <w:rFonts w:hint="eastAsia"/>
          <w:b/>
          <w:bCs/>
          <w:kern w:val="2"/>
          <w:szCs w:val="24"/>
        </w:rPr>
        <w:t>）工程量减少超过本项工程量</w:t>
      </w:r>
      <w:r>
        <w:rPr>
          <w:b/>
          <w:bCs/>
          <w:kern w:val="2"/>
          <w:szCs w:val="24"/>
        </w:rPr>
        <w:t>15%</w:t>
      </w:r>
      <w:r>
        <w:rPr>
          <w:rFonts w:hint="eastAsia"/>
          <w:b/>
          <w:bCs/>
          <w:kern w:val="2"/>
          <w:szCs w:val="24"/>
        </w:rPr>
        <w:t>以内的，按原综合单价在该项目合价中扣除，减少超过</w:t>
      </w:r>
      <w:r>
        <w:rPr>
          <w:b/>
          <w:bCs/>
          <w:kern w:val="2"/>
          <w:szCs w:val="24"/>
        </w:rPr>
        <w:t>15%</w:t>
      </w:r>
      <w:r>
        <w:rPr>
          <w:rFonts w:hint="eastAsia"/>
          <w:b/>
          <w:bCs/>
          <w:kern w:val="2"/>
          <w:szCs w:val="24"/>
        </w:rPr>
        <w:t>以外部分，按第</w:t>
      </w:r>
      <w:r>
        <w:rPr>
          <w:b/>
          <w:bCs/>
          <w:kern w:val="2"/>
          <w:szCs w:val="24"/>
        </w:rPr>
        <w:t>1.13</w:t>
      </w:r>
      <w:r>
        <w:rPr>
          <w:rFonts w:hint="eastAsia"/>
          <w:b/>
          <w:bCs/>
          <w:kern w:val="2"/>
          <w:szCs w:val="24"/>
        </w:rPr>
        <w:t>款第二条第（</w:t>
      </w:r>
      <w:r>
        <w:rPr>
          <w:b/>
          <w:bCs/>
          <w:kern w:val="2"/>
          <w:szCs w:val="24"/>
        </w:rPr>
        <w:t>3</w:t>
      </w:r>
      <w:r>
        <w:rPr>
          <w:rFonts w:hint="eastAsia"/>
          <w:b/>
          <w:bCs/>
          <w:kern w:val="2"/>
          <w:szCs w:val="24"/>
        </w:rPr>
        <w:t>）点重新确定综合单价，计算合价后，在该项目合价中扣除。</w:t>
      </w:r>
    </w:p>
    <w:p>
      <w:pPr>
        <w:pStyle w:val="5"/>
        <w:kinsoku/>
        <w:overflowPunct/>
        <w:topLinePunct w:val="0"/>
        <w:bidi w:val="0"/>
        <w:spacing w:line="300" w:lineRule="auto"/>
      </w:pPr>
      <w:bookmarkStart w:id="263" w:name="_Toc490491802"/>
      <w:bookmarkStart w:id="264" w:name="_Toc513038390"/>
      <w:bookmarkStart w:id="265" w:name="_Toc12115"/>
      <w:bookmarkStart w:id="266" w:name="_Toc512604458"/>
      <w:bookmarkStart w:id="267" w:name="_Toc513209226"/>
      <w:bookmarkStart w:id="268" w:name="_Toc9770"/>
      <w:bookmarkStart w:id="269" w:name="_Toc511649741"/>
      <w:bookmarkStart w:id="270" w:name="_Toc511635764"/>
      <w:bookmarkStart w:id="271" w:name="_Toc31628"/>
      <w:bookmarkStart w:id="272" w:name="_Toc7946"/>
      <w:bookmarkStart w:id="273" w:name="_Toc509902210"/>
      <w:bookmarkStart w:id="274" w:name="_Toc26128"/>
      <w:bookmarkStart w:id="275" w:name="_Toc480985215"/>
      <w:bookmarkStart w:id="276" w:name="_Toc7593"/>
      <w:bookmarkStart w:id="277" w:name="_Toc4703"/>
      <w:bookmarkStart w:id="278" w:name="_Toc474503067"/>
      <w:bookmarkStart w:id="279" w:name="_Toc6513"/>
      <w:bookmarkStart w:id="280" w:name="_Toc513214612"/>
      <w:bookmarkStart w:id="281" w:name="_Toc3903913"/>
      <w:bookmarkStart w:id="282" w:name="_Toc15731"/>
      <w:bookmarkStart w:id="283" w:name="_Toc476733981"/>
      <w:bookmarkStart w:id="284" w:name="_Toc527029570"/>
      <w:r>
        <w:rPr>
          <w:rFonts w:hint="eastAsia"/>
        </w:rPr>
        <w:t>2. 发包人</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6"/>
        <w:kinsoku/>
        <w:overflowPunct/>
        <w:topLinePunct w:val="0"/>
        <w:bidi w:val="0"/>
        <w:spacing w:line="300" w:lineRule="auto"/>
      </w:pPr>
      <w:bookmarkStart w:id="285" w:name="_Toc6309"/>
      <w:bookmarkStart w:id="286" w:name="_Toc19535"/>
      <w:bookmarkStart w:id="287" w:name="_Toc513214613"/>
      <w:bookmarkStart w:id="288" w:name="_Toc476733982"/>
      <w:bookmarkStart w:id="289" w:name="_Toc513209227"/>
      <w:bookmarkStart w:id="290" w:name="_Toc513038391"/>
      <w:bookmarkStart w:id="291" w:name="_Toc5982"/>
      <w:bookmarkStart w:id="292" w:name="_Toc10732"/>
      <w:bookmarkStart w:id="293" w:name="_Toc509902211"/>
      <w:bookmarkStart w:id="294" w:name="_Toc480985216"/>
      <w:bookmarkStart w:id="295" w:name="_Toc511649742"/>
      <w:bookmarkStart w:id="296" w:name="_Toc511635765"/>
      <w:bookmarkStart w:id="297" w:name="_Toc527029571"/>
      <w:bookmarkStart w:id="298" w:name="_Toc3903914"/>
      <w:bookmarkStart w:id="299" w:name="_Toc16934"/>
      <w:bookmarkStart w:id="300" w:name="_Toc4212"/>
      <w:bookmarkStart w:id="301" w:name="_Toc10880"/>
      <w:bookmarkStart w:id="302" w:name="_Toc512604459"/>
      <w:bookmarkStart w:id="303" w:name="_Toc27018"/>
      <w:bookmarkStart w:id="304" w:name="_Toc490491803"/>
      <w:bookmarkStart w:id="305" w:name="_Toc24801"/>
      <w:r>
        <w:t>2.2 发包人代表</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kinsoku/>
        <w:overflowPunct/>
        <w:topLinePunct w:val="0"/>
        <w:bidi w:val="0"/>
        <w:spacing w:line="300" w:lineRule="auto"/>
      </w:pPr>
      <w:r>
        <w:t>发包人代表：</w:t>
      </w:r>
    </w:p>
    <w:p>
      <w:pPr>
        <w:kinsoku/>
        <w:overflowPunct/>
        <w:topLinePunct w:val="0"/>
        <w:bidi w:val="0"/>
        <w:spacing w:line="300" w:lineRule="auto"/>
      </w:pPr>
      <w:r>
        <w:t>姓    名：</w:t>
      </w:r>
      <w:r>
        <w:rPr>
          <w:rFonts w:hint="eastAsia" w:cs="宋体"/>
          <w:u w:val="single"/>
        </w:rPr>
        <w:t></w:t>
      </w:r>
      <w:r>
        <w:rPr>
          <w:rFonts w:hint="eastAsia"/>
          <w:u w:val="single"/>
        </w:rPr>
        <w:t xml:space="preserve"> </w:t>
      </w:r>
      <w:r>
        <w:rPr>
          <w:rFonts w:hint="eastAsia" w:cs="宋体"/>
          <w:u w:val="single"/>
        </w:rPr>
        <w:t></w:t>
      </w:r>
    </w:p>
    <w:p>
      <w:pPr>
        <w:kinsoku/>
        <w:overflowPunct/>
        <w:topLinePunct w:val="0"/>
        <w:bidi w:val="0"/>
        <w:spacing w:line="300" w:lineRule="auto"/>
      </w:pPr>
      <w:r>
        <w:t>身份证号：</w:t>
      </w:r>
      <w:r>
        <w:rPr>
          <w:rFonts w:hint="eastAsia" w:cs="宋体"/>
          <w:u w:val="single"/>
        </w:rPr>
        <w:t></w:t>
      </w:r>
      <w:r>
        <w:rPr>
          <w:rFonts w:hint="eastAsia"/>
          <w:u w:val="single"/>
        </w:rPr>
        <w:t xml:space="preserve">         </w:t>
      </w:r>
    </w:p>
    <w:p>
      <w:pPr>
        <w:kinsoku/>
        <w:overflowPunct/>
        <w:topLinePunct w:val="0"/>
        <w:bidi w:val="0"/>
        <w:spacing w:line="300" w:lineRule="auto"/>
      </w:pPr>
      <w:r>
        <w:t>职    务：</w:t>
      </w:r>
      <w:r>
        <w:rPr>
          <w:rFonts w:hint="eastAsia" w:cs="宋体"/>
          <w:u w:val="single"/>
        </w:rPr>
        <w:t></w:t>
      </w:r>
      <w:r>
        <w:rPr>
          <w:rFonts w:hint="eastAsia"/>
          <w:u w:val="single"/>
        </w:rPr>
        <w:t xml:space="preserve"> </w:t>
      </w:r>
      <w:r>
        <w:rPr>
          <w:rFonts w:hint="eastAsia" w:cs="宋体"/>
          <w:u w:val="single"/>
        </w:rPr>
        <w:t></w:t>
      </w:r>
    </w:p>
    <w:p>
      <w:pPr>
        <w:kinsoku/>
        <w:overflowPunct/>
        <w:topLinePunct w:val="0"/>
        <w:bidi w:val="0"/>
        <w:spacing w:line="300" w:lineRule="auto"/>
      </w:pPr>
      <w:r>
        <w:t>联系电话：</w:t>
      </w:r>
      <w:r>
        <w:rPr>
          <w:rFonts w:hint="eastAsia" w:cs="宋体"/>
          <w:u w:val="single"/>
        </w:rPr>
        <w:t></w:t>
      </w:r>
      <w:r>
        <w:rPr>
          <w:rFonts w:hint="eastAsia"/>
          <w:u w:val="single"/>
        </w:rPr>
        <w:t xml:space="preserve">   </w:t>
      </w:r>
      <w:r>
        <w:rPr>
          <w:rFonts w:hint="eastAsia" w:cs="宋体"/>
          <w:u w:val="single"/>
        </w:rPr>
        <w:t></w:t>
      </w:r>
    </w:p>
    <w:p>
      <w:pPr>
        <w:kinsoku/>
        <w:overflowPunct/>
        <w:topLinePunct w:val="0"/>
        <w:bidi w:val="0"/>
        <w:spacing w:line="300" w:lineRule="auto"/>
      </w:pPr>
      <w:r>
        <w:t>电子信箱：</w:t>
      </w:r>
      <w:r>
        <w:rPr>
          <w:rFonts w:hint="eastAsia" w:cs="宋体"/>
          <w:u w:val="single"/>
        </w:rPr>
        <w:t></w:t>
      </w:r>
      <w:r>
        <w:rPr>
          <w:rFonts w:hint="eastAsia"/>
          <w:u w:val="single"/>
        </w:rPr>
        <w:t xml:space="preserve"> </w:t>
      </w:r>
      <w:r>
        <w:rPr>
          <w:rFonts w:hint="eastAsia" w:cs="宋体"/>
          <w:u w:val="single"/>
        </w:rPr>
        <w:t></w:t>
      </w:r>
    </w:p>
    <w:p>
      <w:pPr>
        <w:kinsoku/>
        <w:overflowPunct/>
        <w:topLinePunct w:val="0"/>
        <w:bidi w:val="0"/>
        <w:spacing w:line="300" w:lineRule="auto"/>
      </w:pPr>
      <w:r>
        <w:t>通信地址：</w:t>
      </w:r>
      <w:r>
        <w:rPr>
          <w:rFonts w:hint="eastAsia" w:cs="宋体"/>
          <w:u w:val="single"/>
        </w:rPr>
        <w:t></w:t>
      </w:r>
      <w:r>
        <w:rPr>
          <w:rFonts w:hint="eastAsia"/>
          <w:u w:val="single"/>
        </w:rPr>
        <w:t xml:space="preserve"> </w:t>
      </w:r>
      <w:r>
        <w:rPr>
          <w:rFonts w:hint="eastAsia" w:cs="宋体"/>
          <w:u w:val="single"/>
        </w:rPr>
        <w:t></w:t>
      </w:r>
    </w:p>
    <w:p>
      <w:pPr>
        <w:kinsoku/>
        <w:overflowPunct/>
        <w:topLinePunct w:val="0"/>
        <w:bidi w:val="0"/>
        <w:spacing w:line="300" w:lineRule="auto"/>
        <w:rPr>
          <w:b/>
        </w:rPr>
      </w:pPr>
      <w:r>
        <w:t>发包人对发包人代表的授权范围如下：</w:t>
      </w:r>
      <w:r>
        <w:rPr>
          <w:rFonts w:hint="eastAsia"/>
          <w:u w:val="single"/>
        </w:rPr>
        <w:t xml:space="preserve">现场全过程协调、监督、鉴证等；对投资进行管理，负责本合同投资控制的履行、负责承包人上报的设计变更和工程结算资料等涉及工程价款的事项的复核  </w:t>
      </w:r>
      <w:r>
        <w:rPr>
          <w:rFonts w:hint="eastAsia"/>
        </w:rPr>
        <w:t>。</w:t>
      </w:r>
    </w:p>
    <w:p>
      <w:pPr>
        <w:pStyle w:val="6"/>
        <w:kinsoku/>
        <w:overflowPunct/>
        <w:topLinePunct w:val="0"/>
        <w:bidi w:val="0"/>
        <w:spacing w:line="300" w:lineRule="auto"/>
      </w:pPr>
      <w:bookmarkStart w:id="306" w:name="_Toc12053"/>
      <w:bookmarkStart w:id="307" w:name="_Toc512604460"/>
      <w:bookmarkStart w:id="308" w:name="_Toc6741"/>
      <w:bookmarkStart w:id="309" w:name="_Toc480985217"/>
      <w:bookmarkStart w:id="310" w:name="_Toc511635766"/>
      <w:bookmarkStart w:id="311" w:name="_Toc1716"/>
      <w:bookmarkStart w:id="312" w:name="_Toc513038392"/>
      <w:bookmarkStart w:id="313" w:name="_Toc527029572"/>
      <w:bookmarkStart w:id="314" w:name="_Toc509902212"/>
      <w:bookmarkStart w:id="315" w:name="_Toc3725"/>
      <w:bookmarkStart w:id="316" w:name="_Toc511649743"/>
      <w:bookmarkStart w:id="317" w:name="_Toc513209228"/>
      <w:bookmarkStart w:id="318" w:name="_Toc513214614"/>
      <w:bookmarkStart w:id="319" w:name="_Toc13277"/>
      <w:bookmarkStart w:id="320" w:name="_Toc26674"/>
      <w:bookmarkStart w:id="321" w:name="_Toc3238"/>
      <w:bookmarkStart w:id="322" w:name="_Toc476733983"/>
      <w:bookmarkStart w:id="323" w:name="_Toc14912"/>
      <w:bookmarkStart w:id="324" w:name="_Toc490491804"/>
      <w:bookmarkStart w:id="325" w:name="_Toc3903915"/>
      <w:bookmarkStart w:id="326" w:name="_Toc24219"/>
      <w:r>
        <w:t>2.4 施工现场、施工条件和基础资料的提供</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kinsoku/>
        <w:overflowPunct/>
        <w:topLinePunct w:val="0"/>
        <w:bidi w:val="0"/>
        <w:spacing w:line="300" w:lineRule="auto"/>
      </w:pPr>
      <w:r>
        <w:t>2.4.1 提供施工现场</w:t>
      </w:r>
    </w:p>
    <w:p>
      <w:pPr>
        <w:kinsoku/>
        <w:overflowPunct/>
        <w:topLinePunct w:val="0"/>
        <w:bidi w:val="0"/>
        <w:spacing w:line="300" w:lineRule="auto"/>
      </w:pPr>
      <w:r>
        <w:t>关于发包人移交施工现场的期限要求：</w:t>
      </w:r>
      <w:r>
        <w:rPr>
          <w:rFonts w:hint="eastAsia" w:ascii="楷体_GB2312" w:eastAsia="楷体_GB2312"/>
          <w:u w:val="single"/>
        </w:rPr>
        <w:t xml:space="preserve">发包人应于开工日期15天前向承包人移交施工现场  </w:t>
      </w:r>
      <w:r>
        <w:rPr>
          <w:rFonts w:hint="eastAsia"/>
        </w:rPr>
        <w:t>。</w:t>
      </w:r>
    </w:p>
    <w:p>
      <w:pPr>
        <w:kinsoku/>
        <w:overflowPunct/>
        <w:topLinePunct w:val="0"/>
        <w:bidi w:val="0"/>
        <w:spacing w:line="300" w:lineRule="auto"/>
      </w:pPr>
      <w:r>
        <w:t>2.4.2 提供施工条件</w:t>
      </w:r>
    </w:p>
    <w:p>
      <w:pPr>
        <w:kinsoku/>
        <w:overflowPunct/>
        <w:topLinePunct w:val="0"/>
        <w:bidi w:val="0"/>
        <w:spacing w:line="300" w:lineRule="auto"/>
      </w:pPr>
      <w:r>
        <w:rPr>
          <w:rFonts w:hint="eastAsia"/>
        </w:rPr>
        <w:t>关于发包人应负责提供施工所需要的条件，包括：</w:t>
      </w:r>
    </w:p>
    <w:p>
      <w:pPr>
        <w:kinsoku/>
        <w:overflowPunct/>
        <w:topLinePunct w:val="0"/>
        <w:bidi w:val="0"/>
        <w:spacing w:line="300" w:lineRule="auto"/>
        <w:rPr>
          <w:u w:val="single"/>
        </w:rPr>
      </w:pPr>
      <w:r>
        <w:rPr>
          <w:rFonts w:hint="eastAsia"/>
        </w:rPr>
        <w:t>（1）施工场地具备施工条件的要求及完成的时间：</w:t>
      </w:r>
      <w:r>
        <w:rPr>
          <w:rFonts w:hint="eastAsia"/>
          <w:u w:val="single"/>
        </w:rPr>
        <w:t>工程前期工作已完成，具备施工条件</w:t>
      </w:r>
    </w:p>
    <w:p>
      <w:pPr>
        <w:kinsoku/>
        <w:overflowPunct/>
        <w:topLinePunct w:val="0"/>
        <w:bidi w:val="0"/>
        <w:spacing w:line="300" w:lineRule="auto"/>
        <w:rPr>
          <w:spacing w:val="-4"/>
        </w:rPr>
      </w:pPr>
      <w:r>
        <w:rPr>
          <w:rFonts w:hint="eastAsia"/>
        </w:rPr>
        <w:t>（2）</w:t>
      </w:r>
      <w:r>
        <w:rPr>
          <w:rFonts w:hint="eastAsia"/>
          <w:spacing w:val="-4"/>
        </w:rPr>
        <w:t>将施工所需的水、电、电讯线路接至施工场地的时间、地点和供应的要求：</w:t>
      </w:r>
    </w:p>
    <w:p>
      <w:pPr>
        <w:kinsoku/>
        <w:overflowPunct/>
        <w:topLinePunct w:val="0"/>
        <w:bidi w:val="0"/>
        <w:spacing w:line="300" w:lineRule="auto"/>
      </w:pPr>
      <w:r>
        <w:rPr>
          <w:rFonts w:hint="eastAsia"/>
          <w:u w:val="single"/>
        </w:rPr>
        <w:t xml:space="preserve">施工现场用水、电已通，移交承包人保管使用，由承包人自行接入经监理人批准的位置，水电费用由承包人支付  </w:t>
      </w:r>
      <w:r>
        <w:rPr>
          <w:rFonts w:hint="eastAsia"/>
        </w:rPr>
        <w:t>。</w:t>
      </w:r>
    </w:p>
    <w:p>
      <w:pPr>
        <w:kinsoku/>
        <w:overflowPunct/>
        <w:topLinePunct w:val="0"/>
        <w:bidi w:val="0"/>
        <w:spacing w:line="300" w:lineRule="auto"/>
        <w:rPr>
          <w:spacing w:val="-4"/>
        </w:rPr>
      </w:pPr>
      <w:r>
        <w:rPr>
          <w:rFonts w:hint="eastAsia"/>
        </w:rPr>
        <w:t>（3）施工场地与公共道路的通道开通时间和要求：</w:t>
      </w:r>
      <w:r>
        <w:rPr>
          <w:rFonts w:hint="eastAsia"/>
          <w:u w:val="single"/>
        </w:rPr>
        <w:t xml:space="preserve">已开通  </w:t>
      </w:r>
      <w:r>
        <w:rPr>
          <w:rFonts w:hint="eastAsia"/>
        </w:rPr>
        <w:t>。</w:t>
      </w:r>
    </w:p>
    <w:p>
      <w:pPr>
        <w:kinsoku/>
        <w:overflowPunct/>
        <w:topLinePunct w:val="0"/>
        <w:bidi w:val="0"/>
        <w:spacing w:line="300" w:lineRule="auto"/>
        <w:rPr>
          <w:b/>
          <w:u w:val="double"/>
        </w:rPr>
      </w:pPr>
      <w:r>
        <w:rPr>
          <w:rFonts w:hint="eastAsia"/>
        </w:rPr>
        <w:t>（4）工程地质和地下管线资料的提供时间：</w:t>
      </w:r>
      <w:r>
        <w:rPr>
          <w:rFonts w:hint="eastAsia" w:ascii="楷体_GB2312" w:eastAsia="楷体_GB2312"/>
          <w:u w:val="single"/>
        </w:rPr>
        <w:t xml:space="preserve">合同签订后至工程开工前7天内  </w:t>
      </w:r>
      <w:r>
        <w:rPr>
          <w:rFonts w:hint="eastAsia"/>
        </w:rPr>
        <w:t>。</w:t>
      </w:r>
    </w:p>
    <w:p>
      <w:pPr>
        <w:kinsoku/>
        <w:overflowPunct/>
        <w:topLinePunct w:val="0"/>
        <w:bidi w:val="0"/>
        <w:spacing w:line="300" w:lineRule="auto"/>
        <w:ind w:firstLine="404"/>
        <w:rPr>
          <w:spacing w:val="-4"/>
          <w:u w:val="single"/>
        </w:rPr>
      </w:pPr>
      <w:r>
        <w:rPr>
          <w:rFonts w:hint="eastAsia"/>
          <w:spacing w:val="-4"/>
        </w:rPr>
        <w:t>（5）由发包人办理的施工所需证件、批件的名称和完成时间：</w:t>
      </w:r>
      <w:r>
        <w:rPr>
          <w:rFonts w:hint="eastAsia" w:ascii="楷体_GB2312" w:eastAsia="楷体_GB2312"/>
          <w:spacing w:val="-4"/>
          <w:u w:val="single"/>
        </w:rPr>
        <w:t>7天完成</w:t>
      </w:r>
      <w:r>
        <w:rPr>
          <w:rFonts w:hint="eastAsia" w:ascii="楷体_GB2312" w:eastAsia="楷体_GB2312"/>
          <w:u w:val="single"/>
        </w:rPr>
        <w:t xml:space="preserve">  </w:t>
      </w:r>
      <w:r>
        <w:rPr>
          <w:rFonts w:hint="eastAsia"/>
        </w:rPr>
        <w:t>。</w:t>
      </w:r>
    </w:p>
    <w:p>
      <w:pPr>
        <w:kinsoku/>
        <w:overflowPunct/>
        <w:topLinePunct w:val="0"/>
        <w:bidi w:val="0"/>
        <w:spacing w:line="300" w:lineRule="auto"/>
        <w:rPr>
          <w:b/>
          <w:u w:val="double"/>
        </w:rPr>
      </w:pPr>
      <w:r>
        <w:rPr>
          <w:rFonts w:hint="eastAsia"/>
        </w:rPr>
        <w:t>（6）水准点与坐标控制点交验要求：</w:t>
      </w:r>
      <w:r>
        <w:rPr>
          <w:rFonts w:hint="eastAsia" w:ascii="楷体_GB2312" w:eastAsia="楷体_GB2312"/>
          <w:u w:val="single"/>
        </w:rPr>
        <w:t xml:space="preserve">以书面形式，于开工前10天内办理交接手续  </w:t>
      </w:r>
      <w:r>
        <w:rPr>
          <w:rFonts w:hint="eastAsia"/>
        </w:rPr>
        <w:t>。</w:t>
      </w:r>
    </w:p>
    <w:p>
      <w:pPr>
        <w:kinsoku/>
        <w:overflowPunct/>
        <w:topLinePunct w:val="0"/>
        <w:bidi w:val="0"/>
        <w:spacing w:line="300" w:lineRule="auto"/>
        <w:rPr>
          <w:u w:val="single"/>
        </w:rPr>
      </w:pPr>
      <w:r>
        <w:rPr>
          <w:rFonts w:hint="eastAsia"/>
        </w:rPr>
        <w:t>（7）图纸会审和设计交底时间：</w:t>
      </w:r>
      <w:r>
        <w:rPr>
          <w:rFonts w:hint="eastAsia" w:ascii="楷体_GB2312" w:eastAsia="楷体_GB2312"/>
          <w:u w:val="single"/>
        </w:rPr>
        <w:t xml:space="preserve">开工前7天  </w:t>
      </w:r>
      <w:r>
        <w:rPr>
          <w:rFonts w:hint="eastAsia"/>
        </w:rPr>
        <w:t>。</w:t>
      </w:r>
    </w:p>
    <w:p>
      <w:pPr>
        <w:kinsoku/>
        <w:overflowPunct/>
        <w:topLinePunct w:val="0"/>
        <w:bidi w:val="0"/>
        <w:spacing w:line="300" w:lineRule="auto"/>
        <w:rPr>
          <w:u w:val="single"/>
        </w:rPr>
      </w:pPr>
      <w:r>
        <w:rPr>
          <w:rFonts w:hint="eastAsia"/>
        </w:rPr>
        <w:t>（8）协调处理施工场地周围地下管线和邻近建筑物、构筑物（含文物保护建筑）、古树名木的保护工作：</w:t>
      </w:r>
      <w:r>
        <w:rPr>
          <w:rFonts w:hint="eastAsia"/>
          <w:u w:val="single"/>
        </w:rPr>
        <w:t xml:space="preserve">按实际需要由承包人提出解决方案，经工程师批准后才能实施，费用由发包人承担  </w:t>
      </w:r>
      <w:r>
        <w:rPr>
          <w:rFonts w:hint="eastAsia"/>
        </w:rPr>
        <w:t>。</w:t>
      </w:r>
    </w:p>
    <w:p>
      <w:pPr>
        <w:kinsoku/>
        <w:overflowPunct/>
        <w:topLinePunct w:val="0"/>
        <w:bidi w:val="0"/>
        <w:spacing w:line="300" w:lineRule="auto"/>
        <w:rPr>
          <w:u w:val="single"/>
        </w:rPr>
      </w:pPr>
      <w:r>
        <w:rPr>
          <w:rFonts w:hint="eastAsia"/>
        </w:rPr>
        <w:t>（9）双方发包人应做的其他工作：</w:t>
      </w:r>
      <w:r>
        <w:rPr>
          <w:rFonts w:hint="eastAsia"/>
          <w:u w:val="single"/>
        </w:rPr>
        <w:t xml:space="preserve"> 无  </w:t>
      </w:r>
      <w:r>
        <w:rPr>
          <w:rFonts w:hint="eastAsia"/>
        </w:rPr>
        <w:t>。</w:t>
      </w:r>
    </w:p>
    <w:p>
      <w:pPr>
        <w:pStyle w:val="6"/>
        <w:kinsoku/>
        <w:overflowPunct/>
        <w:topLinePunct w:val="0"/>
        <w:bidi w:val="0"/>
        <w:spacing w:line="300" w:lineRule="auto"/>
      </w:pPr>
      <w:bookmarkStart w:id="327" w:name="_Toc513214615"/>
      <w:bookmarkStart w:id="328" w:name="_Toc513038393"/>
      <w:bookmarkStart w:id="329" w:name="_Toc26533"/>
      <w:bookmarkStart w:id="330" w:name="_Toc512604461"/>
      <w:bookmarkStart w:id="331" w:name="_Toc511649744"/>
      <w:bookmarkStart w:id="332" w:name="_Toc30255"/>
      <w:bookmarkStart w:id="333" w:name="_Toc14821"/>
      <w:bookmarkStart w:id="334" w:name="_Toc490491805"/>
      <w:bookmarkStart w:id="335" w:name="_Toc511635767"/>
      <w:bookmarkStart w:id="336" w:name="_Toc6731"/>
      <w:bookmarkStart w:id="337" w:name="_Toc3903916"/>
      <w:bookmarkStart w:id="338" w:name="_Toc22920"/>
      <w:bookmarkStart w:id="339" w:name="_Toc527029573"/>
      <w:bookmarkStart w:id="340" w:name="_Toc1058"/>
      <w:bookmarkStart w:id="341" w:name="_Toc13081"/>
      <w:bookmarkStart w:id="342" w:name="_Toc513209229"/>
      <w:bookmarkStart w:id="343" w:name="_Toc480985218"/>
      <w:bookmarkStart w:id="344" w:name="_Toc476733984"/>
      <w:bookmarkStart w:id="345" w:name="_Toc509902213"/>
      <w:bookmarkStart w:id="346" w:name="_Toc21790"/>
      <w:bookmarkStart w:id="347" w:name="_Toc14998"/>
      <w:r>
        <w:t>2.5 资金来源证明及支付担保</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kinsoku/>
        <w:overflowPunct/>
        <w:topLinePunct w:val="0"/>
        <w:bidi w:val="0"/>
        <w:spacing w:line="300" w:lineRule="auto"/>
      </w:pPr>
      <w:r>
        <w:t>发包人提供资金来源证明的期限要求：</w:t>
      </w:r>
      <w:r>
        <w:rPr>
          <w:rFonts w:hint="eastAsia"/>
          <w:u w:val="single"/>
        </w:rPr>
        <w:t xml:space="preserve">无  </w:t>
      </w:r>
      <w:r>
        <w:rPr>
          <w:rFonts w:hint="eastAsia"/>
        </w:rPr>
        <w:t>。</w:t>
      </w:r>
    </w:p>
    <w:p>
      <w:pPr>
        <w:kinsoku/>
        <w:overflowPunct/>
        <w:topLinePunct w:val="0"/>
        <w:bidi w:val="0"/>
        <w:spacing w:line="300" w:lineRule="auto"/>
      </w:pPr>
      <w:r>
        <w:t>发包人是否提供支付担保：</w:t>
      </w:r>
      <w:r>
        <w:rPr>
          <w:rFonts w:hint="eastAsia"/>
          <w:u w:val="single"/>
        </w:rPr>
        <w:t xml:space="preserve">无  </w:t>
      </w:r>
      <w:r>
        <w:rPr>
          <w:rFonts w:hint="eastAsia"/>
        </w:rPr>
        <w:t>。</w:t>
      </w:r>
    </w:p>
    <w:p>
      <w:pPr>
        <w:kinsoku/>
        <w:overflowPunct/>
        <w:topLinePunct w:val="0"/>
        <w:bidi w:val="0"/>
        <w:spacing w:line="300" w:lineRule="auto"/>
        <w:rPr>
          <w:u w:val="single"/>
        </w:rPr>
      </w:pPr>
      <w:r>
        <w:t>发包人提供支付担保的形式：</w:t>
      </w:r>
      <w:r>
        <w:rPr>
          <w:rFonts w:hint="eastAsia"/>
          <w:u w:val="single"/>
        </w:rPr>
        <w:t xml:space="preserve">无  </w:t>
      </w:r>
      <w:r>
        <w:rPr>
          <w:rFonts w:hint="eastAsia"/>
        </w:rPr>
        <w:t>。</w:t>
      </w:r>
    </w:p>
    <w:p>
      <w:pPr>
        <w:pStyle w:val="5"/>
        <w:kinsoku/>
        <w:overflowPunct/>
        <w:topLinePunct w:val="0"/>
        <w:bidi w:val="0"/>
        <w:spacing w:line="300" w:lineRule="auto"/>
      </w:pPr>
      <w:bookmarkStart w:id="348" w:name="_Toc511635768"/>
      <w:bookmarkStart w:id="349" w:name="_Toc17320"/>
      <w:bookmarkStart w:id="350" w:name="_Toc527029574"/>
      <w:bookmarkStart w:id="351" w:name="_Toc10599"/>
      <w:bookmarkStart w:id="352" w:name="_Toc28871"/>
      <w:bookmarkStart w:id="353" w:name="_Toc421260790"/>
      <w:bookmarkStart w:id="354" w:name="_Toc509902214"/>
      <w:bookmarkStart w:id="355" w:name="_Toc10759"/>
      <w:bookmarkStart w:id="356" w:name="_Toc421287826"/>
      <w:bookmarkStart w:id="357" w:name="_Toc13873"/>
      <w:bookmarkStart w:id="358" w:name="_Toc17886"/>
      <w:bookmarkStart w:id="359" w:name="_Toc476733985"/>
      <w:bookmarkStart w:id="360" w:name="_Toc513038394"/>
      <w:bookmarkStart w:id="361" w:name="_Toc513214616"/>
      <w:bookmarkStart w:id="362" w:name="_Toc20686"/>
      <w:bookmarkStart w:id="363" w:name="_Toc474503068"/>
      <w:bookmarkStart w:id="364" w:name="_Toc3903917"/>
      <w:bookmarkStart w:id="365" w:name="_Toc512604462"/>
      <w:bookmarkStart w:id="366" w:name="_Toc513209230"/>
      <w:bookmarkStart w:id="367" w:name="_Toc9110"/>
      <w:bookmarkStart w:id="368" w:name="_Toc490491806"/>
      <w:bookmarkStart w:id="369" w:name="_Toc16414"/>
      <w:bookmarkStart w:id="370" w:name="_Toc511649745"/>
      <w:bookmarkStart w:id="371" w:name="_Toc480985219"/>
      <w:r>
        <w:rPr>
          <w:rFonts w:hint="eastAsia"/>
        </w:rPr>
        <w:t>3. 承包人</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6"/>
        <w:kinsoku/>
        <w:overflowPunct/>
        <w:topLinePunct w:val="0"/>
        <w:bidi w:val="0"/>
        <w:spacing w:line="300" w:lineRule="auto"/>
      </w:pPr>
      <w:bookmarkStart w:id="372" w:name="_Toc23588"/>
      <w:bookmarkStart w:id="373" w:name="_Toc511649746"/>
      <w:bookmarkStart w:id="374" w:name="_Toc490491807"/>
      <w:bookmarkStart w:id="375" w:name="_Toc9313"/>
      <w:bookmarkStart w:id="376" w:name="_Toc513214617"/>
      <w:bookmarkStart w:id="377" w:name="_Toc513209231"/>
      <w:bookmarkStart w:id="378" w:name="_Toc476733986"/>
      <w:bookmarkStart w:id="379" w:name="_Toc513038395"/>
      <w:bookmarkStart w:id="380" w:name="_Toc17862"/>
      <w:bookmarkStart w:id="381" w:name="_Toc7762"/>
      <w:bookmarkStart w:id="382" w:name="_Toc16640"/>
      <w:bookmarkStart w:id="383" w:name="_Toc480985220"/>
      <w:bookmarkStart w:id="384" w:name="_Toc527029575"/>
      <w:bookmarkStart w:id="385" w:name="_Toc12759"/>
      <w:bookmarkStart w:id="386" w:name="_Toc509902215"/>
      <w:bookmarkStart w:id="387" w:name="_Toc512604463"/>
      <w:bookmarkStart w:id="388" w:name="_Toc28334"/>
      <w:bookmarkStart w:id="389" w:name="_Toc511635769"/>
      <w:bookmarkStart w:id="390" w:name="_Toc13121"/>
      <w:bookmarkStart w:id="391" w:name="_Toc3903918"/>
      <w:bookmarkStart w:id="392" w:name="_Toc18962"/>
      <w:r>
        <w:rPr>
          <w:rFonts w:hint="eastAsia"/>
        </w:rPr>
        <w:t>3.1 承包人的一般义务</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kinsoku/>
        <w:overflowPunct/>
        <w:topLinePunct w:val="0"/>
        <w:bidi w:val="0"/>
        <w:spacing w:line="300" w:lineRule="auto"/>
      </w:pPr>
      <w:r>
        <w:rPr>
          <w:rFonts w:hint="eastAsia"/>
        </w:rPr>
        <w:t>（5）承包人提交的竣工资料的内容：</w:t>
      </w:r>
      <w:r>
        <w:t>整个工程的</w:t>
      </w:r>
      <w:r>
        <w:rPr>
          <w:rFonts w:hint="eastAsia"/>
        </w:rPr>
        <w:t>竣工</w:t>
      </w:r>
      <w:r>
        <w:t>图纸，提供过程性验收确认单，材料跟踪单</w:t>
      </w:r>
      <w:r>
        <w:rPr>
          <w:rFonts w:hint="eastAsia"/>
        </w:rPr>
        <w:t>等。</w:t>
      </w:r>
    </w:p>
    <w:p>
      <w:pPr>
        <w:kinsoku/>
        <w:overflowPunct/>
        <w:topLinePunct w:val="0"/>
        <w:bidi w:val="0"/>
        <w:spacing w:line="300" w:lineRule="auto"/>
      </w:pPr>
      <w:r>
        <w:rPr>
          <w:rFonts w:hint="eastAsia"/>
        </w:rPr>
        <w:t>承包人需要提交的竣工资料套数：</w:t>
      </w:r>
      <w:r>
        <w:rPr>
          <w:rFonts w:hint="eastAsia" w:ascii="楷体_GB2312" w:eastAsia="楷体_GB2312"/>
          <w:u w:val="single"/>
        </w:rPr>
        <w:t xml:space="preserve">承包人在工程（包括本次招标范围内的所有工程）竣工验收合格后1个月内向发包人提交完整的竣工图纸及其他竣工资料5套，电子档案1份  </w:t>
      </w:r>
      <w:r>
        <w:rPr>
          <w:rFonts w:hint="eastAsia"/>
        </w:rPr>
        <w:t>。</w:t>
      </w:r>
    </w:p>
    <w:p>
      <w:pPr>
        <w:kinsoku/>
        <w:overflowPunct/>
        <w:topLinePunct w:val="0"/>
        <w:bidi w:val="0"/>
        <w:spacing w:line="300" w:lineRule="auto"/>
        <w:rPr>
          <w:szCs w:val="21"/>
        </w:rPr>
      </w:pPr>
      <w:r>
        <w:rPr>
          <w:rFonts w:hint="eastAsia"/>
          <w:szCs w:val="21"/>
        </w:rPr>
        <w:t>承包人提交的竣工资料的费用承担：</w:t>
      </w:r>
      <w:r>
        <w:rPr>
          <w:rFonts w:hint="eastAsia"/>
          <w:szCs w:val="21"/>
          <w:u w:val="single"/>
        </w:rPr>
        <w:t xml:space="preserve"> 由承包人承担  </w:t>
      </w:r>
      <w:r>
        <w:rPr>
          <w:rFonts w:hint="eastAsia"/>
        </w:rPr>
        <w:t>。</w:t>
      </w:r>
    </w:p>
    <w:p>
      <w:pPr>
        <w:kinsoku/>
        <w:overflowPunct/>
        <w:topLinePunct w:val="0"/>
        <w:bidi w:val="0"/>
        <w:spacing w:line="300" w:lineRule="auto"/>
        <w:rPr>
          <w:szCs w:val="21"/>
          <w:u w:val="double"/>
        </w:rPr>
      </w:pPr>
      <w:r>
        <w:rPr>
          <w:rFonts w:hint="eastAsia"/>
          <w:szCs w:val="21"/>
        </w:rPr>
        <w:t>承包人提交的竣工资料移交时间：</w:t>
      </w:r>
      <w:r>
        <w:rPr>
          <w:rFonts w:hint="eastAsia" w:ascii="楷体_GB2312" w:eastAsia="楷体_GB2312"/>
          <w:szCs w:val="21"/>
          <w:u w:val="single"/>
        </w:rPr>
        <w:t xml:space="preserve">竣工验收合格后1个月内  </w:t>
      </w:r>
      <w:r>
        <w:rPr>
          <w:rFonts w:hint="eastAsia"/>
        </w:rPr>
        <w:t>。</w:t>
      </w:r>
    </w:p>
    <w:p>
      <w:pPr>
        <w:kinsoku/>
        <w:overflowPunct/>
        <w:topLinePunct w:val="0"/>
        <w:bidi w:val="0"/>
        <w:spacing w:line="300" w:lineRule="auto"/>
        <w:rPr>
          <w:szCs w:val="21"/>
          <w:u w:val="single"/>
        </w:rPr>
      </w:pPr>
      <w:r>
        <w:rPr>
          <w:rFonts w:hint="eastAsia"/>
          <w:szCs w:val="21"/>
        </w:rPr>
        <w:t>承包人提交的竣工资料形式要求：</w:t>
      </w:r>
      <w:r>
        <w:rPr>
          <w:rFonts w:hint="eastAsia" w:ascii="楷体_GB2312" w:eastAsia="楷体_GB2312"/>
          <w:szCs w:val="21"/>
          <w:u w:val="single"/>
        </w:rPr>
        <w:t>完整的竣工图纸及其他竣工资料5套，电子档案1份</w:t>
      </w:r>
      <w:r>
        <w:rPr>
          <w:rFonts w:hint="eastAsia"/>
        </w:rPr>
        <w:t>。</w:t>
      </w:r>
    </w:p>
    <w:p>
      <w:pPr>
        <w:kinsoku/>
        <w:overflowPunct/>
        <w:topLinePunct w:val="0"/>
        <w:bidi w:val="0"/>
        <w:spacing w:line="300" w:lineRule="auto"/>
      </w:pPr>
      <w:r>
        <w:rPr>
          <w:rFonts w:hint="eastAsia"/>
        </w:rPr>
        <w:t>（6）承包人应履行的其他义务：</w:t>
      </w:r>
    </w:p>
    <w:p>
      <w:pPr>
        <w:kinsoku/>
        <w:overflowPunct/>
        <w:topLinePunct w:val="0"/>
        <w:bidi w:val="0"/>
        <w:spacing w:line="300" w:lineRule="auto"/>
      </w:pPr>
      <w:r>
        <w:rPr>
          <w:rFonts w:hint="eastAsia"/>
        </w:rPr>
        <w:t>承包人应按约定时间和要求，完成以下工作：</w:t>
      </w:r>
    </w:p>
    <w:p>
      <w:pPr>
        <w:kinsoku/>
        <w:overflowPunct/>
        <w:topLinePunct w:val="0"/>
        <w:bidi w:val="0"/>
        <w:spacing w:line="300" w:lineRule="auto"/>
        <w:rPr>
          <w:u w:val="single"/>
        </w:rPr>
      </w:pPr>
      <w:r>
        <w:rPr>
          <w:rFonts w:hint="eastAsia"/>
        </w:rPr>
        <w:t>1）需由设计资质等级和业务范围允许的承包人完成的设计文件提交时间：</w:t>
      </w:r>
      <w:r>
        <w:rPr>
          <w:rFonts w:hint="eastAsia"/>
          <w:u w:val="single"/>
        </w:rPr>
        <w:t xml:space="preserve">无  </w:t>
      </w:r>
      <w:r>
        <w:rPr>
          <w:rFonts w:hint="eastAsia"/>
        </w:rPr>
        <w:t>。</w:t>
      </w:r>
    </w:p>
    <w:p>
      <w:pPr>
        <w:kinsoku/>
        <w:overflowPunct/>
        <w:topLinePunct w:val="0"/>
        <w:bidi w:val="0"/>
        <w:spacing w:line="300" w:lineRule="auto"/>
        <w:rPr>
          <w:u w:val="single"/>
        </w:rPr>
      </w:pPr>
      <w:r>
        <w:rPr>
          <w:rFonts w:hint="eastAsia"/>
        </w:rPr>
        <w:t>2）应提供计划、报表的名称及完成时间：</w:t>
      </w:r>
      <w:r>
        <w:rPr>
          <w:rFonts w:hint="eastAsia"/>
          <w:u w:val="single"/>
        </w:rPr>
        <w:t>向工程师提供年度、季度、月度工程计划；</w:t>
      </w:r>
      <w:r>
        <w:rPr>
          <w:u w:val="single"/>
        </w:rPr>
        <w:t>每月</w:t>
      </w:r>
      <w:r>
        <w:rPr>
          <w:rFonts w:hint="eastAsia"/>
          <w:u w:val="single"/>
        </w:rPr>
        <w:t>2</w:t>
      </w:r>
      <w:r>
        <w:rPr>
          <w:u w:val="single"/>
        </w:rPr>
        <w:t>5日前向发包人提交</w:t>
      </w:r>
      <w:r>
        <w:rPr>
          <w:rFonts w:hint="eastAsia"/>
          <w:u w:val="single"/>
        </w:rPr>
        <w:t>月度</w:t>
      </w:r>
      <w:r>
        <w:rPr>
          <w:u w:val="single"/>
        </w:rPr>
        <w:t>完成工程量、</w:t>
      </w:r>
      <w:r>
        <w:rPr>
          <w:rFonts w:hint="eastAsia"/>
          <w:u w:val="single"/>
        </w:rPr>
        <w:t>月</w:t>
      </w:r>
      <w:r>
        <w:rPr>
          <w:u w:val="single"/>
        </w:rPr>
        <w:t>工程产值报表及下月工程进度计划，一式三份。每周一报告下周作业计划，本周实施情况一式二份</w:t>
      </w:r>
      <w:r>
        <w:rPr>
          <w:rFonts w:hint="eastAsia"/>
          <w:u w:val="single"/>
        </w:rPr>
        <w:t xml:space="preserve">  </w:t>
      </w:r>
      <w:r>
        <w:rPr>
          <w:rFonts w:hint="eastAsia"/>
        </w:rPr>
        <w:t>。</w:t>
      </w:r>
    </w:p>
    <w:p>
      <w:pPr>
        <w:kinsoku/>
        <w:overflowPunct/>
        <w:topLinePunct w:val="0"/>
        <w:bidi w:val="0"/>
        <w:spacing w:line="300" w:lineRule="auto"/>
        <w:rPr>
          <w:u w:val="single"/>
        </w:rPr>
      </w:pPr>
      <w:r>
        <w:rPr>
          <w:rFonts w:hint="eastAsia"/>
        </w:rPr>
        <w:t>3）承担施工安全保卫工作及非夜间施工照明的责任和要求：</w:t>
      </w:r>
      <w:r>
        <w:rPr>
          <w:u w:val="single"/>
        </w:rPr>
        <w:t>承包人负责在工程施工、竣工及</w:t>
      </w:r>
      <w:r>
        <w:rPr>
          <w:rFonts w:hint="eastAsia"/>
          <w:u w:val="single"/>
        </w:rPr>
        <w:t>养护</w:t>
      </w:r>
      <w:r>
        <w:rPr>
          <w:u w:val="single"/>
        </w:rPr>
        <w:t>的整个过程中施工现场全部人员的安全和非夜间施工照明。发包人不承担承包人或其分包单位雇佣的工人或其它人员的伤亡赔偿或补偿责任</w:t>
      </w:r>
      <w:r>
        <w:rPr>
          <w:rFonts w:hint="eastAsia"/>
          <w:u w:val="single"/>
        </w:rPr>
        <w:t xml:space="preserve">  </w:t>
      </w:r>
      <w:r>
        <w:rPr>
          <w:rFonts w:hint="eastAsia"/>
        </w:rPr>
        <w:t>。</w:t>
      </w:r>
    </w:p>
    <w:p>
      <w:pPr>
        <w:kinsoku/>
        <w:overflowPunct/>
        <w:topLinePunct w:val="0"/>
        <w:bidi w:val="0"/>
        <w:spacing w:line="300" w:lineRule="auto"/>
        <w:rPr>
          <w:szCs w:val="21"/>
          <w:u w:val="single"/>
        </w:rPr>
      </w:pPr>
      <w:r>
        <w:rPr>
          <w:rFonts w:hint="eastAsia"/>
          <w:szCs w:val="21"/>
        </w:rPr>
        <w:t>4）向发包人提供的办公和生活房屋及设施的要求：</w:t>
      </w:r>
      <w:r>
        <w:rPr>
          <w:rFonts w:hint="eastAsia"/>
          <w:szCs w:val="21"/>
          <w:u w:val="single"/>
        </w:rPr>
        <w:t xml:space="preserve">/。 </w:t>
      </w:r>
    </w:p>
    <w:p>
      <w:pPr>
        <w:kinsoku/>
        <w:overflowPunct/>
        <w:topLinePunct w:val="0"/>
        <w:bidi w:val="0"/>
        <w:spacing w:line="300" w:lineRule="auto"/>
        <w:rPr>
          <w:szCs w:val="21"/>
        </w:rPr>
      </w:pPr>
      <w:r>
        <w:rPr>
          <w:rFonts w:hint="eastAsia"/>
          <w:szCs w:val="21"/>
        </w:rPr>
        <w:t>5）需承包人办理的有关施工场地交通、环卫和施工噪音管理等手续：</w:t>
      </w:r>
      <w:r>
        <w:rPr>
          <w:u w:val="single"/>
        </w:rPr>
        <w:t>由承包人自行解决</w:t>
      </w:r>
      <w:r>
        <w:rPr>
          <w:rFonts w:hint="eastAsia"/>
          <w:u w:val="single"/>
        </w:rPr>
        <w:t>并办理相关审批手续，</w:t>
      </w:r>
      <w:r>
        <w:rPr>
          <w:u w:val="single"/>
        </w:rPr>
        <w:t>费用已包含在总价中。承包人办理有困难时，发包人尽</w:t>
      </w:r>
      <w:r>
        <w:rPr>
          <w:rFonts w:hint="eastAsia"/>
          <w:u w:val="single"/>
        </w:rPr>
        <w:t>量</w:t>
      </w:r>
      <w:r>
        <w:rPr>
          <w:u w:val="single"/>
        </w:rPr>
        <w:t>协助</w:t>
      </w:r>
      <w:r>
        <w:rPr>
          <w:rFonts w:hint="eastAsia"/>
          <w:u w:val="single"/>
        </w:rPr>
        <w:t>办理</w:t>
      </w:r>
      <w:r>
        <w:rPr>
          <w:u w:val="single"/>
        </w:rPr>
        <w:t>（发包人不承担因此增加的相关费用）。</w:t>
      </w:r>
      <w:r>
        <w:rPr>
          <w:rFonts w:hint="eastAsia"/>
          <w:u w:val="single"/>
        </w:rPr>
        <w:t xml:space="preserve">承包人应采取有效措施尽量减少尘土和噪音污染，需要进行夜间作业时应取得发包人同意、有关部门批准  </w:t>
      </w:r>
      <w:r>
        <w:rPr>
          <w:rFonts w:hint="eastAsia"/>
        </w:rPr>
        <w:t>。</w:t>
      </w:r>
    </w:p>
    <w:p>
      <w:pPr>
        <w:kinsoku/>
        <w:overflowPunct/>
        <w:topLinePunct w:val="0"/>
        <w:bidi w:val="0"/>
        <w:spacing w:line="300" w:lineRule="auto"/>
        <w:rPr>
          <w:szCs w:val="21"/>
        </w:rPr>
      </w:pPr>
      <w:r>
        <w:rPr>
          <w:rFonts w:hint="eastAsia"/>
          <w:szCs w:val="21"/>
        </w:rPr>
        <w:t>6）已完工程成品保护的特殊要求及费用承担：</w:t>
      </w:r>
      <w:r>
        <w:rPr>
          <w:u w:val="single"/>
        </w:rPr>
        <w:t>已竣工工程和设备未交付发包人之前，承包人负责所有成品的保护工作，保护期间发生损坏，承包人承担修复费用。工程未办理竣工验收交付发包人前，承包人有责任为承包范围内的已完工程或其他任何部位进行保护，费用由承包人承担</w:t>
      </w:r>
      <w:r>
        <w:rPr>
          <w:rFonts w:hint="eastAsia"/>
          <w:u w:val="single"/>
        </w:rPr>
        <w:t xml:space="preserve">  </w:t>
      </w:r>
      <w:r>
        <w:t>。</w:t>
      </w:r>
    </w:p>
    <w:p>
      <w:pPr>
        <w:kinsoku/>
        <w:overflowPunct/>
        <w:topLinePunct w:val="0"/>
        <w:bidi w:val="0"/>
        <w:spacing w:line="300" w:lineRule="auto"/>
        <w:rPr>
          <w:szCs w:val="21"/>
        </w:rPr>
      </w:pPr>
      <w:r>
        <w:rPr>
          <w:rFonts w:hint="eastAsia"/>
          <w:szCs w:val="21"/>
        </w:rPr>
        <w:t>7）施工场地周围地下管线和邻近建筑物、构筑物（含文物保护建筑）、古树名木的保护要求及费用承担：</w:t>
      </w:r>
      <w:r>
        <w:rPr>
          <w:rFonts w:hint="eastAsia"/>
          <w:szCs w:val="21"/>
          <w:u w:val="single"/>
        </w:rPr>
        <w:t>按实际需要由承包人提出解决方案，经工程师批准后才能实施，费用由发包人承担</w:t>
      </w:r>
      <w:r>
        <w:rPr>
          <w:u w:val="single"/>
        </w:rPr>
        <w:t>，工期不顺延。</w:t>
      </w:r>
      <w:r>
        <w:rPr>
          <w:rFonts w:hint="eastAsia"/>
          <w:szCs w:val="21"/>
          <w:u w:val="single"/>
        </w:rPr>
        <w:t xml:space="preserve">如在施工工程中由于施工不当造成损失的，此损失部分由承包人自费予以修复  </w:t>
      </w:r>
      <w:r>
        <w:rPr>
          <w:rFonts w:hint="eastAsia"/>
          <w:szCs w:val="21"/>
        </w:rPr>
        <w:t>。</w:t>
      </w:r>
    </w:p>
    <w:p>
      <w:pPr>
        <w:kinsoku/>
        <w:overflowPunct/>
        <w:topLinePunct w:val="0"/>
        <w:bidi w:val="0"/>
        <w:spacing w:line="300" w:lineRule="auto"/>
        <w:rPr>
          <w:szCs w:val="21"/>
        </w:rPr>
      </w:pPr>
      <w:r>
        <w:rPr>
          <w:rFonts w:hint="eastAsia"/>
          <w:szCs w:val="21"/>
        </w:rPr>
        <w:t>8）施工场地清洁卫生的要求：</w:t>
      </w:r>
      <w:r>
        <w:rPr>
          <w:rFonts w:hint="eastAsia"/>
          <w:u w:val="single"/>
        </w:rPr>
        <w:t xml:space="preserve">不得污染环境和影响周边的居民生活,承包人按建设行政主管部门和相关部门的规定办理所需由承包人承担  </w:t>
      </w:r>
      <w:r>
        <w:rPr>
          <w:rFonts w:hint="eastAsia"/>
        </w:rPr>
        <w:t>。</w:t>
      </w:r>
    </w:p>
    <w:p>
      <w:pPr>
        <w:kinsoku/>
        <w:overflowPunct/>
        <w:topLinePunct w:val="0"/>
        <w:bidi w:val="0"/>
        <w:spacing w:line="300" w:lineRule="auto"/>
      </w:pPr>
      <w:r>
        <w:rPr>
          <w:rFonts w:hint="eastAsia"/>
          <w:szCs w:val="21"/>
        </w:rPr>
        <w:t>9）双方约定承包人应做的其他工作：</w:t>
      </w:r>
      <w:r>
        <w:rPr>
          <w:rFonts w:hint="eastAsia" w:ascii="楷体_GB2312" w:eastAsia="楷体_GB2312"/>
          <w:u w:val="single"/>
        </w:rPr>
        <w:t>①接到中标通知书后30天内，承包人应积极协助发包人办理开工证件，若由承包人原因引起证件无法完成办理，则按违约处理，每延迟一天，由承包人向发包人支付违约金500元。②自觉处理好与周边群众和睦相处</w:t>
      </w:r>
      <w:r>
        <w:rPr>
          <w:rFonts w:hint="eastAsia"/>
          <w:u w:val="single"/>
        </w:rPr>
        <w:t xml:space="preserve"> </w:t>
      </w:r>
      <w:r>
        <w:rPr>
          <w:rFonts w:hint="eastAsia"/>
        </w:rPr>
        <w:t>。</w:t>
      </w:r>
    </w:p>
    <w:p>
      <w:pPr>
        <w:pStyle w:val="6"/>
        <w:kinsoku/>
        <w:overflowPunct/>
        <w:topLinePunct w:val="0"/>
        <w:bidi w:val="0"/>
        <w:spacing w:line="300" w:lineRule="auto"/>
      </w:pPr>
      <w:bookmarkStart w:id="393" w:name="_Toc513038396"/>
      <w:bookmarkStart w:id="394" w:name="_Toc513209232"/>
      <w:bookmarkStart w:id="395" w:name="_Toc476733987"/>
      <w:bookmarkStart w:id="396" w:name="_Toc513214618"/>
      <w:bookmarkStart w:id="397" w:name="_Toc509902216"/>
      <w:bookmarkStart w:id="398" w:name="_Toc21062"/>
      <w:bookmarkStart w:id="399" w:name="_Toc527029576"/>
      <w:bookmarkStart w:id="400" w:name="_Toc29819"/>
      <w:bookmarkStart w:id="401" w:name="_Toc20719"/>
      <w:bookmarkStart w:id="402" w:name="_Toc490491808"/>
      <w:bookmarkStart w:id="403" w:name="_Toc511635770"/>
      <w:bookmarkStart w:id="404" w:name="_Toc480985221"/>
      <w:bookmarkStart w:id="405" w:name="_Toc511649747"/>
      <w:bookmarkStart w:id="406" w:name="_Toc512604464"/>
      <w:bookmarkStart w:id="407" w:name="_Toc5555"/>
      <w:bookmarkStart w:id="408" w:name="_Toc13487"/>
      <w:bookmarkStart w:id="409" w:name="_Toc22649"/>
      <w:bookmarkStart w:id="410" w:name="_Toc3903919"/>
      <w:bookmarkStart w:id="411" w:name="_Toc11956"/>
      <w:bookmarkStart w:id="412" w:name="_Toc6735"/>
      <w:bookmarkStart w:id="413" w:name="_Toc3937"/>
      <w:r>
        <w:t>3.2 项目经理</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kinsoku/>
        <w:overflowPunct/>
        <w:topLinePunct w:val="0"/>
        <w:bidi w:val="0"/>
        <w:spacing w:line="300" w:lineRule="auto"/>
      </w:pPr>
      <w:r>
        <w:t>3.2.1 项目经理：</w:t>
      </w:r>
    </w:p>
    <w:p>
      <w:pPr>
        <w:kinsoku/>
        <w:overflowPunct/>
        <w:topLinePunct w:val="0"/>
        <w:bidi w:val="0"/>
        <w:spacing w:line="300" w:lineRule="auto"/>
      </w:pPr>
      <w:r>
        <w:t>姓    名：</w:t>
      </w:r>
      <w:r>
        <w:rPr>
          <w:rFonts w:hint="eastAsia" w:cs="宋体"/>
          <w:u w:val="single"/>
        </w:rPr>
        <w:t></w:t>
      </w:r>
      <w:r>
        <w:rPr>
          <w:rFonts w:hint="eastAsia"/>
          <w:u w:val="single"/>
        </w:rPr>
        <w:t xml:space="preserve">  </w:t>
      </w:r>
      <w:r>
        <w:rPr>
          <w:rFonts w:hint="eastAsia" w:cs="宋体"/>
          <w:u w:val="single"/>
        </w:rPr>
        <w:t></w:t>
      </w:r>
      <w:r>
        <w:rPr>
          <w:rFonts w:hint="eastAsia"/>
          <w:u w:val="single"/>
        </w:rPr>
        <w:t xml:space="preserve"> </w:t>
      </w:r>
    </w:p>
    <w:p>
      <w:pPr>
        <w:kinsoku/>
        <w:overflowPunct/>
        <w:topLinePunct w:val="0"/>
        <w:bidi w:val="0"/>
        <w:spacing w:line="300" w:lineRule="auto"/>
      </w:pPr>
      <w:r>
        <w:t>身份证号：</w:t>
      </w:r>
      <w:r>
        <w:rPr>
          <w:rFonts w:hint="eastAsia" w:cs="宋体"/>
          <w:u w:val="single"/>
        </w:rPr>
        <w:t></w:t>
      </w:r>
      <w:r>
        <w:rPr>
          <w:rFonts w:hint="eastAsia"/>
          <w:u w:val="single"/>
        </w:rPr>
        <w:t xml:space="preserve">  </w:t>
      </w:r>
    </w:p>
    <w:p>
      <w:pPr>
        <w:kinsoku/>
        <w:overflowPunct/>
        <w:topLinePunct w:val="0"/>
        <w:bidi w:val="0"/>
        <w:spacing w:line="300" w:lineRule="auto"/>
      </w:pPr>
      <w:r>
        <w:t>建造师执业资格等级：</w:t>
      </w:r>
      <w:r>
        <w:rPr>
          <w:rFonts w:hint="eastAsia" w:cs="宋体"/>
          <w:u w:val="single"/>
        </w:rPr>
        <w:t></w:t>
      </w:r>
      <w:r>
        <w:rPr>
          <w:rFonts w:hint="eastAsia"/>
          <w:u w:val="single"/>
        </w:rPr>
        <w:t xml:space="preserve"> </w:t>
      </w:r>
      <w:r>
        <w:rPr>
          <w:rFonts w:hint="eastAsia" w:cs="宋体"/>
          <w:u w:val="single"/>
        </w:rPr>
        <w:t></w:t>
      </w:r>
    </w:p>
    <w:p>
      <w:pPr>
        <w:kinsoku/>
        <w:overflowPunct/>
        <w:topLinePunct w:val="0"/>
        <w:bidi w:val="0"/>
        <w:spacing w:line="300" w:lineRule="auto"/>
      </w:pPr>
      <w:r>
        <w:t>建造师注册证书号：</w:t>
      </w:r>
      <w:r>
        <w:rPr>
          <w:rFonts w:hint="eastAsia" w:cs="宋体"/>
          <w:u w:val="single"/>
        </w:rPr>
        <w:t></w:t>
      </w:r>
    </w:p>
    <w:p>
      <w:pPr>
        <w:kinsoku/>
        <w:overflowPunct/>
        <w:topLinePunct w:val="0"/>
        <w:bidi w:val="0"/>
        <w:spacing w:line="300" w:lineRule="auto"/>
      </w:pPr>
      <w:r>
        <w:t>建造师执业印章号：</w:t>
      </w:r>
      <w:r>
        <w:rPr>
          <w:rFonts w:hint="eastAsia" w:cs="宋体"/>
          <w:u w:val="single"/>
        </w:rPr>
        <w:t></w:t>
      </w:r>
    </w:p>
    <w:p>
      <w:pPr>
        <w:kinsoku/>
        <w:overflowPunct/>
        <w:topLinePunct w:val="0"/>
        <w:bidi w:val="0"/>
        <w:spacing w:line="300" w:lineRule="auto"/>
      </w:pPr>
      <w:r>
        <w:t>安全生产考核合格证书号：</w:t>
      </w:r>
      <w:r>
        <w:rPr>
          <w:rFonts w:hint="eastAsia" w:cs="宋体"/>
          <w:u w:val="single"/>
        </w:rPr>
        <w:t></w:t>
      </w:r>
    </w:p>
    <w:p>
      <w:pPr>
        <w:kinsoku/>
        <w:overflowPunct/>
        <w:topLinePunct w:val="0"/>
        <w:bidi w:val="0"/>
        <w:spacing w:line="300" w:lineRule="auto"/>
      </w:pPr>
      <w:r>
        <w:t>联系电话：</w:t>
      </w:r>
      <w:r>
        <w:rPr>
          <w:rFonts w:hint="eastAsia" w:cs="宋体"/>
          <w:u w:val="single"/>
        </w:rPr>
        <w:t></w:t>
      </w:r>
      <w:r>
        <w:rPr>
          <w:rFonts w:hint="eastAsia"/>
          <w:u w:val="single"/>
        </w:rPr>
        <w:t xml:space="preserve">  </w:t>
      </w:r>
      <w:r>
        <w:rPr>
          <w:rFonts w:hint="eastAsia" w:cs="宋体"/>
          <w:u w:val="single"/>
        </w:rPr>
        <w:t></w:t>
      </w:r>
      <w:r>
        <w:rPr>
          <w:rFonts w:hint="eastAsia"/>
          <w:u w:val="single"/>
        </w:rPr>
        <w:t xml:space="preserve">  </w:t>
      </w:r>
    </w:p>
    <w:p>
      <w:pPr>
        <w:kinsoku/>
        <w:overflowPunct/>
        <w:topLinePunct w:val="0"/>
        <w:bidi w:val="0"/>
        <w:spacing w:line="300" w:lineRule="auto"/>
      </w:pPr>
      <w:r>
        <w:t>电子信箱：</w:t>
      </w:r>
      <w:r>
        <w:rPr>
          <w:rFonts w:hint="eastAsia" w:cs="宋体"/>
          <w:u w:val="single"/>
        </w:rPr>
        <w:t></w:t>
      </w:r>
      <w:r>
        <w:rPr>
          <w:rFonts w:hint="eastAsia"/>
          <w:u w:val="single"/>
        </w:rPr>
        <w:t xml:space="preserve">        </w:t>
      </w:r>
    </w:p>
    <w:p>
      <w:pPr>
        <w:kinsoku/>
        <w:overflowPunct/>
        <w:topLinePunct w:val="0"/>
        <w:bidi w:val="0"/>
        <w:spacing w:line="300" w:lineRule="auto"/>
      </w:pPr>
      <w:r>
        <w:t>通信地址：</w:t>
      </w:r>
      <w:r>
        <w:rPr>
          <w:rFonts w:hint="eastAsia" w:cs="宋体"/>
          <w:u w:val="single"/>
        </w:rPr>
        <w:t></w:t>
      </w:r>
      <w:r>
        <w:rPr>
          <w:rFonts w:hint="eastAsia"/>
          <w:u w:val="single"/>
        </w:rPr>
        <w:t xml:space="preserve">       </w:t>
      </w:r>
      <w:r>
        <w:rPr>
          <w:rFonts w:hint="eastAsia" w:cs="宋体"/>
          <w:u w:val="single"/>
        </w:rPr>
        <w:t></w:t>
      </w:r>
    </w:p>
    <w:p>
      <w:pPr>
        <w:kinsoku/>
        <w:overflowPunct/>
        <w:topLinePunct w:val="0"/>
        <w:bidi w:val="0"/>
        <w:spacing w:line="300" w:lineRule="auto"/>
      </w:pPr>
      <w:r>
        <w:rPr>
          <w:rFonts w:hint="eastAsia"/>
        </w:rPr>
        <w:t>承包人对项目经理的授权范围如下：</w:t>
      </w:r>
      <w:r>
        <w:rPr>
          <w:rFonts w:ascii="Arial" w:cs="Arial"/>
          <w:u w:val="single"/>
        </w:rPr>
        <w:t>（</w:t>
      </w:r>
      <w:r>
        <w:rPr>
          <w:rFonts w:ascii="Arial" w:hAnsi="Arial" w:cs="Arial"/>
          <w:u w:val="single"/>
        </w:rPr>
        <w:t>1</w:t>
      </w:r>
      <w:r>
        <w:rPr>
          <w:rFonts w:ascii="Arial" w:cs="Arial"/>
          <w:u w:val="single"/>
        </w:rPr>
        <w:t>）组织项目管理班子；（</w:t>
      </w:r>
      <w:r>
        <w:rPr>
          <w:rFonts w:ascii="Arial" w:hAnsi="Arial" w:cs="Arial"/>
          <w:u w:val="single"/>
        </w:rPr>
        <w:t>2</w:t>
      </w:r>
      <w:r>
        <w:rPr>
          <w:rFonts w:ascii="Arial" w:cs="Arial"/>
          <w:u w:val="single"/>
        </w:rPr>
        <w:t>）以企业法定代表人的代表身份处理与所承担的工程项目有关的外部关系；（</w:t>
      </w:r>
      <w:r>
        <w:rPr>
          <w:rFonts w:ascii="Arial" w:hAnsi="Arial" w:cs="Arial"/>
          <w:u w:val="single"/>
        </w:rPr>
        <w:t>3</w:t>
      </w:r>
      <w:r>
        <w:rPr>
          <w:rFonts w:ascii="Arial" w:cs="Arial"/>
          <w:u w:val="single"/>
        </w:rPr>
        <w:t>）指挥生产项目建设的生产经营活动，调配并管理进入工程项目的人力、物资、机械设备等生产要素；（</w:t>
      </w:r>
      <w:r>
        <w:rPr>
          <w:rFonts w:ascii="Arial" w:hAnsi="Arial" w:cs="Arial"/>
          <w:u w:val="single"/>
        </w:rPr>
        <w:t>4</w:t>
      </w:r>
      <w:r>
        <w:rPr>
          <w:rFonts w:ascii="Arial" w:cs="Arial"/>
          <w:u w:val="single"/>
        </w:rPr>
        <w:t>）进行合理的经济分配；（</w:t>
      </w:r>
      <w:r>
        <w:rPr>
          <w:rFonts w:ascii="Arial" w:hAnsi="Arial" w:cs="Arial"/>
          <w:u w:val="single"/>
        </w:rPr>
        <w:t>5</w:t>
      </w:r>
      <w:r>
        <w:rPr>
          <w:rFonts w:ascii="Arial" w:cs="Arial"/>
          <w:u w:val="single"/>
        </w:rPr>
        <w:t>）企业法定代表人授予的其他管理权利</w:t>
      </w:r>
      <w:r>
        <w:rPr>
          <w:rFonts w:ascii="Arial" w:hAnsi="Arial" w:cs="Arial"/>
          <w:u w:val="single"/>
        </w:rPr>
        <w:t xml:space="preserve">  </w:t>
      </w:r>
      <w:r>
        <w:rPr>
          <w:rFonts w:ascii="Arial" w:cs="Arial"/>
        </w:rPr>
        <w:t>。</w:t>
      </w:r>
    </w:p>
    <w:p>
      <w:pPr>
        <w:kinsoku/>
        <w:overflowPunct/>
        <w:topLinePunct w:val="0"/>
        <w:bidi w:val="0"/>
        <w:spacing w:line="300" w:lineRule="auto"/>
        <w:ind w:firstLine="420"/>
        <w:rPr>
          <w:rFonts w:ascii="Arial" w:hAnsi="Arial" w:cs="Arial"/>
        </w:rPr>
      </w:pPr>
      <w:r>
        <w:rPr>
          <w:rFonts w:hint="eastAsia"/>
        </w:rPr>
        <w:t>关于项目经理每月在施工现场的时间要求：</w:t>
      </w:r>
      <w:r>
        <w:rPr>
          <w:rFonts w:ascii="Arial" w:cs="Arial"/>
          <w:szCs w:val="21"/>
          <w:u w:val="single"/>
        </w:rPr>
        <w:t>不影响施工进度的情况下，每月到位天数不少于</w:t>
      </w:r>
      <w:r>
        <w:rPr>
          <w:rFonts w:ascii="Arial" w:hAnsi="Arial" w:cs="Arial"/>
          <w:szCs w:val="21"/>
          <w:u w:val="single"/>
        </w:rPr>
        <w:t>24</w:t>
      </w:r>
      <w:r>
        <w:rPr>
          <w:rFonts w:ascii="Arial" w:cs="Arial"/>
          <w:szCs w:val="21"/>
          <w:u w:val="single"/>
        </w:rPr>
        <w:t>日历天</w:t>
      </w:r>
      <w:r>
        <w:rPr>
          <w:rFonts w:ascii="Arial" w:hAnsi="Arial" w:cs="Arial"/>
          <w:szCs w:val="21"/>
          <w:u w:val="single"/>
        </w:rPr>
        <w:t xml:space="preserve"> </w:t>
      </w:r>
      <w:r>
        <w:rPr>
          <w:rFonts w:ascii="Arial" w:hAnsi="Arial" w:cs="Arial"/>
          <w:u w:val="single"/>
        </w:rPr>
        <w:t xml:space="preserve">  </w:t>
      </w:r>
      <w:r>
        <w:rPr>
          <w:rFonts w:ascii="Arial" w:cs="Arial"/>
        </w:rPr>
        <w:t>。</w:t>
      </w:r>
    </w:p>
    <w:p>
      <w:pPr>
        <w:kinsoku/>
        <w:overflowPunct/>
        <w:topLinePunct w:val="0"/>
        <w:bidi w:val="0"/>
        <w:spacing w:line="300" w:lineRule="auto"/>
        <w:ind w:firstLine="420"/>
        <w:rPr>
          <w:rFonts w:ascii="Arial" w:hAnsi="Arial" w:cs="Arial"/>
        </w:rPr>
      </w:pPr>
      <w:r>
        <w:rPr>
          <w:rFonts w:hint="eastAsia"/>
        </w:rPr>
        <w:t>承包人未提交劳动合同，以及没有为项目经理缴纳社会保险证明的违约责任：</w:t>
      </w:r>
      <w:r>
        <w:rPr>
          <w:rFonts w:hint="eastAsia" w:ascii="Arial" w:hAnsi="Arial" w:cs="Arial"/>
          <w:u w:val="single"/>
        </w:rPr>
        <w:t>按项目经理未到位处理</w:t>
      </w:r>
      <w:r>
        <w:rPr>
          <w:rFonts w:ascii="Arial" w:cs="Arial"/>
        </w:rPr>
        <w:t>。</w:t>
      </w:r>
    </w:p>
    <w:p>
      <w:pPr>
        <w:kinsoku/>
        <w:overflowPunct/>
        <w:topLinePunct w:val="0"/>
        <w:bidi w:val="0"/>
        <w:spacing w:line="300" w:lineRule="auto"/>
      </w:pPr>
      <w:r>
        <w:rPr>
          <w:rFonts w:hint="eastAsia"/>
        </w:rPr>
        <w:t>项目经理未经批准，擅自离开施工现场的违约责任：</w:t>
      </w:r>
      <w:r>
        <w:rPr>
          <w:rFonts w:hint="eastAsia" w:cs="宋体"/>
          <w:szCs w:val="21"/>
          <w:u w:val="single"/>
        </w:rPr>
        <w:t>按补充条款第21.2条相关规定执行</w:t>
      </w:r>
      <w:r>
        <w:rPr>
          <w:rFonts w:hint="eastAsia"/>
        </w:rPr>
        <w:t>。</w:t>
      </w:r>
    </w:p>
    <w:p>
      <w:pPr>
        <w:kinsoku/>
        <w:overflowPunct/>
        <w:topLinePunct w:val="0"/>
        <w:bidi w:val="0"/>
        <w:spacing w:line="300" w:lineRule="auto"/>
      </w:pPr>
      <w:r>
        <w:rPr>
          <w:rFonts w:hint="eastAsia"/>
        </w:rPr>
        <w:t>3.2.3 承包人擅自更换项目经理的违约责任：</w:t>
      </w:r>
      <w:r>
        <w:rPr>
          <w:rFonts w:hint="eastAsia" w:cs="宋体"/>
          <w:szCs w:val="21"/>
          <w:u w:val="single"/>
        </w:rPr>
        <w:t>按补充条款第21.2条相关规定执行</w:t>
      </w:r>
      <w:r>
        <w:rPr>
          <w:rFonts w:hint="eastAsia"/>
        </w:rPr>
        <w:t>。</w:t>
      </w:r>
    </w:p>
    <w:p>
      <w:pPr>
        <w:kinsoku/>
        <w:overflowPunct/>
        <w:topLinePunct w:val="0"/>
        <w:bidi w:val="0"/>
        <w:spacing w:line="300" w:lineRule="auto"/>
      </w:pPr>
      <w:r>
        <w:rPr>
          <w:rFonts w:hint="eastAsia"/>
        </w:rPr>
        <w:t>3.2.4 承包人无正当理由拒绝更换项目经理的违约责任：</w:t>
      </w:r>
      <w:r>
        <w:rPr>
          <w:rFonts w:hint="eastAsia"/>
          <w:u w:val="single"/>
        </w:rPr>
        <w:t xml:space="preserve"> 发包人有权要求撤换工作不负责任、管理不力、不到位、贻误工作者的项目经理，或造成严重的安全事故和工程质量事故的项目经理，更换的项目经理到位时间为发包人发出书面通知后15天内  </w:t>
      </w:r>
      <w:r>
        <w:rPr>
          <w:rFonts w:hint="eastAsia"/>
        </w:rPr>
        <w:t>。</w:t>
      </w:r>
    </w:p>
    <w:p>
      <w:pPr>
        <w:kinsoku/>
        <w:overflowPunct/>
        <w:topLinePunct w:val="0"/>
        <w:bidi w:val="0"/>
        <w:spacing w:line="300" w:lineRule="auto"/>
      </w:pPr>
      <w:r>
        <w:t>3.3 承包人人员</w:t>
      </w:r>
    </w:p>
    <w:p>
      <w:pPr>
        <w:pStyle w:val="6"/>
        <w:kinsoku/>
        <w:overflowPunct/>
        <w:topLinePunct w:val="0"/>
        <w:bidi w:val="0"/>
        <w:spacing w:line="300" w:lineRule="auto"/>
      </w:pPr>
      <w:bookmarkStart w:id="414" w:name="_Toc20760"/>
      <w:bookmarkStart w:id="415" w:name="_Toc527029577"/>
      <w:bookmarkStart w:id="416" w:name="_Toc11871"/>
      <w:bookmarkStart w:id="417" w:name="_Toc1604"/>
      <w:bookmarkStart w:id="418" w:name="_Toc14139"/>
      <w:bookmarkStart w:id="419" w:name="_Toc480985222"/>
      <w:bookmarkStart w:id="420" w:name="_Toc511635771"/>
      <w:bookmarkStart w:id="421" w:name="_Toc490491809"/>
      <w:bookmarkStart w:id="422" w:name="_Toc12905"/>
      <w:bookmarkStart w:id="423" w:name="_Toc509902217"/>
      <w:bookmarkStart w:id="424" w:name="_Toc476733988"/>
      <w:bookmarkStart w:id="425" w:name="_Toc512604465"/>
      <w:bookmarkStart w:id="426" w:name="_Toc17873"/>
      <w:bookmarkStart w:id="427" w:name="_Toc27728"/>
      <w:bookmarkStart w:id="428" w:name="_Toc26161"/>
      <w:bookmarkStart w:id="429" w:name="_Toc513038397"/>
      <w:bookmarkStart w:id="430" w:name="_Toc513209233"/>
      <w:bookmarkStart w:id="431" w:name="_Toc511649748"/>
      <w:bookmarkStart w:id="432" w:name="_Toc513214619"/>
      <w:bookmarkStart w:id="433" w:name="_Toc5525"/>
      <w:bookmarkStart w:id="434" w:name="_Toc3903920"/>
      <w:r>
        <w:t>3.3 承包人人员</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kinsoku/>
        <w:overflowPunct/>
        <w:topLinePunct w:val="0"/>
        <w:bidi w:val="0"/>
        <w:spacing w:line="300" w:lineRule="auto"/>
        <w:rPr>
          <w:rFonts w:ascii="楷体_GB2312" w:eastAsia="楷体_GB2312"/>
          <w:szCs w:val="21"/>
          <w:u w:val="single"/>
        </w:rPr>
      </w:pPr>
      <w:r>
        <w:rPr>
          <w:rFonts w:hint="eastAsia"/>
          <w:szCs w:val="21"/>
        </w:rPr>
        <w:t>3.3.1 承包人提交项目管理机构及施工现场管理人员安排报告的期限：</w:t>
      </w:r>
      <w:r>
        <w:rPr>
          <w:rFonts w:hint="eastAsia" w:ascii="楷体_GB2312" w:eastAsia="楷体_GB2312"/>
          <w:szCs w:val="21"/>
          <w:u w:val="single"/>
        </w:rPr>
        <w:t xml:space="preserve"> 接到开工通知后7天内  </w:t>
      </w:r>
      <w:r>
        <w:rPr>
          <w:rFonts w:hint="eastAsia"/>
        </w:rPr>
        <w:t>。</w:t>
      </w:r>
    </w:p>
    <w:p>
      <w:pPr>
        <w:kinsoku/>
        <w:overflowPunct/>
        <w:topLinePunct w:val="0"/>
        <w:bidi w:val="0"/>
        <w:spacing w:line="300" w:lineRule="auto"/>
        <w:rPr>
          <w:szCs w:val="21"/>
          <w:u w:val="single"/>
        </w:rPr>
      </w:pPr>
      <w:r>
        <w:rPr>
          <w:rFonts w:hint="eastAsia"/>
          <w:szCs w:val="21"/>
        </w:rPr>
        <w:t>3.3.3 承包人无正当理由拒绝撤换主要施工管理人员的违约责任：</w:t>
      </w:r>
      <w:r>
        <w:rPr>
          <w:rFonts w:hint="eastAsia" w:ascii="Arial" w:cs="Arial"/>
          <w:b/>
          <w:szCs w:val="21"/>
          <w:u w:val="single"/>
        </w:rPr>
        <w:t>更换人员应在规定的时间内更换并到岗，逾期视为应到人员未到位按项目班组人员到位率的担保处理办法处理</w:t>
      </w:r>
      <w:r>
        <w:rPr>
          <w:rFonts w:hint="eastAsia"/>
          <w:szCs w:val="21"/>
          <w:u w:val="single"/>
        </w:rPr>
        <w:t>。</w:t>
      </w:r>
    </w:p>
    <w:p>
      <w:pPr>
        <w:kinsoku/>
        <w:overflowPunct/>
        <w:topLinePunct w:val="0"/>
        <w:bidi w:val="0"/>
        <w:spacing w:line="300" w:lineRule="auto"/>
        <w:rPr>
          <w:szCs w:val="21"/>
          <w:u w:val="single"/>
        </w:rPr>
      </w:pPr>
      <w:r>
        <w:rPr>
          <w:rFonts w:hint="eastAsia"/>
          <w:szCs w:val="21"/>
        </w:rPr>
        <w:t>3.3.4 承包人主要施工管理人员离开施工现场的批准要求：</w:t>
      </w:r>
      <w:r>
        <w:rPr>
          <w:rFonts w:hint="eastAsia"/>
          <w:szCs w:val="21"/>
          <w:u w:val="single"/>
        </w:rPr>
        <w:t>主要施工管理人员离开施工现场前应指定一名有经验的人员临时代行其职责，该人员应具备履行相应职责的资格和能力，且应征得监理人或发包人的同意。</w:t>
      </w:r>
    </w:p>
    <w:p>
      <w:pPr>
        <w:pStyle w:val="6"/>
        <w:kinsoku/>
        <w:overflowPunct/>
        <w:topLinePunct w:val="0"/>
        <w:bidi w:val="0"/>
        <w:spacing w:line="300" w:lineRule="auto"/>
      </w:pPr>
      <w:bookmarkStart w:id="435" w:name="_Toc2653"/>
      <w:bookmarkStart w:id="436" w:name="_Toc513209234"/>
      <w:bookmarkStart w:id="437" w:name="_Toc490491810"/>
      <w:bookmarkStart w:id="438" w:name="_Toc527029578"/>
      <w:bookmarkStart w:id="439" w:name="_Toc11248"/>
      <w:bookmarkStart w:id="440" w:name="_Toc480985223"/>
      <w:bookmarkStart w:id="441" w:name="_Toc27721"/>
      <w:bookmarkStart w:id="442" w:name="_Toc3041"/>
      <w:bookmarkStart w:id="443" w:name="_Toc509902218"/>
      <w:bookmarkStart w:id="444" w:name="_Toc476733989"/>
      <w:bookmarkStart w:id="445" w:name="_Toc8559"/>
      <w:bookmarkStart w:id="446" w:name="_Toc511649749"/>
      <w:bookmarkStart w:id="447" w:name="_Toc15256"/>
      <w:bookmarkStart w:id="448" w:name="_Toc513038398"/>
      <w:bookmarkStart w:id="449" w:name="_Toc513214620"/>
      <w:bookmarkStart w:id="450" w:name="_Toc26748"/>
      <w:bookmarkStart w:id="451" w:name="_Toc3903921"/>
      <w:bookmarkStart w:id="452" w:name="_Toc1692"/>
      <w:bookmarkStart w:id="453" w:name="_Toc511635772"/>
      <w:bookmarkStart w:id="454" w:name="_Toc31257"/>
      <w:bookmarkStart w:id="455" w:name="_Toc512604466"/>
      <w:r>
        <w:t>3.5 分包</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kinsoku/>
        <w:overflowPunct/>
        <w:topLinePunct w:val="0"/>
        <w:bidi w:val="0"/>
        <w:spacing w:line="300" w:lineRule="auto"/>
      </w:pPr>
      <w:r>
        <w:t>3.5.1 分包的一般约定</w:t>
      </w:r>
    </w:p>
    <w:p>
      <w:pPr>
        <w:kinsoku/>
        <w:overflowPunct/>
        <w:topLinePunct w:val="0"/>
        <w:bidi w:val="0"/>
        <w:spacing w:line="300" w:lineRule="auto"/>
      </w:pPr>
      <w:r>
        <w:t>禁止分包的工程包括：</w:t>
      </w:r>
      <w:r>
        <w:rPr>
          <w:rFonts w:hint="eastAsia"/>
          <w:u w:val="single"/>
        </w:rPr>
        <w:t xml:space="preserve">主体工程。 </w:t>
      </w:r>
    </w:p>
    <w:p>
      <w:pPr>
        <w:kinsoku/>
        <w:overflowPunct/>
        <w:topLinePunct w:val="0"/>
        <w:bidi w:val="0"/>
        <w:spacing w:line="300" w:lineRule="auto"/>
        <w:rPr>
          <w:u w:val="single"/>
        </w:rPr>
      </w:pPr>
      <w:r>
        <w:t>主体结构、关键性工作的范围：</w:t>
      </w:r>
      <w:r>
        <w:rPr>
          <w:rFonts w:hint="eastAsia" w:cs="宋体"/>
          <w:u w:val="single"/>
        </w:rPr>
        <w:t></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p>
      <w:pPr>
        <w:kinsoku/>
        <w:overflowPunct/>
        <w:topLinePunct w:val="0"/>
        <w:bidi w:val="0"/>
        <w:spacing w:line="300" w:lineRule="auto"/>
      </w:pPr>
      <w:r>
        <w:t>3.5.2分包的确定</w:t>
      </w:r>
    </w:p>
    <w:p>
      <w:pPr>
        <w:kinsoku/>
        <w:overflowPunct/>
        <w:topLinePunct w:val="0"/>
        <w:bidi w:val="0"/>
        <w:spacing w:line="300" w:lineRule="auto"/>
        <w:rPr>
          <w:u w:val="single"/>
        </w:rPr>
      </w:pPr>
      <w:r>
        <w:t>允许分包的专业工程包括：</w:t>
      </w:r>
      <w:r>
        <w:rPr>
          <w:rFonts w:hint="eastAsia"/>
          <w:u w:val="single"/>
        </w:rPr>
        <w:t xml:space="preserve">       </w:t>
      </w:r>
    </w:p>
    <w:p>
      <w:pPr>
        <w:kinsoku/>
        <w:overflowPunct/>
        <w:topLinePunct w:val="0"/>
        <w:bidi w:val="0"/>
        <w:spacing w:line="300" w:lineRule="auto"/>
        <w:rPr>
          <w:u w:val="single"/>
        </w:rPr>
      </w:pPr>
      <w:r>
        <w:t>其他关于分包的约定：</w:t>
      </w:r>
      <w:r>
        <w:rPr>
          <w:rFonts w:hint="eastAsia"/>
          <w:u w:val="single"/>
        </w:rPr>
        <w:t>/。</w:t>
      </w:r>
    </w:p>
    <w:p>
      <w:pPr>
        <w:kinsoku/>
        <w:overflowPunct/>
        <w:topLinePunct w:val="0"/>
        <w:bidi w:val="0"/>
        <w:spacing w:line="300" w:lineRule="auto"/>
      </w:pPr>
      <w:r>
        <w:t>3.5.4 分包合同价款</w:t>
      </w:r>
    </w:p>
    <w:p>
      <w:pPr>
        <w:kinsoku/>
        <w:overflowPunct/>
        <w:topLinePunct w:val="0"/>
        <w:bidi w:val="0"/>
        <w:spacing w:line="300" w:lineRule="auto"/>
      </w:pPr>
      <w:r>
        <w:t>关于分包合同价款支付的约定：</w:t>
      </w:r>
      <w:r>
        <w:rPr>
          <w:rFonts w:hint="eastAsia"/>
          <w:u w:val="single"/>
        </w:rPr>
        <w:t xml:space="preserve">       </w:t>
      </w:r>
    </w:p>
    <w:p>
      <w:pPr>
        <w:pStyle w:val="6"/>
        <w:kinsoku/>
        <w:overflowPunct/>
        <w:topLinePunct w:val="0"/>
        <w:bidi w:val="0"/>
        <w:spacing w:line="300" w:lineRule="auto"/>
      </w:pPr>
      <w:bookmarkStart w:id="456" w:name="_Toc513209235"/>
      <w:bookmarkStart w:id="457" w:name="_Toc513214621"/>
      <w:bookmarkStart w:id="458" w:name="_Toc527029579"/>
      <w:bookmarkStart w:id="459" w:name="_Toc10838"/>
      <w:bookmarkStart w:id="460" w:name="_Toc511649750"/>
      <w:bookmarkStart w:id="461" w:name="_Toc480985224"/>
      <w:bookmarkStart w:id="462" w:name="_Toc490491811"/>
      <w:bookmarkStart w:id="463" w:name="_Toc22273"/>
      <w:bookmarkStart w:id="464" w:name="_Toc512604467"/>
      <w:bookmarkStart w:id="465" w:name="_Toc511635773"/>
      <w:bookmarkStart w:id="466" w:name="_Toc28220"/>
      <w:bookmarkStart w:id="467" w:name="_Toc25197"/>
      <w:bookmarkStart w:id="468" w:name="_Toc513038399"/>
      <w:bookmarkStart w:id="469" w:name="_Toc9409"/>
      <w:bookmarkStart w:id="470" w:name="_Toc476733990"/>
      <w:bookmarkStart w:id="471" w:name="_Toc23108"/>
      <w:bookmarkStart w:id="472" w:name="_Toc509902219"/>
      <w:bookmarkStart w:id="473" w:name="_Toc12711"/>
      <w:bookmarkStart w:id="474" w:name="_Toc3903922"/>
      <w:bookmarkStart w:id="475" w:name="_Toc13992"/>
      <w:bookmarkStart w:id="476" w:name="_Toc28612"/>
      <w:r>
        <w:t>3.6 工程照管与成品、半成品保护</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kinsoku/>
        <w:overflowPunct/>
        <w:topLinePunct w:val="0"/>
        <w:bidi w:val="0"/>
        <w:spacing w:line="300" w:lineRule="auto"/>
        <w:rPr>
          <w:u w:val="single"/>
        </w:rPr>
      </w:pPr>
      <w:r>
        <w:rPr>
          <w:rFonts w:hint="eastAsia"/>
        </w:rPr>
        <w:t>承包人负责照管工程及工程相关的材料、工程设备的起始时间：</w:t>
      </w:r>
      <w:r>
        <w:rPr>
          <w:rFonts w:hint="eastAsia"/>
          <w:u w:val="single"/>
        </w:rPr>
        <w:t>自发包人向承包人移交施工现场之日起，承包人应负责照管工程及工程相关的材料、工程设备，直到颁发工程接收证书之日止</w:t>
      </w:r>
      <w:r>
        <w:rPr>
          <w:rFonts w:hint="eastAsia"/>
        </w:rPr>
        <w:t>。</w:t>
      </w:r>
    </w:p>
    <w:p>
      <w:pPr>
        <w:pStyle w:val="6"/>
        <w:kinsoku/>
        <w:overflowPunct/>
        <w:topLinePunct w:val="0"/>
        <w:bidi w:val="0"/>
        <w:spacing w:line="300" w:lineRule="auto"/>
      </w:pPr>
      <w:bookmarkStart w:id="477" w:name="_Toc480985225"/>
      <w:bookmarkStart w:id="478" w:name="_Toc511649751"/>
      <w:bookmarkStart w:id="479" w:name="_Toc509902220"/>
      <w:bookmarkStart w:id="480" w:name="_Toc16783"/>
      <w:bookmarkStart w:id="481" w:name="_Toc511635774"/>
      <w:bookmarkStart w:id="482" w:name="_Toc764"/>
      <w:bookmarkStart w:id="483" w:name="_Toc18102"/>
      <w:bookmarkStart w:id="484" w:name="_Toc512604468"/>
      <w:bookmarkStart w:id="485" w:name="_Toc1118"/>
      <w:bookmarkStart w:id="486" w:name="_Toc513214622"/>
      <w:bookmarkStart w:id="487" w:name="_Toc2661"/>
      <w:bookmarkStart w:id="488" w:name="_Toc527029580"/>
      <w:bookmarkStart w:id="489" w:name="_Toc23947"/>
      <w:bookmarkStart w:id="490" w:name="_Toc513038400"/>
      <w:bookmarkStart w:id="491" w:name="_Toc513209236"/>
      <w:bookmarkStart w:id="492" w:name="_Toc490491812"/>
      <w:bookmarkStart w:id="493" w:name="_Toc16006"/>
      <w:bookmarkStart w:id="494" w:name="_Toc3903923"/>
      <w:bookmarkStart w:id="495" w:name="_Toc2886"/>
      <w:bookmarkStart w:id="496" w:name="_Toc204"/>
      <w:bookmarkStart w:id="497" w:name="_Toc476733991"/>
      <w:r>
        <w:t>3.7 履约担保</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kinsoku/>
        <w:overflowPunct/>
        <w:topLinePunct w:val="0"/>
        <w:bidi w:val="0"/>
        <w:spacing w:line="300" w:lineRule="auto"/>
      </w:pPr>
      <w:r>
        <w:rPr>
          <w:rFonts w:hint="eastAsia"/>
        </w:rPr>
        <w:t>承包人是否提供履约担保：</w:t>
      </w:r>
      <w:r>
        <w:rPr>
          <w:rFonts w:hint="eastAsia"/>
          <w:u w:val="single"/>
        </w:rPr>
        <w:t xml:space="preserve">提供  </w:t>
      </w:r>
    </w:p>
    <w:p>
      <w:pPr>
        <w:kinsoku/>
        <w:overflowPunct/>
        <w:topLinePunct w:val="0"/>
        <w:bidi w:val="0"/>
        <w:spacing w:line="300" w:lineRule="auto"/>
      </w:pPr>
      <w:r>
        <w:t>承包人提供履约担保的形式</w:t>
      </w:r>
      <w:r>
        <w:rPr>
          <w:rFonts w:hint="eastAsia"/>
        </w:rPr>
        <w:t>、金额及期限的</w:t>
      </w:r>
      <w:r>
        <w:t>：</w:t>
      </w:r>
      <w:r>
        <w:rPr>
          <w:rFonts w:hint="eastAsia" w:ascii="Arial" w:cs="Arial"/>
          <w:u w:val="single"/>
        </w:rPr>
        <w:t>在合同协议书签署前</w:t>
      </w:r>
      <w:r>
        <w:rPr>
          <w:rFonts w:ascii="Arial" w:hAnsi="Arial" w:cs="Arial"/>
          <w:u w:val="single"/>
        </w:rPr>
        <w:t>7·</w:t>
      </w:r>
      <w:r>
        <w:rPr>
          <w:rFonts w:hint="eastAsia" w:ascii="Arial" w:cs="Arial"/>
          <w:u w:val="single"/>
        </w:rPr>
        <w:t>天，中标人应以合同总价款的</w:t>
      </w:r>
      <w:r>
        <w:rPr>
          <w:rFonts w:ascii="Arial" w:cs="Arial"/>
          <w:u w:val="single"/>
        </w:rPr>
        <w:t>4.</w:t>
      </w:r>
      <w:r>
        <w:rPr>
          <w:rFonts w:ascii="Arial" w:hAnsi="Arial" w:cs="Arial"/>
          <w:u w:val="single"/>
        </w:rPr>
        <w:t>5%</w:t>
      </w:r>
      <w:r>
        <w:rPr>
          <w:rFonts w:hint="eastAsia" w:ascii="Arial" w:cs="Arial"/>
          <w:u w:val="single"/>
        </w:rPr>
        <w:t>作为履约担保（其中含质量保证金、工期保证金、安全文明施工保证金、人员到位保证金、防止拖欠民工工资保证金等），以银行转账、转帐支票、银行汇票的形式交纳至发包人指定帐户。</w:t>
      </w:r>
      <w:r>
        <w:rPr>
          <w:rFonts w:hint="eastAsia" w:ascii="宋体" w:hAnsi="宋体" w:cs="仿宋_GB2312"/>
          <w:szCs w:val="21"/>
          <w:u w:val="single"/>
        </w:rPr>
        <w:t>待工程竣工验收达到合格并取得经监理工程师确认的完整的工程竣工验收资料后，予以全部退还。</w:t>
      </w:r>
    </w:p>
    <w:p>
      <w:pPr>
        <w:pStyle w:val="5"/>
        <w:kinsoku/>
        <w:overflowPunct/>
        <w:topLinePunct w:val="0"/>
        <w:bidi w:val="0"/>
        <w:spacing w:line="300" w:lineRule="auto"/>
      </w:pPr>
      <w:bookmarkStart w:id="498" w:name="_Toc527029581"/>
      <w:bookmarkStart w:id="499" w:name="_Toc511635775"/>
      <w:bookmarkStart w:id="500" w:name="_Toc22355"/>
      <w:bookmarkStart w:id="501" w:name="_Toc511649752"/>
      <w:bookmarkStart w:id="502" w:name="_Toc8277"/>
      <w:bookmarkStart w:id="503" w:name="_Toc7660"/>
      <w:bookmarkStart w:id="504" w:name="_Toc513038401"/>
      <w:bookmarkStart w:id="505" w:name="_Toc509902221"/>
      <w:bookmarkStart w:id="506" w:name="_Toc421260791"/>
      <w:bookmarkStart w:id="507" w:name="_Toc490491813"/>
      <w:bookmarkStart w:id="508" w:name="_Toc480985226"/>
      <w:bookmarkStart w:id="509" w:name="_Toc512604469"/>
      <w:bookmarkStart w:id="510" w:name="_Toc474503069"/>
      <w:bookmarkStart w:id="511" w:name="_Toc421287827"/>
      <w:bookmarkStart w:id="512" w:name="_Toc6059"/>
      <w:bookmarkStart w:id="513" w:name="_Toc513214623"/>
      <w:bookmarkStart w:id="514" w:name="_Toc6019"/>
      <w:bookmarkStart w:id="515" w:name="_Toc476733992"/>
      <w:bookmarkStart w:id="516" w:name="_Toc24136"/>
      <w:bookmarkStart w:id="517" w:name="_Toc3903924"/>
      <w:bookmarkStart w:id="518" w:name="_Toc30318"/>
      <w:bookmarkStart w:id="519" w:name="_Toc10490"/>
      <w:bookmarkStart w:id="520" w:name="_Toc7969"/>
      <w:bookmarkStart w:id="521" w:name="_Toc513209237"/>
      <w:r>
        <w:rPr>
          <w:rFonts w:hint="eastAsia"/>
        </w:rPr>
        <w:t>4. 监理人</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6"/>
        <w:kinsoku/>
        <w:overflowPunct/>
        <w:topLinePunct w:val="0"/>
        <w:bidi w:val="0"/>
        <w:spacing w:line="300" w:lineRule="auto"/>
      </w:pPr>
      <w:bookmarkStart w:id="522" w:name="_Toc511635776"/>
      <w:bookmarkStart w:id="523" w:name="_Toc513038402"/>
      <w:bookmarkStart w:id="524" w:name="_Toc21419"/>
      <w:bookmarkStart w:id="525" w:name="_Toc18940"/>
      <w:bookmarkStart w:id="526" w:name="_Toc476733993"/>
      <w:bookmarkStart w:id="527" w:name="_Toc513214624"/>
      <w:bookmarkStart w:id="528" w:name="_Toc511649753"/>
      <w:bookmarkStart w:id="529" w:name="_Toc22443"/>
      <w:bookmarkStart w:id="530" w:name="_Toc512604470"/>
      <w:bookmarkStart w:id="531" w:name="_Toc513209238"/>
      <w:bookmarkStart w:id="532" w:name="_Toc31062"/>
      <w:bookmarkStart w:id="533" w:name="_Toc480985227"/>
      <w:bookmarkStart w:id="534" w:name="_Toc509902222"/>
      <w:bookmarkStart w:id="535" w:name="_Toc11943"/>
      <w:bookmarkStart w:id="536" w:name="_Toc490491814"/>
      <w:bookmarkStart w:id="537" w:name="_Toc603"/>
      <w:bookmarkStart w:id="538" w:name="_Toc17272"/>
      <w:bookmarkStart w:id="539" w:name="_Toc527029582"/>
      <w:bookmarkStart w:id="540" w:name="_Toc3903925"/>
      <w:bookmarkStart w:id="541" w:name="_Toc7244"/>
      <w:bookmarkStart w:id="542" w:name="_Toc23466"/>
      <w:r>
        <w:rPr>
          <w:rFonts w:hint="eastAsia"/>
        </w:rPr>
        <w:t>4.1监理人的一般规定</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kinsoku/>
        <w:overflowPunct/>
        <w:topLinePunct w:val="0"/>
        <w:bidi w:val="0"/>
        <w:spacing w:line="300" w:lineRule="auto"/>
      </w:pPr>
      <w:r>
        <w:rPr>
          <w:rFonts w:hint="eastAsia"/>
        </w:rPr>
        <w:t>关于监理人的监理内容：</w:t>
      </w:r>
      <w:r>
        <w:rPr>
          <w:rFonts w:hint="eastAsia"/>
          <w:u w:val="single"/>
        </w:rPr>
        <w:t xml:space="preserve">照发包人与监理人签订的合同，依照合同和有关法律、法规、负责和主持整个项目的监理工作，在合同规定范围内，对工程项目施工进行全过程监理（包括工程质量、工期进度、安全文明施工管理、工程量与工程价款的审核等）  </w:t>
      </w:r>
      <w:r>
        <w:rPr>
          <w:rFonts w:hint="eastAsia"/>
        </w:rPr>
        <w:t>。</w:t>
      </w:r>
    </w:p>
    <w:p>
      <w:pPr>
        <w:kinsoku/>
        <w:overflowPunct/>
        <w:topLinePunct w:val="0"/>
        <w:bidi w:val="0"/>
        <w:spacing w:line="300" w:lineRule="auto"/>
      </w:pPr>
      <w:r>
        <w:rPr>
          <w:rFonts w:hint="eastAsia"/>
        </w:rPr>
        <w:t>关于监理人的监理权限：</w:t>
      </w:r>
      <w:r>
        <w:rPr>
          <w:rFonts w:hint="eastAsia"/>
          <w:u w:val="single"/>
        </w:rPr>
        <w:t xml:space="preserve">执行《建设工程监理规范GB50319-2013》规定的总监理工程师应履行的职责，进行工程质量监督、进度控制、安全管理、核实工程量工程款等工作  </w:t>
      </w:r>
      <w:r>
        <w:rPr>
          <w:rFonts w:hint="eastAsia"/>
        </w:rPr>
        <w:t>。</w:t>
      </w:r>
    </w:p>
    <w:p>
      <w:pPr>
        <w:kinsoku/>
        <w:overflowPunct/>
        <w:topLinePunct w:val="0"/>
        <w:bidi w:val="0"/>
        <w:spacing w:line="300" w:lineRule="auto"/>
      </w:pPr>
      <w:r>
        <w:rPr>
          <w:rFonts w:hint="eastAsia"/>
        </w:rPr>
        <w:t>取得发包人批准才能行使的职权：</w:t>
      </w:r>
      <w:r>
        <w:rPr>
          <w:rFonts w:hint="eastAsia"/>
          <w:u w:val="single"/>
        </w:rPr>
        <w:t xml:space="preserve">（1）变更设计；（2）超清单范围的计量；（3）增加工程费用的施工方案；（4）工期延长；（5）索赔事项；（6）开、停工令；（7）其他发包人认为需要批准才能行使的职权  </w:t>
      </w:r>
      <w:r>
        <w:rPr>
          <w:rFonts w:hint="eastAsia"/>
        </w:rPr>
        <w:t>。</w:t>
      </w:r>
    </w:p>
    <w:p>
      <w:pPr>
        <w:kinsoku/>
        <w:overflowPunct/>
        <w:topLinePunct w:val="0"/>
        <w:bidi w:val="0"/>
        <w:spacing w:line="300" w:lineRule="auto"/>
      </w:pPr>
      <w:r>
        <w:rPr>
          <w:rFonts w:hint="eastAsia"/>
        </w:rPr>
        <w:t>关于监理人在施工现场的办公场所、生活场所的提供和费用承担的约定：</w:t>
      </w:r>
      <w:r>
        <w:rPr>
          <w:rFonts w:hint="eastAsia" w:ascii="Arial" w:cs="Arial"/>
          <w:u w:val="single"/>
        </w:rPr>
        <w:t>如需提供办公场所、生活场所等基本设施，所发生的费用由承包人承担</w:t>
      </w:r>
      <w:r>
        <w:rPr>
          <w:rFonts w:ascii="Arial" w:hAnsi="Arial" w:cs="Arial"/>
          <w:u w:val="single"/>
        </w:rPr>
        <w:t xml:space="preserve">  </w:t>
      </w:r>
      <w:r>
        <w:rPr>
          <w:rFonts w:hint="eastAsia" w:ascii="Arial" w:cs="Arial"/>
        </w:rPr>
        <w:t>。</w:t>
      </w:r>
    </w:p>
    <w:p>
      <w:pPr>
        <w:pStyle w:val="6"/>
        <w:kinsoku/>
        <w:overflowPunct/>
        <w:topLinePunct w:val="0"/>
        <w:bidi w:val="0"/>
        <w:spacing w:line="300" w:lineRule="auto"/>
      </w:pPr>
      <w:bookmarkStart w:id="543" w:name="_Toc24730"/>
      <w:bookmarkStart w:id="544" w:name="_Toc8980"/>
      <w:bookmarkStart w:id="545" w:name="_Toc527029583"/>
      <w:bookmarkStart w:id="546" w:name="_Toc513209239"/>
      <w:bookmarkStart w:id="547" w:name="_Toc9645"/>
      <w:bookmarkStart w:id="548" w:name="_Toc513038403"/>
      <w:bookmarkStart w:id="549" w:name="_Toc16308"/>
      <w:bookmarkStart w:id="550" w:name="_Toc512604471"/>
      <w:bookmarkStart w:id="551" w:name="_Toc511649754"/>
      <w:bookmarkStart w:id="552" w:name="_Toc511635777"/>
      <w:bookmarkStart w:id="553" w:name="_Toc490491815"/>
      <w:bookmarkStart w:id="554" w:name="_Toc31694"/>
      <w:bookmarkStart w:id="555" w:name="_Toc8984"/>
      <w:bookmarkStart w:id="556" w:name="_Toc509902223"/>
      <w:bookmarkStart w:id="557" w:name="_Toc476733994"/>
      <w:bookmarkStart w:id="558" w:name="_Toc27800"/>
      <w:bookmarkStart w:id="559" w:name="_Toc405"/>
      <w:bookmarkStart w:id="560" w:name="_Toc513214625"/>
      <w:bookmarkStart w:id="561" w:name="_Toc3903926"/>
      <w:bookmarkStart w:id="562" w:name="_Toc27130"/>
      <w:bookmarkStart w:id="563" w:name="_Toc480985228"/>
      <w:r>
        <w:t>4.2 监理人员</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kinsoku/>
        <w:overflowPunct/>
        <w:topLinePunct w:val="0"/>
        <w:bidi w:val="0"/>
        <w:spacing w:line="300" w:lineRule="auto"/>
      </w:pPr>
      <w:r>
        <w:t>总监理工程师：</w:t>
      </w:r>
    </w:p>
    <w:p>
      <w:pPr>
        <w:kinsoku/>
        <w:overflowPunct/>
        <w:topLinePunct w:val="0"/>
        <w:bidi w:val="0"/>
        <w:spacing w:line="300" w:lineRule="auto"/>
      </w:pPr>
      <w:r>
        <w:t>姓    名：</w:t>
      </w:r>
      <w:r>
        <w:rPr>
          <w:rFonts w:hint="eastAsia" w:cs="宋体"/>
          <w:u w:val="single"/>
        </w:rPr>
        <w:t></w:t>
      </w:r>
      <w:r>
        <w:rPr>
          <w:rFonts w:hint="eastAsia"/>
          <w:u w:val="single"/>
        </w:rPr>
        <w:t xml:space="preserve">  </w:t>
      </w:r>
    </w:p>
    <w:p>
      <w:pPr>
        <w:kinsoku/>
        <w:overflowPunct/>
        <w:topLinePunct w:val="0"/>
        <w:bidi w:val="0"/>
        <w:spacing w:line="300" w:lineRule="auto"/>
      </w:pPr>
      <w:r>
        <w:t>职    务：</w:t>
      </w:r>
      <w:r>
        <w:rPr>
          <w:rFonts w:hint="eastAsia" w:cs="宋体"/>
          <w:u w:val="single"/>
        </w:rPr>
        <w:t></w:t>
      </w:r>
    </w:p>
    <w:p>
      <w:pPr>
        <w:kinsoku/>
        <w:overflowPunct/>
        <w:topLinePunct w:val="0"/>
        <w:bidi w:val="0"/>
        <w:spacing w:line="300" w:lineRule="auto"/>
      </w:pPr>
      <w:r>
        <w:t>监理工程师执业资格证书号：</w:t>
      </w:r>
      <w:r>
        <w:rPr>
          <w:rFonts w:hint="eastAsia" w:cs="宋体"/>
          <w:u w:val="single"/>
        </w:rPr>
        <w:t></w:t>
      </w:r>
      <w:r>
        <w:rPr>
          <w:rFonts w:hint="eastAsia"/>
          <w:u w:val="single"/>
        </w:rPr>
        <w:t xml:space="preserve">            </w:t>
      </w:r>
    </w:p>
    <w:p>
      <w:pPr>
        <w:kinsoku/>
        <w:overflowPunct/>
        <w:topLinePunct w:val="0"/>
        <w:bidi w:val="0"/>
        <w:spacing w:line="300" w:lineRule="auto"/>
      </w:pPr>
      <w:r>
        <w:t>联系电话：</w:t>
      </w:r>
      <w:r>
        <w:rPr>
          <w:rFonts w:hint="eastAsia" w:cs="宋体"/>
          <w:u w:val="single"/>
        </w:rPr>
        <w:t></w:t>
      </w:r>
      <w:r>
        <w:rPr>
          <w:rFonts w:hint="eastAsia"/>
          <w:u w:val="single"/>
        </w:rPr>
        <w:t xml:space="preserve">            </w:t>
      </w:r>
    </w:p>
    <w:p>
      <w:pPr>
        <w:kinsoku/>
        <w:overflowPunct/>
        <w:topLinePunct w:val="0"/>
        <w:bidi w:val="0"/>
        <w:spacing w:line="300" w:lineRule="auto"/>
      </w:pPr>
      <w:r>
        <w:t>电子信箱：</w:t>
      </w:r>
      <w:r>
        <w:rPr>
          <w:rFonts w:hint="eastAsia" w:cs="宋体"/>
          <w:u w:val="single"/>
        </w:rPr>
        <w:t></w:t>
      </w:r>
      <w:r>
        <w:rPr>
          <w:rFonts w:hint="eastAsia"/>
          <w:u w:val="single"/>
        </w:rPr>
        <w:t xml:space="preserve">  </w:t>
      </w:r>
      <w:r>
        <w:rPr>
          <w:rFonts w:hint="eastAsia" w:cs="宋体"/>
          <w:u w:val="single"/>
        </w:rPr>
        <w:t></w:t>
      </w:r>
      <w:r>
        <w:rPr>
          <w:rFonts w:hint="eastAsia"/>
          <w:u w:val="single"/>
        </w:rPr>
        <w:t xml:space="preserve">          </w:t>
      </w:r>
    </w:p>
    <w:p>
      <w:pPr>
        <w:kinsoku/>
        <w:overflowPunct/>
        <w:topLinePunct w:val="0"/>
        <w:bidi w:val="0"/>
        <w:spacing w:line="300" w:lineRule="auto"/>
      </w:pPr>
      <w:r>
        <w:t>通信地址：</w:t>
      </w:r>
      <w:r>
        <w:rPr>
          <w:rFonts w:hint="eastAsia" w:cs="宋体"/>
          <w:u w:val="single"/>
        </w:rPr>
        <w:t></w:t>
      </w:r>
      <w:r>
        <w:rPr>
          <w:rFonts w:hint="eastAsia"/>
          <w:u w:val="single"/>
        </w:rPr>
        <w:t xml:space="preserve">  </w:t>
      </w:r>
      <w:r>
        <w:rPr>
          <w:rFonts w:hint="eastAsia" w:cs="宋体"/>
          <w:u w:val="single"/>
        </w:rPr>
        <w:t></w:t>
      </w:r>
      <w:r>
        <w:rPr>
          <w:rFonts w:hint="eastAsia"/>
          <w:u w:val="single"/>
        </w:rPr>
        <w:t xml:space="preserve">              </w:t>
      </w:r>
    </w:p>
    <w:p>
      <w:pPr>
        <w:kinsoku/>
        <w:overflowPunct/>
        <w:topLinePunct w:val="0"/>
        <w:bidi w:val="0"/>
        <w:spacing w:line="300" w:lineRule="auto"/>
      </w:pPr>
      <w:r>
        <w:t>关于监理人的其他约定：</w:t>
      </w:r>
      <w:r>
        <w:rPr>
          <w:rFonts w:hint="eastAsia" w:cs="宋体"/>
          <w:u w:val="single"/>
        </w:rPr>
        <w:t></w:t>
      </w:r>
      <w:r>
        <w:rPr>
          <w:rFonts w:hint="eastAsia"/>
          <w:u w:val="single"/>
        </w:rPr>
        <w:t xml:space="preserve">                </w:t>
      </w:r>
    </w:p>
    <w:p>
      <w:pPr>
        <w:pStyle w:val="6"/>
        <w:kinsoku/>
        <w:overflowPunct/>
        <w:topLinePunct w:val="0"/>
        <w:bidi w:val="0"/>
        <w:spacing w:line="300" w:lineRule="auto"/>
      </w:pPr>
      <w:bookmarkStart w:id="564" w:name="_Toc9974"/>
      <w:bookmarkStart w:id="565" w:name="_Toc480985229"/>
      <w:bookmarkStart w:id="566" w:name="_Toc490491816"/>
      <w:bookmarkStart w:id="567" w:name="_Toc527029584"/>
      <w:bookmarkStart w:id="568" w:name="_Toc511649755"/>
      <w:bookmarkStart w:id="569" w:name="_Toc1796"/>
      <w:bookmarkStart w:id="570" w:name="_Toc513038404"/>
      <w:bookmarkStart w:id="571" w:name="_Toc513214626"/>
      <w:bookmarkStart w:id="572" w:name="_Toc4525"/>
      <w:bookmarkStart w:id="573" w:name="_Toc509902224"/>
      <w:bookmarkStart w:id="574" w:name="_Toc30581"/>
      <w:bookmarkStart w:id="575" w:name="_Toc512604472"/>
      <w:bookmarkStart w:id="576" w:name="_Toc3903927"/>
      <w:bookmarkStart w:id="577" w:name="_Toc513209240"/>
      <w:bookmarkStart w:id="578" w:name="_Toc273"/>
      <w:bookmarkStart w:id="579" w:name="_Toc11584"/>
      <w:bookmarkStart w:id="580" w:name="_Toc23187"/>
      <w:bookmarkStart w:id="581" w:name="_Toc511635778"/>
      <w:bookmarkStart w:id="582" w:name="_Toc19992"/>
      <w:bookmarkStart w:id="583" w:name="_Toc476733995"/>
      <w:bookmarkStart w:id="584" w:name="_Toc17263"/>
      <w:r>
        <w:t>4.4 商定或确定</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kinsoku/>
        <w:overflowPunct/>
        <w:topLinePunct w:val="0"/>
        <w:bidi w:val="0"/>
        <w:spacing w:line="300" w:lineRule="auto"/>
      </w:pPr>
      <w:r>
        <w:rPr>
          <w:rFonts w:hint="eastAsia"/>
        </w:rPr>
        <w:t>在发包人和承包人不能通过协商达成一致意见时，发包人授权监理人对以下事项进行确定：</w:t>
      </w:r>
      <w:r>
        <w:rPr>
          <w:rFonts w:hint="eastAsia"/>
          <w:u w:val="single"/>
        </w:rPr>
        <w:t xml:space="preserve">  无  </w:t>
      </w:r>
      <w:r>
        <w:rPr>
          <w:rFonts w:hint="eastAsia"/>
        </w:rPr>
        <w:t>。</w:t>
      </w:r>
    </w:p>
    <w:p>
      <w:pPr>
        <w:pStyle w:val="5"/>
        <w:kinsoku/>
        <w:overflowPunct/>
        <w:topLinePunct w:val="0"/>
        <w:bidi w:val="0"/>
        <w:spacing w:line="300" w:lineRule="auto"/>
      </w:pPr>
      <w:bookmarkStart w:id="585" w:name="_Toc476733996"/>
      <w:bookmarkStart w:id="586" w:name="_Toc14291"/>
      <w:bookmarkStart w:id="587" w:name="_Toc513209241"/>
      <w:bookmarkStart w:id="588" w:name="_Toc480985230"/>
      <w:bookmarkStart w:id="589" w:name="_Toc512604473"/>
      <w:bookmarkStart w:id="590" w:name="_Toc4186"/>
      <w:bookmarkStart w:id="591" w:name="_Toc513038405"/>
      <w:bookmarkStart w:id="592" w:name="_Toc17825"/>
      <w:bookmarkStart w:id="593" w:name="_Toc20623"/>
      <w:bookmarkStart w:id="594" w:name="_Toc421287828"/>
      <w:bookmarkStart w:id="595" w:name="_Toc474503070"/>
      <w:bookmarkStart w:id="596" w:name="_Toc513214627"/>
      <w:bookmarkStart w:id="597" w:name="_Toc14557"/>
      <w:bookmarkStart w:id="598" w:name="_Toc421260792"/>
      <w:bookmarkStart w:id="599" w:name="_Toc15531"/>
      <w:bookmarkStart w:id="600" w:name="_Toc23517"/>
      <w:bookmarkStart w:id="601" w:name="_Toc509902225"/>
      <w:bookmarkStart w:id="602" w:name="_Toc17185"/>
      <w:bookmarkStart w:id="603" w:name="_Toc490491817"/>
      <w:bookmarkStart w:id="604" w:name="_Toc18804"/>
      <w:bookmarkStart w:id="605" w:name="_Toc527029585"/>
      <w:bookmarkStart w:id="606" w:name="_Toc511649756"/>
      <w:bookmarkStart w:id="607" w:name="_Toc3903928"/>
      <w:r>
        <w:t>5. 工程质量</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6"/>
        <w:kinsoku/>
        <w:overflowPunct/>
        <w:topLinePunct w:val="0"/>
        <w:bidi w:val="0"/>
        <w:spacing w:line="300" w:lineRule="auto"/>
      </w:pPr>
      <w:bookmarkStart w:id="608" w:name="_Toc32022"/>
      <w:bookmarkStart w:id="609" w:name="_Toc513209242"/>
      <w:bookmarkStart w:id="610" w:name="_Toc480985231"/>
      <w:bookmarkStart w:id="611" w:name="_Toc32383"/>
      <w:bookmarkStart w:id="612" w:name="_Toc490491818"/>
      <w:bookmarkStart w:id="613" w:name="_Toc509902226"/>
      <w:bookmarkStart w:id="614" w:name="_Toc8597"/>
      <w:bookmarkStart w:id="615" w:name="_Toc29243"/>
      <w:bookmarkStart w:id="616" w:name="_Toc18900"/>
      <w:bookmarkStart w:id="617" w:name="_Toc17576"/>
      <w:bookmarkStart w:id="618" w:name="_Toc512604474"/>
      <w:bookmarkStart w:id="619" w:name="_Toc511649757"/>
      <w:bookmarkStart w:id="620" w:name="_Toc16943"/>
      <w:bookmarkStart w:id="621" w:name="_Toc527029586"/>
      <w:bookmarkStart w:id="622" w:name="_Toc513038406"/>
      <w:bookmarkStart w:id="623" w:name="_Toc15101"/>
      <w:bookmarkStart w:id="624" w:name="_Toc8795"/>
      <w:bookmarkStart w:id="625" w:name="_Toc476733997"/>
      <w:bookmarkStart w:id="626" w:name="_Toc3903929"/>
      <w:bookmarkStart w:id="627" w:name="_Toc513214628"/>
      <w:r>
        <w:t>5.1 质量要求</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kinsoku/>
        <w:overflowPunct/>
        <w:topLinePunct w:val="0"/>
        <w:bidi w:val="0"/>
        <w:spacing w:line="300" w:lineRule="auto"/>
        <w:rPr>
          <w:u w:val="single"/>
        </w:rPr>
      </w:pPr>
      <w:r>
        <w:t>5.1.1 特殊质量标准和要求：</w:t>
      </w:r>
      <w:r>
        <w:rPr>
          <w:rFonts w:hint="eastAsia" w:ascii="Arial" w:cs="Arial"/>
          <w:b/>
          <w:szCs w:val="21"/>
          <w:u w:val="single"/>
        </w:rPr>
        <w:t>质量要求合格</w:t>
      </w:r>
      <w:r>
        <w:rPr>
          <w:rFonts w:ascii="Arial" w:hAnsi="Arial" w:cs="Arial"/>
          <w:u w:val="single"/>
        </w:rPr>
        <w:t xml:space="preserve">  </w:t>
      </w:r>
      <w:r>
        <w:rPr>
          <w:rFonts w:hint="eastAsia"/>
        </w:rPr>
        <w:t>。</w:t>
      </w:r>
    </w:p>
    <w:p>
      <w:pPr>
        <w:kinsoku/>
        <w:overflowPunct/>
        <w:topLinePunct w:val="0"/>
        <w:bidi w:val="0"/>
        <w:spacing w:line="300" w:lineRule="auto"/>
        <w:rPr>
          <w:u w:val="single"/>
        </w:rPr>
      </w:pPr>
      <w:r>
        <w:t>关于工程奖项的约定：</w:t>
      </w:r>
      <w:r>
        <w:rPr>
          <w:rFonts w:hint="eastAsia"/>
          <w:u w:val="single"/>
        </w:rPr>
        <w:t xml:space="preserve">无  </w:t>
      </w:r>
      <w:r>
        <w:rPr>
          <w:rFonts w:hint="eastAsia"/>
        </w:rPr>
        <w:t>。</w:t>
      </w:r>
    </w:p>
    <w:p>
      <w:pPr>
        <w:pStyle w:val="6"/>
        <w:kinsoku/>
        <w:overflowPunct/>
        <w:topLinePunct w:val="0"/>
        <w:bidi w:val="0"/>
        <w:spacing w:line="300" w:lineRule="auto"/>
      </w:pPr>
      <w:bookmarkStart w:id="628" w:name="_Toc511649758"/>
      <w:bookmarkStart w:id="629" w:name="_Toc527029587"/>
      <w:bookmarkStart w:id="630" w:name="_Toc509902227"/>
      <w:bookmarkStart w:id="631" w:name="_Toc15427"/>
      <w:bookmarkStart w:id="632" w:name="_Toc3903930"/>
      <w:bookmarkStart w:id="633" w:name="_Toc10827"/>
      <w:bookmarkStart w:id="634" w:name="_Toc513214629"/>
      <w:bookmarkStart w:id="635" w:name="_Toc490491819"/>
      <w:bookmarkStart w:id="636" w:name="_Toc27696"/>
      <w:bookmarkStart w:id="637" w:name="_Toc513038407"/>
      <w:bookmarkStart w:id="638" w:name="_Toc512604475"/>
      <w:bookmarkStart w:id="639" w:name="_Toc23357"/>
      <w:bookmarkStart w:id="640" w:name="_Toc29173"/>
      <w:bookmarkStart w:id="641" w:name="_Toc513209243"/>
      <w:bookmarkStart w:id="642" w:name="_Toc20840"/>
      <w:bookmarkStart w:id="643" w:name="_Toc476733998"/>
      <w:bookmarkStart w:id="644" w:name="_Toc480985232"/>
      <w:bookmarkStart w:id="645" w:name="_Toc6764"/>
      <w:bookmarkStart w:id="646" w:name="_Toc15319"/>
      <w:bookmarkStart w:id="647" w:name="_Toc29192"/>
      <w:r>
        <w:t>5.3 隐蔽工程检查</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kinsoku/>
        <w:overflowPunct/>
        <w:topLinePunct w:val="0"/>
        <w:bidi w:val="0"/>
        <w:spacing w:line="300" w:lineRule="auto"/>
      </w:pPr>
      <w:r>
        <w:rPr>
          <w:rFonts w:hint="eastAsia"/>
        </w:rPr>
        <w:t>5.3.2承包人提前通知监理人隐蔽工程检查的期限的约定：</w:t>
      </w:r>
      <w:r>
        <w:rPr>
          <w:rFonts w:hint="eastAsia"/>
          <w:u w:val="single"/>
        </w:rPr>
        <w:t xml:space="preserve">隐蔽或中间验收，承包单位进行自检合格后，书面报告监理人，承包单位准备验收记录，验收合格后，监理人签字；验收不合格的，承包单位在限定的时间内修改，重新验收  </w:t>
      </w:r>
      <w:r>
        <w:rPr>
          <w:rFonts w:hint="eastAsia"/>
        </w:rPr>
        <w:t>。</w:t>
      </w:r>
    </w:p>
    <w:p>
      <w:pPr>
        <w:kinsoku/>
        <w:overflowPunct/>
        <w:topLinePunct w:val="0"/>
        <w:bidi w:val="0"/>
        <w:spacing w:line="300" w:lineRule="auto"/>
      </w:pPr>
      <w:r>
        <w:rPr>
          <w:rFonts w:hint="eastAsia"/>
        </w:rPr>
        <w:t>监理人不能按时进行检查时，应提前</w:t>
      </w:r>
      <w:r>
        <w:rPr>
          <w:rFonts w:hint="eastAsia"/>
          <w:u w:val="single"/>
        </w:rPr>
        <w:t xml:space="preserve"> 24 </w:t>
      </w:r>
      <w:r>
        <w:rPr>
          <w:rFonts w:hint="eastAsia"/>
        </w:rPr>
        <w:t>小时提交书面延期要求。</w:t>
      </w:r>
    </w:p>
    <w:p>
      <w:pPr>
        <w:kinsoku/>
        <w:overflowPunct/>
        <w:topLinePunct w:val="0"/>
        <w:bidi w:val="0"/>
        <w:spacing w:line="300" w:lineRule="auto"/>
      </w:pPr>
      <w:r>
        <w:rPr>
          <w:rFonts w:hint="eastAsia"/>
        </w:rPr>
        <w:t>关于延期最长不得超过：</w:t>
      </w:r>
      <w:r>
        <w:rPr>
          <w:rFonts w:hint="eastAsia"/>
          <w:u w:val="single"/>
        </w:rPr>
        <w:t xml:space="preserve"> 48 </w:t>
      </w:r>
      <w:r>
        <w:rPr>
          <w:rFonts w:hint="eastAsia"/>
        </w:rPr>
        <w:t>小时。</w:t>
      </w:r>
    </w:p>
    <w:p>
      <w:pPr>
        <w:pStyle w:val="5"/>
        <w:kinsoku/>
        <w:overflowPunct/>
        <w:topLinePunct w:val="0"/>
        <w:bidi w:val="0"/>
        <w:spacing w:line="300" w:lineRule="auto"/>
      </w:pPr>
      <w:bookmarkStart w:id="648" w:name="_Toc490491820"/>
      <w:bookmarkStart w:id="649" w:name="_Toc474503071"/>
      <w:bookmarkStart w:id="650" w:name="_Toc421260793"/>
      <w:bookmarkStart w:id="651" w:name="_Toc527029588"/>
      <w:bookmarkStart w:id="652" w:name="_Toc421287829"/>
      <w:bookmarkStart w:id="653" w:name="_Toc476733999"/>
      <w:bookmarkStart w:id="654" w:name="_Toc509902228"/>
      <w:bookmarkStart w:id="655" w:name="_Toc6787"/>
      <w:bookmarkStart w:id="656" w:name="_Toc511649759"/>
      <w:bookmarkStart w:id="657" w:name="_Toc513214630"/>
      <w:bookmarkStart w:id="658" w:name="_Toc512604476"/>
      <w:bookmarkStart w:id="659" w:name="_Toc16093"/>
      <w:bookmarkStart w:id="660" w:name="_Toc7063"/>
      <w:bookmarkStart w:id="661" w:name="_Toc21527"/>
      <w:bookmarkStart w:id="662" w:name="_Toc15859"/>
      <w:bookmarkStart w:id="663" w:name="_Toc7185"/>
      <w:bookmarkStart w:id="664" w:name="_Toc9798"/>
      <w:bookmarkStart w:id="665" w:name="_Toc513209244"/>
      <w:bookmarkStart w:id="666" w:name="_Toc18055"/>
      <w:bookmarkStart w:id="667" w:name="_Toc11000"/>
      <w:bookmarkStart w:id="668" w:name="_Toc513038408"/>
      <w:bookmarkStart w:id="669" w:name="_Toc480985233"/>
      <w:bookmarkStart w:id="670" w:name="_Toc3903931"/>
      <w:r>
        <w:t>6. 安全文明施工与环境保护</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6"/>
        <w:kinsoku/>
        <w:overflowPunct/>
        <w:topLinePunct w:val="0"/>
        <w:bidi w:val="0"/>
        <w:spacing w:line="300" w:lineRule="auto"/>
      </w:pPr>
      <w:bookmarkStart w:id="671" w:name="_Toc527029589"/>
      <w:bookmarkStart w:id="672" w:name="_Toc513214631"/>
      <w:bookmarkStart w:id="673" w:name="_Toc509902229"/>
      <w:bookmarkStart w:id="674" w:name="_Toc480985234"/>
      <w:bookmarkStart w:id="675" w:name="_Toc24026"/>
      <w:bookmarkStart w:id="676" w:name="_Toc16939"/>
      <w:bookmarkStart w:id="677" w:name="_Toc513038409"/>
      <w:bookmarkStart w:id="678" w:name="_Toc29794"/>
      <w:bookmarkStart w:id="679" w:name="_Toc3903932"/>
      <w:bookmarkStart w:id="680" w:name="_Toc5378"/>
      <w:bookmarkStart w:id="681" w:name="_Toc18107"/>
      <w:bookmarkStart w:id="682" w:name="_Toc490491821"/>
      <w:bookmarkStart w:id="683" w:name="_Toc511649760"/>
      <w:bookmarkStart w:id="684" w:name="_Toc27605"/>
      <w:bookmarkStart w:id="685" w:name="_Toc21222"/>
      <w:bookmarkStart w:id="686" w:name="_Toc223"/>
      <w:bookmarkStart w:id="687" w:name="_Toc2377"/>
      <w:bookmarkStart w:id="688" w:name="_Toc513209245"/>
      <w:bookmarkStart w:id="689" w:name="_Toc476734000"/>
      <w:bookmarkStart w:id="690" w:name="_Toc512604477"/>
      <w:r>
        <w:rPr>
          <w:rFonts w:hint="eastAsia"/>
        </w:rPr>
        <w:t>6.1安全文明施工</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kinsoku/>
        <w:overflowPunct/>
        <w:topLinePunct w:val="0"/>
        <w:bidi w:val="0"/>
        <w:spacing w:line="300" w:lineRule="auto"/>
      </w:pPr>
      <w:r>
        <w:rPr>
          <w:rFonts w:hint="eastAsia"/>
        </w:rPr>
        <w:t>6.1.1 项目安全生产的达标目标及相应事项的约定：</w:t>
      </w:r>
    </w:p>
    <w:p>
      <w:pPr>
        <w:kinsoku/>
        <w:overflowPunct/>
        <w:topLinePunct w:val="0"/>
        <w:bidi w:val="0"/>
        <w:spacing w:line="300" w:lineRule="auto"/>
        <w:rPr>
          <w:u w:val="single"/>
        </w:rPr>
      </w:pPr>
      <w:r>
        <w:rPr>
          <w:rFonts w:hint="eastAsia"/>
          <w:u w:val="single"/>
        </w:rPr>
        <w:t>（1）承包人在施工期间，应严格执行国家建设部、浙江省建设厅和本市有关建设工程安全、文明施工的规定（特别是现行《建筑施工安全检查标准》、《国家建设工程安全生产管理条例》等）；如因承包人管理不善，受到政府有关部门处罚或责令停工整改等，其发生的所有的费用和造成的损失均由承包人自行承担，工期不予顺延，且发包人保留因此而缓付工程进度款的权利。</w:t>
      </w:r>
    </w:p>
    <w:p>
      <w:pPr>
        <w:kinsoku/>
        <w:overflowPunct/>
        <w:topLinePunct w:val="0"/>
        <w:bidi w:val="0"/>
        <w:spacing w:line="300" w:lineRule="auto"/>
        <w:rPr>
          <w:u w:val="single"/>
        </w:rPr>
      </w:pPr>
      <w:r>
        <w:rPr>
          <w:rFonts w:hint="eastAsia"/>
          <w:u w:val="single"/>
        </w:rPr>
        <w:t>（2）承包人应对进入施工现场的施工人员进行安全文明施工教育，配备必要的劳动保护用具，保证工程的施工安全和人身安全。</w:t>
      </w:r>
    </w:p>
    <w:p>
      <w:pPr>
        <w:kinsoku/>
        <w:overflowPunct/>
        <w:topLinePunct w:val="0"/>
        <w:bidi w:val="0"/>
        <w:spacing w:line="300" w:lineRule="auto"/>
        <w:rPr>
          <w:u w:val="single"/>
        </w:rPr>
      </w:pPr>
      <w:r>
        <w:rPr>
          <w:rFonts w:hint="eastAsia"/>
          <w:u w:val="single"/>
        </w:rPr>
        <w:t>（3）关于本工程的一切安全责任及相关费用均由承包人承担。</w:t>
      </w:r>
    </w:p>
    <w:p>
      <w:pPr>
        <w:kinsoku/>
        <w:overflowPunct/>
        <w:topLinePunct w:val="0"/>
        <w:bidi w:val="0"/>
        <w:spacing w:line="300" w:lineRule="auto"/>
        <w:rPr>
          <w:b/>
          <w:szCs w:val="21"/>
          <w:u w:val="double"/>
        </w:rPr>
      </w:pPr>
      <w:r>
        <w:rPr>
          <w:rFonts w:hint="eastAsia"/>
          <w:szCs w:val="21"/>
        </w:rPr>
        <w:t>6.1.</w:t>
      </w:r>
      <w:r>
        <w:rPr>
          <w:rFonts w:hint="eastAsia"/>
          <w:szCs w:val="21"/>
          <w:lang w:val="en-US" w:eastAsia="zh-CN"/>
        </w:rPr>
        <w:t>2</w:t>
      </w:r>
      <w:r>
        <w:rPr>
          <w:rFonts w:hint="eastAsia"/>
          <w:szCs w:val="21"/>
        </w:rPr>
        <w:t>关于治安保卫的特别约定：</w:t>
      </w:r>
      <w:r>
        <w:rPr>
          <w:rFonts w:hint="eastAsia" w:ascii="楷体_GB2312" w:eastAsia="楷体_GB2312"/>
          <w:szCs w:val="21"/>
          <w:u w:val="single"/>
        </w:rPr>
        <w:t>做好工地的治安保卫工作，服从发包人的治安管理。如出现打群架现象，发包人有权视情节严重程度每次处以10000-20000元人民币的违约金</w:t>
      </w:r>
      <w:r>
        <w:rPr>
          <w:rFonts w:hint="eastAsia"/>
        </w:rPr>
        <w:t>。</w:t>
      </w:r>
    </w:p>
    <w:p>
      <w:pPr>
        <w:kinsoku/>
        <w:overflowPunct/>
        <w:topLinePunct w:val="0"/>
        <w:bidi w:val="0"/>
        <w:spacing w:line="300" w:lineRule="auto"/>
      </w:pPr>
      <w:r>
        <w:rPr>
          <w:rFonts w:hint="eastAsia"/>
        </w:rPr>
        <w:t>关于编制施工场地治安管理计划的约定：</w:t>
      </w:r>
      <w:r>
        <w:rPr>
          <w:rFonts w:hint="eastAsia"/>
          <w:u w:val="single"/>
        </w:rPr>
        <w:t xml:space="preserve">  无。 </w:t>
      </w:r>
    </w:p>
    <w:p>
      <w:pPr>
        <w:kinsoku/>
        <w:overflowPunct/>
        <w:topLinePunct w:val="0"/>
        <w:bidi w:val="0"/>
        <w:spacing w:line="300" w:lineRule="auto"/>
      </w:pPr>
      <w:r>
        <w:rPr>
          <w:rFonts w:hint="eastAsia"/>
        </w:rPr>
        <w:t>6.1.</w:t>
      </w:r>
      <w:r>
        <w:rPr>
          <w:rFonts w:hint="eastAsia"/>
          <w:lang w:val="en-US" w:eastAsia="zh-CN"/>
        </w:rPr>
        <w:t>3</w:t>
      </w:r>
      <w:r>
        <w:rPr>
          <w:rFonts w:hint="eastAsia"/>
        </w:rPr>
        <w:t>文明施工</w:t>
      </w:r>
    </w:p>
    <w:p>
      <w:pPr>
        <w:kinsoku/>
        <w:overflowPunct/>
        <w:topLinePunct w:val="0"/>
        <w:bidi w:val="0"/>
        <w:spacing w:line="300" w:lineRule="auto"/>
        <w:ind w:firstLine="420"/>
        <w:rPr>
          <w:rFonts w:ascii="Arial" w:cs="Arial"/>
          <w:u w:val="single"/>
        </w:rPr>
      </w:pPr>
      <w:bookmarkStart w:id="691" w:name="_Toc476734001"/>
      <w:bookmarkStart w:id="692" w:name="_Toc26318"/>
      <w:bookmarkStart w:id="693" w:name="_Toc490491822"/>
      <w:bookmarkStart w:id="694" w:name="_Toc512604478"/>
      <w:bookmarkStart w:id="695" w:name="_Toc480985235"/>
      <w:bookmarkStart w:id="696" w:name="_Toc19233"/>
      <w:bookmarkStart w:id="697" w:name="_Toc15247"/>
      <w:bookmarkStart w:id="698" w:name="_Toc22647"/>
      <w:bookmarkStart w:id="699" w:name="_Toc511649761"/>
      <w:bookmarkStart w:id="700" w:name="_Toc513214632"/>
      <w:bookmarkStart w:id="701" w:name="_Toc509902230"/>
      <w:bookmarkStart w:id="702" w:name="_Toc421260794"/>
      <w:bookmarkStart w:id="703" w:name="_Toc513209246"/>
      <w:bookmarkStart w:id="704" w:name="_Toc25768"/>
      <w:bookmarkStart w:id="705" w:name="_Toc474503072"/>
      <w:bookmarkStart w:id="706" w:name="_Toc513038410"/>
      <w:bookmarkStart w:id="707" w:name="_Toc421287830"/>
      <w:bookmarkStart w:id="708" w:name="_Toc13111"/>
      <w:bookmarkStart w:id="709" w:name="_Toc527029590"/>
      <w:r>
        <w:rPr>
          <w:rFonts w:hint="eastAsia" w:ascii="Arial" w:cs="Arial"/>
        </w:rPr>
        <w:t>合同当事人对文明施工的要求：</w:t>
      </w:r>
      <w:r>
        <w:rPr>
          <w:rFonts w:hint="eastAsia" w:ascii="Arial" w:cs="Arial"/>
          <w:u w:val="single"/>
        </w:rPr>
        <w:t>按有关规定做好文明施工，保证施工场地清洁，符合环境卫生管理要求，承担自身原因造成的损失和罚款</w:t>
      </w:r>
      <w:r>
        <w:rPr>
          <w:rFonts w:ascii="Arial" w:cs="Arial"/>
          <w:u w:val="single"/>
        </w:rPr>
        <w:t xml:space="preserve"> </w:t>
      </w:r>
      <w:r>
        <w:rPr>
          <w:rFonts w:hint="eastAsia" w:ascii="Arial" w:cs="Arial"/>
          <w:u w:val="single"/>
        </w:rPr>
        <w:t>，具体参照《关于全面开展安全生产文明施工标准化工地创建活动的通知》（瑞建发</w:t>
      </w:r>
      <w:r>
        <w:rPr>
          <w:rFonts w:ascii="Arial" w:cs="Arial"/>
          <w:u w:val="single"/>
        </w:rPr>
        <w:t>[2011]45</w:t>
      </w:r>
      <w:r>
        <w:rPr>
          <w:rFonts w:hint="eastAsia" w:ascii="Arial" w:cs="Arial"/>
          <w:u w:val="single"/>
        </w:rPr>
        <w:t>号）文件。</w:t>
      </w:r>
    </w:p>
    <w:p>
      <w:pPr>
        <w:kinsoku/>
        <w:overflowPunct/>
        <w:topLinePunct w:val="0"/>
        <w:bidi w:val="0"/>
        <w:spacing w:line="300" w:lineRule="auto"/>
        <w:ind w:firstLine="420"/>
        <w:rPr>
          <w:rFonts w:ascii="Arial" w:hAnsi="Arial" w:cs="Arial"/>
          <w:u w:val="single"/>
        </w:rPr>
      </w:pPr>
      <w:r>
        <w:rPr>
          <w:rFonts w:hint="eastAsia" w:ascii="Arial" w:cs="Arial"/>
          <w:u w:val="single"/>
        </w:rPr>
        <w:t>根据《关于规范建设工程安全文明施工费计取的通知》（建建发【</w:t>
      </w:r>
      <w:r>
        <w:rPr>
          <w:rFonts w:ascii="Arial" w:cs="Arial"/>
          <w:u w:val="single"/>
        </w:rPr>
        <w:t>2015</w:t>
      </w:r>
      <w:r>
        <w:rPr>
          <w:rFonts w:hint="eastAsia" w:ascii="Arial" w:cs="Arial"/>
          <w:u w:val="single"/>
        </w:rPr>
        <w:t>】</w:t>
      </w:r>
      <w:r>
        <w:rPr>
          <w:rFonts w:ascii="Arial" w:cs="Arial"/>
          <w:u w:val="single"/>
        </w:rPr>
        <w:t>517</w:t>
      </w:r>
      <w:r>
        <w:rPr>
          <w:rFonts w:hint="eastAsia" w:ascii="Arial" w:cs="Arial"/>
          <w:u w:val="single"/>
        </w:rPr>
        <w:t>号文件规定，合同约定有创区市级安全文明施工标准化工地要求而实际未创建的，不计算创标化工地增加费；实际创标化工地等级要求与合同约定不符的，可按实际创标化工地等级相应费率标准的</w:t>
      </w:r>
      <w:r>
        <w:rPr>
          <w:rFonts w:ascii="Arial" w:cs="Arial"/>
          <w:u w:val="single"/>
        </w:rPr>
        <w:t>75%</w:t>
      </w:r>
      <w:r>
        <w:rPr>
          <w:rFonts w:hint="eastAsia" w:ascii="Arial" w:cs="Arial"/>
          <w:u w:val="single"/>
        </w:rPr>
        <w:t>计算创标化工地增加费。</w:t>
      </w:r>
    </w:p>
    <w:p>
      <w:pPr>
        <w:kinsoku/>
        <w:overflowPunct/>
        <w:topLinePunct w:val="0"/>
        <w:bidi w:val="0"/>
        <w:spacing w:line="300" w:lineRule="auto"/>
        <w:ind w:firstLine="420"/>
        <w:rPr>
          <w:rFonts w:ascii="Arial" w:hAnsi="Arial" w:cs="Arial"/>
          <w:u w:val="single"/>
        </w:rPr>
      </w:pPr>
      <w:r>
        <w:rPr>
          <w:rFonts w:ascii="Arial" w:hAnsi="Arial" w:cs="Arial"/>
        </w:rPr>
        <w:t>6.1.</w:t>
      </w:r>
      <w:r>
        <w:rPr>
          <w:rFonts w:hint="eastAsia" w:ascii="Arial" w:hAnsi="Arial" w:cs="Arial"/>
          <w:lang w:val="en-US" w:eastAsia="zh-CN"/>
        </w:rPr>
        <w:t>4</w:t>
      </w:r>
      <w:r>
        <w:rPr>
          <w:rFonts w:ascii="Arial" w:hAnsi="Arial" w:cs="Arial"/>
        </w:rPr>
        <w:t xml:space="preserve"> </w:t>
      </w:r>
      <w:r>
        <w:rPr>
          <w:rFonts w:hint="eastAsia" w:ascii="Arial" w:cs="Arial"/>
        </w:rPr>
        <w:t>关于安全文明施工费支付比例和支付期限的约</w:t>
      </w:r>
      <w:r>
        <w:rPr>
          <w:rFonts w:hint="eastAsia" w:ascii="Arial" w:cs="Arial"/>
          <w:u w:val="single"/>
        </w:rPr>
        <w:t>定：参照温住建发</w:t>
      </w:r>
      <w:r>
        <w:rPr>
          <w:rFonts w:ascii="Arial" w:hAnsi="Arial" w:cs="Arial"/>
          <w:u w:val="single"/>
        </w:rPr>
        <w:t>[2012]190</w:t>
      </w:r>
      <w:r>
        <w:rPr>
          <w:rFonts w:hint="eastAsia" w:ascii="Arial" w:cs="Arial"/>
          <w:u w:val="single"/>
        </w:rPr>
        <w:t>号《关于转发</w:t>
      </w:r>
      <w:r>
        <w:rPr>
          <w:rFonts w:ascii="Arial" w:hAnsi="Arial" w:cs="Arial"/>
          <w:u w:val="single"/>
        </w:rPr>
        <w:t>&lt;</w:t>
      </w:r>
      <w:r>
        <w:rPr>
          <w:rFonts w:hint="eastAsia" w:ascii="Arial" w:cs="Arial"/>
          <w:u w:val="single"/>
        </w:rPr>
        <w:t>企业安全生产费用提取和使用管理办法</w:t>
      </w:r>
      <w:r>
        <w:rPr>
          <w:rFonts w:ascii="Arial" w:hAnsi="Arial" w:cs="Arial"/>
          <w:u w:val="single"/>
        </w:rPr>
        <w:t>&gt;</w:t>
      </w:r>
      <w:r>
        <w:rPr>
          <w:rFonts w:hint="eastAsia" w:ascii="Arial" w:cs="Arial"/>
          <w:u w:val="single"/>
        </w:rPr>
        <w:t>的通知》文件</w:t>
      </w:r>
      <w:r>
        <w:rPr>
          <w:rFonts w:ascii="Arial" w:hAnsi="Arial" w:cs="Arial"/>
          <w:u w:val="single"/>
        </w:rPr>
        <w:t xml:space="preserve">, </w:t>
      </w:r>
      <w:r>
        <w:rPr>
          <w:rFonts w:hint="eastAsia" w:ascii="Arial" w:cs="Arial"/>
          <w:u w:val="single"/>
        </w:rPr>
        <w:t>合同工期在一年以内的，建设单位应当自合同签订之日起五日内预付该费用总额的</w:t>
      </w:r>
      <w:r>
        <w:rPr>
          <w:rFonts w:ascii="Arial" w:hAnsi="Arial" w:cs="Arial"/>
          <w:u w:val="single"/>
        </w:rPr>
        <w:t>100%</w:t>
      </w:r>
      <w:r>
        <w:rPr>
          <w:rFonts w:hint="eastAsia" w:ascii="Arial" w:cs="Arial"/>
          <w:u w:val="single"/>
        </w:rPr>
        <w:t>。</w:t>
      </w:r>
    </w:p>
    <w:p>
      <w:pPr>
        <w:kinsoku/>
        <w:overflowPunct/>
        <w:topLinePunct w:val="0"/>
        <w:bidi w:val="0"/>
        <w:spacing w:line="300" w:lineRule="auto"/>
        <w:ind w:firstLine="420"/>
        <w:rPr>
          <w:rFonts w:eastAsia="仿宋_GB2312"/>
          <w:szCs w:val="21"/>
        </w:rPr>
      </w:pPr>
      <w:r>
        <w:rPr>
          <w:rFonts w:ascii="Arial" w:hAnsi="Arial" w:cs="Arial"/>
        </w:rPr>
        <w:t>6.1.</w:t>
      </w:r>
      <w:r>
        <w:rPr>
          <w:rFonts w:hint="eastAsia" w:ascii="Arial" w:hAnsi="Arial" w:cs="Arial"/>
          <w:lang w:val="en-US" w:eastAsia="zh-CN"/>
        </w:rPr>
        <w:t>5</w:t>
      </w:r>
      <w:r>
        <w:rPr>
          <w:rFonts w:ascii="Arial" w:hAnsi="Arial" w:cs="Arial"/>
        </w:rPr>
        <w:t xml:space="preserve"> </w:t>
      </w:r>
      <w:r>
        <w:rPr>
          <w:rFonts w:hint="eastAsia" w:ascii="Arial" w:cs="Arial"/>
        </w:rPr>
        <w:t>关于创标化工地增加费支付时间和支付依据的约定：</w:t>
      </w:r>
      <w:r>
        <w:rPr>
          <w:rFonts w:hint="eastAsia" w:ascii="Arial" w:cs="Arial"/>
          <w:u w:val="single"/>
        </w:rPr>
        <w:t>工程通过竣工验收合格后，以建设行政主管部门的认可文件为支付依据。</w:t>
      </w:r>
    </w:p>
    <w:p>
      <w:pPr>
        <w:pStyle w:val="5"/>
        <w:kinsoku/>
        <w:overflowPunct/>
        <w:topLinePunct w:val="0"/>
        <w:bidi w:val="0"/>
        <w:spacing w:line="300" w:lineRule="auto"/>
      </w:pPr>
      <w:bookmarkStart w:id="710" w:name="_Toc3903933"/>
      <w:bookmarkStart w:id="711" w:name="_Toc10734"/>
      <w:bookmarkStart w:id="712" w:name="_Toc12291"/>
      <w:bookmarkStart w:id="713" w:name="_Toc5887"/>
      <w:r>
        <w:t>7. 工期和进度</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6"/>
        <w:kinsoku/>
        <w:overflowPunct/>
        <w:topLinePunct w:val="0"/>
        <w:bidi w:val="0"/>
        <w:spacing w:line="300" w:lineRule="auto"/>
      </w:pPr>
      <w:bookmarkStart w:id="714" w:name="_Toc513038411"/>
      <w:bookmarkStart w:id="715" w:name="_Toc12878"/>
      <w:bookmarkStart w:id="716" w:name="_Toc527029591"/>
      <w:bookmarkStart w:id="717" w:name="_Toc31080"/>
      <w:bookmarkStart w:id="718" w:name="_Toc698"/>
      <w:bookmarkStart w:id="719" w:name="_Toc513209247"/>
      <w:bookmarkStart w:id="720" w:name="_Toc480985236"/>
      <w:bookmarkStart w:id="721" w:name="_Toc511649762"/>
      <w:bookmarkStart w:id="722" w:name="_Toc476734002"/>
      <w:bookmarkStart w:id="723" w:name="_Toc13847"/>
      <w:bookmarkStart w:id="724" w:name="_Toc509902231"/>
      <w:bookmarkStart w:id="725" w:name="_Toc22581"/>
      <w:bookmarkStart w:id="726" w:name="_Toc3903934"/>
      <w:bookmarkStart w:id="727" w:name="_Toc822"/>
      <w:bookmarkStart w:id="728" w:name="_Toc24068"/>
      <w:bookmarkStart w:id="729" w:name="_Toc17271"/>
      <w:bookmarkStart w:id="730" w:name="_Toc490491823"/>
      <w:bookmarkStart w:id="731" w:name="_Toc512604479"/>
      <w:bookmarkStart w:id="732" w:name="_Toc513214633"/>
      <w:bookmarkStart w:id="733" w:name="_Toc31253"/>
      <w:r>
        <w:rPr>
          <w:rFonts w:hint="eastAsia"/>
        </w:rPr>
        <w:t>7.1 施工组织设计</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kinsoku/>
        <w:overflowPunct/>
        <w:topLinePunct w:val="0"/>
        <w:bidi w:val="0"/>
        <w:spacing w:line="300" w:lineRule="auto"/>
      </w:pPr>
      <w:r>
        <w:rPr>
          <w:rFonts w:hint="eastAsia"/>
        </w:rPr>
        <w:t>7.1.1 合同当事人约定的施工组织设计应包括的其他内容：</w:t>
      </w:r>
      <w:r>
        <w:rPr>
          <w:rFonts w:hint="eastAsia" w:cs="宋体"/>
          <w:u w:val="single"/>
        </w:rPr>
        <w:t>无</w:t>
      </w:r>
      <w:r>
        <w:rPr>
          <w:rFonts w:hint="eastAsia"/>
          <w:u w:val="single"/>
        </w:rPr>
        <w:t xml:space="preserve"> 。</w:t>
      </w:r>
    </w:p>
    <w:p>
      <w:pPr>
        <w:kinsoku/>
        <w:overflowPunct/>
        <w:topLinePunct w:val="0"/>
        <w:bidi w:val="0"/>
        <w:spacing w:line="300" w:lineRule="auto"/>
      </w:pPr>
      <w:r>
        <w:rPr>
          <w:rFonts w:hint="eastAsia"/>
        </w:rPr>
        <w:t>7.1.2 施工组织设计的提交和修改</w:t>
      </w:r>
    </w:p>
    <w:p>
      <w:pPr>
        <w:kinsoku/>
        <w:overflowPunct/>
        <w:topLinePunct w:val="0"/>
        <w:bidi w:val="0"/>
        <w:spacing w:line="300" w:lineRule="auto"/>
      </w:pPr>
      <w:r>
        <w:rPr>
          <w:rFonts w:hint="eastAsia"/>
        </w:rPr>
        <w:t>承包人提交详细施工组织设计的期限的约定：</w:t>
      </w:r>
      <w:r>
        <w:rPr>
          <w:rFonts w:hint="eastAsia"/>
          <w:u w:val="single"/>
        </w:rPr>
        <w:t xml:space="preserve"> 开工前10天内。 </w:t>
      </w:r>
    </w:p>
    <w:p>
      <w:pPr>
        <w:kinsoku/>
        <w:overflowPunct/>
        <w:topLinePunct w:val="0"/>
        <w:bidi w:val="0"/>
        <w:spacing w:line="300" w:lineRule="auto"/>
      </w:pPr>
      <w:r>
        <w:rPr>
          <w:rFonts w:hint="eastAsia"/>
        </w:rPr>
        <w:t>发包人和监理人在收到详细的施工组织设计后确认或提出修改意见的期限：</w:t>
      </w:r>
      <w:r>
        <w:rPr>
          <w:rFonts w:hint="eastAsia"/>
          <w:u w:val="single"/>
        </w:rPr>
        <w:t xml:space="preserve"> 收到施工组织设计后7天内确认或提出修改意见 。</w:t>
      </w:r>
    </w:p>
    <w:p>
      <w:pPr>
        <w:pStyle w:val="6"/>
        <w:kinsoku/>
        <w:overflowPunct/>
        <w:topLinePunct w:val="0"/>
        <w:bidi w:val="0"/>
        <w:spacing w:line="300" w:lineRule="auto"/>
      </w:pPr>
      <w:bookmarkStart w:id="734" w:name="_Toc509902232"/>
      <w:bookmarkStart w:id="735" w:name="_Toc513038412"/>
      <w:bookmarkStart w:id="736" w:name="_Toc3903935"/>
      <w:bookmarkStart w:id="737" w:name="_Toc1259"/>
      <w:bookmarkStart w:id="738" w:name="_Toc513214634"/>
      <w:bookmarkStart w:id="739" w:name="_Toc7890"/>
      <w:bookmarkStart w:id="740" w:name="_Toc476734003"/>
      <w:bookmarkStart w:id="741" w:name="_Toc30357"/>
      <w:bookmarkStart w:id="742" w:name="_Toc28388"/>
      <w:bookmarkStart w:id="743" w:name="_Toc513209248"/>
      <w:bookmarkStart w:id="744" w:name="_Toc511649763"/>
      <w:bookmarkStart w:id="745" w:name="_Toc27071"/>
      <w:bookmarkStart w:id="746" w:name="_Toc512604480"/>
      <w:bookmarkStart w:id="747" w:name="_Toc480985237"/>
      <w:bookmarkStart w:id="748" w:name="_Toc16684"/>
      <w:bookmarkStart w:id="749" w:name="_Toc17918"/>
      <w:bookmarkStart w:id="750" w:name="_Toc490491824"/>
      <w:bookmarkStart w:id="751" w:name="_Toc27133"/>
      <w:bookmarkStart w:id="752" w:name="_Toc527029592"/>
      <w:bookmarkStart w:id="753" w:name="_Toc10873"/>
      <w:r>
        <w:rPr>
          <w:rFonts w:hint="eastAsia"/>
        </w:rPr>
        <w:t>7.2 施工进度计划</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kinsoku/>
        <w:overflowPunct/>
        <w:topLinePunct w:val="0"/>
        <w:bidi w:val="0"/>
        <w:spacing w:line="300" w:lineRule="auto"/>
      </w:pPr>
      <w:r>
        <w:rPr>
          <w:rFonts w:hint="eastAsia"/>
        </w:rPr>
        <w:t>7.2.2 施工进度计划的修订</w:t>
      </w:r>
    </w:p>
    <w:p>
      <w:pPr>
        <w:kinsoku/>
        <w:overflowPunct/>
        <w:topLinePunct w:val="0"/>
        <w:bidi w:val="0"/>
        <w:spacing w:line="300" w:lineRule="auto"/>
      </w:pPr>
      <w:r>
        <w:rPr>
          <w:rFonts w:hint="eastAsia"/>
        </w:rPr>
        <w:t>发包人和监理人在收到修订的施工进度计划后确认或提出修改意见的期限：</w:t>
      </w:r>
      <w:r>
        <w:rPr>
          <w:rFonts w:hint="eastAsia"/>
          <w:u w:val="single"/>
        </w:rPr>
        <w:t xml:space="preserve"> 收到修订的施工进度计划后7天内完成审核和批准或提出修改意见。</w:t>
      </w:r>
    </w:p>
    <w:p>
      <w:pPr>
        <w:pStyle w:val="6"/>
        <w:kinsoku/>
        <w:overflowPunct/>
        <w:topLinePunct w:val="0"/>
        <w:bidi w:val="0"/>
        <w:spacing w:line="300" w:lineRule="auto"/>
      </w:pPr>
      <w:bookmarkStart w:id="754" w:name="_Toc509902233"/>
      <w:bookmarkStart w:id="755" w:name="_Toc527029593"/>
      <w:bookmarkStart w:id="756" w:name="_Toc476734004"/>
      <w:bookmarkStart w:id="757" w:name="_Toc512604481"/>
      <w:bookmarkStart w:id="758" w:name="_Toc4048"/>
      <w:bookmarkStart w:id="759" w:name="_Toc1276"/>
      <w:bookmarkStart w:id="760" w:name="_Toc15026"/>
      <w:bookmarkStart w:id="761" w:name="_Toc129"/>
      <w:bookmarkStart w:id="762" w:name="_Toc513209249"/>
      <w:bookmarkStart w:id="763" w:name="_Toc16988"/>
      <w:bookmarkStart w:id="764" w:name="_Toc513038413"/>
      <w:bookmarkStart w:id="765" w:name="_Toc490491825"/>
      <w:bookmarkStart w:id="766" w:name="_Toc513214635"/>
      <w:bookmarkStart w:id="767" w:name="_Toc30268"/>
      <w:bookmarkStart w:id="768" w:name="_Toc18809"/>
      <w:bookmarkStart w:id="769" w:name="_Toc480985238"/>
      <w:bookmarkStart w:id="770" w:name="_Toc511649764"/>
      <w:bookmarkStart w:id="771" w:name="_Toc3903936"/>
      <w:bookmarkStart w:id="772" w:name="_Toc13323"/>
      <w:bookmarkStart w:id="773" w:name="_Toc22990"/>
      <w:r>
        <w:rPr>
          <w:rFonts w:hint="eastAsia"/>
        </w:rPr>
        <w:t>7.3 开工</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kinsoku/>
        <w:overflowPunct/>
        <w:topLinePunct w:val="0"/>
        <w:bidi w:val="0"/>
        <w:spacing w:line="300" w:lineRule="auto"/>
      </w:pPr>
      <w:r>
        <w:rPr>
          <w:rFonts w:hint="eastAsia"/>
        </w:rPr>
        <w:t>7.3.1 开工准备</w:t>
      </w:r>
    </w:p>
    <w:p>
      <w:pPr>
        <w:kinsoku/>
        <w:overflowPunct/>
        <w:topLinePunct w:val="0"/>
        <w:bidi w:val="0"/>
        <w:spacing w:line="300" w:lineRule="auto"/>
        <w:rPr>
          <w:u w:val="single"/>
        </w:rPr>
      </w:pPr>
      <w:r>
        <w:rPr>
          <w:rFonts w:hint="eastAsia"/>
        </w:rPr>
        <w:t>关于承包人提交工程开工报审表的期限：</w:t>
      </w:r>
      <w:r>
        <w:rPr>
          <w:rFonts w:hint="eastAsia"/>
          <w:u w:val="single"/>
        </w:rPr>
        <w:t>承包人应按照施工组织设计约定的期限，向监理人提交工程开工报审表 。</w:t>
      </w:r>
    </w:p>
    <w:p>
      <w:pPr>
        <w:kinsoku/>
        <w:overflowPunct/>
        <w:topLinePunct w:val="0"/>
        <w:bidi w:val="0"/>
        <w:spacing w:line="300" w:lineRule="auto"/>
        <w:rPr>
          <w:b/>
          <w:u w:val="double"/>
        </w:rPr>
      </w:pPr>
      <w:r>
        <w:rPr>
          <w:rFonts w:hint="eastAsia"/>
        </w:rPr>
        <w:t>关于发包人应完成的其他开工准备工作及期限：</w:t>
      </w:r>
      <w:r>
        <w:rPr>
          <w:rFonts w:hint="eastAsia" w:ascii="楷体_GB2312" w:eastAsia="楷体_GB2312"/>
          <w:u w:val="single"/>
        </w:rPr>
        <w:t xml:space="preserve">计划开工日期7天前  </w:t>
      </w:r>
      <w:r>
        <w:rPr>
          <w:rFonts w:hint="eastAsia"/>
        </w:rPr>
        <w:t>。</w:t>
      </w:r>
    </w:p>
    <w:p>
      <w:pPr>
        <w:kinsoku/>
        <w:overflowPunct/>
        <w:topLinePunct w:val="0"/>
        <w:bidi w:val="0"/>
        <w:spacing w:line="300" w:lineRule="auto"/>
      </w:pPr>
      <w:r>
        <w:rPr>
          <w:rFonts w:hint="eastAsia"/>
        </w:rPr>
        <w:t>关于承包人应完成的其他开工准备工作及期限：</w:t>
      </w:r>
      <w:r>
        <w:rPr>
          <w:rFonts w:hint="eastAsia"/>
          <w:u w:val="single"/>
        </w:rPr>
        <w:t>承包人应按照施工组织设计约定的期限。</w:t>
      </w:r>
    </w:p>
    <w:p>
      <w:pPr>
        <w:kinsoku/>
        <w:overflowPunct/>
        <w:topLinePunct w:val="0"/>
        <w:bidi w:val="0"/>
        <w:spacing w:line="300" w:lineRule="auto"/>
      </w:pPr>
      <w:r>
        <w:rPr>
          <w:rFonts w:hint="eastAsia"/>
        </w:rPr>
        <w:t>7.3.2开工通知</w:t>
      </w:r>
    </w:p>
    <w:p>
      <w:pPr>
        <w:kinsoku/>
        <w:overflowPunct/>
        <w:topLinePunct w:val="0"/>
        <w:bidi w:val="0"/>
        <w:spacing w:line="300" w:lineRule="auto"/>
      </w:pPr>
      <w:r>
        <w:rPr>
          <w:rFonts w:hint="eastAsia"/>
        </w:rPr>
        <w:t>因发包人原因造成监理人未能在计划开工日期之日起</w:t>
      </w:r>
      <w:r>
        <w:rPr>
          <w:rFonts w:hint="eastAsia" w:ascii="楷体_GB2312" w:eastAsia="楷体_GB2312"/>
          <w:u w:val="single"/>
        </w:rPr>
        <w:t xml:space="preserve"> </w:t>
      </w:r>
      <w:r>
        <w:rPr>
          <w:rFonts w:hint="eastAsia" w:ascii="楷体_GB2312" w:eastAsia="楷体_GB2312"/>
          <w:b/>
          <w:u w:val="single"/>
        </w:rPr>
        <w:t xml:space="preserve"> </w:t>
      </w:r>
      <w:r>
        <w:rPr>
          <w:rFonts w:hint="eastAsia"/>
          <w:u w:val="single"/>
        </w:rPr>
        <w:t xml:space="preserve">90 </w:t>
      </w:r>
      <w:r>
        <w:rPr>
          <w:rFonts w:hint="eastAsia" w:ascii="楷体_GB2312" w:eastAsia="楷体_GB2312"/>
          <w:u w:val="single"/>
        </w:rPr>
        <w:t xml:space="preserve"> </w:t>
      </w:r>
      <w:r>
        <w:rPr>
          <w:rFonts w:hint="eastAsia"/>
        </w:rPr>
        <w:t>天内发出开工通知的。</w:t>
      </w:r>
    </w:p>
    <w:p>
      <w:pPr>
        <w:pStyle w:val="6"/>
        <w:kinsoku/>
        <w:overflowPunct/>
        <w:topLinePunct w:val="0"/>
        <w:bidi w:val="0"/>
        <w:spacing w:line="300" w:lineRule="auto"/>
      </w:pPr>
      <w:bookmarkStart w:id="774" w:name="_Toc513209250"/>
      <w:bookmarkStart w:id="775" w:name="_Toc490491826"/>
      <w:bookmarkStart w:id="776" w:name="_Toc1980"/>
      <w:bookmarkStart w:id="777" w:name="_Toc480985239"/>
      <w:bookmarkStart w:id="778" w:name="_Toc527029594"/>
      <w:bookmarkStart w:id="779" w:name="_Toc511649765"/>
      <w:bookmarkStart w:id="780" w:name="_Toc513038414"/>
      <w:bookmarkStart w:id="781" w:name="_Toc1753"/>
      <w:bookmarkStart w:id="782" w:name="_Toc513214636"/>
      <w:bookmarkStart w:id="783" w:name="_Toc476734005"/>
      <w:bookmarkStart w:id="784" w:name="_Toc27083"/>
      <w:bookmarkStart w:id="785" w:name="_Toc509902234"/>
      <w:bookmarkStart w:id="786" w:name="_Toc512604482"/>
      <w:bookmarkStart w:id="787" w:name="_Toc3503"/>
      <w:bookmarkStart w:id="788" w:name="_Toc7452"/>
      <w:bookmarkStart w:id="789" w:name="_Toc3903937"/>
      <w:bookmarkStart w:id="790" w:name="_Toc16266"/>
      <w:bookmarkStart w:id="791" w:name="_Toc29141"/>
      <w:bookmarkStart w:id="792" w:name="_Toc2143"/>
      <w:bookmarkStart w:id="793" w:name="_Toc11277"/>
      <w:r>
        <w:rPr>
          <w:rFonts w:hint="eastAsia"/>
        </w:rPr>
        <w:t>7.4 测量放线</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kinsoku/>
        <w:overflowPunct/>
        <w:topLinePunct w:val="0"/>
        <w:bidi w:val="0"/>
        <w:spacing w:line="300" w:lineRule="auto"/>
        <w:rPr>
          <w:szCs w:val="21"/>
          <w:u w:val="double"/>
        </w:rPr>
      </w:pPr>
      <w:r>
        <w:rPr>
          <w:rFonts w:hint="eastAsia"/>
          <w:szCs w:val="21"/>
        </w:rPr>
        <w:t>7.4.1发包人通过监理人向承包人提供测量基准点、基准线和水准点及其书面资料的期限：</w:t>
      </w:r>
      <w:r>
        <w:rPr>
          <w:rFonts w:hint="eastAsia" w:ascii="楷体_GB2312" w:eastAsia="楷体_GB2312"/>
          <w:szCs w:val="21"/>
          <w:u w:val="single"/>
        </w:rPr>
        <w:t xml:space="preserve">以书面形式，于开工前7天内办理交接手续  </w:t>
      </w:r>
      <w:r>
        <w:rPr>
          <w:rFonts w:hint="eastAsia"/>
        </w:rPr>
        <w:t>。</w:t>
      </w:r>
    </w:p>
    <w:p>
      <w:pPr>
        <w:pStyle w:val="6"/>
        <w:kinsoku/>
        <w:overflowPunct/>
        <w:topLinePunct w:val="0"/>
        <w:bidi w:val="0"/>
        <w:spacing w:line="300" w:lineRule="auto"/>
      </w:pPr>
      <w:bookmarkStart w:id="794" w:name="_Toc513209251"/>
      <w:bookmarkStart w:id="795" w:name="_Toc5452"/>
      <w:bookmarkStart w:id="796" w:name="_Toc490491827"/>
      <w:bookmarkStart w:id="797" w:name="_Toc509902235"/>
      <w:bookmarkStart w:id="798" w:name="_Toc31742"/>
      <w:bookmarkStart w:id="799" w:name="_Toc527029595"/>
      <w:bookmarkStart w:id="800" w:name="_Toc511649766"/>
      <w:bookmarkStart w:id="801" w:name="_Toc32202"/>
      <w:bookmarkStart w:id="802" w:name="_Toc3903938"/>
      <w:bookmarkStart w:id="803" w:name="_Toc8323"/>
      <w:bookmarkStart w:id="804" w:name="_Toc476734006"/>
      <w:bookmarkStart w:id="805" w:name="_Toc480985240"/>
      <w:bookmarkStart w:id="806" w:name="_Toc19276"/>
      <w:bookmarkStart w:id="807" w:name="_Toc683"/>
      <w:bookmarkStart w:id="808" w:name="_Toc32208"/>
      <w:bookmarkStart w:id="809" w:name="_Toc512604483"/>
      <w:bookmarkStart w:id="810" w:name="_Toc12238"/>
      <w:bookmarkStart w:id="811" w:name="_Toc13709"/>
      <w:bookmarkStart w:id="812" w:name="_Toc513214637"/>
      <w:bookmarkStart w:id="813" w:name="_Toc513038415"/>
      <w:r>
        <w:t>7.5 工期延误</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kinsoku/>
        <w:overflowPunct/>
        <w:topLinePunct w:val="0"/>
        <w:bidi w:val="0"/>
        <w:spacing w:line="300" w:lineRule="auto"/>
      </w:pPr>
      <w:r>
        <w:t>7.5.1 因发包人原因导致工期延误</w:t>
      </w:r>
    </w:p>
    <w:p>
      <w:pPr>
        <w:kinsoku/>
        <w:overflowPunct/>
        <w:topLinePunct w:val="0"/>
        <w:bidi w:val="0"/>
        <w:spacing w:line="300" w:lineRule="auto"/>
        <w:rPr>
          <w:u w:val="single"/>
        </w:rPr>
      </w:pPr>
      <w:r>
        <w:t>（7）因发包人原因导致工期延误的其他情形：</w:t>
      </w:r>
      <w:r>
        <w:rPr>
          <w:u w:val="single"/>
        </w:rPr>
        <w:t xml:space="preserve"> </w:t>
      </w:r>
      <w:r>
        <w:rPr>
          <w:rFonts w:hint="eastAsia"/>
          <w:u w:val="single"/>
        </w:rPr>
        <w:t>合同履行中发生重大设计变更而影响施工进度、非承包人过失引起的或由于发包人原因造成工期延误的情况，工期顺延</w:t>
      </w:r>
      <w:r>
        <w:rPr>
          <w:rFonts w:hint="eastAsia"/>
          <w:bCs/>
          <w:u w:val="single"/>
        </w:rPr>
        <w:t>。</w:t>
      </w:r>
      <w:r>
        <w:rPr>
          <w:u w:val="single"/>
        </w:rPr>
        <w:t xml:space="preserve"> </w:t>
      </w:r>
    </w:p>
    <w:p>
      <w:pPr>
        <w:kinsoku/>
        <w:overflowPunct/>
        <w:topLinePunct w:val="0"/>
        <w:bidi w:val="0"/>
        <w:spacing w:line="300" w:lineRule="auto"/>
      </w:pPr>
      <w:r>
        <w:t>7.5.2 因承包人原因导致工期延误</w:t>
      </w:r>
    </w:p>
    <w:p>
      <w:pPr>
        <w:kinsoku/>
        <w:overflowPunct/>
        <w:topLinePunct w:val="0"/>
        <w:bidi w:val="0"/>
        <w:spacing w:line="300" w:lineRule="auto"/>
        <w:ind w:firstLine="525" w:firstLineChars="250"/>
      </w:pPr>
      <w:r>
        <w:rPr>
          <w:rFonts w:hint="eastAsia"/>
        </w:rPr>
        <w:t>因承包人原因造成工期延误，逾期竣工违约金的计算方法为：</w:t>
      </w:r>
      <w:r>
        <w:rPr>
          <w:rFonts w:hint="eastAsia" w:ascii="宋体" w:hAnsi="宋体"/>
          <w:kern w:val="0"/>
          <w:szCs w:val="21"/>
        </w:rPr>
        <w:t>除不可抗力情况、发包人和监理人原因及</w:t>
      </w:r>
      <w:r>
        <w:rPr>
          <w:rFonts w:hint="eastAsia" w:ascii="宋体" w:hAnsi="宋体"/>
          <w:kern w:val="0"/>
          <w:szCs w:val="21"/>
          <w:lang w:eastAsia="zh-CN"/>
        </w:rPr>
        <w:t>磋商文件</w:t>
      </w:r>
      <w:r>
        <w:rPr>
          <w:rFonts w:hint="eastAsia" w:ascii="宋体" w:hAnsi="宋体"/>
          <w:kern w:val="0"/>
          <w:szCs w:val="21"/>
        </w:rPr>
        <w:t>约定的情况外，工期一般不顺延，因承包人原因引起总包单位工期延误的按合同工期每延误一天</w:t>
      </w:r>
      <w:r>
        <w:rPr>
          <w:rFonts w:hint="eastAsia" w:ascii="宋体" w:hAnsi="宋体"/>
          <w:color w:val="FF0000"/>
          <w:kern w:val="0"/>
          <w:szCs w:val="21"/>
        </w:rPr>
        <w:t>罚款500元</w:t>
      </w:r>
      <w:r>
        <w:rPr>
          <w:rFonts w:hint="eastAsia" w:ascii="宋体" w:hAnsi="宋体"/>
          <w:kern w:val="0"/>
          <w:szCs w:val="21"/>
        </w:rPr>
        <w:t>。发包人可从应向承包人支付的任何金额中扣除此项赔偿费。此赔偿费的支付并不能解除承包人完成工程的责任或合同规定的其它责任。</w:t>
      </w:r>
    </w:p>
    <w:p>
      <w:pPr>
        <w:kinsoku/>
        <w:overflowPunct/>
        <w:topLinePunct w:val="0"/>
        <w:bidi w:val="0"/>
        <w:spacing w:line="300" w:lineRule="auto"/>
        <w:ind w:firstLine="525" w:firstLineChars="250"/>
      </w:pPr>
      <w:r>
        <w:rPr>
          <w:rFonts w:hint="eastAsia"/>
        </w:rPr>
        <w:t>因承包人原因造成工期延误，逾期竣工违约金的上限：</w:t>
      </w:r>
      <w:r>
        <w:rPr>
          <w:rFonts w:ascii="宋体" w:hAnsi="宋体" w:cs="Arial"/>
          <w:color w:val="FF0000"/>
          <w:szCs w:val="21"/>
        </w:rPr>
        <w:t>逾期竣工违约金</w:t>
      </w:r>
      <w:r>
        <w:rPr>
          <w:rFonts w:hint="eastAsia" w:ascii="宋体" w:hAnsi="宋体" w:cs="Arial"/>
          <w:color w:val="FF0000"/>
          <w:szCs w:val="21"/>
        </w:rPr>
        <w:t>不设</w:t>
      </w:r>
      <w:r>
        <w:rPr>
          <w:rFonts w:ascii="宋体" w:hAnsi="宋体" w:cs="Arial"/>
          <w:color w:val="FF0000"/>
          <w:szCs w:val="21"/>
        </w:rPr>
        <w:t>上限</w:t>
      </w:r>
      <w:r>
        <w:rPr>
          <w:rFonts w:hint="eastAsia" w:ascii="宋体" w:hAnsi="宋体" w:cs="Arial"/>
          <w:color w:val="FF0000"/>
          <w:szCs w:val="21"/>
        </w:rPr>
        <w:t>。</w:t>
      </w:r>
    </w:p>
    <w:p>
      <w:pPr>
        <w:pStyle w:val="6"/>
        <w:kinsoku/>
        <w:overflowPunct/>
        <w:topLinePunct w:val="0"/>
        <w:bidi w:val="0"/>
        <w:spacing w:line="300" w:lineRule="auto"/>
      </w:pPr>
      <w:bookmarkStart w:id="814" w:name="_Toc513209252"/>
      <w:bookmarkStart w:id="815" w:name="_Toc512604484"/>
      <w:bookmarkStart w:id="816" w:name="_Toc30326"/>
      <w:bookmarkStart w:id="817" w:name="_Toc490491828"/>
      <w:bookmarkStart w:id="818" w:name="_Toc3903939"/>
      <w:bookmarkStart w:id="819" w:name="_Toc513038416"/>
      <w:bookmarkStart w:id="820" w:name="_Toc511649767"/>
      <w:bookmarkStart w:id="821" w:name="_Toc476734007"/>
      <w:bookmarkStart w:id="822" w:name="_Toc509902236"/>
      <w:bookmarkStart w:id="823" w:name="_Toc15070"/>
      <w:bookmarkStart w:id="824" w:name="_Toc527029596"/>
      <w:bookmarkStart w:id="825" w:name="_Toc480985241"/>
      <w:bookmarkStart w:id="826" w:name="_Toc31562"/>
      <w:bookmarkStart w:id="827" w:name="_Toc18032"/>
      <w:bookmarkStart w:id="828" w:name="_Toc21861"/>
      <w:bookmarkStart w:id="829" w:name="_Toc23850"/>
      <w:bookmarkStart w:id="830" w:name="_Toc513214638"/>
      <w:bookmarkStart w:id="831" w:name="_Toc8187"/>
      <w:bookmarkStart w:id="832" w:name="_Toc23478"/>
      <w:bookmarkStart w:id="833" w:name="_Toc400"/>
      <w:r>
        <w:t>7.6 不利物质条件</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kinsoku/>
        <w:overflowPunct/>
        <w:topLinePunct w:val="0"/>
        <w:bidi w:val="0"/>
        <w:spacing w:line="300" w:lineRule="auto"/>
      </w:pPr>
      <w:r>
        <w:t>不利物质条件的其他情形和有关约定：</w:t>
      </w:r>
      <w:r>
        <w:rPr>
          <w:rFonts w:hint="eastAsia"/>
          <w:u w:val="single"/>
        </w:rPr>
        <w:t xml:space="preserve">无  </w:t>
      </w:r>
      <w:r>
        <w:rPr>
          <w:rFonts w:hint="eastAsia"/>
        </w:rPr>
        <w:t>。</w:t>
      </w:r>
    </w:p>
    <w:p>
      <w:pPr>
        <w:pStyle w:val="6"/>
        <w:kinsoku/>
        <w:overflowPunct/>
        <w:topLinePunct w:val="0"/>
        <w:bidi w:val="0"/>
        <w:spacing w:line="300" w:lineRule="auto"/>
      </w:pPr>
      <w:bookmarkStart w:id="834" w:name="_Toc30362"/>
      <w:bookmarkStart w:id="835" w:name="_Toc513214639"/>
      <w:bookmarkStart w:id="836" w:name="_Toc24722"/>
      <w:bookmarkStart w:id="837" w:name="_Toc22386"/>
      <w:bookmarkStart w:id="838" w:name="_Toc511649768"/>
      <w:bookmarkStart w:id="839" w:name="_Toc527029597"/>
      <w:bookmarkStart w:id="840" w:name="_Toc480985242"/>
      <w:bookmarkStart w:id="841" w:name="_Toc513038417"/>
      <w:bookmarkStart w:id="842" w:name="_Toc476734008"/>
      <w:bookmarkStart w:id="843" w:name="_Toc490491829"/>
      <w:bookmarkStart w:id="844" w:name="_Toc509902237"/>
      <w:bookmarkStart w:id="845" w:name="_Toc512604485"/>
      <w:bookmarkStart w:id="846" w:name="_Toc513209253"/>
      <w:bookmarkStart w:id="847" w:name="_Toc7933"/>
      <w:bookmarkStart w:id="848" w:name="_Toc14811"/>
      <w:bookmarkStart w:id="849" w:name="_Toc11008"/>
      <w:bookmarkStart w:id="850" w:name="_Toc13592"/>
      <w:bookmarkStart w:id="851" w:name="_Toc3903940"/>
      <w:bookmarkStart w:id="852" w:name="_Toc29676"/>
      <w:bookmarkStart w:id="853" w:name="_Toc7697"/>
      <w:r>
        <w:t>7.7异常恶劣的气候条件</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kinsoku/>
        <w:overflowPunct/>
        <w:topLinePunct w:val="0"/>
        <w:bidi w:val="0"/>
        <w:spacing w:line="300" w:lineRule="auto"/>
      </w:pPr>
      <w:r>
        <w:t>发包人和承包人同意以下情形视为异常恶劣的气候条件：</w:t>
      </w:r>
      <w:r>
        <w:rPr>
          <w:rFonts w:hint="eastAsia" w:ascii="Arial" w:cs="Arial"/>
          <w:b/>
          <w:szCs w:val="21"/>
          <w:u w:val="single"/>
        </w:rPr>
        <w:t>温州气象台发布的以下天气预警信号，其他不计：台风预警黄色及以上、暴雨预警橙色及以上、暴雪预警橙色及以上、大风预警橙色及以上、雷电预警橙色及以上、高温预警橙色及以上</w:t>
      </w:r>
      <w:r>
        <w:rPr>
          <w:rFonts w:ascii="Arial" w:hAnsi="Arial" w:cs="Arial"/>
          <w:u w:val="single"/>
        </w:rPr>
        <w:t xml:space="preserve">  </w:t>
      </w:r>
      <w:r>
        <w:rPr>
          <w:rFonts w:hint="eastAsia" w:ascii="Arial" w:cs="Arial"/>
        </w:rPr>
        <w:t>。</w:t>
      </w:r>
    </w:p>
    <w:p>
      <w:pPr>
        <w:pStyle w:val="6"/>
        <w:kinsoku/>
        <w:overflowPunct/>
        <w:topLinePunct w:val="0"/>
        <w:bidi w:val="0"/>
        <w:spacing w:line="300" w:lineRule="auto"/>
      </w:pPr>
      <w:bookmarkStart w:id="854" w:name="_Toc513214640"/>
      <w:bookmarkStart w:id="855" w:name="_Toc511649769"/>
      <w:bookmarkStart w:id="856" w:name="_Toc480985243"/>
      <w:bookmarkStart w:id="857" w:name="_Toc7505"/>
      <w:bookmarkStart w:id="858" w:name="_Toc29696"/>
      <w:bookmarkStart w:id="859" w:name="_Toc11676"/>
      <w:bookmarkStart w:id="860" w:name="_Toc527029598"/>
      <w:bookmarkStart w:id="861" w:name="_Toc11194"/>
      <w:bookmarkStart w:id="862" w:name="_Toc14323"/>
      <w:bookmarkStart w:id="863" w:name="_Toc513038418"/>
      <w:bookmarkStart w:id="864" w:name="_Toc513209254"/>
      <w:bookmarkStart w:id="865" w:name="_Toc509902238"/>
      <w:bookmarkStart w:id="866" w:name="_Toc490491830"/>
      <w:bookmarkStart w:id="867" w:name="_Toc22509"/>
      <w:bookmarkStart w:id="868" w:name="_Toc10699"/>
      <w:bookmarkStart w:id="869" w:name="_Toc32450"/>
      <w:bookmarkStart w:id="870" w:name="_Toc476734009"/>
      <w:bookmarkStart w:id="871" w:name="_Toc3903941"/>
      <w:bookmarkStart w:id="872" w:name="_Toc512604486"/>
      <w:bookmarkStart w:id="873" w:name="_Toc20157"/>
      <w:r>
        <w:t>7.9 提前竣工的奖励</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kinsoku/>
        <w:overflowPunct/>
        <w:topLinePunct w:val="0"/>
        <w:bidi w:val="0"/>
        <w:spacing w:line="300" w:lineRule="auto"/>
      </w:pPr>
      <w:r>
        <w:t>7.9.2提前竣工的奖励：</w:t>
      </w:r>
      <w:r>
        <w:rPr>
          <w:u w:val="single"/>
        </w:rPr>
        <w:t>不奖</w:t>
      </w:r>
      <w:r>
        <w:rPr>
          <w:rFonts w:hint="eastAsia"/>
        </w:rPr>
        <w:t>。</w:t>
      </w:r>
    </w:p>
    <w:p>
      <w:pPr>
        <w:pStyle w:val="5"/>
        <w:kinsoku/>
        <w:overflowPunct/>
        <w:topLinePunct w:val="0"/>
        <w:bidi w:val="0"/>
        <w:spacing w:line="300" w:lineRule="auto"/>
      </w:pPr>
      <w:bookmarkStart w:id="874" w:name="_Toc474503073"/>
      <w:bookmarkStart w:id="875" w:name="_Toc14897"/>
      <w:bookmarkStart w:id="876" w:name="_Toc490491831"/>
      <w:bookmarkStart w:id="877" w:name="_Toc2567"/>
      <w:bookmarkStart w:id="878" w:name="_Toc10627"/>
      <w:bookmarkStart w:id="879" w:name="_Toc421260795"/>
      <w:bookmarkStart w:id="880" w:name="_Toc32057"/>
      <w:bookmarkStart w:id="881" w:name="_Toc27176"/>
      <w:bookmarkStart w:id="882" w:name="_Toc3903942"/>
      <w:bookmarkStart w:id="883" w:name="_Toc513209255"/>
      <w:bookmarkStart w:id="884" w:name="_Toc25097"/>
      <w:bookmarkStart w:id="885" w:name="_Toc513038419"/>
      <w:bookmarkStart w:id="886" w:name="_Toc511649770"/>
      <w:bookmarkStart w:id="887" w:name="_Toc16606"/>
      <w:bookmarkStart w:id="888" w:name="_Toc476734010"/>
      <w:bookmarkStart w:id="889" w:name="_Toc509902239"/>
      <w:bookmarkStart w:id="890" w:name="_Toc527029599"/>
      <w:bookmarkStart w:id="891" w:name="_Toc421287831"/>
      <w:bookmarkStart w:id="892" w:name="_Toc2353"/>
      <w:bookmarkStart w:id="893" w:name="_Toc513214641"/>
      <w:bookmarkStart w:id="894" w:name="_Toc22490"/>
      <w:bookmarkStart w:id="895" w:name="_Toc480985244"/>
      <w:bookmarkStart w:id="896" w:name="_Toc512604487"/>
      <w:r>
        <w:t>8. 材料与设备</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6"/>
        <w:kinsoku/>
        <w:overflowPunct/>
        <w:topLinePunct w:val="0"/>
        <w:bidi w:val="0"/>
        <w:spacing w:line="300" w:lineRule="auto"/>
      </w:pPr>
      <w:bookmarkStart w:id="897" w:name="_Toc6459"/>
      <w:bookmarkStart w:id="898" w:name="_Toc509902240"/>
      <w:bookmarkStart w:id="899" w:name="_Toc513214642"/>
      <w:bookmarkStart w:id="900" w:name="_Toc513038420"/>
      <w:bookmarkStart w:id="901" w:name="_Toc476734011"/>
      <w:bookmarkStart w:id="902" w:name="_Toc7769"/>
      <w:bookmarkStart w:id="903" w:name="_Toc31739"/>
      <w:bookmarkStart w:id="904" w:name="_Toc527029600"/>
      <w:bookmarkStart w:id="905" w:name="_Toc513209256"/>
      <w:bookmarkStart w:id="906" w:name="_Toc490491832"/>
      <w:bookmarkStart w:id="907" w:name="_Toc6629"/>
      <w:bookmarkStart w:id="908" w:name="_Toc480985245"/>
      <w:bookmarkStart w:id="909" w:name="_Toc512604488"/>
      <w:bookmarkStart w:id="910" w:name="_Toc511649771"/>
      <w:bookmarkStart w:id="911" w:name="_Toc29710"/>
      <w:bookmarkStart w:id="912" w:name="_Toc18534"/>
      <w:bookmarkStart w:id="913" w:name="_Toc10680"/>
      <w:bookmarkStart w:id="914" w:name="_Toc30901"/>
      <w:bookmarkStart w:id="915" w:name="_Toc30738"/>
      <w:bookmarkStart w:id="916" w:name="_Toc3903943"/>
      <w:r>
        <w:rPr>
          <w:rFonts w:hint="eastAsia"/>
        </w:rPr>
        <w:t>8.</w:t>
      </w:r>
      <w:r>
        <w:t>2</w:t>
      </w:r>
      <w:r>
        <w:rPr>
          <w:rFonts w:hint="eastAsia"/>
        </w:rPr>
        <w:t>承包人采购材料与</w:t>
      </w:r>
      <w:r>
        <w:t>工程设备</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kinsoku/>
        <w:overflowPunct/>
        <w:topLinePunct w:val="0"/>
        <w:bidi w:val="0"/>
        <w:spacing w:line="300" w:lineRule="auto"/>
      </w:pPr>
      <w:r>
        <w:rPr>
          <w:rFonts w:hint="eastAsia"/>
        </w:rPr>
        <w:t>8.2.1</w:t>
      </w:r>
      <w:r>
        <w:t>承包人采购材料设备的约定：</w:t>
      </w:r>
    </w:p>
    <w:p>
      <w:pPr>
        <w:kinsoku/>
        <w:overflowPunct/>
        <w:topLinePunct w:val="0"/>
        <w:bidi w:val="0"/>
        <w:spacing w:line="300" w:lineRule="auto"/>
        <w:rPr>
          <w:u w:val="single"/>
        </w:rPr>
      </w:pPr>
      <w:r>
        <w:rPr>
          <w:rFonts w:hint="eastAsia"/>
          <w:u w:val="single"/>
        </w:rPr>
        <w:t>（1）提供生产许可证、出厂合格证、质量检验证书、准用证并符合规范要求。</w:t>
      </w:r>
    </w:p>
    <w:p>
      <w:pPr>
        <w:kinsoku/>
        <w:overflowPunct/>
        <w:topLinePunct w:val="0"/>
        <w:bidi w:val="0"/>
        <w:spacing w:line="300" w:lineRule="auto"/>
        <w:rPr>
          <w:b/>
          <w:szCs w:val="21"/>
        </w:rPr>
      </w:pPr>
      <w:r>
        <w:rPr>
          <w:rFonts w:hint="eastAsia"/>
          <w:u w:val="single"/>
        </w:rPr>
        <w:t xml:space="preserve">（2）规格、型号、色彩必须符合该工程的设计要求 </w:t>
      </w:r>
      <w:r>
        <w:rPr>
          <w:u w:val="single"/>
        </w:rPr>
        <w:t xml:space="preserve"> </w:t>
      </w:r>
      <w:r>
        <w:rPr>
          <w:rFonts w:hint="eastAsia"/>
        </w:rPr>
        <w:t>。</w:t>
      </w:r>
    </w:p>
    <w:p>
      <w:pPr>
        <w:pStyle w:val="6"/>
        <w:kinsoku/>
        <w:overflowPunct/>
        <w:topLinePunct w:val="0"/>
        <w:bidi w:val="0"/>
        <w:spacing w:line="300" w:lineRule="auto"/>
      </w:pPr>
      <w:bookmarkStart w:id="917" w:name="_Toc7331"/>
      <w:bookmarkStart w:id="918" w:name="_Toc7710"/>
      <w:bookmarkStart w:id="919" w:name="_Toc15860"/>
      <w:bookmarkStart w:id="920" w:name="_Toc476734012"/>
      <w:bookmarkStart w:id="921" w:name="_Toc512604489"/>
      <w:bookmarkStart w:id="922" w:name="_Toc527029601"/>
      <w:bookmarkStart w:id="923" w:name="_Toc403"/>
      <w:bookmarkStart w:id="924" w:name="_Toc3903944"/>
      <w:bookmarkStart w:id="925" w:name="_Toc513209257"/>
      <w:bookmarkStart w:id="926" w:name="_Toc11873"/>
      <w:bookmarkStart w:id="927" w:name="_Toc480985246"/>
      <w:bookmarkStart w:id="928" w:name="_Toc509902241"/>
      <w:bookmarkStart w:id="929" w:name="_Toc490491833"/>
      <w:bookmarkStart w:id="930" w:name="_Toc5035"/>
      <w:bookmarkStart w:id="931" w:name="_Toc511649772"/>
      <w:bookmarkStart w:id="932" w:name="_Toc8610"/>
      <w:bookmarkStart w:id="933" w:name="_Toc22014"/>
      <w:bookmarkStart w:id="934" w:name="_Toc513214643"/>
      <w:bookmarkStart w:id="935" w:name="_Toc513038421"/>
      <w:bookmarkStart w:id="936" w:name="_Toc30629"/>
      <w:r>
        <w:t>8.4材料与工程设备的保管与使用</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kinsoku/>
        <w:overflowPunct/>
        <w:topLinePunct w:val="0"/>
        <w:bidi w:val="0"/>
        <w:spacing w:line="300" w:lineRule="auto"/>
        <w:rPr>
          <w:u w:val="single"/>
        </w:rPr>
      </w:pPr>
      <w:r>
        <w:t>8.4.1发包人供应的材料设备的保管费用的承担：</w:t>
      </w:r>
      <w:r>
        <w:rPr>
          <w:rFonts w:hint="eastAsia"/>
          <w:u w:val="single"/>
        </w:rPr>
        <w:t xml:space="preserve">由承包人  </w:t>
      </w:r>
      <w:r>
        <w:rPr>
          <w:rFonts w:hint="eastAsia"/>
        </w:rPr>
        <w:t>。</w:t>
      </w:r>
    </w:p>
    <w:p>
      <w:pPr>
        <w:pStyle w:val="6"/>
        <w:kinsoku/>
        <w:overflowPunct/>
        <w:topLinePunct w:val="0"/>
        <w:bidi w:val="0"/>
        <w:spacing w:line="300" w:lineRule="auto"/>
      </w:pPr>
      <w:bookmarkStart w:id="937" w:name="_Toc490491834"/>
      <w:bookmarkStart w:id="938" w:name="_Toc512604490"/>
      <w:bookmarkStart w:id="939" w:name="_Toc16295"/>
      <w:bookmarkStart w:id="940" w:name="_Toc15561"/>
      <w:bookmarkStart w:id="941" w:name="_Toc11594"/>
      <w:bookmarkStart w:id="942" w:name="_Toc511649773"/>
      <w:bookmarkStart w:id="943" w:name="_Toc513038422"/>
      <w:bookmarkStart w:id="944" w:name="_Toc527029602"/>
      <w:bookmarkStart w:id="945" w:name="_Toc513209258"/>
      <w:bookmarkStart w:id="946" w:name="_Toc3903945"/>
      <w:bookmarkStart w:id="947" w:name="_Toc31826"/>
      <w:bookmarkStart w:id="948" w:name="_Toc509902242"/>
      <w:bookmarkStart w:id="949" w:name="_Toc513214644"/>
      <w:bookmarkStart w:id="950" w:name="_Toc24903"/>
      <w:bookmarkStart w:id="951" w:name="_Toc14893"/>
      <w:bookmarkStart w:id="952" w:name="_Toc10843"/>
      <w:bookmarkStart w:id="953" w:name="_Toc12345"/>
      <w:bookmarkStart w:id="954" w:name="_Toc14563"/>
      <w:bookmarkStart w:id="955" w:name="_Toc476734013"/>
      <w:bookmarkStart w:id="956" w:name="_Toc480985247"/>
      <w:r>
        <w:t>8.6 样品</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kinsoku/>
        <w:overflowPunct/>
        <w:topLinePunct w:val="0"/>
        <w:autoSpaceDE w:val="0"/>
        <w:autoSpaceDN w:val="0"/>
        <w:bidi w:val="0"/>
        <w:adjustRightInd w:val="0"/>
        <w:spacing w:line="300" w:lineRule="auto"/>
        <w:rPr>
          <w:szCs w:val="21"/>
        </w:rPr>
      </w:pPr>
      <w:r>
        <w:rPr>
          <w:szCs w:val="21"/>
        </w:rPr>
        <w:t>8.6.1</w:t>
      </w:r>
      <w:r>
        <w:rPr>
          <w:rFonts w:hint="eastAsia"/>
          <w:szCs w:val="21"/>
        </w:rPr>
        <w:t xml:space="preserve"> </w:t>
      </w:r>
      <w:r>
        <w:rPr>
          <w:szCs w:val="21"/>
        </w:rPr>
        <w:t>样品的报送</w:t>
      </w:r>
      <w:r>
        <w:rPr>
          <w:rFonts w:hint="eastAsia"/>
          <w:szCs w:val="21"/>
        </w:rPr>
        <w:t>与封存</w:t>
      </w:r>
    </w:p>
    <w:p>
      <w:pPr>
        <w:kinsoku/>
        <w:overflowPunct/>
        <w:topLinePunct w:val="0"/>
        <w:autoSpaceDE w:val="0"/>
        <w:autoSpaceDN w:val="0"/>
        <w:bidi w:val="0"/>
        <w:adjustRightInd w:val="0"/>
        <w:spacing w:line="300" w:lineRule="auto"/>
        <w:rPr>
          <w:szCs w:val="21"/>
          <w:u w:val="single"/>
        </w:rPr>
      </w:pPr>
      <w:r>
        <w:rPr>
          <w:szCs w:val="21"/>
        </w:rPr>
        <w:t>需要承包人报送样品的材料或工程设备，样品的种类、名称、规格、数量要求：</w:t>
      </w:r>
      <w:r>
        <w:rPr>
          <w:rFonts w:hint="eastAsia" w:ascii="Arial" w:cs="Arial"/>
          <w:b/>
          <w:szCs w:val="21"/>
          <w:u w:val="single"/>
        </w:rPr>
        <w:t>按监理人要求提供</w:t>
      </w:r>
      <w:r>
        <w:rPr>
          <w:rFonts w:hint="eastAsia"/>
        </w:rPr>
        <w:t>。</w:t>
      </w:r>
    </w:p>
    <w:p>
      <w:pPr>
        <w:pStyle w:val="6"/>
        <w:kinsoku/>
        <w:overflowPunct/>
        <w:topLinePunct w:val="0"/>
        <w:bidi w:val="0"/>
        <w:spacing w:line="300" w:lineRule="auto"/>
      </w:pPr>
      <w:bookmarkStart w:id="957" w:name="_Toc513209259"/>
      <w:bookmarkStart w:id="958" w:name="_Toc509902243"/>
      <w:bookmarkStart w:id="959" w:name="_Toc476734014"/>
      <w:bookmarkStart w:id="960" w:name="_Toc3903946"/>
      <w:bookmarkStart w:id="961" w:name="_Toc28142"/>
      <w:bookmarkStart w:id="962" w:name="_Toc32247"/>
      <w:bookmarkStart w:id="963" w:name="_Toc28570"/>
      <w:bookmarkStart w:id="964" w:name="_Toc16666"/>
      <w:bookmarkStart w:id="965" w:name="_Toc513038423"/>
      <w:bookmarkStart w:id="966" w:name="_Toc22761"/>
      <w:bookmarkStart w:id="967" w:name="_Toc490491835"/>
      <w:bookmarkStart w:id="968" w:name="_Toc512604491"/>
      <w:bookmarkStart w:id="969" w:name="_Toc527029603"/>
      <w:bookmarkStart w:id="970" w:name="_Toc513214645"/>
      <w:bookmarkStart w:id="971" w:name="_Toc20282"/>
      <w:bookmarkStart w:id="972" w:name="_Toc480985248"/>
      <w:bookmarkStart w:id="973" w:name="_Toc669"/>
      <w:bookmarkStart w:id="974" w:name="_Toc3217"/>
      <w:bookmarkStart w:id="975" w:name="_Toc6156"/>
      <w:bookmarkStart w:id="976" w:name="_Toc511649774"/>
      <w:r>
        <w:t>8.8 施工设备和临时设施</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kinsoku/>
        <w:overflowPunct/>
        <w:topLinePunct w:val="0"/>
        <w:bidi w:val="0"/>
        <w:spacing w:line="300" w:lineRule="auto"/>
      </w:pPr>
      <w:r>
        <w:t>8.8.1 承包人提供的施工设备和临时设施</w:t>
      </w:r>
    </w:p>
    <w:p>
      <w:pPr>
        <w:kinsoku/>
        <w:overflowPunct/>
        <w:topLinePunct w:val="0"/>
        <w:bidi w:val="0"/>
        <w:spacing w:line="300" w:lineRule="auto"/>
        <w:rPr>
          <w:u w:val="single"/>
        </w:rPr>
      </w:pPr>
      <w:r>
        <w:t>关于修建临时设施费用承担的约定：</w:t>
      </w:r>
      <w:r>
        <w:rPr>
          <w:rFonts w:hint="eastAsia"/>
          <w:u w:val="single"/>
        </w:rPr>
        <w:t xml:space="preserve">由承包人承担  </w:t>
      </w:r>
      <w:r>
        <w:rPr>
          <w:rFonts w:hint="eastAsia"/>
        </w:rPr>
        <w:t>。</w:t>
      </w:r>
    </w:p>
    <w:p>
      <w:pPr>
        <w:pStyle w:val="5"/>
        <w:kinsoku/>
        <w:overflowPunct/>
        <w:topLinePunct w:val="0"/>
        <w:bidi w:val="0"/>
        <w:spacing w:line="300" w:lineRule="auto"/>
      </w:pPr>
      <w:bookmarkStart w:id="977" w:name="_Toc19040"/>
      <w:bookmarkStart w:id="978" w:name="_Toc474503074"/>
      <w:bookmarkStart w:id="979" w:name="_Toc476734015"/>
      <w:bookmarkStart w:id="980" w:name="_Toc490491836"/>
      <w:bookmarkStart w:id="981" w:name="_Toc511649775"/>
      <w:bookmarkStart w:id="982" w:name="_Toc513209260"/>
      <w:bookmarkStart w:id="983" w:name="_Toc480985249"/>
      <w:bookmarkStart w:id="984" w:name="_Toc512604492"/>
      <w:bookmarkStart w:id="985" w:name="_Toc421260796"/>
      <w:bookmarkStart w:id="986" w:name="_Toc509902244"/>
      <w:bookmarkStart w:id="987" w:name="_Toc421287832"/>
      <w:bookmarkStart w:id="988" w:name="_Toc15474"/>
      <w:bookmarkStart w:id="989" w:name="_Toc12066"/>
      <w:bookmarkStart w:id="990" w:name="_Toc513214646"/>
      <w:bookmarkStart w:id="991" w:name="_Toc513038424"/>
      <w:bookmarkStart w:id="992" w:name="_Toc3903947"/>
      <w:bookmarkStart w:id="993" w:name="_Toc21427"/>
      <w:bookmarkStart w:id="994" w:name="_Toc527029604"/>
      <w:bookmarkStart w:id="995" w:name="_Toc20523"/>
      <w:bookmarkStart w:id="996" w:name="_Toc13478"/>
      <w:bookmarkStart w:id="997" w:name="_Toc24475"/>
      <w:bookmarkStart w:id="998" w:name="_Toc2946"/>
      <w:bookmarkStart w:id="999" w:name="_Toc9786"/>
      <w:r>
        <w:t>9. 试验与检验</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6"/>
        <w:kinsoku/>
        <w:overflowPunct/>
        <w:topLinePunct w:val="0"/>
        <w:bidi w:val="0"/>
        <w:spacing w:line="300" w:lineRule="auto"/>
      </w:pPr>
      <w:bookmarkStart w:id="1000" w:name="_Toc513209261"/>
      <w:bookmarkStart w:id="1001" w:name="_Toc509902245"/>
      <w:bookmarkStart w:id="1002" w:name="_Toc26360"/>
      <w:bookmarkStart w:id="1003" w:name="_Toc513214647"/>
      <w:bookmarkStart w:id="1004" w:name="_Toc512604493"/>
      <w:bookmarkStart w:id="1005" w:name="_Toc511649776"/>
      <w:bookmarkStart w:id="1006" w:name="_Toc13451"/>
      <w:bookmarkStart w:id="1007" w:name="_Toc24529"/>
      <w:bookmarkStart w:id="1008" w:name="_Toc490491837"/>
      <w:bookmarkStart w:id="1009" w:name="_Toc3903948"/>
      <w:bookmarkStart w:id="1010" w:name="_Toc7904"/>
      <w:bookmarkStart w:id="1011" w:name="_Toc4544"/>
      <w:bookmarkStart w:id="1012" w:name="_Toc29154"/>
      <w:bookmarkStart w:id="1013" w:name="_Toc480985250"/>
      <w:bookmarkStart w:id="1014" w:name="_Toc513038425"/>
      <w:bookmarkStart w:id="1015" w:name="_Toc12052"/>
      <w:bookmarkStart w:id="1016" w:name="_Toc527029605"/>
      <w:bookmarkStart w:id="1017" w:name="_Toc13752"/>
      <w:bookmarkStart w:id="1018" w:name="_Toc8512"/>
      <w:bookmarkStart w:id="1019" w:name="_Toc476734016"/>
      <w:r>
        <w:t>9.1试验设备与试验人员</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kinsoku/>
        <w:overflowPunct/>
        <w:topLinePunct w:val="0"/>
        <w:bidi w:val="0"/>
        <w:spacing w:line="300" w:lineRule="auto"/>
      </w:pPr>
      <w:r>
        <w:t>9.1.2 试验设备</w:t>
      </w:r>
    </w:p>
    <w:p>
      <w:pPr>
        <w:kinsoku/>
        <w:overflowPunct/>
        <w:topLinePunct w:val="0"/>
        <w:bidi w:val="0"/>
        <w:spacing w:line="300" w:lineRule="auto"/>
        <w:rPr>
          <w:u w:val="single"/>
        </w:rPr>
      </w:pPr>
      <w:r>
        <w:t>施工现场需要配置的试验场所：</w:t>
      </w:r>
      <w:r>
        <w:rPr>
          <w:rFonts w:hint="eastAsia"/>
          <w:u w:val="single"/>
        </w:rPr>
        <w:t xml:space="preserve">由承包人承担  </w:t>
      </w:r>
      <w:r>
        <w:rPr>
          <w:rFonts w:hint="eastAsia"/>
        </w:rPr>
        <w:t>。</w:t>
      </w:r>
    </w:p>
    <w:p>
      <w:pPr>
        <w:kinsoku/>
        <w:overflowPunct/>
        <w:topLinePunct w:val="0"/>
        <w:bidi w:val="0"/>
        <w:spacing w:line="300" w:lineRule="auto"/>
        <w:rPr>
          <w:u w:val="single"/>
        </w:rPr>
      </w:pPr>
      <w:r>
        <w:t>施工现场需要配备的试验设备：</w:t>
      </w:r>
      <w:r>
        <w:rPr>
          <w:rFonts w:hint="eastAsia"/>
          <w:u w:val="single"/>
        </w:rPr>
        <w:t xml:space="preserve">由承包人承担  </w:t>
      </w:r>
      <w:r>
        <w:rPr>
          <w:rFonts w:hint="eastAsia"/>
        </w:rPr>
        <w:t>。</w:t>
      </w:r>
    </w:p>
    <w:p>
      <w:pPr>
        <w:kinsoku/>
        <w:overflowPunct/>
        <w:topLinePunct w:val="0"/>
        <w:bidi w:val="0"/>
        <w:spacing w:line="300" w:lineRule="auto"/>
        <w:rPr>
          <w:u w:val="single"/>
        </w:rPr>
      </w:pPr>
      <w:r>
        <w:t>施工现场需要具备的其他试验条件：</w:t>
      </w:r>
      <w:r>
        <w:rPr>
          <w:rFonts w:hint="eastAsia"/>
          <w:u w:val="single"/>
        </w:rPr>
        <w:t xml:space="preserve">由承包人承担  </w:t>
      </w:r>
      <w:r>
        <w:rPr>
          <w:rFonts w:hint="eastAsia"/>
        </w:rPr>
        <w:t>。</w:t>
      </w:r>
    </w:p>
    <w:p>
      <w:pPr>
        <w:pStyle w:val="6"/>
        <w:kinsoku/>
        <w:overflowPunct/>
        <w:topLinePunct w:val="0"/>
        <w:bidi w:val="0"/>
        <w:spacing w:line="300" w:lineRule="auto"/>
      </w:pPr>
      <w:bookmarkStart w:id="1020" w:name="_Toc527029606"/>
      <w:bookmarkStart w:id="1021" w:name="_Toc513209262"/>
      <w:bookmarkStart w:id="1022" w:name="_Toc511649777"/>
      <w:bookmarkStart w:id="1023" w:name="_Toc3736"/>
      <w:bookmarkStart w:id="1024" w:name="_Toc490491838"/>
      <w:bookmarkStart w:id="1025" w:name="_Toc5189"/>
      <w:bookmarkStart w:id="1026" w:name="_Toc17154"/>
      <w:bookmarkStart w:id="1027" w:name="_Toc513038426"/>
      <w:bookmarkStart w:id="1028" w:name="_Toc6527"/>
      <w:bookmarkStart w:id="1029" w:name="_Toc512604494"/>
      <w:bookmarkStart w:id="1030" w:name="_Toc31383"/>
      <w:bookmarkStart w:id="1031" w:name="_Toc480985251"/>
      <w:bookmarkStart w:id="1032" w:name="_Toc513214648"/>
      <w:bookmarkStart w:id="1033" w:name="_Toc15849"/>
      <w:bookmarkStart w:id="1034" w:name="_Toc509902246"/>
      <w:bookmarkStart w:id="1035" w:name="_Toc476734017"/>
      <w:bookmarkStart w:id="1036" w:name="_Toc27674"/>
      <w:bookmarkStart w:id="1037" w:name="_Toc3903949"/>
      <w:bookmarkStart w:id="1038" w:name="_Toc16311"/>
      <w:bookmarkStart w:id="1039" w:name="_Toc26184"/>
      <w:r>
        <w:t>9.4 现场工艺试验</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Pr>
          <w:rFonts w:hint="eastAsia"/>
        </w:rPr>
        <w:t xml:space="preserve"> </w:t>
      </w:r>
    </w:p>
    <w:p>
      <w:pPr>
        <w:kinsoku/>
        <w:overflowPunct/>
        <w:topLinePunct w:val="0"/>
        <w:bidi w:val="0"/>
        <w:spacing w:line="300" w:lineRule="auto"/>
        <w:rPr>
          <w:u w:val="single"/>
        </w:rPr>
      </w:pPr>
      <w:r>
        <w:t>现场工艺试验的有关约定：</w:t>
      </w:r>
      <w:r>
        <w:rPr>
          <w:rFonts w:hint="eastAsia" w:ascii="Arial" w:cs="Arial"/>
          <w:szCs w:val="21"/>
          <w:u w:val="single"/>
        </w:rPr>
        <w:t>按监理人指示进行现场工艺试验</w:t>
      </w:r>
      <w:r>
        <w:rPr>
          <w:rFonts w:hint="eastAsia"/>
        </w:rPr>
        <w:t>。</w:t>
      </w:r>
    </w:p>
    <w:p>
      <w:pPr>
        <w:pStyle w:val="5"/>
        <w:kinsoku/>
        <w:overflowPunct/>
        <w:topLinePunct w:val="0"/>
        <w:bidi w:val="0"/>
        <w:spacing w:line="300" w:lineRule="auto"/>
      </w:pPr>
      <w:bookmarkStart w:id="1040" w:name="_Toc476734018"/>
      <w:bookmarkStart w:id="1041" w:name="_Toc474503075"/>
      <w:bookmarkStart w:id="1042" w:name="_Toc527029607"/>
      <w:bookmarkStart w:id="1043" w:name="_Toc480985252"/>
      <w:bookmarkStart w:id="1044" w:name="_Toc29655"/>
      <w:bookmarkStart w:id="1045" w:name="_Toc421260797"/>
      <w:bookmarkStart w:id="1046" w:name="_Toc15253"/>
      <w:bookmarkStart w:id="1047" w:name="_Toc509902247"/>
      <w:bookmarkStart w:id="1048" w:name="_Toc513209263"/>
      <w:bookmarkStart w:id="1049" w:name="_Toc10437"/>
      <w:bookmarkStart w:id="1050" w:name="_Toc22406"/>
      <w:bookmarkStart w:id="1051" w:name="_Toc511649778"/>
      <w:bookmarkStart w:id="1052" w:name="_Toc22670"/>
      <w:bookmarkStart w:id="1053" w:name="_Toc421287833"/>
      <w:bookmarkStart w:id="1054" w:name="_Toc26168"/>
      <w:bookmarkStart w:id="1055" w:name="_Toc512604495"/>
      <w:bookmarkStart w:id="1056" w:name="_Toc513038427"/>
      <w:bookmarkStart w:id="1057" w:name="_Toc10766"/>
      <w:bookmarkStart w:id="1058" w:name="_Toc490491839"/>
      <w:bookmarkStart w:id="1059" w:name="_Toc25071"/>
      <w:bookmarkStart w:id="1060" w:name="_Toc513214649"/>
      <w:bookmarkStart w:id="1061" w:name="_Toc3903950"/>
      <w:bookmarkStart w:id="1062" w:name="_Toc12269"/>
      <w:r>
        <w:t>10. 变更</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6"/>
        <w:kinsoku/>
        <w:overflowPunct/>
        <w:topLinePunct w:val="0"/>
        <w:bidi w:val="0"/>
        <w:spacing w:line="300" w:lineRule="auto"/>
      </w:pPr>
      <w:bookmarkStart w:id="1063" w:name="_Toc476734019"/>
      <w:bookmarkStart w:id="1064" w:name="_Toc480985253"/>
      <w:bookmarkStart w:id="1065" w:name="_Toc490491840"/>
      <w:bookmarkStart w:id="1066" w:name="_Toc509902248"/>
      <w:bookmarkStart w:id="1067" w:name="_Toc512604496"/>
      <w:bookmarkStart w:id="1068" w:name="_Toc511649779"/>
      <w:bookmarkStart w:id="1069" w:name="_Toc20147"/>
      <w:bookmarkStart w:id="1070" w:name="_Toc513038428"/>
      <w:bookmarkStart w:id="1071" w:name="_Toc513209264"/>
      <w:bookmarkStart w:id="1072" w:name="_Toc513214650"/>
      <w:bookmarkStart w:id="1073" w:name="_Toc18233"/>
      <w:bookmarkStart w:id="1074" w:name="_Toc18511"/>
      <w:bookmarkStart w:id="1075" w:name="_Toc28703"/>
      <w:bookmarkStart w:id="1076" w:name="_Toc2771"/>
      <w:bookmarkStart w:id="1077" w:name="_Toc83"/>
      <w:bookmarkStart w:id="1078" w:name="_Toc3633"/>
      <w:bookmarkStart w:id="1079" w:name="_Toc13889"/>
      <w:bookmarkStart w:id="1080" w:name="_Toc27567"/>
      <w:bookmarkStart w:id="1081" w:name="_Toc527029608"/>
      <w:bookmarkStart w:id="1082" w:name="_Toc3903951"/>
      <w:r>
        <w:t>10.1变更的范围</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kinsoku/>
        <w:overflowPunct/>
        <w:topLinePunct w:val="0"/>
        <w:bidi w:val="0"/>
        <w:spacing w:line="300" w:lineRule="auto"/>
        <w:rPr>
          <w:szCs w:val="21"/>
        </w:rPr>
      </w:pPr>
      <w:r>
        <w:rPr>
          <w:szCs w:val="21"/>
        </w:rPr>
        <w:t>关于变更的范围的约定：</w:t>
      </w:r>
      <w:r>
        <w:rPr>
          <w:rFonts w:hint="eastAsia"/>
          <w:u w:val="single"/>
        </w:rPr>
        <w:t xml:space="preserve">设计变更应由发包人委托原设计人修改，其他任何单位不得擅自修改，并经监理、发包人代表签证，由发包人报审图单位审批后实施，重大变更尚需报规划建设部门备案  </w:t>
      </w:r>
      <w:r>
        <w:t>。</w:t>
      </w:r>
    </w:p>
    <w:p>
      <w:pPr>
        <w:pStyle w:val="6"/>
        <w:kinsoku/>
        <w:overflowPunct/>
        <w:topLinePunct w:val="0"/>
        <w:bidi w:val="0"/>
        <w:spacing w:line="300" w:lineRule="auto"/>
      </w:pPr>
      <w:bookmarkStart w:id="1083" w:name="_Toc511649780"/>
      <w:bookmarkStart w:id="1084" w:name="_Toc17996"/>
      <w:bookmarkStart w:id="1085" w:name="_Toc513038429"/>
      <w:bookmarkStart w:id="1086" w:name="_Toc509902249"/>
      <w:bookmarkStart w:id="1087" w:name="_Toc30238"/>
      <w:bookmarkStart w:id="1088" w:name="_Toc490491841"/>
      <w:bookmarkStart w:id="1089" w:name="_Toc480985254"/>
      <w:bookmarkStart w:id="1090" w:name="_Toc29823"/>
      <w:bookmarkStart w:id="1091" w:name="_Toc527029609"/>
      <w:bookmarkStart w:id="1092" w:name="_Toc24409"/>
      <w:bookmarkStart w:id="1093" w:name="_Toc513214651"/>
      <w:bookmarkStart w:id="1094" w:name="_Toc25858"/>
      <w:bookmarkStart w:id="1095" w:name="_Toc513209265"/>
      <w:bookmarkStart w:id="1096" w:name="_Toc512604497"/>
      <w:bookmarkStart w:id="1097" w:name="_Toc11493"/>
      <w:bookmarkStart w:id="1098" w:name="_Toc8781"/>
      <w:bookmarkStart w:id="1099" w:name="_Toc476734020"/>
      <w:bookmarkStart w:id="1100" w:name="_Toc3903952"/>
      <w:bookmarkStart w:id="1101" w:name="_Toc24715"/>
      <w:bookmarkStart w:id="1102" w:name="_Toc5952"/>
      <w:r>
        <w:t>10.4 变更估价</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kinsoku/>
        <w:overflowPunct/>
        <w:topLinePunct w:val="0"/>
        <w:bidi w:val="0"/>
        <w:spacing w:line="300" w:lineRule="auto"/>
      </w:pPr>
      <w:r>
        <w:rPr>
          <w:rFonts w:hint="eastAsia"/>
        </w:rPr>
        <w:t>10.4.1 变更估价原则</w:t>
      </w:r>
    </w:p>
    <w:p>
      <w:pPr>
        <w:kinsoku/>
        <w:overflowPunct/>
        <w:topLinePunct w:val="0"/>
        <w:bidi w:val="0"/>
        <w:spacing w:line="300" w:lineRule="auto"/>
        <w:rPr>
          <w:u w:val="single"/>
        </w:rPr>
      </w:pPr>
      <w:r>
        <w:t xml:space="preserve">关于变更估价的约定: </w:t>
      </w:r>
      <w:r>
        <w:rPr>
          <w:rFonts w:hint="eastAsia"/>
          <w:u w:val="single"/>
        </w:rPr>
        <w:t>按本磋商文件专用合同条款第1.13款执行</w:t>
      </w:r>
      <w:r>
        <w:rPr>
          <w:u w:val="single"/>
        </w:rPr>
        <w:t xml:space="preserve"> </w:t>
      </w:r>
      <w:r>
        <w:rPr>
          <w:rFonts w:hint="eastAsia"/>
        </w:rPr>
        <w:t>。</w:t>
      </w:r>
    </w:p>
    <w:p>
      <w:pPr>
        <w:pStyle w:val="6"/>
        <w:kinsoku/>
        <w:overflowPunct/>
        <w:topLinePunct w:val="0"/>
        <w:bidi w:val="0"/>
        <w:spacing w:line="300" w:lineRule="auto"/>
      </w:pPr>
      <w:bookmarkStart w:id="1103" w:name="_Toc490491842"/>
      <w:bookmarkStart w:id="1104" w:name="_Toc10684"/>
      <w:bookmarkStart w:id="1105" w:name="_Toc513209266"/>
      <w:bookmarkStart w:id="1106" w:name="_Toc513214652"/>
      <w:bookmarkStart w:id="1107" w:name="_Toc509902250"/>
      <w:bookmarkStart w:id="1108" w:name="_Toc19221"/>
      <w:bookmarkStart w:id="1109" w:name="_Toc1370"/>
      <w:bookmarkStart w:id="1110" w:name="_Toc476734021"/>
      <w:bookmarkStart w:id="1111" w:name="_Toc512604498"/>
      <w:bookmarkStart w:id="1112" w:name="_Toc527029610"/>
      <w:bookmarkStart w:id="1113" w:name="_Toc17024"/>
      <w:bookmarkStart w:id="1114" w:name="_Toc28743"/>
      <w:bookmarkStart w:id="1115" w:name="_Toc513038430"/>
      <w:bookmarkStart w:id="1116" w:name="_Toc511649781"/>
      <w:bookmarkStart w:id="1117" w:name="_Toc480985255"/>
      <w:bookmarkStart w:id="1118" w:name="_Toc3903953"/>
      <w:bookmarkStart w:id="1119" w:name="_Toc840"/>
      <w:bookmarkStart w:id="1120" w:name="_Toc10751"/>
      <w:bookmarkStart w:id="1121" w:name="_Toc16092"/>
      <w:bookmarkStart w:id="1122" w:name="_Toc25747"/>
      <w:r>
        <w:t>10.5承包人的合理化建议</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kinsoku/>
        <w:overflowPunct/>
        <w:topLinePunct w:val="0"/>
        <w:bidi w:val="0"/>
        <w:spacing w:line="300" w:lineRule="auto"/>
      </w:pPr>
      <w:r>
        <w:t>监理人审查承包人合理化建议的期限：</w:t>
      </w:r>
      <w:r>
        <w:rPr>
          <w:rFonts w:hint="eastAsia"/>
        </w:rPr>
        <w:t xml:space="preserve">收到承包人提交的合理化建议后7天内审核完毕并报送发包人，发现其中存在技术上的缺陷，应通知承包人修改 </w:t>
      </w:r>
      <w:r>
        <w:t xml:space="preserve"> </w:t>
      </w:r>
      <w:r>
        <w:rPr>
          <w:rFonts w:hint="eastAsia"/>
        </w:rPr>
        <w:t>。</w:t>
      </w:r>
    </w:p>
    <w:p>
      <w:pPr>
        <w:kinsoku/>
        <w:overflowPunct/>
        <w:topLinePunct w:val="0"/>
        <w:bidi w:val="0"/>
        <w:spacing w:line="300" w:lineRule="auto"/>
      </w:pPr>
      <w:r>
        <w:t>发包人审批承包人合理化建议的期限：</w:t>
      </w:r>
      <w:r>
        <w:rPr>
          <w:rFonts w:hint="eastAsia" w:ascii="楷体_GB2312" w:eastAsia="楷体_GB2312"/>
          <w:u w:val="single"/>
        </w:rPr>
        <w:t xml:space="preserve">收到监理人报送的合理化建议后7天内  </w:t>
      </w:r>
      <w:r>
        <w:rPr>
          <w:rFonts w:hint="eastAsia"/>
        </w:rPr>
        <w:t>。</w:t>
      </w:r>
    </w:p>
    <w:p>
      <w:pPr>
        <w:kinsoku/>
        <w:overflowPunct/>
        <w:topLinePunct w:val="0"/>
        <w:bidi w:val="0"/>
        <w:spacing w:line="300" w:lineRule="auto"/>
      </w:pPr>
      <w:r>
        <w:t>承包人提出的合理化建议降低了合同价格或者提高了工程经济效益的奖励的方法和金额为：</w:t>
      </w:r>
      <w:r>
        <w:rPr>
          <w:rFonts w:hint="eastAsia"/>
          <w:u w:val="single"/>
        </w:rPr>
        <w:t xml:space="preserve">无  </w:t>
      </w:r>
      <w:r>
        <w:rPr>
          <w:rFonts w:hint="eastAsia"/>
        </w:rPr>
        <w:t>。</w:t>
      </w:r>
    </w:p>
    <w:p>
      <w:pPr>
        <w:pStyle w:val="6"/>
        <w:kinsoku/>
        <w:overflowPunct/>
        <w:topLinePunct w:val="0"/>
        <w:bidi w:val="0"/>
        <w:spacing w:line="300" w:lineRule="auto"/>
      </w:pPr>
      <w:bookmarkStart w:id="1123" w:name="_Toc1584"/>
      <w:bookmarkStart w:id="1124" w:name="_Toc513209267"/>
      <w:bookmarkStart w:id="1125" w:name="_Toc511649782"/>
      <w:bookmarkStart w:id="1126" w:name="_Toc28852"/>
      <w:bookmarkStart w:id="1127" w:name="_Toc513214653"/>
      <w:bookmarkStart w:id="1128" w:name="_Toc16680"/>
      <w:bookmarkStart w:id="1129" w:name="_Toc527029611"/>
      <w:bookmarkStart w:id="1130" w:name="_Toc490491843"/>
      <w:bookmarkStart w:id="1131" w:name="_Toc9696"/>
      <w:bookmarkStart w:id="1132" w:name="_Toc512604499"/>
      <w:bookmarkStart w:id="1133" w:name="_Toc509902251"/>
      <w:bookmarkStart w:id="1134" w:name="_Toc480985256"/>
      <w:bookmarkStart w:id="1135" w:name="_Toc513038431"/>
      <w:bookmarkStart w:id="1136" w:name="_Toc27826"/>
      <w:bookmarkStart w:id="1137" w:name="_Toc8149"/>
      <w:bookmarkStart w:id="1138" w:name="_Toc476734022"/>
      <w:bookmarkStart w:id="1139" w:name="_Toc4045"/>
      <w:bookmarkStart w:id="1140" w:name="_Toc5926"/>
      <w:bookmarkStart w:id="1141" w:name="_Toc3903954"/>
      <w:bookmarkStart w:id="1142" w:name="_Toc32163"/>
      <w:r>
        <w:t>10.7 暂估价</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kinsoku/>
        <w:overflowPunct/>
        <w:topLinePunct w:val="0"/>
        <w:bidi w:val="0"/>
        <w:spacing w:line="300" w:lineRule="auto"/>
      </w:pPr>
      <w:r>
        <w:t>暂估价材料和工程设备的明细详见附件</w:t>
      </w:r>
      <w:r>
        <w:rPr>
          <w:rFonts w:hint="eastAsia"/>
        </w:rPr>
        <w:t>11：《</w:t>
      </w:r>
      <w:r>
        <w:t>暂估价一览表</w:t>
      </w:r>
      <w:r>
        <w:rPr>
          <w:rFonts w:hint="eastAsia"/>
        </w:rPr>
        <w:t>》。</w:t>
      </w:r>
    </w:p>
    <w:p>
      <w:pPr>
        <w:kinsoku/>
        <w:overflowPunct/>
        <w:topLinePunct w:val="0"/>
        <w:bidi w:val="0"/>
        <w:spacing w:line="300" w:lineRule="auto"/>
      </w:pPr>
      <w:r>
        <w:t>10.7.1 依法必须招标的暂估价项目</w:t>
      </w:r>
    </w:p>
    <w:p>
      <w:pPr>
        <w:kinsoku/>
        <w:overflowPunct/>
        <w:topLinePunct w:val="0"/>
        <w:bidi w:val="0"/>
        <w:spacing w:line="300" w:lineRule="auto"/>
      </w:pPr>
      <w:r>
        <w:t>对于依法必须招标的暂估价项目的确认和批准采取第</w:t>
      </w:r>
      <w:r>
        <w:rPr>
          <w:rFonts w:hint="eastAsia"/>
          <w:u w:val="single"/>
        </w:rPr>
        <w:t>/</w:t>
      </w:r>
      <w:r>
        <w:t>种方式确定。</w:t>
      </w:r>
    </w:p>
    <w:p>
      <w:pPr>
        <w:kinsoku/>
        <w:overflowPunct/>
        <w:topLinePunct w:val="0"/>
        <w:bidi w:val="0"/>
        <w:spacing w:line="300" w:lineRule="auto"/>
      </w:pPr>
      <w:r>
        <w:t>10.7.2 不属于依法必须招标的暂估价项目</w:t>
      </w:r>
    </w:p>
    <w:p>
      <w:pPr>
        <w:kinsoku/>
        <w:overflowPunct/>
        <w:topLinePunct w:val="0"/>
        <w:bidi w:val="0"/>
        <w:spacing w:line="300" w:lineRule="auto"/>
      </w:pPr>
      <w:r>
        <w:t>对于不属于依法必须招标的暂估价项目的确认和批准采取第</w:t>
      </w:r>
      <w:r>
        <w:rPr>
          <w:rFonts w:hint="eastAsia"/>
          <w:u w:val="single"/>
        </w:rPr>
        <w:t>1</w:t>
      </w:r>
      <w:r>
        <w:t>种方式确定。</w:t>
      </w:r>
    </w:p>
    <w:p>
      <w:pPr>
        <w:kinsoku/>
        <w:overflowPunct/>
        <w:topLinePunct w:val="0"/>
        <w:bidi w:val="0"/>
        <w:spacing w:line="300" w:lineRule="auto"/>
      </w:pPr>
      <w:r>
        <w:t>第3种方式：承包人直接实施的暂估价项目</w:t>
      </w:r>
    </w:p>
    <w:p>
      <w:pPr>
        <w:kinsoku/>
        <w:overflowPunct/>
        <w:topLinePunct w:val="0"/>
        <w:bidi w:val="0"/>
        <w:spacing w:line="300" w:lineRule="auto"/>
      </w:pPr>
      <w:r>
        <w:t>承包人直接实施的暂估价项目的约定：</w:t>
      </w:r>
      <w:r>
        <w:rPr>
          <w:u w:val="single"/>
        </w:rPr>
        <w:t xml:space="preserve">   </w:t>
      </w:r>
      <w:r>
        <w:rPr>
          <w:rFonts w:hint="eastAsia"/>
          <w:u w:val="single"/>
        </w:rPr>
        <w:t>/</w:t>
      </w:r>
      <w:r>
        <w:rPr>
          <w:u w:val="single"/>
        </w:rPr>
        <w:t xml:space="preserve">    </w:t>
      </w:r>
      <w:r>
        <w:rPr>
          <w:rFonts w:hint="eastAsia"/>
          <w:u w:val="single"/>
        </w:rPr>
        <w:t xml:space="preserve">       </w:t>
      </w:r>
    </w:p>
    <w:p>
      <w:pPr>
        <w:pStyle w:val="6"/>
        <w:kinsoku/>
        <w:overflowPunct/>
        <w:topLinePunct w:val="0"/>
        <w:bidi w:val="0"/>
        <w:spacing w:line="300" w:lineRule="auto"/>
      </w:pPr>
      <w:bookmarkStart w:id="1143" w:name="_Toc14353"/>
      <w:bookmarkStart w:id="1144" w:name="_Toc512604500"/>
      <w:bookmarkStart w:id="1145" w:name="_Toc476734023"/>
      <w:bookmarkStart w:id="1146" w:name="_Toc480985257"/>
      <w:bookmarkStart w:id="1147" w:name="_Toc13566"/>
      <w:bookmarkStart w:id="1148" w:name="_Toc513214654"/>
      <w:bookmarkStart w:id="1149" w:name="_Toc527029612"/>
      <w:bookmarkStart w:id="1150" w:name="_Toc513209268"/>
      <w:bookmarkStart w:id="1151" w:name="_Toc7450"/>
      <w:bookmarkStart w:id="1152" w:name="_Toc30201"/>
      <w:bookmarkStart w:id="1153" w:name="_Toc13701"/>
      <w:bookmarkStart w:id="1154" w:name="_Toc7372"/>
      <w:bookmarkStart w:id="1155" w:name="_Toc511649783"/>
      <w:bookmarkStart w:id="1156" w:name="_Toc513038432"/>
      <w:bookmarkStart w:id="1157" w:name="_Toc509902252"/>
      <w:bookmarkStart w:id="1158" w:name="_Toc490491844"/>
      <w:bookmarkStart w:id="1159" w:name="_Toc3903955"/>
      <w:bookmarkStart w:id="1160" w:name="_Toc20162"/>
      <w:bookmarkStart w:id="1161" w:name="_Toc26282"/>
      <w:bookmarkStart w:id="1162" w:name="_Toc28156"/>
      <w:r>
        <w:t>10.8 暂列金额</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kinsoku/>
        <w:overflowPunct/>
        <w:topLinePunct w:val="0"/>
        <w:bidi w:val="0"/>
        <w:spacing w:line="300" w:lineRule="auto"/>
        <w:rPr>
          <w:u w:val="single"/>
        </w:rPr>
      </w:pPr>
      <w:r>
        <w:rPr>
          <w:rFonts w:hint="eastAsia"/>
        </w:rPr>
        <w:t>合同当事人关于暂列金额使用的约定：</w:t>
      </w:r>
      <w:r>
        <w:rPr>
          <w:u w:val="single"/>
        </w:rPr>
        <w:t xml:space="preserve">    </w:t>
      </w:r>
      <w:r>
        <w:rPr>
          <w:rFonts w:hint="eastAsia"/>
          <w:u w:val="single"/>
        </w:rPr>
        <w:t xml:space="preserve">/          </w:t>
      </w:r>
    </w:p>
    <w:p>
      <w:pPr>
        <w:pStyle w:val="5"/>
        <w:kinsoku/>
        <w:overflowPunct/>
        <w:topLinePunct w:val="0"/>
        <w:bidi w:val="0"/>
        <w:spacing w:line="300" w:lineRule="auto"/>
      </w:pPr>
      <w:bookmarkStart w:id="1163" w:name="_Toc513038433"/>
      <w:bookmarkStart w:id="1164" w:name="_Toc20511"/>
      <w:bookmarkStart w:id="1165" w:name="_Toc512604501"/>
      <w:bookmarkStart w:id="1166" w:name="_Toc480985258"/>
      <w:bookmarkStart w:id="1167" w:name="_Toc16745"/>
      <w:bookmarkStart w:id="1168" w:name="_Toc2527"/>
      <w:bookmarkStart w:id="1169" w:name="_Toc527029613"/>
      <w:bookmarkStart w:id="1170" w:name="_Toc3903956"/>
      <w:bookmarkStart w:id="1171" w:name="_Toc421287834"/>
      <w:bookmarkStart w:id="1172" w:name="_Toc513214655"/>
      <w:bookmarkStart w:id="1173" w:name="_Toc10478"/>
      <w:bookmarkStart w:id="1174" w:name="_Toc509902253"/>
      <w:bookmarkStart w:id="1175" w:name="_Toc22521"/>
      <w:bookmarkStart w:id="1176" w:name="_Toc421260798"/>
      <w:bookmarkStart w:id="1177" w:name="_Toc476734024"/>
      <w:bookmarkStart w:id="1178" w:name="_Toc511649784"/>
      <w:bookmarkStart w:id="1179" w:name="_Toc4388"/>
      <w:bookmarkStart w:id="1180" w:name="_Toc513209269"/>
      <w:bookmarkStart w:id="1181" w:name="_Toc28629"/>
      <w:bookmarkStart w:id="1182" w:name="_Toc31058"/>
      <w:bookmarkStart w:id="1183" w:name="_Toc474503076"/>
      <w:bookmarkStart w:id="1184" w:name="_Toc18133"/>
      <w:bookmarkStart w:id="1185" w:name="_Toc490491845"/>
      <w:r>
        <w:t>11. 价格调整</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6"/>
        <w:kinsoku/>
        <w:overflowPunct/>
        <w:topLinePunct w:val="0"/>
        <w:bidi w:val="0"/>
        <w:spacing w:line="300" w:lineRule="auto"/>
      </w:pPr>
      <w:bookmarkStart w:id="1186" w:name="_Toc3903957"/>
      <w:bookmarkStart w:id="1187" w:name="_Toc32018"/>
      <w:bookmarkStart w:id="1188" w:name="_Toc513038434"/>
      <w:bookmarkStart w:id="1189" w:name="_Toc512604502"/>
      <w:bookmarkStart w:id="1190" w:name="_Toc490491846"/>
      <w:bookmarkStart w:id="1191" w:name="_Toc11349"/>
      <w:bookmarkStart w:id="1192" w:name="_Toc1030"/>
      <w:bookmarkStart w:id="1193" w:name="_Toc29580"/>
      <w:bookmarkStart w:id="1194" w:name="_Toc527029614"/>
      <w:bookmarkStart w:id="1195" w:name="_Toc476734025"/>
      <w:bookmarkStart w:id="1196" w:name="_Toc27386"/>
      <w:bookmarkStart w:id="1197" w:name="_Toc23118"/>
      <w:bookmarkStart w:id="1198" w:name="_Toc20255"/>
      <w:bookmarkStart w:id="1199" w:name="_Toc25028"/>
      <w:bookmarkStart w:id="1200" w:name="_Toc509902254"/>
      <w:bookmarkStart w:id="1201" w:name="_Toc480985259"/>
      <w:bookmarkStart w:id="1202" w:name="_Toc513214656"/>
      <w:bookmarkStart w:id="1203" w:name="_Toc13470"/>
      <w:bookmarkStart w:id="1204" w:name="_Toc511649785"/>
      <w:bookmarkStart w:id="1205" w:name="_Toc513209270"/>
      <w:r>
        <w:t>11.1 市场价格波动引起的调整</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kinsoku/>
        <w:overflowPunct/>
        <w:topLinePunct w:val="0"/>
        <w:bidi w:val="0"/>
        <w:spacing w:line="300" w:lineRule="auto"/>
        <w:rPr>
          <w:u w:val="single"/>
        </w:rPr>
      </w:pPr>
      <w:r>
        <w:rPr>
          <w:rFonts w:hint="eastAsia"/>
        </w:rPr>
        <w:t>市场价格波动是否调整合同价格的约定：</w:t>
      </w:r>
      <w:r>
        <w:rPr>
          <w:rFonts w:hint="eastAsia"/>
          <w:u w:val="single"/>
        </w:rPr>
        <w:t>否</w:t>
      </w:r>
    </w:p>
    <w:p>
      <w:pPr>
        <w:pStyle w:val="5"/>
        <w:kinsoku/>
        <w:overflowPunct/>
        <w:topLinePunct w:val="0"/>
        <w:bidi w:val="0"/>
        <w:spacing w:line="300" w:lineRule="auto"/>
      </w:pPr>
      <w:bookmarkStart w:id="1206" w:name="_Toc25701"/>
      <w:bookmarkStart w:id="1207" w:name="_Toc513214657"/>
      <w:bookmarkStart w:id="1208" w:name="_Toc421287835"/>
      <w:bookmarkStart w:id="1209" w:name="_Toc490491847"/>
      <w:bookmarkStart w:id="1210" w:name="_Toc513038435"/>
      <w:bookmarkStart w:id="1211" w:name="_Toc28567"/>
      <w:bookmarkStart w:id="1212" w:name="_Toc3903958"/>
      <w:bookmarkStart w:id="1213" w:name="_Toc4432"/>
      <w:bookmarkStart w:id="1214" w:name="_Toc1270"/>
      <w:bookmarkStart w:id="1215" w:name="_Toc20049"/>
      <w:bookmarkStart w:id="1216" w:name="_Toc480985260"/>
      <w:bookmarkStart w:id="1217" w:name="_Toc476734026"/>
      <w:bookmarkStart w:id="1218" w:name="_Toc512604503"/>
      <w:bookmarkStart w:id="1219" w:name="_Toc474503077"/>
      <w:bookmarkStart w:id="1220" w:name="_Toc421260799"/>
      <w:bookmarkStart w:id="1221" w:name="_Toc8055"/>
      <w:bookmarkStart w:id="1222" w:name="_Toc511649786"/>
      <w:bookmarkStart w:id="1223" w:name="_Toc509902255"/>
      <w:bookmarkStart w:id="1224" w:name="_Toc5184"/>
      <w:bookmarkStart w:id="1225" w:name="_Toc2169"/>
      <w:bookmarkStart w:id="1226" w:name="_Toc513209271"/>
      <w:bookmarkStart w:id="1227" w:name="_Toc527029615"/>
      <w:bookmarkStart w:id="1228" w:name="_Toc29010"/>
      <w:r>
        <w:t>12. 合同价格、计量与支付</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6"/>
        <w:kinsoku/>
        <w:overflowPunct/>
        <w:topLinePunct w:val="0"/>
        <w:bidi w:val="0"/>
        <w:spacing w:line="300" w:lineRule="auto"/>
      </w:pPr>
      <w:bookmarkStart w:id="1229" w:name="_Toc480985261"/>
      <w:bookmarkStart w:id="1230" w:name="_Toc19696"/>
      <w:bookmarkStart w:id="1231" w:name="_Toc513214658"/>
      <w:bookmarkStart w:id="1232" w:name="_Toc14347"/>
      <w:bookmarkStart w:id="1233" w:name="_Toc513038436"/>
      <w:bookmarkStart w:id="1234" w:name="_Toc512604504"/>
      <w:bookmarkStart w:id="1235" w:name="_Toc15936"/>
      <w:bookmarkStart w:id="1236" w:name="_Toc527029616"/>
      <w:bookmarkStart w:id="1237" w:name="_Toc513209272"/>
      <w:bookmarkStart w:id="1238" w:name="_Toc511649787"/>
      <w:bookmarkStart w:id="1239" w:name="_Toc509902256"/>
      <w:bookmarkStart w:id="1240" w:name="_Toc10763"/>
      <w:bookmarkStart w:id="1241" w:name="_Toc490491848"/>
      <w:bookmarkStart w:id="1242" w:name="_Toc31229"/>
      <w:bookmarkStart w:id="1243" w:name="_Toc14969"/>
      <w:bookmarkStart w:id="1244" w:name="_Toc12094"/>
      <w:bookmarkStart w:id="1245" w:name="_Toc476734027"/>
      <w:bookmarkStart w:id="1246" w:name="_Toc12078"/>
      <w:bookmarkStart w:id="1247" w:name="_Toc3015"/>
      <w:bookmarkStart w:id="1248" w:name="_Toc3903959"/>
      <w:r>
        <w:t>12.1 合同价格形式</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kinsoku/>
        <w:overflowPunct/>
        <w:topLinePunct w:val="0"/>
        <w:bidi w:val="0"/>
        <w:spacing w:line="300" w:lineRule="auto"/>
      </w:pPr>
      <w:r>
        <w:rPr>
          <w:rFonts w:hint="eastAsia"/>
        </w:rPr>
        <w:t>12.1 合同价格形式</w:t>
      </w:r>
    </w:p>
    <w:p>
      <w:pPr>
        <w:kinsoku/>
        <w:overflowPunct/>
        <w:topLinePunct w:val="0"/>
        <w:bidi w:val="0"/>
        <w:spacing w:line="300" w:lineRule="auto"/>
      </w:pPr>
      <w:r>
        <w:rPr>
          <w:rFonts w:hint="eastAsia"/>
        </w:rPr>
        <w:t>1、单价合同。</w:t>
      </w:r>
    </w:p>
    <w:p>
      <w:pPr>
        <w:kinsoku/>
        <w:overflowPunct/>
        <w:topLinePunct w:val="0"/>
        <w:bidi w:val="0"/>
        <w:spacing w:line="300" w:lineRule="auto"/>
      </w:pPr>
      <w:r>
        <w:rPr>
          <w:rFonts w:hint="eastAsia"/>
        </w:rPr>
        <w:t>综合单价包含的风险范围：</w:t>
      </w:r>
      <w:r>
        <w:rPr>
          <w:rFonts w:hint="eastAsia" w:ascii="楷体_GB2312" w:eastAsia="楷体_GB2312"/>
          <w:u w:val="single"/>
        </w:rPr>
        <w:t xml:space="preserve">根据磋商文件及补充文件、磋商须知中约定  </w:t>
      </w:r>
      <w:r>
        <w:rPr>
          <w:rFonts w:hint="eastAsia"/>
        </w:rPr>
        <w:t>。</w:t>
      </w:r>
    </w:p>
    <w:p>
      <w:pPr>
        <w:kinsoku/>
        <w:overflowPunct/>
        <w:topLinePunct w:val="0"/>
        <w:bidi w:val="0"/>
        <w:spacing w:line="300" w:lineRule="auto"/>
        <w:rPr>
          <w:u w:val="double"/>
        </w:rPr>
      </w:pPr>
      <w:r>
        <w:rPr>
          <w:rFonts w:hint="eastAsia"/>
        </w:rPr>
        <w:t>风险费用的计算方法：</w:t>
      </w:r>
      <w:r>
        <w:rPr>
          <w:rFonts w:hint="eastAsia" w:ascii="楷体_GB2312" w:eastAsia="楷体_GB2312"/>
          <w:u w:val="single"/>
        </w:rPr>
        <w:t xml:space="preserve">  由承包人在报价中自行考虑  </w:t>
      </w:r>
      <w:r>
        <w:rPr>
          <w:rFonts w:hint="eastAsia"/>
        </w:rPr>
        <w:t>。</w:t>
      </w:r>
    </w:p>
    <w:p>
      <w:pPr>
        <w:kinsoku/>
        <w:overflowPunct/>
        <w:topLinePunct w:val="0"/>
        <w:bidi w:val="0"/>
        <w:spacing w:line="300" w:lineRule="auto"/>
        <w:rPr>
          <w:u w:val="double"/>
        </w:rPr>
      </w:pPr>
      <w:r>
        <w:rPr>
          <w:rFonts w:hint="eastAsia"/>
        </w:rPr>
        <w:t>风险范围以外合同价格的调整方法：</w:t>
      </w:r>
      <w:r>
        <w:rPr>
          <w:rFonts w:hint="eastAsia" w:ascii="楷体_GB2312" w:eastAsia="楷体_GB2312"/>
          <w:b/>
          <w:bCs/>
          <w:sz w:val="22"/>
          <w:szCs w:val="21"/>
          <w:u w:val="single"/>
        </w:rPr>
        <w:t>设计变更、工程联系单变更、工程量清单项目漏项及工程量差异所产生的实际工程量经发包人书面确认后按合同规定调整</w:t>
      </w:r>
      <w:r>
        <w:rPr>
          <w:rFonts w:hint="eastAsia" w:ascii="楷体_GB2312" w:eastAsia="楷体_GB2312"/>
          <w:u w:val="single"/>
        </w:rPr>
        <w:t xml:space="preserve">  </w:t>
      </w:r>
      <w:r>
        <w:rPr>
          <w:rFonts w:hint="eastAsia"/>
        </w:rPr>
        <w:t>。</w:t>
      </w:r>
    </w:p>
    <w:p>
      <w:pPr>
        <w:kinsoku/>
        <w:overflowPunct/>
        <w:topLinePunct w:val="0"/>
        <w:bidi w:val="0"/>
        <w:spacing w:line="300" w:lineRule="auto"/>
      </w:pPr>
      <w:r>
        <w:rPr>
          <w:rFonts w:hint="eastAsia"/>
        </w:rPr>
        <w:t>2、总价合同。</w:t>
      </w:r>
    </w:p>
    <w:p>
      <w:pPr>
        <w:kinsoku/>
        <w:overflowPunct/>
        <w:topLinePunct w:val="0"/>
        <w:bidi w:val="0"/>
        <w:spacing w:line="300" w:lineRule="auto"/>
      </w:pPr>
      <w:r>
        <w:rPr>
          <w:rFonts w:hint="eastAsia"/>
        </w:rPr>
        <w:t>总价包含的风险范围：</w:t>
      </w:r>
      <w:r>
        <w:rPr>
          <w:rFonts w:hint="eastAsia"/>
          <w:u w:val="single"/>
        </w:rPr>
        <w:t xml:space="preserve">    /    </w:t>
      </w:r>
      <w:r>
        <w:rPr>
          <w:rFonts w:hint="eastAsia"/>
        </w:rPr>
        <w:t>。</w:t>
      </w:r>
    </w:p>
    <w:p>
      <w:pPr>
        <w:kinsoku/>
        <w:overflowPunct/>
        <w:topLinePunct w:val="0"/>
        <w:bidi w:val="0"/>
        <w:spacing w:line="300" w:lineRule="auto"/>
      </w:pPr>
      <w:r>
        <w:rPr>
          <w:rFonts w:hint="eastAsia"/>
        </w:rPr>
        <w:t>风险费用的计算方法：</w:t>
      </w:r>
      <w:r>
        <w:rPr>
          <w:rFonts w:hint="eastAsia"/>
          <w:u w:val="single"/>
        </w:rPr>
        <w:t xml:space="preserve">    /    </w:t>
      </w:r>
      <w:r>
        <w:rPr>
          <w:rFonts w:hint="eastAsia"/>
        </w:rPr>
        <w:t>。</w:t>
      </w:r>
    </w:p>
    <w:p>
      <w:pPr>
        <w:kinsoku/>
        <w:overflowPunct/>
        <w:topLinePunct w:val="0"/>
        <w:bidi w:val="0"/>
        <w:spacing w:line="300" w:lineRule="auto"/>
        <w:rPr>
          <w:szCs w:val="21"/>
        </w:rPr>
      </w:pPr>
      <w:r>
        <w:rPr>
          <w:rFonts w:hint="eastAsia"/>
          <w:szCs w:val="21"/>
        </w:rPr>
        <w:t>风险范围以外合同价格的调整方法：</w:t>
      </w:r>
      <w:r>
        <w:rPr>
          <w:rFonts w:hint="eastAsia"/>
          <w:szCs w:val="21"/>
          <w:u w:val="single"/>
        </w:rPr>
        <w:t xml:space="preserve">  /    </w:t>
      </w:r>
      <w:r>
        <w:rPr>
          <w:rFonts w:hint="eastAsia"/>
          <w:szCs w:val="21"/>
        </w:rPr>
        <w:t>。</w:t>
      </w:r>
    </w:p>
    <w:p>
      <w:pPr>
        <w:kinsoku/>
        <w:overflowPunct/>
        <w:topLinePunct w:val="0"/>
        <w:bidi w:val="0"/>
        <w:spacing w:line="300" w:lineRule="auto"/>
        <w:rPr>
          <w:szCs w:val="21"/>
          <w:u w:val="single"/>
        </w:rPr>
      </w:pPr>
      <w:r>
        <w:rPr>
          <w:rFonts w:hint="eastAsia"/>
          <w:szCs w:val="21"/>
        </w:rPr>
        <w:t>双方约定合同价款调整按下列方法进行：</w:t>
      </w:r>
      <w:r>
        <w:rPr>
          <w:rFonts w:hint="eastAsia"/>
          <w:szCs w:val="21"/>
          <w:u w:val="single"/>
        </w:rPr>
        <w:t xml:space="preserve">  /  </w:t>
      </w:r>
      <w:r>
        <w:rPr>
          <w:rFonts w:hint="eastAsia"/>
          <w:szCs w:val="21"/>
        </w:rPr>
        <w:t>。</w:t>
      </w:r>
    </w:p>
    <w:p>
      <w:pPr>
        <w:kinsoku/>
        <w:overflowPunct/>
        <w:topLinePunct w:val="0"/>
        <w:bidi w:val="0"/>
        <w:spacing w:line="300" w:lineRule="auto"/>
        <w:rPr>
          <w:szCs w:val="21"/>
        </w:rPr>
      </w:pPr>
      <w:r>
        <w:rPr>
          <w:rFonts w:hint="eastAsia"/>
          <w:szCs w:val="21"/>
        </w:rPr>
        <w:t>3、其他价格方式：</w:t>
      </w:r>
      <w:r>
        <w:rPr>
          <w:rFonts w:hint="eastAsia"/>
          <w:szCs w:val="21"/>
          <w:u w:val="single"/>
        </w:rPr>
        <w:t xml:space="preserve">  /  </w:t>
      </w:r>
      <w:r>
        <w:rPr>
          <w:rFonts w:hint="eastAsia"/>
          <w:szCs w:val="21"/>
        </w:rPr>
        <w:t>。</w:t>
      </w:r>
    </w:p>
    <w:p>
      <w:pPr>
        <w:pStyle w:val="6"/>
        <w:kinsoku/>
        <w:overflowPunct/>
        <w:topLinePunct w:val="0"/>
        <w:bidi w:val="0"/>
        <w:spacing w:line="300" w:lineRule="auto"/>
      </w:pPr>
      <w:bookmarkStart w:id="1249" w:name="_Toc5392"/>
      <w:bookmarkStart w:id="1250" w:name="_Toc527029617"/>
      <w:bookmarkStart w:id="1251" w:name="_Toc15552"/>
      <w:bookmarkStart w:id="1252" w:name="_Toc513214659"/>
      <w:bookmarkStart w:id="1253" w:name="_Toc32566"/>
      <w:bookmarkStart w:id="1254" w:name="_Toc513038437"/>
      <w:bookmarkStart w:id="1255" w:name="_Toc2765"/>
      <w:bookmarkStart w:id="1256" w:name="_Toc20994"/>
      <w:bookmarkStart w:id="1257" w:name="_Toc509902257"/>
      <w:bookmarkStart w:id="1258" w:name="_Toc512604505"/>
      <w:bookmarkStart w:id="1259" w:name="_Toc490491849"/>
      <w:bookmarkStart w:id="1260" w:name="_Toc511649788"/>
      <w:bookmarkStart w:id="1261" w:name="_Toc513209273"/>
      <w:bookmarkStart w:id="1262" w:name="_Toc480985262"/>
      <w:bookmarkStart w:id="1263" w:name="_Toc12117"/>
      <w:bookmarkStart w:id="1264" w:name="_Toc476734028"/>
      <w:bookmarkStart w:id="1265" w:name="_Toc17012"/>
      <w:bookmarkStart w:id="1266" w:name="_Toc6722"/>
      <w:bookmarkStart w:id="1267" w:name="_Toc3903960"/>
      <w:bookmarkStart w:id="1268" w:name="_Toc6915"/>
      <w:r>
        <w:t>12.2 预付款</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kinsoku/>
        <w:overflowPunct/>
        <w:topLinePunct w:val="0"/>
        <w:bidi w:val="0"/>
        <w:spacing w:line="300" w:lineRule="auto"/>
        <w:ind w:firstLine="420"/>
        <w:rPr>
          <w:rFonts w:ascii="Arial" w:hAnsi="Arial" w:cs="Arial"/>
        </w:rPr>
      </w:pPr>
      <w:bookmarkStart w:id="1269" w:name="_Toc490491850"/>
      <w:bookmarkStart w:id="1270" w:name="_Toc13534"/>
      <w:bookmarkStart w:id="1271" w:name="_Toc512604506"/>
      <w:bookmarkStart w:id="1272" w:name="_Toc513209274"/>
      <w:bookmarkStart w:id="1273" w:name="_Toc480985263"/>
      <w:bookmarkStart w:id="1274" w:name="_Toc513214660"/>
      <w:bookmarkStart w:id="1275" w:name="_Toc513038438"/>
      <w:bookmarkStart w:id="1276" w:name="_Toc20966"/>
      <w:bookmarkStart w:id="1277" w:name="_Toc509902258"/>
      <w:bookmarkStart w:id="1278" w:name="_Toc476734029"/>
      <w:bookmarkStart w:id="1279" w:name="_Toc25226"/>
      <w:bookmarkStart w:id="1280" w:name="_Toc511649789"/>
      <w:r>
        <w:rPr>
          <w:rFonts w:ascii="Arial" w:hAnsi="Arial" w:cs="Arial"/>
        </w:rPr>
        <w:t xml:space="preserve">12.2.1 </w:t>
      </w:r>
      <w:r>
        <w:rPr>
          <w:rFonts w:ascii="Arial" w:cs="Arial"/>
        </w:rPr>
        <w:t>预付款的支付</w:t>
      </w:r>
    </w:p>
    <w:p>
      <w:pPr>
        <w:kinsoku/>
        <w:overflowPunct/>
        <w:topLinePunct w:val="0"/>
        <w:bidi w:val="0"/>
        <w:spacing w:line="300" w:lineRule="auto"/>
        <w:ind w:firstLine="420"/>
        <w:rPr>
          <w:rFonts w:ascii="宋体" w:hAnsi="宋体" w:cs="宋体"/>
          <w:u w:val="single"/>
        </w:rPr>
      </w:pPr>
      <w:r>
        <w:rPr>
          <w:rFonts w:hint="eastAsia" w:ascii="宋体" w:hAnsi="宋体" w:cs="宋体"/>
        </w:rPr>
        <w:t>预付款支付比例或金额：</w:t>
      </w:r>
      <w:r>
        <w:rPr>
          <w:rFonts w:hint="eastAsia" w:ascii="宋体" w:hAnsi="宋体" w:cs="宋体"/>
          <w:szCs w:val="21"/>
          <w:u w:val="single"/>
        </w:rPr>
        <w:t>本工程预付款为合同价款的4.5%（含安全文明施工费）</w:t>
      </w:r>
      <w:r>
        <w:rPr>
          <w:rFonts w:hint="eastAsia" w:ascii="宋体" w:hAnsi="宋体" w:cs="宋体"/>
        </w:rPr>
        <w:t xml:space="preserve">。 </w:t>
      </w:r>
    </w:p>
    <w:p>
      <w:pPr>
        <w:kinsoku/>
        <w:overflowPunct/>
        <w:topLinePunct w:val="0"/>
        <w:bidi w:val="0"/>
        <w:spacing w:line="300" w:lineRule="auto"/>
        <w:ind w:firstLine="420"/>
        <w:rPr>
          <w:rFonts w:ascii="宋体" w:hAnsi="宋体" w:cs="宋体"/>
        </w:rPr>
      </w:pPr>
      <w:r>
        <w:rPr>
          <w:rFonts w:hint="eastAsia" w:ascii="宋体" w:hAnsi="宋体" w:cs="宋体"/>
        </w:rPr>
        <w:t>预付款支付期限：</w:t>
      </w:r>
      <w:r>
        <w:rPr>
          <w:rFonts w:hint="eastAsia" w:ascii="宋体" w:hAnsi="宋体" w:cs="宋体"/>
          <w:u w:val="single"/>
        </w:rPr>
        <w:t>合同签订后5天内支付合同价款的4.5%（含安全文明施工费）</w:t>
      </w:r>
      <w:r>
        <w:rPr>
          <w:rFonts w:hint="eastAsia" w:ascii="宋体" w:hAnsi="宋体" w:cs="宋体"/>
        </w:rPr>
        <w:t>。</w:t>
      </w:r>
    </w:p>
    <w:p>
      <w:pPr>
        <w:kinsoku/>
        <w:overflowPunct/>
        <w:topLinePunct w:val="0"/>
        <w:bidi w:val="0"/>
        <w:spacing w:line="300" w:lineRule="auto"/>
        <w:ind w:firstLine="420"/>
        <w:rPr>
          <w:rFonts w:hint="eastAsia" w:ascii="宋体" w:hAnsi="宋体"/>
          <w:szCs w:val="21"/>
          <w:u w:val="single"/>
        </w:rPr>
      </w:pPr>
      <w:r>
        <w:rPr>
          <w:rFonts w:hint="eastAsia" w:ascii="宋体" w:hAnsi="宋体" w:cs="宋体"/>
        </w:rPr>
        <w:t>预付款扣回的方式：</w:t>
      </w:r>
      <w:r>
        <w:rPr>
          <w:rFonts w:hint="eastAsia" w:ascii="宋体" w:hAnsi="宋体"/>
          <w:szCs w:val="21"/>
          <w:u w:val="single"/>
        </w:rPr>
        <w:t>乙方完成</w:t>
      </w:r>
      <w:r>
        <w:rPr>
          <w:rFonts w:hint="eastAsia" w:ascii="宋体" w:hAnsi="宋体"/>
          <w:szCs w:val="21"/>
          <w:u w:val="single"/>
          <w:lang w:eastAsia="zh-CN"/>
        </w:rPr>
        <w:t>所有</w:t>
      </w:r>
      <w:r>
        <w:rPr>
          <w:rFonts w:hint="eastAsia" w:ascii="宋体" w:hAnsi="宋体"/>
          <w:szCs w:val="21"/>
          <w:u w:val="single"/>
        </w:rPr>
        <w:t>工程量</w:t>
      </w:r>
      <w:r>
        <w:rPr>
          <w:rFonts w:hint="eastAsia" w:ascii="宋体" w:hAnsi="宋体"/>
          <w:szCs w:val="21"/>
          <w:u w:val="single"/>
          <w:lang w:eastAsia="zh-CN"/>
        </w:rPr>
        <w:t>后</w:t>
      </w:r>
      <w:r>
        <w:rPr>
          <w:rFonts w:hint="eastAsia" w:ascii="宋体" w:hAnsi="宋体"/>
          <w:szCs w:val="21"/>
          <w:u w:val="single"/>
        </w:rPr>
        <w:t>，支付工程款时一次性扣回（含安全文明施工费）。</w:t>
      </w:r>
    </w:p>
    <w:p>
      <w:pPr>
        <w:kinsoku/>
        <w:overflowPunct/>
        <w:topLinePunct w:val="0"/>
        <w:bidi w:val="0"/>
        <w:spacing w:line="300" w:lineRule="auto"/>
        <w:ind w:firstLine="420"/>
        <w:rPr>
          <w:rFonts w:ascii="Arial" w:hAnsi="Arial" w:cs="Arial"/>
        </w:rPr>
      </w:pPr>
      <w:r>
        <w:rPr>
          <w:rFonts w:ascii="Arial" w:hAnsi="Arial" w:cs="Arial"/>
        </w:rPr>
        <w:t xml:space="preserve">12.2.2 </w:t>
      </w:r>
      <w:r>
        <w:rPr>
          <w:rFonts w:hint="eastAsia" w:ascii="Arial" w:cs="Arial"/>
        </w:rPr>
        <w:t>预付款担保</w:t>
      </w:r>
    </w:p>
    <w:p>
      <w:pPr>
        <w:kinsoku/>
        <w:overflowPunct/>
        <w:topLinePunct w:val="0"/>
        <w:bidi w:val="0"/>
        <w:spacing w:line="300" w:lineRule="auto"/>
        <w:ind w:firstLine="420"/>
        <w:rPr>
          <w:rFonts w:ascii="Arial" w:hAnsi="Arial" w:cs="Arial"/>
        </w:rPr>
      </w:pPr>
      <w:r>
        <w:rPr>
          <w:rFonts w:hint="eastAsia" w:ascii="Arial" w:cs="Arial"/>
        </w:rPr>
        <w:t>承包人提交预付款担保的期限：</w:t>
      </w:r>
      <w:r>
        <w:rPr>
          <w:rFonts w:hint="eastAsia" w:ascii="Arial" w:cs="Arial"/>
          <w:u w:val="single"/>
        </w:rPr>
        <w:t>无</w:t>
      </w:r>
      <w:r>
        <w:rPr>
          <w:rFonts w:ascii="Arial" w:hAnsi="Arial" w:cs="Arial"/>
          <w:u w:val="single"/>
        </w:rPr>
        <w:t xml:space="preserve">   </w:t>
      </w:r>
      <w:r>
        <w:rPr>
          <w:rFonts w:hint="eastAsia" w:ascii="Arial" w:cs="Arial"/>
        </w:rPr>
        <w:t>。</w:t>
      </w:r>
    </w:p>
    <w:p>
      <w:pPr>
        <w:kinsoku/>
        <w:overflowPunct/>
        <w:topLinePunct w:val="0"/>
        <w:bidi w:val="0"/>
        <w:spacing w:line="300" w:lineRule="auto"/>
        <w:ind w:firstLine="420"/>
        <w:rPr>
          <w:rFonts w:hint="eastAsia" w:ascii="Arial" w:hAnsi="Arial" w:cs="Arial"/>
        </w:rPr>
      </w:pPr>
      <w:r>
        <w:rPr>
          <w:rFonts w:hint="eastAsia"/>
        </w:rPr>
        <w:t>预付款担保的形式为：</w:t>
      </w:r>
      <w:r>
        <w:rPr>
          <w:rFonts w:hint="eastAsia"/>
          <w:u w:val="single"/>
        </w:rPr>
        <w:t>无</w:t>
      </w:r>
      <w:r>
        <w:rPr>
          <w:rFonts w:hAnsi="Arial"/>
          <w:u w:val="single"/>
        </w:rPr>
        <w:t xml:space="preserve">       </w:t>
      </w:r>
      <w:r>
        <w:rPr>
          <w:rFonts w:hint="eastAsia"/>
        </w:rPr>
        <w:t>。</w:t>
      </w:r>
    </w:p>
    <w:p>
      <w:pPr>
        <w:pStyle w:val="6"/>
        <w:kinsoku/>
        <w:overflowPunct/>
        <w:topLinePunct w:val="0"/>
        <w:bidi w:val="0"/>
        <w:spacing w:line="300" w:lineRule="auto"/>
      </w:pPr>
      <w:bookmarkStart w:id="1281" w:name="_Toc527029618"/>
      <w:bookmarkStart w:id="1282" w:name="_Toc5833"/>
      <w:bookmarkStart w:id="1283" w:name="_Toc407"/>
      <w:bookmarkStart w:id="1284" w:name="_Toc9141"/>
      <w:bookmarkStart w:id="1285" w:name="_Toc11221"/>
      <w:bookmarkStart w:id="1286" w:name="_Toc19577"/>
      <w:bookmarkStart w:id="1287" w:name="_Toc3903961"/>
      <w:bookmarkStart w:id="1288" w:name="_Toc9704"/>
      <w:r>
        <w:t>12.3 计量</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kinsoku/>
        <w:overflowPunct/>
        <w:topLinePunct w:val="0"/>
        <w:bidi w:val="0"/>
        <w:spacing w:line="300" w:lineRule="auto"/>
      </w:pPr>
      <w:r>
        <w:t>12.3.1 计量原则</w:t>
      </w:r>
    </w:p>
    <w:p>
      <w:pPr>
        <w:kinsoku/>
        <w:overflowPunct/>
        <w:topLinePunct w:val="0"/>
        <w:bidi w:val="0"/>
        <w:spacing w:line="300" w:lineRule="auto"/>
      </w:pPr>
      <w:r>
        <w:t>工程量计算规则：</w:t>
      </w:r>
      <w:r>
        <w:rPr>
          <w:u w:val="single"/>
        </w:rPr>
        <w:t xml:space="preserve"> </w:t>
      </w:r>
      <w:r>
        <w:rPr>
          <w:rFonts w:hint="eastAsia"/>
          <w:u w:val="single"/>
        </w:rPr>
        <w:t xml:space="preserve">浙江省2018计价依据和建设工程工程量清单计价规范（GB50500-2013）及相关省市文件  </w:t>
      </w:r>
      <w:r>
        <w:rPr>
          <w:rFonts w:hint="eastAsia"/>
        </w:rPr>
        <w:t>。</w:t>
      </w:r>
    </w:p>
    <w:p>
      <w:pPr>
        <w:kinsoku/>
        <w:overflowPunct/>
        <w:topLinePunct w:val="0"/>
        <w:bidi w:val="0"/>
        <w:spacing w:line="300" w:lineRule="auto"/>
      </w:pPr>
      <w:r>
        <w:t>12.3.2 计量周期</w:t>
      </w:r>
    </w:p>
    <w:p>
      <w:pPr>
        <w:kinsoku/>
        <w:overflowPunct/>
        <w:topLinePunct w:val="0"/>
        <w:bidi w:val="0"/>
        <w:spacing w:line="300" w:lineRule="auto"/>
        <w:rPr>
          <w:u w:val="single"/>
        </w:rPr>
      </w:pPr>
      <w:r>
        <w:t>关于计量周期的约定：</w:t>
      </w:r>
      <w:r>
        <w:rPr>
          <w:rFonts w:hint="eastAsia"/>
          <w:u w:val="single"/>
        </w:rPr>
        <w:t xml:space="preserve">按进度 </w:t>
      </w:r>
      <w:r>
        <w:rPr>
          <w:rFonts w:hint="eastAsia"/>
        </w:rPr>
        <w:t>。</w:t>
      </w:r>
    </w:p>
    <w:p>
      <w:pPr>
        <w:kinsoku/>
        <w:overflowPunct/>
        <w:topLinePunct w:val="0"/>
        <w:bidi w:val="0"/>
        <w:spacing w:line="300" w:lineRule="auto"/>
        <w:rPr>
          <w:rFonts w:hint="eastAsia"/>
        </w:rPr>
      </w:pPr>
      <w:r>
        <w:t>12.3.3 单价合同的计</w:t>
      </w:r>
    </w:p>
    <w:p>
      <w:pPr>
        <w:kinsoku/>
        <w:overflowPunct/>
        <w:topLinePunct w:val="0"/>
        <w:bidi w:val="0"/>
        <w:spacing w:line="300" w:lineRule="auto"/>
      </w:pPr>
      <w:r>
        <w:t>关于单价合同计量的约定：</w:t>
      </w:r>
      <w:r>
        <w:rPr>
          <w:rFonts w:hint="eastAsia"/>
          <w:u w:val="single"/>
          <w:lang w:val="zh-CN"/>
        </w:rPr>
        <w:t>无</w:t>
      </w:r>
      <w:r>
        <w:rPr>
          <w:rFonts w:hint="eastAsia"/>
          <w:u w:val="single"/>
        </w:rPr>
        <w:t xml:space="preserve">    </w:t>
      </w:r>
      <w:r>
        <w:rPr>
          <w:rFonts w:hint="eastAsia"/>
        </w:rPr>
        <w:t>。</w:t>
      </w:r>
    </w:p>
    <w:p>
      <w:pPr>
        <w:kinsoku/>
        <w:overflowPunct/>
        <w:topLinePunct w:val="0"/>
        <w:bidi w:val="0"/>
        <w:spacing w:line="300" w:lineRule="auto"/>
      </w:pPr>
      <w:r>
        <w:t>12.3.4 总价合同的计量</w:t>
      </w:r>
    </w:p>
    <w:p>
      <w:pPr>
        <w:kinsoku/>
        <w:overflowPunct/>
        <w:topLinePunct w:val="0"/>
        <w:bidi w:val="0"/>
        <w:spacing w:line="300" w:lineRule="auto"/>
      </w:pPr>
      <w:r>
        <w:t>关于总价合同计量的约定：</w:t>
      </w:r>
      <w:r>
        <w:rPr>
          <w:rFonts w:hint="eastAsia"/>
          <w:u w:val="single"/>
          <w:lang w:val="zh-CN"/>
        </w:rPr>
        <w:t xml:space="preserve">无 </w:t>
      </w:r>
      <w:r>
        <w:rPr>
          <w:rFonts w:hint="eastAsia"/>
          <w:u w:val="single"/>
        </w:rPr>
        <w:t xml:space="preserve">   </w:t>
      </w:r>
      <w:r>
        <w:rPr>
          <w:rFonts w:hint="eastAsia"/>
        </w:rPr>
        <w:t>。</w:t>
      </w:r>
    </w:p>
    <w:p>
      <w:pPr>
        <w:kinsoku/>
        <w:overflowPunct/>
        <w:topLinePunct w:val="0"/>
        <w:bidi w:val="0"/>
        <w:spacing w:line="300" w:lineRule="auto"/>
      </w:pPr>
      <w:r>
        <w:t>12.3.5总价合同采用支付分解表计量支付的，是否适用第12.3.4 项</w:t>
      </w:r>
      <w:r>
        <w:rPr>
          <w:rFonts w:hint="eastAsia"/>
        </w:rPr>
        <w:t>〔</w:t>
      </w:r>
      <w:r>
        <w:t>总价合同的计量</w:t>
      </w:r>
      <w:r>
        <w:rPr>
          <w:rFonts w:hint="eastAsia"/>
        </w:rPr>
        <w:t>〕</w:t>
      </w:r>
      <w:r>
        <w:t>约定</w:t>
      </w:r>
      <w:r>
        <w:rPr>
          <w:rFonts w:hint="eastAsia"/>
        </w:rPr>
        <w:t>进行计量：</w:t>
      </w:r>
      <w:r>
        <w:rPr>
          <w:rFonts w:hint="eastAsia"/>
          <w:u w:val="single"/>
          <w:lang w:val="zh-CN"/>
        </w:rPr>
        <w:t>无</w:t>
      </w:r>
      <w:r>
        <w:rPr>
          <w:rFonts w:hint="eastAsia"/>
          <w:u w:val="single"/>
        </w:rPr>
        <w:t xml:space="preserve">     </w:t>
      </w:r>
      <w:r>
        <w:rPr>
          <w:rFonts w:hint="eastAsia"/>
        </w:rPr>
        <w:t>。</w:t>
      </w:r>
    </w:p>
    <w:p>
      <w:pPr>
        <w:kinsoku/>
        <w:overflowPunct/>
        <w:topLinePunct w:val="0"/>
        <w:bidi w:val="0"/>
        <w:spacing w:line="300" w:lineRule="auto"/>
      </w:pPr>
      <w:r>
        <w:t>12.3.6 其他价格形式合同的计量</w:t>
      </w:r>
    </w:p>
    <w:p>
      <w:pPr>
        <w:kinsoku/>
        <w:overflowPunct/>
        <w:topLinePunct w:val="0"/>
        <w:bidi w:val="0"/>
        <w:spacing w:line="300" w:lineRule="auto"/>
        <w:rPr>
          <w:b/>
          <w:u w:val="double"/>
        </w:rPr>
      </w:pPr>
      <w:r>
        <w:t>其他价格形式的计量方式和程序：</w:t>
      </w:r>
      <w:r>
        <w:rPr>
          <w:rFonts w:hint="eastAsia" w:ascii="Arial" w:cs="Arial"/>
          <w:b/>
          <w:u w:val="single"/>
          <w:lang w:val="zh-CN"/>
        </w:rPr>
        <w:t>承包人在每月</w:t>
      </w:r>
      <w:r>
        <w:rPr>
          <w:rFonts w:ascii="Arial" w:hAnsi="Arial" w:cs="Arial"/>
          <w:b/>
          <w:u w:val="single"/>
          <w:lang w:val="zh-CN"/>
        </w:rPr>
        <w:t>25</w:t>
      </w:r>
      <w:r>
        <w:rPr>
          <w:rFonts w:hint="eastAsia" w:ascii="Arial" w:cs="Arial"/>
          <w:b/>
          <w:u w:val="single"/>
          <w:lang w:val="zh-CN"/>
        </w:rPr>
        <w:t>日前将上月</w:t>
      </w:r>
      <w:r>
        <w:rPr>
          <w:rFonts w:ascii="Arial" w:hAnsi="Arial" w:cs="Arial"/>
          <w:b/>
          <w:u w:val="single"/>
          <w:lang w:val="zh-CN"/>
        </w:rPr>
        <w:t>23</w:t>
      </w:r>
      <w:r>
        <w:rPr>
          <w:rFonts w:hint="eastAsia" w:ascii="Arial" w:cs="Arial"/>
          <w:b/>
          <w:u w:val="single"/>
          <w:lang w:val="zh-CN"/>
        </w:rPr>
        <w:t>日至本月</w:t>
      </w:r>
      <w:r>
        <w:rPr>
          <w:rFonts w:ascii="Arial" w:hAnsi="Arial" w:cs="Arial"/>
          <w:b/>
          <w:u w:val="single"/>
          <w:lang w:val="zh-CN"/>
        </w:rPr>
        <w:t>22</w:t>
      </w:r>
      <w:r>
        <w:rPr>
          <w:rFonts w:hint="eastAsia" w:ascii="Arial" w:cs="Arial"/>
          <w:b/>
          <w:u w:val="single"/>
          <w:lang w:val="zh-CN"/>
        </w:rPr>
        <w:t>日已完成工程量及进度款报表提供给监理人，经监理人现场监理工程师核实和发包人现场代表确认</w:t>
      </w:r>
      <w:r>
        <w:rPr>
          <w:rFonts w:ascii="Arial" w:hAnsi="Arial" w:cs="Arial"/>
          <w:u w:val="single"/>
        </w:rPr>
        <w:t xml:space="preserve">  </w:t>
      </w:r>
      <w:r>
        <w:rPr>
          <w:rFonts w:hint="eastAsia" w:ascii="Arial" w:cs="Arial"/>
        </w:rPr>
        <w:t>。</w:t>
      </w:r>
    </w:p>
    <w:p>
      <w:pPr>
        <w:pStyle w:val="6"/>
        <w:kinsoku/>
        <w:overflowPunct/>
        <w:topLinePunct w:val="0"/>
        <w:bidi w:val="0"/>
        <w:spacing w:line="300" w:lineRule="auto"/>
      </w:pPr>
      <w:bookmarkStart w:id="1289" w:name="_Toc13465"/>
      <w:bookmarkStart w:id="1290" w:name="_Toc12512"/>
      <w:bookmarkStart w:id="1291" w:name="_Toc7647"/>
      <w:bookmarkStart w:id="1292" w:name="_Toc11833"/>
      <w:bookmarkStart w:id="1293" w:name="_Toc513209275"/>
      <w:bookmarkStart w:id="1294" w:name="_Toc3903962"/>
      <w:bookmarkStart w:id="1295" w:name="_Toc513038439"/>
      <w:bookmarkStart w:id="1296" w:name="_Toc476734030"/>
      <w:bookmarkStart w:id="1297" w:name="_Toc509902259"/>
      <w:bookmarkStart w:id="1298" w:name="_Toc511649790"/>
      <w:bookmarkStart w:id="1299" w:name="_Toc28494"/>
      <w:bookmarkStart w:id="1300" w:name="_Toc7083"/>
      <w:bookmarkStart w:id="1301" w:name="_Toc30507"/>
      <w:bookmarkStart w:id="1302" w:name="_Toc490491851"/>
      <w:bookmarkStart w:id="1303" w:name="_Toc527029619"/>
      <w:bookmarkStart w:id="1304" w:name="_Toc513214661"/>
      <w:bookmarkStart w:id="1305" w:name="_Toc480985264"/>
      <w:bookmarkStart w:id="1306" w:name="_Toc512604507"/>
      <w:bookmarkStart w:id="1307" w:name="_Toc11727"/>
      <w:bookmarkStart w:id="1308" w:name="_Toc8415"/>
      <w:r>
        <w:t>12.4 工程进度款支付</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kinsoku/>
        <w:overflowPunct/>
        <w:topLinePunct w:val="0"/>
        <w:bidi w:val="0"/>
        <w:spacing w:line="300" w:lineRule="auto"/>
      </w:pPr>
      <w:r>
        <w:t>12.4.1 付款周期</w:t>
      </w:r>
    </w:p>
    <w:p>
      <w:pPr>
        <w:kinsoku/>
        <w:overflowPunct/>
        <w:topLinePunct w:val="0"/>
        <w:bidi w:val="0"/>
        <w:spacing w:line="300" w:lineRule="auto"/>
        <w:rPr>
          <w:u w:val="double"/>
        </w:rPr>
      </w:pPr>
      <w:r>
        <w:t>关于付款周期的约定：</w:t>
      </w:r>
      <w:r>
        <w:rPr>
          <w:rFonts w:hint="eastAsia"/>
          <w:u w:val="single"/>
        </w:rPr>
        <w:t xml:space="preserve"> 按进度支付</w:t>
      </w:r>
      <w:r>
        <w:rPr>
          <w:rFonts w:ascii="Arial" w:cs="Arial"/>
          <w:b/>
          <w:u w:val="single"/>
          <w:lang w:val="zh-CN"/>
        </w:rPr>
        <w:t xml:space="preserve"> </w:t>
      </w:r>
      <w:r>
        <w:rPr>
          <w:rFonts w:hint="eastAsia"/>
        </w:rPr>
        <w:t>。</w:t>
      </w:r>
    </w:p>
    <w:p>
      <w:pPr>
        <w:kinsoku/>
        <w:overflowPunct/>
        <w:topLinePunct w:val="0"/>
        <w:bidi w:val="0"/>
        <w:spacing w:line="300" w:lineRule="auto"/>
      </w:pPr>
      <w:r>
        <w:t>12.4.2 进度付款申请单的编制</w:t>
      </w:r>
    </w:p>
    <w:p>
      <w:pPr>
        <w:kinsoku/>
        <w:overflowPunct/>
        <w:topLinePunct w:val="0"/>
        <w:bidi w:val="0"/>
        <w:spacing w:line="300" w:lineRule="auto"/>
        <w:rPr>
          <w:u w:val="double"/>
        </w:rPr>
      </w:pPr>
      <w:r>
        <w:t>关于进度付款申请单编制的约定：</w:t>
      </w:r>
      <w:r>
        <w:rPr>
          <w:rFonts w:hint="eastAsia"/>
          <w:u w:val="single"/>
          <w:lang w:eastAsia="zh-CN"/>
        </w:rPr>
        <w:t>工程完工后，提交</w:t>
      </w:r>
      <w:r>
        <w:rPr>
          <w:rFonts w:hint="eastAsia"/>
          <w:u w:val="single"/>
        </w:rPr>
        <w:t>实际完成工程量</w:t>
      </w:r>
      <w:r>
        <w:rPr>
          <w:rFonts w:hint="eastAsia"/>
          <w:u w:val="single"/>
          <w:lang w:eastAsia="zh-CN"/>
        </w:rPr>
        <w:t>的所有报表</w:t>
      </w:r>
      <w:r>
        <w:rPr>
          <w:rFonts w:hint="eastAsia"/>
          <w:u w:val="single"/>
        </w:rPr>
        <w:t>，作为工程价款支付的依据</w:t>
      </w:r>
      <w:r>
        <w:rPr>
          <w:rFonts w:hint="eastAsia"/>
        </w:rPr>
        <w:t>。</w:t>
      </w:r>
    </w:p>
    <w:p>
      <w:pPr>
        <w:kinsoku/>
        <w:overflowPunct/>
        <w:topLinePunct w:val="0"/>
        <w:bidi w:val="0"/>
        <w:spacing w:line="300" w:lineRule="auto"/>
      </w:pPr>
      <w:r>
        <w:t>12.4.3 进度付款申请单的提交</w:t>
      </w:r>
    </w:p>
    <w:p>
      <w:pPr>
        <w:kinsoku/>
        <w:overflowPunct/>
        <w:topLinePunct w:val="0"/>
        <w:bidi w:val="0"/>
        <w:spacing w:line="300" w:lineRule="auto"/>
      </w:pPr>
      <w:r>
        <w:t>（1）单价合同进度付款申请单提交的约定</w:t>
      </w:r>
      <w:r>
        <w:rPr>
          <w:rFonts w:hint="eastAsia"/>
        </w:rPr>
        <w:t>：</w:t>
      </w:r>
      <w:r>
        <w:rPr>
          <w:rFonts w:hint="eastAsia"/>
          <w:u w:val="single"/>
          <w:lang w:val="zh-CN"/>
        </w:rPr>
        <w:t>无。</w:t>
      </w:r>
      <w:r>
        <w:rPr>
          <w:rFonts w:hint="eastAsia"/>
          <w:u w:val="single"/>
        </w:rPr>
        <w:t xml:space="preserve"> </w:t>
      </w:r>
    </w:p>
    <w:p>
      <w:pPr>
        <w:kinsoku/>
        <w:overflowPunct/>
        <w:topLinePunct w:val="0"/>
        <w:bidi w:val="0"/>
        <w:spacing w:line="300" w:lineRule="auto"/>
      </w:pPr>
      <w:r>
        <w:t>（2）总价合同进度付款申请单提交的约定</w:t>
      </w:r>
      <w:r>
        <w:rPr>
          <w:rFonts w:hint="eastAsia"/>
        </w:rPr>
        <w:t>：</w:t>
      </w:r>
      <w:r>
        <w:rPr>
          <w:rFonts w:hint="eastAsia"/>
          <w:u w:val="single"/>
          <w:lang w:val="zh-CN"/>
        </w:rPr>
        <w:t>无。</w:t>
      </w:r>
      <w:r>
        <w:rPr>
          <w:rFonts w:hint="eastAsia"/>
          <w:u w:val="single"/>
        </w:rPr>
        <w:t xml:space="preserve"> </w:t>
      </w:r>
    </w:p>
    <w:p>
      <w:pPr>
        <w:kinsoku/>
        <w:overflowPunct/>
        <w:topLinePunct w:val="0"/>
        <w:bidi w:val="0"/>
        <w:spacing w:line="300" w:lineRule="auto"/>
        <w:rPr>
          <w:u w:val="single"/>
        </w:rPr>
      </w:pPr>
      <w:r>
        <w:t>（3）其他价格形式合同进度付款申请单提交的约定：</w:t>
      </w:r>
      <w:r>
        <w:rPr>
          <w:rFonts w:hint="eastAsia"/>
          <w:u w:val="single"/>
          <w:lang w:val="zh-CN"/>
        </w:rPr>
        <w:t>无。</w:t>
      </w:r>
      <w:r>
        <w:rPr>
          <w:rFonts w:hint="eastAsia"/>
          <w:u w:val="single"/>
        </w:rPr>
        <w:t xml:space="preserve">    </w:t>
      </w:r>
    </w:p>
    <w:p>
      <w:pPr>
        <w:kinsoku/>
        <w:overflowPunct/>
        <w:topLinePunct w:val="0"/>
        <w:bidi w:val="0"/>
        <w:spacing w:line="300" w:lineRule="auto"/>
      </w:pPr>
      <w:r>
        <w:t>12.4.4 进度款审核和支付</w:t>
      </w:r>
    </w:p>
    <w:p>
      <w:pPr>
        <w:kinsoku/>
        <w:overflowPunct/>
        <w:topLinePunct w:val="0"/>
        <w:bidi w:val="0"/>
        <w:spacing w:line="300" w:lineRule="auto"/>
        <w:rPr>
          <w:u w:val="single"/>
        </w:rPr>
      </w:pPr>
      <w:r>
        <w:t>（1）监理人审查并报送发包人的期限：</w:t>
      </w:r>
      <w:r>
        <w:rPr>
          <w:rFonts w:hint="eastAsia"/>
          <w:u w:val="single"/>
        </w:rPr>
        <w:t xml:space="preserve">按通用条款执行                        </w:t>
      </w:r>
    </w:p>
    <w:p>
      <w:pPr>
        <w:kinsoku/>
        <w:overflowPunct/>
        <w:topLinePunct w:val="0"/>
        <w:bidi w:val="0"/>
        <w:spacing w:line="300" w:lineRule="auto"/>
        <w:rPr>
          <w:u w:val="single"/>
        </w:rPr>
      </w:pPr>
      <w:r>
        <w:t>发包人完成审批并签发进度款支付证书的期限：</w:t>
      </w:r>
      <w:r>
        <w:rPr>
          <w:rFonts w:hint="eastAsia"/>
          <w:u w:val="single"/>
        </w:rPr>
        <w:t xml:space="preserve">按通用条款执行                    </w:t>
      </w:r>
    </w:p>
    <w:p>
      <w:pPr>
        <w:numPr>
          <w:ilvl w:val="0"/>
          <w:numId w:val="24"/>
        </w:numPr>
        <w:kinsoku/>
        <w:overflowPunct/>
        <w:topLinePunct w:val="0"/>
        <w:bidi w:val="0"/>
        <w:spacing w:line="300" w:lineRule="auto"/>
        <w:jc w:val="both"/>
        <w:rPr>
          <w:u w:val="single"/>
        </w:rPr>
      </w:pPr>
      <w:r>
        <w:t>发包人支付进度款的期限：</w:t>
      </w:r>
      <w:r>
        <w:rPr>
          <w:rFonts w:hint="eastAsia"/>
          <w:u w:val="single"/>
        </w:rPr>
        <w:t>①</w:t>
      </w:r>
      <w:r>
        <w:rPr>
          <w:rFonts w:hint="eastAsia"/>
          <w:u w:val="single"/>
          <w:lang w:eastAsia="zh-CN"/>
        </w:rPr>
        <w:t>工程完工后，</w:t>
      </w:r>
      <w:r>
        <w:rPr>
          <w:rFonts w:hint="eastAsia"/>
          <w:u w:val="single"/>
        </w:rPr>
        <w:t>承包人上报实际完成工程量，经监理人和发包人签认确定后，14天内支付至已完成工程量的85%。②竣工验收合格办理结算后支付至审定后结算价款的97.5%，二年缺陷责任期满后一个月内结清尾款；保修期按相关规定执行。③发包人向承包人支付的一切费用，承包人不得移作他用。发包人和监理工程师有权对此进行监督，如承包人抽走用于本工程的资金，且影响了工程的实施，发包人有权单方终止合同，发包人的一切经济损失由承包人承担。</w:t>
      </w:r>
    </w:p>
    <w:p>
      <w:pPr>
        <w:numPr>
          <w:ilvl w:val="0"/>
          <w:numId w:val="24"/>
        </w:numPr>
        <w:kinsoku/>
        <w:overflowPunct/>
        <w:topLinePunct w:val="0"/>
        <w:bidi w:val="0"/>
        <w:spacing w:line="300" w:lineRule="auto"/>
        <w:ind w:firstLine="105" w:firstLineChars="50"/>
        <w:rPr>
          <w:u w:val="single"/>
        </w:rPr>
      </w:pPr>
      <w:r>
        <w:t>发包人逾期支付进度款的违约金的计算方式：</w:t>
      </w:r>
      <w:r>
        <w:rPr>
          <w:rFonts w:hint="eastAsia"/>
          <w:u w:val="single"/>
          <w:lang w:val="zh-CN"/>
        </w:rPr>
        <w:t>无。</w:t>
      </w:r>
      <w:r>
        <w:rPr>
          <w:rFonts w:hint="eastAsia"/>
          <w:u w:val="single"/>
        </w:rPr>
        <w:t xml:space="preserve"> </w:t>
      </w:r>
    </w:p>
    <w:p>
      <w:pPr>
        <w:kinsoku/>
        <w:overflowPunct/>
        <w:topLinePunct w:val="0"/>
        <w:bidi w:val="0"/>
        <w:spacing w:line="300" w:lineRule="auto"/>
      </w:pPr>
      <w:r>
        <w:t>12.4.6 支付分解表的编制</w:t>
      </w:r>
    </w:p>
    <w:p>
      <w:pPr>
        <w:kinsoku/>
        <w:overflowPunct/>
        <w:topLinePunct w:val="0"/>
        <w:bidi w:val="0"/>
        <w:spacing w:line="300" w:lineRule="auto"/>
        <w:rPr>
          <w:u w:val="single"/>
        </w:rPr>
      </w:pPr>
      <w:r>
        <w:t>2、总价合同支付分解表的编制与审批：</w:t>
      </w:r>
      <w:r>
        <w:rPr>
          <w:rFonts w:hint="eastAsia"/>
          <w:u w:val="single"/>
          <w:lang w:val="zh-CN"/>
        </w:rPr>
        <w:t>无。</w:t>
      </w:r>
      <w:r>
        <w:rPr>
          <w:rFonts w:hint="eastAsia"/>
          <w:u w:val="single"/>
        </w:rPr>
        <w:t xml:space="preserve"> </w:t>
      </w:r>
    </w:p>
    <w:p>
      <w:pPr>
        <w:kinsoku/>
        <w:overflowPunct/>
        <w:topLinePunct w:val="0"/>
        <w:bidi w:val="0"/>
        <w:spacing w:line="300" w:lineRule="auto"/>
        <w:rPr>
          <w:u w:val="single"/>
        </w:rPr>
      </w:pPr>
      <w:r>
        <w:t>3、单价合同的总价项目支付分解表的编制与审批：</w:t>
      </w:r>
      <w:r>
        <w:rPr>
          <w:rFonts w:hint="eastAsia"/>
          <w:u w:val="single"/>
          <w:lang w:val="zh-CN"/>
        </w:rPr>
        <w:t>无。</w:t>
      </w:r>
      <w:r>
        <w:rPr>
          <w:rFonts w:hint="eastAsia"/>
          <w:u w:val="single"/>
        </w:rPr>
        <w:t xml:space="preserve"> </w:t>
      </w:r>
    </w:p>
    <w:p>
      <w:pPr>
        <w:pStyle w:val="5"/>
        <w:kinsoku/>
        <w:overflowPunct/>
        <w:topLinePunct w:val="0"/>
        <w:bidi w:val="0"/>
        <w:spacing w:line="300" w:lineRule="auto"/>
      </w:pPr>
      <w:bookmarkStart w:id="1309" w:name="_Toc527029620"/>
      <w:bookmarkStart w:id="1310" w:name="_Toc32372"/>
      <w:bookmarkStart w:id="1311" w:name="_Toc476734031"/>
      <w:bookmarkStart w:id="1312" w:name="_Toc509902260"/>
      <w:bookmarkStart w:id="1313" w:name="_Toc5829"/>
      <w:bookmarkStart w:id="1314" w:name="_Toc513038440"/>
      <w:bookmarkStart w:id="1315" w:name="_Toc15910"/>
      <w:bookmarkStart w:id="1316" w:name="_Toc480985265"/>
      <w:bookmarkStart w:id="1317" w:name="_Toc490491852"/>
      <w:bookmarkStart w:id="1318" w:name="_Toc474503078"/>
      <w:bookmarkStart w:id="1319" w:name="_Toc511649791"/>
      <w:bookmarkStart w:id="1320" w:name="_Toc18334"/>
      <w:bookmarkStart w:id="1321" w:name="_Toc1420"/>
      <w:bookmarkStart w:id="1322" w:name="_Toc3903963"/>
      <w:bookmarkStart w:id="1323" w:name="_Toc513214662"/>
      <w:bookmarkStart w:id="1324" w:name="_Toc421260800"/>
      <w:bookmarkStart w:id="1325" w:name="_Toc2985"/>
      <w:bookmarkStart w:id="1326" w:name="_Toc24848"/>
      <w:bookmarkStart w:id="1327" w:name="_Toc8195"/>
      <w:bookmarkStart w:id="1328" w:name="_Toc513209276"/>
      <w:bookmarkStart w:id="1329" w:name="_Toc232"/>
      <w:bookmarkStart w:id="1330" w:name="_Toc512604508"/>
      <w:bookmarkStart w:id="1331" w:name="_Toc421287836"/>
      <w:r>
        <w:t>13.</w:t>
      </w:r>
      <w:r>
        <w:rPr>
          <w:rFonts w:hint="eastAsia"/>
        </w:rPr>
        <w:t xml:space="preserve"> </w:t>
      </w:r>
      <w:r>
        <w:t>验收和工程试车</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6"/>
        <w:kinsoku/>
        <w:overflowPunct/>
        <w:topLinePunct w:val="0"/>
        <w:bidi w:val="0"/>
        <w:spacing w:line="300" w:lineRule="auto"/>
      </w:pPr>
      <w:bookmarkStart w:id="1332" w:name="_Toc512604509"/>
      <w:bookmarkStart w:id="1333" w:name="_Toc476734032"/>
      <w:bookmarkStart w:id="1334" w:name="_Toc513214663"/>
      <w:bookmarkStart w:id="1335" w:name="_Toc513038441"/>
      <w:bookmarkStart w:id="1336" w:name="_Toc509902261"/>
      <w:bookmarkStart w:id="1337" w:name="_Toc511649792"/>
      <w:bookmarkStart w:id="1338" w:name="_Toc490491853"/>
      <w:bookmarkStart w:id="1339" w:name="_Toc21514"/>
      <w:bookmarkStart w:id="1340" w:name="_Toc3903964"/>
      <w:bookmarkStart w:id="1341" w:name="_Toc16044"/>
      <w:bookmarkStart w:id="1342" w:name="_Toc9188"/>
      <w:bookmarkStart w:id="1343" w:name="_Toc8672"/>
      <w:bookmarkStart w:id="1344" w:name="_Toc31767"/>
      <w:bookmarkStart w:id="1345" w:name="_Toc513209277"/>
      <w:bookmarkStart w:id="1346" w:name="_Toc527029621"/>
      <w:bookmarkStart w:id="1347" w:name="_Toc12896"/>
      <w:bookmarkStart w:id="1348" w:name="_Toc29403"/>
      <w:bookmarkStart w:id="1349" w:name="_Toc480985266"/>
      <w:bookmarkStart w:id="1350" w:name="_Toc23705"/>
      <w:bookmarkStart w:id="1351" w:name="_Toc16675"/>
      <w:r>
        <w:t>13.1 分部分项工程验收</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kinsoku/>
        <w:overflowPunct/>
        <w:topLinePunct w:val="0"/>
        <w:bidi w:val="0"/>
        <w:spacing w:line="300" w:lineRule="auto"/>
      </w:pPr>
      <w:r>
        <w:t>13.1.2监理人不能按时进行验收时，应提前</w:t>
      </w:r>
      <w:r>
        <w:rPr>
          <w:u w:val="single"/>
        </w:rPr>
        <w:t xml:space="preserve"> </w:t>
      </w:r>
      <w:r>
        <w:rPr>
          <w:rFonts w:hint="eastAsia"/>
          <w:u w:val="single"/>
        </w:rPr>
        <w:t>24</w:t>
      </w:r>
      <w:r>
        <w:rPr>
          <w:u w:val="single"/>
        </w:rPr>
        <w:t xml:space="preserve"> </w:t>
      </w:r>
      <w:r>
        <w:t>小时提交书面延期要求。</w:t>
      </w:r>
    </w:p>
    <w:p>
      <w:pPr>
        <w:kinsoku/>
        <w:overflowPunct/>
        <w:topLinePunct w:val="0"/>
        <w:bidi w:val="0"/>
        <w:spacing w:line="300" w:lineRule="auto"/>
        <w:rPr>
          <w:b/>
        </w:rPr>
      </w:pPr>
      <w:r>
        <w:t>关于延期最长不得超过：</w:t>
      </w:r>
      <w:r>
        <w:rPr>
          <w:u w:val="single"/>
        </w:rPr>
        <w:t xml:space="preserve"> </w:t>
      </w:r>
      <w:r>
        <w:rPr>
          <w:rFonts w:hint="eastAsia"/>
          <w:u w:val="single"/>
        </w:rPr>
        <w:t>48</w:t>
      </w:r>
      <w:r>
        <w:rPr>
          <w:u w:val="single"/>
        </w:rPr>
        <w:t xml:space="preserve"> </w:t>
      </w:r>
      <w:r>
        <w:t>小时。</w:t>
      </w:r>
    </w:p>
    <w:p>
      <w:pPr>
        <w:pStyle w:val="6"/>
        <w:kinsoku/>
        <w:overflowPunct/>
        <w:topLinePunct w:val="0"/>
        <w:bidi w:val="0"/>
        <w:spacing w:line="300" w:lineRule="auto"/>
      </w:pPr>
      <w:bookmarkStart w:id="1352" w:name="_Toc7785"/>
      <w:bookmarkStart w:id="1353" w:name="_Toc509902262"/>
      <w:bookmarkStart w:id="1354" w:name="_Toc32185"/>
      <w:bookmarkStart w:id="1355" w:name="_Toc511649793"/>
      <w:bookmarkStart w:id="1356" w:name="_Toc527029622"/>
      <w:bookmarkStart w:id="1357" w:name="_Toc476734033"/>
      <w:bookmarkStart w:id="1358" w:name="_Toc13026"/>
      <w:bookmarkStart w:id="1359" w:name="_Toc490491854"/>
      <w:bookmarkStart w:id="1360" w:name="_Toc513038442"/>
      <w:bookmarkStart w:id="1361" w:name="_Toc512604510"/>
      <w:bookmarkStart w:id="1362" w:name="_Toc16613"/>
      <w:bookmarkStart w:id="1363" w:name="_Toc513214664"/>
      <w:bookmarkStart w:id="1364" w:name="_Toc30387"/>
      <w:bookmarkStart w:id="1365" w:name="_Toc30730"/>
      <w:bookmarkStart w:id="1366" w:name="_Toc19898"/>
      <w:bookmarkStart w:id="1367" w:name="_Toc480985267"/>
      <w:bookmarkStart w:id="1368" w:name="_Toc29042"/>
      <w:bookmarkStart w:id="1369" w:name="_Toc10216"/>
      <w:bookmarkStart w:id="1370" w:name="_Toc513209278"/>
      <w:bookmarkStart w:id="1371" w:name="_Toc3903965"/>
      <w:r>
        <w:t>13.2 竣工验收</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kinsoku/>
        <w:overflowPunct/>
        <w:topLinePunct w:val="0"/>
        <w:bidi w:val="0"/>
        <w:spacing w:line="300" w:lineRule="auto"/>
      </w:pPr>
      <w:r>
        <w:t>13.2.2竣工验收程序</w:t>
      </w:r>
    </w:p>
    <w:p>
      <w:pPr>
        <w:kinsoku/>
        <w:overflowPunct/>
        <w:topLinePunct w:val="0"/>
        <w:bidi w:val="0"/>
        <w:spacing w:line="300" w:lineRule="auto"/>
        <w:rPr>
          <w:u w:val="single"/>
        </w:rPr>
      </w:pPr>
      <w:r>
        <w:t>关于竣工验收程序的约定：</w:t>
      </w:r>
      <w:r>
        <w:rPr>
          <w:u w:val="single"/>
        </w:rPr>
        <w:t xml:space="preserve">    </w:t>
      </w:r>
      <w:r>
        <w:rPr>
          <w:rFonts w:hint="eastAsia"/>
          <w:u w:val="single"/>
        </w:rPr>
        <w:t xml:space="preserve">按通用条款执行   </w:t>
      </w:r>
      <w:r>
        <w:rPr>
          <w:rFonts w:hint="eastAsia"/>
        </w:rPr>
        <w:t>。</w:t>
      </w:r>
    </w:p>
    <w:p>
      <w:pPr>
        <w:kinsoku/>
        <w:overflowPunct/>
        <w:topLinePunct w:val="0"/>
        <w:bidi w:val="0"/>
        <w:spacing w:line="300" w:lineRule="auto"/>
        <w:rPr>
          <w:u w:val="single"/>
        </w:rPr>
      </w:pPr>
      <w:r>
        <w:t>发包人不按照本项约定组织竣工验收、颁发工程接收证书的违约金的计算方法：</w:t>
      </w:r>
      <w:r>
        <w:rPr>
          <w:rFonts w:hint="eastAsia"/>
          <w:u w:val="single"/>
          <w:lang w:val="zh-CN"/>
        </w:rPr>
        <w:t xml:space="preserve">无 </w:t>
      </w:r>
      <w:r>
        <w:rPr>
          <w:rFonts w:hint="eastAsia"/>
          <w:u w:val="single"/>
        </w:rPr>
        <w:t xml:space="preserve">  </w:t>
      </w:r>
      <w:r>
        <w:rPr>
          <w:rFonts w:hint="eastAsia"/>
        </w:rPr>
        <w:t>。</w:t>
      </w:r>
    </w:p>
    <w:p>
      <w:pPr>
        <w:kinsoku/>
        <w:overflowPunct/>
        <w:topLinePunct w:val="0"/>
        <w:bidi w:val="0"/>
        <w:spacing w:line="300" w:lineRule="auto"/>
      </w:pPr>
      <w:r>
        <w:t>13.2.5移交、接收全部与部分工程</w:t>
      </w:r>
    </w:p>
    <w:p>
      <w:pPr>
        <w:kinsoku/>
        <w:overflowPunct/>
        <w:topLinePunct w:val="0"/>
        <w:bidi w:val="0"/>
        <w:spacing w:line="300" w:lineRule="auto"/>
      </w:pPr>
      <w:r>
        <w:rPr>
          <w:rFonts w:hint="eastAsia"/>
        </w:rPr>
        <w:t>承包人向发包人移交工程的期限：</w:t>
      </w:r>
      <w:r>
        <w:rPr>
          <w:u w:val="single"/>
        </w:rPr>
        <w:t xml:space="preserve">    </w:t>
      </w:r>
      <w:r>
        <w:rPr>
          <w:rFonts w:hint="eastAsia"/>
          <w:u w:val="single"/>
        </w:rPr>
        <w:t xml:space="preserve">按通用条款执行  </w:t>
      </w:r>
      <w:r>
        <w:rPr>
          <w:rFonts w:hint="eastAsia"/>
        </w:rPr>
        <w:t>。</w:t>
      </w:r>
    </w:p>
    <w:p>
      <w:pPr>
        <w:kinsoku/>
        <w:overflowPunct/>
        <w:topLinePunct w:val="0"/>
        <w:bidi w:val="0"/>
        <w:spacing w:line="300" w:lineRule="auto"/>
        <w:rPr>
          <w:u w:val="single"/>
        </w:rPr>
      </w:pPr>
      <w:r>
        <w:t>发包人未按本合同约定接收全部或部分工程的，违约金的计算方法为：</w:t>
      </w:r>
      <w:r>
        <w:rPr>
          <w:rFonts w:hint="eastAsia"/>
          <w:u w:val="single"/>
          <w:lang w:val="zh-CN"/>
        </w:rPr>
        <w:t xml:space="preserve">无 </w:t>
      </w:r>
      <w:r>
        <w:rPr>
          <w:u w:val="single"/>
          <w:lang w:val="zh-CN"/>
        </w:rPr>
        <w:t xml:space="preserve"> </w:t>
      </w:r>
      <w:r>
        <w:rPr>
          <w:rFonts w:hint="eastAsia"/>
          <w:u w:val="single"/>
        </w:rPr>
        <w:t xml:space="preserve">   </w:t>
      </w:r>
      <w:r>
        <w:rPr>
          <w:rFonts w:hint="eastAsia"/>
        </w:rPr>
        <w:t>。</w:t>
      </w:r>
    </w:p>
    <w:p>
      <w:pPr>
        <w:kinsoku/>
        <w:overflowPunct/>
        <w:topLinePunct w:val="0"/>
        <w:bidi w:val="0"/>
        <w:spacing w:line="300" w:lineRule="auto"/>
        <w:rPr>
          <w:u w:val="single"/>
        </w:rPr>
      </w:pPr>
      <w:r>
        <w:t>承包人未按时移交工程的，违约金的计算方法为：</w:t>
      </w:r>
      <w:r>
        <w:rPr>
          <w:rFonts w:hint="eastAsia"/>
          <w:u w:val="single"/>
          <w:lang w:val="zh-CN"/>
        </w:rPr>
        <w:t xml:space="preserve">无 </w:t>
      </w:r>
      <w:r>
        <w:rPr>
          <w:rFonts w:hint="eastAsia"/>
          <w:u w:val="single"/>
        </w:rPr>
        <w:t xml:space="preserve">   </w:t>
      </w:r>
      <w:r>
        <w:rPr>
          <w:rFonts w:hint="eastAsia"/>
        </w:rPr>
        <w:t>。</w:t>
      </w:r>
    </w:p>
    <w:p>
      <w:pPr>
        <w:pStyle w:val="6"/>
        <w:kinsoku/>
        <w:overflowPunct/>
        <w:topLinePunct w:val="0"/>
        <w:bidi w:val="0"/>
        <w:spacing w:line="300" w:lineRule="auto"/>
      </w:pPr>
      <w:bookmarkStart w:id="1372" w:name="_Toc476734034"/>
      <w:bookmarkStart w:id="1373" w:name="_Toc513209279"/>
      <w:bookmarkStart w:id="1374" w:name="_Toc513214665"/>
      <w:bookmarkStart w:id="1375" w:name="_Toc32320"/>
      <w:bookmarkStart w:id="1376" w:name="_Toc513038443"/>
      <w:bookmarkStart w:id="1377" w:name="_Toc511649794"/>
      <w:bookmarkStart w:id="1378" w:name="_Toc480985268"/>
      <w:bookmarkStart w:id="1379" w:name="_Toc30253"/>
      <w:bookmarkStart w:id="1380" w:name="_Toc509902263"/>
      <w:bookmarkStart w:id="1381" w:name="_Toc26612"/>
      <w:bookmarkStart w:id="1382" w:name="_Toc490491855"/>
      <w:bookmarkStart w:id="1383" w:name="_Toc527029623"/>
      <w:bookmarkStart w:id="1384" w:name="_Toc512604511"/>
      <w:bookmarkStart w:id="1385" w:name="_Toc4105"/>
      <w:bookmarkStart w:id="1386" w:name="_Toc29528"/>
      <w:bookmarkStart w:id="1387" w:name="_Toc25104"/>
      <w:bookmarkStart w:id="1388" w:name="_Toc16357"/>
      <w:bookmarkStart w:id="1389" w:name="_Toc3903966"/>
      <w:bookmarkStart w:id="1390" w:name="_Toc17804"/>
      <w:bookmarkStart w:id="1391" w:name="_Toc25548"/>
      <w:r>
        <w:t>13.3 工程试车</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kinsoku/>
        <w:overflowPunct/>
        <w:topLinePunct w:val="0"/>
        <w:bidi w:val="0"/>
        <w:spacing w:line="300" w:lineRule="auto"/>
      </w:pPr>
      <w:r>
        <w:t>13.3.1 试车程序</w:t>
      </w:r>
    </w:p>
    <w:p>
      <w:pPr>
        <w:kinsoku/>
        <w:overflowPunct/>
        <w:topLinePunct w:val="0"/>
        <w:bidi w:val="0"/>
        <w:spacing w:line="300" w:lineRule="auto"/>
        <w:rPr>
          <w:u w:val="single"/>
        </w:rPr>
      </w:pPr>
      <w:r>
        <w:t>工程试车内容：</w:t>
      </w:r>
      <w:r>
        <w:rPr>
          <w:u w:val="single"/>
        </w:rPr>
        <w:t xml:space="preserve">   </w:t>
      </w:r>
      <w:r>
        <w:rPr>
          <w:rFonts w:hint="eastAsia"/>
          <w:u w:val="single"/>
        </w:rPr>
        <w:t xml:space="preserve">按通用条款执行             </w:t>
      </w:r>
      <w:r>
        <w:rPr>
          <w:u w:val="single"/>
        </w:rPr>
        <w:t xml:space="preserve">    </w:t>
      </w:r>
      <w:r>
        <w:rPr>
          <w:rFonts w:hint="eastAsia"/>
          <w:u w:val="single"/>
        </w:rPr>
        <w:t xml:space="preserve">     </w:t>
      </w:r>
      <w:r>
        <w:rPr>
          <w:rFonts w:hint="eastAsia"/>
        </w:rPr>
        <w:t>。</w:t>
      </w:r>
    </w:p>
    <w:p>
      <w:pPr>
        <w:kinsoku/>
        <w:overflowPunct/>
        <w:topLinePunct w:val="0"/>
        <w:bidi w:val="0"/>
        <w:spacing w:line="300" w:lineRule="auto"/>
      </w:pPr>
      <w:r>
        <w:t>（1）单机无负荷试车费用由</w:t>
      </w:r>
      <w:r>
        <w:rPr>
          <w:u w:val="single"/>
        </w:rPr>
        <w:t xml:space="preserve">     </w:t>
      </w:r>
      <w:r>
        <w:rPr>
          <w:rFonts w:hint="eastAsia"/>
          <w:u w:val="single"/>
        </w:rPr>
        <w:t>承包人</w:t>
      </w:r>
      <w:r>
        <w:rPr>
          <w:u w:val="single"/>
        </w:rPr>
        <w:t xml:space="preserve">           </w:t>
      </w:r>
      <w:r>
        <w:t>承担；</w:t>
      </w:r>
    </w:p>
    <w:p>
      <w:pPr>
        <w:kinsoku/>
        <w:overflowPunct/>
        <w:topLinePunct w:val="0"/>
        <w:bidi w:val="0"/>
        <w:spacing w:line="300" w:lineRule="auto"/>
      </w:pPr>
      <w:r>
        <w:t>（2）无负荷联动试车费用由</w:t>
      </w:r>
      <w:r>
        <w:rPr>
          <w:u w:val="single"/>
        </w:rPr>
        <w:t xml:space="preserve">    </w:t>
      </w:r>
      <w:r>
        <w:rPr>
          <w:rFonts w:hint="eastAsia"/>
          <w:u w:val="single"/>
        </w:rPr>
        <w:t xml:space="preserve">承包人 </w:t>
      </w:r>
      <w:r>
        <w:rPr>
          <w:u w:val="single"/>
        </w:rPr>
        <w:t xml:space="preserve">        </w:t>
      </w:r>
      <w:r>
        <w:t>承担。</w:t>
      </w:r>
    </w:p>
    <w:p>
      <w:pPr>
        <w:kinsoku/>
        <w:overflowPunct/>
        <w:topLinePunct w:val="0"/>
        <w:bidi w:val="0"/>
        <w:spacing w:line="300" w:lineRule="auto"/>
      </w:pPr>
      <w:r>
        <w:t>13.3.3 投料试车</w:t>
      </w:r>
    </w:p>
    <w:p>
      <w:pPr>
        <w:kinsoku/>
        <w:overflowPunct/>
        <w:topLinePunct w:val="0"/>
        <w:bidi w:val="0"/>
        <w:spacing w:line="300" w:lineRule="auto"/>
        <w:rPr>
          <w:u w:val="single"/>
        </w:rPr>
      </w:pPr>
      <w:r>
        <w:rPr>
          <w:rFonts w:hint="eastAsia"/>
        </w:rPr>
        <w:t>关于投料试车相关事项的约定：</w:t>
      </w:r>
      <w:r>
        <w:rPr>
          <w:rFonts w:hint="eastAsia"/>
          <w:u w:val="single"/>
        </w:rPr>
        <w:t xml:space="preserve">  按通用条款执行                                 </w:t>
      </w:r>
    </w:p>
    <w:p>
      <w:pPr>
        <w:pStyle w:val="6"/>
        <w:kinsoku/>
        <w:overflowPunct/>
        <w:topLinePunct w:val="0"/>
        <w:bidi w:val="0"/>
        <w:spacing w:line="300" w:lineRule="auto"/>
      </w:pPr>
      <w:bookmarkStart w:id="1392" w:name="_Toc476734035"/>
      <w:bookmarkStart w:id="1393" w:name="_Toc512604512"/>
      <w:bookmarkStart w:id="1394" w:name="_Toc513209280"/>
      <w:bookmarkStart w:id="1395" w:name="_Toc513038444"/>
      <w:bookmarkStart w:id="1396" w:name="_Toc513214666"/>
      <w:bookmarkStart w:id="1397" w:name="_Toc13124"/>
      <w:bookmarkStart w:id="1398" w:name="_Toc527029624"/>
      <w:bookmarkStart w:id="1399" w:name="_Toc511649795"/>
      <w:bookmarkStart w:id="1400" w:name="_Toc18471"/>
      <w:bookmarkStart w:id="1401" w:name="_Toc14520"/>
      <w:bookmarkStart w:id="1402" w:name="_Toc490491856"/>
      <w:bookmarkStart w:id="1403" w:name="_Toc12272"/>
      <w:bookmarkStart w:id="1404" w:name="_Toc480985269"/>
      <w:bookmarkStart w:id="1405" w:name="_Toc30323"/>
      <w:bookmarkStart w:id="1406" w:name="_Toc509902264"/>
      <w:bookmarkStart w:id="1407" w:name="_Toc31724"/>
      <w:bookmarkStart w:id="1408" w:name="_Toc27145"/>
      <w:bookmarkStart w:id="1409" w:name="_Toc3903967"/>
      <w:bookmarkStart w:id="1410" w:name="_Toc10022"/>
      <w:bookmarkStart w:id="1411" w:name="_Toc4090"/>
      <w:r>
        <w:t>13.6 竣工退场</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kinsoku/>
        <w:overflowPunct/>
        <w:topLinePunct w:val="0"/>
        <w:bidi w:val="0"/>
        <w:spacing w:line="300" w:lineRule="auto"/>
      </w:pPr>
      <w:r>
        <w:t>13.6.1 竣工退场</w:t>
      </w:r>
    </w:p>
    <w:p>
      <w:pPr>
        <w:kinsoku/>
        <w:overflowPunct/>
        <w:topLinePunct w:val="0"/>
        <w:bidi w:val="0"/>
        <w:spacing w:line="300" w:lineRule="auto"/>
      </w:pPr>
      <w:r>
        <w:t>承包人完成竣工退场的期限：</w:t>
      </w:r>
      <w:r>
        <w:rPr>
          <w:u w:val="single"/>
        </w:rPr>
        <w:t xml:space="preserve">    </w:t>
      </w:r>
      <w:r>
        <w:rPr>
          <w:rFonts w:hint="eastAsia"/>
          <w:u w:val="single"/>
        </w:rPr>
        <w:t>30天</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w:t>
      </w:r>
    </w:p>
    <w:p>
      <w:pPr>
        <w:pStyle w:val="5"/>
        <w:kinsoku/>
        <w:overflowPunct/>
        <w:topLinePunct w:val="0"/>
        <w:bidi w:val="0"/>
        <w:spacing w:line="300" w:lineRule="auto"/>
      </w:pPr>
      <w:bookmarkStart w:id="1412" w:name="_Toc513209281"/>
      <w:bookmarkStart w:id="1413" w:name="_Toc513038445"/>
      <w:bookmarkStart w:id="1414" w:name="_Toc512604513"/>
      <w:bookmarkStart w:id="1415" w:name="_Toc509902265"/>
      <w:bookmarkStart w:id="1416" w:name="_Toc490491857"/>
      <w:bookmarkStart w:id="1417" w:name="_Toc513214667"/>
      <w:bookmarkStart w:id="1418" w:name="_Toc3460"/>
      <w:bookmarkStart w:id="1419" w:name="_Toc421260801"/>
      <w:bookmarkStart w:id="1420" w:name="_Toc421287837"/>
      <w:bookmarkStart w:id="1421" w:name="_Toc527029625"/>
      <w:bookmarkStart w:id="1422" w:name="_Toc20937"/>
      <w:bookmarkStart w:id="1423" w:name="_Toc511649796"/>
      <w:bookmarkStart w:id="1424" w:name="_Toc13585"/>
      <w:bookmarkStart w:id="1425" w:name="_Toc3903968"/>
      <w:bookmarkStart w:id="1426" w:name="_Toc6796"/>
      <w:bookmarkStart w:id="1427" w:name="_Toc2204"/>
      <w:bookmarkStart w:id="1428" w:name="_Toc27952"/>
      <w:bookmarkStart w:id="1429" w:name="_Toc10507"/>
      <w:bookmarkStart w:id="1430" w:name="_Toc480985270"/>
      <w:bookmarkStart w:id="1431" w:name="_Toc474503079"/>
      <w:bookmarkStart w:id="1432" w:name="_Toc28255"/>
      <w:bookmarkStart w:id="1433" w:name="_Toc18641"/>
      <w:bookmarkStart w:id="1434" w:name="_Toc476734036"/>
      <w:r>
        <w:t>14. 竣工结算</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6"/>
        <w:kinsoku/>
        <w:overflowPunct/>
        <w:topLinePunct w:val="0"/>
        <w:bidi w:val="0"/>
        <w:spacing w:line="300" w:lineRule="auto"/>
      </w:pPr>
      <w:bookmarkStart w:id="1435" w:name="_Toc9146"/>
      <w:bookmarkStart w:id="1436" w:name="_Toc476734037"/>
      <w:bookmarkStart w:id="1437" w:name="_Toc6177"/>
      <w:bookmarkStart w:id="1438" w:name="_Toc512604514"/>
      <w:bookmarkStart w:id="1439" w:name="_Toc490491858"/>
      <w:bookmarkStart w:id="1440" w:name="_Toc513038446"/>
      <w:bookmarkStart w:id="1441" w:name="_Toc511649797"/>
      <w:bookmarkStart w:id="1442" w:name="_Toc10143"/>
      <w:bookmarkStart w:id="1443" w:name="_Toc480985271"/>
      <w:bookmarkStart w:id="1444" w:name="_Toc28869"/>
      <w:bookmarkStart w:id="1445" w:name="_Toc31362"/>
      <w:bookmarkStart w:id="1446" w:name="_Toc527029626"/>
      <w:bookmarkStart w:id="1447" w:name="_Toc26651"/>
      <w:bookmarkStart w:id="1448" w:name="_Toc513209282"/>
      <w:bookmarkStart w:id="1449" w:name="_Toc513214668"/>
      <w:bookmarkStart w:id="1450" w:name="_Toc509902266"/>
      <w:bookmarkStart w:id="1451" w:name="_Toc7349"/>
      <w:bookmarkStart w:id="1452" w:name="_Toc26577"/>
      <w:bookmarkStart w:id="1453" w:name="_Toc3903969"/>
      <w:bookmarkStart w:id="1454" w:name="_Toc371"/>
      <w:r>
        <w:t>14.1 竣工付款申请</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kinsoku/>
        <w:overflowPunct/>
        <w:topLinePunct w:val="0"/>
        <w:bidi w:val="0"/>
        <w:spacing w:line="300" w:lineRule="auto"/>
      </w:pPr>
      <w:r>
        <w:t>承包人提交竣工付款申请单的期限：</w:t>
      </w:r>
      <w:r>
        <w:rPr>
          <w:u w:val="single"/>
        </w:rPr>
        <w:t xml:space="preserve">     </w:t>
      </w:r>
      <w:r>
        <w:rPr>
          <w:rFonts w:hint="eastAsia"/>
          <w:u w:val="single"/>
        </w:rPr>
        <w:t xml:space="preserve">60天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w:t>
      </w:r>
    </w:p>
    <w:p>
      <w:pPr>
        <w:kinsoku/>
        <w:overflowPunct/>
        <w:topLinePunct w:val="0"/>
        <w:bidi w:val="0"/>
        <w:spacing w:line="300" w:lineRule="auto"/>
      </w:pPr>
      <w:r>
        <w:t>竣工付款申请单应包括的内容：</w:t>
      </w:r>
      <w:r>
        <w:rPr>
          <w:u w:val="single"/>
        </w:rPr>
        <w:t xml:space="preserve">     </w:t>
      </w:r>
      <w:r>
        <w:rPr>
          <w:rFonts w:hint="eastAsia"/>
          <w:u w:val="single"/>
        </w:rPr>
        <w:t xml:space="preserve">按通用条款执行                          </w:t>
      </w:r>
      <w:r>
        <w:rPr>
          <w:u w:val="single"/>
        </w:rPr>
        <w:t xml:space="preserve">   </w:t>
      </w:r>
      <w:r>
        <w:rPr>
          <w:rFonts w:hint="eastAsia"/>
        </w:rPr>
        <w:t>。</w:t>
      </w:r>
    </w:p>
    <w:p>
      <w:pPr>
        <w:pStyle w:val="6"/>
        <w:kinsoku/>
        <w:overflowPunct/>
        <w:topLinePunct w:val="0"/>
        <w:bidi w:val="0"/>
        <w:spacing w:line="300" w:lineRule="auto"/>
      </w:pPr>
      <w:bookmarkStart w:id="1455" w:name="_Toc513209283"/>
      <w:bookmarkStart w:id="1456" w:name="_Toc513214669"/>
      <w:bookmarkStart w:id="1457" w:name="_Toc527029627"/>
      <w:bookmarkStart w:id="1458" w:name="_Toc5419"/>
      <w:bookmarkStart w:id="1459" w:name="_Toc512604515"/>
      <w:bookmarkStart w:id="1460" w:name="_Toc511649798"/>
      <w:bookmarkStart w:id="1461" w:name="_Toc490491859"/>
      <w:bookmarkStart w:id="1462" w:name="_Toc1660"/>
      <w:bookmarkStart w:id="1463" w:name="_Toc480985272"/>
      <w:bookmarkStart w:id="1464" w:name="_Toc513038447"/>
      <w:bookmarkStart w:id="1465" w:name="_Toc5046"/>
      <w:bookmarkStart w:id="1466" w:name="_Toc509902267"/>
      <w:bookmarkStart w:id="1467" w:name="_Toc3339"/>
      <w:bookmarkStart w:id="1468" w:name="_Toc31782"/>
      <w:bookmarkStart w:id="1469" w:name="_Toc476734038"/>
      <w:bookmarkStart w:id="1470" w:name="_Toc807"/>
      <w:bookmarkStart w:id="1471" w:name="_Toc27035"/>
      <w:bookmarkStart w:id="1472" w:name="_Toc3903970"/>
      <w:bookmarkStart w:id="1473" w:name="_Toc4103"/>
      <w:bookmarkStart w:id="1474" w:name="_Toc23836"/>
      <w:r>
        <w:t>14.2 竣工结算审核</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kinsoku/>
        <w:overflowPunct/>
        <w:topLinePunct w:val="0"/>
        <w:bidi w:val="0"/>
        <w:spacing w:line="300" w:lineRule="auto"/>
      </w:pPr>
      <w:r>
        <w:t>发包人</w:t>
      </w:r>
      <w:r>
        <w:rPr>
          <w:rFonts w:hint="eastAsia"/>
        </w:rPr>
        <w:t>审批</w:t>
      </w:r>
      <w:r>
        <w:t>竣工付款申请单的期限：</w:t>
      </w:r>
      <w:r>
        <w:rPr>
          <w:u w:val="single"/>
        </w:rPr>
        <w:t xml:space="preserve">     </w:t>
      </w:r>
      <w:r>
        <w:rPr>
          <w:rFonts w:hint="eastAsia"/>
          <w:u w:val="single"/>
        </w:rPr>
        <w:t>60天</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w:t>
      </w:r>
    </w:p>
    <w:p>
      <w:pPr>
        <w:kinsoku/>
        <w:overflowPunct/>
        <w:topLinePunct w:val="0"/>
        <w:bidi w:val="0"/>
        <w:spacing w:line="300" w:lineRule="auto"/>
      </w:pPr>
      <w:r>
        <w:t>发包人完成竣工付款的期限：</w:t>
      </w:r>
      <w:r>
        <w:rPr>
          <w:u w:val="single"/>
        </w:rPr>
        <w:t xml:space="preserve"> </w:t>
      </w:r>
      <w:r>
        <w:rPr>
          <w:rFonts w:hint="eastAsia"/>
          <w:u w:val="single"/>
        </w:rPr>
        <w:t>依法依规完成本工程最终审计工作30天内</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w:t>
      </w:r>
    </w:p>
    <w:p>
      <w:pPr>
        <w:kinsoku/>
        <w:overflowPunct/>
        <w:topLinePunct w:val="0"/>
        <w:bidi w:val="0"/>
        <w:spacing w:line="300" w:lineRule="auto"/>
      </w:pPr>
      <w:r>
        <w:rPr>
          <w:rFonts w:hint="eastAsia"/>
        </w:rPr>
        <w:t>关于竣工付款证书异议部分复核的方式和程序：</w:t>
      </w:r>
      <w:r>
        <w:rPr>
          <w:rFonts w:hint="eastAsia"/>
          <w:u w:val="single"/>
        </w:rPr>
        <w:t xml:space="preserve">首先双方协商，无法协商的按照第20条〔争议解决〕约定处理 </w:t>
      </w:r>
      <w:r>
        <w:rPr>
          <w:rFonts w:hint="eastAsia"/>
        </w:rPr>
        <w:t>。</w:t>
      </w:r>
    </w:p>
    <w:p>
      <w:pPr>
        <w:pStyle w:val="6"/>
        <w:kinsoku/>
        <w:overflowPunct/>
        <w:topLinePunct w:val="0"/>
        <w:bidi w:val="0"/>
        <w:spacing w:line="300" w:lineRule="auto"/>
      </w:pPr>
      <w:bookmarkStart w:id="1475" w:name="_Toc490491860"/>
      <w:bookmarkStart w:id="1476" w:name="_Toc527029628"/>
      <w:bookmarkStart w:id="1477" w:name="_Toc20807"/>
      <w:bookmarkStart w:id="1478" w:name="_Toc480985273"/>
      <w:bookmarkStart w:id="1479" w:name="_Toc21448"/>
      <w:bookmarkStart w:id="1480" w:name="_Toc513214670"/>
      <w:bookmarkStart w:id="1481" w:name="_Toc16752"/>
      <w:bookmarkStart w:id="1482" w:name="_Toc509902268"/>
      <w:bookmarkStart w:id="1483" w:name="_Toc513209284"/>
      <w:bookmarkStart w:id="1484" w:name="_Toc8463"/>
      <w:bookmarkStart w:id="1485" w:name="_Toc476734039"/>
      <w:bookmarkStart w:id="1486" w:name="_Toc3856"/>
      <w:bookmarkStart w:id="1487" w:name="_Toc512604516"/>
      <w:bookmarkStart w:id="1488" w:name="_Toc513038448"/>
      <w:bookmarkStart w:id="1489" w:name="_Toc511649799"/>
      <w:bookmarkStart w:id="1490" w:name="_Toc11763"/>
      <w:bookmarkStart w:id="1491" w:name="_Toc70"/>
      <w:bookmarkStart w:id="1492" w:name="_Toc3903971"/>
      <w:bookmarkStart w:id="1493" w:name="_Toc27766"/>
      <w:bookmarkStart w:id="1494" w:name="_Toc20893"/>
      <w:r>
        <w:t>14.4 最终结清</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kinsoku/>
        <w:overflowPunct/>
        <w:topLinePunct w:val="0"/>
        <w:bidi w:val="0"/>
        <w:spacing w:line="300" w:lineRule="auto"/>
      </w:pPr>
      <w:r>
        <w:t>14.4.1 最终结清申请单</w:t>
      </w:r>
    </w:p>
    <w:p>
      <w:pPr>
        <w:kinsoku/>
        <w:overflowPunct/>
        <w:topLinePunct w:val="0"/>
        <w:bidi w:val="0"/>
        <w:spacing w:line="300" w:lineRule="auto"/>
      </w:pPr>
      <w:r>
        <w:t>承包人提交最终结清申请单的份数：</w:t>
      </w:r>
      <w:r>
        <w:rPr>
          <w:u w:val="single"/>
        </w:rPr>
        <w:t xml:space="preserve">    </w:t>
      </w:r>
      <w:r>
        <w:rPr>
          <w:rFonts w:hint="eastAsia"/>
          <w:u w:val="single"/>
        </w:rPr>
        <w:t xml:space="preserve">六份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w:t>
      </w:r>
    </w:p>
    <w:p>
      <w:pPr>
        <w:kinsoku/>
        <w:overflowPunct/>
        <w:topLinePunct w:val="0"/>
        <w:bidi w:val="0"/>
        <w:spacing w:line="300" w:lineRule="auto"/>
      </w:pPr>
      <w:r>
        <w:t>承包人提交最终结算申请单的期限：</w:t>
      </w:r>
      <w:r>
        <w:rPr>
          <w:u w:val="single"/>
        </w:rPr>
        <w:t xml:space="preserve">     </w:t>
      </w:r>
      <w:r>
        <w:rPr>
          <w:rFonts w:hint="eastAsia"/>
          <w:u w:val="single"/>
        </w:rPr>
        <w:t>30天</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w:t>
      </w:r>
    </w:p>
    <w:p>
      <w:pPr>
        <w:kinsoku/>
        <w:overflowPunct/>
        <w:topLinePunct w:val="0"/>
        <w:bidi w:val="0"/>
        <w:spacing w:line="300" w:lineRule="auto"/>
      </w:pPr>
      <w:r>
        <w:t>14.4.2 最终结清证书和支付</w:t>
      </w:r>
    </w:p>
    <w:p>
      <w:pPr>
        <w:kinsoku/>
        <w:overflowPunct/>
        <w:topLinePunct w:val="0"/>
        <w:bidi w:val="0"/>
        <w:spacing w:line="300" w:lineRule="auto"/>
        <w:rPr>
          <w:u w:val="single"/>
        </w:rPr>
      </w:pPr>
      <w:r>
        <w:t>（1）发包人完成最终结清申请单的</w:t>
      </w:r>
      <w:r>
        <w:rPr>
          <w:rFonts w:hint="eastAsia"/>
        </w:rPr>
        <w:t>审批</w:t>
      </w:r>
      <w:r>
        <w:t>并颁发最终结清证书的期限：</w:t>
      </w:r>
      <w:r>
        <w:rPr>
          <w:u w:val="single"/>
        </w:rPr>
        <w:t xml:space="preserve">    </w:t>
      </w:r>
      <w:r>
        <w:rPr>
          <w:rFonts w:hint="eastAsia"/>
          <w:u w:val="single"/>
        </w:rPr>
        <w:t xml:space="preserve">30天   </w:t>
      </w:r>
      <w:r>
        <w:rPr>
          <w:u w:val="single"/>
        </w:rPr>
        <w:t xml:space="preserve">  </w:t>
      </w:r>
      <w:r>
        <w:rPr>
          <w:rFonts w:hint="eastAsia"/>
          <w:u w:val="single"/>
        </w:rPr>
        <w:t xml:space="preserve">  </w:t>
      </w:r>
      <w:r>
        <w:rPr>
          <w:rFonts w:hint="eastAsia"/>
        </w:rPr>
        <w:t>。</w:t>
      </w:r>
    </w:p>
    <w:p>
      <w:pPr>
        <w:kinsoku/>
        <w:overflowPunct/>
        <w:topLinePunct w:val="0"/>
        <w:bidi w:val="0"/>
        <w:spacing w:line="300" w:lineRule="auto"/>
      </w:pPr>
      <w:r>
        <w:t>（2）发包人完成支付的期限：</w:t>
      </w:r>
      <w:r>
        <w:rPr>
          <w:u w:val="single"/>
        </w:rPr>
        <w:t xml:space="preserve">     </w:t>
      </w:r>
      <w:r>
        <w:rPr>
          <w:rFonts w:hint="eastAsia"/>
          <w:u w:val="single"/>
        </w:rPr>
        <w:t xml:space="preserve">30天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w:t>
      </w:r>
    </w:p>
    <w:p>
      <w:pPr>
        <w:pStyle w:val="5"/>
        <w:kinsoku/>
        <w:overflowPunct/>
        <w:topLinePunct w:val="0"/>
        <w:bidi w:val="0"/>
        <w:spacing w:line="300" w:lineRule="auto"/>
      </w:pPr>
      <w:bookmarkStart w:id="1495" w:name="_Toc28100"/>
      <w:bookmarkStart w:id="1496" w:name="_Toc480985274"/>
      <w:bookmarkStart w:id="1497" w:name="_Toc474503080"/>
      <w:bookmarkStart w:id="1498" w:name="_Toc476734040"/>
      <w:bookmarkStart w:id="1499" w:name="_Toc509902269"/>
      <w:bookmarkStart w:id="1500" w:name="_Toc421260802"/>
      <w:bookmarkStart w:id="1501" w:name="_Toc730"/>
      <w:bookmarkStart w:id="1502" w:name="_Toc11758"/>
      <w:bookmarkStart w:id="1503" w:name="_Toc513214671"/>
      <w:bookmarkStart w:id="1504" w:name="_Toc513209285"/>
      <w:bookmarkStart w:id="1505" w:name="_Toc13805"/>
      <w:bookmarkStart w:id="1506" w:name="_Toc512604517"/>
      <w:bookmarkStart w:id="1507" w:name="_Toc527029629"/>
      <w:bookmarkStart w:id="1508" w:name="_Toc511649800"/>
      <w:bookmarkStart w:id="1509" w:name="_Toc30498"/>
      <w:bookmarkStart w:id="1510" w:name="_Toc513038449"/>
      <w:bookmarkStart w:id="1511" w:name="_Toc7448"/>
      <w:bookmarkStart w:id="1512" w:name="_Toc490491861"/>
      <w:bookmarkStart w:id="1513" w:name="_Toc11102"/>
      <w:bookmarkStart w:id="1514" w:name="_Toc7845"/>
      <w:bookmarkStart w:id="1515" w:name="_Toc3903972"/>
      <w:bookmarkStart w:id="1516" w:name="_Toc27903"/>
      <w:bookmarkStart w:id="1517" w:name="_Toc421287838"/>
      <w:r>
        <w:t>15. 缺陷责任期与保修</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6"/>
        <w:kinsoku/>
        <w:overflowPunct/>
        <w:topLinePunct w:val="0"/>
        <w:bidi w:val="0"/>
        <w:spacing w:line="300" w:lineRule="auto"/>
      </w:pPr>
      <w:bookmarkStart w:id="1518" w:name="_Toc513214672"/>
      <w:bookmarkStart w:id="1519" w:name="_Toc26375"/>
      <w:bookmarkStart w:id="1520" w:name="_Toc480985275"/>
      <w:bookmarkStart w:id="1521" w:name="_Toc511649801"/>
      <w:bookmarkStart w:id="1522" w:name="_Toc513038450"/>
      <w:bookmarkStart w:id="1523" w:name="_Toc3903973"/>
      <w:bookmarkStart w:id="1524" w:name="_Toc5059"/>
      <w:bookmarkStart w:id="1525" w:name="_Toc512604518"/>
      <w:bookmarkStart w:id="1526" w:name="_Toc8526"/>
      <w:bookmarkStart w:id="1527" w:name="_Toc513209286"/>
      <w:bookmarkStart w:id="1528" w:name="_Toc527029630"/>
      <w:bookmarkStart w:id="1529" w:name="_Toc509902270"/>
      <w:bookmarkStart w:id="1530" w:name="_Toc476734041"/>
      <w:bookmarkStart w:id="1531" w:name="_Toc24084"/>
      <w:bookmarkStart w:id="1532" w:name="_Toc18259"/>
      <w:bookmarkStart w:id="1533" w:name="_Toc17262"/>
      <w:bookmarkStart w:id="1534" w:name="_Toc20560"/>
      <w:bookmarkStart w:id="1535" w:name="_Toc73"/>
      <w:bookmarkStart w:id="1536" w:name="_Toc15072"/>
      <w:bookmarkStart w:id="1537" w:name="_Toc490491862"/>
      <w:r>
        <w:t>15.2缺陷责任期</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kinsoku/>
        <w:overflowPunct/>
        <w:topLinePunct w:val="0"/>
        <w:bidi w:val="0"/>
        <w:spacing w:line="300" w:lineRule="auto"/>
      </w:pPr>
      <w:r>
        <w:t>缺陷责任期的具体期限：</w:t>
      </w:r>
      <w:r>
        <w:rPr>
          <w:u w:val="single"/>
        </w:rPr>
        <w:t xml:space="preserve">  </w:t>
      </w:r>
      <w:r>
        <w:rPr>
          <w:rFonts w:hint="eastAsia"/>
          <w:u w:val="single"/>
        </w:rPr>
        <w:t>24个月</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w:t>
      </w:r>
    </w:p>
    <w:p>
      <w:pPr>
        <w:pStyle w:val="6"/>
        <w:kinsoku/>
        <w:overflowPunct/>
        <w:topLinePunct w:val="0"/>
        <w:bidi w:val="0"/>
        <w:spacing w:line="300" w:lineRule="auto"/>
      </w:pPr>
      <w:bookmarkStart w:id="1538" w:name="_Toc31170"/>
      <w:bookmarkStart w:id="1539" w:name="_Toc513214673"/>
      <w:bookmarkStart w:id="1540" w:name="_Toc20900"/>
      <w:bookmarkStart w:id="1541" w:name="_Toc511649802"/>
      <w:bookmarkStart w:id="1542" w:name="_Toc513209287"/>
      <w:bookmarkStart w:id="1543" w:name="_Toc3903974"/>
      <w:bookmarkStart w:id="1544" w:name="_Toc509902271"/>
      <w:bookmarkStart w:id="1545" w:name="_Toc513038451"/>
      <w:bookmarkStart w:id="1546" w:name="_Toc2763"/>
      <w:bookmarkStart w:id="1547" w:name="_Toc490491863"/>
      <w:bookmarkStart w:id="1548" w:name="_Toc29209"/>
      <w:bookmarkStart w:id="1549" w:name="_Toc23682"/>
      <w:bookmarkStart w:id="1550" w:name="_Toc480985276"/>
      <w:bookmarkStart w:id="1551" w:name="_Toc476734042"/>
      <w:bookmarkStart w:id="1552" w:name="_Toc19700"/>
      <w:bookmarkStart w:id="1553" w:name="_Toc512604519"/>
      <w:bookmarkStart w:id="1554" w:name="_Toc527029631"/>
      <w:bookmarkStart w:id="1555" w:name="_Toc2788"/>
      <w:bookmarkStart w:id="1556" w:name="_Toc17931"/>
      <w:bookmarkStart w:id="1557" w:name="_Toc5543"/>
      <w:r>
        <w:t>15.3 质量保证金</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kinsoku/>
        <w:overflowPunct/>
        <w:topLinePunct w:val="0"/>
        <w:bidi w:val="0"/>
        <w:spacing w:line="300" w:lineRule="auto"/>
      </w:pPr>
      <w:r>
        <w:rPr>
          <w:rFonts w:hint="eastAsia"/>
        </w:rPr>
        <w:t>关于是否扣留质量保证金的约定：</w:t>
      </w:r>
      <w:r>
        <w:rPr>
          <w:u w:val="single"/>
        </w:rPr>
        <w:t xml:space="preserve">  </w:t>
      </w:r>
      <w:r>
        <w:rPr>
          <w:rFonts w:hint="eastAsia"/>
          <w:u w:val="single"/>
        </w:rPr>
        <w:t xml:space="preserve">是  </w:t>
      </w:r>
      <w:r>
        <w:rPr>
          <w:rFonts w:hint="eastAsia"/>
        </w:rPr>
        <w:t>。在工程项目竣工前，承包人按专用合同条款第</w:t>
      </w:r>
      <w:r>
        <w:t>3.7条提供履约担保的，发包人不得同时预留工程质量保证金。</w:t>
      </w:r>
    </w:p>
    <w:p>
      <w:pPr>
        <w:kinsoku/>
        <w:overflowPunct/>
        <w:topLinePunct w:val="0"/>
        <w:bidi w:val="0"/>
        <w:spacing w:line="300" w:lineRule="auto"/>
      </w:pPr>
      <w:r>
        <w:t xml:space="preserve">15.3.1 </w:t>
      </w:r>
      <w:r>
        <w:rPr>
          <w:rFonts w:hint="eastAsia"/>
        </w:rPr>
        <w:t>承包人提供</w:t>
      </w:r>
      <w:r>
        <w:t>质量保证金的</w:t>
      </w:r>
      <w:r>
        <w:rPr>
          <w:rFonts w:hint="eastAsia"/>
        </w:rPr>
        <w:t>方</w:t>
      </w:r>
      <w:r>
        <w:t>式</w:t>
      </w:r>
    </w:p>
    <w:p>
      <w:pPr>
        <w:kinsoku/>
        <w:overflowPunct/>
        <w:topLinePunct w:val="0"/>
        <w:bidi w:val="0"/>
        <w:spacing w:line="300" w:lineRule="auto"/>
      </w:pPr>
      <w:r>
        <w:t>质量保证金采用以下第</w:t>
      </w:r>
      <w:r>
        <w:rPr>
          <w:rFonts w:hint="eastAsia" w:ascii="楷体_GB2312" w:eastAsia="楷体_GB2312"/>
          <w:u w:val="single"/>
        </w:rPr>
        <w:t xml:space="preserve"> （2） </w:t>
      </w:r>
      <w:r>
        <w:t>种方式：</w:t>
      </w:r>
    </w:p>
    <w:p>
      <w:pPr>
        <w:kinsoku/>
        <w:overflowPunct/>
        <w:topLinePunct w:val="0"/>
        <w:bidi w:val="0"/>
        <w:spacing w:line="300" w:lineRule="auto"/>
      </w:pPr>
      <w:r>
        <w:t>（1）质量保证金保函，保证金额为：</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w:t>
      </w:r>
    </w:p>
    <w:p>
      <w:pPr>
        <w:kinsoku/>
        <w:overflowPunct/>
        <w:topLinePunct w:val="0"/>
        <w:bidi w:val="0"/>
        <w:spacing w:line="300" w:lineRule="auto"/>
      </w:pPr>
      <w:r>
        <w:t>（2）</w:t>
      </w:r>
      <w:r>
        <w:rPr>
          <w:rFonts w:hint="eastAsia"/>
          <w:u w:val="single"/>
        </w:rPr>
        <w:t>2.5%</w:t>
      </w:r>
      <w:r>
        <w:t>的</w:t>
      </w:r>
      <w:r>
        <w:rPr>
          <w:rFonts w:hint="eastAsia"/>
        </w:rPr>
        <w:t>工程结算价款</w:t>
      </w:r>
      <w:r>
        <w:t>；</w:t>
      </w:r>
    </w:p>
    <w:p>
      <w:pPr>
        <w:kinsoku/>
        <w:overflowPunct/>
        <w:topLinePunct w:val="0"/>
        <w:bidi w:val="0"/>
        <w:spacing w:line="300" w:lineRule="auto"/>
      </w:pPr>
      <w:r>
        <w:t>（3）其他</w:t>
      </w:r>
      <w:r>
        <w:rPr>
          <w:rFonts w:hint="eastAsia"/>
        </w:rPr>
        <w:t>方</w:t>
      </w:r>
      <w:r>
        <w:t>式:</w:t>
      </w:r>
      <w:r>
        <w:rPr>
          <w:u w:val="single"/>
        </w:rPr>
        <w:t xml:space="preserve">         </w:t>
      </w:r>
      <w:r>
        <w:rPr>
          <w:rFonts w:hint="eastAsia"/>
          <w:u w:val="single"/>
        </w:rPr>
        <w:t>/</w:t>
      </w:r>
      <w:r>
        <w:rPr>
          <w:u w:val="single"/>
        </w:rPr>
        <w:t xml:space="preserve"> </w:t>
      </w:r>
      <w:r>
        <w:rPr>
          <w:rFonts w:hint="eastAsia"/>
          <w:u w:val="single"/>
        </w:rPr>
        <w:t xml:space="preserve">                                             </w:t>
      </w:r>
      <w:r>
        <w:rPr>
          <w:u w:val="single"/>
        </w:rPr>
        <w:t xml:space="preserve">     </w:t>
      </w:r>
      <w:r>
        <w:t xml:space="preserve"> </w:t>
      </w:r>
      <w:r>
        <w:rPr>
          <w:rFonts w:hint="eastAsia"/>
        </w:rPr>
        <w:t>。</w:t>
      </w:r>
    </w:p>
    <w:p>
      <w:pPr>
        <w:kinsoku/>
        <w:overflowPunct/>
        <w:topLinePunct w:val="0"/>
        <w:bidi w:val="0"/>
        <w:spacing w:line="300" w:lineRule="auto"/>
      </w:pPr>
      <w:r>
        <w:t xml:space="preserve">15.3.2 质量保证金的扣留 </w:t>
      </w:r>
    </w:p>
    <w:p>
      <w:pPr>
        <w:kinsoku/>
        <w:overflowPunct/>
        <w:topLinePunct w:val="0"/>
        <w:bidi w:val="0"/>
        <w:spacing w:line="300" w:lineRule="auto"/>
      </w:pPr>
      <w:r>
        <w:t>质量保证金的扣留采取以下第</w:t>
      </w:r>
      <w:r>
        <w:rPr>
          <w:rFonts w:hint="eastAsia" w:ascii="楷体_GB2312" w:hAnsi="楷体" w:eastAsia="楷体_GB2312"/>
          <w:u w:val="single"/>
        </w:rPr>
        <w:t xml:space="preserve"> （2） </w:t>
      </w:r>
      <w:r>
        <w:t>种方式：</w:t>
      </w:r>
    </w:p>
    <w:p>
      <w:pPr>
        <w:kinsoku/>
        <w:overflowPunct/>
        <w:topLinePunct w:val="0"/>
        <w:bidi w:val="0"/>
        <w:spacing w:line="300" w:lineRule="auto"/>
      </w:pPr>
      <w:r>
        <w:t>（1）在支付工程进度款时逐次扣留，在此情形下，质量保证金的计算基数不包括预付款的支付、扣回以及价格调整的金额；</w:t>
      </w:r>
    </w:p>
    <w:p>
      <w:pPr>
        <w:kinsoku/>
        <w:overflowPunct/>
        <w:topLinePunct w:val="0"/>
        <w:bidi w:val="0"/>
        <w:spacing w:line="300" w:lineRule="auto"/>
      </w:pPr>
      <w:r>
        <w:t>（2）工程竣工</w:t>
      </w:r>
      <w:r>
        <w:rPr>
          <w:rFonts w:hint="eastAsia"/>
        </w:rPr>
        <w:t>结算</w:t>
      </w:r>
      <w:r>
        <w:t>时一次性扣留质量保证金；</w:t>
      </w:r>
    </w:p>
    <w:p>
      <w:pPr>
        <w:kinsoku/>
        <w:overflowPunct/>
        <w:topLinePunct w:val="0"/>
        <w:bidi w:val="0"/>
        <w:spacing w:line="300" w:lineRule="auto"/>
      </w:pPr>
      <w:r>
        <w:rPr>
          <w:rFonts w:hint="eastAsia"/>
        </w:rPr>
        <w:t>（3）其他扣留方式:</w:t>
      </w:r>
      <w:r>
        <w:rPr>
          <w:rFonts w:hint="eastAsia" w:ascii="楷体_GB2312" w:eastAsia="楷体_GB2312"/>
          <w:u w:val="single"/>
        </w:rPr>
        <w:t>/。</w:t>
      </w:r>
      <w:r>
        <w:rPr>
          <w:rFonts w:hint="eastAsia"/>
        </w:rPr>
        <w:t xml:space="preserve"> </w:t>
      </w:r>
    </w:p>
    <w:p>
      <w:pPr>
        <w:kinsoku/>
        <w:overflowPunct/>
        <w:topLinePunct w:val="0"/>
        <w:bidi w:val="0"/>
        <w:spacing w:line="300" w:lineRule="auto"/>
        <w:ind w:firstLine="420"/>
        <w:rPr>
          <w:b/>
          <w:u w:val="double"/>
        </w:rPr>
      </w:pPr>
      <w:r>
        <w:t>关于质量保证金的补充约定：</w:t>
      </w:r>
      <w:r>
        <w:rPr>
          <w:rFonts w:hint="eastAsia" w:ascii="楷体_GB2312" w:eastAsia="楷体_GB2312"/>
          <w:u w:val="single"/>
        </w:rPr>
        <w:t xml:space="preserve">二年缺陷责任期满后一个月内结清尾款；保修期执行相关规定  </w:t>
      </w:r>
      <w:r>
        <w:rPr>
          <w:rFonts w:hint="eastAsia"/>
        </w:rPr>
        <w:t>。</w:t>
      </w:r>
    </w:p>
    <w:p>
      <w:pPr>
        <w:kinsoku/>
        <w:overflowPunct/>
        <w:topLinePunct w:val="0"/>
        <w:bidi w:val="0"/>
        <w:spacing w:line="300" w:lineRule="auto"/>
      </w:pPr>
    </w:p>
    <w:p>
      <w:pPr>
        <w:pStyle w:val="6"/>
        <w:kinsoku/>
        <w:overflowPunct/>
        <w:topLinePunct w:val="0"/>
        <w:bidi w:val="0"/>
        <w:spacing w:line="300" w:lineRule="auto"/>
      </w:pPr>
      <w:bookmarkStart w:id="1558" w:name="_Toc480985277"/>
      <w:bookmarkStart w:id="1559" w:name="_Toc17028"/>
      <w:bookmarkStart w:id="1560" w:name="_Toc513038452"/>
      <w:bookmarkStart w:id="1561" w:name="_Toc509902272"/>
      <w:bookmarkStart w:id="1562" w:name="_Toc512604520"/>
      <w:bookmarkStart w:id="1563" w:name="_Toc476734043"/>
      <w:bookmarkStart w:id="1564" w:name="_Toc142"/>
      <w:bookmarkStart w:id="1565" w:name="_Toc18132"/>
      <w:bookmarkStart w:id="1566" w:name="_Toc513214674"/>
      <w:bookmarkStart w:id="1567" w:name="_Toc513209288"/>
      <w:bookmarkStart w:id="1568" w:name="_Toc511649803"/>
      <w:bookmarkStart w:id="1569" w:name="_Toc388"/>
      <w:bookmarkStart w:id="1570" w:name="_Toc490491864"/>
      <w:bookmarkStart w:id="1571" w:name="_Toc17517"/>
      <w:bookmarkStart w:id="1572" w:name="_Toc527029632"/>
      <w:bookmarkStart w:id="1573" w:name="_Toc26057"/>
      <w:bookmarkStart w:id="1574" w:name="_Toc4590"/>
      <w:bookmarkStart w:id="1575" w:name="_Toc7132"/>
      <w:bookmarkStart w:id="1576" w:name="_Toc18300"/>
      <w:bookmarkStart w:id="1577" w:name="_Toc3903975"/>
      <w:r>
        <w:t>15.4保修</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kinsoku/>
        <w:overflowPunct/>
        <w:topLinePunct w:val="0"/>
        <w:bidi w:val="0"/>
        <w:spacing w:line="300" w:lineRule="auto"/>
      </w:pPr>
      <w:r>
        <w:t>15.4.1 保修责任</w:t>
      </w:r>
    </w:p>
    <w:p>
      <w:pPr>
        <w:kinsoku/>
        <w:overflowPunct/>
        <w:topLinePunct w:val="0"/>
        <w:bidi w:val="0"/>
        <w:spacing w:line="300" w:lineRule="auto"/>
      </w:pPr>
      <w:r>
        <w:t>工程保修期为：</w:t>
      </w:r>
      <w:r>
        <w:rPr>
          <w:u w:val="single"/>
        </w:rPr>
        <w:t xml:space="preserve">  保修期执行相关规定</w:t>
      </w:r>
      <w:r>
        <w:rPr>
          <w:rFonts w:hint="eastAsia"/>
          <w:u w:val="single"/>
        </w:rPr>
        <w:t xml:space="preserve">  </w:t>
      </w:r>
      <w:r>
        <w:rPr>
          <w:u w:val="single"/>
        </w:rPr>
        <w:t>。</w:t>
      </w:r>
      <w:r>
        <w:rPr>
          <w:rFonts w:hint="eastAsia"/>
          <w:u w:val="single"/>
        </w:rPr>
        <w:t xml:space="preserve"> </w:t>
      </w:r>
    </w:p>
    <w:p>
      <w:pPr>
        <w:kinsoku/>
        <w:overflowPunct/>
        <w:topLinePunct w:val="0"/>
        <w:bidi w:val="0"/>
        <w:spacing w:line="300" w:lineRule="auto"/>
      </w:pPr>
      <w:r>
        <w:t>15.4.3 修复通知</w:t>
      </w:r>
    </w:p>
    <w:p>
      <w:pPr>
        <w:kinsoku/>
        <w:overflowPunct/>
        <w:topLinePunct w:val="0"/>
        <w:bidi w:val="0"/>
        <w:spacing w:line="300" w:lineRule="auto"/>
        <w:rPr>
          <w:u w:val="single"/>
        </w:rPr>
      </w:pPr>
      <w:r>
        <w:t>承包人收到保修通知并到达工程现场的合理时间：</w:t>
      </w:r>
      <w:r>
        <w:rPr>
          <w:u w:val="single"/>
        </w:rPr>
        <w:t xml:space="preserve">  </w:t>
      </w:r>
      <w:r>
        <w:rPr>
          <w:rFonts w:ascii="宋体" w:hAnsi="宋体" w:cs="Arial"/>
          <w:szCs w:val="21"/>
          <w:u w:val="single"/>
        </w:rPr>
        <w:t>12小时内</w:t>
      </w:r>
      <w:r>
        <w:rPr>
          <w:rFonts w:hint="eastAsia"/>
          <w:u w:val="single"/>
        </w:rPr>
        <w:t xml:space="preserve"> </w:t>
      </w:r>
      <w:r>
        <w:rPr>
          <w:u w:val="single"/>
        </w:rPr>
        <w:t xml:space="preserve">    </w:t>
      </w:r>
      <w:r>
        <w:rPr>
          <w:rFonts w:hint="eastAsia"/>
          <w:u w:val="single"/>
        </w:rPr>
        <w:t xml:space="preserve">   </w:t>
      </w:r>
      <w:r>
        <w:rPr>
          <w:rFonts w:hint="eastAsia"/>
        </w:rPr>
        <w:t>。</w:t>
      </w:r>
    </w:p>
    <w:p>
      <w:pPr>
        <w:pStyle w:val="5"/>
        <w:kinsoku/>
        <w:overflowPunct/>
        <w:topLinePunct w:val="0"/>
        <w:bidi w:val="0"/>
        <w:spacing w:line="300" w:lineRule="auto"/>
      </w:pPr>
      <w:bookmarkStart w:id="1578" w:name="_Toc633"/>
      <w:bookmarkStart w:id="1579" w:name="_Toc24155"/>
      <w:bookmarkStart w:id="1580" w:name="_Toc513214675"/>
      <w:bookmarkStart w:id="1581" w:name="_Toc527029633"/>
      <w:bookmarkStart w:id="1582" w:name="_Toc511649804"/>
      <w:bookmarkStart w:id="1583" w:name="_Toc512604521"/>
      <w:bookmarkStart w:id="1584" w:name="_Toc7554"/>
      <w:bookmarkStart w:id="1585" w:name="_Toc474503081"/>
      <w:bookmarkStart w:id="1586" w:name="_Toc476734044"/>
      <w:bookmarkStart w:id="1587" w:name="_Toc490491865"/>
      <w:bookmarkStart w:id="1588" w:name="_Toc16380"/>
      <w:bookmarkStart w:id="1589" w:name="_Toc10808"/>
      <w:bookmarkStart w:id="1590" w:name="_Toc13981"/>
      <w:bookmarkStart w:id="1591" w:name="_Toc19722"/>
      <w:bookmarkStart w:id="1592" w:name="_Toc6767"/>
      <w:bookmarkStart w:id="1593" w:name="_Toc509902273"/>
      <w:bookmarkStart w:id="1594" w:name="_Toc1044"/>
      <w:bookmarkStart w:id="1595" w:name="_Toc513038453"/>
      <w:bookmarkStart w:id="1596" w:name="_Toc3903976"/>
      <w:bookmarkStart w:id="1597" w:name="_Toc513209289"/>
      <w:bookmarkStart w:id="1598" w:name="_Toc421287839"/>
      <w:bookmarkStart w:id="1599" w:name="_Toc421260803"/>
      <w:bookmarkStart w:id="1600" w:name="_Toc480985278"/>
      <w:r>
        <w:t>16. 违约</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6"/>
        <w:kinsoku/>
        <w:overflowPunct/>
        <w:topLinePunct w:val="0"/>
        <w:bidi w:val="0"/>
        <w:spacing w:line="300" w:lineRule="auto"/>
      </w:pPr>
      <w:bookmarkStart w:id="1601" w:name="_Toc513214676"/>
      <w:bookmarkStart w:id="1602" w:name="_Toc513038454"/>
      <w:bookmarkStart w:id="1603" w:name="_Toc527029634"/>
      <w:bookmarkStart w:id="1604" w:name="_Toc509902274"/>
      <w:bookmarkStart w:id="1605" w:name="_Toc513209290"/>
      <w:bookmarkStart w:id="1606" w:name="_Toc9351"/>
      <w:bookmarkStart w:id="1607" w:name="_Toc490491866"/>
      <w:bookmarkStart w:id="1608" w:name="_Toc6959"/>
      <w:bookmarkStart w:id="1609" w:name="_Toc476734045"/>
      <w:bookmarkStart w:id="1610" w:name="_Toc23217"/>
      <w:bookmarkStart w:id="1611" w:name="_Toc3903977"/>
      <w:bookmarkStart w:id="1612" w:name="_Toc511649805"/>
      <w:bookmarkStart w:id="1613" w:name="_Toc143"/>
      <w:bookmarkStart w:id="1614" w:name="_Toc20081"/>
      <w:bookmarkStart w:id="1615" w:name="_Toc6126"/>
      <w:bookmarkStart w:id="1616" w:name="_Toc4977"/>
      <w:bookmarkStart w:id="1617" w:name="_Toc3831"/>
      <w:bookmarkStart w:id="1618" w:name="_Toc512604522"/>
      <w:bookmarkStart w:id="1619" w:name="_Toc32011"/>
      <w:bookmarkStart w:id="1620" w:name="_Toc480985279"/>
      <w:r>
        <w:t>16.1 发包人违约</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kinsoku/>
        <w:overflowPunct/>
        <w:topLinePunct w:val="0"/>
        <w:bidi w:val="0"/>
        <w:spacing w:line="300" w:lineRule="auto"/>
      </w:pPr>
      <w:r>
        <w:t>16.1.1发包人违约的情形</w:t>
      </w:r>
    </w:p>
    <w:p>
      <w:pPr>
        <w:kinsoku/>
        <w:overflowPunct/>
        <w:topLinePunct w:val="0"/>
        <w:bidi w:val="0"/>
        <w:spacing w:line="300" w:lineRule="auto"/>
        <w:rPr>
          <w:u w:val="single"/>
        </w:rPr>
      </w:pPr>
      <w:r>
        <w:t>发包人违约的其他情形：</w:t>
      </w:r>
      <w:r>
        <w:rPr>
          <w:u w:val="single"/>
        </w:rPr>
        <w:t xml:space="preserve">     </w:t>
      </w:r>
      <w:r>
        <w:rPr>
          <w:rFonts w:hint="eastAsia"/>
          <w:u w:val="single"/>
        </w:rPr>
        <w:t>/</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w:t>
      </w:r>
    </w:p>
    <w:p>
      <w:pPr>
        <w:kinsoku/>
        <w:overflowPunct/>
        <w:topLinePunct w:val="0"/>
        <w:bidi w:val="0"/>
        <w:spacing w:line="300" w:lineRule="auto"/>
      </w:pPr>
      <w:r>
        <w:t>16.1.2 发包人违约的责任</w:t>
      </w:r>
    </w:p>
    <w:p>
      <w:pPr>
        <w:kinsoku/>
        <w:overflowPunct/>
        <w:topLinePunct w:val="0"/>
        <w:bidi w:val="0"/>
        <w:spacing w:line="300" w:lineRule="auto"/>
      </w:pPr>
      <w:r>
        <w:t>发包人违约责任的承担方式和计算方法：</w:t>
      </w:r>
    </w:p>
    <w:p>
      <w:pPr>
        <w:kinsoku/>
        <w:overflowPunct/>
        <w:topLinePunct w:val="0"/>
        <w:bidi w:val="0"/>
        <w:spacing w:line="300" w:lineRule="auto"/>
        <w:rPr>
          <w:u w:val="single"/>
        </w:rPr>
      </w:pPr>
      <w:r>
        <w:t>（1）因发包人原因未能在计划开工日期前7天内下达开工通知的违约责任：</w:t>
      </w:r>
      <w:r>
        <w:rPr>
          <w:rFonts w:hint="eastAsia"/>
          <w:u w:val="single"/>
        </w:rPr>
        <w:t xml:space="preserve">按通用条款执行      </w:t>
      </w:r>
      <w:r>
        <w:rPr>
          <w:rFonts w:hint="eastAsia"/>
        </w:rPr>
        <w:t>。</w:t>
      </w:r>
    </w:p>
    <w:p>
      <w:pPr>
        <w:kinsoku/>
        <w:overflowPunct/>
        <w:topLinePunct w:val="0"/>
        <w:bidi w:val="0"/>
        <w:spacing w:line="300" w:lineRule="auto"/>
        <w:rPr>
          <w:u w:val="single"/>
        </w:rPr>
      </w:pPr>
      <w:r>
        <w:t>（2）因发包人原因未能按合同约定支付合同价款的违约责任：</w:t>
      </w:r>
      <w:r>
        <w:rPr>
          <w:u w:val="single"/>
        </w:rPr>
        <w:t xml:space="preserve">  </w:t>
      </w:r>
      <w:r>
        <w:rPr>
          <w:rFonts w:hint="eastAsia"/>
          <w:u w:val="single"/>
        </w:rPr>
        <w:t xml:space="preserve">按通用条款执行     </w:t>
      </w:r>
      <w:r>
        <w:rPr>
          <w:u w:val="single"/>
        </w:rPr>
        <w:t xml:space="preserve"> </w:t>
      </w:r>
      <w:r>
        <w:rPr>
          <w:rFonts w:hint="eastAsia"/>
        </w:rPr>
        <w:t>。</w:t>
      </w:r>
    </w:p>
    <w:p>
      <w:pPr>
        <w:kinsoku/>
        <w:overflowPunct/>
        <w:topLinePunct w:val="0"/>
        <w:bidi w:val="0"/>
        <w:spacing w:line="300" w:lineRule="auto"/>
        <w:rPr>
          <w:u w:val="single"/>
        </w:rPr>
      </w:pPr>
      <w:r>
        <w:t>（3）发包人违反第10.1款</w:t>
      </w:r>
      <w:r>
        <w:rPr>
          <w:rFonts w:hint="eastAsia"/>
        </w:rPr>
        <w:t>〔</w:t>
      </w:r>
      <w:r>
        <w:t>变更的范围</w:t>
      </w:r>
      <w:r>
        <w:rPr>
          <w:rFonts w:hint="eastAsia"/>
        </w:rPr>
        <w:t>〕</w:t>
      </w:r>
      <w:r>
        <w:t>第（2）项约定，自行实施被取消的工作或转由他人实施的违约责任：</w:t>
      </w:r>
      <w:r>
        <w:rPr>
          <w:rFonts w:hint="eastAsia"/>
          <w:u w:val="single"/>
        </w:rPr>
        <w:t xml:space="preserve">按通用条款执行                     </w:t>
      </w:r>
      <w:r>
        <w:rPr>
          <w:rFonts w:hint="eastAsia"/>
        </w:rPr>
        <w:t>。</w:t>
      </w:r>
    </w:p>
    <w:p>
      <w:pPr>
        <w:kinsoku/>
        <w:overflowPunct/>
        <w:topLinePunct w:val="0"/>
        <w:bidi w:val="0"/>
        <w:spacing w:line="300" w:lineRule="auto"/>
        <w:rPr>
          <w:u w:val="single"/>
        </w:rPr>
      </w:pPr>
      <w:r>
        <w:t>（4）发包人提供的材料、工程设备的规格、数量或质量不符合合同约定，或因发包人原因导致交货日期延误或交货地点变更等情况的违约责任：</w:t>
      </w:r>
      <w:r>
        <w:rPr>
          <w:u w:val="single"/>
        </w:rPr>
        <w:t xml:space="preserve">   </w:t>
      </w:r>
      <w:r>
        <w:rPr>
          <w:rFonts w:hint="eastAsia"/>
          <w:u w:val="single"/>
        </w:rPr>
        <w:t>由发包人承担责任</w:t>
      </w:r>
      <w:r>
        <w:rPr>
          <w:u w:val="single"/>
        </w:rPr>
        <w:t xml:space="preserve">  </w:t>
      </w:r>
      <w:r>
        <w:rPr>
          <w:rFonts w:hint="eastAsia"/>
          <w:u w:val="single"/>
        </w:rPr>
        <w:t xml:space="preserve">         </w:t>
      </w:r>
      <w:r>
        <w:rPr>
          <w:rFonts w:hint="eastAsia"/>
        </w:rPr>
        <w:t>。</w:t>
      </w:r>
    </w:p>
    <w:p>
      <w:pPr>
        <w:kinsoku/>
        <w:overflowPunct/>
        <w:topLinePunct w:val="0"/>
        <w:bidi w:val="0"/>
        <w:spacing w:line="300" w:lineRule="auto"/>
        <w:rPr>
          <w:u w:val="single"/>
        </w:rPr>
      </w:pPr>
      <w:r>
        <w:t>（5）因发包人违反合同约定造成暂停施工的违约责任：</w:t>
      </w:r>
      <w:r>
        <w:rPr>
          <w:u w:val="single"/>
        </w:rPr>
        <w:t xml:space="preserve">  </w:t>
      </w:r>
      <w:r>
        <w:rPr>
          <w:rFonts w:hint="eastAsia"/>
          <w:u w:val="single"/>
        </w:rPr>
        <w:t xml:space="preserve"> 按通用条款执行       </w:t>
      </w:r>
      <w:r>
        <w:rPr>
          <w:u w:val="single"/>
        </w:rPr>
        <w:t xml:space="preserve">   </w:t>
      </w:r>
      <w:r>
        <w:rPr>
          <w:rFonts w:hint="eastAsia"/>
        </w:rPr>
        <w:t>。</w:t>
      </w:r>
    </w:p>
    <w:p>
      <w:pPr>
        <w:kinsoku/>
        <w:overflowPunct/>
        <w:topLinePunct w:val="0"/>
        <w:bidi w:val="0"/>
        <w:spacing w:line="300" w:lineRule="auto"/>
        <w:jc w:val="both"/>
        <w:rPr>
          <w:u w:val="single"/>
        </w:rPr>
      </w:pPr>
      <w:r>
        <w:t>（6）发包人无正当理由没有在约定期限内发出复工指示，导致承包人无法复工的违约责任：</w:t>
      </w:r>
      <w:r>
        <w:rPr>
          <w:u w:val="single"/>
        </w:rPr>
        <w:t xml:space="preserve">          </w:t>
      </w:r>
      <w:r>
        <w:rPr>
          <w:rFonts w:hint="eastAsia"/>
          <w:u w:val="single"/>
        </w:rPr>
        <w:t xml:space="preserve">   按照第20条〔争议解决〕                                         </w:t>
      </w:r>
      <w:r>
        <w:rPr>
          <w:rFonts w:hint="eastAsia"/>
        </w:rPr>
        <w:t>。</w:t>
      </w:r>
    </w:p>
    <w:p>
      <w:pPr>
        <w:kinsoku/>
        <w:overflowPunct/>
        <w:topLinePunct w:val="0"/>
        <w:bidi w:val="0"/>
        <w:spacing w:line="300" w:lineRule="auto"/>
      </w:pPr>
      <w:r>
        <w:t>（7）</w:t>
      </w:r>
      <w:r>
        <w:rPr>
          <w:rFonts w:hint="eastAsia"/>
        </w:rPr>
        <w:t>其他：</w:t>
      </w:r>
      <w:r>
        <w:rPr>
          <w:u w:val="single"/>
        </w:rPr>
        <w:t xml:space="preserve">      </w:t>
      </w:r>
      <w:r>
        <w:rPr>
          <w:rFonts w:hint="eastAsia"/>
          <w:u w:val="single"/>
        </w:rPr>
        <w:t xml:space="preserve">     /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w:t>
      </w:r>
    </w:p>
    <w:p>
      <w:pPr>
        <w:kinsoku/>
        <w:overflowPunct/>
        <w:topLinePunct w:val="0"/>
        <w:bidi w:val="0"/>
        <w:spacing w:line="300" w:lineRule="auto"/>
      </w:pPr>
      <w:r>
        <w:t>16.1.3 因发包人违约解除合同</w:t>
      </w:r>
    </w:p>
    <w:p>
      <w:pPr>
        <w:kinsoku/>
        <w:overflowPunct/>
        <w:topLinePunct w:val="0"/>
        <w:bidi w:val="0"/>
        <w:spacing w:line="300" w:lineRule="auto"/>
      </w:pPr>
      <w:r>
        <w:t>承包人按16.1.1项</w:t>
      </w:r>
      <w:r>
        <w:rPr>
          <w:rFonts w:hint="eastAsia"/>
        </w:rPr>
        <w:t>〔</w:t>
      </w:r>
      <w:r>
        <w:t>发包人违约的情形</w:t>
      </w:r>
      <w:r>
        <w:rPr>
          <w:rFonts w:hint="eastAsia"/>
        </w:rPr>
        <w:t>〕</w:t>
      </w:r>
      <w:r>
        <w:t>约定暂停施工满</w:t>
      </w:r>
      <w:r>
        <w:rPr>
          <w:u w:val="single"/>
        </w:rPr>
        <w:t xml:space="preserve"> </w:t>
      </w:r>
      <w:r>
        <w:rPr>
          <w:rFonts w:hint="eastAsia"/>
          <w:u w:val="single"/>
        </w:rPr>
        <w:t>28</w:t>
      </w:r>
      <w:r>
        <w:rPr>
          <w:u w:val="single"/>
        </w:rPr>
        <w:t xml:space="preserve"> </w:t>
      </w:r>
      <w:r>
        <w:t>天后发包人仍不纠正其违约行为并致使合同目的不能实现的，承包人有权解除合同。</w:t>
      </w:r>
    </w:p>
    <w:p>
      <w:pPr>
        <w:pStyle w:val="6"/>
        <w:kinsoku/>
        <w:overflowPunct/>
        <w:topLinePunct w:val="0"/>
        <w:bidi w:val="0"/>
        <w:spacing w:line="300" w:lineRule="auto"/>
      </w:pPr>
      <w:bookmarkStart w:id="1621" w:name="_Toc509902275"/>
      <w:bookmarkStart w:id="1622" w:name="_Toc513038455"/>
      <w:bookmarkStart w:id="1623" w:name="_Toc513209291"/>
      <w:bookmarkStart w:id="1624" w:name="_Toc480985280"/>
      <w:bookmarkStart w:id="1625" w:name="_Toc9321"/>
      <w:bookmarkStart w:id="1626" w:name="_Toc28875"/>
      <w:bookmarkStart w:id="1627" w:name="_Toc18389"/>
      <w:bookmarkStart w:id="1628" w:name="_Toc513214677"/>
      <w:bookmarkStart w:id="1629" w:name="_Toc512604523"/>
      <w:bookmarkStart w:id="1630" w:name="_Toc511649806"/>
      <w:bookmarkStart w:id="1631" w:name="_Toc527029635"/>
      <w:bookmarkStart w:id="1632" w:name="_Toc476734046"/>
      <w:bookmarkStart w:id="1633" w:name="_Toc490491867"/>
      <w:bookmarkStart w:id="1634" w:name="_Toc9686"/>
      <w:bookmarkStart w:id="1635" w:name="_Toc17139"/>
      <w:bookmarkStart w:id="1636" w:name="_Toc23643"/>
      <w:bookmarkStart w:id="1637" w:name="_Toc13846"/>
      <w:bookmarkStart w:id="1638" w:name="_Toc3903978"/>
      <w:bookmarkStart w:id="1639" w:name="_Toc29832"/>
      <w:bookmarkStart w:id="1640" w:name="_Toc32147"/>
      <w:r>
        <w:t>16.2 承包人违约</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kinsoku/>
        <w:overflowPunct/>
        <w:topLinePunct w:val="0"/>
        <w:bidi w:val="0"/>
        <w:spacing w:line="300" w:lineRule="auto"/>
      </w:pPr>
      <w:r>
        <w:t>16.2.1 承包人违约的情形</w:t>
      </w:r>
    </w:p>
    <w:p>
      <w:pPr>
        <w:kinsoku/>
        <w:overflowPunct/>
        <w:topLinePunct w:val="0"/>
        <w:bidi w:val="0"/>
        <w:spacing w:line="300" w:lineRule="auto"/>
        <w:rPr>
          <w:u w:val="single"/>
        </w:rPr>
      </w:pPr>
      <w:r>
        <w:t>承包人违约的其他情形：</w:t>
      </w:r>
      <w:r>
        <w:rPr>
          <w:u w:val="single"/>
        </w:rPr>
        <w:t xml:space="preserve">  </w:t>
      </w:r>
      <w:r>
        <w:rPr>
          <w:rFonts w:hint="eastAsia"/>
          <w:u w:val="single"/>
        </w:rPr>
        <w:t xml:space="preserve">1、若工程质量验收达不到合同中约定的质量标准，承包人必须无条件返工到合同约定的质量标准，返工后仍未达到合同约定的质量标准的将没收合同价款的3%。工期延误由承包人承担    </w:t>
      </w:r>
      <w:r>
        <w:rPr>
          <w:rFonts w:hint="eastAsia"/>
        </w:rPr>
        <w:t>。</w:t>
      </w:r>
    </w:p>
    <w:p>
      <w:pPr>
        <w:kinsoku/>
        <w:overflowPunct/>
        <w:topLinePunct w:val="0"/>
        <w:bidi w:val="0"/>
        <w:spacing w:line="300" w:lineRule="auto"/>
      </w:pPr>
      <w:r>
        <w:t>16.2.2承包人违约的责任</w:t>
      </w:r>
    </w:p>
    <w:p>
      <w:pPr>
        <w:kinsoku/>
        <w:overflowPunct/>
        <w:topLinePunct w:val="0"/>
        <w:bidi w:val="0"/>
        <w:spacing w:line="300" w:lineRule="auto"/>
        <w:rPr>
          <w:u w:val="single"/>
        </w:rPr>
      </w:pPr>
      <w:r>
        <w:t>承包人违约责任的承担方式和计算方法：</w:t>
      </w:r>
      <w:r>
        <w:rPr>
          <w:rFonts w:hint="eastAsia"/>
          <w:u w:val="single"/>
        </w:rPr>
        <w:t xml:space="preserve">按通用条款执行              </w:t>
      </w:r>
      <w:r>
        <w:rPr>
          <w:u w:val="single"/>
        </w:rPr>
        <w:t xml:space="preserve">          </w:t>
      </w:r>
      <w:r>
        <w:rPr>
          <w:rFonts w:hint="eastAsia"/>
          <w:u w:val="single"/>
        </w:rPr>
        <w:t xml:space="preserve">  </w:t>
      </w:r>
      <w:r>
        <w:rPr>
          <w:rFonts w:hint="eastAsia"/>
        </w:rPr>
        <w:t>。</w:t>
      </w:r>
    </w:p>
    <w:p>
      <w:pPr>
        <w:kinsoku/>
        <w:overflowPunct/>
        <w:topLinePunct w:val="0"/>
        <w:bidi w:val="0"/>
        <w:spacing w:line="300" w:lineRule="auto"/>
      </w:pPr>
      <w:r>
        <w:t>16.2.3 因承包人违约解除合同</w:t>
      </w:r>
    </w:p>
    <w:p>
      <w:pPr>
        <w:kinsoku/>
        <w:overflowPunct/>
        <w:topLinePunct w:val="0"/>
        <w:bidi w:val="0"/>
        <w:spacing w:line="300" w:lineRule="auto"/>
      </w:pPr>
      <w:r>
        <w:t>关于承包人违约解除合同的特别约定：</w:t>
      </w:r>
      <w:r>
        <w:rPr>
          <w:rFonts w:hint="eastAsia"/>
          <w:u w:val="single"/>
        </w:rPr>
        <w:t xml:space="preserve">按通用条款执行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w:t>
      </w:r>
    </w:p>
    <w:p>
      <w:pPr>
        <w:kinsoku/>
        <w:overflowPunct/>
        <w:topLinePunct w:val="0"/>
        <w:bidi w:val="0"/>
        <w:spacing w:line="300" w:lineRule="auto"/>
      </w:pPr>
      <w:r>
        <w:t>发包人</w:t>
      </w:r>
      <w:r>
        <w:rPr>
          <w:rFonts w:hint="eastAsia"/>
        </w:rPr>
        <w:t>继续</w:t>
      </w:r>
      <w:r>
        <w:t>使用承包人在施工现场的材料、设备、临时工程、承包人文件和由承包人或以其名义编制的其他文件</w:t>
      </w:r>
      <w:r>
        <w:rPr>
          <w:rFonts w:hint="eastAsia"/>
        </w:rPr>
        <w:t>的费用承担方式</w:t>
      </w:r>
      <w:r>
        <w:t>：</w:t>
      </w:r>
      <w:r>
        <w:rPr>
          <w:rFonts w:hint="eastAsia"/>
          <w:u w:val="single"/>
        </w:rPr>
        <w:t xml:space="preserve">按通用条款执行                        </w:t>
      </w:r>
      <w:r>
        <w:rPr>
          <w:u w:val="single"/>
        </w:rPr>
        <w:t xml:space="preserve">  </w:t>
      </w:r>
      <w:r>
        <w:rPr>
          <w:rFonts w:hint="eastAsia"/>
          <w:u w:val="single"/>
        </w:rPr>
        <w:t xml:space="preserve">  </w:t>
      </w:r>
      <w:r>
        <w:rPr>
          <w:rFonts w:hint="eastAsia"/>
        </w:rPr>
        <w:t>。</w:t>
      </w:r>
    </w:p>
    <w:p>
      <w:pPr>
        <w:pStyle w:val="5"/>
        <w:kinsoku/>
        <w:overflowPunct/>
        <w:topLinePunct w:val="0"/>
        <w:bidi w:val="0"/>
        <w:spacing w:line="300" w:lineRule="auto"/>
      </w:pPr>
      <w:bookmarkStart w:id="1641" w:name="_Toc480985281"/>
      <w:bookmarkStart w:id="1642" w:name="_Toc24491"/>
      <w:bookmarkStart w:id="1643" w:name="_Toc513214678"/>
      <w:bookmarkStart w:id="1644" w:name="_Toc421260804"/>
      <w:bookmarkStart w:id="1645" w:name="_Toc9830"/>
      <w:bookmarkStart w:id="1646" w:name="_Toc826"/>
      <w:bookmarkStart w:id="1647" w:name="_Toc16753"/>
      <w:bookmarkStart w:id="1648" w:name="_Toc476734047"/>
      <w:bookmarkStart w:id="1649" w:name="_Toc11642"/>
      <w:bookmarkStart w:id="1650" w:name="_Toc3903979"/>
      <w:bookmarkStart w:id="1651" w:name="_Toc7370"/>
      <w:bookmarkStart w:id="1652" w:name="_Toc1989"/>
      <w:bookmarkStart w:id="1653" w:name="_Toc513038456"/>
      <w:bookmarkStart w:id="1654" w:name="_Toc513209292"/>
      <w:bookmarkStart w:id="1655" w:name="_Toc511649807"/>
      <w:bookmarkStart w:id="1656" w:name="_Toc421287840"/>
      <w:bookmarkStart w:id="1657" w:name="_Toc509902276"/>
      <w:bookmarkStart w:id="1658" w:name="_Toc8459"/>
      <w:bookmarkStart w:id="1659" w:name="_Toc490491868"/>
      <w:bookmarkStart w:id="1660" w:name="_Toc512604524"/>
      <w:bookmarkStart w:id="1661" w:name="_Toc527029636"/>
      <w:bookmarkStart w:id="1662" w:name="_Toc474503082"/>
      <w:bookmarkStart w:id="1663" w:name="_Toc26569"/>
      <w:r>
        <w:t>17. 不可抗力</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r>
        <w:t xml:space="preserve"> </w:t>
      </w:r>
    </w:p>
    <w:p>
      <w:pPr>
        <w:pStyle w:val="6"/>
        <w:kinsoku/>
        <w:overflowPunct/>
        <w:topLinePunct w:val="0"/>
        <w:bidi w:val="0"/>
        <w:spacing w:line="300" w:lineRule="auto"/>
      </w:pPr>
      <w:bookmarkStart w:id="1664" w:name="_Toc513209293"/>
      <w:bookmarkStart w:id="1665" w:name="_Toc513038457"/>
      <w:bookmarkStart w:id="1666" w:name="_Toc512604525"/>
      <w:bookmarkStart w:id="1667" w:name="_Toc5872"/>
      <w:bookmarkStart w:id="1668" w:name="_Toc511649808"/>
      <w:bookmarkStart w:id="1669" w:name="_Toc29053"/>
      <w:bookmarkStart w:id="1670" w:name="_Toc13645"/>
      <w:bookmarkStart w:id="1671" w:name="_Toc527029637"/>
      <w:bookmarkStart w:id="1672" w:name="_Toc28931"/>
      <w:bookmarkStart w:id="1673" w:name="_Toc513214679"/>
      <w:bookmarkStart w:id="1674" w:name="_Toc509902277"/>
      <w:bookmarkStart w:id="1675" w:name="_Toc29547"/>
      <w:bookmarkStart w:id="1676" w:name="_Toc11953"/>
      <w:bookmarkStart w:id="1677" w:name="_Toc490491869"/>
      <w:bookmarkStart w:id="1678" w:name="_Toc10453"/>
      <w:bookmarkStart w:id="1679" w:name="_Toc480985282"/>
      <w:bookmarkStart w:id="1680" w:name="_Toc16221"/>
      <w:bookmarkStart w:id="1681" w:name="_Toc16524"/>
      <w:bookmarkStart w:id="1682" w:name="_Toc3903980"/>
      <w:bookmarkStart w:id="1683" w:name="_Toc476734048"/>
      <w:r>
        <w:t>17.1 不可抗力的确认</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kinsoku/>
        <w:overflowPunct/>
        <w:topLinePunct w:val="0"/>
        <w:bidi w:val="0"/>
        <w:spacing w:line="300" w:lineRule="auto"/>
        <w:rPr>
          <w:u w:val="single"/>
        </w:rPr>
      </w:pPr>
      <w:r>
        <w:t xml:space="preserve">除通用合同条款约定的不可抗力事件之外，视为不可抗力的其他情形： </w:t>
      </w:r>
      <w:r>
        <w:rPr>
          <w:u w:val="single"/>
        </w:rPr>
        <w:t xml:space="preserve">    </w:t>
      </w:r>
      <w:r>
        <w:rPr>
          <w:rFonts w:hint="eastAsia"/>
          <w:u w:val="single"/>
        </w:rPr>
        <w:t>/</w:t>
      </w:r>
      <w:r>
        <w:rPr>
          <w:u w:val="single"/>
        </w:rPr>
        <w:t xml:space="preserve">      </w:t>
      </w:r>
      <w:r>
        <w:rPr>
          <w:rFonts w:hint="eastAsia"/>
          <w:u w:val="single"/>
        </w:rPr>
        <w:t xml:space="preserve">   </w:t>
      </w:r>
      <w:r>
        <w:rPr>
          <w:rFonts w:hint="eastAsia"/>
        </w:rPr>
        <w:t>。</w:t>
      </w:r>
    </w:p>
    <w:p>
      <w:pPr>
        <w:pStyle w:val="6"/>
        <w:kinsoku/>
        <w:overflowPunct/>
        <w:topLinePunct w:val="0"/>
        <w:bidi w:val="0"/>
        <w:spacing w:line="300" w:lineRule="auto"/>
      </w:pPr>
      <w:bookmarkStart w:id="1684" w:name="_Toc513038458"/>
      <w:bookmarkStart w:id="1685" w:name="_Toc509902278"/>
      <w:bookmarkStart w:id="1686" w:name="_Toc14181"/>
      <w:bookmarkStart w:id="1687" w:name="_Toc476734049"/>
      <w:bookmarkStart w:id="1688" w:name="_Toc512604526"/>
      <w:bookmarkStart w:id="1689" w:name="_Toc527029638"/>
      <w:bookmarkStart w:id="1690" w:name="_Toc513209294"/>
      <w:bookmarkStart w:id="1691" w:name="_Toc513214680"/>
      <w:bookmarkStart w:id="1692" w:name="_Toc511649809"/>
      <w:bookmarkStart w:id="1693" w:name="_Toc23394"/>
      <w:bookmarkStart w:id="1694" w:name="_Toc490491870"/>
      <w:bookmarkStart w:id="1695" w:name="_Toc31706"/>
      <w:bookmarkStart w:id="1696" w:name="_Toc480985283"/>
      <w:bookmarkStart w:id="1697" w:name="_Toc7629"/>
      <w:bookmarkStart w:id="1698" w:name="_Toc2142"/>
      <w:bookmarkStart w:id="1699" w:name="_Toc8606"/>
      <w:bookmarkStart w:id="1700" w:name="_Toc21571"/>
      <w:bookmarkStart w:id="1701" w:name="_Toc8095"/>
      <w:bookmarkStart w:id="1702" w:name="_Toc3903981"/>
      <w:bookmarkStart w:id="1703" w:name="_Toc31020"/>
      <w:r>
        <w:t>17.4 因不可抗力解除合同</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kinsoku/>
        <w:overflowPunct/>
        <w:topLinePunct w:val="0"/>
        <w:bidi w:val="0"/>
        <w:spacing w:line="300" w:lineRule="auto"/>
      </w:pPr>
      <w:r>
        <w:t>合同解除后，发包人应在商定或确定发包人应支付款项后</w:t>
      </w:r>
      <w:r>
        <w:rPr>
          <w:u w:val="single"/>
        </w:rPr>
        <w:t xml:space="preserve"> </w:t>
      </w:r>
      <w:r>
        <w:rPr>
          <w:rFonts w:hint="eastAsia"/>
          <w:u w:val="single"/>
        </w:rPr>
        <w:t>60</w:t>
      </w:r>
      <w:r>
        <w:rPr>
          <w:u w:val="single"/>
        </w:rPr>
        <w:t xml:space="preserve"> </w:t>
      </w:r>
      <w:r>
        <w:t>天内完成款项的支付。</w:t>
      </w:r>
    </w:p>
    <w:p>
      <w:pPr>
        <w:pStyle w:val="5"/>
        <w:kinsoku/>
        <w:overflowPunct/>
        <w:topLinePunct w:val="0"/>
        <w:bidi w:val="0"/>
        <w:spacing w:line="300" w:lineRule="auto"/>
      </w:pPr>
      <w:bookmarkStart w:id="1704" w:name="_Toc490491871"/>
      <w:bookmarkStart w:id="1705" w:name="_Toc513038459"/>
      <w:bookmarkStart w:id="1706" w:name="_Toc513209295"/>
      <w:bookmarkStart w:id="1707" w:name="_Toc513214681"/>
      <w:bookmarkStart w:id="1708" w:name="_Toc527029639"/>
      <w:bookmarkStart w:id="1709" w:name="_Toc14691"/>
      <w:bookmarkStart w:id="1710" w:name="_Toc11638"/>
      <w:bookmarkStart w:id="1711" w:name="_Toc480985284"/>
      <w:bookmarkStart w:id="1712" w:name="_Toc421287841"/>
      <w:bookmarkStart w:id="1713" w:name="_Toc509902279"/>
      <w:bookmarkStart w:id="1714" w:name="_Toc474503083"/>
      <w:bookmarkStart w:id="1715" w:name="_Toc3903982"/>
      <w:bookmarkStart w:id="1716" w:name="_Toc421260805"/>
      <w:bookmarkStart w:id="1717" w:name="_Toc18621"/>
      <w:bookmarkStart w:id="1718" w:name="_Toc476734050"/>
      <w:bookmarkStart w:id="1719" w:name="_Toc24752"/>
      <w:bookmarkStart w:id="1720" w:name="_Toc32015"/>
      <w:bookmarkStart w:id="1721" w:name="_Toc19445"/>
      <w:bookmarkStart w:id="1722" w:name="_Toc512604527"/>
      <w:bookmarkStart w:id="1723" w:name="_Toc26931"/>
      <w:bookmarkStart w:id="1724" w:name="_Toc31435"/>
      <w:bookmarkStart w:id="1725" w:name="_Toc511649810"/>
      <w:bookmarkStart w:id="1726" w:name="_Toc12840"/>
      <w:r>
        <w:t>18. 保险</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6"/>
        <w:kinsoku/>
        <w:overflowPunct/>
        <w:topLinePunct w:val="0"/>
        <w:bidi w:val="0"/>
        <w:spacing w:line="300" w:lineRule="auto"/>
      </w:pPr>
      <w:bookmarkStart w:id="1727" w:name="_Toc527029640"/>
      <w:bookmarkStart w:id="1728" w:name="_Toc12221"/>
      <w:bookmarkStart w:id="1729" w:name="_Toc490491872"/>
      <w:bookmarkStart w:id="1730" w:name="_Toc513209296"/>
      <w:bookmarkStart w:id="1731" w:name="_Toc513214682"/>
      <w:bookmarkStart w:id="1732" w:name="_Toc9866"/>
      <w:bookmarkStart w:id="1733" w:name="_Toc476734051"/>
      <w:bookmarkStart w:id="1734" w:name="_Toc480985285"/>
      <w:bookmarkStart w:id="1735" w:name="_Toc4429"/>
      <w:bookmarkStart w:id="1736" w:name="_Toc32363"/>
      <w:bookmarkStart w:id="1737" w:name="_Toc9439"/>
      <w:bookmarkStart w:id="1738" w:name="_Toc5192"/>
      <w:bookmarkStart w:id="1739" w:name="_Toc512604528"/>
      <w:bookmarkStart w:id="1740" w:name="_Toc513038460"/>
      <w:bookmarkStart w:id="1741" w:name="_Toc511649811"/>
      <w:bookmarkStart w:id="1742" w:name="_Toc509902280"/>
      <w:bookmarkStart w:id="1743" w:name="_Toc25764"/>
      <w:bookmarkStart w:id="1744" w:name="_Toc3903983"/>
      <w:bookmarkStart w:id="1745" w:name="_Toc18002"/>
      <w:bookmarkStart w:id="1746" w:name="_Toc13073"/>
      <w:r>
        <w:t>18.1 工程保险</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kinsoku/>
        <w:overflowPunct/>
        <w:topLinePunct w:val="0"/>
        <w:bidi w:val="0"/>
        <w:spacing w:line="300" w:lineRule="auto"/>
      </w:pPr>
      <w:r>
        <w:t>关于工程保险的特别约定：</w:t>
      </w:r>
      <w:r>
        <w:rPr>
          <w:u w:val="single"/>
        </w:rPr>
        <w:t xml:space="preserve">    </w:t>
      </w:r>
      <w:r>
        <w:rPr>
          <w:rFonts w:hint="eastAsia"/>
          <w:u w:val="single"/>
        </w:rPr>
        <w:t xml:space="preserve">按通用条款执行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w:t>
      </w:r>
    </w:p>
    <w:p>
      <w:pPr>
        <w:pStyle w:val="6"/>
        <w:kinsoku/>
        <w:overflowPunct/>
        <w:topLinePunct w:val="0"/>
        <w:bidi w:val="0"/>
        <w:spacing w:line="300" w:lineRule="auto"/>
      </w:pPr>
      <w:bookmarkStart w:id="1747" w:name="_Toc28158"/>
      <w:bookmarkStart w:id="1748" w:name="_Toc512604529"/>
      <w:bookmarkStart w:id="1749" w:name="_Toc513209297"/>
      <w:bookmarkStart w:id="1750" w:name="_Toc490491873"/>
      <w:bookmarkStart w:id="1751" w:name="_Toc513038461"/>
      <w:bookmarkStart w:id="1752" w:name="_Toc511649812"/>
      <w:bookmarkStart w:id="1753" w:name="_Toc31648"/>
      <w:bookmarkStart w:id="1754" w:name="_Toc25697"/>
      <w:bookmarkStart w:id="1755" w:name="_Toc527029641"/>
      <w:bookmarkStart w:id="1756" w:name="_Toc509902281"/>
      <w:bookmarkStart w:id="1757" w:name="_Toc480985286"/>
      <w:bookmarkStart w:id="1758" w:name="_Toc1452"/>
      <w:bookmarkStart w:id="1759" w:name="_Toc513214683"/>
      <w:bookmarkStart w:id="1760" w:name="_Toc16280"/>
      <w:bookmarkStart w:id="1761" w:name="_Toc476734052"/>
      <w:bookmarkStart w:id="1762" w:name="_Toc22783"/>
      <w:bookmarkStart w:id="1763" w:name="_Toc922"/>
      <w:bookmarkStart w:id="1764" w:name="_Toc4644"/>
      <w:bookmarkStart w:id="1765" w:name="_Toc28977"/>
      <w:bookmarkStart w:id="1766" w:name="_Toc3903984"/>
      <w:r>
        <w:t>18.3 其他保险</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kinsoku/>
        <w:overflowPunct/>
        <w:topLinePunct w:val="0"/>
        <w:bidi w:val="0"/>
        <w:spacing w:line="300" w:lineRule="auto"/>
      </w:pPr>
      <w:r>
        <w:rPr>
          <w:u w:val="single"/>
        </w:rPr>
        <w:t>关于其他保险的约定：</w:t>
      </w:r>
      <w:r>
        <w:rPr>
          <w:rFonts w:hint="eastAsia"/>
          <w:u w:val="single"/>
        </w:rPr>
        <w:t xml:space="preserve">由承包人投保通用条款第18.2.2款、第18.3款以及施工人员人身保险、施工安全险、施工意外险，因施工和非发包人原因造成人员伤亡和财产损失的，由承包人承担 </w:t>
      </w:r>
      <w:r>
        <w:rPr>
          <w:u w:val="single"/>
        </w:rPr>
        <w:t xml:space="preserve"> </w:t>
      </w:r>
      <w:r>
        <w:rPr>
          <w:rFonts w:hint="eastAsia"/>
        </w:rPr>
        <w:t>。</w:t>
      </w:r>
    </w:p>
    <w:p>
      <w:pPr>
        <w:kinsoku/>
        <w:overflowPunct/>
        <w:topLinePunct w:val="0"/>
        <w:bidi w:val="0"/>
        <w:spacing w:line="300" w:lineRule="auto"/>
      </w:pPr>
      <w:r>
        <w:t>承包人是否应为其施工设备等办理财产保险：</w:t>
      </w:r>
      <w:r>
        <w:rPr>
          <w:u w:val="single"/>
        </w:rPr>
        <w:t xml:space="preserve">      </w:t>
      </w:r>
      <w:r>
        <w:rPr>
          <w:rFonts w:hint="eastAsia"/>
          <w:u w:val="single"/>
        </w:rPr>
        <w:t xml:space="preserve">按通用条款执行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w:t>
      </w:r>
    </w:p>
    <w:p>
      <w:pPr>
        <w:pStyle w:val="6"/>
        <w:kinsoku/>
        <w:overflowPunct/>
        <w:topLinePunct w:val="0"/>
        <w:bidi w:val="0"/>
        <w:spacing w:line="300" w:lineRule="auto"/>
      </w:pPr>
      <w:bookmarkStart w:id="1767" w:name="_Toc20553"/>
      <w:bookmarkStart w:id="1768" w:name="_Toc476734053"/>
      <w:bookmarkStart w:id="1769" w:name="_Toc509902282"/>
      <w:bookmarkStart w:id="1770" w:name="_Toc511649813"/>
      <w:bookmarkStart w:id="1771" w:name="_Toc512604530"/>
      <w:bookmarkStart w:id="1772" w:name="_Toc527029642"/>
      <w:bookmarkStart w:id="1773" w:name="_Toc25454"/>
      <w:bookmarkStart w:id="1774" w:name="_Toc10839"/>
      <w:bookmarkStart w:id="1775" w:name="_Toc513214684"/>
      <w:bookmarkStart w:id="1776" w:name="_Toc480985287"/>
      <w:bookmarkStart w:id="1777" w:name="_Toc490491874"/>
      <w:bookmarkStart w:id="1778" w:name="_Toc513038462"/>
      <w:bookmarkStart w:id="1779" w:name="_Toc513209298"/>
      <w:bookmarkStart w:id="1780" w:name="_Toc21114"/>
      <w:bookmarkStart w:id="1781" w:name="_Toc11366"/>
      <w:bookmarkStart w:id="1782" w:name="_Toc30664"/>
      <w:bookmarkStart w:id="1783" w:name="_Toc25319"/>
      <w:bookmarkStart w:id="1784" w:name="_Toc3903985"/>
      <w:bookmarkStart w:id="1785" w:name="_Toc13990"/>
      <w:bookmarkStart w:id="1786" w:name="_Toc6143"/>
      <w:r>
        <w:t>18.7 通知义务</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kinsoku/>
        <w:overflowPunct/>
        <w:topLinePunct w:val="0"/>
        <w:bidi w:val="0"/>
        <w:spacing w:line="300" w:lineRule="auto"/>
      </w:pPr>
      <w:r>
        <w:t>关于变更保险合同时的通知义务的约定：</w:t>
      </w:r>
      <w:r>
        <w:rPr>
          <w:u w:val="single"/>
        </w:rPr>
        <w:t xml:space="preserve">   </w:t>
      </w:r>
      <w:r>
        <w:rPr>
          <w:rFonts w:hint="eastAsia"/>
          <w:u w:val="single"/>
        </w:rPr>
        <w:t xml:space="preserve">  按通用条款执行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w:t>
      </w:r>
    </w:p>
    <w:p>
      <w:pPr>
        <w:pStyle w:val="5"/>
        <w:kinsoku/>
        <w:overflowPunct/>
        <w:topLinePunct w:val="0"/>
        <w:bidi w:val="0"/>
        <w:spacing w:line="300" w:lineRule="auto"/>
      </w:pPr>
      <w:bookmarkStart w:id="1787" w:name="_Toc4494"/>
      <w:bookmarkStart w:id="1788" w:name="_Toc17396"/>
      <w:bookmarkStart w:id="1789" w:name="_Toc527029643"/>
      <w:bookmarkStart w:id="1790" w:name="_Toc421287842"/>
      <w:bookmarkStart w:id="1791" w:name="_Toc16094"/>
      <w:bookmarkStart w:id="1792" w:name="_Toc22144"/>
      <w:bookmarkStart w:id="1793" w:name="_Toc513214685"/>
      <w:bookmarkStart w:id="1794" w:name="_Toc513038463"/>
      <w:bookmarkStart w:id="1795" w:name="_Toc512604531"/>
      <w:bookmarkStart w:id="1796" w:name="_Toc25865"/>
      <w:bookmarkStart w:id="1797" w:name="_Toc7993"/>
      <w:bookmarkStart w:id="1798" w:name="_Toc3903986"/>
      <w:bookmarkStart w:id="1799" w:name="_Toc509902283"/>
      <w:bookmarkStart w:id="1800" w:name="_Toc513209299"/>
      <w:bookmarkStart w:id="1801" w:name="_Toc30933"/>
      <w:bookmarkStart w:id="1802" w:name="_Toc476734054"/>
      <w:bookmarkStart w:id="1803" w:name="_Toc29898"/>
      <w:bookmarkStart w:id="1804" w:name="_Toc480985288"/>
      <w:bookmarkStart w:id="1805" w:name="_Toc2419"/>
      <w:bookmarkStart w:id="1806" w:name="_Toc490491875"/>
      <w:bookmarkStart w:id="1807" w:name="_Toc474503084"/>
      <w:bookmarkStart w:id="1808" w:name="_Toc511649814"/>
      <w:bookmarkStart w:id="1809" w:name="_Toc421260806"/>
      <w:r>
        <w:t>20. 争议解决</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6"/>
        <w:kinsoku/>
        <w:overflowPunct/>
        <w:topLinePunct w:val="0"/>
        <w:bidi w:val="0"/>
        <w:spacing w:line="300" w:lineRule="auto"/>
      </w:pPr>
      <w:bookmarkStart w:id="1810" w:name="_Toc513038464"/>
      <w:bookmarkStart w:id="1811" w:name="_Toc513214686"/>
      <w:bookmarkStart w:id="1812" w:name="_Toc513209300"/>
      <w:bookmarkStart w:id="1813" w:name="_Toc490491876"/>
      <w:bookmarkStart w:id="1814" w:name="_Toc511649815"/>
      <w:bookmarkStart w:id="1815" w:name="_Toc527029644"/>
      <w:bookmarkStart w:id="1816" w:name="_Toc7071"/>
      <w:bookmarkStart w:id="1817" w:name="_Toc24450"/>
      <w:bookmarkStart w:id="1818" w:name="_Toc509902284"/>
      <w:bookmarkStart w:id="1819" w:name="_Toc476734055"/>
      <w:bookmarkStart w:id="1820" w:name="_Toc2586"/>
      <w:bookmarkStart w:id="1821" w:name="_Toc9413"/>
      <w:bookmarkStart w:id="1822" w:name="_Toc26654"/>
      <w:bookmarkStart w:id="1823" w:name="_Toc480985289"/>
      <w:bookmarkStart w:id="1824" w:name="_Toc3903987"/>
      <w:bookmarkStart w:id="1825" w:name="_Toc25473"/>
      <w:bookmarkStart w:id="1826" w:name="_Toc512604532"/>
      <w:bookmarkStart w:id="1827" w:name="_Toc16104"/>
      <w:bookmarkStart w:id="1828" w:name="_Toc16600"/>
      <w:bookmarkStart w:id="1829" w:name="_Toc15439"/>
      <w:r>
        <w:t>20.3 争议评审</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kinsoku/>
        <w:overflowPunct/>
        <w:topLinePunct w:val="0"/>
        <w:bidi w:val="0"/>
        <w:spacing w:line="300" w:lineRule="auto"/>
        <w:rPr>
          <w:u w:val="single"/>
        </w:rPr>
      </w:pPr>
      <w:r>
        <w:t>合同当事人是否同意将工程争议提交争议</w:t>
      </w:r>
      <w:r>
        <w:rPr>
          <w:rFonts w:hint="eastAsia"/>
          <w:lang w:eastAsia="zh-CN"/>
        </w:rPr>
        <w:t>磋商小组</w:t>
      </w:r>
      <w:r>
        <w:t>决</w:t>
      </w:r>
      <w:r>
        <w:rPr>
          <w:rFonts w:hint="eastAsia"/>
        </w:rPr>
        <w:t>定：</w:t>
      </w:r>
      <w:r>
        <w:rPr>
          <w:rFonts w:hint="eastAsia"/>
          <w:u w:val="single"/>
        </w:rPr>
        <w:t xml:space="preserve">  /            </w:t>
      </w:r>
      <w:r>
        <w:rPr>
          <w:u w:val="single"/>
        </w:rPr>
        <w:t xml:space="preserve"> </w:t>
      </w:r>
      <w:r>
        <w:rPr>
          <w:rFonts w:hint="eastAsia"/>
        </w:rPr>
        <w:t>。</w:t>
      </w:r>
    </w:p>
    <w:p>
      <w:pPr>
        <w:kinsoku/>
        <w:overflowPunct/>
        <w:topLinePunct w:val="0"/>
        <w:bidi w:val="0"/>
        <w:spacing w:line="300" w:lineRule="auto"/>
      </w:pPr>
      <w:r>
        <w:t>20.3.1 争议</w:t>
      </w:r>
      <w:r>
        <w:rPr>
          <w:rFonts w:hint="eastAsia"/>
          <w:lang w:eastAsia="zh-CN"/>
        </w:rPr>
        <w:t>磋商小组</w:t>
      </w:r>
      <w:r>
        <w:t>的确定</w:t>
      </w:r>
    </w:p>
    <w:p>
      <w:pPr>
        <w:kinsoku/>
        <w:overflowPunct/>
        <w:topLinePunct w:val="0"/>
        <w:bidi w:val="0"/>
        <w:spacing w:line="300" w:lineRule="auto"/>
        <w:rPr>
          <w:u w:val="single"/>
        </w:rPr>
      </w:pPr>
      <w:r>
        <w:t>争议</w:t>
      </w:r>
      <w:r>
        <w:rPr>
          <w:rFonts w:hint="eastAsia"/>
          <w:lang w:eastAsia="zh-CN"/>
        </w:rPr>
        <w:t>磋商小组</w:t>
      </w:r>
      <w:r>
        <w:t>成员的确定：</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w:t>
      </w:r>
    </w:p>
    <w:p>
      <w:pPr>
        <w:kinsoku/>
        <w:overflowPunct/>
        <w:topLinePunct w:val="0"/>
        <w:bidi w:val="0"/>
        <w:spacing w:line="300" w:lineRule="auto"/>
      </w:pPr>
      <w:r>
        <w:t>选定争议评审员的期限：</w:t>
      </w:r>
      <w:r>
        <w:rPr>
          <w:u w:val="single"/>
        </w:rPr>
        <w:t xml:space="preserve">       </w:t>
      </w:r>
      <w:r>
        <w:rPr>
          <w:rFonts w:hint="eastAsia"/>
          <w:u w:val="single"/>
        </w:rPr>
        <w:t>/</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w:t>
      </w:r>
    </w:p>
    <w:p>
      <w:pPr>
        <w:kinsoku/>
        <w:overflowPunct/>
        <w:topLinePunct w:val="0"/>
        <w:bidi w:val="0"/>
        <w:spacing w:line="300" w:lineRule="auto"/>
      </w:pPr>
      <w:r>
        <w:t>争议</w:t>
      </w:r>
      <w:r>
        <w:rPr>
          <w:rFonts w:hint="eastAsia"/>
          <w:lang w:eastAsia="zh-CN"/>
        </w:rPr>
        <w:t>磋商小组</w:t>
      </w:r>
      <w:r>
        <w:t>成员的报酬承担方式：</w:t>
      </w:r>
      <w:r>
        <w:rPr>
          <w:u w:val="single"/>
        </w:rPr>
        <w:t xml:space="preserve">      </w:t>
      </w:r>
      <w:r>
        <w:rPr>
          <w:rFonts w:hint="eastAsia"/>
          <w:u w:val="single"/>
        </w:rPr>
        <w:t>/</w:t>
      </w:r>
      <w:r>
        <w:rPr>
          <w:u w:val="single"/>
        </w:rPr>
        <w:t xml:space="preserve">     </w:t>
      </w:r>
      <w:r>
        <w:rPr>
          <w:rFonts w:hint="eastAsia"/>
          <w:u w:val="single"/>
        </w:rPr>
        <w:t xml:space="preserve">                          </w:t>
      </w:r>
      <w:r>
        <w:rPr>
          <w:u w:val="single"/>
        </w:rPr>
        <w:t xml:space="preserve">      </w:t>
      </w:r>
      <w:r>
        <w:rPr>
          <w:rFonts w:hint="eastAsia"/>
        </w:rPr>
        <w:t>。</w:t>
      </w:r>
    </w:p>
    <w:p>
      <w:pPr>
        <w:kinsoku/>
        <w:overflowPunct/>
        <w:topLinePunct w:val="0"/>
        <w:bidi w:val="0"/>
        <w:spacing w:line="300" w:lineRule="auto"/>
      </w:pPr>
      <w:r>
        <w:t>其他事项的约定：</w:t>
      </w:r>
      <w:r>
        <w:rPr>
          <w:u w:val="single"/>
        </w:rPr>
        <w:t xml:space="preserve">                 </w:t>
      </w:r>
      <w:r>
        <w:rPr>
          <w:rFonts w:hint="eastAsia"/>
          <w:u w:val="single"/>
        </w:rPr>
        <w:t>/</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w:t>
      </w:r>
    </w:p>
    <w:p>
      <w:pPr>
        <w:kinsoku/>
        <w:overflowPunct/>
        <w:topLinePunct w:val="0"/>
        <w:bidi w:val="0"/>
        <w:spacing w:line="300" w:lineRule="auto"/>
      </w:pPr>
      <w:r>
        <w:t>20.3.2 争议</w:t>
      </w:r>
      <w:r>
        <w:rPr>
          <w:rFonts w:hint="eastAsia"/>
          <w:lang w:eastAsia="zh-CN"/>
        </w:rPr>
        <w:t>磋商小组</w:t>
      </w:r>
      <w:r>
        <w:t>的决定</w:t>
      </w:r>
    </w:p>
    <w:p>
      <w:pPr>
        <w:kinsoku/>
        <w:overflowPunct/>
        <w:topLinePunct w:val="0"/>
        <w:bidi w:val="0"/>
        <w:spacing w:line="300" w:lineRule="auto"/>
      </w:pPr>
      <w:r>
        <w:t>合同当事人关于本项的约定：</w:t>
      </w:r>
      <w:r>
        <w:rPr>
          <w:u w:val="single"/>
        </w:rPr>
        <w:t xml:space="preserve">        </w:t>
      </w:r>
      <w:r>
        <w:rPr>
          <w:rFonts w:hint="eastAsia"/>
          <w:u w:val="single"/>
        </w:rPr>
        <w:t>/</w:t>
      </w:r>
      <w:r>
        <w:rPr>
          <w:u w:val="single"/>
        </w:rPr>
        <w:t xml:space="preserve">              </w:t>
      </w:r>
      <w:r>
        <w:rPr>
          <w:rFonts w:hint="eastAsia"/>
          <w:u w:val="single"/>
        </w:rPr>
        <w:t xml:space="preserve">                         </w:t>
      </w:r>
      <w:r>
        <w:rPr>
          <w:u w:val="single"/>
        </w:rPr>
        <w:t xml:space="preserve">  </w:t>
      </w:r>
      <w:r>
        <w:rPr>
          <w:rFonts w:hint="eastAsia"/>
        </w:rPr>
        <w:t>。</w:t>
      </w:r>
    </w:p>
    <w:p>
      <w:pPr>
        <w:pStyle w:val="6"/>
        <w:kinsoku/>
        <w:overflowPunct/>
        <w:topLinePunct w:val="0"/>
        <w:bidi w:val="0"/>
        <w:spacing w:line="300" w:lineRule="auto"/>
      </w:pPr>
      <w:bookmarkStart w:id="1830" w:name="_Toc513214687"/>
      <w:bookmarkStart w:id="1831" w:name="_Toc511649816"/>
      <w:bookmarkStart w:id="1832" w:name="_Toc490491877"/>
      <w:bookmarkStart w:id="1833" w:name="_Toc26120"/>
      <w:bookmarkStart w:id="1834" w:name="_Toc15041"/>
      <w:bookmarkStart w:id="1835" w:name="_Toc12776"/>
      <w:bookmarkStart w:id="1836" w:name="_Toc509902285"/>
      <w:bookmarkStart w:id="1837" w:name="_Toc9517"/>
      <w:bookmarkStart w:id="1838" w:name="_Toc512604533"/>
      <w:bookmarkStart w:id="1839" w:name="_Toc513209301"/>
      <w:bookmarkStart w:id="1840" w:name="_Toc480985290"/>
      <w:bookmarkStart w:id="1841" w:name="_Toc527029645"/>
      <w:bookmarkStart w:id="1842" w:name="_Toc476734056"/>
      <w:bookmarkStart w:id="1843" w:name="_Toc29208"/>
      <w:bookmarkStart w:id="1844" w:name="_Toc513038465"/>
      <w:bookmarkStart w:id="1845" w:name="_Toc3903988"/>
      <w:bookmarkStart w:id="1846" w:name="_Toc2172"/>
      <w:bookmarkStart w:id="1847" w:name="_Toc18061"/>
      <w:bookmarkStart w:id="1848" w:name="_Toc14838"/>
      <w:bookmarkStart w:id="1849" w:name="_Toc13881"/>
      <w:r>
        <w:t>20.4 仲裁或诉讼</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kinsoku/>
        <w:overflowPunct/>
        <w:topLinePunct w:val="0"/>
        <w:bidi w:val="0"/>
        <w:spacing w:line="300" w:lineRule="auto"/>
      </w:pPr>
      <w:r>
        <w:t>因合同及合同有关事项发生的争议，按下列第</w:t>
      </w:r>
      <w:r>
        <w:rPr>
          <w:u w:val="single"/>
        </w:rPr>
        <w:t xml:space="preserve"> </w:t>
      </w:r>
      <w:r>
        <w:rPr>
          <w:rFonts w:hint="eastAsia"/>
          <w:u w:val="single"/>
        </w:rPr>
        <w:t>（2）</w:t>
      </w:r>
      <w:r>
        <w:rPr>
          <w:u w:val="single"/>
        </w:rPr>
        <w:t xml:space="preserve"> </w:t>
      </w:r>
      <w:r>
        <w:t>种方式</w:t>
      </w:r>
      <w:r>
        <w:rPr>
          <w:rFonts w:hint="eastAsia"/>
        </w:rPr>
        <w:t>解</w:t>
      </w:r>
      <w:r>
        <w:t>决：</w:t>
      </w:r>
    </w:p>
    <w:p>
      <w:pPr>
        <w:kinsoku/>
        <w:overflowPunct/>
        <w:topLinePunct w:val="0"/>
        <w:bidi w:val="0"/>
        <w:spacing w:line="300" w:lineRule="auto"/>
      </w:pPr>
      <w:r>
        <w:t>（1）向</w:t>
      </w:r>
      <w:r>
        <w:rPr>
          <w:u w:val="single"/>
        </w:rPr>
        <w:t xml:space="preserve">                </w:t>
      </w:r>
      <w:r>
        <w:t>仲裁委员会申请仲裁；</w:t>
      </w:r>
    </w:p>
    <w:p>
      <w:pPr>
        <w:kinsoku/>
        <w:overflowPunct/>
        <w:topLinePunct w:val="0"/>
        <w:bidi w:val="0"/>
        <w:spacing w:line="300" w:lineRule="auto"/>
      </w:pPr>
      <w:r>
        <w:t>（2）向</w:t>
      </w:r>
      <w:r>
        <w:rPr>
          <w:u w:val="single"/>
        </w:rPr>
        <w:t xml:space="preserve">  </w:t>
      </w:r>
      <w:r>
        <w:rPr>
          <w:rFonts w:hint="eastAsia"/>
          <w:u w:val="single"/>
        </w:rPr>
        <w:t>项目所在地</w:t>
      </w:r>
      <w:r>
        <w:rPr>
          <w:u w:val="single"/>
        </w:rPr>
        <w:t xml:space="preserve">  </w:t>
      </w:r>
      <w:r>
        <w:t>人民法院起诉</w:t>
      </w:r>
    </w:p>
    <w:p>
      <w:pPr>
        <w:pStyle w:val="5"/>
        <w:kinsoku/>
        <w:overflowPunct/>
        <w:topLinePunct w:val="0"/>
        <w:bidi w:val="0"/>
        <w:spacing w:line="300" w:lineRule="auto"/>
      </w:pPr>
      <w:bookmarkStart w:id="1850" w:name="_Toc511649817"/>
      <w:bookmarkStart w:id="1851" w:name="_Toc14735"/>
      <w:bookmarkStart w:id="1852" w:name="_Toc513038466"/>
      <w:bookmarkStart w:id="1853" w:name="_Toc476734057"/>
      <w:bookmarkStart w:id="1854" w:name="_Toc512604534"/>
      <w:bookmarkStart w:id="1855" w:name="_Toc474503085"/>
      <w:bookmarkStart w:id="1856" w:name="_Toc513209302"/>
      <w:bookmarkStart w:id="1857" w:name="_Toc513214688"/>
      <w:bookmarkStart w:id="1858" w:name="_Toc28482"/>
      <w:bookmarkStart w:id="1859" w:name="_Toc480985291"/>
      <w:bookmarkStart w:id="1860" w:name="_Toc509902286"/>
      <w:bookmarkStart w:id="1861" w:name="_Toc10674"/>
      <w:bookmarkStart w:id="1862" w:name="_Toc527029646"/>
      <w:bookmarkStart w:id="1863" w:name="_Toc6957"/>
      <w:bookmarkStart w:id="1864" w:name="_Toc24376"/>
      <w:bookmarkStart w:id="1865" w:name="_Toc490491878"/>
      <w:bookmarkStart w:id="1866" w:name="_Toc23369"/>
      <w:bookmarkStart w:id="1867" w:name="_Toc31655"/>
      <w:bookmarkStart w:id="1868" w:name="_Toc3903989"/>
      <w:bookmarkStart w:id="1869" w:name="_Toc17416"/>
      <w:r>
        <w:t>2</w:t>
      </w:r>
      <w:r>
        <w:rPr>
          <w:rFonts w:hint="eastAsia"/>
        </w:rPr>
        <w:t>1</w:t>
      </w:r>
      <w:r>
        <w:t xml:space="preserve">. </w:t>
      </w:r>
      <w:r>
        <w:rPr>
          <w:rFonts w:hint="eastAsia"/>
        </w:rPr>
        <w:t>补充条款</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kinsoku/>
        <w:overflowPunct/>
        <w:topLinePunct w:val="0"/>
        <w:bidi w:val="0"/>
        <w:spacing w:line="300" w:lineRule="auto"/>
        <w:rPr>
          <w:rFonts w:hint="eastAsia"/>
          <w:szCs w:val="21"/>
        </w:rPr>
      </w:pPr>
      <w:r>
        <w:rPr>
          <w:szCs w:val="21"/>
        </w:rPr>
        <w:t>21.1</w:t>
      </w:r>
      <w:r>
        <w:rPr>
          <w:rFonts w:hint="eastAsia"/>
          <w:szCs w:val="21"/>
        </w:rPr>
        <w:t>、工程工资款支付应按《关于规范温州市建筑工程工资款与其他工程款分账管理的通知》（温住建发[2018]4号）、《瑞安市人民政府办公室关于印发 “瑞安无欠薪”行动实施方案的通知》（瑞政办【2017】219号）、瑞安市市政园林工程领域开展“瑞安无欠薪” 行动实施方案（试行）（瑞市政建【2018】20号）相关文件执行。</w:t>
      </w:r>
    </w:p>
    <w:p>
      <w:pPr>
        <w:kinsoku/>
        <w:overflowPunct/>
        <w:topLinePunct w:val="0"/>
        <w:bidi w:val="0"/>
        <w:spacing w:line="300" w:lineRule="auto"/>
        <w:rPr>
          <w:szCs w:val="21"/>
        </w:rPr>
      </w:pPr>
      <w:r>
        <w:rPr>
          <w:szCs w:val="21"/>
        </w:rPr>
        <w:t>21.</w:t>
      </w:r>
      <w:r>
        <w:rPr>
          <w:rFonts w:hint="eastAsia"/>
          <w:szCs w:val="21"/>
        </w:rPr>
        <w:t>2、</w:t>
      </w:r>
      <w:r>
        <w:rPr>
          <w:rFonts w:hint="eastAsia" w:cs="宋体"/>
          <w:szCs w:val="21"/>
        </w:rPr>
        <w:t>施工中若需特别设置安全设施和保护措施，相应费用各单位自行考虑，计入总价，今后不再调整。</w:t>
      </w:r>
    </w:p>
    <w:p>
      <w:pPr>
        <w:kinsoku/>
        <w:overflowPunct/>
        <w:topLinePunct w:val="0"/>
        <w:bidi w:val="0"/>
        <w:spacing w:line="300" w:lineRule="auto"/>
        <w:rPr>
          <w:szCs w:val="21"/>
        </w:rPr>
      </w:pPr>
      <w:r>
        <w:rPr>
          <w:rFonts w:hint="eastAsia"/>
          <w:szCs w:val="21"/>
        </w:rPr>
        <w:t>21.3、</w:t>
      </w:r>
      <w:r>
        <w:rPr>
          <w:rFonts w:hint="eastAsia" w:cs="宋体"/>
          <w:szCs w:val="21"/>
          <w:lang w:eastAsia="zh-CN"/>
        </w:rPr>
        <w:t>磋商响应文件</w:t>
      </w:r>
      <w:r>
        <w:rPr>
          <w:rFonts w:hint="eastAsia" w:cs="宋体"/>
          <w:szCs w:val="21"/>
        </w:rPr>
        <w:t>中拟派的项目负责人及项目技术人员必须到位，实行工地考勤制度，若项目负责人或主要工程技术人员擅自离开工地及若每月在工地天数不足24天（特殊情况经甲方同意例外）者，以不到位处理，按每天罚以违约金</w:t>
      </w:r>
      <w:r>
        <w:rPr>
          <w:rFonts w:cs="宋体"/>
          <w:szCs w:val="21"/>
        </w:rPr>
        <w:t>8</w:t>
      </w:r>
      <w:r>
        <w:rPr>
          <w:rFonts w:hint="eastAsia" w:cs="宋体"/>
          <w:szCs w:val="21"/>
        </w:rPr>
        <w:t>00元。</w:t>
      </w:r>
    </w:p>
    <w:p>
      <w:pPr>
        <w:kinsoku/>
        <w:overflowPunct/>
        <w:topLinePunct w:val="0"/>
        <w:bidi w:val="0"/>
        <w:spacing w:line="300" w:lineRule="auto"/>
        <w:rPr>
          <w:rFonts w:cs="宋体"/>
          <w:szCs w:val="21"/>
        </w:rPr>
      </w:pPr>
      <w:r>
        <w:rPr>
          <w:rFonts w:ascii="宋体" w:hAnsi="宋体"/>
          <w:color w:val="000000"/>
          <w:szCs w:val="21"/>
        </w:rPr>
        <w:t>21.4</w:t>
      </w:r>
      <w:r>
        <w:rPr>
          <w:rFonts w:hint="eastAsia"/>
          <w:szCs w:val="21"/>
        </w:rPr>
        <w:t>、</w:t>
      </w:r>
      <w:r>
        <w:rPr>
          <w:rFonts w:hint="eastAsia" w:cs="宋体"/>
          <w:szCs w:val="21"/>
        </w:rPr>
        <w:t>项目负责人及项目技术人员不得更换（特殊原因除外）。存在下列情形之一的除外：</w:t>
      </w:r>
    </w:p>
    <w:p>
      <w:pPr>
        <w:kinsoku/>
        <w:overflowPunct/>
        <w:topLinePunct w:val="0"/>
        <w:bidi w:val="0"/>
        <w:spacing w:line="300" w:lineRule="auto"/>
        <w:rPr>
          <w:rFonts w:cs="宋体"/>
          <w:szCs w:val="21"/>
        </w:rPr>
      </w:pPr>
      <w:r>
        <w:rPr>
          <w:rFonts w:hint="eastAsia" w:cs="宋体"/>
          <w:szCs w:val="21"/>
        </w:rPr>
        <w:t>①因管理原因发生重大质量安全事故不适合再任的；</w:t>
      </w:r>
    </w:p>
    <w:p>
      <w:pPr>
        <w:kinsoku/>
        <w:overflowPunct/>
        <w:topLinePunct w:val="0"/>
        <w:bidi w:val="0"/>
        <w:spacing w:line="300" w:lineRule="auto"/>
        <w:rPr>
          <w:rFonts w:cs="宋体"/>
          <w:szCs w:val="21"/>
        </w:rPr>
      </w:pPr>
      <w:r>
        <w:rPr>
          <w:rFonts w:hint="eastAsia" w:cs="宋体"/>
          <w:szCs w:val="21"/>
        </w:rPr>
        <w:t>②被责令停止执业、羁押或判刑的；</w:t>
      </w:r>
    </w:p>
    <w:p>
      <w:pPr>
        <w:kinsoku/>
        <w:overflowPunct/>
        <w:topLinePunct w:val="0"/>
        <w:bidi w:val="0"/>
        <w:spacing w:line="300" w:lineRule="auto"/>
        <w:rPr>
          <w:rFonts w:cs="宋体"/>
          <w:szCs w:val="21"/>
        </w:rPr>
      </w:pPr>
      <w:r>
        <w:rPr>
          <w:rFonts w:hint="eastAsia" w:cs="宋体"/>
          <w:szCs w:val="21"/>
        </w:rPr>
        <w:t>③因特殊原因无法继续履行合同责任和义务的；</w:t>
      </w:r>
    </w:p>
    <w:p>
      <w:pPr>
        <w:kinsoku/>
        <w:overflowPunct/>
        <w:topLinePunct w:val="0"/>
        <w:bidi w:val="0"/>
        <w:spacing w:line="300" w:lineRule="auto"/>
        <w:rPr>
          <w:rFonts w:cs="宋体"/>
          <w:szCs w:val="21"/>
        </w:rPr>
      </w:pPr>
      <w:r>
        <w:rPr>
          <w:rFonts w:hint="eastAsia" w:cs="宋体"/>
          <w:szCs w:val="21"/>
        </w:rPr>
        <w:t>④因职责履行不佳，建设单位提出更换的。</w:t>
      </w:r>
    </w:p>
    <w:p>
      <w:pPr>
        <w:kinsoku/>
        <w:overflowPunct/>
        <w:topLinePunct w:val="0"/>
        <w:bidi w:val="0"/>
        <w:spacing w:line="300" w:lineRule="auto"/>
        <w:rPr>
          <w:rFonts w:cs="宋体"/>
          <w:szCs w:val="21"/>
        </w:rPr>
      </w:pPr>
      <w:r>
        <w:rPr>
          <w:rFonts w:hint="eastAsia" w:cs="宋体"/>
          <w:szCs w:val="21"/>
        </w:rPr>
        <w:t>符合以上第①、②、③项情形确需更换的，由施工单位提出书面申请，征得建设单位同意，经行政监督部门审核，报市公共资源交易管委办备案，方可办理更换手续，且更换后的人员不得低于原投标承诺人员所具有的资格和业绩条件，更换的人员的名单在市公共资源交易网上予以公布。</w:t>
      </w:r>
    </w:p>
    <w:p>
      <w:pPr>
        <w:kinsoku/>
        <w:overflowPunct/>
        <w:topLinePunct w:val="0"/>
        <w:bidi w:val="0"/>
        <w:snapToGrid w:val="0"/>
        <w:spacing w:line="300" w:lineRule="auto"/>
        <w:rPr>
          <w:rFonts w:hint="eastAsia" w:cs="宋体"/>
          <w:szCs w:val="21"/>
          <w:lang w:eastAsia="zh-CN"/>
        </w:rPr>
      </w:pPr>
      <w:r>
        <w:rPr>
          <w:rFonts w:hint="eastAsia" w:cs="宋体"/>
          <w:szCs w:val="21"/>
        </w:rPr>
        <w:t>以上第①、②项情形，按履约保证金的5%标准收取违约金；第③、④项情形，不收取违约金，施工单位擅自更换项目负责人的，按履约保证金的10%标准收取违约金。</w:t>
      </w:r>
    </w:p>
    <w:p>
      <w:pPr>
        <w:kinsoku/>
        <w:overflowPunct/>
        <w:topLinePunct w:val="0"/>
        <w:bidi w:val="0"/>
        <w:snapToGrid w:val="0"/>
        <w:spacing w:line="300" w:lineRule="auto"/>
        <w:rPr>
          <w:rFonts w:ascii="宋体"/>
          <w:color w:val="000000"/>
          <w:szCs w:val="21"/>
        </w:rPr>
      </w:pPr>
      <w:r>
        <w:rPr>
          <w:rFonts w:ascii="宋体" w:hAnsi="宋体"/>
          <w:color w:val="000000"/>
          <w:szCs w:val="21"/>
        </w:rPr>
        <w:t>21.5</w:t>
      </w:r>
      <w:r>
        <w:rPr>
          <w:rFonts w:hint="eastAsia"/>
          <w:szCs w:val="21"/>
        </w:rPr>
        <w:t>、</w:t>
      </w:r>
      <w:r>
        <w:rPr>
          <w:rFonts w:hint="eastAsia" w:cs="宋体"/>
          <w:szCs w:val="21"/>
        </w:rPr>
        <w:t>本工程验收时，承包人牵头做好验收工作，不再另行收费。</w:t>
      </w:r>
    </w:p>
    <w:p>
      <w:pPr>
        <w:kinsoku/>
        <w:overflowPunct/>
        <w:topLinePunct w:val="0"/>
        <w:bidi w:val="0"/>
        <w:snapToGrid w:val="0"/>
        <w:spacing w:line="300" w:lineRule="auto"/>
        <w:rPr>
          <w:rFonts w:ascii="宋体"/>
          <w:color w:val="000000"/>
          <w:szCs w:val="21"/>
        </w:rPr>
      </w:pPr>
      <w:r>
        <w:rPr>
          <w:rFonts w:ascii="宋体" w:hAnsi="宋体"/>
          <w:color w:val="000000"/>
          <w:szCs w:val="21"/>
        </w:rPr>
        <w:t>21.6</w:t>
      </w:r>
      <w:r>
        <w:rPr>
          <w:rFonts w:hint="eastAsia"/>
          <w:szCs w:val="21"/>
        </w:rPr>
        <w:t>、</w:t>
      </w:r>
      <w:r>
        <w:rPr>
          <w:rFonts w:hint="eastAsia" w:cs="宋体"/>
          <w:szCs w:val="21"/>
        </w:rPr>
        <w:t>在签订施工合同后30天内，承包人故意拖延或不进场做好施工准备工作，发包人可以单方面终止施工合同，并没收其履约担保</w:t>
      </w:r>
      <w:r>
        <w:rPr>
          <w:rFonts w:hint="eastAsia" w:ascii="宋体" w:hAnsi="宋体"/>
          <w:szCs w:val="21"/>
        </w:rPr>
        <w:t>。</w:t>
      </w:r>
    </w:p>
    <w:p>
      <w:pPr>
        <w:kinsoku/>
        <w:overflowPunct/>
        <w:topLinePunct w:val="0"/>
        <w:bidi w:val="0"/>
        <w:spacing w:after="240" w:afterLines="100" w:line="300" w:lineRule="auto"/>
        <w:outlineLvl w:val="0"/>
        <w:rPr>
          <w:rFonts w:hint="eastAsia"/>
        </w:rPr>
      </w:pPr>
      <w:bookmarkStart w:id="1870" w:name="_Toc533173195"/>
      <w:bookmarkStart w:id="1871" w:name="_Toc3903990"/>
      <w:bookmarkStart w:id="1872" w:name="_Toc29923"/>
      <w:bookmarkStart w:id="1873" w:name="_Toc20204"/>
      <w:bookmarkStart w:id="1874" w:name="_Toc3566"/>
      <w:r>
        <w:rPr>
          <w:rFonts w:ascii="宋体" w:hAnsi="宋体"/>
          <w:color w:val="000000"/>
          <w:szCs w:val="21"/>
        </w:rPr>
        <w:t>21.7</w:t>
      </w:r>
      <w:r>
        <w:rPr>
          <w:rFonts w:hint="eastAsia"/>
          <w:szCs w:val="21"/>
        </w:rPr>
        <w:t>、</w:t>
      </w:r>
      <w:bookmarkEnd w:id="1870"/>
      <w:bookmarkEnd w:id="1871"/>
      <w:r>
        <w:rPr>
          <w:rFonts w:hint="eastAsia"/>
        </w:rPr>
        <w:t>总包服务费将由发包人在结算时予以一次性支付给总承包人。但涉及到与其它分包单位和总包单位间需要额外支出其他费用，请</w:t>
      </w:r>
      <w:r>
        <w:rPr>
          <w:rFonts w:hint="eastAsia"/>
          <w:lang w:eastAsia="zh-CN"/>
        </w:rPr>
        <w:t>磋商供应商</w:t>
      </w:r>
      <w:r>
        <w:rPr>
          <w:rFonts w:hint="eastAsia"/>
        </w:rPr>
        <w:t>自行考虑计入报价，今后不再进行调整，</w:t>
      </w:r>
      <w:r>
        <w:rPr>
          <w:rFonts w:hint="eastAsia"/>
          <w:lang w:eastAsia="zh-CN"/>
        </w:rPr>
        <w:t>采购人</w:t>
      </w:r>
      <w:r>
        <w:rPr>
          <w:rFonts w:hint="eastAsia"/>
        </w:rPr>
        <w:t>不承担任何责任。</w:t>
      </w:r>
      <w:bookmarkEnd w:id="1872"/>
      <w:bookmarkEnd w:id="1873"/>
      <w:bookmarkEnd w:id="1874"/>
    </w:p>
    <w:p>
      <w:pPr>
        <w:kinsoku/>
        <w:overflowPunct/>
        <w:topLinePunct w:val="0"/>
        <w:bidi w:val="0"/>
        <w:spacing w:after="240" w:afterLines="100" w:line="300" w:lineRule="auto"/>
        <w:outlineLvl w:val="0"/>
        <w:rPr>
          <w:rFonts w:ascii="宋体" w:hAnsi="宋体"/>
          <w:color w:val="000000"/>
          <w:szCs w:val="21"/>
        </w:rPr>
      </w:pPr>
      <w:bookmarkStart w:id="1875" w:name="_Toc31545"/>
      <w:bookmarkStart w:id="1876" w:name="_Toc1153"/>
      <w:bookmarkStart w:id="1877" w:name="_Toc1136"/>
      <w:r>
        <w:rPr>
          <w:rFonts w:ascii="宋体" w:hAnsi="宋体"/>
          <w:color w:val="000000"/>
          <w:szCs w:val="21"/>
        </w:rPr>
        <w:t>21.</w:t>
      </w:r>
      <w:r>
        <w:rPr>
          <w:rFonts w:hint="eastAsia" w:ascii="宋体" w:hAnsi="宋体"/>
          <w:color w:val="000000"/>
          <w:szCs w:val="21"/>
          <w:lang w:val="en-US" w:eastAsia="zh-CN"/>
        </w:rPr>
        <w:t>8</w:t>
      </w:r>
      <w:r>
        <w:rPr>
          <w:rFonts w:hint="eastAsia" w:ascii="宋体" w:hAnsi="宋体"/>
          <w:color w:val="000000"/>
          <w:szCs w:val="21"/>
        </w:rPr>
        <w:t>、未尽事宜，双方协商解决。</w:t>
      </w:r>
      <w:bookmarkEnd w:id="1875"/>
      <w:bookmarkEnd w:id="1876"/>
      <w:bookmarkEnd w:id="1877"/>
    </w:p>
    <w:p>
      <w:pPr>
        <w:kinsoku/>
        <w:overflowPunct/>
        <w:topLinePunct w:val="0"/>
        <w:bidi w:val="0"/>
        <w:spacing w:line="300" w:lineRule="auto"/>
      </w:pPr>
    </w:p>
    <w:p>
      <w:pPr>
        <w:kinsoku/>
        <w:overflowPunct/>
        <w:topLinePunct w:val="0"/>
        <w:bidi w:val="0"/>
        <w:spacing w:line="300" w:lineRule="auto"/>
      </w:pPr>
    </w:p>
    <w:p>
      <w:pPr>
        <w:kinsoku/>
        <w:overflowPunct/>
        <w:topLinePunct w:val="0"/>
        <w:bidi w:val="0"/>
        <w:spacing w:line="300" w:lineRule="auto"/>
      </w:pPr>
      <w:r>
        <w:br w:type="page"/>
      </w:r>
    </w:p>
    <w:p>
      <w:pPr>
        <w:kinsoku/>
        <w:overflowPunct/>
        <w:topLinePunct w:val="0"/>
        <w:bidi w:val="0"/>
        <w:spacing w:line="300" w:lineRule="auto"/>
      </w:pPr>
      <w:r>
        <w:t>附件</w:t>
      </w:r>
    </w:p>
    <w:p>
      <w:pPr>
        <w:kinsoku/>
        <w:overflowPunct/>
        <w:topLinePunct w:val="0"/>
        <w:bidi w:val="0"/>
        <w:spacing w:line="300" w:lineRule="auto"/>
      </w:pPr>
      <w:r>
        <w:rPr>
          <w:rFonts w:hint="eastAsia"/>
        </w:rPr>
        <w:t>协议书附件：</w:t>
      </w:r>
    </w:p>
    <w:p>
      <w:pPr>
        <w:kinsoku/>
        <w:overflowPunct/>
        <w:topLinePunct w:val="0"/>
        <w:bidi w:val="0"/>
        <w:spacing w:line="300" w:lineRule="auto"/>
      </w:pPr>
      <w:r>
        <w:t>附件1：承包人承揽工程项目一览表</w:t>
      </w:r>
    </w:p>
    <w:p>
      <w:pPr>
        <w:kinsoku/>
        <w:overflowPunct/>
        <w:topLinePunct w:val="0"/>
        <w:bidi w:val="0"/>
        <w:spacing w:line="300" w:lineRule="auto"/>
      </w:pPr>
      <w:r>
        <w:rPr>
          <w:rFonts w:hint="eastAsia"/>
        </w:rPr>
        <w:t>专用合同条款附件：</w:t>
      </w:r>
    </w:p>
    <w:p>
      <w:pPr>
        <w:kinsoku/>
        <w:overflowPunct/>
        <w:topLinePunct w:val="0"/>
        <w:bidi w:val="0"/>
        <w:spacing w:line="300" w:lineRule="auto"/>
      </w:pPr>
      <w:r>
        <w:t>附件2：发包人供应材料设备一览表</w:t>
      </w:r>
    </w:p>
    <w:p>
      <w:pPr>
        <w:kinsoku/>
        <w:overflowPunct/>
        <w:topLinePunct w:val="0"/>
        <w:bidi w:val="0"/>
        <w:spacing w:line="300" w:lineRule="auto"/>
      </w:pPr>
      <w:r>
        <w:t>附件3：工程质量保修书</w:t>
      </w:r>
    </w:p>
    <w:p>
      <w:pPr>
        <w:kinsoku/>
        <w:overflowPunct/>
        <w:topLinePunct w:val="0"/>
        <w:bidi w:val="0"/>
        <w:spacing w:line="300" w:lineRule="auto"/>
      </w:pPr>
      <w:r>
        <w:t>附件4：主要建设工程文件目录</w:t>
      </w:r>
    </w:p>
    <w:p>
      <w:pPr>
        <w:kinsoku/>
        <w:overflowPunct/>
        <w:topLinePunct w:val="0"/>
        <w:bidi w:val="0"/>
        <w:spacing w:line="300" w:lineRule="auto"/>
      </w:pPr>
      <w:r>
        <w:t>附件5：承包人用于本工程施工的机械设备表</w:t>
      </w:r>
    </w:p>
    <w:p>
      <w:pPr>
        <w:kinsoku/>
        <w:overflowPunct/>
        <w:topLinePunct w:val="0"/>
        <w:bidi w:val="0"/>
        <w:spacing w:line="300" w:lineRule="auto"/>
      </w:pPr>
      <w:r>
        <w:t>附件6：承包人主要施工管理人员表</w:t>
      </w:r>
    </w:p>
    <w:p>
      <w:pPr>
        <w:kinsoku/>
        <w:overflowPunct/>
        <w:topLinePunct w:val="0"/>
        <w:bidi w:val="0"/>
        <w:spacing w:line="300" w:lineRule="auto"/>
      </w:pPr>
      <w:r>
        <w:t>附件7：分包人主要施工管理人员表</w:t>
      </w:r>
    </w:p>
    <w:p>
      <w:pPr>
        <w:kinsoku/>
        <w:overflowPunct/>
        <w:topLinePunct w:val="0"/>
        <w:bidi w:val="0"/>
        <w:spacing w:line="300" w:lineRule="auto"/>
      </w:pPr>
      <w:r>
        <w:t>附件8：履约担保格式</w:t>
      </w:r>
    </w:p>
    <w:p>
      <w:pPr>
        <w:kinsoku/>
        <w:overflowPunct/>
        <w:topLinePunct w:val="0"/>
        <w:bidi w:val="0"/>
        <w:spacing w:line="300" w:lineRule="auto"/>
      </w:pPr>
      <w:r>
        <w:t>附件9：预付款担保格式</w:t>
      </w:r>
    </w:p>
    <w:p>
      <w:pPr>
        <w:kinsoku/>
        <w:overflowPunct/>
        <w:topLinePunct w:val="0"/>
        <w:bidi w:val="0"/>
        <w:spacing w:line="300" w:lineRule="auto"/>
      </w:pPr>
      <w:r>
        <w:t>附件10：支付担保格式</w:t>
      </w:r>
    </w:p>
    <w:p>
      <w:pPr>
        <w:kinsoku/>
        <w:overflowPunct/>
        <w:topLinePunct w:val="0"/>
        <w:bidi w:val="0"/>
        <w:spacing w:line="300" w:lineRule="auto"/>
      </w:pPr>
      <w:r>
        <w:t>附件11：暂估价一览表</w:t>
      </w:r>
    </w:p>
    <w:p>
      <w:pPr>
        <w:kinsoku/>
        <w:overflowPunct/>
        <w:topLinePunct w:val="0"/>
        <w:bidi w:val="0"/>
        <w:spacing w:line="300" w:lineRule="auto"/>
        <w:rPr>
          <w:szCs w:val="21"/>
        </w:rPr>
      </w:pPr>
      <w:r>
        <w:rPr>
          <w:rFonts w:hint="eastAsia"/>
          <w:szCs w:val="21"/>
        </w:rPr>
        <w:t>附件12：建设工程廉政责任书</w:t>
      </w:r>
    </w:p>
    <w:p>
      <w:pPr>
        <w:kinsoku/>
        <w:overflowPunct/>
        <w:topLinePunct w:val="0"/>
        <w:bidi w:val="0"/>
        <w:spacing w:line="300" w:lineRule="auto"/>
        <w:rPr>
          <w:b/>
          <w:szCs w:val="21"/>
        </w:rPr>
      </w:pPr>
      <w:r>
        <w:rPr>
          <w:rFonts w:hint="eastAsia"/>
          <w:szCs w:val="21"/>
        </w:rPr>
        <w:t>附件13：农民工工资承诺书</w:t>
      </w:r>
      <w:r>
        <w:rPr>
          <w:szCs w:val="21"/>
        </w:rPr>
        <w:br w:type="page"/>
      </w:r>
      <w:r>
        <w:rPr>
          <w:rFonts w:hint="eastAsia"/>
          <w:b/>
          <w:szCs w:val="21"/>
        </w:rPr>
        <w:t>附件1：</w:t>
      </w:r>
      <w:r>
        <w:rPr>
          <w:b/>
          <w:szCs w:val="21"/>
        </w:rPr>
        <w:t>承包人承揽工程项目一览表</w:t>
      </w:r>
    </w:p>
    <w:tbl>
      <w:tblPr>
        <w:tblStyle w:val="5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6"/>
        <w:gridCol w:w="856"/>
        <w:gridCol w:w="856"/>
        <w:gridCol w:w="856"/>
        <w:gridCol w:w="856"/>
        <w:gridCol w:w="709"/>
        <w:gridCol w:w="1003"/>
        <w:gridCol w:w="856"/>
        <w:gridCol w:w="856"/>
        <w:gridCol w:w="8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atLeast"/>
        </w:trPr>
        <w:tc>
          <w:tcPr>
            <w:tcW w:w="856"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单位工程名称</w:t>
            </w:r>
          </w:p>
        </w:tc>
        <w:tc>
          <w:tcPr>
            <w:tcW w:w="856"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建设</w:t>
            </w:r>
          </w:p>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规模</w:t>
            </w:r>
          </w:p>
        </w:tc>
        <w:tc>
          <w:tcPr>
            <w:tcW w:w="856"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建筑面积(</w:t>
            </w:r>
            <w:r>
              <w:rPr>
                <w:rFonts w:hint="eastAsia" w:ascii="宋体" w:hAnsi="宋体" w:eastAsia="Times New Roman"/>
                <w:szCs w:val="21"/>
              </w:rPr>
              <w:t>m2</w:t>
            </w:r>
            <w:r>
              <w:rPr>
                <w:rFonts w:ascii="宋体" w:hAnsi="宋体" w:eastAsia="Times New Roman"/>
                <w:szCs w:val="21"/>
              </w:rPr>
              <w:t>)</w:t>
            </w:r>
          </w:p>
        </w:tc>
        <w:tc>
          <w:tcPr>
            <w:tcW w:w="856"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结构</w:t>
            </w:r>
          </w:p>
          <w:p>
            <w:pPr>
              <w:pStyle w:val="3"/>
              <w:keepNext/>
              <w:kinsoku/>
              <w:overflowPunct/>
              <w:topLinePunct w:val="0"/>
              <w:bidi w:val="0"/>
              <w:spacing w:line="300" w:lineRule="auto"/>
              <w:ind w:left="63" w:right="63"/>
              <w:rPr>
                <w:rFonts w:ascii="宋体" w:hAnsi="宋体" w:eastAsia="Times New Roman"/>
                <w:szCs w:val="21"/>
              </w:rPr>
            </w:pPr>
            <w:r>
              <w:rPr>
                <w:rFonts w:hint="eastAsia" w:ascii="宋体" w:hAnsi="宋体" w:eastAsia="Times New Roman"/>
                <w:szCs w:val="21"/>
              </w:rPr>
              <w:t>形式</w:t>
            </w:r>
          </w:p>
        </w:tc>
        <w:tc>
          <w:tcPr>
            <w:tcW w:w="856"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层数</w:t>
            </w:r>
          </w:p>
        </w:tc>
        <w:tc>
          <w:tcPr>
            <w:tcW w:w="709"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生产</w:t>
            </w:r>
          </w:p>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能力</w:t>
            </w:r>
          </w:p>
        </w:tc>
        <w:tc>
          <w:tcPr>
            <w:tcW w:w="1003"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设备安装内容</w:t>
            </w:r>
          </w:p>
        </w:tc>
        <w:tc>
          <w:tcPr>
            <w:tcW w:w="856"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合同价格（元）</w:t>
            </w:r>
          </w:p>
        </w:tc>
        <w:tc>
          <w:tcPr>
            <w:tcW w:w="856"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开工</w:t>
            </w:r>
          </w:p>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日期</w:t>
            </w:r>
          </w:p>
        </w:tc>
        <w:tc>
          <w:tcPr>
            <w:tcW w:w="856"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竣工</w:t>
            </w:r>
          </w:p>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856"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709"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1003"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709"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1003"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709"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1003"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709"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1003"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709"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1003"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709"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1003"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709"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1003"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709"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1003"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709"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1003"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709"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1003"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709"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1003"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709"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1003"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709"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1003"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709"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1003"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709"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1003"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709"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1003"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709"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1003"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709"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1003"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709"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1003"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709"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1003"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709"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1003"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c>
          <w:tcPr>
            <w:tcW w:w="856" w:type="dxa"/>
            <w:noWrap w:val="0"/>
            <w:vAlign w:val="center"/>
          </w:tcPr>
          <w:p>
            <w:pPr>
              <w:pStyle w:val="3"/>
              <w:keepNext/>
              <w:kinsoku/>
              <w:overflowPunct/>
              <w:topLinePunct w:val="0"/>
              <w:bidi w:val="0"/>
              <w:spacing w:line="300" w:lineRule="auto"/>
              <w:ind w:left="63" w:right="63"/>
              <w:rPr>
                <w:rFonts w:ascii="宋体" w:hAnsi="宋体" w:eastAsia="Times New Roman"/>
                <w:sz w:val="18"/>
                <w:szCs w:val="18"/>
              </w:rPr>
            </w:pPr>
          </w:p>
        </w:tc>
      </w:tr>
    </w:tbl>
    <w:p>
      <w:pPr>
        <w:kinsoku/>
        <w:overflowPunct/>
        <w:topLinePunct w:val="0"/>
        <w:bidi w:val="0"/>
        <w:spacing w:after="120" w:afterLines="50" w:line="300" w:lineRule="auto"/>
        <w:ind w:firstLine="420"/>
        <w:sectPr>
          <w:pgSz w:w="11906" w:h="16838"/>
          <w:pgMar w:top="1588" w:right="1701" w:bottom="1418" w:left="1701" w:header="851" w:footer="737" w:gutter="0"/>
          <w:pgNumType w:fmt="numberInDash"/>
          <w:cols w:space="720" w:num="1"/>
          <w:docGrid w:linePitch="312" w:charSpace="0"/>
        </w:sectPr>
      </w:pPr>
    </w:p>
    <w:p>
      <w:pPr>
        <w:kinsoku/>
        <w:overflowPunct/>
        <w:topLinePunct w:val="0"/>
        <w:bidi w:val="0"/>
        <w:spacing w:before="156" w:beforeLines="50" w:after="156" w:afterLines="50" w:line="300" w:lineRule="auto"/>
        <w:rPr>
          <w:b/>
          <w:szCs w:val="21"/>
        </w:rPr>
      </w:pPr>
      <w:r>
        <w:rPr>
          <w:b/>
          <w:szCs w:val="21"/>
        </w:rPr>
        <w:t>附</w:t>
      </w:r>
      <w:bookmarkStart w:id="1878" w:name="_Toc296891265"/>
      <w:bookmarkStart w:id="1879" w:name="_Toc296347224"/>
      <w:bookmarkStart w:id="1880" w:name="_Toc296346726"/>
      <w:bookmarkStart w:id="1881" w:name="_Toc296891053"/>
      <w:bookmarkStart w:id="1882" w:name="_Toc296503225"/>
      <w:bookmarkStart w:id="1883" w:name="_Toc267261692"/>
      <w:bookmarkStart w:id="1884" w:name="_Toc296944564"/>
      <w:r>
        <w:rPr>
          <w:b/>
          <w:szCs w:val="21"/>
        </w:rPr>
        <w:t>件</w:t>
      </w:r>
      <w:r>
        <w:rPr>
          <w:rFonts w:hint="eastAsia"/>
          <w:b/>
          <w:szCs w:val="21"/>
        </w:rPr>
        <w:t>2</w:t>
      </w:r>
      <w:r>
        <w:rPr>
          <w:b/>
          <w:szCs w:val="21"/>
        </w:rPr>
        <w:t>：</w:t>
      </w:r>
      <w:bookmarkEnd w:id="1878"/>
      <w:bookmarkEnd w:id="1879"/>
      <w:bookmarkEnd w:id="1880"/>
      <w:bookmarkEnd w:id="1881"/>
      <w:bookmarkEnd w:id="1882"/>
      <w:bookmarkEnd w:id="1883"/>
      <w:bookmarkEnd w:id="1884"/>
      <w:r>
        <w:rPr>
          <w:b/>
          <w:szCs w:val="21"/>
        </w:rPr>
        <w:t>发包人供应材料设备一览表</w:t>
      </w:r>
    </w:p>
    <w:tbl>
      <w:tblPr>
        <w:tblStyle w:val="5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21"/>
        <w:gridCol w:w="1038"/>
        <w:gridCol w:w="1044"/>
        <w:gridCol w:w="615"/>
        <w:gridCol w:w="645"/>
        <w:gridCol w:w="825"/>
        <w:gridCol w:w="1050"/>
        <w:gridCol w:w="1065"/>
        <w:gridCol w:w="1050"/>
        <w:gridCol w:w="6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721"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序号</w:t>
            </w:r>
          </w:p>
        </w:tc>
        <w:tc>
          <w:tcPr>
            <w:tcW w:w="1038"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材料、</w:t>
            </w:r>
          </w:p>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设备品种</w:t>
            </w:r>
          </w:p>
        </w:tc>
        <w:tc>
          <w:tcPr>
            <w:tcW w:w="1044"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规格型号</w:t>
            </w:r>
          </w:p>
        </w:tc>
        <w:tc>
          <w:tcPr>
            <w:tcW w:w="615"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单位</w:t>
            </w:r>
          </w:p>
        </w:tc>
        <w:tc>
          <w:tcPr>
            <w:tcW w:w="645"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数量</w:t>
            </w:r>
          </w:p>
        </w:tc>
        <w:tc>
          <w:tcPr>
            <w:tcW w:w="825"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单价</w:t>
            </w:r>
            <w:r>
              <w:rPr>
                <w:rFonts w:hint="eastAsia" w:ascii="宋体" w:hAnsi="宋体" w:eastAsia="Times New Roman"/>
                <w:szCs w:val="21"/>
              </w:rPr>
              <w:t>（元）</w:t>
            </w:r>
          </w:p>
        </w:tc>
        <w:tc>
          <w:tcPr>
            <w:tcW w:w="1050"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质量等级</w:t>
            </w:r>
          </w:p>
        </w:tc>
        <w:tc>
          <w:tcPr>
            <w:tcW w:w="1065"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供应时间</w:t>
            </w:r>
          </w:p>
        </w:tc>
        <w:tc>
          <w:tcPr>
            <w:tcW w:w="1050"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送达地点</w:t>
            </w:r>
          </w:p>
        </w:tc>
        <w:tc>
          <w:tcPr>
            <w:tcW w:w="627"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21"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44"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15"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45"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25"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50"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65"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50"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27"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21"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44"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15"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45"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25"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50"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65"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50"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27"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2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4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1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4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2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50"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6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50"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27"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2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4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1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4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2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50"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6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50"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27"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2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4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1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4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2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50"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6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50"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27"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2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4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1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4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2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50"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6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50"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27"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2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4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1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4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2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50"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6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50"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27"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2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4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1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4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2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50"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6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50"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27"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21" w:type="dxa"/>
            <w:noWrap w:val="0"/>
            <w:vAlign w:val="center"/>
          </w:tcPr>
          <w:p>
            <w:pPr>
              <w:kinsoku/>
              <w:overflowPunct/>
              <w:topLinePunct w:val="0"/>
              <w:bidi w:val="0"/>
              <w:spacing w:line="300" w:lineRule="auto"/>
              <w:jc w:val="center"/>
              <w:rPr>
                <w:szCs w:val="21"/>
              </w:rPr>
            </w:pPr>
          </w:p>
        </w:tc>
        <w:tc>
          <w:tcPr>
            <w:tcW w:w="1038" w:type="dxa"/>
            <w:noWrap w:val="0"/>
            <w:vAlign w:val="center"/>
          </w:tcPr>
          <w:p>
            <w:pPr>
              <w:kinsoku/>
              <w:overflowPunct/>
              <w:topLinePunct w:val="0"/>
              <w:bidi w:val="0"/>
              <w:spacing w:line="300" w:lineRule="auto"/>
              <w:jc w:val="center"/>
              <w:rPr>
                <w:szCs w:val="21"/>
              </w:rPr>
            </w:pPr>
          </w:p>
        </w:tc>
        <w:tc>
          <w:tcPr>
            <w:tcW w:w="1044" w:type="dxa"/>
            <w:noWrap w:val="0"/>
            <w:vAlign w:val="center"/>
          </w:tcPr>
          <w:p>
            <w:pPr>
              <w:kinsoku/>
              <w:overflowPunct/>
              <w:topLinePunct w:val="0"/>
              <w:bidi w:val="0"/>
              <w:spacing w:line="300" w:lineRule="auto"/>
              <w:jc w:val="center"/>
              <w:rPr>
                <w:szCs w:val="21"/>
              </w:rPr>
            </w:pPr>
          </w:p>
        </w:tc>
        <w:tc>
          <w:tcPr>
            <w:tcW w:w="615" w:type="dxa"/>
            <w:noWrap w:val="0"/>
            <w:vAlign w:val="center"/>
          </w:tcPr>
          <w:p>
            <w:pPr>
              <w:kinsoku/>
              <w:overflowPunct/>
              <w:topLinePunct w:val="0"/>
              <w:bidi w:val="0"/>
              <w:spacing w:line="300" w:lineRule="auto"/>
              <w:jc w:val="center"/>
              <w:rPr>
                <w:szCs w:val="21"/>
              </w:rPr>
            </w:pPr>
          </w:p>
        </w:tc>
        <w:tc>
          <w:tcPr>
            <w:tcW w:w="645" w:type="dxa"/>
            <w:noWrap w:val="0"/>
            <w:vAlign w:val="center"/>
          </w:tcPr>
          <w:p>
            <w:pPr>
              <w:kinsoku/>
              <w:overflowPunct/>
              <w:topLinePunct w:val="0"/>
              <w:bidi w:val="0"/>
              <w:spacing w:line="300" w:lineRule="auto"/>
              <w:jc w:val="center"/>
              <w:rPr>
                <w:szCs w:val="21"/>
              </w:rPr>
            </w:pPr>
          </w:p>
        </w:tc>
        <w:tc>
          <w:tcPr>
            <w:tcW w:w="825" w:type="dxa"/>
            <w:noWrap w:val="0"/>
            <w:vAlign w:val="center"/>
          </w:tcPr>
          <w:p>
            <w:pPr>
              <w:kinsoku/>
              <w:overflowPunct/>
              <w:topLinePunct w:val="0"/>
              <w:bidi w:val="0"/>
              <w:spacing w:line="300" w:lineRule="auto"/>
              <w:jc w:val="center"/>
              <w:rPr>
                <w:szCs w:val="21"/>
              </w:rPr>
            </w:pPr>
          </w:p>
        </w:tc>
        <w:tc>
          <w:tcPr>
            <w:tcW w:w="1050" w:type="dxa"/>
            <w:noWrap w:val="0"/>
            <w:vAlign w:val="center"/>
          </w:tcPr>
          <w:p>
            <w:pPr>
              <w:kinsoku/>
              <w:overflowPunct/>
              <w:topLinePunct w:val="0"/>
              <w:bidi w:val="0"/>
              <w:spacing w:line="300" w:lineRule="auto"/>
              <w:jc w:val="center"/>
              <w:rPr>
                <w:szCs w:val="21"/>
              </w:rPr>
            </w:pPr>
          </w:p>
        </w:tc>
        <w:tc>
          <w:tcPr>
            <w:tcW w:w="1065" w:type="dxa"/>
            <w:noWrap w:val="0"/>
            <w:vAlign w:val="center"/>
          </w:tcPr>
          <w:p>
            <w:pPr>
              <w:kinsoku/>
              <w:overflowPunct/>
              <w:topLinePunct w:val="0"/>
              <w:bidi w:val="0"/>
              <w:spacing w:line="300" w:lineRule="auto"/>
              <w:jc w:val="center"/>
              <w:rPr>
                <w:szCs w:val="21"/>
              </w:rPr>
            </w:pPr>
          </w:p>
        </w:tc>
        <w:tc>
          <w:tcPr>
            <w:tcW w:w="1050" w:type="dxa"/>
            <w:noWrap w:val="0"/>
            <w:vAlign w:val="center"/>
          </w:tcPr>
          <w:p>
            <w:pPr>
              <w:kinsoku/>
              <w:overflowPunct/>
              <w:topLinePunct w:val="0"/>
              <w:bidi w:val="0"/>
              <w:spacing w:line="300" w:lineRule="auto"/>
              <w:jc w:val="center"/>
              <w:rPr>
                <w:szCs w:val="21"/>
              </w:rPr>
            </w:pPr>
          </w:p>
        </w:tc>
        <w:tc>
          <w:tcPr>
            <w:tcW w:w="627" w:type="dxa"/>
            <w:noWrap w:val="0"/>
            <w:vAlign w:val="center"/>
          </w:tcPr>
          <w:p>
            <w:pPr>
              <w:kinsoku/>
              <w:overflowPunct/>
              <w:topLinePunct w:val="0"/>
              <w:bidi w:val="0"/>
              <w:spacing w:line="30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2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4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1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4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2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50"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65"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50"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627"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21" w:type="dxa"/>
            <w:noWrap w:val="0"/>
            <w:vAlign w:val="center"/>
          </w:tcPr>
          <w:p>
            <w:pPr>
              <w:kinsoku/>
              <w:overflowPunct/>
              <w:topLinePunct w:val="0"/>
              <w:bidi w:val="0"/>
              <w:spacing w:line="300" w:lineRule="auto"/>
              <w:jc w:val="center"/>
              <w:rPr>
                <w:szCs w:val="21"/>
              </w:rPr>
            </w:pPr>
          </w:p>
        </w:tc>
        <w:tc>
          <w:tcPr>
            <w:tcW w:w="1038" w:type="dxa"/>
            <w:noWrap w:val="0"/>
            <w:vAlign w:val="center"/>
          </w:tcPr>
          <w:p>
            <w:pPr>
              <w:kinsoku/>
              <w:overflowPunct/>
              <w:topLinePunct w:val="0"/>
              <w:bidi w:val="0"/>
              <w:spacing w:line="300" w:lineRule="auto"/>
              <w:jc w:val="center"/>
              <w:rPr>
                <w:szCs w:val="21"/>
              </w:rPr>
            </w:pPr>
          </w:p>
        </w:tc>
        <w:tc>
          <w:tcPr>
            <w:tcW w:w="1044" w:type="dxa"/>
            <w:noWrap w:val="0"/>
            <w:vAlign w:val="center"/>
          </w:tcPr>
          <w:p>
            <w:pPr>
              <w:kinsoku/>
              <w:overflowPunct/>
              <w:topLinePunct w:val="0"/>
              <w:bidi w:val="0"/>
              <w:spacing w:line="300" w:lineRule="auto"/>
              <w:jc w:val="center"/>
              <w:rPr>
                <w:szCs w:val="21"/>
              </w:rPr>
            </w:pPr>
          </w:p>
        </w:tc>
        <w:tc>
          <w:tcPr>
            <w:tcW w:w="615" w:type="dxa"/>
            <w:noWrap w:val="0"/>
            <w:vAlign w:val="center"/>
          </w:tcPr>
          <w:p>
            <w:pPr>
              <w:kinsoku/>
              <w:overflowPunct/>
              <w:topLinePunct w:val="0"/>
              <w:bidi w:val="0"/>
              <w:spacing w:line="300" w:lineRule="auto"/>
              <w:jc w:val="center"/>
              <w:rPr>
                <w:szCs w:val="21"/>
              </w:rPr>
            </w:pPr>
          </w:p>
        </w:tc>
        <w:tc>
          <w:tcPr>
            <w:tcW w:w="645" w:type="dxa"/>
            <w:noWrap w:val="0"/>
            <w:vAlign w:val="center"/>
          </w:tcPr>
          <w:p>
            <w:pPr>
              <w:kinsoku/>
              <w:overflowPunct/>
              <w:topLinePunct w:val="0"/>
              <w:bidi w:val="0"/>
              <w:spacing w:line="300" w:lineRule="auto"/>
              <w:jc w:val="center"/>
              <w:rPr>
                <w:szCs w:val="21"/>
              </w:rPr>
            </w:pPr>
          </w:p>
        </w:tc>
        <w:tc>
          <w:tcPr>
            <w:tcW w:w="825" w:type="dxa"/>
            <w:noWrap w:val="0"/>
            <w:vAlign w:val="center"/>
          </w:tcPr>
          <w:p>
            <w:pPr>
              <w:kinsoku/>
              <w:overflowPunct/>
              <w:topLinePunct w:val="0"/>
              <w:bidi w:val="0"/>
              <w:spacing w:line="300" w:lineRule="auto"/>
              <w:jc w:val="center"/>
              <w:rPr>
                <w:szCs w:val="21"/>
              </w:rPr>
            </w:pPr>
          </w:p>
        </w:tc>
        <w:tc>
          <w:tcPr>
            <w:tcW w:w="1050" w:type="dxa"/>
            <w:noWrap w:val="0"/>
            <w:vAlign w:val="center"/>
          </w:tcPr>
          <w:p>
            <w:pPr>
              <w:kinsoku/>
              <w:overflowPunct/>
              <w:topLinePunct w:val="0"/>
              <w:bidi w:val="0"/>
              <w:spacing w:line="300" w:lineRule="auto"/>
              <w:jc w:val="center"/>
              <w:rPr>
                <w:szCs w:val="21"/>
              </w:rPr>
            </w:pPr>
          </w:p>
        </w:tc>
        <w:tc>
          <w:tcPr>
            <w:tcW w:w="1065" w:type="dxa"/>
            <w:noWrap w:val="0"/>
            <w:vAlign w:val="center"/>
          </w:tcPr>
          <w:p>
            <w:pPr>
              <w:kinsoku/>
              <w:overflowPunct/>
              <w:topLinePunct w:val="0"/>
              <w:bidi w:val="0"/>
              <w:spacing w:line="300" w:lineRule="auto"/>
              <w:jc w:val="center"/>
              <w:rPr>
                <w:szCs w:val="21"/>
              </w:rPr>
            </w:pPr>
          </w:p>
        </w:tc>
        <w:tc>
          <w:tcPr>
            <w:tcW w:w="1050" w:type="dxa"/>
            <w:noWrap w:val="0"/>
            <w:vAlign w:val="center"/>
          </w:tcPr>
          <w:p>
            <w:pPr>
              <w:kinsoku/>
              <w:overflowPunct/>
              <w:topLinePunct w:val="0"/>
              <w:bidi w:val="0"/>
              <w:spacing w:line="300" w:lineRule="auto"/>
              <w:jc w:val="center"/>
              <w:rPr>
                <w:szCs w:val="21"/>
              </w:rPr>
            </w:pPr>
          </w:p>
        </w:tc>
        <w:tc>
          <w:tcPr>
            <w:tcW w:w="627" w:type="dxa"/>
            <w:noWrap w:val="0"/>
            <w:vAlign w:val="center"/>
          </w:tcPr>
          <w:p>
            <w:pPr>
              <w:kinsoku/>
              <w:overflowPunct/>
              <w:topLinePunct w:val="0"/>
              <w:bidi w:val="0"/>
              <w:spacing w:line="30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21" w:type="dxa"/>
            <w:noWrap w:val="0"/>
            <w:vAlign w:val="center"/>
          </w:tcPr>
          <w:p>
            <w:pPr>
              <w:kinsoku/>
              <w:overflowPunct/>
              <w:topLinePunct w:val="0"/>
              <w:bidi w:val="0"/>
              <w:spacing w:line="300" w:lineRule="auto"/>
              <w:jc w:val="center"/>
              <w:rPr>
                <w:szCs w:val="21"/>
              </w:rPr>
            </w:pPr>
          </w:p>
        </w:tc>
        <w:tc>
          <w:tcPr>
            <w:tcW w:w="1038" w:type="dxa"/>
            <w:noWrap w:val="0"/>
            <w:vAlign w:val="center"/>
          </w:tcPr>
          <w:p>
            <w:pPr>
              <w:kinsoku/>
              <w:overflowPunct/>
              <w:topLinePunct w:val="0"/>
              <w:bidi w:val="0"/>
              <w:spacing w:line="300" w:lineRule="auto"/>
              <w:jc w:val="center"/>
              <w:rPr>
                <w:szCs w:val="21"/>
              </w:rPr>
            </w:pPr>
          </w:p>
        </w:tc>
        <w:tc>
          <w:tcPr>
            <w:tcW w:w="1044" w:type="dxa"/>
            <w:noWrap w:val="0"/>
            <w:vAlign w:val="center"/>
          </w:tcPr>
          <w:p>
            <w:pPr>
              <w:kinsoku/>
              <w:overflowPunct/>
              <w:topLinePunct w:val="0"/>
              <w:bidi w:val="0"/>
              <w:spacing w:line="300" w:lineRule="auto"/>
              <w:jc w:val="center"/>
              <w:rPr>
                <w:szCs w:val="21"/>
              </w:rPr>
            </w:pPr>
          </w:p>
        </w:tc>
        <w:tc>
          <w:tcPr>
            <w:tcW w:w="615" w:type="dxa"/>
            <w:noWrap w:val="0"/>
            <w:vAlign w:val="center"/>
          </w:tcPr>
          <w:p>
            <w:pPr>
              <w:kinsoku/>
              <w:overflowPunct/>
              <w:topLinePunct w:val="0"/>
              <w:bidi w:val="0"/>
              <w:spacing w:line="300" w:lineRule="auto"/>
              <w:jc w:val="center"/>
              <w:rPr>
                <w:szCs w:val="21"/>
              </w:rPr>
            </w:pPr>
          </w:p>
        </w:tc>
        <w:tc>
          <w:tcPr>
            <w:tcW w:w="645" w:type="dxa"/>
            <w:noWrap w:val="0"/>
            <w:vAlign w:val="center"/>
          </w:tcPr>
          <w:p>
            <w:pPr>
              <w:kinsoku/>
              <w:overflowPunct/>
              <w:topLinePunct w:val="0"/>
              <w:bidi w:val="0"/>
              <w:spacing w:line="300" w:lineRule="auto"/>
              <w:jc w:val="center"/>
              <w:rPr>
                <w:szCs w:val="21"/>
              </w:rPr>
            </w:pPr>
          </w:p>
        </w:tc>
        <w:tc>
          <w:tcPr>
            <w:tcW w:w="825" w:type="dxa"/>
            <w:noWrap w:val="0"/>
            <w:vAlign w:val="center"/>
          </w:tcPr>
          <w:p>
            <w:pPr>
              <w:kinsoku/>
              <w:overflowPunct/>
              <w:topLinePunct w:val="0"/>
              <w:bidi w:val="0"/>
              <w:spacing w:line="300" w:lineRule="auto"/>
              <w:jc w:val="center"/>
              <w:rPr>
                <w:szCs w:val="21"/>
              </w:rPr>
            </w:pPr>
          </w:p>
        </w:tc>
        <w:tc>
          <w:tcPr>
            <w:tcW w:w="1050" w:type="dxa"/>
            <w:noWrap w:val="0"/>
            <w:vAlign w:val="center"/>
          </w:tcPr>
          <w:p>
            <w:pPr>
              <w:kinsoku/>
              <w:overflowPunct/>
              <w:topLinePunct w:val="0"/>
              <w:bidi w:val="0"/>
              <w:spacing w:line="300" w:lineRule="auto"/>
              <w:jc w:val="center"/>
              <w:rPr>
                <w:szCs w:val="21"/>
              </w:rPr>
            </w:pPr>
          </w:p>
        </w:tc>
        <w:tc>
          <w:tcPr>
            <w:tcW w:w="1065" w:type="dxa"/>
            <w:noWrap w:val="0"/>
            <w:vAlign w:val="center"/>
          </w:tcPr>
          <w:p>
            <w:pPr>
              <w:kinsoku/>
              <w:overflowPunct/>
              <w:topLinePunct w:val="0"/>
              <w:bidi w:val="0"/>
              <w:spacing w:line="300" w:lineRule="auto"/>
              <w:jc w:val="center"/>
              <w:rPr>
                <w:szCs w:val="21"/>
              </w:rPr>
            </w:pPr>
          </w:p>
        </w:tc>
        <w:tc>
          <w:tcPr>
            <w:tcW w:w="1050" w:type="dxa"/>
            <w:noWrap w:val="0"/>
            <w:vAlign w:val="center"/>
          </w:tcPr>
          <w:p>
            <w:pPr>
              <w:kinsoku/>
              <w:overflowPunct/>
              <w:topLinePunct w:val="0"/>
              <w:bidi w:val="0"/>
              <w:spacing w:line="300" w:lineRule="auto"/>
              <w:jc w:val="center"/>
              <w:rPr>
                <w:szCs w:val="21"/>
              </w:rPr>
            </w:pPr>
          </w:p>
        </w:tc>
        <w:tc>
          <w:tcPr>
            <w:tcW w:w="627" w:type="dxa"/>
            <w:noWrap w:val="0"/>
            <w:vAlign w:val="center"/>
          </w:tcPr>
          <w:p>
            <w:pPr>
              <w:kinsoku/>
              <w:overflowPunct/>
              <w:topLinePunct w:val="0"/>
              <w:bidi w:val="0"/>
              <w:spacing w:line="30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21" w:type="dxa"/>
            <w:noWrap w:val="0"/>
            <w:vAlign w:val="center"/>
          </w:tcPr>
          <w:p>
            <w:pPr>
              <w:kinsoku/>
              <w:overflowPunct/>
              <w:topLinePunct w:val="0"/>
              <w:bidi w:val="0"/>
              <w:spacing w:line="300" w:lineRule="auto"/>
              <w:jc w:val="center"/>
              <w:rPr>
                <w:szCs w:val="21"/>
              </w:rPr>
            </w:pPr>
          </w:p>
        </w:tc>
        <w:tc>
          <w:tcPr>
            <w:tcW w:w="1038" w:type="dxa"/>
            <w:noWrap w:val="0"/>
            <w:vAlign w:val="center"/>
          </w:tcPr>
          <w:p>
            <w:pPr>
              <w:kinsoku/>
              <w:overflowPunct/>
              <w:topLinePunct w:val="0"/>
              <w:bidi w:val="0"/>
              <w:spacing w:line="300" w:lineRule="auto"/>
              <w:jc w:val="center"/>
              <w:rPr>
                <w:szCs w:val="21"/>
              </w:rPr>
            </w:pPr>
          </w:p>
        </w:tc>
        <w:tc>
          <w:tcPr>
            <w:tcW w:w="1044" w:type="dxa"/>
            <w:noWrap w:val="0"/>
            <w:vAlign w:val="center"/>
          </w:tcPr>
          <w:p>
            <w:pPr>
              <w:kinsoku/>
              <w:overflowPunct/>
              <w:topLinePunct w:val="0"/>
              <w:bidi w:val="0"/>
              <w:spacing w:line="300" w:lineRule="auto"/>
              <w:jc w:val="center"/>
              <w:rPr>
                <w:szCs w:val="21"/>
              </w:rPr>
            </w:pPr>
          </w:p>
        </w:tc>
        <w:tc>
          <w:tcPr>
            <w:tcW w:w="615" w:type="dxa"/>
            <w:noWrap w:val="0"/>
            <w:vAlign w:val="center"/>
          </w:tcPr>
          <w:p>
            <w:pPr>
              <w:kinsoku/>
              <w:overflowPunct/>
              <w:topLinePunct w:val="0"/>
              <w:bidi w:val="0"/>
              <w:spacing w:line="300" w:lineRule="auto"/>
              <w:jc w:val="center"/>
              <w:rPr>
                <w:szCs w:val="21"/>
              </w:rPr>
            </w:pPr>
          </w:p>
        </w:tc>
        <w:tc>
          <w:tcPr>
            <w:tcW w:w="645" w:type="dxa"/>
            <w:noWrap w:val="0"/>
            <w:vAlign w:val="center"/>
          </w:tcPr>
          <w:p>
            <w:pPr>
              <w:kinsoku/>
              <w:overflowPunct/>
              <w:topLinePunct w:val="0"/>
              <w:bidi w:val="0"/>
              <w:spacing w:line="300" w:lineRule="auto"/>
              <w:jc w:val="center"/>
              <w:rPr>
                <w:szCs w:val="21"/>
              </w:rPr>
            </w:pPr>
          </w:p>
        </w:tc>
        <w:tc>
          <w:tcPr>
            <w:tcW w:w="825" w:type="dxa"/>
            <w:noWrap w:val="0"/>
            <w:vAlign w:val="center"/>
          </w:tcPr>
          <w:p>
            <w:pPr>
              <w:kinsoku/>
              <w:overflowPunct/>
              <w:topLinePunct w:val="0"/>
              <w:bidi w:val="0"/>
              <w:spacing w:line="300" w:lineRule="auto"/>
              <w:jc w:val="center"/>
              <w:rPr>
                <w:szCs w:val="21"/>
              </w:rPr>
            </w:pPr>
          </w:p>
        </w:tc>
        <w:tc>
          <w:tcPr>
            <w:tcW w:w="1050" w:type="dxa"/>
            <w:noWrap w:val="0"/>
            <w:vAlign w:val="center"/>
          </w:tcPr>
          <w:p>
            <w:pPr>
              <w:kinsoku/>
              <w:overflowPunct/>
              <w:topLinePunct w:val="0"/>
              <w:bidi w:val="0"/>
              <w:spacing w:line="300" w:lineRule="auto"/>
              <w:jc w:val="center"/>
              <w:rPr>
                <w:szCs w:val="21"/>
              </w:rPr>
            </w:pPr>
          </w:p>
        </w:tc>
        <w:tc>
          <w:tcPr>
            <w:tcW w:w="1065" w:type="dxa"/>
            <w:noWrap w:val="0"/>
            <w:vAlign w:val="center"/>
          </w:tcPr>
          <w:p>
            <w:pPr>
              <w:kinsoku/>
              <w:overflowPunct/>
              <w:topLinePunct w:val="0"/>
              <w:bidi w:val="0"/>
              <w:spacing w:line="300" w:lineRule="auto"/>
              <w:jc w:val="center"/>
              <w:rPr>
                <w:szCs w:val="21"/>
              </w:rPr>
            </w:pPr>
          </w:p>
        </w:tc>
        <w:tc>
          <w:tcPr>
            <w:tcW w:w="1050" w:type="dxa"/>
            <w:noWrap w:val="0"/>
            <w:vAlign w:val="center"/>
          </w:tcPr>
          <w:p>
            <w:pPr>
              <w:kinsoku/>
              <w:overflowPunct/>
              <w:topLinePunct w:val="0"/>
              <w:bidi w:val="0"/>
              <w:spacing w:line="300" w:lineRule="auto"/>
              <w:jc w:val="center"/>
              <w:rPr>
                <w:szCs w:val="21"/>
              </w:rPr>
            </w:pPr>
          </w:p>
        </w:tc>
        <w:tc>
          <w:tcPr>
            <w:tcW w:w="627" w:type="dxa"/>
            <w:noWrap w:val="0"/>
            <w:vAlign w:val="center"/>
          </w:tcPr>
          <w:p>
            <w:pPr>
              <w:kinsoku/>
              <w:overflowPunct/>
              <w:topLinePunct w:val="0"/>
              <w:bidi w:val="0"/>
              <w:spacing w:line="30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21" w:type="dxa"/>
            <w:noWrap w:val="0"/>
            <w:vAlign w:val="center"/>
          </w:tcPr>
          <w:p>
            <w:pPr>
              <w:kinsoku/>
              <w:overflowPunct/>
              <w:topLinePunct w:val="0"/>
              <w:bidi w:val="0"/>
              <w:spacing w:line="300" w:lineRule="auto"/>
              <w:jc w:val="center"/>
              <w:rPr>
                <w:szCs w:val="21"/>
              </w:rPr>
            </w:pPr>
          </w:p>
        </w:tc>
        <w:tc>
          <w:tcPr>
            <w:tcW w:w="1038" w:type="dxa"/>
            <w:noWrap w:val="0"/>
            <w:vAlign w:val="center"/>
          </w:tcPr>
          <w:p>
            <w:pPr>
              <w:kinsoku/>
              <w:overflowPunct/>
              <w:topLinePunct w:val="0"/>
              <w:bidi w:val="0"/>
              <w:spacing w:line="300" w:lineRule="auto"/>
              <w:jc w:val="center"/>
              <w:rPr>
                <w:szCs w:val="21"/>
              </w:rPr>
            </w:pPr>
          </w:p>
        </w:tc>
        <w:tc>
          <w:tcPr>
            <w:tcW w:w="1044" w:type="dxa"/>
            <w:noWrap w:val="0"/>
            <w:vAlign w:val="center"/>
          </w:tcPr>
          <w:p>
            <w:pPr>
              <w:kinsoku/>
              <w:overflowPunct/>
              <w:topLinePunct w:val="0"/>
              <w:bidi w:val="0"/>
              <w:spacing w:line="300" w:lineRule="auto"/>
              <w:jc w:val="center"/>
              <w:rPr>
                <w:szCs w:val="21"/>
              </w:rPr>
            </w:pPr>
          </w:p>
        </w:tc>
        <w:tc>
          <w:tcPr>
            <w:tcW w:w="615" w:type="dxa"/>
            <w:noWrap w:val="0"/>
            <w:vAlign w:val="center"/>
          </w:tcPr>
          <w:p>
            <w:pPr>
              <w:kinsoku/>
              <w:overflowPunct/>
              <w:topLinePunct w:val="0"/>
              <w:bidi w:val="0"/>
              <w:spacing w:line="300" w:lineRule="auto"/>
              <w:jc w:val="center"/>
              <w:rPr>
                <w:szCs w:val="21"/>
              </w:rPr>
            </w:pPr>
          </w:p>
        </w:tc>
        <w:tc>
          <w:tcPr>
            <w:tcW w:w="645" w:type="dxa"/>
            <w:noWrap w:val="0"/>
            <w:vAlign w:val="center"/>
          </w:tcPr>
          <w:p>
            <w:pPr>
              <w:kinsoku/>
              <w:overflowPunct/>
              <w:topLinePunct w:val="0"/>
              <w:bidi w:val="0"/>
              <w:spacing w:line="300" w:lineRule="auto"/>
              <w:jc w:val="center"/>
              <w:rPr>
                <w:szCs w:val="21"/>
              </w:rPr>
            </w:pPr>
          </w:p>
        </w:tc>
        <w:tc>
          <w:tcPr>
            <w:tcW w:w="825" w:type="dxa"/>
            <w:noWrap w:val="0"/>
            <w:vAlign w:val="center"/>
          </w:tcPr>
          <w:p>
            <w:pPr>
              <w:kinsoku/>
              <w:overflowPunct/>
              <w:topLinePunct w:val="0"/>
              <w:bidi w:val="0"/>
              <w:spacing w:line="300" w:lineRule="auto"/>
              <w:jc w:val="center"/>
              <w:rPr>
                <w:szCs w:val="21"/>
              </w:rPr>
            </w:pPr>
          </w:p>
        </w:tc>
        <w:tc>
          <w:tcPr>
            <w:tcW w:w="1050" w:type="dxa"/>
            <w:noWrap w:val="0"/>
            <w:vAlign w:val="center"/>
          </w:tcPr>
          <w:p>
            <w:pPr>
              <w:kinsoku/>
              <w:overflowPunct/>
              <w:topLinePunct w:val="0"/>
              <w:bidi w:val="0"/>
              <w:spacing w:line="300" w:lineRule="auto"/>
              <w:jc w:val="center"/>
              <w:rPr>
                <w:szCs w:val="21"/>
              </w:rPr>
            </w:pPr>
          </w:p>
        </w:tc>
        <w:tc>
          <w:tcPr>
            <w:tcW w:w="1065" w:type="dxa"/>
            <w:noWrap w:val="0"/>
            <w:vAlign w:val="center"/>
          </w:tcPr>
          <w:p>
            <w:pPr>
              <w:kinsoku/>
              <w:overflowPunct/>
              <w:topLinePunct w:val="0"/>
              <w:bidi w:val="0"/>
              <w:spacing w:line="300" w:lineRule="auto"/>
              <w:jc w:val="center"/>
              <w:rPr>
                <w:szCs w:val="21"/>
              </w:rPr>
            </w:pPr>
          </w:p>
        </w:tc>
        <w:tc>
          <w:tcPr>
            <w:tcW w:w="1050" w:type="dxa"/>
            <w:noWrap w:val="0"/>
            <w:vAlign w:val="center"/>
          </w:tcPr>
          <w:p>
            <w:pPr>
              <w:kinsoku/>
              <w:overflowPunct/>
              <w:topLinePunct w:val="0"/>
              <w:bidi w:val="0"/>
              <w:spacing w:line="300" w:lineRule="auto"/>
              <w:jc w:val="center"/>
              <w:rPr>
                <w:szCs w:val="21"/>
              </w:rPr>
            </w:pPr>
          </w:p>
        </w:tc>
        <w:tc>
          <w:tcPr>
            <w:tcW w:w="627" w:type="dxa"/>
            <w:noWrap w:val="0"/>
            <w:vAlign w:val="center"/>
          </w:tcPr>
          <w:p>
            <w:pPr>
              <w:kinsoku/>
              <w:overflowPunct/>
              <w:topLinePunct w:val="0"/>
              <w:bidi w:val="0"/>
              <w:spacing w:line="30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21" w:type="dxa"/>
            <w:noWrap w:val="0"/>
            <w:vAlign w:val="center"/>
          </w:tcPr>
          <w:p>
            <w:pPr>
              <w:kinsoku/>
              <w:overflowPunct/>
              <w:topLinePunct w:val="0"/>
              <w:bidi w:val="0"/>
              <w:spacing w:line="300" w:lineRule="auto"/>
              <w:jc w:val="center"/>
              <w:rPr>
                <w:szCs w:val="21"/>
              </w:rPr>
            </w:pPr>
          </w:p>
        </w:tc>
        <w:tc>
          <w:tcPr>
            <w:tcW w:w="1038" w:type="dxa"/>
            <w:noWrap w:val="0"/>
            <w:vAlign w:val="center"/>
          </w:tcPr>
          <w:p>
            <w:pPr>
              <w:kinsoku/>
              <w:overflowPunct/>
              <w:topLinePunct w:val="0"/>
              <w:bidi w:val="0"/>
              <w:spacing w:line="300" w:lineRule="auto"/>
              <w:jc w:val="center"/>
              <w:rPr>
                <w:szCs w:val="21"/>
              </w:rPr>
            </w:pPr>
          </w:p>
        </w:tc>
        <w:tc>
          <w:tcPr>
            <w:tcW w:w="1044" w:type="dxa"/>
            <w:noWrap w:val="0"/>
            <w:vAlign w:val="center"/>
          </w:tcPr>
          <w:p>
            <w:pPr>
              <w:kinsoku/>
              <w:overflowPunct/>
              <w:topLinePunct w:val="0"/>
              <w:bidi w:val="0"/>
              <w:spacing w:line="300" w:lineRule="auto"/>
              <w:jc w:val="center"/>
              <w:rPr>
                <w:szCs w:val="21"/>
              </w:rPr>
            </w:pPr>
          </w:p>
        </w:tc>
        <w:tc>
          <w:tcPr>
            <w:tcW w:w="615" w:type="dxa"/>
            <w:noWrap w:val="0"/>
            <w:vAlign w:val="center"/>
          </w:tcPr>
          <w:p>
            <w:pPr>
              <w:kinsoku/>
              <w:overflowPunct/>
              <w:topLinePunct w:val="0"/>
              <w:bidi w:val="0"/>
              <w:spacing w:line="300" w:lineRule="auto"/>
              <w:jc w:val="center"/>
              <w:rPr>
                <w:szCs w:val="21"/>
              </w:rPr>
            </w:pPr>
          </w:p>
        </w:tc>
        <w:tc>
          <w:tcPr>
            <w:tcW w:w="645" w:type="dxa"/>
            <w:noWrap w:val="0"/>
            <w:vAlign w:val="center"/>
          </w:tcPr>
          <w:p>
            <w:pPr>
              <w:kinsoku/>
              <w:overflowPunct/>
              <w:topLinePunct w:val="0"/>
              <w:bidi w:val="0"/>
              <w:spacing w:line="300" w:lineRule="auto"/>
              <w:jc w:val="center"/>
              <w:rPr>
                <w:szCs w:val="21"/>
              </w:rPr>
            </w:pPr>
          </w:p>
        </w:tc>
        <w:tc>
          <w:tcPr>
            <w:tcW w:w="825" w:type="dxa"/>
            <w:noWrap w:val="0"/>
            <w:vAlign w:val="center"/>
          </w:tcPr>
          <w:p>
            <w:pPr>
              <w:kinsoku/>
              <w:overflowPunct/>
              <w:topLinePunct w:val="0"/>
              <w:bidi w:val="0"/>
              <w:spacing w:line="300" w:lineRule="auto"/>
              <w:jc w:val="center"/>
              <w:rPr>
                <w:szCs w:val="21"/>
              </w:rPr>
            </w:pPr>
          </w:p>
        </w:tc>
        <w:tc>
          <w:tcPr>
            <w:tcW w:w="1050" w:type="dxa"/>
            <w:noWrap w:val="0"/>
            <w:vAlign w:val="center"/>
          </w:tcPr>
          <w:p>
            <w:pPr>
              <w:kinsoku/>
              <w:overflowPunct/>
              <w:topLinePunct w:val="0"/>
              <w:bidi w:val="0"/>
              <w:spacing w:line="300" w:lineRule="auto"/>
              <w:jc w:val="center"/>
              <w:rPr>
                <w:szCs w:val="21"/>
              </w:rPr>
            </w:pPr>
          </w:p>
        </w:tc>
        <w:tc>
          <w:tcPr>
            <w:tcW w:w="1065" w:type="dxa"/>
            <w:noWrap w:val="0"/>
            <w:vAlign w:val="center"/>
          </w:tcPr>
          <w:p>
            <w:pPr>
              <w:kinsoku/>
              <w:overflowPunct/>
              <w:topLinePunct w:val="0"/>
              <w:bidi w:val="0"/>
              <w:spacing w:line="300" w:lineRule="auto"/>
              <w:jc w:val="center"/>
              <w:rPr>
                <w:szCs w:val="21"/>
              </w:rPr>
            </w:pPr>
          </w:p>
        </w:tc>
        <w:tc>
          <w:tcPr>
            <w:tcW w:w="1050" w:type="dxa"/>
            <w:noWrap w:val="0"/>
            <w:vAlign w:val="center"/>
          </w:tcPr>
          <w:p>
            <w:pPr>
              <w:kinsoku/>
              <w:overflowPunct/>
              <w:topLinePunct w:val="0"/>
              <w:bidi w:val="0"/>
              <w:spacing w:line="300" w:lineRule="auto"/>
              <w:jc w:val="center"/>
              <w:rPr>
                <w:szCs w:val="21"/>
              </w:rPr>
            </w:pPr>
          </w:p>
        </w:tc>
        <w:tc>
          <w:tcPr>
            <w:tcW w:w="627" w:type="dxa"/>
            <w:noWrap w:val="0"/>
            <w:vAlign w:val="center"/>
          </w:tcPr>
          <w:p>
            <w:pPr>
              <w:kinsoku/>
              <w:overflowPunct/>
              <w:topLinePunct w:val="0"/>
              <w:bidi w:val="0"/>
              <w:spacing w:line="30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21" w:type="dxa"/>
            <w:noWrap w:val="0"/>
            <w:vAlign w:val="center"/>
          </w:tcPr>
          <w:p>
            <w:pPr>
              <w:kinsoku/>
              <w:overflowPunct/>
              <w:topLinePunct w:val="0"/>
              <w:bidi w:val="0"/>
              <w:spacing w:line="300" w:lineRule="auto"/>
              <w:jc w:val="center"/>
              <w:rPr>
                <w:szCs w:val="21"/>
              </w:rPr>
            </w:pPr>
          </w:p>
        </w:tc>
        <w:tc>
          <w:tcPr>
            <w:tcW w:w="1038" w:type="dxa"/>
            <w:noWrap w:val="0"/>
            <w:vAlign w:val="center"/>
          </w:tcPr>
          <w:p>
            <w:pPr>
              <w:kinsoku/>
              <w:overflowPunct/>
              <w:topLinePunct w:val="0"/>
              <w:bidi w:val="0"/>
              <w:spacing w:line="300" w:lineRule="auto"/>
              <w:jc w:val="center"/>
              <w:rPr>
                <w:szCs w:val="21"/>
              </w:rPr>
            </w:pPr>
          </w:p>
        </w:tc>
        <w:tc>
          <w:tcPr>
            <w:tcW w:w="1044" w:type="dxa"/>
            <w:noWrap w:val="0"/>
            <w:vAlign w:val="center"/>
          </w:tcPr>
          <w:p>
            <w:pPr>
              <w:kinsoku/>
              <w:overflowPunct/>
              <w:topLinePunct w:val="0"/>
              <w:bidi w:val="0"/>
              <w:spacing w:line="300" w:lineRule="auto"/>
              <w:jc w:val="center"/>
              <w:rPr>
                <w:szCs w:val="21"/>
              </w:rPr>
            </w:pPr>
          </w:p>
        </w:tc>
        <w:tc>
          <w:tcPr>
            <w:tcW w:w="615" w:type="dxa"/>
            <w:noWrap w:val="0"/>
            <w:vAlign w:val="center"/>
          </w:tcPr>
          <w:p>
            <w:pPr>
              <w:kinsoku/>
              <w:overflowPunct/>
              <w:topLinePunct w:val="0"/>
              <w:bidi w:val="0"/>
              <w:spacing w:line="300" w:lineRule="auto"/>
              <w:jc w:val="center"/>
              <w:rPr>
                <w:szCs w:val="21"/>
              </w:rPr>
            </w:pPr>
          </w:p>
        </w:tc>
        <w:tc>
          <w:tcPr>
            <w:tcW w:w="645" w:type="dxa"/>
            <w:noWrap w:val="0"/>
            <w:vAlign w:val="center"/>
          </w:tcPr>
          <w:p>
            <w:pPr>
              <w:kinsoku/>
              <w:overflowPunct/>
              <w:topLinePunct w:val="0"/>
              <w:bidi w:val="0"/>
              <w:spacing w:line="300" w:lineRule="auto"/>
              <w:jc w:val="center"/>
              <w:rPr>
                <w:szCs w:val="21"/>
              </w:rPr>
            </w:pPr>
          </w:p>
        </w:tc>
        <w:tc>
          <w:tcPr>
            <w:tcW w:w="825" w:type="dxa"/>
            <w:noWrap w:val="0"/>
            <w:vAlign w:val="center"/>
          </w:tcPr>
          <w:p>
            <w:pPr>
              <w:kinsoku/>
              <w:overflowPunct/>
              <w:topLinePunct w:val="0"/>
              <w:bidi w:val="0"/>
              <w:spacing w:line="300" w:lineRule="auto"/>
              <w:jc w:val="center"/>
              <w:rPr>
                <w:szCs w:val="21"/>
              </w:rPr>
            </w:pPr>
          </w:p>
        </w:tc>
        <w:tc>
          <w:tcPr>
            <w:tcW w:w="1050" w:type="dxa"/>
            <w:noWrap w:val="0"/>
            <w:vAlign w:val="center"/>
          </w:tcPr>
          <w:p>
            <w:pPr>
              <w:kinsoku/>
              <w:overflowPunct/>
              <w:topLinePunct w:val="0"/>
              <w:bidi w:val="0"/>
              <w:spacing w:line="300" w:lineRule="auto"/>
              <w:jc w:val="center"/>
              <w:rPr>
                <w:szCs w:val="21"/>
              </w:rPr>
            </w:pPr>
          </w:p>
        </w:tc>
        <w:tc>
          <w:tcPr>
            <w:tcW w:w="1065" w:type="dxa"/>
            <w:noWrap w:val="0"/>
            <w:vAlign w:val="center"/>
          </w:tcPr>
          <w:p>
            <w:pPr>
              <w:kinsoku/>
              <w:overflowPunct/>
              <w:topLinePunct w:val="0"/>
              <w:bidi w:val="0"/>
              <w:spacing w:line="300" w:lineRule="auto"/>
              <w:jc w:val="center"/>
              <w:rPr>
                <w:szCs w:val="21"/>
              </w:rPr>
            </w:pPr>
          </w:p>
        </w:tc>
        <w:tc>
          <w:tcPr>
            <w:tcW w:w="1050" w:type="dxa"/>
            <w:noWrap w:val="0"/>
            <w:vAlign w:val="center"/>
          </w:tcPr>
          <w:p>
            <w:pPr>
              <w:kinsoku/>
              <w:overflowPunct/>
              <w:topLinePunct w:val="0"/>
              <w:bidi w:val="0"/>
              <w:spacing w:line="300" w:lineRule="auto"/>
              <w:jc w:val="center"/>
              <w:rPr>
                <w:szCs w:val="21"/>
              </w:rPr>
            </w:pPr>
          </w:p>
        </w:tc>
        <w:tc>
          <w:tcPr>
            <w:tcW w:w="627" w:type="dxa"/>
            <w:noWrap w:val="0"/>
            <w:vAlign w:val="center"/>
          </w:tcPr>
          <w:p>
            <w:pPr>
              <w:kinsoku/>
              <w:overflowPunct/>
              <w:topLinePunct w:val="0"/>
              <w:bidi w:val="0"/>
              <w:spacing w:line="30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21" w:type="dxa"/>
            <w:noWrap w:val="0"/>
            <w:vAlign w:val="center"/>
          </w:tcPr>
          <w:p>
            <w:pPr>
              <w:kinsoku/>
              <w:overflowPunct/>
              <w:topLinePunct w:val="0"/>
              <w:bidi w:val="0"/>
              <w:spacing w:line="300" w:lineRule="auto"/>
              <w:jc w:val="center"/>
              <w:rPr>
                <w:szCs w:val="21"/>
              </w:rPr>
            </w:pPr>
          </w:p>
        </w:tc>
        <w:tc>
          <w:tcPr>
            <w:tcW w:w="1038" w:type="dxa"/>
            <w:noWrap w:val="0"/>
            <w:vAlign w:val="center"/>
          </w:tcPr>
          <w:p>
            <w:pPr>
              <w:kinsoku/>
              <w:overflowPunct/>
              <w:topLinePunct w:val="0"/>
              <w:bidi w:val="0"/>
              <w:spacing w:line="300" w:lineRule="auto"/>
              <w:jc w:val="center"/>
              <w:rPr>
                <w:szCs w:val="21"/>
              </w:rPr>
            </w:pPr>
          </w:p>
        </w:tc>
        <w:tc>
          <w:tcPr>
            <w:tcW w:w="1044" w:type="dxa"/>
            <w:noWrap w:val="0"/>
            <w:vAlign w:val="center"/>
          </w:tcPr>
          <w:p>
            <w:pPr>
              <w:kinsoku/>
              <w:overflowPunct/>
              <w:topLinePunct w:val="0"/>
              <w:bidi w:val="0"/>
              <w:spacing w:line="300" w:lineRule="auto"/>
              <w:jc w:val="center"/>
              <w:rPr>
                <w:szCs w:val="21"/>
              </w:rPr>
            </w:pPr>
          </w:p>
        </w:tc>
        <w:tc>
          <w:tcPr>
            <w:tcW w:w="615" w:type="dxa"/>
            <w:noWrap w:val="0"/>
            <w:vAlign w:val="center"/>
          </w:tcPr>
          <w:p>
            <w:pPr>
              <w:kinsoku/>
              <w:overflowPunct/>
              <w:topLinePunct w:val="0"/>
              <w:bidi w:val="0"/>
              <w:spacing w:line="300" w:lineRule="auto"/>
              <w:jc w:val="center"/>
              <w:rPr>
                <w:szCs w:val="21"/>
              </w:rPr>
            </w:pPr>
          </w:p>
        </w:tc>
        <w:tc>
          <w:tcPr>
            <w:tcW w:w="645" w:type="dxa"/>
            <w:noWrap w:val="0"/>
            <w:vAlign w:val="center"/>
          </w:tcPr>
          <w:p>
            <w:pPr>
              <w:kinsoku/>
              <w:overflowPunct/>
              <w:topLinePunct w:val="0"/>
              <w:bidi w:val="0"/>
              <w:spacing w:line="300" w:lineRule="auto"/>
              <w:jc w:val="center"/>
              <w:rPr>
                <w:szCs w:val="21"/>
              </w:rPr>
            </w:pPr>
          </w:p>
        </w:tc>
        <w:tc>
          <w:tcPr>
            <w:tcW w:w="825" w:type="dxa"/>
            <w:noWrap w:val="0"/>
            <w:vAlign w:val="center"/>
          </w:tcPr>
          <w:p>
            <w:pPr>
              <w:kinsoku/>
              <w:overflowPunct/>
              <w:topLinePunct w:val="0"/>
              <w:bidi w:val="0"/>
              <w:spacing w:line="300" w:lineRule="auto"/>
              <w:jc w:val="center"/>
              <w:rPr>
                <w:szCs w:val="21"/>
              </w:rPr>
            </w:pPr>
          </w:p>
        </w:tc>
        <w:tc>
          <w:tcPr>
            <w:tcW w:w="1050" w:type="dxa"/>
            <w:noWrap w:val="0"/>
            <w:vAlign w:val="center"/>
          </w:tcPr>
          <w:p>
            <w:pPr>
              <w:kinsoku/>
              <w:overflowPunct/>
              <w:topLinePunct w:val="0"/>
              <w:bidi w:val="0"/>
              <w:spacing w:line="300" w:lineRule="auto"/>
              <w:jc w:val="center"/>
              <w:rPr>
                <w:szCs w:val="21"/>
              </w:rPr>
            </w:pPr>
          </w:p>
        </w:tc>
        <w:tc>
          <w:tcPr>
            <w:tcW w:w="1065" w:type="dxa"/>
            <w:noWrap w:val="0"/>
            <w:vAlign w:val="center"/>
          </w:tcPr>
          <w:p>
            <w:pPr>
              <w:kinsoku/>
              <w:overflowPunct/>
              <w:topLinePunct w:val="0"/>
              <w:bidi w:val="0"/>
              <w:spacing w:line="300" w:lineRule="auto"/>
              <w:jc w:val="center"/>
              <w:rPr>
                <w:szCs w:val="21"/>
              </w:rPr>
            </w:pPr>
          </w:p>
        </w:tc>
        <w:tc>
          <w:tcPr>
            <w:tcW w:w="1050" w:type="dxa"/>
            <w:noWrap w:val="0"/>
            <w:vAlign w:val="center"/>
          </w:tcPr>
          <w:p>
            <w:pPr>
              <w:kinsoku/>
              <w:overflowPunct/>
              <w:topLinePunct w:val="0"/>
              <w:bidi w:val="0"/>
              <w:spacing w:line="300" w:lineRule="auto"/>
              <w:jc w:val="center"/>
              <w:rPr>
                <w:szCs w:val="21"/>
              </w:rPr>
            </w:pPr>
          </w:p>
        </w:tc>
        <w:tc>
          <w:tcPr>
            <w:tcW w:w="627" w:type="dxa"/>
            <w:noWrap w:val="0"/>
            <w:vAlign w:val="center"/>
          </w:tcPr>
          <w:p>
            <w:pPr>
              <w:kinsoku/>
              <w:overflowPunct/>
              <w:topLinePunct w:val="0"/>
              <w:bidi w:val="0"/>
              <w:spacing w:line="30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21" w:type="dxa"/>
            <w:noWrap w:val="0"/>
            <w:vAlign w:val="center"/>
          </w:tcPr>
          <w:p>
            <w:pPr>
              <w:kinsoku/>
              <w:overflowPunct/>
              <w:topLinePunct w:val="0"/>
              <w:bidi w:val="0"/>
              <w:spacing w:line="300" w:lineRule="auto"/>
              <w:jc w:val="center"/>
              <w:rPr>
                <w:szCs w:val="21"/>
              </w:rPr>
            </w:pPr>
          </w:p>
        </w:tc>
        <w:tc>
          <w:tcPr>
            <w:tcW w:w="1038" w:type="dxa"/>
            <w:noWrap w:val="0"/>
            <w:vAlign w:val="center"/>
          </w:tcPr>
          <w:p>
            <w:pPr>
              <w:kinsoku/>
              <w:overflowPunct/>
              <w:topLinePunct w:val="0"/>
              <w:bidi w:val="0"/>
              <w:spacing w:line="300" w:lineRule="auto"/>
              <w:jc w:val="center"/>
              <w:rPr>
                <w:szCs w:val="21"/>
              </w:rPr>
            </w:pPr>
          </w:p>
        </w:tc>
        <w:tc>
          <w:tcPr>
            <w:tcW w:w="1044" w:type="dxa"/>
            <w:noWrap w:val="0"/>
            <w:vAlign w:val="center"/>
          </w:tcPr>
          <w:p>
            <w:pPr>
              <w:kinsoku/>
              <w:overflowPunct/>
              <w:topLinePunct w:val="0"/>
              <w:bidi w:val="0"/>
              <w:spacing w:line="300" w:lineRule="auto"/>
              <w:jc w:val="center"/>
              <w:rPr>
                <w:szCs w:val="21"/>
              </w:rPr>
            </w:pPr>
          </w:p>
        </w:tc>
        <w:tc>
          <w:tcPr>
            <w:tcW w:w="615" w:type="dxa"/>
            <w:noWrap w:val="0"/>
            <w:vAlign w:val="center"/>
          </w:tcPr>
          <w:p>
            <w:pPr>
              <w:kinsoku/>
              <w:overflowPunct/>
              <w:topLinePunct w:val="0"/>
              <w:bidi w:val="0"/>
              <w:spacing w:line="300" w:lineRule="auto"/>
              <w:jc w:val="center"/>
              <w:rPr>
                <w:szCs w:val="21"/>
              </w:rPr>
            </w:pPr>
          </w:p>
        </w:tc>
        <w:tc>
          <w:tcPr>
            <w:tcW w:w="645" w:type="dxa"/>
            <w:noWrap w:val="0"/>
            <w:vAlign w:val="center"/>
          </w:tcPr>
          <w:p>
            <w:pPr>
              <w:kinsoku/>
              <w:overflowPunct/>
              <w:topLinePunct w:val="0"/>
              <w:bidi w:val="0"/>
              <w:spacing w:line="300" w:lineRule="auto"/>
              <w:jc w:val="center"/>
              <w:rPr>
                <w:szCs w:val="21"/>
              </w:rPr>
            </w:pPr>
          </w:p>
        </w:tc>
        <w:tc>
          <w:tcPr>
            <w:tcW w:w="825" w:type="dxa"/>
            <w:noWrap w:val="0"/>
            <w:vAlign w:val="center"/>
          </w:tcPr>
          <w:p>
            <w:pPr>
              <w:kinsoku/>
              <w:overflowPunct/>
              <w:topLinePunct w:val="0"/>
              <w:bidi w:val="0"/>
              <w:spacing w:line="300" w:lineRule="auto"/>
              <w:jc w:val="center"/>
              <w:rPr>
                <w:szCs w:val="21"/>
              </w:rPr>
            </w:pPr>
          </w:p>
        </w:tc>
        <w:tc>
          <w:tcPr>
            <w:tcW w:w="1050" w:type="dxa"/>
            <w:noWrap w:val="0"/>
            <w:vAlign w:val="center"/>
          </w:tcPr>
          <w:p>
            <w:pPr>
              <w:kinsoku/>
              <w:overflowPunct/>
              <w:topLinePunct w:val="0"/>
              <w:bidi w:val="0"/>
              <w:spacing w:line="300" w:lineRule="auto"/>
              <w:jc w:val="center"/>
              <w:rPr>
                <w:szCs w:val="21"/>
              </w:rPr>
            </w:pPr>
          </w:p>
        </w:tc>
        <w:tc>
          <w:tcPr>
            <w:tcW w:w="1065" w:type="dxa"/>
            <w:noWrap w:val="0"/>
            <w:vAlign w:val="center"/>
          </w:tcPr>
          <w:p>
            <w:pPr>
              <w:kinsoku/>
              <w:overflowPunct/>
              <w:topLinePunct w:val="0"/>
              <w:bidi w:val="0"/>
              <w:spacing w:line="300" w:lineRule="auto"/>
              <w:jc w:val="center"/>
              <w:rPr>
                <w:szCs w:val="21"/>
              </w:rPr>
            </w:pPr>
          </w:p>
        </w:tc>
        <w:tc>
          <w:tcPr>
            <w:tcW w:w="1050" w:type="dxa"/>
            <w:noWrap w:val="0"/>
            <w:vAlign w:val="center"/>
          </w:tcPr>
          <w:p>
            <w:pPr>
              <w:kinsoku/>
              <w:overflowPunct/>
              <w:topLinePunct w:val="0"/>
              <w:bidi w:val="0"/>
              <w:spacing w:line="300" w:lineRule="auto"/>
              <w:jc w:val="center"/>
              <w:rPr>
                <w:szCs w:val="21"/>
              </w:rPr>
            </w:pPr>
          </w:p>
        </w:tc>
        <w:tc>
          <w:tcPr>
            <w:tcW w:w="627" w:type="dxa"/>
            <w:noWrap w:val="0"/>
            <w:vAlign w:val="center"/>
          </w:tcPr>
          <w:p>
            <w:pPr>
              <w:kinsoku/>
              <w:overflowPunct/>
              <w:topLinePunct w:val="0"/>
              <w:bidi w:val="0"/>
              <w:spacing w:line="300" w:lineRule="auto"/>
              <w:jc w:val="center"/>
              <w:rPr>
                <w:szCs w:val="21"/>
              </w:rPr>
            </w:pPr>
          </w:p>
        </w:tc>
      </w:tr>
    </w:tbl>
    <w:p>
      <w:pPr>
        <w:kinsoku/>
        <w:overflowPunct/>
        <w:topLinePunct w:val="0"/>
        <w:bidi w:val="0"/>
        <w:spacing w:after="156" w:afterLines="50" w:line="300" w:lineRule="auto"/>
        <w:rPr>
          <w:b/>
          <w:szCs w:val="21"/>
        </w:rPr>
      </w:pPr>
      <w:r>
        <w:rPr>
          <w:sz w:val="30"/>
          <w:szCs w:val="30"/>
        </w:rPr>
        <w:br w:type="page"/>
      </w:r>
      <w:r>
        <w:rPr>
          <w:rFonts w:hint="eastAsia"/>
          <w:b/>
          <w:szCs w:val="21"/>
        </w:rPr>
        <w:t>附件3：质量保修书格式</w:t>
      </w:r>
    </w:p>
    <w:p>
      <w:pPr>
        <w:kinsoku/>
        <w:overflowPunct/>
        <w:topLinePunct w:val="0"/>
        <w:bidi w:val="0"/>
        <w:spacing w:line="300" w:lineRule="auto"/>
        <w:ind w:firstLine="562"/>
        <w:jc w:val="center"/>
        <w:rPr>
          <w:b/>
          <w:sz w:val="28"/>
          <w:szCs w:val="28"/>
        </w:rPr>
      </w:pPr>
      <w:r>
        <w:rPr>
          <w:rFonts w:hint="eastAsia"/>
          <w:b/>
          <w:sz w:val="28"/>
          <w:szCs w:val="28"/>
        </w:rPr>
        <w:t>工程质量保修书</w:t>
      </w:r>
    </w:p>
    <w:p>
      <w:pPr>
        <w:kinsoku/>
        <w:overflowPunct/>
        <w:topLinePunct w:val="0"/>
        <w:bidi w:val="0"/>
        <w:spacing w:line="300" w:lineRule="auto"/>
        <w:ind w:firstLine="420"/>
        <w:rPr>
          <w:szCs w:val="21"/>
        </w:rPr>
      </w:pPr>
      <w:r>
        <w:rPr>
          <w:rFonts w:hint="eastAsia"/>
          <w:szCs w:val="21"/>
        </w:rPr>
        <w:t>发包人（全称）：</w:t>
      </w:r>
      <w:r>
        <w:rPr>
          <w:rFonts w:hint="eastAsia"/>
          <w:szCs w:val="21"/>
          <w:u w:val="single"/>
        </w:rPr>
        <w:t xml:space="preserve">                                               </w:t>
      </w:r>
    </w:p>
    <w:p>
      <w:pPr>
        <w:kinsoku/>
        <w:overflowPunct/>
        <w:topLinePunct w:val="0"/>
        <w:bidi w:val="0"/>
        <w:spacing w:line="300" w:lineRule="auto"/>
        <w:ind w:firstLine="420"/>
        <w:rPr>
          <w:szCs w:val="21"/>
        </w:rPr>
      </w:pPr>
      <w:r>
        <w:rPr>
          <w:rFonts w:hint="eastAsia"/>
          <w:szCs w:val="21"/>
        </w:rPr>
        <w:t>承包人（全称）：</w:t>
      </w:r>
      <w:r>
        <w:rPr>
          <w:rFonts w:hint="eastAsia"/>
          <w:szCs w:val="21"/>
          <w:u w:val="single"/>
        </w:rPr>
        <w:t xml:space="preserve">                                               </w:t>
      </w:r>
    </w:p>
    <w:p>
      <w:pPr>
        <w:kinsoku/>
        <w:overflowPunct/>
        <w:topLinePunct w:val="0"/>
        <w:bidi w:val="0"/>
        <w:spacing w:line="300" w:lineRule="auto"/>
        <w:ind w:firstLine="420"/>
        <w:rPr>
          <w:szCs w:val="21"/>
        </w:rPr>
      </w:pPr>
      <w:r>
        <w:rPr>
          <w:rFonts w:hint="eastAsia"/>
          <w:szCs w:val="21"/>
        </w:rPr>
        <w:t>发包人和承包人根据《中华人民共和国建筑法》和《建设工程质量管理条例》，经协商一致就</w:t>
      </w:r>
      <w:r>
        <w:rPr>
          <w:rFonts w:hint="eastAsia"/>
          <w:szCs w:val="21"/>
          <w:u w:val="single"/>
        </w:rPr>
        <w:t xml:space="preserve">        </w:t>
      </w:r>
      <w:r>
        <w:rPr>
          <w:rFonts w:hint="eastAsia"/>
          <w:szCs w:val="21"/>
        </w:rPr>
        <w:t>(工程全称)签订工程质量保修书。</w:t>
      </w:r>
    </w:p>
    <w:p>
      <w:pPr>
        <w:kinsoku/>
        <w:overflowPunct/>
        <w:topLinePunct w:val="0"/>
        <w:bidi w:val="0"/>
        <w:spacing w:line="300" w:lineRule="auto"/>
        <w:ind w:firstLine="420"/>
        <w:rPr>
          <w:szCs w:val="21"/>
        </w:rPr>
      </w:pPr>
      <w:r>
        <w:rPr>
          <w:rFonts w:hint="eastAsia"/>
          <w:szCs w:val="21"/>
        </w:rPr>
        <w:t>一、工程保修范围和内容</w:t>
      </w:r>
    </w:p>
    <w:p>
      <w:pPr>
        <w:kinsoku/>
        <w:overflowPunct/>
        <w:topLinePunct w:val="0"/>
        <w:bidi w:val="0"/>
        <w:spacing w:line="300" w:lineRule="auto"/>
        <w:ind w:firstLine="420"/>
        <w:rPr>
          <w:szCs w:val="21"/>
        </w:rPr>
      </w:pPr>
      <w:r>
        <w:rPr>
          <w:rFonts w:hint="eastAsia"/>
          <w:szCs w:val="21"/>
        </w:rPr>
        <w:t>承包人在保修期内，按照有关法律、法规、规章的管理规定和双方约定，承担本工程保修责任。</w:t>
      </w:r>
    </w:p>
    <w:p>
      <w:pPr>
        <w:kinsoku/>
        <w:overflowPunct/>
        <w:topLinePunct w:val="0"/>
        <w:bidi w:val="0"/>
        <w:spacing w:line="300" w:lineRule="auto"/>
        <w:ind w:firstLine="420"/>
        <w:rPr>
          <w:szCs w:val="21"/>
          <w:u w:val="single"/>
        </w:rPr>
      </w:pPr>
      <w:r>
        <w:rPr>
          <w:rFonts w:hint="eastAsia"/>
          <w:szCs w:val="21"/>
        </w:rPr>
        <w:t>保修责任范围包括地基基础工程、主体结构工程，屋面防水工程、有防水要求的卫生间、房间和外墙面的防渗漏，供热与供冷系统，电气管线、给排水管道、设备安装和土建、安装及附属工程，以及双方约定的其他项目。具体保修的内容，双方约定如下：</w:t>
      </w:r>
      <w:r>
        <w:rPr>
          <w:rFonts w:hint="eastAsia"/>
          <w:szCs w:val="21"/>
          <w:u w:val="single"/>
        </w:rPr>
        <w:t xml:space="preserve">                                                          </w:t>
      </w:r>
    </w:p>
    <w:p>
      <w:pPr>
        <w:kinsoku/>
        <w:overflowPunct/>
        <w:topLinePunct w:val="0"/>
        <w:bidi w:val="0"/>
        <w:spacing w:line="300" w:lineRule="auto"/>
        <w:ind w:firstLine="420"/>
        <w:rPr>
          <w:szCs w:val="21"/>
        </w:rPr>
      </w:pPr>
      <w:r>
        <w:rPr>
          <w:rFonts w:hint="eastAsia"/>
          <w:szCs w:val="21"/>
        </w:rPr>
        <w:t>二、质量保修期</w:t>
      </w:r>
    </w:p>
    <w:p>
      <w:pPr>
        <w:kinsoku/>
        <w:overflowPunct/>
        <w:topLinePunct w:val="0"/>
        <w:bidi w:val="0"/>
        <w:spacing w:line="300" w:lineRule="auto"/>
        <w:ind w:firstLine="420"/>
        <w:rPr>
          <w:szCs w:val="21"/>
        </w:rPr>
      </w:pPr>
      <w:r>
        <w:rPr>
          <w:rFonts w:hint="eastAsia"/>
          <w:szCs w:val="21"/>
        </w:rPr>
        <w:t>双方根据《建设工程质量管理条例》及有关规定，约定本工程的保修期如下：</w:t>
      </w:r>
    </w:p>
    <w:p>
      <w:pPr>
        <w:kinsoku/>
        <w:overflowPunct/>
        <w:topLinePunct w:val="0"/>
        <w:bidi w:val="0"/>
        <w:spacing w:line="300" w:lineRule="auto"/>
        <w:ind w:firstLine="898" w:firstLineChars="428"/>
        <w:rPr>
          <w:szCs w:val="21"/>
        </w:rPr>
      </w:pPr>
      <w:r>
        <w:rPr>
          <w:rFonts w:hint="eastAsia"/>
          <w:szCs w:val="21"/>
        </w:rPr>
        <w:t>1．地基基础工程和主体结构工程为设计文件规定的该工程合理使用年限；</w:t>
      </w:r>
    </w:p>
    <w:p>
      <w:pPr>
        <w:kinsoku/>
        <w:overflowPunct/>
        <w:topLinePunct w:val="0"/>
        <w:bidi w:val="0"/>
        <w:spacing w:line="300" w:lineRule="auto"/>
        <w:ind w:firstLine="898" w:firstLineChars="428"/>
        <w:rPr>
          <w:szCs w:val="21"/>
        </w:rPr>
      </w:pPr>
      <w:r>
        <w:rPr>
          <w:rFonts w:hint="eastAsia"/>
          <w:szCs w:val="21"/>
        </w:rPr>
        <w:t>2．屋面防水工程、有防水要求的卫生间、房间和外墙面的防渗漏为</w:t>
      </w:r>
      <w:r>
        <w:rPr>
          <w:rFonts w:hint="eastAsia"/>
          <w:szCs w:val="21"/>
          <w:u w:val="single"/>
        </w:rPr>
        <w:t xml:space="preserve">        </w:t>
      </w:r>
      <w:r>
        <w:rPr>
          <w:rFonts w:hint="eastAsia"/>
          <w:szCs w:val="21"/>
        </w:rPr>
        <w:t>年；</w:t>
      </w:r>
    </w:p>
    <w:p>
      <w:pPr>
        <w:kinsoku/>
        <w:overflowPunct/>
        <w:topLinePunct w:val="0"/>
        <w:bidi w:val="0"/>
        <w:spacing w:line="300" w:lineRule="auto"/>
        <w:ind w:firstLine="898" w:firstLineChars="428"/>
        <w:rPr>
          <w:szCs w:val="21"/>
        </w:rPr>
      </w:pPr>
      <w:r>
        <w:rPr>
          <w:rFonts w:hint="eastAsia"/>
          <w:szCs w:val="21"/>
        </w:rPr>
        <w:t>3．建筑工程为</w:t>
      </w:r>
      <w:r>
        <w:rPr>
          <w:rFonts w:hint="eastAsia"/>
          <w:szCs w:val="21"/>
          <w:u w:val="single"/>
        </w:rPr>
        <w:t xml:space="preserve">        </w:t>
      </w:r>
      <w:r>
        <w:rPr>
          <w:rFonts w:hint="eastAsia"/>
          <w:szCs w:val="21"/>
        </w:rPr>
        <w:t>年；</w:t>
      </w:r>
    </w:p>
    <w:p>
      <w:pPr>
        <w:kinsoku/>
        <w:overflowPunct/>
        <w:topLinePunct w:val="0"/>
        <w:bidi w:val="0"/>
        <w:spacing w:line="300" w:lineRule="auto"/>
        <w:ind w:firstLine="898" w:firstLineChars="428"/>
        <w:rPr>
          <w:szCs w:val="21"/>
        </w:rPr>
      </w:pPr>
      <w:r>
        <w:rPr>
          <w:rFonts w:hint="eastAsia"/>
          <w:szCs w:val="21"/>
        </w:rPr>
        <w:t>4．电气管线、给排水管道、设备安装工程为</w:t>
      </w:r>
      <w:r>
        <w:rPr>
          <w:rFonts w:hint="eastAsia"/>
          <w:szCs w:val="21"/>
          <w:u w:val="single"/>
        </w:rPr>
        <w:t xml:space="preserve">        </w:t>
      </w:r>
      <w:r>
        <w:rPr>
          <w:rFonts w:hint="eastAsia"/>
          <w:szCs w:val="21"/>
        </w:rPr>
        <w:t>年；</w:t>
      </w:r>
    </w:p>
    <w:p>
      <w:pPr>
        <w:kinsoku/>
        <w:overflowPunct/>
        <w:topLinePunct w:val="0"/>
        <w:bidi w:val="0"/>
        <w:spacing w:line="300" w:lineRule="auto"/>
        <w:ind w:firstLine="898" w:firstLineChars="428"/>
        <w:rPr>
          <w:szCs w:val="21"/>
        </w:rPr>
      </w:pPr>
      <w:r>
        <w:rPr>
          <w:rFonts w:hint="eastAsia"/>
          <w:szCs w:val="21"/>
        </w:rPr>
        <w:t>5．供热与供冷系统为</w:t>
      </w:r>
      <w:r>
        <w:rPr>
          <w:rFonts w:hint="eastAsia"/>
          <w:szCs w:val="21"/>
          <w:u w:val="single"/>
        </w:rPr>
        <w:t xml:space="preserve">           </w:t>
      </w:r>
      <w:r>
        <w:rPr>
          <w:rFonts w:hint="eastAsia"/>
          <w:szCs w:val="21"/>
        </w:rPr>
        <w:t>个采暖期、供冷期；</w:t>
      </w:r>
    </w:p>
    <w:p>
      <w:pPr>
        <w:kinsoku/>
        <w:overflowPunct/>
        <w:topLinePunct w:val="0"/>
        <w:bidi w:val="0"/>
        <w:spacing w:line="300" w:lineRule="auto"/>
        <w:ind w:firstLine="898" w:firstLineChars="428"/>
        <w:rPr>
          <w:szCs w:val="21"/>
        </w:rPr>
      </w:pPr>
      <w:r>
        <w:rPr>
          <w:rFonts w:hint="eastAsia"/>
          <w:szCs w:val="21"/>
        </w:rPr>
        <w:t>6．住宅小区内的给排水设施、道路等配套工程为</w:t>
      </w:r>
      <w:r>
        <w:rPr>
          <w:rFonts w:hint="eastAsia"/>
          <w:szCs w:val="21"/>
          <w:u w:val="single"/>
        </w:rPr>
        <w:t xml:space="preserve">        </w:t>
      </w:r>
      <w:r>
        <w:rPr>
          <w:rFonts w:hint="eastAsia"/>
          <w:szCs w:val="21"/>
        </w:rPr>
        <w:t>年；</w:t>
      </w:r>
    </w:p>
    <w:p>
      <w:pPr>
        <w:kinsoku/>
        <w:overflowPunct/>
        <w:topLinePunct w:val="0"/>
        <w:bidi w:val="0"/>
        <w:spacing w:line="300" w:lineRule="auto"/>
        <w:ind w:firstLine="420"/>
        <w:rPr>
          <w:szCs w:val="21"/>
          <w:u w:val="single"/>
        </w:rPr>
      </w:pPr>
      <w:r>
        <w:rPr>
          <w:rFonts w:hint="eastAsia"/>
          <w:szCs w:val="21"/>
        </w:rPr>
        <w:t>7．其他项目保修期限约定如下：</w:t>
      </w:r>
      <w:r>
        <w:rPr>
          <w:rFonts w:hint="eastAsia"/>
          <w:szCs w:val="21"/>
          <w:u w:val="single"/>
        </w:rPr>
        <w:t xml:space="preserve">                                                                   </w:t>
      </w:r>
    </w:p>
    <w:p>
      <w:pPr>
        <w:kinsoku/>
        <w:overflowPunct/>
        <w:topLinePunct w:val="0"/>
        <w:bidi w:val="0"/>
        <w:spacing w:line="300" w:lineRule="auto"/>
        <w:ind w:firstLine="420"/>
        <w:rPr>
          <w:szCs w:val="21"/>
        </w:rPr>
      </w:pPr>
      <w:r>
        <w:rPr>
          <w:szCs w:val="21"/>
        </w:rPr>
        <w:t>三、缺陷责任期</w:t>
      </w:r>
    </w:p>
    <w:p>
      <w:pPr>
        <w:kinsoku/>
        <w:overflowPunct/>
        <w:topLinePunct w:val="0"/>
        <w:bidi w:val="0"/>
        <w:spacing w:line="300" w:lineRule="auto"/>
        <w:ind w:firstLine="420"/>
        <w:rPr>
          <w:szCs w:val="21"/>
        </w:rPr>
      </w:pPr>
      <w:r>
        <w:rPr>
          <w:szCs w:val="21"/>
        </w:rPr>
        <w:t>工程缺陷责任期为</w:t>
      </w:r>
      <w:r>
        <w:rPr>
          <w:rFonts w:hint="eastAsia"/>
          <w:szCs w:val="21"/>
          <w:u w:val="single"/>
        </w:rPr>
        <w:t>24</w:t>
      </w:r>
      <w:r>
        <w:rPr>
          <w:szCs w:val="21"/>
        </w:rPr>
        <w:t>个月，</w:t>
      </w:r>
      <w:r>
        <w:rPr>
          <w:rFonts w:hint="eastAsia"/>
          <w:szCs w:val="21"/>
        </w:rPr>
        <w:t>缺陷责任期自工程通过竣工验收之日起计算。单位工程先于全部工程进行验收，单位工程缺陷责任期自单位工程验收合格之日起算。</w:t>
      </w:r>
    </w:p>
    <w:p>
      <w:pPr>
        <w:kinsoku/>
        <w:overflowPunct/>
        <w:topLinePunct w:val="0"/>
        <w:bidi w:val="0"/>
        <w:spacing w:line="300" w:lineRule="auto"/>
        <w:ind w:firstLine="420"/>
        <w:rPr>
          <w:szCs w:val="21"/>
        </w:rPr>
      </w:pPr>
      <w:r>
        <w:rPr>
          <w:szCs w:val="21"/>
        </w:rPr>
        <w:t>缺陷责任期终止后，发包人应退还剩余的质量保证金。</w:t>
      </w:r>
    </w:p>
    <w:p>
      <w:pPr>
        <w:kinsoku/>
        <w:overflowPunct/>
        <w:topLinePunct w:val="0"/>
        <w:bidi w:val="0"/>
        <w:spacing w:line="300" w:lineRule="auto"/>
        <w:ind w:firstLine="420"/>
        <w:rPr>
          <w:szCs w:val="21"/>
        </w:rPr>
      </w:pPr>
      <w:r>
        <w:rPr>
          <w:rFonts w:hint="eastAsia"/>
          <w:szCs w:val="21"/>
        </w:rPr>
        <w:t>四、保修责任</w:t>
      </w:r>
    </w:p>
    <w:p>
      <w:pPr>
        <w:kinsoku/>
        <w:overflowPunct/>
        <w:topLinePunct w:val="0"/>
        <w:bidi w:val="0"/>
        <w:spacing w:line="300" w:lineRule="auto"/>
        <w:ind w:firstLine="420"/>
        <w:rPr>
          <w:szCs w:val="21"/>
        </w:rPr>
      </w:pPr>
      <w:r>
        <w:rPr>
          <w:rFonts w:hint="eastAsia"/>
          <w:szCs w:val="21"/>
        </w:rPr>
        <w:t>1．属于责任范围、内容的项目，承包人应当在接到保修通知之日起7天内派人保修。承包人不在约定期限内派人保修的，发包人可以委托他人修理。</w:t>
      </w:r>
    </w:p>
    <w:p>
      <w:pPr>
        <w:kinsoku/>
        <w:overflowPunct/>
        <w:topLinePunct w:val="0"/>
        <w:bidi w:val="0"/>
        <w:spacing w:line="300" w:lineRule="auto"/>
        <w:ind w:firstLine="420"/>
        <w:rPr>
          <w:szCs w:val="21"/>
        </w:rPr>
      </w:pPr>
      <w:r>
        <w:rPr>
          <w:rFonts w:hint="eastAsia"/>
          <w:szCs w:val="21"/>
        </w:rPr>
        <w:t>2．发生紧急抢修事故的，承包人在接到事故通知后，应当立即到达事故现场抢修。</w:t>
      </w:r>
    </w:p>
    <w:p>
      <w:pPr>
        <w:kinsoku/>
        <w:overflowPunct/>
        <w:topLinePunct w:val="0"/>
        <w:bidi w:val="0"/>
        <w:spacing w:line="300" w:lineRule="auto"/>
        <w:ind w:firstLine="420"/>
        <w:rPr>
          <w:szCs w:val="21"/>
        </w:rPr>
      </w:pPr>
      <w:r>
        <w:rPr>
          <w:rFonts w:hint="eastAsia"/>
          <w:szCs w:val="21"/>
        </w:rPr>
        <w:t>3．对于涉及结构安全的质量问题，应当按照《房屋建筑工程质量保修办法》的规定，立即向当地建设行政主管部门报告，采取安全防范措施；由原设计人或者具有相应资质等级的设计人提出保修方案，承包人实施保修。</w:t>
      </w:r>
    </w:p>
    <w:p>
      <w:pPr>
        <w:kinsoku/>
        <w:overflowPunct/>
        <w:topLinePunct w:val="0"/>
        <w:bidi w:val="0"/>
        <w:spacing w:line="300" w:lineRule="auto"/>
        <w:ind w:firstLine="420"/>
        <w:rPr>
          <w:szCs w:val="21"/>
        </w:rPr>
      </w:pPr>
      <w:r>
        <w:rPr>
          <w:rFonts w:hint="eastAsia"/>
          <w:szCs w:val="21"/>
        </w:rPr>
        <w:t>4．质量保修完成后，由发包人组织验收。</w:t>
      </w:r>
    </w:p>
    <w:p>
      <w:pPr>
        <w:kinsoku/>
        <w:overflowPunct/>
        <w:topLinePunct w:val="0"/>
        <w:bidi w:val="0"/>
        <w:spacing w:line="300" w:lineRule="auto"/>
        <w:ind w:firstLine="420"/>
        <w:rPr>
          <w:szCs w:val="21"/>
        </w:rPr>
      </w:pPr>
      <w:r>
        <w:rPr>
          <w:rFonts w:hint="eastAsia"/>
          <w:szCs w:val="21"/>
        </w:rPr>
        <w:t>五、保修费用</w:t>
      </w:r>
    </w:p>
    <w:p>
      <w:pPr>
        <w:kinsoku/>
        <w:overflowPunct/>
        <w:topLinePunct w:val="0"/>
        <w:bidi w:val="0"/>
        <w:spacing w:line="300" w:lineRule="auto"/>
        <w:ind w:firstLine="420"/>
        <w:rPr>
          <w:szCs w:val="21"/>
        </w:rPr>
      </w:pPr>
      <w:r>
        <w:rPr>
          <w:rFonts w:hint="eastAsia"/>
          <w:szCs w:val="21"/>
        </w:rPr>
        <w:t>保修费用由造成质量缺陷的责任方承担。</w:t>
      </w:r>
    </w:p>
    <w:p>
      <w:pPr>
        <w:kinsoku/>
        <w:overflowPunct/>
        <w:topLinePunct w:val="0"/>
        <w:bidi w:val="0"/>
        <w:spacing w:line="300" w:lineRule="auto"/>
        <w:ind w:firstLine="409" w:firstLineChars="195"/>
        <w:rPr>
          <w:szCs w:val="21"/>
        </w:rPr>
      </w:pPr>
      <w:r>
        <w:rPr>
          <w:rFonts w:hint="eastAsia"/>
          <w:szCs w:val="21"/>
        </w:rPr>
        <w:t>六、双方约定的其他工程保修责任事项：</w:t>
      </w:r>
      <w:r>
        <w:rPr>
          <w:szCs w:val="21"/>
          <w:u w:val="single"/>
        </w:rPr>
        <w:t>保修期执行相关规定</w:t>
      </w:r>
      <w:r>
        <w:rPr>
          <w:rFonts w:hint="eastAsia"/>
          <w:b/>
          <w:szCs w:val="21"/>
          <w:u w:val="single"/>
        </w:rPr>
        <w:t>。</w:t>
      </w:r>
    </w:p>
    <w:p>
      <w:pPr>
        <w:kinsoku/>
        <w:overflowPunct/>
        <w:topLinePunct w:val="0"/>
        <w:bidi w:val="0"/>
        <w:spacing w:line="300" w:lineRule="auto"/>
        <w:ind w:firstLine="420"/>
        <w:rPr>
          <w:szCs w:val="21"/>
        </w:rPr>
      </w:pPr>
      <w:r>
        <w:rPr>
          <w:rFonts w:hint="eastAsia"/>
          <w:szCs w:val="21"/>
        </w:rPr>
        <w:t>工程质量保修书由发包人、承包人在工程竣工验收前共同签署，作为施工合同附件，其有效期限至保修期满。</w:t>
      </w:r>
    </w:p>
    <w:p>
      <w:pPr>
        <w:kinsoku/>
        <w:overflowPunct/>
        <w:topLinePunct w:val="0"/>
        <w:bidi w:val="0"/>
        <w:spacing w:line="300" w:lineRule="auto"/>
        <w:ind w:firstLine="420"/>
        <w:rPr>
          <w:szCs w:val="21"/>
        </w:rPr>
      </w:pPr>
    </w:p>
    <w:p>
      <w:pPr>
        <w:kinsoku/>
        <w:overflowPunct/>
        <w:topLinePunct w:val="0"/>
        <w:bidi w:val="0"/>
        <w:spacing w:line="300" w:lineRule="auto"/>
        <w:ind w:firstLine="420"/>
        <w:rPr>
          <w:szCs w:val="21"/>
        </w:rPr>
      </w:pPr>
      <w:r>
        <w:rPr>
          <w:rFonts w:hint="eastAsia"/>
          <w:szCs w:val="21"/>
        </w:rPr>
        <w:t>发包人(公章)：</w:t>
      </w:r>
      <w:r>
        <w:rPr>
          <w:rFonts w:hint="eastAsia"/>
          <w:szCs w:val="21"/>
          <w:u w:val="single"/>
        </w:rPr>
        <w:t xml:space="preserve">                 </w:t>
      </w:r>
      <w:r>
        <w:rPr>
          <w:rFonts w:hint="eastAsia"/>
          <w:szCs w:val="21"/>
        </w:rPr>
        <w:t xml:space="preserve">          承包人(公章)：</w:t>
      </w:r>
      <w:r>
        <w:rPr>
          <w:rFonts w:hint="eastAsia"/>
          <w:szCs w:val="21"/>
          <w:u w:val="single"/>
        </w:rPr>
        <w:t xml:space="preserve">                  </w:t>
      </w:r>
    </w:p>
    <w:p>
      <w:pPr>
        <w:kinsoku/>
        <w:overflowPunct/>
        <w:topLinePunct w:val="0"/>
        <w:bidi w:val="0"/>
        <w:spacing w:line="300" w:lineRule="auto"/>
        <w:ind w:firstLine="420"/>
        <w:rPr>
          <w:szCs w:val="21"/>
        </w:rPr>
      </w:pPr>
      <w:r>
        <w:rPr>
          <w:rFonts w:hint="eastAsia"/>
          <w:szCs w:val="21"/>
        </w:rPr>
        <w:t>地址：</w:t>
      </w:r>
      <w:r>
        <w:rPr>
          <w:rFonts w:hint="eastAsia"/>
          <w:szCs w:val="21"/>
          <w:u w:val="single"/>
        </w:rPr>
        <w:t xml:space="preserve">                         </w:t>
      </w:r>
      <w:r>
        <w:rPr>
          <w:rFonts w:hint="eastAsia"/>
          <w:szCs w:val="21"/>
        </w:rPr>
        <w:t xml:space="preserve">          地址：</w:t>
      </w:r>
      <w:r>
        <w:rPr>
          <w:rFonts w:hint="eastAsia"/>
          <w:szCs w:val="21"/>
          <w:u w:val="single"/>
        </w:rPr>
        <w:t xml:space="preserve">                          </w:t>
      </w:r>
    </w:p>
    <w:p>
      <w:pPr>
        <w:kinsoku/>
        <w:overflowPunct/>
        <w:topLinePunct w:val="0"/>
        <w:bidi w:val="0"/>
        <w:spacing w:line="300" w:lineRule="auto"/>
        <w:ind w:firstLine="420"/>
        <w:rPr>
          <w:szCs w:val="21"/>
          <w:u w:val="single"/>
        </w:rPr>
      </w:pPr>
      <w:r>
        <w:rPr>
          <w:rFonts w:hint="eastAsia"/>
          <w:szCs w:val="21"/>
        </w:rPr>
        <w:t>法定代表人(签字)：</w:t>
      </w:r>
      <w:r>
        <w:rPr>
          <w:rFonts w:hint="eastAsia"/>
          <w:szCs w:val="21"/>
          <w:u w:val="single"/>
        </w:rPr>
        <w:t xml:space="preserve">             </w:t>
      </w:r>
      <w:r>
        <w:rPr>
          <w:rFonts w:hint="eastAsia"/>
          <w:szCs w:val="21"/>
        </w:rPr>
        <w:t xml:space="preserve">          法定代表人(签字)：</w:t>
      </w:r>
      <w:r>
        <w:rPr>
          <w:rFonts w:hint="eastAsia"/>
          <w:szCs w:val="21"/>
          <w:u w:val="single"/>
        </w:rPr>
        <w:t xml:space="preserve">              </w:t>
      </w:r>
    </w:p>
    <w:p>
      <w:pPr>
        <w:kinsoku/>
        <w:overflowPunct/>
        <w:topLinePunct w:val="0"/>
        <w:bidi w:val="0"/>
        <w:spacing w:line="300" w:lineRule="auto"/>
        <w:ind w:firstLine="420"/>
        <w:rPr>
          <w:szCs w:val="21"/>
        </w:rPr>
      </w:pPr>
      <w:r>
        <w:rPr>
          <w:rFonts w:hint="eastAsia"/>
          <w:szCs w:val="21"/>
        </w:rPr>
        <w:t>委托代理人(签字)：</w:t>
      </w:r>
      <w:r>
        <w:rPr>
          <w:rFonts w:hint="eastAsia"/>
          <w:szCs w:val="21"/>
          <w:u w:val="single"/>
        </w:rPr>
        <w:t xml:space="preserve">             </w:t>
      </w:r>
      <w:r>
        <w:rPr>
          <w:rFonts w:hint="eastAsia"/>
          <w:szCs w:val="21"/>
        </w:rPr>
        <w:t xml:space="preserve">          委托代理人(签字)：</w:t>
      </w:r>
      <w:r>
        <w:rPr>
          <w:rFonts w:hint="eastAsia"/>
          <w:szCs w:val="21"/>
          <w:u w:val="single"/>
        </w:rPr>
        <w:t xml:space="preserve">              </w:t>
      </w:r>
    </w:p>
    <w:p>
      <w:pPr>
        <w:kinsoku/>
        <w:overflowPunct/>
        <w:topLinePunct w:val="0"/>
        <w:bidi w:val="0"/>
        <w:spacing w:line="300" w:lineRule="auto"/>
        <w:ind w:firstLine="420"/>
        <w:rPr>
          <w:szCs w:val="21"/>
        </w:rPr>
      </w:pPr>
      <w:r>
        <w:rPr>
          <w:rFonts w:hint="eastAsia"/>
          <w:szCs w:val="21"/>
        </w:rPr>
        <w:t>电话：</w:t>
      </w:r>
      <w:r>
        <w:rPr>
          <w:rFonts w:hint="eastAsia"/>
          <w:szCs w:val="21"/>
          <w:u w:val="single"/>
        </w:rPr>
        <w:t xml:space="preserve">                         </w:t>
      </w:r>
      <w:r>
        <w:rPr>
          <w:rFonts w:hint="eastAsia"/>
          <w:szCs w:val="21"/>
        </w:rPr>
        <w:t xml:space="preserve">          电话：</w:t>
      </w:r>
      <w:r>
        <w:rPr>
          <w:rFonts w:hint="eastAsia"/>
          <w:szCs w:val="21"/>
          <w:u w:val="single"/>
        </w:rPr>
        <w:t xml:space="preserve">                          </w:t>
      </w:r>
    </w:p>
    <w:p>
      <w:pPr>
        <w:kinsoku/>
        <w:overflowPunct/>
        <w:topLinePunct w:val="0"/>
        <w:bidi w:val="0"/>
        <w:spacing w:line="300" w:lineRule="auto"/>
        <w:ind w:firstLine="420"/>
        <w:rPr>
          <w:szCs w:val="21"/>
        </w:rPr>
      </w:pPr>
      <w:r>
        <w:rPr>
          <w:rFonts w:hint="eastAsia"/>
          <w:szCs w:val="21"/>
        </w:rPr>
        <w:t>传真：</w:t>
      </w:r>
      <w:r>
        <w:rPr>
          <w:rFonts w:hint="eastAsia"/>
          <w:szCs w:val="21"/>
          <w:u w:val="single"/>
        </w:rPr>
        <w:t xml:space="preserve">                         </w:t>
      </w:r>
      <w:r>
        <w:rPr>
          <w:rFonts w:hint="eastAsia"/>
          <w:szCs w:val="21"/>
        </w:rPr>
        <w:t xml:space="preserve">          传真：</w:t>
      </w:r>
      <w:r>
        <w:rPr>
          <w:rFonts w:hint="eastAsia"/>
          <w:szCs w:val="21"/>
          <w:u w:val="single"/>
        </w:rPr>
        <w:t xml:space="preserve">                          </w:t>
      </w:r>
    </w:p>
    <w:p>
      <w:pPr>
        <w:kinsoku/>
        <w:overflowPunct/>
        <w:topLinePunct w:val="0"/>
        <w:bidi w:val="0"/>
        <w:spacing w:line="300" w:lineRule="auto"/>
        <w:ind w:firstLine="420"/>
        <w:rPr>
          <w:szCs w:val="21"/>
        </w:rPr>
      </w:pPr>
      <w:r>
        <w:rPr>
          <w:rFonts w:hint="eastAsia"/>
          <w:szCs w:val="21"/>
        </w:rPr>
        <w:t>开户银行：</w:t>
      </w:r>
      <w:r>
        <w:rPr>
          <w:rFonts w:hint="eastAsia"/>
          <w:szCs w:val="21"/>
          <w:u w:val="single"/>
        </w:rPr>
        <w:t xml:space="preserve">                     </w:t>
      </w:r>
      <w:r>
        <w:rPr>
          <w:rFonts w:hint="eastAsia"/>
          <w:szCs w:val="21"/>
        </w:rPr>
        <w:t xml:space="preserve">          开户银行：</w:t>
      </w:r>
      <w:r>
        <w:rPr>
          <w:rFonts w:hint="eastAsia"/>
          <w:szCs w:val="21"/>
          <w:u w:val="single"/>
        </w:rPr>
        <w:t xml:space="preserve">                      </w:t>
      </w:r>
    </w:p>
    <w:p>
      <w:pPr>
        <w:kinsoku/>
        <w:overflowPunct/>
        <w:topLinePunct w:val="0"/>
        <w:bidi w:val="0"/>
        <w:spacing w:line="300" w:lineRule="auto"/>
        <w:ind w:firstLine="420"/>
        <w:rPr>
          <w:szCs w:val="21"/>
        </w:rPr>
      </w:pPr>
      <w:r>
        <w:rPr>
          <w:rFonts w:hint="eastAsia"/>
          <w:szCs w:val="21"/>
        </w:rPr>
        <w:t>帐号：</w:t>
      </w:r>
      <w:r>
        <w:rPr>
          <w:rFonts w:hint="eastAsia"/>
          <w:szCs w:val="21"/>
          <w:u w:val="single"/>
        </w:rPr>
        <w:t xml:space="preserve">                         </w:t>
      </w:r>
      <w:r>
        <w:rPr>
          <w:rFonts w:hint="eastAsia"/>
          <w:szCs w:val="21"/>
        </w:rPr>
        <w:t xml:space="preserve">          帐号：</w:t>
      </w:r>
      <w:r>
        <w:rPr>
          <w:rFonts w:hint="eastAsia"/>
          <w:szCs w:val="21"/>
          <w:u w:val="single"/>
        </w:rPr>
        <w:t xml:space="preserve">                          </w:t>
      </w:r>
    </w:p>
    <w:p>
      <w:pPr>
        <w:kinsoku/>
        <w:overflowPunct/>
        <w:topLinePunct w:val="0"/>
        <w:bidi w:val="0"/>
        <w:spacing w:line="300" w:lineRule="auto"/>
        <w:ind w:firstLine="420"/>
        <w:rPr>
          <w:szCs w:val="21"/>
          <w:u w:val="single"/>
        </w:rPr>
      </w:pPr>
      <w:r>
        <w:rPr>
          <w:rFonts w:hint="eastAsia"/>
          <w:szCs w:val="21"/>
        </w:rPr>
        <w:t>邮政编码：</w:t>
      </w:r>
      <w:r>
        <w:rPr>
          <w:rFonts w:hint="eastAsia"/>
          <w:szCs w:val="21"/>
          <w:u w:val="single"/>
        </w:rPr>
        <w:t xml:space="preserve">                     </w:t>
      </w:r>
      <w:r>
        <w:rPr>
          <w:rFonts w:hint="eastAsia"/>
          <w:szCs w:val="21"/>
        </w:rPr>
        <w:t xml:space="preserve">          邮政编码：</w:t>
      </w:r>
      <w:r>
        <w:rPr>
          <w:rFonts w:hint="eastAsia"/>
          <w:szCs w:val="21"/>
          <w:u w:val="single"/>
        </w:rPr>
        <w:t xml:space="preserve">                      </w:t>
      </w:r>
    </w:p>
    <w:p>
      <w:pPr>
        <w:kinsoku/>
        <w:overflowPunct/>
        <w:topLinePunct w:val="0"/>
        <w:bidi w:val="0"/>
        <w:spacing w:after="156" w:afterLines="50" w:line="300" w:lineRule="auto"/>
        <w:rPr>
          <w:b/>
          <w:szCs w:val="21"/>
        </w:rPr>
      </w:pPr>
      <w:r>
        <w:rPr>
          <w:szCs w:val="21"/>
          <w:u w:val="single"/>
        </w:rPr>
        <w:br w:type="page"/>
      </w:r>
      <w:r>
        <w:rPr>
          <w:rFonts w:hint="eastAsia"/>
          <w:b/>
          <w:szCs w:val="21"/>
        </w:rPr>
        <w:t>附件4：</w:t>
      </w:r>
      <w:r>
        <w:rPr>
          <w:b/>
          <w:szCs w:val="21"/>
        </w:rPr>
        <w:t>主要建设工程文件目录</w:t>
      </w:r>
    </w:p>
    <w:tbl>
      <w:tblPr>
        <w:tblStyle w:val="5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83"/>
        <w:gridCol w:w="1385"/>
        <w:gridCol w:w="1385"/>
        <w:gridCol w:w="1212"/>
        <w:gridCol w:w="1385"/>
        <w:gridCol w:w="17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583"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文件名称</w:t>
            </w:r>
          </w:p>
        </w:tc>
        <w:tc>
          <w:tcPr>
            <w:tcW w:w="1385"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套数</w:t>
            </w:r>
          </w:p>
        </w:tc>
        <w:tc>
          <w:tcPr>
            <w:tcW w:w="1385"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费用</w:t>
            </w:r>
            <w:r>
              <w:rPr>
                <w:rFonts w:hint="eastAsia" w:ascii="宋体" w:hAnsi="宋体" w:eastAsia="Times New Roman"/>
                <w:szCs w:val="21"/>
              </w:rPr>
              <w:t>（元）</w:t>
            </w:r>
          </w:p>
        </w:tc>
        <w:tc>
          <w:tcPr>
            <w:tcW w:w="1212"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质量</w:t>
            </w:r>
          </w:p>
        </w:tc>
        <w:tc>
          <w:tcPr>
            <w:tcW w:w="1385" w:type="dxa"/>
            <w:tcBorders>
              <w:top w:val="single" w:color="auto" w:sz="12" w:space="0"/>
              <w:bottom w:val="double" w:color="auto" w:sz="6" w:space="0"/>
            </w:tcBorders>
            <w:noWrap w:val="0"/>
            <w:vAlign w:val="center"/>
          </w:tcPr>
          <w:p>
            <w:pPr>
              <w:kinsoku/>
              <w:overflowPunct/>
              <w:topLinePunct w:val="0"/>
              <w:bidi w:val="0"/>
              <w:spacing w:line="300" w:lineRule="auto"/>
              <w:jc w:val="center"/>
              <w:rPr>
                <w:szCs w:val="21"/>
              </w:rPr>
            </w:pPr>
            <w:r>
              <w:rPr>
                <w:szCs w:val="21"/>
              </w:rPr>
              <w:t>移交时间</w:t>
            </w:r>
          </w:p>
        </w:tc>
        <w:tc>
          <w:tcPr>
            <w:tcW w:w="1730" w:type="dxa"/>
            <w:tcBorders>
              <w:top w:val="single" w:color="auto" w:sz="12" w:space="0"/>
              <w:bottom w:val="double" w:color="auto" w:sz="6" w:space="0"/>
            </w:tcBorders>
            <w:noWrap w:val="0"/>
            <w:vAlign w:val="center"/>
          </w:tcPr>
          <w:p>
            <w:pPr>
              <w:kinsoku/>
              <w:overflowPunct/>
              <w:topLinePunct w:val="0"/>
              <w:bidi w:val="0"/>
              <w:spacing w:line="300" w:lineRule="auto"/>
              <w:jc w:val="center"/>
              <w:rPr>
                <w:szCs w:val="21"/>
              </w:rPr>
            </w:pPr>
            <w:r>
              <w:rPr>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83"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212"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730"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83"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212"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730"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83"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212"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730"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83"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212"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730"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83"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212"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730"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83"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212"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730"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83"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212"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730"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83"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212"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730"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83"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212"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730" w:type="dxa"/>
            <w:noWrap w:val="0"/>
            <w:vAlign w:val="top"/>
          </w:tcPr>
          <w:p>
            <w:pPr>
              <w:kinsoku/>
              <w:overflowPunct/>
              <w:topLinePunct w:val="0"/>
              <w:bidi w:val="0"/>
              <w:spacing w:line="300" w:lineRule="auto"/>
              <w:jc w:val="center"/>
              <w:rPr>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83"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212"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385"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c>
          <w:tcPr>
            <w:tcW w:w="1730" w:type="dxa"/>
            <w:noWrap w:val="0"/>
            <w:vAlign w:val="center"/>
          </w:tcPr>
          <w:p>
            <w:pPr>
              <w:pStyle w:val="3"/>
              <w:keepNext/>
              <w:kinsoku/>
              <w:overflowPunct/>
              <w:topLinePunct w:val="0"/>
              <w:bidi w:val="0"/>
              <w:spacing w:line="300" w:lineRule="auto"/>
              <w:ind w:left="63" w:right="63"/>
              <w:rPr>
                <w:rFonts w:ascii="宋体" w:hAnsi="宋体" w:eastAsia="Times New Roman"/>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83"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212"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730" w:type="dxa"/>
            <w:noWrap w:val="0"/>
            <w:vAlign w:val="top"/>
          </w:tcPr>
          <w:p>
            <w:pPr>
              <w:kinsoku/>
              <w:overflowPunct/>
              <w:topLinePunct w:val="0"/>
              <w:bidi w:val="0"/>
              <w:spacing w:line="300" w:lineRule="auto"/>
              <w:jc w:val="center"/>
              <w:rPr>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83"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212"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730" w:type="dxa"/>
            <w:noWrap w:val="0"/>
            <w:vAlign w:val="top"/>
          </w:tcPr>
          <w:p>
            <w:pPr>
              <w:kinsoku/>
              <w:overflowPunct/>
              <w:topLinePunct w:val="0"/>
              <w:bidi w:val="0"/>
              <w:spacing w:line="300" w:lineRule="auto"/>
              <w:jc w:val="center"/>
              <w:rPr>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83"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212"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730" w:type="dxa"/>
            <w:noWrap w:val="0"/>
            <w:vAlign w:val="top"/>
          </w:tcPr>
          <w:p>
            <w:pPr>
              <w:kinsoku/>
              <w:overflowPunct/>
              <w:topLinePunct w:val="0"/>
              <w:bidi w:val="0"/>
              <w:spacing w:line="300" w:lineRule="auto"/>
              <w:jc w:val="center"/>
              <w:rPr>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83"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212"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730" w:type="dxa"/>
            <w:noWrap w:val="0"/>
            <w:vAlign w:val="top"/>
          </w:tcPr>
          <w:p>
            <w:pPr>
              <w:kinsoku/>
              <w:overflowPunct/>
              <w:topLinePunct w:val="0"/>
              <w:bidi w:val="0"/>
              <w:spacing w:line="300" w:lineRule="auto"/>
              <w:jc w:val="center"/>
              <w:rPr>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83"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212"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730" w:type="dxa"/>
            <w:noWrap w:val="0"/>
            <w:vAlign w:val="top"/>
          </w:tcPr>
          <w:p>
            <w:pPr>
              <w:kinsoku/>
              <w:overflowPunct/>
              <w:topLinePunct w:val="0"/>
              <w:bidi w:val="0"/>
              <w:spacing w:line="300" w:lineRule="auto"/>
              <w:jc w:val="center"/>
              <w:rPr>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83"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212"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730" w:type="dxa"/>
            <w:noWrap w:val="0"/>
            <w:vAlign w:val="top"/>
          </w:tcPr>
          <w:p>
            <w:pPr>
              <w:kinsoku/>
              <w:overflowPunct/>
              <w:topLinePunct w:val="0"/>
              <w:bidi w:val="0"/>
              <w:spacing w:line="300" w:lineRule="auto"/>
              <w:jc w:val="center"/>
              <w:rPr>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83"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212"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730" w:type="dxa"/>
            <w:noWrap w:val="0"/>
            <w:vAlign w:val="top"/>
          </w:tcPr>
          <w:p>
            <w:pPr>
              <w:kinsoku/>
              <w:overflowPunct/>
              <w:topLinePunct w:val="0"/>
              <w:bidi w:val="0"/>
              <w:spacing w:line="300" w:lineRule="auto"/>
              <w:jc w:val="center"/>
              <w:rPr>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83"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212"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730" w:type="dxa"/>
            <w:noWrap w:val="0"/>
            <w:vAlign w:val="top"/>
          </w:tcPr>
          <w:p>
            <w:pPr>
              <w:kinsoku/>
              <w:overflowPunct/>
              <w:topLinePunct w:val="0"/>
              <w:bidi w:val="0"/>
              <w:spacing w:line="300" w:lineRule="auto"/>
              <w:jc w:val="center"/>
              <w:rPr>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83"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212" w:type="dxa"/>
            <w:noWrap w:val="0"/>
            <w:vAlign w:val="top"/>
          </w:tcPr>
          <w:p>
            <w:pPr>
              <w:kinsoku/>
              <w:overflowPunct/>
              <w:topLinePunct w:val="0"/>
              <w:bidi w:val="0"/>
              <w:spacing w:line="300" w:lineRule="auto"/>
              <w:jc w:val="center"/>
              <w:rPr>
                <w:sz w:val="30"/>
                <w:szCs w:val="30"/>
              </w:rPr>
            </w:pPr>
          </w:p>
        </w:tc>
        <w:tc>
          <w:tcPr>
            <w:tcW w:w="1385" w:type="dxa"/>
            <w:noWrap w:val="0"/>
            <w:vAlign w:val="top"/>
          </w:tcPr>
          <w:p>
            <w:pPr>
              <w:kinsoku/>
              <w:overflowPunct/>
              <w:topLinePunct w:val="0"/>
              <w:bidi w:val="0"/>
              <w:spacing w:line="300" w:lineRule="auto"/>
              <w:jc w:val="center"/>
              <w:rPr>
                <w:sz w:val="30"/>
                <w:szCs w:val="30"/>
              </w:rPr>
            </w:pPr>
          </w:p>
        </w:tc>
        <w:tc>
          <w:tcPr>
            <w:tcW w:w="1730" w:type="dxa"/>
            <w:noWrap w:val="0"/>
            <w:vAlign w:val="top"/>
          </w:tcPr>
          <w:p>
            <w:pPr>
              <w:kinsoku/>
              <w:overflowPunct/>
              <w:topLinePunct w:val="0"/>
              <w:bidi w:val="0"/>
              <w:spacing w:line="300" w:lineRule="auto"/>
              <w:jc w:val="center"/>
              <w:rPr>
                <w:sz w:val="30"/>
                <w:szCs w:val="30"/>
              </w:rPr>
            </w:pPr>
          </w:p>
        </w:tc>
      </w:tr>
    </w:tbl>
    <w:p>
      <w:pPr>
        <w:kinsoku/>
        <w:overflowPunct/>
        <w:topLinePunct w:val="0"/>
        <w:bidi w:val="0"/>
        <w:spacing w:after="156" w:afterLines="50" w:line="300" w:lineRule="auto"/>
        <w:ind w:firstLine="480"/>
        <w:rPr>
          <w:sz w:val="24"/>
        </w:rPr>
      </w:pPr>
      <w:bookmarkStart w:id="1885" w:name="_Toc296346728"/>
      <w:bookmarkStart w:id="1886" w:name="_Toc296891055"/>
      <w:bookmarkStart w:id="1887" w:name="_Toc296891267"/>
      <w:bookmarkStart w:id="1888" w:name="_Toc267261698"/>
      <w:bookmarkStart w:id="1889" w:name="_Toc296503227"/>
      <w:bookmarkStart w:id="1890" w:name="_Toc296944566"/>
      <w:bookmarkStart w:id="1891" w:name="_Toc296347226"/>
    </w:p>
    <w:p>
      <w:pPr>
        <w:kinsoku/>
        <w:overflowPunct/>
        <w:topLinePunct w:val="0"/>
        <w:bidi w:val="0"/>
        <w:spacing w:after="156" w:afterLines="50" w:line="300" w:lineRule="auto"/>
        <w:rPr>
          <w:b/>
          <w:szCs w:val="21"/>
        </w:rPr>
      </w:pPr>
      <w:r>
        <w:rPr>
          <w:sz w:val="24"/>
        </w:rPr>
        <w:br w:type="page"/>
      </w:r>
      <w:r>
        <w:rPr>
          <w:rFonts w:hint="eastAsia"/>
          <w:b/>
          <w:szCs w:val="21"/>
        </w:rPr>
        <w:t>附件5</w:t>
      </w:r>
      <w:r>
        <w:rPr>
          <w:b/>
          <w:szCs w:val="21"/>
        </w:rPr>
        <w:t>：</w:t>
      </w:r>
      <w:bookmarkEnd w:id="1885"/>
      <w:bookmarkEnd w:id="1886"/>
      <w:bookmarkEnd w:id="1887"/>
      <w:bookmarkEnd w:id="1888"/>
      <w:bookmarkEnd w:id="1889"/>
      <w:bookmarkEnd w:id="1890"/>
      <w:bookmarkEnd w:id="1891"/>
      <w:r>
        <w:rPr>
          <w:b/>
          <w:szCs w:val="21"/>
        </w:rPr>
        <w:t>承包人用于本工程施工的机械设备表</w:t>
      </w:r>
    </w:p>
    <w:tbl>
      <w:tblPr>
        <w:tblStyle w:val="5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92"/>
        <w:gridCol w:w="1038"/>
        <w:gridCol w:w="1038"/>
        <w:gridCol w:w="866"/>
        <w:gridCol w:w="866"/>
        <w:gridCol w:w="1038"/>
        <w:gridCol w:w="1038"/>
        <w:gridCol w:w="1038"/>
        <w:gridCol w:w="8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92"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序号</w:t>
            </w:r>
          </w:p>
        </w:tc>
        <w:tc>
          <w:tcPr>
            <w:tcW w:w="1038"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机械或设备名称</w:t>
            </w:r>
          </w:p>
        </w:tc>
        <w:tc>
          <w:tcPr>
            <w:tcW w:w="1038"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规格型号</w:t>
            </w:r>
          </w:p>
        </w:tc>
        <w:tc>
          <w:tcPr>
            <w:tcW w:w="866"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数量</w:t>
            </w:r>
          </w:p>
        </w:tc>
        <w:tc>
          <w:tcPr>
            <w:tcW w:w="866"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产地</w:t>
            </w:r>
          </w:p>
        </w:tc>
        <w:tc>
          <w:tcPr>
            <w:tcW w:w="1038"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制造年份</w:t>
            </w:r>
          </w:p>
        </w:tc>
        <w:tc>
          <w:tcPr>
            <w:tcW w:w="1038"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额定功率</w:t>
            </w:r>
          </w:p>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(kW)</w:t>
            </w:r>
          </w:p>
        </w:tc>
        <w:tc>
          <w:tcPr>
            <w:tcW w:w="1038"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生产能力</w:t>
            </w:r>
          </w:p>
        </w:tc>
        <w:tc>
          <w:tcPr>
            <w:tcW w:w="866"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92"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92"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92"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92"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92"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92"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92"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92"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92"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92"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38"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92"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92"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92"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92"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92"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92"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92"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92"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92"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1038" w:type="dxa"/>
            <w:noWrap w:val="0"/>
            <w:vAlign w:val="top"/>
          </w:tcPr>
          <w:p>
            <w:pPr>
              <w:kinsoku/>
              <w:overflowPunct/>
              <w:topLinePunct w:val="0"/>
              <w:bidi w:val="0"/>
              <w:spacing w:line="300" w:lineRule="auto"/>
              <w:jc w:val="center"/>
              <w:rPr>
                <w:szCs w:val="21"/>
              </w:rPr>
            </w:pPr>
          </w:p>
        </w:tc>
        <w:tc>
          <w:tcPr>
            <w:tcW w:w="866" w:type="dxa"/>
            <w:noWrap w:val="0"/>
            <w:vAlign w:val="top"/>
          </w:tcPr>
          <w:p>
            <w:pPr>
              <w:kinsoku/>
              <w:overflowPunct/>
              <w:topLinePunct w:val="0"/>
              <w:bidi w:val="0"/>
              <w:spacing w:line="300" w:lineRule="auto"/>
              <w:jc w:val="center"/>
              <w:rPr>
                <w:szCs w:val="21"/>
              </w:rPr>
            </w:pPr>
          </w:p>
        </w:tc>
      </w:tr>
    </w:tbl>
    <w:p>
      <w:pPr>
        <w:kinsoku/>
        <w:overflowPunct/>
        <w:topLinePunct w:val="0"/>
        <w:bidi w:val="0"/>
        <w:spacing w:after="156" w:afterLines="50" w:line="300" w:lineRule="auto"/>
        <w:ind w:firstLine="600"/>
        <w:rPr>
          <w:sz w:val="30"/>
          <w:szCs w:val="30"/>
        </w:rPr>
      </w:pPr>
    </w:p>
    <w:p>
      <w:pPr>
        <w:kinsoku/>
        <w:overflowPunct/>
        <w:topLinePunct w:val="0"/>
        <w:bidi w:val="0"/>
        <w:spacing w:after="156" w:afterLines="50" w:line="300" w:lineRule="auto"/>
        <w:rPr>
          <w:b/>
          <w:szCs w:val="21"/>
        </w:rPr>
      </w:pPr>
      <w:r>
        <w:rPr>
          <w:sz w:val="30"/>
          <w:szCs w:val="30"/>
        </w:rPr>
        <w:br w:type="page"/>
      </w:r>
      <w:r>
        <w:rPr>
          <w:b/>
          <w:szCs w:val="21"/>
        </w:rPr>
        <w:t>附</w:t>
      </w:r>
      <w:bookmarkStart w:id="1892" w:name="_Toc296346729"/>
      <w:bookmarkStart w:id="1893" w:name="_Toc296503228"/>
      <w:bookmarkStart w:id="1894" w:name="_Toc296347227"/>
      <w:bookmarkStart w:id="1895" w:name="_Toc296944567"/>
      <w:bookmarkStart w:id="1896" w:name="_Toc296891268"/>
      <w:bookmarkStart w:id="1897" w:name="_Toc296891056"/>
      <w:bookmarkStart w:id="1898" w:name="_Toc267261699"/>
      <w:r>
        <w:rPr>
          <w:b/>
          <w:szCs w:val="21"/>
        </w:rPr>
        <w:t>件</w:t>
      </w:r>
      <w:r>
        <w:rPr>
          <w:rFonts w:hint="eastAsia"/>
          <w:b/>
          <w:szCs w:val="21"/>
        </w:rPr>
        <w:t>6</w:t>
      </w:r>
      <w:r>
        <w:rPr>
          <w:b/>
          <w:szCs w:val="21"/>
        </w:rPr>
        <w:t>：</w:t>
      </w:r>
      <w:bookmarkEnd w:id="1892"/>
      <w:bookmarkEnd w:id="1893"/>
      <w:bookmarkEnd w:id="1894"/>
      <w:bookmarkEnd w:id="1895"/>
      <w:bookmarkEnd w:id="1896"/>
      <w:bookmarkEnd w:id="1897"/>
      <w:bookmarkEnd w:id="1898"/>
      <w:r>
        <w:rPr>
          <w:b/>
          <w:szCs w:val="21"/>
        </w:rPr>
        <w:t>承包人主要施工管理人员表</w:t>
      </w:r>
    </w:p>
    <w:tbl>
      <w:tblPr>
        <w:tblStyle w:val="5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00"/>
        <w:gridCol w:w="1364"/>
        <w:gridCol w:w="1091"/>
        <w:gridCol w:w="1091"/>
        <w:gridCol w:w="33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名    称</w:t>
            </w:r>
          </w:p>
        </w:tc>
        <w:tc>
          <w:tcPr>
            <w:tcW w:w="1364"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姓名</w:t>
            </w:r>
          </w:p>
        </w:tc>
        <w:tc>
          <w:tcPr>
            <w:tcW w:w="1091"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职务</w:t>
            </w:r>
          </w:p>
        </w:tc>
        <w:tc>
          <w:tcPr>
            <w:tcW w:w="1091"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职称</w:t>
            </w:r>
          </w:p>
        </w:tc>
        <w:tc>
          <w:tcPr>
            <w:tcW w:w="3334"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680" w:type="dxa"/>
            <w:gridSpan w:val="5"/>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nil"/>
              <w:bottom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项目主管</w:t>
            </w:r>
          </w:p>
        </w:tc>
        <w:tc>
          <w:tcPr>
            <w:tcW w:w="1364"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single" w:color="auto" w:sz="6" w:space="0"/>
              <w:bottom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nil"/>
              <w:bottom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其他人员</w:t>
            </w: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nil"/>
              <w:bottom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680" w:type="dxa"/>
            <w:gridSpan w:val="5"/>
            <w:tcBorders>
              <w:top w:val="sing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sing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项目经理</w:t>
            </w: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sing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项目副经理</w:t>
            </w: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sing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技术负责人</w:t>
            </w: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sing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造价管理</w:t>
            </w: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sing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质量管理</w:t>
            </w: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sing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材料管理</w:t>
            </w: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sing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计划管理</w:t>
            </w: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sing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安全管理</w:t>
            </w: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vMerge w:val="restart"/>
            <w:tcBorders>
              <w:top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其他人员</w:t>
            </w: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vMerge w:val="continue"/>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364" w:type="dxa"/>
            <w:tcBorders>
              <w:bottom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tcBorders>
              <w:bottom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tcBorders>
              <w:bottom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tcBorders>
              <w:bottom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vMerge w:val="continue"/>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vMerge w:val="continue"/>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vMerge w:val="continue"/>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vMerge w:val="continue"/>
            <w:tcBorders>
              <w:bottom w:val="single" w:color="auto" w:sz="12"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364" w:type="dxa"/>
            <w:tcBorders>
              <w:bottom w:val="single" w:color="auto" w:sz="12"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tcBorders>
              <w:bottom w:val="single" w:color="auto" w:sz="12"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tcBorders>
              <w:bottom w:val="single" w:color="auto" w:sz="12"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tcBorders>
              <w:bottom w:val="single" w:color="auto" w:sz="12"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bl>
    <w:p>
      <w:pPr>
        <w:kinsoku/>
        <w:overflowPunct/>
        <w:topLinePunct w:val="0"/>
        <w:bidi w:val="0"/>
        <w:spacing w:after="156" w:afterLines="50" w:line="300" w:lineRule="auto"/>
        <w:rPr>
          <w:b/>
          <w:szCs w:val="21"/>
        </w:rPr>
      </w:pPr>
      <w:r>
        <w:rPr>
          <w:sz w:val="30"/>
          <w:szCs w:val="30"/>
        </w:rPr>
        <w:br w:type="page"/>
      </w:r>
      <w:r>
        <w:rPr>
          <w:b/>
          <w:szCs w:val="21"/>
        </w:rPr>
        <w:t>附</w:t>
      </w:r>
      <w:bookmarkStart w:id="1899" w:name="_Toc296891057"/>
      <w:bookmarkStart w:id="1900" w:name="_Toc296944568"/>
      <w:bookmarkStart w:id="1901" w:name="_Toc296347228"/>
      <w:bookmarkStart w:id="1902" w:name="_Toc296503229"/>
      <w:bookmarkStart w:id="1903" w:name="_Toc296891269"/>
      <w:bookmarkStart w:id="1904" w:name="_Toc296346730"/>
      <w:r>
        <w:rPr>
          <w:b/>
          <w:szCs w:val="21"/>
        </w:rPr>
        <w:t>件</w:t>
      </w:r>
      <w:r>
        <w:rPr>
          <w:rFonts w:hint="eastAsia"/>
          <w:b/>
          <w:szCs w:val="21"/>
        </w:rPr>
        <w:t>7</w:t>
      </w:r>
      <w:r>
        <w:rPr>
          <w:b/>
          <w:szCs w:val="21"/>
        </w:rPr>
        <w:t>：</w:t>
      </w:r>
      <w:bookmarkEnd w:id="1899"/>
      <w:bookmarkEnd w:id="1900"/>
      <w:bookmarkEnd w:id="1901"/>
      <w:bookmarkEnd w:id="1902"/>
      <w:bookmarkEnd w:id="1903"/>
      <w:bookmarkEnd w:id="1904"/>
      <w:r>
        <w:rPr>
          <w:b/>
          <w:szCs w:val="21"/>
        </w:rPr>
        <w:t>分包人主要施工管理人员表</w:t>
      </w:r>
    </w:p>
    <w:tbl>
      <w:tblPr>
        <w:tblStyle w:val="5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00"/>
        <w:gridCol w:w="1364"/>
        <w:gridCol w:w="1091"/>
        <w:gridCol w:w="1091"/>
        <w:gridCol w:w="33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名    称</w:t>
            </w:r>
          </w:p>
        </w:tc>
        <w:tc>
          <w:tcPr>
            <w:tcW w:w="1364"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姓名</w:t>
            </w:r>
          </w:p>
        </w:tc>
        <w:tc>
          <w:tcPr>
            <w:tcW w:w="1091"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职务</w:t>
            </w:r>
          </w:p>
        </w:tc>
        <w:tc>
          <w:tcPr>
            <w:tcW w:w="1091"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职称</w:t>
            </w:r>
          </w:p>
        </w:tc>
        <w:tc>
          <w:tcPr>
            <w:tcW w:w="3334" w:type="dxa"/>
            <w:tcBorders>
              <w:top w:val="single" w:color="auto" w:sz="12" w:space="0"/>
              <w:bottom w:val="doub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680" w:type="dxa"/>
            <w:gridSpan w:val="5"/>
            <w:tcBorders>
              <w:top w:val="doub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nil"/>
              <w:bottom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项目主管</w:t>
            </w:r>
          </w:p>
        </w:tc>
        <w:tc>
          <w:tcPr>
            <w:tcW w:w="1364"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tcBorders>
              <w:top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single" w:color="auto" w:sz="6" w:space="0"/>
              <w:bottom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nil"/>
              <w:bottom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其他人员</w:t>
            </w: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nil"/>
              <w:bottom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680" w:type="dxa"/>
            <w:gridSpan w:val="5"/>
            <w:tcBorders>
              <w:top w:val="sing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sing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项目经理</w:t>
            </w: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sing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项目副经理</w:t>
            </w: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sing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技术负责人</w:t>
            </w: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sing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造价管理</w:t>
            </w: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sing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质量管理</w:t>
            </w: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sing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材料管理</w:t>
            </w: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sing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计划管理</w:t>
            </w: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tcBorders>
              <w:top w:val="single" w:color="auto" w:sz="6" w:space="0"/>
              <w:bottom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安全管理</w:t>
            </w: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vMerge w:val="restart"/>
            <w:tcBorders>
              <w:top w:val="single" w:color="auto" w:sz="6"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其他人员</w:t>
            </w: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vMerge w:val="continue"/>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364" w:type="dxa"/>
            <w:tcBorders>
              <w:bottom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tcBorders>
              <w:bottom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tcBorders>
              <w:bottom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tcBorders>
              <w:bottom w:val="nil"/>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vMerge w:val="continue"/>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vMerge w:val="continue"/>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vMerge w:val="continue"/>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36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800" w:type="dxa"/>
            <w:vMerge w:val="continue"/>
            <w:tcBorders>
              <w:bottom w:val="single" w:color="auto" w:sz="12"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364" w:type="dxa"/>
            <w:tcBorders>
              <w:bottom w:val="single" w:color="auto" w:sz="12"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tcBorders>
              <w:bottom w:val="single" w:color="auto" w:sz="12"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1091" w:type="dxa"/>
            <w:tcBorders>
              <w:bottom w:val="single" w:color="auto" w:sz="12"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c>
          <w:tcPr>
            <w:tcW w:w="3334" w:type="dxa"/>
            <w:tcBorders>
              <w:bottom w:val="single" w:color="auto" w:sz="12" w:space="0"/>
            </w:tcBorders>
            <w:noWrap w:val="0"/>
            <w:vAlign w:val="center"/>
          </w:tcPr>
          <w:p>
            <w:pPr>
              <w:pStyle w:val="3"/>
              <w:keepNext/>
              <w:kinsoku/>
              <w:overflowPunct/>
              <w:topLinePunct w:val="0"/>
              <w:bidi w:val="0"/>
              <w:spacing w:line="300" w:lineRule="auto"/>
              <w:ind w:left="63" w:right="63"/>
              <w:rPr>
                <w:rFonts w:ascii="宋体" w:hAnsi="宋体" w:eastAsia="Times New Roman"/>
                <w:szCs w:val="21"/>
              </w:rPr>
            </w:pPr>
          </w:p>
        </w:tc>
      </w:tr>
    </w:tbl>
    <w:p>
      <w:pPr>
        <w:kinsoku/>
        <w:overflowPunct/>
        <w:topLinePunct w:val="0"/>
        <w:bidi w:val="0"/>
        <w:spacing w:after="156" w:afterLines="50" w:line="300" w:lineRule="auto"/>
        <w:rPr>
          <w:b/>
          <w:szCs w:val="21"/>
        </w:rPr>
      </w:pPr>
      <w:r>
        <w:rPr>
          <w:sz w:val="30"/>
          <w:szCs w:val="30"/>
        </w:rPr>
        <w:br w:type="page"/>
      </w:r>
      <w:bookmarkStart w:id="1905" w:name="_Toc296891271"/>
      <w:bookmarkStart w:id="1906" w:name="_Toc296944570"/>
      <w:bookmarkStart w:id="1907" w:name="_Toc296347230"/>
      <w:bookmarkStart w:id="1908" w:name="_Toc296346732"/>
      <w:bookmarkStart w:id="1909" w:name="_Toc296503231"/>
      <w:bookmarkStart w:id="1910" w:name="_Toc296891059"/>
      <w:bookmarkStart w:id="1911" w:name="_Toc267261701"/>
      <w:r>
        <w:rPr>
          <w:rFonts w:hint="eastAsia"/>
          <w:b/>
          <w:szCs w:val="21"/>
        </w:rPr>
        <w:t>附件8：履约担保格式</w:t>
      </w:r>
    </w:p>
    <w:bookmarkEnd w:id="1905"/>
    <w:bookmarkEnd w:id="1906"/>
    <w:bookmarkEnd w:id="1907"/>
    <w:bookmarkEnd w:id="1908"/>
    <w:bookmarkEnd w:id="1909"/>
    <w:bookmarkEnd w:id="1910"/>
    <w:bookmarkEnd w:id="1911"/>
    <w:p>
      <w:pPr>
        <w:kinsoku/>
        <w:overflowPunct/>
        <w:topLinePunct w:val="0"/>
        <w:bidi w:val="0"/>
        <w:spacing w:after="156" w:afterLines="50" w:line="300" w:lineRule="auto"/>
        <w:jc w:val="center"/>
        <w:rPr>
          <w:b/>
          <w:sz w:val="28"/>
          <w:szCs w:val="28"/>
        </w:rPr>
      </w:pPr>
      <w:r>
        <w:rPr>
          <w:b/>
          <w:sz w:val="28"/>
          <w:szCs w:val="28"/>
        </w:rPr>
        <w:t>履约担保</w:t>
      </w:r>
    </w:p>
    <w:p>
      <w:pPr>
        <w:kinsoku/>
        <w:overflowPunct/>
        <w:topLinePunct w:val="0"/>
        <w:bidi w:val="0"/>
        <w:spacing w:line="300" w:lineRule="auto"/>
        <w:ind w:firstLine="420"/>
        <w:rPr>
          <w:szCs w:val="21"/>
        </w:rPr>
      </w:pPr>
      <w:r>
        <w:rPr>
          <w:szCs w:val="21"/>
          <w:u w:val="single"/>
        </w:rPr>
        <w:t xml:space="preserve">             </w:t>
      </w:r>
      <w:r>
        <w:rPr>
          <w:szCs w:val="21"/>
          <w:u w:val="single"/>
        </w:rPr>
        <w:tab/>
      </w:r>
      <w:r>
        <w:rPr>
          <w:szCs w:val="21"/>
        </w:rPr>
        <w:t>（发包人名称）：</w:t>
      </w:r>
    </w:p>
    <w:p>
      <w:pPr>
        <w:kinsoku/>
        <w:overflowPunct/>
        <w:topLinePunct w:val="0"/>
        <w:bidi w:val="0"/>
        <w:spacing w:line="300" w:lineRule="auto"/>
        <w:ind w:firstLine="420"/>
        <w:rPr>
          <w:szCs w:val="21"/>
        </w:rPr>
      </w:pPr>
    </w:p>
    <w:p>
      <w:pPr>
        <w:kinsoku/>
        <w:overflowPunct/>
        <w:topLinePunct w:val="0"/>
        <w:bidi w:val="0"/>
        <w:spacing w:line="300" w:lineRule="auto"/>
        <w:ind w:firstLine="420"/>
        <w:rPr>
          <w:szCs w:val="21"/>
        </w:rPr>
      </w:pPr>
      <w:r>
        <w:rPr>
          <w:szCs w:val="21"/>
        </w:rPr>
        <w:t>鉴于</w:t>
      </w:r>
      <w:r>
        <w:rPr>
          <w:szCs w:val="21"/>
          <w:u w:val="single"/>
        </w:rPr>
        <w:t xml:space="preserve">                </w:t>
      </w:r>
      <w:r>
        <w:rPr>
          <w:szCs w:val="21"/>
        </w:rPr>
        <w:t>（发包人名称，以下简称“发包人”）与</w:t>
      </w:r>
      <w:r>
        <w:rPr>
          <w:szCs w:val="21"/>
          <w:u w:val="single"/>
        </w:rPr>
        <w:t xml:space="preserve">                  </w:t>
      </w:r>
      <w:r>
        <w:rPr>
          <w:szCs w:val="21"/>
        </w:rPr>
        <w:t>（承包人名称）（以下称“承包人”）于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日就</w:t>
      </w:r>
      <w:r>
        <w:rPr>
          <w:szCs w:val="21"/>
          <w:u w:val="single"/>
        </w:rPr>
        <w:t xml:space="preserve">                         </w:t>
      </w:r>
      <w:r>
        <w:rPr>
          <w:szCs w:val="21"/>
        </w:rPr>
        <w:t xml:space="preserve">（工程名称）施工及有关事项协商一致共同签订《建设工程施工合同》。我方愿意无条件地、不可撤销地就承包人履行与你方签订的合同，向你方提供连带责任担保。 </w:t>
      </w:r>
    </w:p>
    <w:p>
      <w:pPr>
        <w:kinsoku/>
        <w:overflowPunct/>
        <w:topLinePunct w:val="0"/>
        <w:bidi w:val="0"/>
        <w:spacing w:line="300" w:lineRule="auto"/>
        <w:ind w:firstLine="420"/>
        <w:rPr>
          <w:szCs w:val="21"/>
        </w:rPr>
      </w:pPr>
      <w:r>
        <w:rPr>
          <w:szCs w:val="21"/>
        </w:rPr>
        <w:t>1. 担保金额人民币（大写）</w:t>
      </w:r>
      <w:r>
        <w:rPr>
          <w:szCs w:val="21"/>
          <w:u w:val="single"/>
        </w:rPr>
        <w:t xml:space="preserve">                 </w:t>
      </w:r>
      <w:r>
        <w:rPr>
          <w:szCs w:val="21"/>
        </w:rPr>
        <w:t>元（¥</w:t>
      </w:r>
      <w:r>
        <w:rPr>
          <w:szCs w:val="21"/>
          <w:u w:val="single"/>
        </w:rPr>
        <w:t xml:space="preserve">             </w:t>
      </w:r>
      <w:r>
        <w:rPr>
          <w:szCs w:val="21"/>
        </w:rPr>
        <w:t>）。</w:t>
      </w:r>
    </w:p>
    <w:p>
      <w:pPr>
        <w:kinsoku/>
        <w:overflowPunct/>
        <w:topLinePunct w:val="0"/>
        <w:bidi w:val="0"/>
        <w:spacing w:line="300" w:lineRule="auto"/>
        <w:ind w:firstLine="420"/>
        <w:rPr>
          <w:szCs w:val="21"/>
        </w:rPr>
      </w:pPr>
      <w:r>
        <w:rPr>
          <w:szCs w:val="21"/>
        </w:rPr>
        <w:t>2. 担保有效期自你方与承包人签订的合同生效之日起至你方签发或应签发工程接收证书之日止。</w:t>
      </w:r>
    </w:p>
    <w:p>
      <w:pPr>
        <w:kinsoku/>
        <w:overflowPunct/>
        <w:topLinePunct w:val="0"/>
        <w:bidi w:val="0"/>
        <w:spacing w:line="300" w:lineRule="auto"/>
        <w:ind w:firstLine="420"/>
        <w:rPr>
          <w:szCs w:val="21"/>
        </w:rPr>
      </w:pPr>
      <w:r>
        <w:rPr>
          <w:szCs w:val="21"/>
        </w:rPr>
        <w:t>3. 在本担保有效期内，因承包人违反合同约定的义务给你方造成经济损失时，我方在收到你方以书面形式提出的在担保金额内的赔偿要求后，在7天内无条件支付。</w:t>
      </w:r>
    </w:p>
    <w:p>
      <w:pPr>
        <w:kinsoku/>
        <w:overflowPunct/>
        <w:topLinePunct w:val="0"/>
        <w:bidi w:val="0"/>
        <w:spacing w:line="300" w:lineRule="auto"/>
        <w:ind w:firstLine="420"/>
        <w:rPr>
          <w:szCs w:val="21"/>
        </w:rPr>
      </w:pPr>
      <w:r>
        <w:rPr>
          <w:szCs w:val="21"/>
        </w:rPr>
        <w:t>4. 你方和承包人按合同约定变更合同时，我方承担本担保规定的义务不变。</w:t>
      </w:r>
    </w:p>
    <w:p>
      <w:pPr>
        <w:kinsoku/>
        <w:overflowPunct/>
        <w:topLinePunct w:val="0"/>
        <w:bidi w:val="0"/>
        <w:spacing w:line="300" w:lineRule="auto"/>
        <w:ind w:firstLine="420"/>
        <w:rPr>
          <w:szCs w:val="21"/>
        </w:rPr>
      </w:pPr>
      <w:r>
        <w:rPr>
          <w:szCs w:val="21"/>
        </w:rPr>
        <w:t>5. 因本保函发生的纠纷，可由双方协商解决，协商不成的，任何一方均可提请</w:t>
      </w:r>
      <w:r>
        <w:rPr>
          <w:szCs w:val="21"/>
          <w:u w:val="single"/>
        </w:rPr>
        <w:t xml:space="preserve">        </w:t>
      </w:r>
      <w:r>
        <w:rPr>
          <w:szCs w:val="21"/>
        </w:rPr>
        <w:t>仲裁委员会仲裁。</w:t>
      </w:r>
    </w:p>
    <w:p>
      <w:pPr>
        <w:kinsoku/>
        <w:overflowPunct/>
        <w:topLinePunct w:val="0"/>
        <w:bidi w:val="0"/>
        <w:spacing w:line="300" w:lineRule="auto"/>
        <w:ind w:firstLine="420"/>
        <w:rPr>
          <w:szCs w:val="21"/>
        </w:rPr>
      </w:pPr>
      <w:r>
        <w:rPr>
          <w:szCs w:val="21"/>
        </w:rPr>
        <w:t>6. 本保函自我方法定代表人（或其授权代理人）签字并加盖公章之日起生效。</w:t>
      </w:r>
    </w:p>
    <w:p>
      <w:pPr>
        <w:kinsoku/>
        <w:overflowPunct/>
        <w:topLinePunct w:val="0"/>
        <w:bidi w:val="0"/>
        <w:spacing w:line="300" w:lineRule="auto"/>
        <w:ind w:firstLine="420"/>
        <w:rPr>
          <w:szCs w:val="21"/>
        </w:rPr>
      </w:pPr>
    </w:p>
    <w:p>
      <w:pPr>
        <w:kinsoku/>
        <w:overflowPunct/>
        <w:topLinePunct w:val="0"/>
        <w:bidi w:val="0"/>
        <w:spacing w:line="300" w:lineRule="auto"/>
        <w:ind w:firstLine="420"/>
        <w:rPr>
          <w:szCs w:val="21"/>
        </w:rPr>
      </w:pPr>
      <w:r>
        <w:rPr>
          <w:szCs w:val="21"/>
        </w:rPr>
        <w:t>担 保 人：</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（盖单位章）</w:t>
      </w:r>
    </w:p>
    <w:p>
      <w:pPr>
        <w:kinsoku/>
        <w:overflowPunct/>
        <w:topLinePunct w:val="0"/>
        <w:bidi w:val="0"/>
        <w:spacing w:line="300" w:lineRule="auto"/>
        <w:ind w:firstLine="420"/>
        <w:rPr>
          <w:szCs w:val="21"/>
        </w:rPr>
      </w:pPr>
      <w:r>
        <w:rPr>
          <w:szCs w:val="21"/>
        </w:rPr>
        <w:t>法定代表人或其委托代理人：</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（签字）</w:t>
      </w:r>
    </w:p>
    <w:p>
      <w:pPr>
        <w:kinsoku/>
        <w:overflowPunct/>
        <w:topLinePunct w:val="0"/>
        <w:bidi w:val="0"/>
        <w:spacing w:line="300" w:lineRule="auto"/>
        <w:ind w:firstLine="420"/>
        <w:rPr>
          <w:szCs w:val="21"/>
        </w:rPr>
      </w:pPr>
      <w:r>
        <w:rPr>
          <w:szCs w:val="21"/>
        </w:rPr>
        <w:t>地    址：</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pPr>
        <w:kinsoku/>
        <w:overflowPunct/>
        <w:topLinePunct w:val="0"/>
        <w:bidi w:val="0"/>
        <w:spacing w:line="300" w:lineRule="auto"/>
        <w:ind w:firstLine="420"/>
        <w:rPr>
          <w:szCs w:val="21"/>
        </w:rPr>
      </w:pPr>
      <w:r>
        <w:rPr>
          <w:szCs w:val="21"/>
        </w:rPr>
        <w:t>邮政编码：</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pPr>
        <w:kinsoku/>
        <w:overflowPunct/>
        <w:topLinePunct w:val="0"/>
        <w:bidi w:val="0"/>
        <w:spacing w:line="300" w:lineRule="auto"/>
        <w:ind w:firstLine="420"/>
        <w:rPr>
          <w:szCs w:val="21"/>
          <w:u w:val="single"/>
        </w:rPr>
      </w:pPr>
      <w:r>
        <w:rPr>
          <w:szCs w:val="21"/>
        </w:rPr>
        <w:t>电    话：</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pPr>
        <w:kinsoku/>
        <w:overflowPunct/>
        <w:topLinePunct w:val="0"/>
        <w:bidi w:val="0"/>
        <w:spacing w:line="300" w:lineRule="auto"/>
        <w:ind w:firstLine="420"/>
        <w:rPr>
          <w:szCs w:val="21"/>
        </w:rPr>
      </w:pPr>
      <w:r>
        <w:rPr>
          <w:szCs w:val="21"/>
        </w:rPr>
        <w:t>传    真：</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pPr>
        <w:kinsoku/>
        <w:overflowPunct/>
        <w:topLinePunct w:val="0"/>
        <w:bidi w:val="0"/>
        <w:spacing w:line="300" w:lineRule="auto"/>
        <w:ind w:firstLine="420"/>
        <w:rPr>
          <w:szCs w:val="21"/>
          <w:u w:val="single"/>
        </w:rPr>
      </w:pPr>
    </w:p>
    <w:p>
      <w:pPr>
        <w:kinsoku/>
        <w:overflowPunct/>
        <w:topLinePunct w:val="0"/>
        <w:bidi w:val="0"/>
        <w:spacing w:line="300" w:lineRule="auto"/>
        <w:ind w:left="1329" w:hanging="1329" w:hangingChars="633"/>
        <w:jc w:val="right"/>
        <w:rPr>
          <w:szCs w:val="21"/>
        </w:rPr>
      </w:pPr>
      <w:r>
        <w:rPr>
          <w:szCs w:val="21"/>
        </w:rPr>
        <w:t xml:space="preserve">             </w:t>
      </w:r>
      <w:r>
        <w:rPr>
          <w:rFonts w:hint="eastAsia"/>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kinsoku/>
        <w:overflowPunct/>
        <w:topLinePunct w:val="0"/>
        <w:bidi w:val="0"/>
        <w:spacing w:before="156" w:beforeLines="50" w:after="156" w:afterLines="50" w:line="300" w:lineRule="auto"/>
        <w:rPr>
          <w:b/>
          <w:szCs w:val="21"/>
        </w:rPr>
      </w:pPr>
      <w:r>
        <w:rPr>
          <w:szCs w:val="21"/>
        </w:rPr>
        <w:br w:type="page"/>
      </w:r>
      <w:r>
        <w:rPr>
          <w:rFonts w:hint="eastAsia"/>
          <w:b/>
          <w:szCs w:val="21"/>
        </w:rPr>
        <w:t>附件9：</w:t>
      </w:r>
      <w:r>
        <w:rPr>
          <w:b/>
          <w:szCs w:val="21"/>
        </w:rPr>
        <w:t>预付款担保</w:t>
      </w:r>
      <w:r>
        <w:rPr>
          <w:rFonts w:hint="eastAsia"/>
          <w:b/>
          <w:szCs w:val="21"/>
        </w:rPr>
        <w:t>格式</w:t>
      </w:r>
    </w:p>
    <w:p>
      <w:pPr>
        <w:kinsoku/>
        <w:overflowPunct/>
        <w:topLinePunct w:val="0"/>
        <w:bidi w:val="0"/>
        <w:spacing w:before="156" w:beforeLines="50" w:after="156" w:afterLines="50" w:line="300" w:lineRule="auto"/>
        <w:jc w:val="center"/>
        <w:rPr>
          <w:b/>
          <w:sz w:val="28"/>
          <w:szCs w:val="28"/>
        </w:rPr>
      </w:pPr>
      <w:r>
        <w:rPr>
          <w:b/>
          <w:sz w:val="28"/>
          <w:szCs w:val="28"/>
        </w:rPr>
        <w:t>预付款担保</w:t>
      </w:r>
    </w:p>
    <w:p>
      <w:pPr>
        <w:kinsoku/>
        <w:overflowPunct/>
        <w:topLinePunct w:val="0"/>
        <w:bidi w:val="0"/>
        <w:spacing w:line="300" w:lineRule="auto"/>
        <w:ind w:firstLine="420"/>
        <w:rPr>
          <w:szCs w:val="21"/>
        </w:rPr>
      </w:pPr>
      <w:r>
        <w:rPr>
          <w:szCs w:val="21"/>
          <w:u w:val="single"/>
        </w:rPr>
        <w:t xml:space="preserve">            </w:t>
      </w:r>
      <w:r>
        <w:rPr>
          <w:szCs w:val="21"/>
          <w:u w:val="single"/>
        </w:rPr>
        <w:tab/>
      </w:r>
      <w:r>
        <w:rPr>
          <w:szCs w:val="21"/>
          <w:u w:val="single"/>
        </w:rPr>
        <w:tab/>
      </w:r>
      <w:r>
        <w:rPr>
          <w:szCs w:val="21"/>
          <w:u w:val="single"/>
        </w:rPr>
        <w:t xml:space="preserve"> </w:t>
      </w:r>
      <w:r>
        <w:rPr>
          <w:szCs w:val="21"/>
        </w:rPr>
        <w:t xml:space="preserve"> （发包人名称）：</w:t>
      </w:r>
    </w:p>
    <w:p>
      <w:pPr>
        <w:kinsoku/>
        <w:overflowPunct/>
        <w:topLinePunct w:val="0"/>
        <w:bidi w:val="0"/>
        <w:spacing w:line="300" w:lineRule="auto"/>
        <w:ind w:firstLine="420"/>
        <w:rPr>
          <w:szCs w:val="21"/>
        </w:rPr>
      </w:pPr>
    </w:p>
    <w:p>
      <w:pPr>
        <w:kinsoku/>
        <w:overflowPunct/>
        <w:topLinePunct w:val="0"/>
        <w:bidi w:val="0"/>
        <w:spacing w:line="300" w:lineRule="auto"/>
        <w:ind w:firstLine="420"/>
        <w:rPr>
          <w:szCs w:val="21"/>
        </w:rPr>
      </w:pPr>
      <w:r>
        <w:rPr>
          <w:szCs w:val="21"/>
        </w:rPr>
        <w:t>根据</w:t>
      </w:r>
      <w:r>
        <w:rPr>
          <w:szCs w:val="21"/>
          <w:u w:val="single"/>
        </w:rPr>
        <w:t xml:space="preserve">                 </w:t>
      </w:r>
      <w:r>
        <w:rPr>
          <w:szCs w:val="21"/>
        </w:rPr>
        <w:t>（承包人名称）（以下称</w:t>
      </w:r>
      <w:r>
        <w:rPr>
          <w:rFonts w:hint="eastAsia"/>
          <w:szCs w:val="21"/>
        </w:rPr>
        <w:t>“</w:t>
      </w:r>
      <w:r>
        <w:rPr>
          <w:szCs w:val="21"/>
        </w:rPr>
        <w:t>承包人</w:t>
      </w:r>
      <w:r>
        <w:rPr>
          <w:rFonts w:hint="eastAsia"/>
          <w:szCs w:val="21"/>
        </w:rPr>
        <w:t>”</w:t>
      </w:r>
      <w:r>
        <w:rPr>
          <w:szCs w:val="21"/>
        </w:rPr>
        <w:t>）与</w:t>
      </w:r>
      <w:r>
        <w:rPr>
          <w:szCs w:val="21"/>
          <w:u w:val="single"/>
        </w:rPr>
        <w:t xml:space="preserve">               </w:t>
      </w:r>
      <w:r>
        <w:rPr>
          <w:szCs w:val="21"/>
        </w:rPr>
        <w:t>（发包人名称）（以下简称</w:t>
      </w:r>
      <w:r>
        <w:rPr>
          <w:rFonts w:hint="eastAsia"/>
          <w:szCs w:val="21"/>
        </w:rPr>
        <w:t>“</w:t>
      </w:r>
      <w:r>
        <w:rPr>
          <w:szCs w:val="21"/>
        </w:rPr>
        <w:t>发包人</w:t>
      </w:r>
      <w:r>
        <w:rPr>
          <w:rFonts w:hint="eastAsia"/>
          <w:szCs w:val="21"/>
        </w:rPr>
        <w:t>”</w:t>
      </w:r>
      <w:r>
        <w:rPr>
          <w:szCs w:val="21"/>
        </w:rPr>
        <w:t>）于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日签订的</w:t>
      </w:r>
      <w:r>
        <w:rPr>
          <w:szCs w:val="21"/>
          <w:u w:val="single"/>
        </w:rPr>
        <w:t xml:space="preserve">                   </w:t>
      </w:r>
      <w:r>
        <w:rPr>
          <w:szCs w:val="21"/>
        </w:rPr>
        <w:t>（工程名称）《建设工程施工合同》，承包人按约定的金额向</w:t>
      </w:r>
      <w:r>
        <w:rPr>
          <w:rFonts w:hint="eastAsia"/>
          <w:szCs w:val="21"/>
        </w:rPr>
        <w:t>你方</w:t>
      </w:r>
      <w:r>
        <w:rPr>
          <w:szCs w:val="21"/>
        </w:rPr>
        <w:t>提交一份预付款担保，即有权得到</w:t>
      </w:r>
      <w:r>
        <w:rPr>
          <w:rFonts w:hint="eastAsia"/>
          <w:szCs w:val="21"/>
        </w:rPr>
        <w:t>你方</w:t>
      </w:r>
      <w:r>
        <w:rPr>
          <w:szCs w:val="21"/>
        </w:rPr>
        <w:t>支付相等金额的预付款。我方愿意就你方提供给承包人的预付款</w:t>
      </w:r>
      <w:r>
        <w:rPr>
          <w:rFonts w:hint="eastAsia"/>
          <w:szCs w:val="21"/>
        </w:rPr>
        <w:t>为承包人</w:t>
      </w:r>
      <w:r>
        <w:rPr>
          <w:szCs w:val="21"/>
        </w:rPr>
        <w:t>提供连带责任担保。</w:t>
      </w:r>
    </w:p>
    <w:p>
      <w:pPr>
        <w:kinsoku/>
        <w:overflowPunct/>
        <w:topLinePunct w:val="0"/>
        <w:bidi w:val="0"/>
        <w:spacing w:line="300" w:lineRule="auto"/>
        <w:ind w:firstLine="420"/>
        <w:rPr>
          <w:szCs w:val="21"/>
        </w:rPr>
      </w:pPr>
      <w:r>
        <w:rPr>
          <w:rFonts w:hint="eastAsia"/>
          <w:szCs w:val="21"/>
        </w:rPr>
        <w:t xml:space="preserve">1. </w:t>
      </w:r>
      <w:r>
        <w:rPr>
          <w:szCs w:val="21"/>
        </w:rPr>
        <w:t>担保金额人民币（大写）</w:t>
      </w:r>
      <w:r>
        <w:rPr>
          <w:szCs w:val="21"/>
          <w:u w:val="single"/>
        </w:rPr>
        <w:t xml:space="preserve">                </w:t>
      </w:r>
      <w:r>
        <w:rPr>
          <w:rFonts w:hint="eastAsia"/>
          <w:szCs w:val="21"/>
        </w:rPr>
        <w:t>元</w:t>
      </w:r>
      <w:r>
        <w:rPr>
          <w:szCs w:val="21"/>
        </w:rPr>
        <w:t>（¥</w:t>
      </w:r>
      <w:r>
        <w:rPr>
          <w:szCs w:val="21"/>
          <w:u w:val="single"/>
        </w:rPr>
        <w:t xml:space="preserve">             </w:t>
      </w:r>
      <w:r>
        <w:rPr>
          <w:szCs w:val="21"/>
        </w:rPr>
        <w:t>）。</w:t>
      </w:r>
    </w:p>
    <w:p>
      <w:pPr>
        <w:kinsoku/>
        <w:overflowPunct/>
        <w:topLinePunct w:val="0"/>
        <w:bidi w:val="0"/>
        <w:spacing w:line="300" w:lineRule="auto"/>
        <w:ind w:firstLine="420"/>
        <w:rPr>
          <w:szCs w:val="21"/>
        </w:rPr>
      </w:pPr>
      <w:r>
        <w:rPr>
          <w:rFonts w:hint="eastAsia"/>
          <w:szCs w:val="21"/>
        </w:rPr>
        <w:t xml:space="preserve">2. </w:t>
      </w:r>
      <w:r>
        <w:rPr>
          <w:szCs w:val="21"/>
        </w:rPr>
        <w:t>担保有效期自预付款支付给承包人起生效，至</w:t>
      </w:r>
      <w:r>
        <w:rPr>
          <w:rFonts w:hint="eastAsia"/>
          <w:szCs w:val="21"/>
        </w:rPr>
        <w:t>你方</w:t>
      </w:r>
      <w:r>
        <w:rPr>
          <w:szCs w:val="21"/>
        </w:rPr>
        <w:t>签发的</w:t>
      </w:r>
      <w:r>
        <w:rPr>
          <w:rFonts w:hint="eastAsia"/>
          <w:szCs w:val="21"/>
        </w:rPr>
        <w:t>进</w:t>
      </w:r>
      <w:r>
        <w:rPr>
          <w:szCs w:val="21"/>
        </w:rPr>
        <w:t>度款支付证书说明已完全扣清止。</w:t>
      </w:r>
    </w:p>
    <w:p>
      <w:pPr>
        <w:kinsoku/>
        <w:overflowPunct/>
        <w:topLinePunct w:val="0"/>
        <w:bidi w:val="0"/>
        <w:spacing w:line="300" w:lineRule="auto"/>
        <w:ind w:firstLine="420"/>
        <w:rPr>
          <w:szCs w:val="21"/>
        </w:rPr>
      </w:pPr>
      <w:r>
        <w:rPr>
          <w:rFonts w:hint="eastAsia"/>
          <w:szCs w:val="21"/>
        </w:rPr>
        <w:t xml:space="preserve">3. </w:t>
      </w:r>
      <w:r>
        <w:rPr>
          <w:szCs w:val="21"/>
        </w:rPr>
        <w:t>在本保函有效期内，因承包人违反合同约定的义务而要求</w:t>
      </w:r>
      <w:r>
        <w:rPr>
          <w:rFonts w:hint="eastAsia"/>
          <w:szCs w:val="21"/>
        </w:rPr>
        <w:t>收</w:t>
      </w:r>
      <w:r>
        <w:rPr>
          <w:szCs w:val="21"/>
        </w:rPr>
        <w:t>回预付款时，我方在收到你方的书面通知后，在７天内无条件支付。但本保函的担保金额，在任何时候不应超过预付款金额减去</w:t>
      </w:r>
      <w:r>
        <w:rPr>
          <w:rFonts w:hint="eastAsia"/>
          <w:szCs w:val="21"/>
        </w:rPr>
        <w:t>你方</w:t>
      </w:r>
      <w:r>
        <w:rPr>
          <w:szCs w:val="21"/>
        </w:rPr>
        <w:t>按合同约定在向承包人签发的进度款支付证书中扣除的金额。</w:t>
      </w:r>
    </w:p>
    <w:p>
      <w:pPr>
        <w:kinsoku/>
        <w:overflowPunct/>
        <w:topLinePunct w:val="0"/>
        <w:bidi w:val="0"/>
        <w:spacing w:line="300" w:lineRule="auto"/>
        <w:ind w:firstLine="420"/>
        <w:rPr>
          <w:szCs w:val="21"/>
        </w:rPr>
      </w:pPr>
      <w:r>
        <w:rPr>
          <w:rFonts w:hint="eastAsia"/>
          <w:szCs w:val="21"/>
        </w:rPr>
        <w:t>4. 你方</w:t>
      </w:r>
      <w:r>
        <w:rPr>
          <w:szCs w:val="21"/>
        </w:rPr>
        <w:t>和承包人按合同约定变更合同时，我方承担本保函规定的义务不变。</w:t>
      </w:r>
    </w:p>
    <w:p>
      <w:pPr>
        <w:kinsoku/>
        <w:overflowPunct/>
        <w:topLinePunct w:val="0"/>
        <w:bidi w:val="0"/>
        <w:spacing w:line="300" w:lineRule="auto"/>
        <w:ind w:firstLine="420"/>
        <w:rPr>
          <w:szCs w:val="21"/>
        </w:rPr>
      </w:pPr>
      <w:r>
        <w:rPr>
          <w:rFonts w:hint="eastAsia"/>
          <w:szCs w:val="21"/>
        </w:rPr>
        <w:t xml:space="preserve">5. </w:t>
      </w:r>
      <w:r>
        <w:rPr>
          <w:szCs w:val="21"/>
        </w:rPr>
        <w:t>因本保函发生的纠纷，可由双方协商解决，协商不成的，任何一方均可提请</w:t>
      </w:r>
      <w:r>
        <w:rPr>
          <w:szCs w:val="21"/>
          <w:u w:val="single"/>
        </w:rPr>
        <w:t xml:space="preserve">        </w:t>
      </w:r>
      <w:r>
        <w:rPr>
          <w:szCs w:val="21"/>
        </w:rPr>
        <w:t>仲裁委员会仲裁。</w:t>
      </w:r>
    </w:p>
    <w:p>
      <w:pPr>
        <w:kinsoku/>
        <w:overflowPunct/>
        <w:topLinePunct w:val="0"/>
        <w:bidi w:val="0"/>
        <w:spacing w:line="300" w:lineRule="auto"/>
        <w:ind w:firstLine="420"/>
        <w:rPr>
          <w:szCs w:val="21"/>
        </w:rPr>
      </w:pPr>
      <w:r>
        <w:rPr>
          <w:rFonts w:hint="eastAsia"/>
          <w:szCs w:val="21"/>
        </w:rPr>
        <w:t xml:space="preserve">6. </w:t>
      </w:r>
      <w:r>
        <w:rPr>
          <w:szCs w:val="21"/>
        </w:rPr>
        <w:t>本保函自我方法定代表人（或其授权代理人）签字并加盖公章之日起生效。</w:t>
      </w:r>
    </w:p>
    <w:p>
      <w:pPr>
        <w:kinsoku/>
        <w:overflowPunct/>
        <w:topLinePunct w:val="0"/>
        <w:bidi w:val="0"/>
        <w:spacing w:line="300" w:lineRule="auto"/>
        <w:ind w:firstLine="420"/>
        <w:rPr>
          <w:szCs w:val="21"/>
        </w:rPr>
      </w:pPr>
    </w:p>
    <w:p>
      <w:pPr>
        <w:kinsoku/>
        <w:overflowPunct/>
        <w:topLinePunct w:val="0"/>
        <w:bidi w:val="0"/>
        <w:spacing w:line="300" w:lineRule="auto"/>
        <w:ind w:firstLine="420"/>
        <w:rPr>
          <w:szCs w:val="21"/>
        </w:rPr>
      </w:pPr>
    </w:p>
    <w:p>
      <w:pPr>
        <w:kinsoku/>
        <w:overflowPunct/>
        <w:topLinePunct w:val="0"/>
        <w:bidi w:val="0"/>
        <w:spacing w:line="300" w:lineRule="auto"/>
        <w:ind w:firstLine="420"/>
        <w:rPr>
          <w:szCs w:val="21"/>
        </w:rPr>
      </w:pPr>
      <w:r>
        <w:rPr>
          <w:szCs w:val="21"/>
        </w:rPr>
        <w:t>担保人：</w:t>
      </w:r>
      <w:r>
        <w:rPr>
          <w:szCs w:val="21"/>
          <w:u w:val="single"/>
        </w:rPr>
        <w:t xml:space="preserve">      </w:t>
      </w:r>
      <w:r>
        <w:rPr>
          <w:rFonts w:hint="eastAsia"/>
          <w:szCs w:val="21"/>
          <w:u w:val="single"/>
        </w:rPr>
        <w:t xml:space="preserve">          </w:t>
      </w:r>
      <w:r>
        <w:rPr>
          <w:szCs w:val="21"/>
          <w:u w:val="single"/>
        </w:rPr>
        <w:t xml:space="preserve">          </w:t>
      </w:r>
      <w:r>
        <w:rPr>
          <w:szCs w:val="21"/>
        </w:rPr>
        <w:t>（盖单位章）</w:t>
      </w:r>
    </w:p>
    <w:p>
      <w:pPr>
        <w:kinsoku/>
        <w:overflowPunct/>
        <w:topLinePunct w:val="0"/>
        <w:bidi w:val="0"/>
        <w:spacing w:line="300" w:lineRule="auto"/>
        <w:ind w:firstLine="420"/>
        <w:rPr>
          <w:szCs w:val="21"/>
        </w:rPr>
      </w:pPr>
      <w:r>
        <w:rPr>
          <w:szCs w:val="21"/>
        </w:rPr>
        <w:t>法定代表人或其委托代理人：</w:t>
      </w:r>
      <w:r>
        <w:rPr>
          <w:szCs w:val="21"/>
          <w:u w:val="single"/>
        </w:rPr>
        <w:t xml:space="preserve">    </w:t>
      </w:r>
      <w:r>
        <w:rPr>
          <w:rFonts w:hint="eastAsia"/>
          <w:szCs w:val="21"/>
          <w:u w:val="single"/>
        </w:rPr>
        <w:t xml:space="preserve">       </w:t>
      </w:r>
      <w:r>
        <w:rPr>
          <w:szCs w:val="21"/>
          <w:u w:val="single"/>
        </w:rPr>
        <w:t xml:space="preserve"> </w:t>
      </w:r>
      <w:r>
        <w:rPr>
          <w:szCs w:val="21"/>
        </w:rPr>
        <w:t>（签字）</w:t>
      </w:r>
    </w:p>
    <w:p>
      <w:pPr>
        <w:kinsoku/>
        <w:overflowPunct/>
        <w:topLinePunct w:val="0"/>
        <w:bidi w:val="0"/>
        <w:spacing w:line="300" w:lineRule="auto"/>
        <w:ind w:firstLine="420"/>
        <w:rPr>
          <w:szCs w:val="21"/>
        </w:rPr>
      </w:pPr>
      <w:r>
        <w:rPr>
          <w:szCs w:val="21"/>
        </w:rPr>
        <w:t>地    址：</w:t>
      </w:r>
      <w:r>
        <w:rPr>
          <w:szCs w:val="21"/>
          <w:u w:val="single"/>
        </w:rPr>
        <w:tab/>
      </w:r>
      <w:r>
        <w:rPr>
          <w:szCs w:val="21"/>
          <w:u w:val="single"/>
        </w:rPr>
        <w:tab/>
      </w:r>
      <w:r>
        <w:rPr>
          <w:rFonts w:hint="eastAsia"/>
          <w:szCs w:val="21"/>
          <w:u w:val="single"/>
        </w:rPr>
        <w:t xml:space="preserve">  </w:t>
      </w:r>
      <w:r>
        <w:rPr>
          <w:szCs w:val="21"/>
          <w:u w:val="single"/>
        </w:rPr>
        <w:tab/>
      </w:r>
      <w:r>
        <w:rPr>
          <w:szCs w:val="21"/>
          <w:u w:val="single"/>
        </w:rPr>
        <w:tab/>
      </w:r>
      <w:r>
        <w:rPr>
          <w:rFonts w:hint="eastAsia"/>
          <w:szCs w:val="21"/>
          <w:u w:val="single"/>
        </w:rPr>
        <w:t xml:space="preserve">                   </w:t>
      </w:r>
      <w:r>
        <w:rPr>
          <w:szCs w:val="21"/>
          <w:u w:val="single"/>
        </w:rPr>
        <w:tab/>
      </w:r>
      <w:r>
        <w:rPr>
          <w:szCs w:val="21"/>
          <w:u w:val="single"/>
        </w:rPr>
        <w:tab/>
      </w:r>
      <w:r>
        <w:rPr>
          <w:szCs w:val="21"/>
          <w:u w:val="single"/>
        </w:rPr>
        <w:tab/>
      </w:r>
    </w:p>
    <w:p>
      <w:pPr>
        <w:kinsoku/>
        <w:overflowPunct/>
        <w:topLinePunct w:val="0"/>
        <w:bidi w:val="0"/>
        <w:spacing w:line="300" w:lineRule="auto"/>
        <w:ind w:firstLine="420"/>
        <w:rPr>
          <w:szCs w:val="21"/>
          <w:u w:val="single"/>
        </w:rPr>
      </w:pPr>
      <w:r>
        <w:rPr>
          <w:szCs w:val="21"/>
        </w:rPr>
        <w:t>邮政编码：</w:t>
      </w:r>
      <w:r>
        <w:rPr>
          <w:szCs w:val="21"/>
          <w:u w:val="single"/>
        </w:rPr>
        <w:tab/>
      </w:r>
      <w:r>
        <w:rPr>
          <w:szCs w:val="21"/>
          <w:u w:val="single"/>
        </w:rPr>
        <w:tab/>
      </w:r>
      <w:r>
        <w:rPr>
          <w:rFonts w:hint="eastAsia"/>
          <w:szCs w:val="21"/>
          <w:u w:val="single"/>
        </w:rPr>
        <w:t xml:space="preserve">  </w:t>
      </w:r>
      <w:r>
        <w:rPr>
          <w:szCs w:val="21"/>
          <w:u w:val="single"/>
        </w:rPr>
        <w:tab/>
      </w:r>
      <w:r>
        <w:rPr>
          <w:szCs w:val="21"/>
          <w:u w:val="single"/>
        </w:rPr>
        <w:tab/>
      </w:r>
      <w:r>
        <w:rPr>
          <w:rFonts w:hint="eastAsia"/>
          <w:szCs w:val="21"/>
          <w:u w:val="single"/>
        </w:rPr>
        <w:t xml:space="preserve">                   </w:t>
      </w:r>
      <w:r>
        <w:rPr>
          <w:szCs w:val="21"/>
          <w:u w:val="single"/>
        </w:rPr>
        <w:tab/>
      </w:r>
      <w:r>
        <w:rPr>
          <w:szCs w:val="21"/>
          <w:u w:val="single"/>
        </w:rPr>
        <w:tab/>
      </w:r>
      <w:r>
        <w:rPr>
          <w:szCs w:val="21"/>
          <w:u w:val="single"/>
        </w:rPr>
        <w:tab/>
      </w:r>
    </w:p>
    <w:p>
      <w:pPr>
        <w:kinsoku/>
        <w:overflowPunct/>
        <w:topLinePunct w:val="0"/>
        <w:bidi w:val="0"/>
        <w:spacing w:line="300" w:lineRule="auto"/>
        <w:ind w:firstLine="420"/>
        <w:rPr>
          <w:szCs w:val="21"/>
          <w:u w:val="single"/>
        </w:rPr>
      </w:pPr>
      <w:r>
        <w:rPr>
          <w:szCs w:val="21"/>
        </w:rPr>
        <w:t>电    话：</w:t>
      </w:r>
      <w:r>
        <w:rPr>
          <w:szCs w:val="21"/>
          <w:u w:val="single"/>
        </w:rPr>
        <w:tab/>
      </w:r>
      <w:r>
        <w:rPr>
          <w:szCs w:val="21"/>
          <w:u w:val="single"/>
        </w:rPr>
        <w:tab/>
      </w:r>
      <w:r>
        <w:rPr>
          <w:rFonts w:hint="eastAsia"/>
          <w:szCs w:val="21"/>
          <w:u w:val="single"/>
        </w:rPr>
        <w:t xml:space="preserve">  </w:t>
      </w:r>
      <w:r>
        <w:rPr>
          <w:szCs w:val="21"/>
          <w:u w:val="single"/>
        </w:rPr>
        <w:tab/>
      </w:r>
      <w:r>
        <w:rPr>
          <w:szCs w:val="21"/>
          <w:u w:val="single"/>
        </w:rPr>
        <w:tab/>
      </w:r>
      <w:r>
        <w:rPr>
          <w:rFonts w:hint="eastAsia"/>
          <w:szCs w:val="21"/>
          <w:u w:val="single"/>
        </w:rPr>
        <w:t xml:space="preserve">                   </w:t>
      </w:r>
      <w:r>
        <w:rPr>
          <w:szCs w:val="21"/>
          <w:u w:val="single"/>
        </w:rPr>
        <w:tab/>
      </w:r>
      <w:r>
        <w:rPr>
          <w:szCs w:val="21"/>
          <w:u w:val="single"/>
        </w:rPr>
        <w:tab/>
      </w:r>
      <w:r>
        <w:rPr>
          <w:szCs w:val="21"/>
          <w:u w:val="single"/>
        </w:rPr>
        <w:tab/>
      </w:r>
    </w:p>
    <w:p>
      <w:pPr>
        <w:kinsoku/>
        <w:overflowPunct/>
        <w:topLinePunct w:val="0"/>
        <w:bidi w:val="0"/>
        <w:spacing w:line="300" w:lineRule="auto"/>
        <w:ind w:firstLine="420"/>
        <w:rPr>
          <w:szCs w:val="21"/>
          <w:u w:val="single"/>
        </w:rPr>
      </w:pPr>
      <w:r>
        <w:rPr>
          <w:szCs w:val="21"/>
        </w:rPr>
        <w:t>传    真：</w:t>
      </w:r>
      <w:r>
        <w:rPr>
          <w:szCs w:val="21"/>
          <w:u w:val="single"/>
        </w:rPr>
        <w:tab/>
      </w:r>
      <w:r>
        <w:rPr>
          <w:szCs w:val="21"/>
          <w:u w:val="single"/>
        </w:rPr>
        <w:tab/>
      </w:r>
      <w:r>
        <w:rPr>
          <w:rFonts w:hint="eastAsia"/>
          <w:szCs w:val="21"/>
          <w:u w:val="single"/>
        </w:rPr>
        <w:t xml:space="preserve">  </w:t>
      </w:r>
      <w:r>
        <w:rPr>
          <w:szCs w:val="21"/>
          <w:u w:val="single"/>
        </w:rPr>
        <w:tab/>
      </w:r>
      <w:r>
        <w:rPr>
          <w:szCs w:val="21"/>
          <w:u w:val="single"/>
        </w:rPr>
        <w:tab/>
      </w:r>
      <w:r>
        <w:rPr>
          <w:rFonts w:hint="eastAsia"/>
          <w:szCs w:val="21"/>
          <w:u w:val="single"/>
        </w:rPr>
        <w:t xml:space="preserve">                   </w:t>
      </w:r>
      <w:r>
        <w:rPr>
          <w:szCs w:val="21"/>
          <w:u w:val="single"/>
        </w:rPr>
        <w:tab/>
      </w:r>
      <w:r>
        <w:rPr>
          <w:szCs w:val="21"/>
          <w:u w:val="single"/>
        </w:rPr>
        <w:tab/>
      </w:r>
      <w:r>
        <w:rPr>
          <w:szCs w:val="21"/>
          <w:u w:val="single"/>
        </w:rPr>
        <w:tab/>
      </w:r>
    </w:p>
    <w:p>
      <w:pPr>
        <w:kinsoku/>
        <w:overflowPunct/>
        <w:topLinePunct w:val="0"/>
        <w:bidi w:val="0"/>
        <w:spacing w:line="300" w:lineRule="auto"/>
        <w:ind w:firstLine="420"/>
        <w:rPr>
          <w:szCs w:val="21"/>
        </w:rPr>
      </w:pPr>
      <w:r>
        <w:rPr>
          <w:szCs w:val="21"/>
        </w:rPr>
        <w:t xml:space="preserve">  </w:t>
      </w:r>
    </w:p>
    <w:p>
      <w:pPr>
        <w:kinsoku/>
        <w:overflowPunct/>
        <w:topLinePunct w:val="0"/>
        <w:bidi w:val="0"/>
        <w:spacing w:line="300" w:lineRule="auto"/>
        <w:ind w:firstLine="420"/>
        <w:jc w:val="right"/>
        <w:rPr>
          <w:szCs w:val="21"/>
        </w:rPr>
      </w:pPr>
      <w:r>
        <w:rPr>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kinsoku/>
        <w:overflowPunct/>
        <w:topLinePunct w:val="0"/>
        <w:bidi w:val="0"/>
        <w:spacing w:after="156" w:afterLines="50" w:line="300" w:lineRule="auto"/>
        <w:rPr>
          <w:b/>
          <w:szCs w:val="21"/>
        </w:rPr>
      </w:pPr>
      <w:r>
        <w:rPr>
          <w:szCs w:val="21"/>
        </w:rPr>
        <w:br w:type="page"/>
      </w:r>
      <w:r>
        <w:rPr>
          <w:b/>
          <w:szCs w:val="21"/>
        </w:rPr>
        <w:t>附</w:t>
      </w:r>
      <w:bookmarkStart w:id="1912" w:name="_Toc296891273"/>
      <w:bookmarkStart w:id="1913" w:name="_Toc296347232"/>
      <w:bookmarkStart w:id="1914" w:name="_Toc296891061"/>
      <w:bookmarkStart w:id="1915" w:name="_Toc296346734"/>
      <w:bookmarkStart w:id="1916" w:name="_Toc296944572"/>
      <w:bookmarkStart w:id="1917" w:name="_Toc296503233"/>
      <w:r>
        <w:rPr>
          <w:b/>
          <w:szCs w:val="21"/>
        </w:rPr>
        <w:t>件</w:t>
      </w:r>
      <w:r>
        <w:rPr>
          <w:rFonts w:hint="eastAsia"/>
          <w:b/>
          <w:szCs w:val="21"/>
        </w:rPr>
        <w:t>10</w:t>
      </w:r>
      <w:r>
        <w:rPr>
          <w:b/>
          <w:szCs w:val="21"/>
        </w:rPr>
        <w:t xml:space="preserve">:  </w:t>
      </w:r>
      <w:r>
        <w:rPr>
          <w:rFonts w:hint="eastAsia"/>
          <w:b/>
          <w:szCs w:val="21"/>
        </w:rPr>
        <w:t>支付担保格式</w:t>
      </w:r>
    </w:p>
    <w:bookmarkEnd w:id="1912"/>
    <w:bookmarkEnd w:id="1913"/>
    <w:bookmarkEnd w:id="1914"/>
    <w:bookmarkEnd w:id="1915"/>
    <w:bookmarkEnd w:id="1916"/>
    <w:bookmarkEnd w:id="1917"/>
    <w:p>
      <w:pPr>
        <w:kinsoku/>
        <w:overflowPunct/>
        <w:topLinePunct w:val="0"/>
        <w:bidi w:val="0"/>
        <w:spacing w:after="156" w:afterLines="50" w:line="300" w:lineRule="auto"/>
        <w:jc w:val="center"/>
        <w:rPr>
          <w:b/>
          <w:sz w:val="28"/>
          <w:szCs w:val="28"/>
        </w:rPr>
      </w:pPr>
      <w:r>
        <w:rPr>
          <w:b/>
          <w:sz w:val="28"/>
          <w:szCs w:val="28"/>
        </w:rPr>
        <w:t>支付担保</w:t>
      </w:r>
    </w:p>
    <w:p>
      <w:pPr>
        <w:kinsoku/>
        <w:overflowPunct/>
        <w:topLinePunct w:val="0"/>
        <w:bidi w:val="0"/>
        <w:spacing w:line="300" w:lineRule="auto"/>
        <w:ind w:firstLine="420"/>
        <w:rPr>
          <w:szCs w:val="21"/>
        </w:rPr>
      </w:pPr>
      <w:r>
        <w:rPr>
          <w:szCs w:val="21"/>
          <w:u w:val="single"/>
        </w:rPr>
        <w:t xml:space="preserve">             </w:t>
      </w:r>
      <w:r>
        <w:rPr>
          <w:szCs w:val="21"/>
        </w:rPr>
        <w:t>（承包人）：</w:t>
      </w:r>
    </w:p>
    <w:p>
      <w:pPr>
        <w:kinsoku/>
        <w:overflowPunct/>
        <w:topLinePunct w:val="0"/>
        <w:bidi w:val="0"/>
        <w:spacing w:line="300" w:lineRule="auto"/>
        <w:ind w:firstLine="420"/>
        <w:rPr>
          <w:szCs w:val="21"/>
        </w:rPr>
      </w:pPr>
    </w:p>
    <w:p>
      <w:pPr>
        <w:kinsoku/>
        <w:overflowPunct/>
        <w:topLinePunct w:val="0"/>
        <w:bidi w:val="0"/>
        <w:spacing w:line="300" w:lineRule="auto"/>
        <w:ind w:firstLine="420"/>
        <w:rPr>
          <w:szCs w:val="21"/>
        </w:rPr>
      </w:pPr>
      <w:r>
        <w:rPr>
          <w:szCs w:val="21"/>
        </w:rPr>
        <w:t>鉴于你方作为承包人已经与</w:t>
      </w:r>
      <w:r>
        <w:rPr>
          <w:szCs w:val="21"/>
          <w:u w:val="single"/>
        </w:rPr>
        <w:t xml:space="preserve">    </w:t>
      </w:r>
      <w:r>
        <w:rPr>
          <w:rFonts w:hint="eastAsia"/>
          <w:szCs w:val="21"/>
          <w:u w:val="single"/>
        </w:rPr>
        <w:t xml:space="preserve">    </w:t>
      </w:r>
      <w:r>
        <w:rPr>
          <w:szCs w:val="21"/>
          <w:u w:val="single"/>
        </w:rPr>
        <w:t xml:space="preserve">  </w:t>
      </w:r>
      <w:r>
        <w:rPr>
          <w:szCs w:val="21"/>
        </w:rPr>
        <w:t>（发包人名称）（以下称</w:t>
      </w:r>
      <w:r>
        <w:rPr>
          <w:rFonts w:hint="eastAsia"/>
          <w:szCs w:val="21"/>
        </w:rPr>
        <w:t>“</w:t>
      </w:r>
      <w:r>
        <w:rPr>
          <w:szCs w:val="21"/>
        </w:rPr>
        <w:t>发包人</w:t>
      </w:r>
      <w:r>
        <w:rPr>
          <w:rFonts w:hint="eastAsia"/>
          <w:szCs w:val="21"/>
        </w:rPr>
        <w:t>”</w:t>
      </w:r>
      <w:r>
        <w:rPr>
          <w:szCs w:val="21"/>
        </w:rPr>
        <w:t>）于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日签订了</w:t>
      </w:r>
      <w:r>
        <w:rPr>
          <w:szCs w:val="21"/>
          <w:u w:val="single"/>
        </w:rPr>
        <w:t xml:space="preserve">             </w:t>
      </w:r>
      <w:r>
        <w:rPr>
          <w:szCs w:val="21"/>
        </w:rPr>
        <w:t>（工程名称）《建设工程施工合同》（以下称</w:t>
      </w:r>
      <w:r>
        <w:rPr>
          <w:rFonts w:hint="eastAsia"/>
          <w:szCs w:val="21"/>
        </w:rPr>
        <w:t>“</w:t>
      </w:r>
      <w:r>
        <w:rPr>
          <w:szCs w:val="21"/>
        </w:rPr>
        <w:t>主合同</w:t>
      </w:r>
      <w:r>
        <w:rPr>
          <w:rFonts w:hint="eastAsia"/>
          <w:szCs w:val="21"/>
        </w:rPr>
        <w:t>”</w:t>
      </w:r>
      <w:r>
        <w:rPr>
          <w:szCs w:val="21"/>
        </w:rPr>
        <w:t>），应发包人的申请，我方愿就发包人履行主合同约定的工程款支付义务以保证的方式向你方提供如下担保：</w:t>
      </w:r>
    </w:p>
    <w:p>
      <w:pPr>
        <w:kinsoku/>
        <w:overflowPunct/>
        <w:topLinePunct w:val="0"/>
        <w:bidi w:val="0"/>
        <w:spacing w:line="300" w:lineRule="auto"/>
        <w:ind w:firstLine="420"/>
        <w:rPr>
          <w:szCs w:val="21"/>
        </w:rPr>
      </w:pPr>
      <w:r>
        <w:rPr>
          <w:szCs w:val="21"/>
        </w:rPr>
        <w:t>一、保证的范围及保证金额</w:t>
      </w:r>
    </w:p>
    <w:p>
      <w:pPr>
        <w:kinsoku/>
        <w:overflowPunct/>
        <w:topLinePunct w:val="0"/>
        <w:bidi w:val="0"/>
        <w:spacing w:line="300" w:lineRule="auto"/>
        <w:ind w:firstLine="420"/>
        <w:rPr>
          <w:szCs w:val="21"/>
        </w:rPr>
      </w:pPr>
      <w:r>
        <w:rPr>
          <w:rFonts w:hint="eastAsia"/>
          <w:szCs w:val="21"/>
        </w:rPr>
        <w:t xml:space="preserve">1. </w:t>
      </w:r>
      <w:r>
        <w:rPr>
          <w:szCs w:val="21"/>
        </w:rPr>
        <w:t>我方的保证范围是主合同约定的工程款。</w:t>
      </w:r>
    </w:p>
    <w:p>
      <w:pPr>
        <w:kinsoku/>
        <w:overflowPunct/>
        <w:topLinePunct w:val="0"/>
        <w:bidi w:val="0"/>
        <w:spacing w:line="300" w:lineRule="auto"/>
        <w:ind w:firstLine="420"/>
        <w:rPr>
          <w:szCs w:val="21"/>
        </w:rPr>
      </w:pPr>
      <w:r>
        <w:rPr>
          <w:rFonts w:hint="eastAsia"/>
          <w:szCs w:val="21"/>
        </w:rPr>
        <w:t xml:space="preserve">2. </w:t>
      </w:r>
      <w:r>
        <w:rPr>
          <w:szCs w:val="21"/>
        </w:rPr>
        <w:t>本保函所称主合同约定的工程款是指主合同约定的除工程质量保证金以外的合同价款。</w:t>
      </w:r>
    </w:p>
    <w:p>
      <w:pPr>
        <w:kinsoku/>
        <w:overflowPunct/>
        <w:topLinePunct w:val="0"/>
        <w:bidi w:val="0"/>
        <w:spacing w:line="300" w:lineRule="auto"/>
        <w:ind w:firstLine="420"/>
        <w:rPr>
          <w:szCs w:val="21"/>
        </w:rPr>
      </w:pPr>
      <w:r>
        <w:rPr>
          <w:rFonts w:hint="eastAsia"/>
          <w:szCs w:val="21"/>
        </w:rPr>
        <w:t xml:space="preserve">3. </w:t>
      </w:r>
      <w:r>
        <w:rPr>
          <w:szCs w:val="21"/>
        </w:rPr>
        <w:t>我方保证的金额是主合同约定的工程款的</w:t>
      </w:r>
      <w:r>
        <w:rPr>
          <w:szCs w:val="21"/>
          <w:u w:val="single"/>
        </w:rPr>
        <w:t xml:space="preserve">   </w:t>
      </w:r>
      <w:r>
        <w:rPr>
          <w:szCs w:val="21"/>
        </w:rPr>
        <w:t>%，数额最高不超过人民币元（</w:t>
      </w:r>
      <w:r>
        <w:rPr>
          <w:rFonts w:hint="eastAsia"/>
          <w:szCs w:val="21"/>
        </w:rPr>
        <w:t>大</w:t>
      </w:r>
      <w:r>
        <w:rPr>
          <w:szCs w:val="21"/>
        </w:rPr>
        <w:t>写：</w:t>
      </w:r>
      <w:r>
        <w:rPr>
          <w:szCs w:val="21"/>
          <w:u w:val="single"/>
        </w:rPr>
        <w:t xml:space="preserve">      </w:t>
      </w:r>
      <w:r>
        <w:rPr>
          <w:szCs w:val="21"/>
        </w:rPr>
        <w:t>）。</w:t>
      </w:r>
    </w:p>
    <w:p>
      <w:pPr>
        <w:kinsoku/>
        <w:overflowPunct/>
        <w:topLinePunct w:val="0"/>
        <w:bidi w:val="0"/>
        <w:spacing w:line="300" w:lineRule="auto"/>
        <w:ind w:firstLine="420"/>
        <w:rPr>
          <w:szCs w:val="21"/>
        </w:rPr>
      </w:pPr>
      <w:r>
        <w:rPr>
          <w:szCs w:val="21"/>
        </w:rPr>
        <w:t>二、保证的方式及保证期间</w:t>
      </w:r>
    </w:p>
    <w:p>
      <w:pPr>
        <w:kinsoku/>
        <w:overflowPunct/>
        <w:topLinePunct w:val="0"/>
        <w:bidi w:val="0"/>
        <w:spacing w:line="300" w:lineRule="auto"/>
        <w:ind w:firstLine="420"/>
        <w:rPr>
          <w:szCs w:val="21"/>
        </w:rPr>
      </w:pPr>
      <w:r>
        <w:rPr>
          <w:rFonts w:hint="eastAsia"/>
          <w:szCs w:val="21"/>
        </w:rPr>
        <w:t xml:space="preserve">1. </w:t>
      </w:r>
      <w:r>
        <w:rPr>
          <w:szCs w:val="21"/>
        </w:rPr>
        <w:t>我方保证的方式为：连带责任保证。</w:t>
      </w:r>
    </w:p>
    <w:p>
      <w:pPr>
        <w:kinsoku/>
        <w:overflowPunct/>
        <w:topLinePunct w:val="0"/>
        <w:bidi w:val="0"/>
        <w:spacing w:line="300" w:lineRule="auto"/>
        <w:ind w:firstLine="420"/>
        <w:rPr>
          <w:szCs w:val="21"/>
        </w:rPr>
      </w:pPr>
      <w:r>
        <w:rPr>
          <w:rFonts w:hint="eastAsia"/>
          <w:szCs w:val="21"/>
        </w:rPr>
        <w:t xml:space="preserve">2. </w:t>
      </w:r>
      <w:r>
        <w:rPr>
          <w:szCs w:val="21"/>
        </w:rPr>
        <w:t>我方保证的期间为：自本合同生效之日起至主合同约定的工程款支付完毕之日后</w:t>
      </w:r>
      <w:r>
        <w:rPr>
          <w:szCs w:val="21"/>
          <w:u w:val="single"/>
        </w:rPr>
        <w:t xml:space="preserve">    </w:t>
      </w:r>
      <w:r>
        <w:rPr>
          <w:szCs w:val="21"/>
        </w:rPr>
        <w:t>日内。</w:t>
      </w:r>
    </w:p>
    <w:p>
      <w:pPr>
        <w:kinsoku/>
        <w:overflowPunct/>
        <w:topLinePunct w:val="0"/>
        <w:bidi w:val="0"/>
        <w:spacing w:line="300" w:lineRule="auto"/>
        <w:ind w:firstLine="420"/>
        <w:rPr>
          <w:szCs w:val="21"/>
        </w:rPr>
      </w:pPr>
      <w:r>
        <w:rPr>
          <w:rFonts w:hint="eastAsia"/>
          <w:szCs w:val="21"/>
        </w:rPr>
        <w:t xml:space="preserve">3. </w:t>
      </w:r>
      <w:r>
        <w:rPr>
          <w:szCs w:val="21"/>
        </w:rPr>
        <w:t>你方与发包人协议变更工程款支付日期的，经我方书面同意后，保证期间按照变更后的支付日期做相应调整。</w:t>
      </w:r>
    </w:p>
    <w:p>
      <w:pPr>
        <w:kinsoku/>
        <w:overflowPunct/>
        <w:topLinePunct w:val="0"/>
        <w:bidi w:val="0"/>
        <w:spacing w:line="300" w:lineRule="auto"/>
        <w:ind w:firstLine="420"/>
        <w:rPr>
          <w:szCs w:val="21"/>
        </w:rPr>
      </w:pPr>
      <w:r>
        <w:rPr>
          <w:szCs w:val="21"/>
        </w:rPr>
        <w:t>三、承担保证责任的形式</w:t>
      </w:r>
    </w:p>
    <w:p>
      <w:pPr>
        <w:kinsoku/>
        <w:overflowPunct/>
        <w:topLinePunct w:val="0"/>
        <w:bidi w:val="0"/>
        <w:spacing w:line="300" w:lineRule="auto"/>
        <w:ind w:firstLine="420"/>
        <w:rPr>
          <w:szCs w:val="21"/>
        </w:rPr>
      </w:pPr>
      <w:r>
        <w:rPr>
          <w:szCs w:val="21"/>
        </w:rPr>
        <w:t>我方承担保证责任的形式是代为支付。发包人未按主合同约定向你方支付工程款的，由我方在保证金额内代为支付。</w:t>
      </w:r>
    </w:p>
    <w:p>
      <w:pPr>
        <w:kinsoku/>
        <w:overflowPunct/>
        <w:topLinePunct w:val="0"/>
        <w:bidi w:val="0"/>
        <w:spacing w:line="300" w:lineRule="auto"/>
        <w:ind w:firstLine="420"/>
        <w:rPr>
          <w:szCs w:val="21"/>
        </w:rPr>
      </w:pPr>
      <w:r>
        <w:rPr>
          <w:szCs w:val="21"/>
        </w:rPr>
        <w:t>四、代偿的安排</w:t>
      </w:r>
    </w:p>
    <w:p>
      <w:pPr>
        <w:kinsoku/>
        <w:overflowPunct/>
        <w:topLinePunct w:val="0"/>
        <w:bidi w:val="0"/>
        <w:spacing w:line="300" w:lineRule="auto"/>
        <w:ind w:firstLine="420"/>
        <w:rPr>
          <w:szCs w:val="21"/>
        </w:rPr>
      </w:pPr>
      <w:r>
        <w:rPr>
          <w:rFonts w:hint="eastAsia"/>
          <w:szCs w:val="21"/>
        </w:rPr>
        <w:t xml:space="preserve">1. </w:t>
      </w:r>
      <w:r>
        <w:rPr>
          <w:szCs w:val="21"/>
        </w:rPr>
        <w:t>你方要求我方承担保证责任的，应向我方发出书面索赔通知及发包人未支付主合同约定工程款的证明材料。索赔通知应写明要求索赔的金额，支付款项应到达的账号。</w:t>
      </w:r>
    </w:p>
    <w:p>
      <w:pPr>
        <w:kinsoku/>
        <w:overflowPunct/>
        <w:topLinePunct w:val="0"/>
        <w:bidi w:val="0"/>
        <w:spacing w:line="300" w:lineRule="auto"/>
        <w:ind w:firstLine="420"/>
        <w:rPr>
          <w:szCs w:val="21"/>
        </w:rPr>
      </w:pPr>
      <w:r>
        <w:rPr>
          <w:rFonts w:hint="eastAsia"/>
          <w:szCs w:val="21"/>
        </w:rPr>
        <w:t xml:space="preserve">2. </w:t>
      </w:r>
      <w:r>
        <w:rPr>
          <w:szCs w:val="21"/>
        </w:rPr>
        <w:t>在出现你方与发包人因工程质量发生争议，发包人拒绝向你方支付工程款的情形时，你方要求我方履行保证责任代为支付的，需提供符合相应条件要求的工程质量检测机构出具的质量说明材料。</w:t>
      </w:r>
    </w:p>
    <w:p>
      <w:pPr>
        <w:kinsoku/>
        <w:overflowPunct/>
        <w:topLinePunct w:val="0"/>
        <w:bidi w:val="0"/>
        <w:spacing w:line="300" w:lineRule="auto"/>
        <w:ind w:firstLine="420"/>
        <w:rPr>
          <w:szCs w:val="21"/>
        </w:rPr>
      </w:pPr>
      <w:r>
        <w:rPr>
          <w:rFonts w:hint="eastAsia"/>
          <w:szCs w:val="21"/>
        </w:rPr>
        <w:t xml:space="preserve">3. </w:t>
      </w:r>
      <w:r>
        <w:rPr>
          <w:szCs w:val="21"/>
        </w:rPr>
        <w:t>我方收到你方的书面索赔通知及相应的证明材料后７天内无条件支付。</w:t>
      </w:r>
    </w:p>
    <w:p>
      <w:pPr>
        <w:kinsoku/>
        <w:overflowPunct/>
        <w:topLinePunct w:val="0"/>
        <w:bidi w:val="0"/>
        <w:spacing w:line="300" w:lineRule="auto"/>
        <w:ind w:firstLine="420"/>
        <w:rPr>
          <w:szCs w:val="21"/>
        </w:rPr>
      </w:pPr>
      <w:r>
        <w:rPr>
          <w:szCs w:val="21"/>
        </w:rPr>
        <w:t>五、保证责任的解除</w:t>
      </w:r>
    </w:p>
    <w:p>
      <w:pPr>
        <w:kinsoku/>
        <w:overflowPunct/>
        <w:topLinePunct w:val="0"/>
        <w:bidi w:val="0"/>
        <w:spacing w:line="300" w:lineRule="auto"/>
        <w:ind w:firstLine="420"/>
        <w:rPr>
          <w:szCs w:val="21"/>
        </w:rPr>
      </w:pPr>
      <w:r>
        <w:rPr>
          <w:rFonts w:hint="eastAsia"/>
          <w:szCs w:val="21"/>
        </w:rPr>
        <w:t xml:space="preserve">1. </w:t>
      </w:r>
      <w:r>
        <w:rPr>
          <w:szCs w:val="21"/>
        </w:rPr>
        <w:t>在本保函承诺的保证期间内，你方未书面向我方主张保证责任的，自保证期间届满次日起，我方保证责任解除。</w:t>
      </w:r>
    </w:p>
    <w:p>
      <w:pPr>
        <w:kinsoku/>
        <w:overflowPunct/>
        <w:topLinePunct w:val="0"/>
        <w:bidi w:val="0"/>
        <w:spacing w:line="300" w:lineRule="auto"/>
        <w:ind w:firstLine="420"/>
        <w:rPr>
          <w:szCs w:val="21"/>
        </w:rPr>
      </w:pPr>
      <w:r>
        <w:rPr>
          <w:rFonts w:hint="eastAsia"/>
          <w:szCs w:val="21"/>
        </w:rPr>
        <w:t xml:space="preserve">2. </w:t>
      </w:r>
      <w:r>
        <w:rPr>
          <w:szCs w:val="21"/>
        </w:rPr>
        <w:t>发包人按主合同约定履行了工程款的全部支付义务的，自本保函承诺的保证期间届满次日起，我方保证责任解除。</w:t>
      </w:r>
    </w:p>
    <w:p>
      <w:pPr>
        <w:kinsoku/>
        <w:overflowPunct/>
        <w:topLinePunct w:val="0"/>
        <w:bidi w:val="0"/>
        <w:spacing w:line="300" w:lineRule="auto"/>
        <w:ind w:firstLine="420"/>
        <w:rPr>
          <w:szCs w:val="21"/>
        </w:rPr>
      </w:pPr>
      <w:r>
        <w:rPr>
          <w:rFonts w:hint="eastAsia"/>
          <w:szCs w:val="21"/>
        </w:rPr>
        <w:t xml:space="preserve">3. </w:t>
      </w:r>
      <w:r>
        <w:rPr>
          <w:szCs w:val="21"/>
        </w:rPr>
        <w:t>我方按照本保函向你方履行保证责任所支付金额达到本保函保证金额时，自我方向你方支付（支付款项从我方账户划出）之日起，保证责任即解除。</w:t>
      </w:r>
    </w:p>
    <w:p>
      <w:pPr>
        <w:kinsoku/>
        <w:overflowPunct/>
        <w:topLinePunct w:val="0"/>
        <w:bidi w:val="0"/>
        <w:spacing w:line="300" w:lineRule="auto"/>
        <w:ind w:firstLine="420"/>
        <w:rPr>
          <w:szCs w:val="21"/>
        </w:rPr>
      </w:pPr>
      <w:r>
        <w:rPr>
          <w:rFonts w:hint="eastAsia"/>
          <w:szCs w:val="21"/>
        </w:rPr>
        <w:t xml:space="preserve">4. </w:t>
      </w:r>
      <w:r>
        <w:rPr>
          <w:szCs w:val="21"/>
        </w:rPr>
        <w:t>按照法律法规的规定或出现应解除我方保证责任的其他情形的，我方在本保函项下的保证责任亦解除。</w:t>
      </w:r>
    </w:p>
    <w:p>
      <w:pPr>
        <w:kinsoku/>
        <w:overflowPunct/>
        <w:topLinePunct w:val="0"/>
        <w:bidi w:val="0"/>
        <w:spacing w:line="300" w:lineRule="auto"/>
        <w:ind w:firstLine="420"/>
        <w:rPr>
          <w:szCs w:val="21"/>
        </w:rPr>
      </w:pPr>
      <w:r>
        <w:rPr>
          <w:rFonts w:hint="eastAsia"/>
          <w:szCs w:val="21"/>
        </w:rPr>
        <w:t xml:space="preserve">5. </w:t>
      </w:r>
      <w:r>
        <w:rPr>
          <w:szCs w:val="21"/>
        </w:rPr>
        <w:t>我方解除保证责任后，你方应自我方保证责任解除之日起</w:t>
      </w:r>
      <w:r>
        <w:rPr>
          <w:rFonts w:hint="eastAsia"/>
          <w:szCs w:val="21"/>
          <w:u w:val="single"/>
        </w:rPr>
        <w:t xml:space="preserve">  </w:t>
      </w:r>
      <w:r>
        <w:rPr>
          <w:szCs w:val="21"/>
        </w:rPr>
        <w:t>个工作日内，将本保函原件返还我方。</w:t>
      </w:r>
    </w:p>
    <w:p>
      <w:pPr>
        <w:kinsoku/>
        <w:overflowPunct/>
        <w:topLinePunct w:val="0"/>
        <w:bidi w:val="0"/>
        <w:spacing w:line="300" w:lineRule="auto"/>
        <w:ind w:firstLine="420"/>
        <w:rPr>
          <w:szCs w:val="21"/>
        </w:rPr>
      </w:pPr>
      <w:r>
        <w:rPr>
          <w:szCs w:val="21"/>
        </w:rPr>
        <w:t>六、免责条款</w:t>
      </w:r>
    </w:p>
    <w:p>
      <w:pPr>
        <w:kinsoku/>
        <w:overflowPunct/>
        <w:topLinePunct w:val="0"/>
        <w:bidi w:val="0"/>
        <w:spacing w:line="300" w:lineRule="auto"/>
        <w:ind w:firstLine="420"/>
        <w:rPr>
          <w:szCs w:val="21"/>
        </w:rPr>
      </w:pPr>
      <w:r>
        <w:rPr>
          <w:rFonts w:hint="eastAsia"/>
          <w:szCs w:val="21"/>
        </w:rPr>
        <w:t xml:space="preserve">1. </w:t>
      </w:r>
      <w:r>
        <w:rPr>
          <w:szCs w:val="21"/>
        </w:rPr>
        <w:t>因你方违约致使发包人不能履行义务的，我方不承担保证责任。</w:t>
      </w:r>
    </w:p>
    <w:p>
      <w:pPr>
        <w:kinsoku/>
        <w:overflowPunct/>
        <w:topLinePunct w:val="0"/>
        <w:bidi w:val="0"/>
        <w:spacing w:line="300" w:lineRule="auto"/>
        <w:ind w:firstLine="420"/>
        <w:rPr>
          <w:szCs w:val="21"/>
        </w:rPr>
      </w:pPr>
      <w:r>
        <w:rPr>
          <w:rFonts w:hint="eastAsia"/>
          <w:szCs w:val="21"/>
        </w:rPr>
        <w:t xml:space="preserve">2. </w:t>
      </w:r>
      <w:r>
        <w:rPr>
          <w:szCs w:val="21"/>
        </w:rPr>
        <w:t>依照法律法规的规定或你方与发包人的另行约定，免除发包人部分或全部义务的，我方亦免除其相应的保证责任。</w:t>
      </w:r>
    </w:p>
    <w:p>
      <w:pPr>
        <w:kinsoku/>
        <w:overflowPunct/>
        <w:topLinePunct w:val="0"/>
        <w:bidi w:val="0"/>
        <w:spacing w:line="300" w:lineRule="auto"/>
        <w:ind w:firstLine="420"/>
        <w:rPr>
          <w:szCs w:val="21"/>
        </w:rPr>
      </w:pPr>
      <w:r>
        <w:rPr>
          <w:rFonts w:hint="eastAsia"/>
          <w:szCs w:val="21"/>
        </w:rPr>
        <w:t xml:space="preserve">3. </w:t>
      </w:r>
      <w:r>
        <w:rPr>
          <w:szCs w:val="21"/>
        </w:rPr>
        <w:t>你方与发包人协议变更主合同的，如加重发包人责任致使我方保证责任加重的，需征得我方书面同意，否则我方不再承担因此而加重部分的保证责任，但主合同第10条</w:t>
      </w:r>
      <w:r>
        <w:rPr>
          <w:rFonts w:hint="eastAsia"/>
          <w:szCs w:val="21"/>
        </w:rPr>
        <w:t>〔</w:t>
      </w:r>
      <w:r>
        <w:rPr>
          <w:szCs w:val="21"/>
        </w:rPr>
        <w:t>变更</w:t>
      </w:r>
      <w:r>
        <w:rPr>
          <w:rFonts w:hint="eastAsia"/>
          <w:szCs w:val="21"/>
        </w:rPr>
        <w:t>〕</w:t>
      </w:r>
      <w:r>
        <w:rPr>
          <w:szCs w:val="21"/>
        </w:rPr>
        <w:t>约定的变更不受本款限制。</w:t>
      </w:r>
    </w:p>
    <w:p>
      <w:pPr>
        <w:kinsoku/>
        <w:overflowPunct/>
        <w:topLinePunct w:val="0"/>
        <w:bidi w:val="0"/>
        <w:spacing w:line="300" w:lineRule="auto"/>
        <w:ind w:firstLine="420"/>
        <w:rPr>
          <w:szCs w:val="21"/>
        </w:rPr>
      </w:pPr>
      <w:r>
        <w:rPr>
          <w:rFonts w:hint="eastAsia"/>
          <w:szCs w:val="21"/>
        </w:rPr>
        <w:t xml:space="preserve">4. </w:t>
      </w:r>
      <w:r>
        <w:rPr>
          <w:szCs w:val="21"/>
        </w:rPr>
        <w:t>因不可抗力造成发包人不能履行义务的，我方不承担保证责任。</w:t>
      </w:r>
    </w:p>
    <w:p>
      <w:pPr>
        <w:kinsoku/>
        <w:overflowPunct/>
        <w:topLinePunct w:val="0"/>
        <w:bidi w:val="0"/>
        <w:spacing w:line="300" w:lineRule="auto"/>
        <w:ind w:firstLine="420"/>
        <w:rPr>
          <w:szCs w:val="21"/>
        </w:rPr>
      </w:pPr>
      <w:r>
        <w:rPr>
          <w:szCs w:val="21"/>
        </w:rPr>
        <w:t>七、争议解决</w:t>
      </w:r>
    </w:p>
    <w:p>
      <w:pPr>
        <w:kinsoku/>
        <w:overflowPunct/>
        <w:topLinePunct w:val="0"/>
        <w:bidi w:val="0"/>
        <w:spacing w:after="120" w:line="300" w:lineRule="auto"/>
        <w:ind w:firstLine="420"/>
        <w:rPr>
          <w:szCs w:val="21"/>
        </w:rPr>
      </w:pPr>
      <w:r>
        <w:rPr>
          <w:szCs w:val="21"/>
        </w:rPr>
        <w:t>因本保函</w:t>
      </w:r>
      <w:r>
        <w:rPr>
          <w:rFonts w:hint="eastAsia"/>
          <w:szCs w:val="21"/>
        </w:rPr>
        <w:t>或本保函相关事项</w:t>
      </w:r>
      <w:r>
        <w:rPr>
          <w:szCs w:val="21"/>
        </w:rPr>
        <w:t>发生的纠纷，可由双方协商解决，协商不成的，按下列第</w:t>
      </w:r>
      <w:r>
        <w:rPr>
          <w:szCs w:val="21"/>
          <w:u w:val="single"/>
        </w:rPr>
        <w:t xml:space="preserve">     </w:t>
      </w:r>
      <w:r>
        <w:rPr>
          <w:szCs w:val="21"/>
        </w:rPr>
        <w:t>种方式</w:t>
      </w:r>
      <w:r>
        <w:rPr>
          <w:rFonts w:hint="eastAsia"/>
          <w:szCs w:val="21"/>
        </w:rPr>
        <w:t>解</w:t>
      </w:r>
      <w:r>
        <w:rPr>
          <w:szCs w:val="21"/>
        </w:rPr>
        <w:t>决：</w:t>
      </w:r>
    </w:p>
    <w:p>
      <w:pPr>
        <w:kinsoku/>
        <w:overflowPunct/>
        <w:topLinePunct w:val="0"/>
        <w:bidi w:val="0"/>
        <w:spacing w:line="300" w:lineRule="auto"/>
        <w:ind w:firstLine="420"/>
        <w:rPr>
          <w:szCs w:val="21"/>
        </w:rPr>
      </w:pPr>
      <w:r>
        <w:rPr>
          <w:szCs w:val="21"/>
        </w:rPr>
        <w:t>（1）向</w:t>
      </w:r>
      <w:r>
        <w:rPr>
          <w:szCs w:val="21"/>
          <w:u w:val="single"/>
        </w:rPr>
        <w:t xml:space="preserve">                     </w:t>
      </w:r>
      <w:r>
        <w:rPr>
          <w:szCs w:val="21"/>
        </w:rPr>
        <w:t>仲裁委员会申请仲裁；</w:t>
      </w:r>
    </w:p>
    <w:p>
      <w:pPr>
        <w:kinsoku/>
        <w:overflowPunct/>
        <w:topLinePunct w:val="0"/>
        <w:bidi w:val="0"/>
        <w:spacing w:line="300" w:lineRule="auto"/>
        <w:ind w:firstLine="420"/>
        <w:rPr>
          <w:szCs w:val="21"/>
        </w:rPr>
      </w:pPr>
      <w:r>
        <w:rPr>
          <w:szCs w:val="21"/>
        </w:rPr>
        <w:t>（2）向</w:t>
      </w:r>
      <w:r>
        <w:rPr>
          <w:szCs w:val="21"/>
          <w:u w:val="single"/>
        </w:rPr>
        <w:t xml:space="preserve">                     </w:t>
      </w:r>
      <w:r>
        <w:rPr>
          <w:szCs w:val="21"/>
        </w:rPr>
        <w:t>人民法院起诉。</w:t>
      </w:r>
    </w:p>
    <w:p>
      <w:pPr>
        <w:kinsoku/>
        <w:overflowPunct/>
        <w:topLinePunct w:val="0"/>
        <w:bidi w:val="0"/>
        <w:spacing w:line="300" w:lineRule="auto"/>
        <w:ind w:firstLine="420"/>
        <w:rPr>
          <w:szCs w:val="21"/>
        </w:rPr>
      </w:pPr>
      <w:r>
        <w:rPr>
          <w:szCs w:val="21"/>
        </w:rPr>
        <w:t>八、保函的生效</w:t>
      </w:r>
    </w:p>
    <w:p>
      <w:pPr>
        <w:kinsoku/>
        <w:overflowPunct/>
        <w:topLinePunct w:val="0"/>
        <w:bidi w:val="0"/>
        <w:spacing w:line="300" w:lineRule="auto"/>
        <w:ind w:firstLine="420"/>
        <w:rPr>
          <w:szCs w:val="21"/>
        </w:rPr>
      </w:pPr>
      <w:r>
        <w:rPr>
          <w:szCs w:val="21"/>
        </w:rPr>
        <w:t>本保函自我方法定代表人（或其授权代理人）签字并加盖公章之日起生效。</w:t>
      </w:r>
    </w:p>
    <w:p>
      <w:pPr>
        <w:kinsoku/>
        <w:overflowPunct/>
        <w:topLinePunct w:val="0"/>
        <w:bidi w:val="0"/>
        <w:spacing w:line="300" w:lineRule="auto"/>
        <w:ind w:right="600" w:firstLine="420"/>
        <w:rPr>
          <w:szCs w:val="21"/>
        </w:rPr>
      </w:pPr>
      <w:r>
        <w:rPr>
          <w:szCs w:val="21"/>
        </w:rPr>
        <w:t>担保人：</w:t>
      </w:r>
      <w:r>
        <w:rPr>
          <w:szCs w:val="21"/>
          <w:u w:val="single"/>
        </w:rPr>
        <w:t xml:space="preserve">                                   </w:t>
      </w:r>
      <w:r>
        <w:rPr>
          <w:szCs w:val="21"/>
        </w:rPr>
        <w:t>（盖章）</w:t>
      </w:r>
    </w:p>
    <w:p>
      <w:pPr>
        <w:kinsoku/>
        <w:overflowPunct/>
        <w:topLinePunct w:val="0"/>
        <w:bidi w:val="0"/>
        <w:spacing w:line="300" w:lineRule="auto"/>
        <w:ind w:right="1200" w:firstLine="420"/>
        <w:rPr>
          <w:szCs w:val="21"/>
        </w:rPr>
      </w:pPr>
      <w:r>
        <w:rPr>
          <w:szCs w:val="21"/>
        </w:rPr>
        <w:t>法定代表人或委托代理人：</w:t>
      </w:r>
      <w:r>
        <w:rPr>
          <w:szCs w:val="21"/>
          <w:u w:val="single"/>
        </w:rPr>
        <w:t xml:space="preserve">                   </w:t>
      </w:r>
      <w:r>
        <w:rPr>
          <w:szCs w:val="21"/>
        </w:rPr>
        <w:t>（签字）</w:t>
      </w:r>
    </w:p>
    <w:p>
      <w:pPr>
        <w:kinsoku/>
        <w:overflowPunct/>
        <w:topLinePunct w:val="0"/>
        <w:bidi w:val="0"/>
        <w:spacing w:line="300" w:lineRule="auto"/>
        <w:ind w:firstLine="420"/>
        <w:rPr>
          <w:szCs w:val="21"/>
        </w:rPr>
      </w:pPr>
      <w:r>
        <w:rPr>
          <w:szCs w:val="21"/>
        </w:rPr>
        <w:t>地    址：</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pPr>
        <w:kinsoku/>
        <w:overflowPunct/>
        <w:topLinePunct w:val="0"/>
        <w:bidi w:val="0"/>
        <w:spacing w:line="300" w:lineRule="auto"/>
        <w:ind w:firstLine="420"/>
        <w:rPr>
          <w:szCs w:val="21"/>
        </w:rPr>
      </w:pPr>
      <w:r>
        <w:rPr>
          <w:szCs w:val="21"/>
        </w:rPr>
        <w:t>邮政编码：</w:t>
      </w:r>
      <w:r>
        <w:rPr>
          <w:szCs w:val="21"/>
          <w:u w:val="single"/>
        </w:rPr>
        <w:t xml:space="preserve">   </w:t>
      </w:r>
      <w:r>
        <w:rPr>
          <w:rFonts w:hint="eastAsia"/>
          <w:szCs w:val="21"/>
          <w:u w:val="single"/>
        </w:rPr>
        <w:t xml:space="preserve">        </w:t>
      </w:r>
      <w:r>
        <w:rPr>
          <w:szCs w:val="21"/>
          <w:u w:val="single"/>
        </w:rPr>
        <w:t xml:space="preserve">                             </w:t>
      </w:r>
    </w:p>
    <w:p>
      <w:pPr>
        <w:kinsoku/>
        <w:overflowPunct/>
        <w:topLinePunct w:val="0"/>
        <w:bidi w:val="0"/>
        <w:spacing w:line="300" w:lineRule="auto"/>
        <w:ind w:firstLine="420"/>
        <w:rPr>
          <w:szCs w:val="21"/>
        </w:rPr>
      </w:pPr>
      <w:r>
        <w:rPr>
          <w:szCs w:val="21"/>
        </w:rPr>
        <w:t>传    真：</w:t>
      </w:r>
      <w:r>
        <w:rPr>
          <w:szCs w:val="21"/>
          <w:u w:val="single"/>
        </w:rPr>
        <w:t xml:space="preserve">      </w:t>
      </w:r>
      <w:r>
        <w:rPr>
          <w:rFonts w:hint="eastAsia"/>
          <w:szCs w:val="21"/>
          <w:u w:val="single"/>
        </w:rPr>
        <w:t xml:space="preserve">        </w:t>
      </w:r>
      <w:r>
        <w:rPr>
          <w:szCs w:val="21"/>
          <w:u w:val="single"/>
        </w:rPr>
        <w:t xml:space="preserve">                          </w:t>
      </w:r>
    </w:p>
    <w:p>
      <w:pPr>
        <w:kinsoku/>
        <w:overflowPunct/>
        <w:topLinePunct w:val="0"/>
        <w:bidi w:val="0"/>
        <w:spacing w:line="300" w:lineRule="auto"/>
        <w:ind w:right="150" w:firstLine="420"/>
        <w:jc w:val="right"/>
        <w:rPr>
          <w:szCs w:val="21"/>
        </w:rPr>
      </w:pPr>
      <w:r>
        <w:rPr>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kinsoku/>
        <w:overflowPunct/>
        <w:topLinePunct w:val="0"/>
        <w:bidi w:val="0"/>
        <w:spacing w:after="156" w:afterLines="50" w:line="300" w:lineRule="auto"/>
        <w:rPr>
          <w:b/>
          <w:szCs w:val="21"/>
        </w:rPr>
      </w:pPr>
      <w:r>
        <w:rPr>
          <w:szCs w:val="21"/>
        </w:rPr>
        <w:br w:type="page"/>
      </w:r>
      <w:r>
        <w:rPr>
          <w:b/>
          <w:szCs w:val="21"/>
        </w:rPr>
        <w:t>附件</w:t>
      </w:r>
      <w:r>
        <w:rPr>
          <w:rFonts w:hint="eastAsia"/>
          <w:b/>
          <w:szCs w:val="21"/>
        </w:rPr>
        <w:t>11</w:t>
      </w:r>
      <w:r>
        <w:rPr>
          <w:b/>
          <w:szCs w:val="21"/>
        </w:rPr>
        <w:t>：</w:t>
      </w:r>
    </w:p>
    <w:p>
      <w:pPr>
        <w:kinsoku/>
        <w:overflowPunct/>
        <w:topLinePunct w:val="0"/>
        <w:bidi w:val="0"/>
        <w:spacing w:before="156" w:beforeLines="50" w:after="156" w:afterLines="50" w:line="300" w:lineRule="auto"/>
        <w:jc w:val="center"/>
        <w:rPr>
          <w:b/>
          <w:sz w:val="28"/>
          <w:szCs w:val="28"/>
        </w:rPr>
      </w:pPr>
      <w:r>
        <w:rPr>
          <w:b/>
          <w:sz w:val="28"/>
          <w:szCs w:val="28"/>
        </w:rPr>
        <w:t>1</w:t>
      </w:r>
      <w:r>
        <w:rPr>
          <w:rFonts w:hint="eastAsia"/>
          <w:b/>
          <w:sz w:val="28"/>
          <w:szCs w:val="28"/>
        </w:rPr>
        <w:t>1</w:t>
      </w:r>
      <w:r>
        <w:rPr>
          <w:b/>
          <w:sz w:val="28"/>
          <w:szCs w:val="28"/>
        </w:rPr>
        <w:t>-1：材料暂估价表</w:t>
      </w:r>
    </w:p>
    <w:tbl>
      <w:tblPr>
        <w:tblStyle w:val="5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56"/>
        <w:gridCol w:w="1494"/>
        <w:gridCol w:w="866"/>
        <w:gridCol w:w="866"/>
        <w:gridCol w:w="1212"/>
        <w:gridCol w:w="1384"/>
        <w:gridCol w:w="19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tcBorders>
              <w:top w:val="single" w:color="auto" w:sz="12" w:space="0"/>
              <w:bottom w:val="doub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序号</w:t>
            </w:r>
          </w:p>
        </w:tc>
        <w:tc>
          <w:tcPr>
            <w:tcW w:w="1494" w:type="dxa"/>
            <w:tcBorders>
              <w:top w:val="single" w:color="auto" w:sz="12" w:space="0"/>
              <w:bottom w:val="doub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名称</w:t>
            </w:r>
          </w:p>
        </w:tc>
        <w:tc>
          <w:tcPr>
            <w:tcW w:w="866" w:type="dxa"/>
            <w:tcBorders>
              <w:top w:val="single" w:color="auto" w:sz="12" w:space="0"/>
              <w:bottom w:val="doub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单位</w:t>
            </w:r>
          </w:p>
        </w:tc>
        <w:tc>
          <w:tcPr>
            <w:tcW w:w="866" w:type="dxa"/>
            <w:tcBorders>
              <w:top w:val="single" w:color="auto" w:sz="12" w:space="0"/>
              <w:bottom w:val="doub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数量</w:t>
            </w:r>
          </w:p>
        </w:tc>
        <w:tc>
          <w:tcPr>
            <w:tcW w:w="1212" w:type="dxa"/>
            <w:tcBorders>
              <w:top w:val="single" w:color="auto" w:sz="12" w:space="0"/>
              <w:bottom w:val="doub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单价</w:t>
            </w:r>
            <w:r>
              <w:rPr>
                <w:rFonts w:hint="eastAsia" w:ascii="宋体" w:hAnsi="宋体" w:eastAsia="Times New Roman"/>
                <w:szCs w:val="21"/>
              </w:rPr>
              <w:t>（元）</w:t>
            </w:r>
          </w:p>
        </w:tc>
        <w:tc>
          <w:tcPr>
            <w:tcW w:w="1384" w:type="dxa"/>
            <w:tcBorders>
              <w:top w:val="single" w:color="auto" w:sz="12" w:space="0"/>
              <w:bottom w:val="doub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合价</w:t>
            </w:r>
            <w:r>
              <w:rPr>
                <w:rFonts w:hint="eastAsia" w:ascii="宋体" w:hAnsi="宋体" w:eastAsia="Times New Roman"/>
                <w:szCs w:val="21"/>
              </w:rPr>
              <w:t>（元）</w:t>
            </w:r>
          </w:p>
        </w:tc>
        <w:tc>
          <w:tcPr>
            <w:tcW w:w="1902" w:type="dxa"/>
            <w:tcBorders>
              <w:top w:val="single" w:color="auto" w:sz="12" w:space="0"/>
              <w:bottom w:val="doub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tcBorders>
              <w:top w:val="double" w:color="auto" w:sz="6" w:space="0"/>
              <w:bottom w:val="sing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94" w:type="dxa"/>
            <w:tcBorders>
              <w:top w:val="double" w:color="auto" w:sz="6" w:space="0"/>
              <w:bottom w:val="sing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tcBorders>
              <w:top w:val="double" w:color="auto" w:sz="6" w:space="0"/>
              <w:bottom w:val="sing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tcBorders>
              <w:top w:val="double" w:color="auto" w:sz="6" w:space="0"/>
              <w:bottom w:val="sing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212" w:type="dxa"/>
            <w:tcBorders>
              <w:top w:val="double" w:color="auto" w:sz="6" w:space="0"/>
              <w:bottom w:val="sing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4" w:type="dxa"/>
            <w:tcBorders>
              <w:top w:val="double" w:color="auto" w:sz="6" w:space="0"/>
              <w:bottom w:val="sing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902" w:type="dxa"/>
            <w:tcBorders>
              <w:top w:val="double" w:color="auto" w:sz="6" w:space="0"/>
              <w:bottom w:val="sing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tcBorders>
              <w:top w:val="nil"/>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94" w:type="dxa"/>
            <w:tcBorders>
              <w:top w:val="nil"/>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tcBorders>
              <w:top w:val="nil"/>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tcBorders>
              <w:top w:val="nil"/>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212" w:type="dxa"/>
            <w:tcBorders>
              <w:top w:val="nil"/>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4" w:type="dxa"/>
            <w:tcBorders>
              <w:top w:val="nil"/>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902" w:type="dxa"/>
            <w:tcBorders>
              <w:top w:val="nil"/>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9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21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90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9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21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90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9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21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90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9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21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90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9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21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90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9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21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90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9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21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90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9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21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90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9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21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90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9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21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90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9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21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90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9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21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90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9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21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90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9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21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90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9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21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90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9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21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90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9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21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90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9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6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21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4"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90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bl>
    <w:p>
      <w:pPr>
        <w:kinsoku/>
        <w:overflowPunct/>
        <w:topLinePunct w:val="0"/>
        <w:bidi w:val="0"/>
        <w:spacing w:before="156" w:beforeLines="50" w:after="156" w:afterLines="50" w:line="300" w:lineRule="auto"/>
        <w:jc w:val="center"/>
        <w:rPr>
          <w:b/>
          <w:sz w:val="28"/>
          <w:szCs w:val="28"/>
        </w:rPr>
      </w:pPr>
      <w:r>
        <w:rPr>
          <w:sz w:val="30"/>
          <w:szCs w:val="30"/>
        </w:rPr>
        <w:br w:type="page"/>
      </w:r>
      <w:r>
        <w:rPr>
          <w:b/>
          <w:sz w:val="28"/>
          <w:szCs w:val="28"/>
        </w:rPr>
        <w:t>1</w:t>
      </w:r>
      <w:r>
        <w:rPr>
          <w:rFonts w:hint="eastAsia"/>
          <w:b/>
          <w:sz w:val="28"/>
          <w:szCs w:val="28"/>
        </w:rPr>
        <w:t>1</w:t>
      </w:r>
      <w:r>
        <w:rPr>
          <w:b/>
          <w:sz w:val="28"/>
          <w:szCs w:val="28"/>
        </w:rPr>
        <w:t>-2：工程设备暂估价表</w:t>
      </w:r>
    </w:p>
    <w:tbl>
      <w:tblPr>
        <w:tblStyle w:val="5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56"/>
        <w:gridCol w:w="1667"/>
        <w:gridCol w:w="1058"/>
        <w:gridCol w:w="745"/>
        <w:gridCol w:w="1300"/>
        <w:gridCol w:w="1363"/>
        <w:gridCol w:w="15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tcBorders>
              <w:top w:val="single" w:color="auto" w:sz="12" w:space="0"/>
              <w:bottom w:val="doub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序号</w:t>
            </w:r>
          </w:p>
        </w:tc>
        <w:tc>
          <w:tcPr>
            <w:tcW w:w="1667" w:type="dxa"/>
            <w:tcBorders>
              <w:top w:val="single" w:color="auto" w:sz="12" w:space="0"/>
              <w:bottom w:val="doub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名称</w:t>
            </w:r>
          </w:p>
        </w:tc>
        <w:tc>
          <w:tcPr>
            <w:tcW w:w="1058" w:type="dxa"/>
            <w:tcBorders>
              <w:top w:val="single" w:color="auto" w:sz="12" w:space="0"/>
              <w:bottom w:val="doub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单位</w:t>
            </w:r>
          </w:p>
        </w:tc>
        <w:tc>
          <w:tcPr>
            <w:tcW w:w="745" w:type="dxa"/>
            <w:tcBorders>
              <w:top w:val="single" w:color="auto" w:sz="12" w:space="0"/>
              <w:bottom w:val="doub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数量</w:t>
            </w:r>
          </w:p>
        </w:tc>
        <w:tc>
          <w:tcPr>
            <w:tcW w:w="1300" w:type="dxa"/>
            <w:tcBorders>
              <w:top w:val="single" w:color="auto" w:sz="12" w:space="0"/>
              <w:bottom w:val="doub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单价</w:t>
            </w:r>
            <w:r>
              <w:rPr>
                <w:rFonts w:hint="eastAsia" w:ascii="宋体" w:hAnsi="宋体" w:eastAsia="Times New Roman"/>
                <w:szCs w:val="21"/>
              </w:rPr>
              <w:t>（元）</w:t>
            </w:r>
          </w:p>
        </w:tc>
        <w:tc>
          <w:tcPr>
            <w:tcW w:w="1363" w:type="dxa"/>
            <w:tcBorders>
              <w:top w:val="single" w:color="auto" w:sz="12" w:space="0"/>
              <w:bottom w:val="doub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合价</w:t>
            </w:r>
            <w:r>
              <w:rPr>
                <w:rFonts w:hint="eastAsia" w:ascii="宋体" w:hAnsi="宋体" w:eastAsia="Times New Roman"/>
                <w:szCs w:val="21"/>
              </w:rPr>
              <w:t>（元）</w:t>
            </w:r>
          </w:p>
        </w:tc>
        <w:tc>
          <w:tcPr>
            <w:tcW w:w="1591" w:type="dxa"/>
            <w:tcBorders>
              <w:top w:val="single" w:color="auto" w:sz="12" w:space="0"/>
              <w:bottom w:val="doub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tcBorders>
              <w:top w:val="double" w:color="auto" w:sz="6" w:space="0"/>
              <w:bottom w:val="sing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tcBorders>
              <w:top w:val="double" w:color="auto" w:sz="6" w:space="0"/>
              <w:bottom w:val="sing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tcBorders>
              <w:top w:val="double" w:color="auto" w:sz="6" w:space="0"/>
              <w:bottom w:val="sing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tcBorders>
              <w:top w:val="double" w:color="auto" w:sz="6" w:space="0"/>
              <w:bottom w:val="sing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tcBorders>
              <w:top w:val="double" w:color="auto" w:sz="6" w:space="0"/>
              <w:bottom w:val="sing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tcBorders>
              <w:top w:val="double" w:color="auto" w:sz="6" w:space="0"/>
              <w:bottom w:val="sing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tcBorders>
              <w:top w:val="double" w:color="auto" w:sz="6" w:space="0"/>
              <w:bottom w:val="sing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tcBorders>
              <w:top w:val="nil"/>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tcBorders>
              <w:top w:val="nil"/>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tcBorders>
              <w:top w:val="nil"/>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tcBorders>
              <w:top w:val="nil"/>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tcBorders>
              <w:top w:val="nil"/>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tcBorders>
              <w:top w:val="nil"/>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tcBorders>
              <w:top w:val="nil"/>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6"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667"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058"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4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0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6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59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bl>
    <w:p>
      <w:pPr>
        <w:kinsoku/>
        <w:overflowPunct/>
        <w:topLinePunct w:val="0"/>
        <w:bidi w:val="0"/>
        <w:spacing w:before="156" w:beforeLines="50" w:after="156" w:afterLines="50" w:line="300" w:lineRule="auto"/>
        <w:jc w:val="center"/>
        <w:rPr>
          <w:b/>
          <w:sz w:val="28"/>
          <w:szCs w:val="28"/>
        </w:rPr>
      </w:pPr>
      <w:r>
        <w:rPr>
          <w:sz w:val="24"/>
        </w:rPr>
        <w:br w:type="page"/>
      </w:r>
      <w:r>
        <w:rPr>
          <w:b/>
          <w:sz w:val="28"/>
          <w:szCs w:val="28"/>
        </w:rPr>
        <w:t>1</w:t>
      </w:r>
      <w:r>
        <w:rPr>
          <w:rFonts w:hint="eastAsia"/>
          <w:b/>
          <w:sz w:val="28"/>
          <w:szCs w:val="28"/>
        </w:rPr>
        <w:t>1</w:t>
      </w:r>
      <w:r>
        <w:rPr>
          <w:b/>
          <w:sz w:val="28"/>
          <w:szCs w:val="28"/>
        </w:rPr>
        <w:t>-3：专业工程暂估价表</w:t>
      </w:r>
    </w:p>
    <w:tbl>
      <w:tblPr>
        <w:tblStyle w:val="5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15"/>
        <w:gridCol w:w="2029"/>
        <w:gridCol w:w="870"/>
        <w:gridCol w:w="792"/>
        <w:gridCol w:w="1383"/>
        <w:gridCol w:w="1450"/>
        <w:gridCol w:w="11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15" w:type="dxa"/>
            <w:tcBorders>
              <w:top w:val="single" w:color="auto" w:sz="12" w:space="0"/>
              <w:bottom w:val="doub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序号</w:t>
            </w:r>
          </w:p>
        </w:tc>
        <w:tc>
          <w:tcPr>
            <w:tcW w:w="2029" w:type="dxa"/>
            <w:tcBorders>
              <w:top w:val="single" w:color="auto" w:sz="12" w:space="0"/>
              <w:bottom w:val="doub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名称</w:t>
            </w:r>
          </w:p>
        </w:tc>
        <w:tc>
          <w:tcPr>
            <w:tcW w:w="870" w:type="dxa"/>
            <w:tcBorders>
              <w:top w:val="single" w:color="auto" w:sz="12" w:space="0"/>
              <w:bottom w:val="doub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单位</w:t>
            </w:r>
          </w:p>
        </w:tc>
        <w:tc>
          <w:tcPr>
            <w:tcW w:w="792" w:type="dxa"/>
            <w:tcBorders>
              <w:top w:val="single" w:color="auto" w:sz="12" w:space="0"/>
              <w:bottom w:val="doub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数量</w:t>
            </w:r>
          </w:p>
        </w:tc>
        <w:tc>
          <w:tcPr>
            <w:tcW w:w="1383" w:type="dxa"/>
            <w:tcBorders>
              <w:top w:val="single" w:color="auto" w:sz="12" w:space="0"/>
              <w:bottom w:val="doub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单价</w:t>
            </w:r>
            <w:r>
              <w:rPr>
                <w:rFonts w:hint="eastAsia" w:ascii="宋体" w:hAnsi="宋体" w:eastAsia="Times New Roman"/>
                <w:szCs w:val="21"/>
              </w:rPr>
              <w:t>（元）</w:t>
            </w:r>
          </w:p>
        </w:tc>
        <w:tc>
          <w:tcPr>
            <w:tcW w:w="1450" w:type="dxa"/>
            <w:tcBorders>
              <w:top w:val="single" w:color="auto" w:sz="12" w:space="0"/>
              <w:bottom w:val="doub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合价</w:t>
            </w:r>
            <w:r>
              <w:rPr>
                <w:rFonts w:hint="eastAsia" w:ascii="宋体" w:hAnsi="宋体" w:eastAsia="Times New Roman"/>
                <w:szCs w:val="21"/>
              </w:rPr>
              <w:t>（元）</w:t>
            </w:r>
          </w:p>
        </w:tc>
        <w:tc>
          <w:tcPr>
            <w:tcW w:w="1141" w:type="dxa"/>
            <w:tcBorders>
              <w:top w:val="single" w:color="auto" w:sz="12" w:space="0"/>
              <w:bottom w:val="doub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r>
              <w:rPr>
                <w:rFonts w:ascii="宋体" w:hAnsi="宋体" w:eastAsia="Times New Roman"/>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15" w:type="dxa"/>
            <w:tcBorders>
              <w:top w:val="double" w:color="auto" w:sz="6" w:space="0"/>
              <w:bottom w:val="sing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2029" w:type="dxa"/>
            <w:tcBorders>
              <w:top w:val="double" w:color="auto" w:sz="6" w:space="0"/>
              <w:bottom w:val="sing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70" w:type="dxa"/>
            <w:tcBorders>
              <w:top w:val="double" w:color="auto" w:sz="6" w:space="0"/>
              <w:bottom w:val="sing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92" w:type="dxa"/>
            <w:tcBorders>
              <w:top w:val="double" w:color="auto" w:sz="6" w:space="0"/>
              <w:bottom w:val="sing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3" w:type="dxa"/>
            <w:tcBorders>
              <w:top w:val="double" w:color="auto" w:sz="6" w:space="0"/>
              <w:bottom w:val="sing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50" w:type="dxa"/>
            <w:tcBorders>
              <w:top w:val="double" w:color="auto" w:sz="6" w:space="0"/>
              <w:bottom w:val="sing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141" w:type="dxa"/>
            <w:tcBorders>
              <w:top w:val="double" w:color="auto" w:sz="6" w:space="0"/>
              <w:bottom w:val="single" w:color="auto" w:sz="6" w:space="0"/>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15" w:type="dxa"/>
            <w:tcBorders>
              <w:top w:val="nil"/>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2029" w:type="dxa"/>
            <w:tcBorders>
              <w:top w:val="nil"/>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70" w:type="dxa"/>
            <w:tcBorders>
              <w:top w:val="nil"/>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92" w:type="dxa"/>
            <w:tcBorders>
              <w:top w:val="nil"/>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3" w:type="dxa"/>
            <w:tcBorders>
              <w:top w:val="nil"/>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50" w:type="dxa"/>
            <w:tcBorders>
              <w:top w:val="nil"/>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141" w:type="dxa"/>
            <w:tcBorders>
              <w:top w:val="nil"/>
            </w:tcBorders>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1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2029"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7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9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5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14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1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2029"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7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9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5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14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1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2029"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7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9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5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14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1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2029"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7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9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5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14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1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2029"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7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9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5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14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1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2029"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7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9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5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14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1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2029"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7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9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5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14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1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2029"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7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9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5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14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1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2029"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7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9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5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14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1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2029"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7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9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5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14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1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2029"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7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9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5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14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1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2029"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7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9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5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14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1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2029"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7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9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5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14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1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2029"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7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9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5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14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1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2029"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7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9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5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14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1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2029"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7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9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5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14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1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2029"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7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9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5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14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1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2029"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7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9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5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14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15"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2029"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87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792"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383"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450"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c>
          <w:tcPr>
            <w:tcW w:w="1141" w:type="dxa"/>
            <w:noWrap w:val="0"/>
            <w:vAlign w:val="top"/>
          </w:tcPr>
          <w:p>
            <w:pPr>
              <w:pStyle w:val="3"/>
              <w:keepNext/>
              <w:kinsoku/>
              <w:overflowPunct/>
              <w:topLinePunct w:val="0"/>
              <w:bidi w:val="0"/>
              <w:spacing w:line="300" w:lineRule="auto"/>
              <w:ind w:left="63" w:right="63"/>
              <w:rPr>
                <w:rFonts w:ascii="宋体" w:hAnsi="宋体" w:eastAsia="Times New Roman"/>
                <w:szCs w:val="21"/>
              </w:rPr>
            </w:pPr>
          </w:p>
        </w:tc>
      </w:tr>
    </w:tbl>
    <w:p>
      <w:pPr>
        <w:kinsoku/>
        <w:overflowPunct/>
        <w:topLinePunct w:val="0"/>
        <w:bidi w:val="0"/>
        <w:spacing w:line="300" w:lineRule="auto"/>
        <w:ind w:firstLine="480"/>
        <w:jc w:val="center"/>
        <w:rPr>
          <w:sz w:val="24"/>
        </w:rPr>
      </w:pPr>
    </w:p>
    <w:p>
      <w:pPr>
        <w:kinsoku/>
        <w:overflowPunct/>
        <w:topLinePunct w:val="0"/>
        <w:bidi w:val="0"/>
        <w:spacing w:line="300" w:lineRule="auto"/>
        <w:ind w:firstLine="480"/>
        <w:jc w:val="center"/>
        <w:rPr>
          <w:sz w:val="24"/>
        </w:rPr>
      </w:pPr>
    </w:p>
    <w:p>
      <w:pPr>
        <w:kinsoku/>
        <w:overflowPunct/>
        <w:topLinePunct w:val="0"/>
        <w:bidi w:val="0"/>
        <w:spacing w:line="300" w:lineRule="auto"/>
        <w:ind w:firstLine="480"/>
        <w:jc w:val="center"/>
        <w:rPr>
          <w:sz w:val="24"/>
        </w:rPr>
      </w:pPr>
    </w:p>
    <w:p>
      <w:pPr>
        <w:kinsoku/>
        <w:overflowPunct/>
        <w:topLinePunct w:val="0"/>
        <w:bidi w:val="0"/>
        <w:spacing w:line="300" w:lineRule="auto"/>
        <w:jc w:val="both"/>
        <w:rPr>
          <w:sz w:val="24"/>
        </w:rPr>
      </w:pPr>
      <w:r>
        <w:rPr>
          <w:sz w:val="24"/>
        </w:rPr>
        <w:br w:type="page"/>
      </w:r>
      <w:r>
        <w:rPr>
          <w:rFonts w:hint="eastAsia"/>
          <w:sz w:val="24"/>
        </w:rPr>
        <w:t>附件12</w:t>
      </w:r>
    </w:p>
    <w:p>
      <w:pPr>
        <w:kinsoku/>
        <w:overflowPunct/>
        <w:topLinePunct w:val="0"/>
        <w:bidi w:val="0"/>
        <w:spacing w:line="300" w:lineRule="auto"/>
        <w:jc w:val="center"/>
        <w:rPr>
          <w:b/>
          <w:sz w:val="28"/>
          <w:szCs w:val="28"/>
        </w:rPr>
      </w:pPr>
      <w:r>
        <w:rPr>
          <w:rFonts w:hint="eastAsia"/>
          <w:b/>
          <w:sz w:val="28"/>
          <w:szCs w:val="28"/>
        </w:rPr>
        <w:t>建设工程廉政责任书</w:t>
      </w:r>
    </w:p>
    <w:p>
      <w:pPr>
        <w:kinsoku/>
        <w:overflowPunct/>
        <w:topLinePunct w:val="0"/>
        <w:bidi w:val="0"/>
        <w:spacing w:line="300" w:lineRule="auto"/>
        <w:ind w:firstLine="420"/>
        <w:rPr>
          <w:szCs w:val="21"/>
        </w:rPr>
      </w:pPr>
      <w:r>
        <w:rPr>
          <w:rFonts w:hint="eastAsia"/>
          <w:szCs w:val="21"/>
        </w:rPr>
        <w:t>发包人：</w:t>
      </w:r>
      <w:r>
        <w:rPr>
          <w:rFonts w:hint="eastAsia"/>
          <w:szCs w:val="21"/>
          <w:u w:val="single"/>
        </w:rPr>
        <w:t xml:space="preserve">                                               </w:t>
      </w:r>
    </w:p>
    <w:p>
      <w:pPr>
        <w:kinsoku/>
        <w:overflowPunct/>
        <w:topLinePunct w:val="0"/>
        <w:bidi w:val="0"/>
        <w:spacing w:line="300" w:lineRule="auto"/>
        <w:ind w:firstLine="420"/>
        <w:rPr>
          <w:szCs w:val="21"/>
        </w:rPr>
      </w:pPr>
      <w:r>
        <w:rPr>
          <w:rFonts w:hint="eastAsia"/>
          <w:szCs w:val="21"/>
        </w:rPr>
        <w:t>承包人：</w:t>
      </w:r>
      <w:r>
        <w:rPr>
          <w:rFonts w:hint="eastAsia"/>
          <w:szCs w:val="21"/>
          <w:u w:val="single"/>
        </w:rPr>
        <w:t xml:space="preserve">                                               </w:t>
      </w:r>
    </w:p>
    <w:p>
      <w:pPr>
        <w:kinsoku/>
        <w:overflowPunct/>
        <w:topLinePunct w:val="0"/>
        <w:bidi w:val="0"/>
        <w:spacing w:line="300" w:lineRule="auto"/>
        <w:ind w:firstLine="420"/>
        <w:rPr>
          <w:szCs w:val="21"/>
        </w:rPr>
      </w:pPr>
      <w:r>
        <w:rPr>
          <w:rFonts w:hint="eastAsia"/>
          <w:szCs w:val="21"/>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kinsoku/>
        <w:overflowPunct/>
        <w:topLinePunct w:val="0"/>
        <w:bidi w:val="0"/>
        <w:spacing w:line="300" w:lineRule="auto"/>
        <w:ind w:firstLine="420"/>
        <w:rPr>
          <w:szCs w:val="21"/>
        </w:rPr>
      </w:pPr>
      <w:r>
        <w:rPr>
          <w:rFonts w:hint="eastAsia"/>
          <w:szCs w:val="21"/>
        </w:rPr>
        <w:t>一、双方的责任</w:t>
      </w:r>
    </w:p>
    <w:p>
      <w:pPr>
        <w:kinsoku/>
        <w:overflowPunct/>
        <w:topLinePunct w:val="0"/>
        <w:bidi w:val="0"/>
        <w:spacing w:line="300" w:lineRule="auto"/>
        <w:ind w:firstLine="420"/>
        <w:rPr>
          <w:szCs w:val="21"/>
        </w:rPr>
      </w:pPr>
      <w:r>
        <w:rPr>
          <w:rFonts w:hint="eastAsia"/>
          <w:szCs w:val="21"/>
        </w:rPr>
        <w:t>1.1应严格遵守国家关于建设工程的有关法律、法规，相关政策，以及廉政建设的各项规定。</w:t>
      </w:r>
    </w:p>
    <w:p>
      <w:pPr>
        <w:kinsoku/>
        <w:overflowPunct/>
        <w:topLinePunct w:val="0"/>
        <w:bidi w:val="0"/>
        <w:spacing w:line="300" w:lineRule="auto"/>
        <w:ind w:firstLine="420"/>
        <w:rPr>
          <w:szCs w:val="21"/>
        </w:rPr>
      </w:pPr>
      <w:r>
        <w:rPr>
          <w:rFonts w:hint="eastAsia"/>
          <w:szCs w:val="21"/>
        </w:rPr>
        <w:t>1.2严格执行建设工程合同文件，自觉按合同办事。</w:t>
      </w:r>
    </w:p>
    <w:p>
      <w:pPr>
        <w:kinsoku/>
        <w:overflowPunct/>
        <w:topLinePunct w:val="0"/>
        <w:bidi w:val="0"/>
        <w:spacing w:line="300" w:lineRule="auto"/>
        <w:ind w:firstLine="420"/>
        <w:rPr>
          <w:szCs w:val="21"/>
        </w:rPr>
      </w:pPr>
      <w:r>
        <w:rPr>
          <w:rFonts w:hint="eastAsia"/>
          <w:szCs w:val="21"/>
        </w:rPr>
        <w:t>1.3各项活动必须坚持公开、公平、公正、诚信、透明的原则(除法律法规另有规定者外)，不得为获取不正当的利益，损害国家、集体和对方利益，不得违反建设工程管理的规章制度。</w:t>
      </w:r>
    </w:p>
    <w:p>
      <w:pPr>
        <w:kinsoku/>
        <w:overflowPunct/>
        <w:topLinePunct w:val="0"/>
        <w:bidi w:val="0"/>
        <w:spacing w:line="300" w:lineRule="auto"/>
        <w:ind w:firstLine="420"/>
        <w:rPr>
          <w:szCs w:val="21"/>
        </w:rPr>
      </w:pPr>
      <w:r>
        <w:rPr>
          <w:rFonts w:hint="eastAsia"/>
          <w:szCs w:val="21"/>
        </w:rPr>
        <w:t>1.4发现对方在业务活动中有违规、违纪、违法行为的，应及时提醒对方，情节严重的，应向其上级主管部门或纪检监察、司法等有关机关举报。</w:t>
      </w:r>
    </w:p>
    <w:p>
      <w:pPr>
        <w:kinsoku/>
        <w:overflowPunct/>
        <w:topLinePunct w:val="0"/>
        <w:bidi w:val="0"/>
        <w:spacing w:line="300" w:lineRule="auto"/>
        <w:ind w:firstLine="420"/>
        <w:rPr>
          <w:szCs w:val="21"/>
        </w:rPr>
      </w:pPr>
      <w:r>
        <w:rPr>
          <w:rFonts w:hint="eastAsia"/>
          <w:szCs w:val="21"/>
        </w:rPr>
        <w:t>二、发包人责任</w:t>
      </w:r>
    </w:p>
    <w:p>
      <w:pPr>
        <w:kinsoku/>
        <w:overflowPunct/>
        <w:topLinePunct w:val="0"/>
        <w:bidi w:val="0"/>
        <w:spacing w:line="300" w:lineRule="auto"/>
        <w:ind w:firstLine="420"/>
        <w:rPr>
          <w:szCs w:val="21"/>
        </w:rPr>
      </w:pPr>
      <w:r>
        <w:rPr>
          <w:rFonts w:hint="eastAsia"/>
          <w:szCs w:val="21"/>
        </w:rPr>
        <w:t>发包人的领导和从事该建设工程项目的工作人员，在工程建设的事前、事中、事后应遵守以下规定：</w:t>
      </w:r>
    </w:p>
    <w:p>
      <w:pPr>
        <w:kinsoku/>
        <w:overflowPunct/>
        <w:topLinePunct w:val="0"/>
        <w:bidi w:val="0"/>
        <w:spacing w:line="300" w:lineRule="auto"/>
        <w:ind w:firstLine="420"/>
        <w:rPr>
          <w:szCs w:val="21"/>
        </w:rPr>
      </w:pPr>
      <w:r>
        <w:rPr>
          <w:rFonts w:hint="eastAsia"/>
          <w:szCs w:val="21"/>
        </w:rPr>
        <w:t>2.1不得向承包人和相关单位索要或接受回扣、礼金、有价证券、贵重物品和好处费、感谢费等。</w:t>
      </w:r>
    </w:p>
    <w:p>
      <w:pPr>
        <w:kinsoku/>
        <w:overflowPunct/>
        <w:topLinePunct w:val="0"/>
        <w:bidi w:val="0"/>
        <w:spacing w:line="300" w:lineRule="auto"/>
        <w:ind w:firstLine="420"/>
        <w:rPr>
          <w:szCs w:val="21"/>
        </w:rPr>
      </w:pPr>
      <w:r>
        <w:rPr>
          <w:rFonts w:hint="eastAsia"/>
          <w:szCs w:val="21"/>
        </w:rPr>
        <w:t>2.2不得在承包人和相关单位报销任何应由发包人或个人支付的费用。</w:t>
      </w:r>
    </w:p>
    <w:p>
      <w:pPr>
        <w:kinsoku/>
        <w:overflowPunct/>
        <w:topLinePunct w:val="0"/>
        <w:bidi w:val="0"/>
        <w:spacing w:line="300" w:lineRule="auto"/>
        <w:ind w:firstLine="420"/>
        <w:rPr>
          <w:szCs w:val="21"/>
        </w:rPr>
      </w:pPr>
      <w:r>
        <w:rPr>
          <w:rFonts w:hint="eastAsia"/>
          <w:szCs w:val="21"/>
        </w:rPr>
        <w:t>2.3不得要求、暗示或接受承包人和相关单位为个人装修住房、婚丧嫁娶、配偶子女的工作安排以及出国(境)、旅游等提供方便。</w:t>
      </w:r>
    </w:p>
    <w:p>
      <w:pPr>
        <w:kinsoku/>
        <w:overflowPunct/>
        <w:topLinePunct w:val="0"/>
        <w:bidi w:val="0"/>
        <w:spacing w:line="300" w:lineRule="auto"/>
        <w:ind w:firstLine="420"/>
        <w:rPr>
          <w:szCs w:val="21"/>
        </w:rPr>
      </w:pPr>
      <w:r>
        <w:rPr>
          <w:rFonts w:hint="eastAsia"/>
          <w:szCs w:val="21"/>
        </w:rPr>
        <w:t>2.4不得参加有可能影响公正执行公务的承包人和相关单位的宴请、健身、娱乐等活动。</w:t>
      </w:r>
    </w:p>
    <w:p>
      <w:pPr>
        <w:kinsoku/>
        <w:overflowPunct/>
        <w:topLinePunct w:val="0"/>
        <w:bidi w:val="0"/>
        <w:spacing w:line="300" w:lineRule="auto"/>
        <w:ind w:firstLine="420"/>
        <w:rPr>
          <w:szCs w:val="21"/>
        </w:rPr>
      </w:pPr>
      <w:r>
        <w:rPr>
          <w:rFonts w:hint="eastAsia"/>
          <w:szCs w:val="21"/>
        </w:rPr>
        <w:t>2.5不得向承包人和相关单位介绍或为配偶、子女、亲属参与同发包人工程建设管理合同有关的业务活动；不得以任何理由要求承包人和相关单位使用某种产品、材料和设备。</w:t>
      </w:r>
    </w:p>
    <w:p>
      <w:pPr>
        <w:kinsoku/>
        <w:overflowPunct/>
        <w:topLinePunct w:val="0"/>
        <w:bidi w:val="0"/>
        <w:spacing w:line="300" w:lineRule="auto"/>
        <w:ind w:firstLine="420"/>
        <w:rPr>
          <w:szCs w:val="21"/>
        </w:rPr>
      </w:pPr>
      <w:r>
        <w:rPr>
          <w:rFonts w:hint="eastAsia"/>
          <w:szCs w:val="21"/>
        </w:rPr>
        <w:t>三、承包人责任</w:t>
      </w:r>
    </w:p>
    <w:p>
      <w:pPr>
        <w:kinsoku/>
        <w:overflowPunct/>
        <w:topLinePunct w:val="0"/>
        <w:bidi w:val="0"/>
        <w:spacing w:line="300" w:lineRule="auto"/>
        <w:ind w:firstLine="420"/>
        <w:rPr>
          <w:szCs w:val="21"/>
        </w:rPr>
      </w:pPr>
      <w:r>
        <w:rPr>
          <w:rFonts w:hint="eastAsia"/>
          <w:szCs w:val="21"/>
        </w:rPr>
        <w:t>应与发包人保持正常的业务交往，按照有关法律法规和程序开展业务工作，严格执行工程建设的有关方针、政策，执行工程建设强制性标准，并遵守以下规定：</w:t>
      </w:r>
    </w:p>
    <w:p>
      <w:pPr>
        <w:kinsoku/>
        <w:overflowPunct/>
        <w:topLinePunct w:val="0"/>
        <w:bidi w:val="0"/>
        <w:spacing w:line="300" w:lineRule="auto"/>
        <w:ind w:firstLine="420"/>
        <w:rPr>
          <w:szCs w:val="21"/>
        </w:rPr>
      </w:pPr>
      <w:r>
        <w:rPr>
          <w:rFonts w:hint="eastAsia"/>
          <w:szCs w:val="21"/>
        </w:rPr>
        <w:t>3.1不得以任何理由向发包人及其工作人员索要、接受或赠送礼金、有价证券、贵重物品及回扣、好处费、感谢费等。</w:t>
      </w:r>
    </w:p>
    <w:p>
      <w:pPr>
        <w:kinsoku/>
        <w:overflowPunct/>
        <w:topLinePunct w:val="0"/>
        <w:bidi w:val="0"/>
        <w:spacing w:line="300" w:lineRule="auto"/>
        <w:ind w:firstLine="420"/>
        <w:rPr>
          <w:szCs w:val="21"/>
        </w:rPr>
      </w:pPr>
      <w:r>
        <w:rPr>
          <w:rFonts w:hint="eastAsia"/>
          <w:szCs w:val="21"/>
        </w:rPr>
        <w:t>3.2不得以任何理由为发包人和相关单位报销应由对方或个人支付的费用。</w:t>
      </w:r>
    </w:p>
    <w:p>
      <w:pPr>
        <w:kinsoku/>
        <w:overflowPunct/>
        <w:topLinePunct w:val="0"/>
        <w:bidi w:val="0"/>
        <w:spacing w:line="300" w:lineRule="auto"/>
        <w:ind w:firstLine="420"/>
        <w:rPr>
          <w:szCs w:val="21"/>
        </w:rPr>
      </w:pPr>
      <w:r>
        <w:rPr>
          <w:rFonts w:hint="eastAsia"/>
          <w:szCs w:val="21"/>
        </w:rPr>
        <w:t>3.3不得接受或暗示为发包人、相关单位或个人装修住房、婚丧嫁娶、配偶子女的工作安排以及出国(境)、旅游等提供方便。</w:t>
      </w:r>
    </w:p>
    <w:p>
      <w:pPr>
        <w:kinsoku/>
        <w:overflowPunct/>
        <w:topLinePunct w:val="0"/>
        <w:bidi w:val="0"/>
        <w:spacing w:line="300" w:lineRule="auto"/>
        <w:ind w:firstLine="420"/>
        <w:rPr>
          <w:szCs w:val="21"/>
        </w:rPr>
      </w:pPr>
      <w:r>
        <w:rPr>
          <w:rFonts w:hint="eastAsia"/>
          <w:szCs w:val="21"/>
        </w:rPr>
        <w:t>3.4不得以任何理由为发包人、相关单位或个人组织有可能影响公正执行公务的宴请、健身、娱乐等活动。</w:t>
      </w:r>
    </w:p>
    <w:p>
      <w:pPr>
        <w:kinsoku/>
        <w:overflowPunct/>
        <w:topLinePunct w:val="0"/>
        <w:bidi w:val="0"/>
        <w:spacing w:line="300" w:lineRule="auto"/>
        <w:ind w:firstLine="420"/>
        <w:rPr>
          <w:szCs w:val="21"/>
        </w:rPr>
      </w:pPr>
      <w:r>
        <w:rPr>
          <w:rFonts w:hint="eastAsia"/>
          <w:szCs w:val="21"/>
        </w:rPr>
        <w:t>四、违约责任</w:t>
      </w:r>
    </w:p>
    <w:p>
      <w:pPr>
        <w:kinsoku/>
        <w:overflowPunct/>
        <w:topLinePunct w:val="0"/>
        <w:bidi w:val="0"/>
        <w:spacing w:line="300" w:lineRule="auto"/>
        <w:ind w:firstLine="420"/>
        <w:rPr>
          <w:szCs w:val="21"/>
        </w:rPr>
      </w:pPr>
      <w:r>
        <w:rPr>
          <w:rFonts w:hint="eastAsia"/>
          <w:szCs w:val="21"/>
        </w:rPr>
        <w:t>4.1发包人工作人员有违反本责任书第一、二条责任行为的，依据有关法律、法规给予处理；涉嫌犯罪的，移交司法机关追究刑事责任；给承包人单位造成经济损失的，应予以赔偿。</w:t>
      </w:r>
    </w:p>
    <w:p>
      <w:pPr>
        <w:kinsoku/>
        <w:overflowPunct/>
        <w:topLinePunct w:val="0"/>
        <w:bidi w:val="0"/>
        <w:spacing w:line="300" w:lineRule="auto"/>
        <w:ind w:firstLine="420"/>
        <w:rPr>
          <w:szCs w:val="21"/>
        </w:rPr>
      </w:pPr>
      <w:r>
        <w:rPr>
          <w:rFonts w:hint="eastAsia"/>
          <w:szCs w:val="21"/>
        </w:rPr>
        <w:t>4.2承包人工作人员有违反本责任书第一、三条责任行为的，依据有关法律法规处理；涉嫌犯罪的，移交司法机关追究刑事责任；给发包人单位造成经济损失的，应予以赔偿。</w:t>
      </w:r>
    </w:p>
    <w:p>
      <w:pPr>
        <w:kinsoku/>
        <w:overflowPunct/>
        <w:topLinePunct w:val="0"/>
        <w:bidi w:val="0"/>
        <w:spacing w:line="300" w:lineRule="auto"/>
        <w:ind w:firstLine="420"/>
        <w:rPr>
          <w:szCs w:val="21"/>
        </w:rPr>
      </w:pPr>
      <w:r>
        <w:rPr>
          <w:rFonts w:hint="eastAsia"/>
          <w:szCs w:val="21"/>
        </w:rPr>
        <w:t>4.3本责任书作为建设工程合同的组成部分，与建设工程合同具有同等法律效力。经双方签署后立即生效。</w:t>
      </w:r>
    </w:p>
    <w:p>
      <w:pPr>
        <w:kinsoku/>
        <w:overflowPunct/>
        <w:topLinePunct w:val="0"/>
        <w:bidi w:val="0"/>
        <w:spacing w:line="300" w:lineRule="auto"/>
        <w:ind w:firstLine="420"/>
        <w:rPr>
          <w:szCs w:val="21"/>
        </w:rPr>
      </w:pPr>
      <w:r>
        <w:rPr>
          <w:rFonts w:hint="eastAsia"/>
          <w:szCs w:val="21"/>
        </w:rPr>
        <w:t>五、责任书有效期</w:t>
      </w:r>
    </w:p>
    <w:p>
      <w:pPr>
        <w:kinsoku/>
        <w:overflowPunct/>
        <w:topLinePunct w:val="0"/>
        <w:bidi w:val="0"/>
        <w:spacing w:line="300" w:lineRule="auto"/>
        <w:ind w:firstLine="420"/>
        <w:rPr>
          <w:szCs w:val="21"/>
        </w:rPr>
      </w:pPr>
      <w:r>
        <w:rPr>
          <w:rFonts w:hint="eastAsia"/>
          <w:szCs w:val="21"/>
        </w:rPr>
        <w:t>本责任书的有效期为双方签署之日起至该工程项目竣工验收合格时止。</w:t>
      </w:r>
    </w:p>
    <w:p>
      <w:pPr>
        <w:kinsoku/>
        <w:overflowPunct/>
        <w:topLinePunct w:val="0"/>
        <w:bidi w:val="0"/>
        <w:spacing w:line="300" w:lineRule="auto"/>
        <w:ind w:firstLine="420"/>
        <w:rPr>
          <w:szCs w:val="21"/>
        </w:rPr>
      </w:pPr>
      <w:r>
        <w:rPr>
          <w:rFonts w:hint="eastAsia"/>
          <w:szCs w:val="21"/>
        </w:rPr>
        <w:t>六、责任书份数</w:t>
      </w:r>
    </w:p>
    <w:p>
      <w:pPr>
        <w:kinsoku/>
        <w:overflowPunct/>
        <w:topLinePunct w:val="0"/>
        <w:bidi w:val="0"/>
        <w:spacing w:line="300" w:lineRule="auto"/>
        <w:ind w:firstLine="420"/>
        <w:rPr>
          <w:szCs w:val="21"/>
        </w:rPr>
      </w:pPr>
      <w:r>
        <w:rPr>
          <w:rFonts w:hint="eastAsia"/>
          <w:szCs w:val="21"/>
        </w:rPr>
        <w:t>本责任书一式二份，发包人承包人各执一份，具有同等效力。</w:t>
      </w:r>
    </w:p>
    <w:p>
      <w:pPr>
        <w:kinsoku/>
        <w:overflowPunct/>
        <w:topLinePunct w:val="0"/>
        <w:bidi w:val="0"/>
        <w:spacing w:line="300" w:lineRule="auto"/>
        <w:ind w:firstLine="420"/>
        <w:rPr>
          <w:szCs w:val="21"/>
        </w:rPr>
      </w:pPr>
      <w:r>
        <w:rPr>
          <w:rFonts w:hint="eastAsia"/>
          <w:szCs w:val="21"/>
        </w:rPr>
        <w:t>发包人：</w:t>
      </w:r>
      <w:r>
        <w:rPr>
          <w:rFonts w:hint="eastAsia"/>
          <w:szCs w:val="21"/>
          <w:u w:val="single"/>
        </w:rPr>
        <w:t xml:space="preserve">                     </w:t>
      </w:r>
      <w:r>
        <w:rPr>
          <w:rFonts w:hint="eastAsia"/>
          <w:szCs w:val="21"/>
        </w:rPr>
        <w:t>(公章)    承包人：</w:t>
      </w:r>
      <w:r>
        <w:rPr>
          <w:rFonts w:hint="eastAsia"/>
          <w:szCs w:val="21"/>
          <w:u w:val="single"/>
        </w:rPr>
        <w:t xml:space="preserve">                     </w:t>
      </w:r>
      <w:r>
        <w:rPr>
          <w:rFonts w:hint="eastAsia"/>
          <w:szCs w:val="21"/>
        </w:rPr>
        <w:t xml:space="preserve"> (公章)</w:t>
      </w:r>
    </w:p>
    <w:p>
      <w:pPr>
        <w:kinsoku/>
        <w:overflowPunct/>
        <w:topLinePunct w:val="0"/>
        <w:bidi w:val="0"/>
        <w:spacing w:line="300" w:lineRule="auto"/>
        <w:ind w:firstLine="420"/>
        <w:rPr>
          <w:szCs w:val="21"/>
        </w:rPr>
      </w:pPr>
      <w:r>
        <w:rPr>
          <w:rFonts w:hint="eastAsia"/>
          <w:szCs w:val="21"/>
        </w:rPr>
        <w:t>法定地址：</w:t>
      </w:r>
      <w:r>
        <w:rPr>
          <w:rFonts w:hint="eastAsia"/>
          <w:szCs w:val="21"/>
          <w:u w:val="single"/>
        </w:rPr>
        <w:t xml:space="preserve">                   </w:t>
      </w:r>
      <w:r>
        <w:rPr>
          <w:rFonts w:hint="eastAsia"/>
          <w:szCs w:val="21"/>
        </w:rPr>
        <w:t xml:space="preserve">          法定地址：</w:t>
      </w:r>
      <w:r>
        <w:rPr>
          <w:rFonts w:hint="eastAsia"/>
          <w:szCs w:val="21"/>
          <w:u w:val="single"/>
        </w:rPr>
        <w:t xml:space="preserve">                   </w:t>
      </w:r>
    </w:p>
    <w:p>
      <w:pPr>
        <w:kinsoku/>
        <w:overflowPunct/>
        <w:topLinePunct w:val="0"/>
        <w:bidi w:val="0"/>
        <w:spacing w:line="300" w:lineRule="auto"/>
        <w:ind w:firstLine="420"/>
        <w:rPr>
          <w:szCs w:val="21"/>
        </w:rPr>
      </w:pPr>
      <w:r>
        <w:rPr>
          <w:rFonts w:hint="eastAsia"/>
          <w:szCs w:val="21"/>
        </w:rPr>
        <w:t>法定代表人或其                         法定代表人或其</w:t>
      </w:r>
    </w:p>
    <w:p>
      <w:pPr>
        <w:kinsoku/>
        <w:overflowPunct/>
        <w:topLinePunct w:val="0"/>
        <w:bidi w:val="0"/>
        <w:spacing w:line="300" w:lineRule="auto"/>
        <w:ind w:firstLine="420"/>
        <w:rPr>
          <w:szCs w:val="21"/>
        </w:rPr>
      </w:pPr>
      <w:r>
        <w:rPr>
          <w:rFonts w:hint="eastAsia"/>
          <w:szCs w:val="21"/>
        </w:rPr>
        <w:t>委托代理人：</w:t>
      </w:r>
      <w:r>
        <w:rPr>
          <w:rFonts w:hint="eastAsia"/>
          <w:szCs w:val="21"/>
          <w:u w:val="single"/>
        </w:rPr>
        <w:t xml:space="preserve">                 </w:t>
      </w:r>
      <w:r>
        <w:rPr>
          <w:rFonts w:hint="eastAsia"/>
          <w:szCs w:val="21"/>
        </w:rPr>
        <w:t>(签字)    委托代理人：</w:t>
      </w:r>
      <w:r>
        <w:rPr>
          <w:rFonts w:hint="eastAsia"/>
          <w:szCs w:val="21"/>
          <w:u w:val="single"/>
        </w:rPr>
        <w:t xml:space="preserve">                 </w:t>
      </w:r>
      <w:r>
        <w:rPr>
          <w:rFonts w:hint="eastAsia"/>
          <w:szCs w:val="21"/>
        </w:rPr>
        <w:t xml:space="preserve"> (签字)</w:t>
      </w:r>
    </w:p>
    <w:p>
      <w:pPr>
        <w:kinsoku/>
        <w:overflowPunct/>
        <w:topLinePunct w:val="0"/>
        <w:bidi w:val="0"/>
        <w:spacing w:line="300" w:lineRule="auto"/>
        <w:ind w:firstLine="420"/>
        <w:rPr>
          <w:szCs w:val="21"/>
        </w:rPr>
      </w:pPr>
      <w:r>
        <w:rPr>
          <w:rFonts w:hint="eastAsia"/>
          <w:szCs w:val="21"/>
        </w:rPr>
        <w:t>电话：</w:t>
      </w:r>
      <w:r>
        <w:rPr>
          <w:rFonts w:hint="eastAsia"/>
          <w:szCs w:val="21"/>
          <w:u w:val="single"/>
        </w:rPr>
        <w:t xml:space="preserve">                       </w:t>
      </w:r>
      <w:r>
        <w:rPr>
          <w:rFonts w:hint="eastAsia"/>
          <w:szCs w:val="21"/>
        </w:rPr>
        <w:t xml:space="preserve">          电话：</w:t>
      </w:r>
      <w:r>
        <w:rPr>
          <w:rFonts w:hint="eastAsia"/>
          <w:szCs w:val="21"/>
          <w:u w:val="single"/>
        </w:rPr>
        <w:t xml:space="preserve">                       </w:t>
      </w:r>
    </w:p>
    <w:p>
      <w:pPr>
        <w:kinsoku/>
        <w:overflowPunct/>
        <w:topLinePunct w:val="0"/>
        <w:bidi w:val="0"/>
        <w:spacing w:line="300" w:lineRule="auto"/>
        <w:ind w:firstLine="420"/>
        <w:rPr>
          <w:szCs w:val="21"/>
        </w:rPr>
      </w:pPr>
      <w:r>
        <w:rPr>
          <w:rFonts w:hint="eastAsia"/>
          <w:szCs w:val="21"/>
        </w:rPr>
        <w:t>传真：</w:t>
      </w:r>
      <w:r>
        <w:rPr>
          <w:rFonts w:hint="eastAsia"/>
          <w:szCs w:val="21"/>
          <w:u w:val="single"/>
        </w:rPr>
        <w:t xml:space="preserve">                       </w:t>
      </w:r>
      <w:r>
        <w:rPr>
          <w:rFonts w:hint="eastAsia"/>
          <w:szCs w:val="21"/>
        </w:rPr>
        <w:t xml:space="preserve">          传真：</w:t>
      </w:r>
      <w:r>
        <w:rPr>
          <w:rFonts w:hint="eastAsia"/>
          <w:szCs w:val="21"/>
          <w:u w:val="single"/>
        </w:rPr>
        <w:t xml:space="preserve">                       </w:t>
      </w:r>
    </w:p>
    <w:p>
      <w:pPr>
        <w:kinsoku/>
        <w:overflowPunct/>
        <w:topLinePunct w:val="0"/>
        <w:bidi w:val="0"/>
        <w:spacing w:line="300" w:lineRule="auto"/>
        <w:ind w:firstLine="420"/>
        <w:rPr>
          <w:szCs w:val="21"/>
        </w:rPr>
      </w:pPr>
      <w:r>
        <w:rPr>
          <w:rFonts w:hint="eastAsia"/>
          <w:szCs w:val="21"/>
        </w:rPr>
        <w:t>电子邮箱：</w:t>
      </w:r>
      <w:r>
        <w:rPr>
          <w:rFonts w:hint="eastAsia"/>
          <w:szCs w:val="21"/>
          <w:u w:val="single"/>
        </w:rPr>
        <w:t xml:space="preserve">                   </w:t>
      </w:r>
      <w:r>
        <w:rPr>
          <w:rFonts w:hint="eastAsia"/>
          <w:szCs w:val="21"/>
        </w:rPr>
        <w:t xml:space="preserve">          电子邮箱：</w:t>
      </w:r>
      <w:r>
        <w:rPr>
          <w:rFonts w:hint="eastAsia"/>
          <w:szCs w:val="21"/>
          <w:u w:val="single"/>
        </w:rPr>
        <w:t xml:space="preserve">                   </w:t>
      </w:r>
    </w:p>
    <w:p>
      <w:pPr>
        <w:kinsoku/>
        <w:overflowPunct/>
        <w:topLinePunct w:val="0"/>
        <w:bidi w:val="0"/>
        <w:spacing w:line="300" w:lineRule="auto"/>
        <w:ind w:firstLine="420"/>
        <w:rPr>
          <w:szCs w:val="21"/>
        </w:rPr>
      </w:pPr>
      <w:r>
        <w:rPr>
          <w:rFonts w:hint="eastAsia"/>
          <w:szCs w:val="21"/>
        </w:rPr>
        <w:t>开户银行：</w:t>
      </w:r>
      <w:r>
        <w:rPr>
          <w:rFonts w:hint="eastAsia"/>
          <w:szCs w:val="21"/>
          <w:u w:val="single"/>
        </w:rPr>
        <w:t xml:space="preserve">                   </w:t>
      </w:r>
      <w:r>
        <w:rPr>
          <w:rFonts w:hint="eastAsia"/>
          <w:szCs w:val="21"/>
        </w:rPr>
        <w:t xml:space="preserve">          开户银行：</w:t>
      </w:r>
      <w:r>
        <w:rPr>
          <w:rFonts w:hint="eastAsia"/>
          <w:szCs w:val="21"/>
          <w:u w:val="single"/>
        </w:rPr>
        <w:t xml:space="preserve">                   </w:t>
      </w:r>
    </w:p>
    <w:p>
      <w:pPr>
        <w:kinsoku/>
        <w:overflowPunct/>
        <w:topLinePunct w:val="0"/>
        <w:bidi w:val="0"/>
        <w:spacing w:line="300" w:lineRule="auto"/>
        <w:ind w:firstLine="420"/>
        <w:rPr>
          <w:szCs w:val="21"/>
        </w:rPr>
      </w:pPr>
      <w:r>
        <w:rPr>
          <w:rFonts w:hint="eastAsia"/>
          <w:szCs w:val="21"/>
        </w:rPr>
        <w:t>帐号：</w:t>
      </w:r>
      <w:r>
        <w:rPr>
          <w:rFonts w:hint="eastAsia"/>
          <w:szCs w:val="21"/>
          <w:u w:val="single"/>
        </w:rPr>
        <w:t xml:space="preserve">                       </w:t>
      </w:r>
      <w:r>
        <w:rPr>
          <w:rFonts w:hint="eastAsia"/>
          <w:szCs w:val="21"/>
        </w:rPr>
        <w:t xml:space="preserve">          帐号：</w:t>
      </w:r>
      <w:r>
        <w:rPr>
          <w:rFonts w:hint="eastAsia"/>
          <w:szCs w:val="21"/>
          <w:u w:val="single"/>
        </w:rPr>
        <w:t xml:space="preserve">                       </w:t>
      </w:r>
    </w:p>
    <w:p>
      <w:pPr>
        <w:kinsoku/>
        <w:overflowPunct/>
        <w:topLinePunct w:val="0"/>
        <w:bidi w:val="0"/>
        <w:spacing w:line="300" w:lineRule="auto"/>
        <w:ind w:firstLine="420"/>
        <w:rPr>
          <w:szCs w:val="21"/>
          <w:u w:val="single"/>
        </w:rPr>
      </w:pPr>
      <w:r>
        <w:rPr>
          <w:rFonts w:hint="eastAsia"/>
          <w:szCs w:val="21"/>
        </w:rPr>
        <w:t>邮政编码：</w:t>
      </w:r>
      <w:r>
        <w:rPr>
          <w:rFonts w:hint="eastAsia"/>
          <w:szCs w:val="21"/>
          <w:u w:val="single"/>
        </w:rPr>
        <w:t xml:space="preserve">                   </w:t>
      </w:r>
      <w:r>
        <w:rPr>
          <w:rFonts w:hint="eastAsia"/>
          <w:szCs w:val="21"/>
        </w:rPr>
        <w:t xml:space="preserve">          邮政编码：</w:t>
      </w:r>
      <w:r>
        <w:rPr>
          <w:rFonts w:hint="eastAsia"/>
          <w:szCs w:val="21"/>
          <w:u w:val="single"/>
        </w:rPr>
        <w:t xml:space="preserve">                   </w:t>
      </w:r>
    </w:p>
    <w:p>
      <w:pPr>
        <w:kinsoku/>
        <w:overflowPunct/>
        <w:topLinePunct w:val="0"/>
        <w:bidi w:val="0"/>
        <w:spacing w:line="300" w:lineRule="auto"/>
        <w:ind w:firstLine="422"/>
        <w:rPr>
          <w:rFonts w:ascii="宋体" w:hAnsi="宋体"/>
          <w:b/>
          <w:szCs w:val="21"/>
        </w:rPr>
      </w:pPr>
      <w:r>
        <w:rPr>
          <w:rFonts w:hint="eastAsia" w:ascii="宋体" w:hAnsi="宋体"/>
          <w:b/>
          <w:szCs w:val="21"/>
        </w:rPr>
        <w:t>注：本合同作为示范文本，具体以</w:t>
      </w:r>
      <w:r>
        <w:rPr>
          <w:rFonts w:hint="eastAsia" w:ascii="宋体" w:hAnsi="宋体"/>
          <w:b/>
          <w:szCs w:val="21"/>
          <w:lang w:eastAsia="zh-CN"/>
        </w:rPr>
        <w:t>成交供应商</w:t>
      </w:r>
      <w:r>
        <w:rPr>
          <w:rFonts w:hint="eastAsia" w:ascii="宋体" w:hAnsi="宋体"/>
          <w:b/>
          <w:szCs w:val="21"/>
        </w:rPr>
        <w:t>与</w:t>
      </w:r>
      <w:r>
        <w:rPr>
          <w:rFonts w:hint="eastAsia" w:ascii="宋体" w:hAnsi="宋体"/>
          <w:b/>
          <w:szCs w:val="21"/>
          <w:lang w:eastAsia="zh-CN"/>
        </w:rPr>
        <w:t>采购人</w:t>
      </w:r>
      <w:r>
        <w:rPr>
          <w:rFonts w:hint="eastAsia" w:ascii="宋体" w:hAnsi="宋体"/>
          <w:b/>
          <w:szCs w:val="21"/>
        </w:rPr>
        <w:t>所签定正式合同为准。</w:t>
      </w:r>
    </w:p>
    <w:p>
      <w:pPr>
        <w:kinsoku/>
        <w:overflowPunct/>
        <w:topLinePunct w:val="0"/>
        <w:bidi w:val="0"/>
        <w:spacing w:line="300" w:lineRule="auto"/>
        <w:ind w:firstLine="422"/>
        <w:rPr>
          <w:b/>
          <w:szCs w:val="21"/>
        </w:rPr>
      </w:pPr>
      <w:r>
        <w:rPr>
          <w:b/>
          <w:szCs w:val="21"/>
        </w:rPr>
        <w:br w:type="page"/>
      </w:r>
      <w:r>
        <w:rPr>
          <w:b/>
          <w:szCs w:val="21"/>
        </w:rPr>
        <w:t>附件</w:t>
      </w:r>
      <w:r>
        <w:rPr>
          <w:rFonts w:hint="eastAsia"/>
          <w:b/>
          <w:szCs w:val="21"/>
        </w:rPr>
        <w:t>13</w:t>
      </w:r>
      <w:r>
        <w:rPr>
          <w:b/>
          <w:szCs w:val="21"/>
        </w:rPr>
        <w:t>：</w:t>
      </w:r>
    </w:p>
    <w:p>
      <w:pPr>
        <w:kinsoku/>
        <w:overflowPunct/>
        <w:topLinePunct w:val="0"/>
        <w:bidi w:val="0"/>
        <w:spacing w:before="150" w:line="300" w:lineRule="auto"/>
        <w:ind w:firstLine="602"/>
        <w:jc w:val="center"/>
        <w:rPr>
          <w:rFonts w:cs="Arial"/>
          <w:b/>
          <w:bCs/>
          <w:sz w:val="30"/>
          <w:szCs w:val="30"/>
        </w:rPr>
      </w:pPr>
      <w:r>
        <w:rPr>
          <w:rFonts w:hint="eastAsia" w:cs="Arial"/>
          <w:b/>
          <w:bCs/>
          <w:sz w:val="30"/>
          <w:szCs w:val="30"/>
        </w:rPr>
        <w:t>农民工工资承诺书</w:t>
      </w:r>
    </w:p>
    <w:p>
      <w:pPr>
        <w:kinsoku/>
        <w:overflowPunct/>
        <w:topLinePunct w:val="0"/>
        <w:bidi w:val="0"/>
        <w:spacing w:before="150" w:line="300" w:lineRule="auto"/>
        <w:rPr>
          <w:szCs w:val="21"/>
        </w:rPr>
      </w:pPr>
      <w:r>
        <w:rPr>
          <w:rFonts w:hint="eastAsia"/>
          <w:szCs w:val="21"/>
          <w:u w:val="single"/>
        </w:rPr>
        <w:t xml:space="preserve">（业主名称）        </w:t>
      </w:r>
      <w:r>
        <w:rPr>
          <w:rFonts w:hint="eastAsia"/>
          <w:szCs w:val="21"/>
        </w:rPr>
        <w:t>：</w:t>
      </w:r>
    </w:p>
    <w:p>
      <w:pPr>
        <w:kinsoku/>
        <w:overflowPunct/>
        <w:topLinePunct w:val="0"/>
        <w:bidi w:val="0"/>
        <w:spacing w:before="150" w:line="300" w:lineRule="auto"/>
        <w:ind w:firstLine="600"/>
        <w:rPr>
          <w:szCs w:val="21"/>
        </w:rPr>
      </w:pPr>
      <w:r>
        <w:rPr>
          <w:rFonts w:hint="eastAsia"/>
          <w:szCs w:val="21"/>
        </w:rPr>
        <w:t>为了切实维护建筑农民工的合法权益，确保社会和企业稳定，根据各级政府和相关主管部门的相关要求，结合我公司承包</w:t>
      </w:r>
      <w:r>
        <w:rPr>
          <w:rFonts w:hint="eastAsia"/>
          <w:szCs w:val="21"/>
          <w:u w:val="single"/>
        </w:rPr>
        <w:t xml:space="preserve">                 </w:t>
      </w:r>
      <w:r>
        <w:rPr>
          <w:rFonts w:hint="eastAsia"/>
          <w:szCs w:val="21"/>
        </w:rPr>
        <w:t>工程的劳务施工实际情况，特作如下慎重承诺：</w:t>
      </w:r>
    </w:p>
    <w:p>
      <w:pPr>
        <w:kinsoku/>
        <w:overflowPunct/>
        <w:topLinePunct w:val="0"/>
        <w:bidi w:val="0"/>
        <w:spacing w:before="150" w:line="300" w:lineRule="auto"/>
        <w:ind w:firstLine="600"/>
        <w:rPr>
          <w:szCs w:val="21"/>
        </w:rPr>
      </w:pPr>
      <w:r>
        <w:rPr>
          <w:rFonts w:hint="eastAsia"/>
          <w:szCs w:val="21"/>
        </w:rPr>
        <w:t>1、我公司将严格按照温州市住建委关于规范温州市建筑工程工资款与其他款分账管理的通知（温住建发[2018]4号）的相关要求，切实做好农民工工资发放工作;</w:t>
      </w:r>
    </w:p>
    <w:p>
      <w:pPr>
        <w:kinsoku/>
        <w:overflowPunct/>
        <w:topLinePunct w:val="0"/>
        <w:bidi w:val="0"/>
        <w:spacing w:before="150" w:line="300" w:lineRule="auto"/>
        <w:ind w:firstLine="600"/>
        <w:rPr>
          <w:szCs w:val="21"/>
        </w:rPr>
      </w:pPr>
      <w:r>
        <w:rPr>
          <w:rFonts w:hint="eastAsia"/>
          <w:szCs w:val="21"/>
        </w:rPr>
        <w:t>2、我公司一定按照文件规定实行银行卡足额支付农民工工资，按月考核农民工工作量并如实编制工资支付表，经农民工签字确认后，将工资通过银行卡转账方式支付给农民工本人;保证将每月发放的农民工工资表(表格形式、现场负责人和班组长签字认可、农民工本人签字)于每月</w:t>
      </w:r>
      <w:r>
        <w:rPr>
          <w:rFonts w:hint="eastAsia"/>
          <w:szCs w:val="21"/>
          <w:u w:val="single"/>
        </w:rPr>
        <w:t xml:space="preserve">     </w:t>
      </w:r>
      <w:r>
        <w:rPr>
          <w:rFonts w:hint="eastAsia"/>
          <w:szCs w:val="21"/>
        </w:rPr>
        <w:t>日前将上月农民工工资如实、及时上报给贵司项目部，否则我司(或个人)愿意接受贵司的处理;</w:t>
      </w:r>
    </w:p>
    <w:p>
      <w:pPr>
        <w:kinsoku/>
        <w:overflowPunct/>
        <w:topLinePunct w:val="0"/>
        <w:bidi w:val="0"/>
        <w:spacing w:before="150" w:line="300" w:lineRule="auto"/>
        <w:ind w:firstLine="600"/>
        <w:rPr>
          <w:szCs w:val="21"/>
        </w:rPr>
      </w:pPr>
      <w:r>
        <w:rPr>
          <w:rFonts w:hint="eastAsia"/>
          <w:szCs w:val="21"/>
        </w:rPr>
        <w:t>3、如因农民工工资发放、处置不力，导致农民工有不同形式的上访、闹访、集访等事件发生，项目部将立即停止对我公司(或个人)劳务工程款的支付，我公司(或个人)愿意将剩余工程款用作民工工资保证金。</w:t>
      </w:r>
    </w:p>
    <w:p>
      <w:pPr>
        <w:kinsoku/>
        <w:overflowPunct/>
        <w:topLinePunct w:val="0"/>
        <w:bidi w:val="0"/>
        <w:spacing w:before="150" w:line="300" w:lineRule="auto"/>
        <w:ind w:firstLine="600"/>
        <w:rPr>
          <w:szCs w:val="21"/>
        </w:rPr>
      </w:pPr>
      <w:r>
        <w:rPr>
          <w:rFonts w:hint="eastAsia"/>
          <w:szCs w:val="21"/>
        </w:rPr>
        <w:t>由此造成的一切不良后果和损失由我公司(或个人)承担。特此承诺!</w:t>
      </w:r>
    </w:p>
    <w:p>
      <w:pPr>
        <w:kinsoku/>
        <w:overflowPunct/>
        <w:topLinePunct w:val="0"/>
        <w:bidi w:val="0"/>
        <w:spacing w:before="150" w:line="300" w:lineRule="auto"/>
        <w:rPr>
          <w:szCs w:val="21"/>
        </w:rPr>
      </w:pPr>
      <w:r>
        <w:rPr>
          <w:rFonts w:hint="eastAsia"/>
          <w:szCs w:val="21"/>
        </w:rPr>
        <w:t xml:space="preserve"> </w:t>
      </w:r>
    </w:p>
    <w:p>
      <w:pPr>
        <w:kinsoku/>
        <w:overflowPunct/>
        <w:topLinePunct w:val="0"/>
        <w:bidi w:val="0"/>
        <w:spacing w:before="150" w:line="300" w:lineRule="auto"/>
        <w:rPr>
          <w:szCs w:val="21"/>
        </w:rPr>
      </w:pPr>
      <w:r>
        <w:rPr>
          <w:rFonts w:hint="eastAsia"/>
          <w:szCs w:val="21"/>
        </w:rPr>
        <w:t xml:space="preserve"> </w:t>
      </w:r>
    </w:p>
    <w:p>
      <w:pPr>
        <w:kinsoku/>
        <w:overflowPunct/>
        <w:topLinePunct w:val="0"/>
        <w:bidi w:val="0"/>
        <w:spacing w:before="150" w:line="300" w:lineRule="auto"/>
        <w:ind w:right="1560"/>
        <w:jc w:val="center"/>
        <w:rPr>
          <w:szCs w:val="21"/>
        </w:rPr>
      </w:pPr>
      <w:r>
        <w:rPr>
          <w:rFonts w:hint="eastAsia"/>
          <w:szCs w:val="21"/>
        </w:rPr>
        <w:t xml:space="preserve">                                                承诺单位：(盖章)</w:t>
      </w:r>
    </w:p>
    <w:p>
      <w:pPr>
        <w:kinsoku/>
        <w:overflowPunct/>
        <w:topLinePunct w:val="0"/>
        <w:bidi w:val="0"/>
        <w:spacing w:before="150" w:line="300" w:lineRule="auto"/>
        <w:ind w:right="1140" w:firstLine="5124" w:firstLineChars="2440"/>
        <w:rPr>
          <w:szCs w:val="21"/>
        </w:rPr>
      </w:pPr>
      <w:r>
        <w:rPr>
          <w:rFonts w:hint="eastAsia"/>
          <w:szCs w:val="21"/>
        </w:rPr>
        <w:t xml:space="preserve">       法人代表：(签字)</w:t>
      </w:r>
    </w:p>
    <w:p>
      <w:pPr>
        <w:kinsoku/>
        <w:overflowPunct/>
        <w:topLinePunct w:val="0"/>
        <w:bidi w:val="0"/>
        <w:spacing w:before="150" w:line="300" w:lineRule="auto"/>
        <w:ind w:right="615"/>
        <w:jc w:val="right"/>
        <w:rPr>
          <w:szCs w:val="21"/>
        </w:rPr>
      </w:pPr>
      <w:r>
        <w:rPr>
          <w:rFonts w:hint="eastAsia"/>
          <w:szCs w:val="21"/>
        </w:rPr>
        <w:t>日期：</w:t>
      </w:r>
      <w:r>
        <w:rPr>
          <w:szCs w:val="21"/>
        </w:rPr>
        <w:t xml:space="preserve">      年    月    日</w:t>
      </w:r>
    </w:p>
    <w:p>
      <w:pPr>
        <w:pageBreakBefore/>
        <w:kinsoku/>
        <w:overflowPunct/>
        <w:topLinePunct w:val="0"/>
        <w:bidi w:val="0"/>
        <w:snapToGrid w:val="0"/>
        <w:spacing w:line="300" w:lineRule="auto"/>
        <w:ind w:firstLine="281" w:firstLineChars="100"/>
        <w:rPr>
          <w:rFonts w:ascii="宋体" w:hAnsi="宋体"/>
          <w:b/>
          <w:sz w:val="28"/>
          <w:szCs w:val="28"/>
        </w:rPr>
      </w:pPr>
      <w:r>
        <w:rPr>
          <w:rFonts w:ascii="宋体" w:hAnsi="宋体"/>
          <w:b/>
          <w:sz w:val="28"/>
          <w:szCs w:val="28"/>
        </w:rPr>
        <mc:AlternateContent>
          <mc:Choice Requires="wps">
            <w:drawing>
              <wp:anchor distT="0" distB="0" distL="114300" distR="114300" simplePos="0" relativeHeight="251659264" behindDoc="0" locked="0" layoutInCell="1" allowOverlap="1">
                <wp:simplePos x="0" y="0"/>
                <wp:positionH relativeFrom="column">
                  <wp:posOffset>4595495</wp:posOffset>
                </wp:positionH>
                <wp:positionV relativeFrom="paragraph">
                  <wp:posOffset>320675</wp:posOffset>
                </wp:positionV>
                <wp:extent cx="1209675" cy="328295"/>
                <wp:effectExtent l="0" t="0" r="9525" b="1460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209675" cy="328295"/>
                        </a:xfrm>
                        <a:prstGeom prst="rect">
                          <a:avLst/>
                        </a:prstGeom>
                        <a:solidFill>
                          <a:srgbClr val="FFFFFF"/>
                        </a:solidFill>
                        <a:ln>
                          <a:noFill/>
                        </a:ln>
                        <a:effectLst/>
                      </wps:spPr>
                      <wps:txbx>
                        <w:txbxContent>
                          <w:p>
                            <w:pPr>
                              <w:spacing w:line="320" w:lineRule="exact"/>
                            </w:pPr>
                            <w:r>
                              <w:rPr>
                                <w:rFonts w:hint="eastAsia" w:eastAsia="黑体"/>
                                <w:sz w:val="24"/>
                              </w:rPr>
                              <w:t>NO：</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1.85pt;margin-top:25.25pt;height:25.85pt;width:95.25pt;z-index:251659264;mso-width-relative:page;mso-height-relative:page;" fillcolor="#FFFFFF" filled="t" stroked="f" coordsize="21600,21600" o:gfxdata="UEsDBAoAAAAAAIdO4kAAAAAAAAAAAAAAAAAEAAAAZHJzL1BLAwQUAAAACACHTuJAcSbPFtgAAAAK AQAADwAAAGRycy9kb3ducmV2LnhtbE2PQU7DMBBF90jcwZpKbBC1Y5qGpnEqgQRi29IDOMk0iYjH Uew27e0ZVrAc/af/3xS7qxvEBafQezKQLBUIpNo3PbUGjl/vTy8gQrTU2METGrhhgF15f1fYvPEz 7fFyiK3gEgq5NdDFOOZShrpDZ8PSj0icnfzkbORzamUz2ZnL3SC1UmvpbE+80NkR3zqsvw9nZ+D0 OT+mm7n6iMdsv1q/2j6r/M2Yh0WitiAiXuMfDL/6rA4lO1X+TE0Qg4FMP2eMGkhVCoKBTbLSICom ldYgy0L+f6H8AVBLAwQUAAAACACHTuJA22JY8jECAABMBAAADgAAAGRycy9lMm9Eb2MueG1srVRL btswEN0X6B0I7mv5m8SC5SC14aJA+gHSHoCmKIuoxGGHtKX0AO0Nuuqm+57L5+iQUlw33WRRLwSO Zvhm3psnL67bumIHhU6DyfhoMORMGQm5NruMf/yweXHFmfPC5KICozJ+rxy/Xj5/tmhsqsZQQpUr ZARiXNrYjJfe2zRJnCxVLdwArDKULABr4SnEXZKjaAi9rpLxcHiRNIC5RZDKOXq77pK8R8SnAEJR aKnWIPe1Mr5DRVUJT5Rcqa3jyzhtUSjp3xWFU55VGSemPj6pCZ234ZksFyLdobCllv0I4ikjPOJU C22o6QlqLbxge9T/QNVaIjgo/EBCnXREoiLEYjR8pM1dKayKXEhqZ0+iu/8HK98e3iPTecYnnBlR 08KP378df/w6/vzKJkGexrqUqu4s1fn2JbRkmkjV2VuQnxwzsCqF2akbRGhKJXIabxRuJmdXOxwX QLbNG8ipj9h7iEBtgXXQjtRghE6ruT+tRrWeydByPJxfXM44k5SbjK/G81lsIdKH2xadf6WgZuGQ caTVR3RxuHU+TCPSh5LQzEGl842uqhjgbruqkB0E2WQTfz36X2WVCcUGwrUOsXujotH6NoF04Nkx 9u227UXcQn5P9BE6E9InSIcS8AtnDRkw4+7zXqDirHptSML5aDoNjo3BdHY5pgDPM9vzjDCSoDLu OeuOK9+5fG9R70rq1C3NwA3JXuioSBi1m6pfFpksCtV/EMHF53Gs+vMnsPwN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ogQAAFtDb250ZW50X1R5 cGVzXS54bWxQSwECFAAKAAAAAACHTuJAAAAAAAAAAAAAAAAABgAAAAAAAAAAABAAAACEAwAAX3Jl bHMvUEsBAhQAFAAAAAgAh07iQIoUZjzRAAAAlAEAAAsAAAAAAAAAAQAgAAAAqAMAAF9yZWxzLy5y ZWxzUEsBAhQACgAAAAAAh07iQAAAAAAAAAAAAAAAAAQAAAAAAAAAAAAQAAAAAAAAAGRycy9QSwEC FAAUAAAACACHTuJAcSbPFtgAAAAKAQAADwAAAAAAAAABACAAAAAiAAAAZHJzL2Rvd25yZXYueG1s UEsBAhQAFAAAAAgAh07iQNtiWPIxAgAATAQAAA4AAAAAAAAAAQAgAAAAJwEAAGRycy9lMm9Eb2Mu eG1sUEsFBgAAAAAGAAYAWQEAAMoFAAAAAA== ">
                <v:fill on="t" focussize="0,0"/>
                <v:stroke on="f"/>
                <v:imagedata o:title=""/>
                <o:lock v:ext="edit" aspectratio="f"/>
                <v:textbox>
                  <w:txbxContent>
                    <w:p>
                      <w:pPr>
                        <w:spacing w:line="320" w:lineRule="exact"/>
                      </w:pPr>
                      <w:r>
                        <w:rPr>
                          <w:rFonts w:hint="eastAsia" w:eastAsia="黑体"/>
                          <w:sz w:val="24"/>
                        </w:rPr>
                        <w:t>NO：</w:t>
                      </w:r>
                    </w:p>
                  </w:txbxContent>
                </v:textbox>
              </v:shape>
            </w:pict>
          </mc:Fallback>
        </mc:AlternateContent>
      </w:r>
      <w:r>
        <w:rPr>
          <w:rFonts w:hint="eastAsia" w:ascii="宋体" w:hAnsi="宋体"/>
          <w:b/>
          <w:sz w:val="28"/>
          <w:szCs w:val="28"/>
        </w:rPr>
        <w:t>附件:</w:t>
      </w:r>
    </w:p>
    <w:p>
      <w:pPr>
        <w:kinsoku/>
        <w:overflowPunct/>
        <w:topLinePunct w:val="0"/>
        <w:bidi w:val="0"/>
        <w:snapToGrid w:val="0"/>
        <w:spacing w:before="156" w:beforeLines="50" w:after="156" w:afterLines="50" w:line="300" w:lineRule="auto"/>
        <w:jc w:val="center"/>
        <w:rPr>
          <w:rFonts w:eastAsia="黑体"/>
          <w:sz w:val="30"/>
          <w:szCs w:val="30"/>
        </w:rPr>
      </w:pPr>
      <w:r>
        <w:rPr>
          <w:rFonts w:hint="eastAsia" w:eastAsia="黑体"/>
          <w:sz w:val="30"/>
          <w:szCs w:val="30"/>
        </w:rPr>
        <w:t>瑞安市政府采购项目诚信评价反馈表</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721"/>
        <w:gridCol w:w="9"/>
        <w:gridCol w:w="3395"/>
        <w:gridCol w:w="9"/>
        <w:gridCol w:w="1081"/>
        <w:gridCol w:w="3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85" w:type="dxa"/>
            <w:gridSpan w:val="2"/>
            <w:noWrap w:val="0"/>
            <w:vAlign w:val="center"/>
          </w:tcPr>
          <w:p>
            <w:pPr>
              <w:kinsoku/>
              <w:overflowPunct/>
              <w:topLinePunct w:val="0"/>
              <w:bidi w:val="0"/>
              <w:spacing w:line="300" w:lineRule="auto"/>
            </w:pPr>
            <w:r>
              <w:rPr>
                <w:rFonts w:hint="eastAsia"/>
              </w:rPr>
              <w:t>采购单位</w:t>
            </w:r>
          </w:p>
        </w:tc>
        <w:tc>
          <w:tcPr>
            <w:tcW w:w="3404" w:type="dxa"/>
            <w:gridSpan w:val="2"/>
            <w:noWrap w:val="0"/>
            <w:vAlign w:val="center"/>
          </w:tcPr>
          <w:p>
            <w:pPr>
              <w:kinsoku/>
              <w:overflowPunct/>
              <w:topLinePunct w:val="0"/>
              <w:bidi w:val="0"/>
              <w:spacing w:line="300" w:lineRule="auto"/>
            </w:pPr>
          </w:p>
        </w:tc>
        <w:tc>
          <w:tcPr>
            <w:tcW w:w="1090" w:type="dxa"/>
            <w:gridSpan w:val="2"/>
            <w:noWrap w:val="0"/>
            <w:vAlign w:val="center"/>
          </w:tcPr>
          <w:p>
            <w:pPr>
              <w:kinsoku/>
              <w:overflowPunct/>
              <w:topLinePunct w:val="0"/>
              <w:bidi w:val="0"/>
              <w:spacing w:line="300" w:lineRule="auto"/>
            </w:pPr>
            <w:r>
              <w:rPr>
                <w:rFonts w:hint="eastAsia"/>
              </w:rPr>
              <w:t>联系方式</w:t>
            </w:r>
          </w:p>
        </w:tc>
        <w:tc>
          <w:tcPr>
            <w:tcW w:w="3607" w:type="dxa"/>
            <w:noWrap w:val="0"/>
            <w:vAlign w:val="center"/>
          </w:tcPr>
          <w:p>
            <w:pPr>
              <w:kinsoku/>
              <w:overflowPunct/>
              <w:topLinePunct w:val="0"/>
              <w:bidi w:val="0"/>
              <w:spacing w:line="30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85" w:type="dxa"/>
            <w:gridSpan w:val="2"/>
            <w:noWrap w:val="0"/>
            <w:vAlign w:val="center"/>
          </w:tcPr>
          <w:p>
            <w:pPr>
              <w:kinsoku/>
              <w:overflowPunct/>
              <w:topLinePunct w:val="0"/>
              <w:bidi w:val="0"/>
              <w:spacing w:line="300" w:lineRule="auto"/>
            </w:pPr>
            <w:r>
              <w:rPr>
                <w:rFonts w:hint="eastAsia"/>
              </w:rPr>
              <w:t>项目名称</w:t>
            </w:r>
          </w:p>
        </w:tc>
        <w:tc>
          <w:tcPr>
            <w:tcW w:w="3404" w:type="dxa"/>
            <w:gridSpan w:val="2"/>
            <w:noWrap w:val="0"/>
            <w:vAlign w:val="center"/>
          </w:tcPr>
          <w:p>
            <w:pPr>
              <w:kinsoku/>
              <w:overflowPunct/>
              <w:topLinePunct w:val="0"/>
              <w:bidi w:val="0"/>
              <w:spacing w:line="300" w:lineRule="auto"/>
            </w:pPr>
          </w:p>
        </w:tc>
        <w:tc>
          <w:tcPr>
            <w:tcW w:w="1090" w:type="dxa"/>
            <w:gridSpan w:val="2"/>
            <w:noWrap w:val="0"/>
            <w:vAlign w:val="center"/>
          </w:tcPr>
          <w:p>
            <w:pPr>
              <w:kinsoku/>
              <w:overflowPunct/>
              <w:topLinePunct w:val="0"/>
              <w:bidi w:val="0"/>
              <w:spacing w:line="300" w:lineRule="auto"/>
            </w:pPr>
            <w:r>
              <w:rPr>
                <w:rFonts w:hint="eastAsia"/>
              </w:rPr>
              <w:t>项目编号</w:t>
            </w:r>
          </w:p>
        </w:tc>
        <w:tc>
          <w:tcPr>
            <w:tcW w:w="3607" w:type="dxa"/>
            <w:noWrap w:val="0"/>
            <w:vAlign w:val="center"/>
          </w:tcPr>
          <w:p>
            <w:pPr>
              <w:kinsoku/>
              <w:overflowPunct/>
              <w:topLinePunct w:val="0"/>
              <w:bidi w:val="0"/>
              <w:spacing w:line="300" w:lineRule="auto"/>
              <w:rPr>
                <w:rFonts w:hint="eastAsia" w:eastAsia="宋体"/>
                <w:lang w:eastAsia="zh-CN"/>
              </w:rPr>
            </w:pPr>
            <w:r>
              <w:rPr>
                <w:rFonts w:hint="eastAsia"/>
                <w:lang w:eastAsia="zh-CN"/>
              </w:rPr>
              <w:t>RACG201905028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85" w:type="dxa"/>
            <w:gridSpan w:val="2"/>
            <w:noWrap w:val="0"/>
            <w:vAlign w:val="center"/>
          </w:tcPr>
          <w:p>
            <w:pPr>
              <w:kinsoku/>
              <w:overflowPunct/>
              <w:topLinePunct w:val="0"/>
              <w:bidi w:val="0"/>
              <w:spacing w:line="300" w:lineRule="auto"/>
            </w:pPr>
            <w:r>
              <w:rPr>
                <w:rFonts w:hint="eastAsia"/>
              </w:rPr>
              <w:t>成交供应商</w:t>
            </w:r>
          </w:p>
        </w:tc>
        <w:tc>
          <w:tcPr>
            <w:tcW w:w="3404" w:type="dxa"/>
            <w:gridSpan w:val="2"/>
            <w:noWrap w:val="0"/>
            <w:vAlign w:val="center"/>
          </w:tcPr>
          <w:p>
            <w:pPr>
              <w:kinsoku/>
              <w:overflowPunct/>
              <w:topLinePunct w:val="0"/>
              <w:bidi w:val="0"/>
              <w:spacing w:line="300" w:lineRule="auto"/>
            </w:pPr>
          </w:p>
        </w:tc>
        <w:tc>
          <w:tcPr>
            <w:tcW w:w="1090" w:type="dxa"/>
            <w:gridSpan w:val="2"/>
            <w:noWrap w:val="0"/>
            <w:vAlign w:val="center"/>
          </w:tcPr>
          <w:p>
            <w:pPr>
              <w:kinsoku/>
              <w:overflowPunct/>
              <w:topLinePunct w:val="0"/>
              <w:bidi w:val="0"/>
              <w:spacing w:line="300" w:lineRule="auto"/>
            </w:pPr>
            <w:r>
              <w:rPr>
                <w:rFonts w:hint="eastAsia"/>
              </w:rPr>
              <w:t>中标金额</w:t>
            </w:r>
          </w:p>
        </w:tc>
        <w:tc>
          <w:tcPr>
            <w:tcW w:w="3607" w:type="dxa"/>
            <w:noWrap w:val="0"/>
            <w:vAlign w:val="center"/>
          </w:tcPr>
          <w:p>
            <w:pPr>
              <w:kinsoku/>
              <w:overflowPunct/>
              <w:topLinePunct w:val="0"/>
              <w:bidi w:val="0"/>
              <w:spacing w:line="30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185" w:type="dxa"/>
            <w:gridSpan w:val="2"/>
            <w:tcBorders>
              <w:bottom w:val="single" w:color="auto" w:sz="4" w:space="0"/>
            </w:tcBorders>
            <w:noWrap w:val="0"/>
            <w:vAlign w:val="center"/>
          </w:tcPr>
          <w:p>
            <w:pPr>
              <w:kinsoku/>
              <w:overflowPunct/>
              <w:topLinePunct w:val="0"/>
              <w:bidi w:val="0"/>
              <w:spacing w:line="300" w:lineRule="auto"/>
            </w:pPr>
            <w:r>
              <w:rPr>
                <w:rFonts w:hint="eastAsia"/>
              </w:rPr>
              <w:t>代理机构</w:t>
            </w:r>
          </w:p>
        </w:tc>
        <w:tc>
          <w:tcPr>
            <w:tcW w:w="3404" w:type="dxa"/>
            <w:gridSpan w:val="2"/>
            <w:noWrap w:val="0"/>
            <w:vAlign w:val="center"/>
          </w:tcPr>
          <w:p>
            <w:pPr>
              <w:kinsoku/>
              <w:overflowPunct/>
              <w:topLinePunct w:val="0"/>
              <w:bidi w:val="0"/>
              <w:spacing w:line="300" w:lineRule="auto"/>
            </w:pPr>
          </w:p>
        </w:tc>
        <w:tc>
          <w:tcPr>
            <w:tcW w:w="1090" w:type="dxa"/>
            <w:gridSpan w:val="2"/>
            <w:noWrap w:val="0"/>
            <w:vAlign w:val="center"/>
          </w:tcPr>
          <w:p>
            <w:pPr>
              <w:kinsoku/>
              <w:overflowPunct/>
              <w:topLinePunct w:val="0"/>
              <w:bidi w:val="0"/>
              <w:spacing w:line="300" w:lineRule="auto"/>
              <w:jc w:val="center"/>
            </w:pPr>
            <w:r>
              <w:rPr>
                <w:rFonts w:hint="eastAsia"/>
              </w:rPr>
              <w:t>定标时间</w:t>
            </w:r>
          </w:p>
        </w:tc>
        <w:tc>
          <w:tcPr>
            <w:tcW w:w="3607" w:type="dxa"/>
            <w:noWrap w:val="0"/>
            <w:vAlign w:val="center"/>
          </w:tcPr>
          <w:p>
            <w:pPr>
              <w:kinsoku/>
              <w:overflowPunct/>
              <w:topLinePunct w:val="0"/>
              <w:bidi w:val="0"/>
              <w:spacing w:line="300" w:lineRule="auto"/>
              <w:ind w:firstLine="420" w:firstLineChars="20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trPr>
        <w:tc>
          <w:tcPr>
            <w:tcW w:w="9286" w:type="dxa"/>
            <w:gridSpan w:val="7"/>
            <w:tcBorders>
              <w:bottom w:val="single" w:color="auto" w:sz="4" w:space="0"/>
            </w:tcBorders>
            <w:noWrap w:val="0"/>
            <w:vAlign w:val="center"/>
          </w:tcPr>
          <w:p>
            <w:pPr>
              <w:kinsoku/>
              <w:overflowPunct/>
              <w:topLinePunct w:val="0"/>
              <w:bidi w:val="0"/>
              <w:spacing w:line="300" w:lineRule="auto"/>
              <w:jc w:val="center"/>
              <w:rPr>
                <w:b/>
                <w:bCs/>
              </w:rPr>
            </w:pPr>
            <w:r>
              <w:rPr>
                <w:rFonts w:hint="eastAsia"/>
                <w:b/>
                <w:bCs/>
              </w:rPr>
              <w:t>以   下  内  容  由  采  购  单  位  填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194" w:type="dxa"/>
            <w:gridSpan w:val="3"/>
            <w:tcBorders>
              <w:bottom w:val="single" w:color="auto" w:sz="4" w:space="0"/>
            </w:tcBorders>
            <w:noWrap w:val="0"/>
            <w:vAlign w:val="center"/>
          </w:tcPr>
          <w:p>
            <w:pPr>
              <w:kinsoku/>
              <w:overflowPunct/>
              <w:topLinePunct w:val="0"/>
              <w:bidi w:val="0"/>
              <w:spacing w:line="300" w:lineRule="auto"/>
              <w:jc w:val="center"/>
              <w:rPr>
                <w:b/>
                <w:bCs/>
              </w:rPr>
            </w:pPr>
            <w:r>
              <w:rPr>
                <w:rFonts w:hint="eastAsia"/>
              </w:rPr>
              <w:t>合同签订时间</w:t>
            </w:r>
          </w:p>
        </w:tc>
        <w:tc>
          <w:tcPr>
            <w:tcW w:w="3404" w:type="dxa"/>
            <w:gridSpan w:val="2"/>
            <w:tcBorders>
              <w:bottom w:val="single" w:color="auto" w:sz="4" w:space="0"/>
            </w:tcBorders>
            <w:noWrap w:val="0"/>
            <w:vAlign w:val="center"/>
          </w:tcPr>
          <w:p>
            <w:pPr>
              <w:kinsoku/>
              <w:overflowPunct/>
              <w:topLinePunct w:val="0"/>
              <w:bidi w:val="0"/>
              <w:spacing w:line="300" w:lineRule="auto"/>
              <w:jc w:val="center"/>
              <w:rPr>
                <w:b/>
                <w:bCs/>
              </w:rPr>
            </w:pPr>
          </w:p>
        </w:tc>
        <w:tc>
          <w:tcPr>
            <w:tcW w:w="1081" w:type="dxa"/>
            <w:tcBorders>
              <w:bottom w:val="single" w:color="auto" w:sz="4" w:space="0"/>
            </w:tcBorders>
            <w:noWrap w:val="0"/>
            <w:vAlign w:val="center"/>
          </w:tcPr>
          <w:p>
            <w:pPr>
              <w:kinsoku/>
              <w:overflowPunct/>
              <w:topLinePunct w:val="0"/>
              <w:bidi w:val="0"/>
              <w:spacing w:line="300" w:lineRule="auto"/>
              <w:jc w:val="center"/>
              <w:rPr>
                <w:b/>
                <w:bCs/>
              </w:rPr>
            </w:pPr>
            <w:r>
              <w:rPr>
                <w:rFonts w:hint="eastAsia"/>
              </w:rPr>
              <w:t>验收完成时间</w:t>
            </w:r>
          </w:p>
        </w:tc>
        <w:tc>
          <w:tcPr>
            <w:tcW w:w="3607" w:type="dxa"/>
            <w:tcBorders>
              <w:bottom w:val="single" w:color="auto" w:sz="4" w:space="0"/>
            </w:tcBorders>
            <w:noWrap w:val="0"/>
            <w:vAlign w:val="center"/>
          </w:tcPr>
          <w:p>
            <w:pPr>
              <w:kinsoku/>
              <w:overflowPunct/>
              <w:topLinePunct w:val="0"/>
              <w:bidi w:val="0"/>
              <w:spacing w:line="300" w:lineRule="auto"/>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194" w:type="dxa"/>
            <w:gridSpan w:val="3"/>
            <w:tcBorders>
              <w:bottom w:val="single" w:color="auto" w:sz="4" w:space="0"/>
            </w:tcBorders>
            <w:noWrap w:val="0"/>
            <w:vAlign w:val="center"/>
          </w:tcPr>
          <w:p>
            <w:pPr>
              <w:kinsoku/>
              <w:overflowPunct/>
              <w:topLinePunct w:val="0"/>
              <w:bidi w:val="0"/>
              <w:spacing w:line="300" w:lineRule="auto"/>
              <w:jc w:val="center"/>
            </w:pPr>
            <w:r>
              <w:rPr>
                <w:rFonts w:hint="eastAsia"/>
              </w:rPr>
              <w:t>政府采购标签</w:t>
            </w:r>
          </w:p>
        </w:tc>
        <w:tc>
          <w:tcPr>
            <w:tcW w:w="3404" w:type="dxa"/>
            <w:gridSpan w:val="2"/>
            <w:tcBorders>
              <w:bottom w:val="single" w:color="auto" w:sz="4" w:space="0"/>
            </w:tcBorders>
            <w:noWrap w:val="0"/>
            <w:vAlign w:val="center"/>
          </w:tcPr>
          <w:p>
            <w:pPr>
              <w:kinsoku/>
              <w:overflowPunct/>
              <w:topLinePunct w:val="0"/>
              <w:bidi w:val="0"/>
              <w:spacing w:line="300" w:lineRule="auto"/>
              <w:jc w:val="center"/>
              <w:rPr>
                <w:b/>
                <w:bCs/>
              </w:rPr>
            </w:pPr>
            <w:r>
              <w:rPr>
                <w:rFonts w:hint="eastAsia"/>
                <w:b/>
                <w:bCs/>
              </w:rPr>
              <w:t>有/无</w:t>
            </w:r>
          </w:p>
        </w:tc>
        <w:tc>
          <w:tcPr>
            <w:tcW w:w="1081" w:type="dxa"/>
            <w:tcBorders>
              <w:bottom w:val="single" w:color="auto" w:sz="4" w:space="0"/>
            </w:tcBorders>
            <w:noWrap w:val="0"/>
            <w:vAlign w:val="center"/>
          </w:tcPr>
          <w:p>
            <w:pPr>
              <w:kinsoku/>
              <w:overflowPunct/>
              <w:topLinePunct w:val="0"/>
              <w:bidi w:val="0"/>
              <w:spacing w:line="300" w:lineRule="auto"/>
              <w:jc w:val="center"/>
            </w:pPr>
            <w:r>
              <w:rPr>
                <w:rFonts w:hint="eastAsia"/>
              </w:rPr>
              <w:t>协助验收</w:t>
            </w:r>
          </w:p>
        </w:tc>
        <w:tc>
          <w:tcPr>
            <w:tcW w:w="3607" w:type="dxa"/>
            <w:tcBorders>
              <w:bottom w:val="single" w:color="auto" w:sz="4" w:space="0"/>
            </w:tcBorders>
            <w:noWrap w:val="0"/>
            <w:vAlign w:val="center"/>
          </w:tcPr>
          <w:p>
            <w:pPr>
              <w:kinsoku/>
              <w:overflowPunct/>
              <w:topLinePunct w:val="0"/>
              <w:bidi w:val="0"/>
              <w:spacing w:line="300" w:lineRule="auto"/>
              <w:jc w:val="center"/>
              <w:rPr>
                <w:b/>
                <w:bCs/>
              </w:rPr>
            </w:pPr>
            <w:r>
              <w:rPr>
                <w:rFonts w:hint="eastAsia"/>
                <w:b/>
                <w:bCs/>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464" w:type="dxa"/>
            <w:vMerge w:val="restart"/>
            <w:noWrap w:val="0"/>
            <w:vAlign w:val="center"/>
          </w:tcPr>
          <w:p>
            <w:pPr>
              <w:kinsoku/>
              <w:overflowPunct/>
              <w:topLinePunct w:val="0"/>
              <w:bidi w:val="0"/>
              <w:spacing w:line="300" w:lineRule="auto"/>
            </w:pPr>
            <w:r>
              <w:rPr>
                <w:rFonts w:hint="eastAsia"/>
              </w:rPr>
              <w:t>采购单位对本次政府采购的评价意见</w:t>
            </w:r>
          </w:p>
        </w:tc>
        <w:tc>
          <w:tcPr>
            <w:tcW w:w="8822" w:type="dxa"/>
            <w:gridSpan w:val="6"/>
            <w:noWrap w:val="0"/>
            <w:vAlign w:val="center"/>
          </w:tcPr>
          <w:p>
            <w:pPr>
              <w:kinsoku/>
              <w:overflowPunct/>
              <w:topLinePunct w:val="0"/>
              <w:bidi w:val="0"/>
              <w:spacing w:line="300" w:lineRule="auto"/>
              <w:ind w:firstLine="420" w:firstLineChars="200"/>
            </w:pPr>
            <w:r>
              <w:rPr>
                <w:rFonts w:hint="eastAsia"/>
              </w:rPr>
              <w:t xml:space="preserve">请如实填写您对本次政府采购的项目（货物、服务、工程）在价格、质量、服务方面的意见（在结论上打“ </w:t>
            </w:r>
            <w:r>
              <w:rPr>
                <w:rFonts w:hint="eastAsia"/>
                <w:b/>
                <w:bCs/>
              </w:rPr>
              <w:t>√</w:t>
            </w:r>
            <w:r>
              <w:rPr>
                <w:rFonts w:hint="eastAsia"/>
              </w:rPr>
              <w:t>”）。</w:t>
            </w:r>
          </w:p>
          <w:p>
            <w:pPr>
              <w:widowControl w:val="0"/>
              <w:numPr>
                <w:ilvl w:val="0"/>
                <w:numId w:val="25"/>
              </w:numPr>
              <w:kinsoku/>
              <w:overflowPunct/>
              <w:topLinePunct w:val="0"/>
              <w:bidi w:val="0"/>
              <w:spacing w:line="300" w:lineRule="auto"/>
              <w:jc w:val="both"/>
            </w:pPr>
            <w:r>
              <w:rPr>
                <w:rFonts w:hint="eastAsia"/>
              </w:rPr>
              <w:t>对成交供应商的评价意见</w:t>
            </w:r>
          </w:p>
          <w:p>
            <w:pPr>
              <w:kinsoku/>
              <w:overflowPunct/>
              <w:topLinePunct w:val="0"/>
              <w:bidi w:val="0"/>
              <w:spacing w:line="300" w:lineRule="auto"/>
              <w:ind w:left="210" w:leftChars="100"/>
              <w:rPr>
                <w:b/>
                <w:bCs/>
              </w:rPr>
            </w:pPr>
            <w:r>
              <w:rPr>
                <w:rFonts w:hint="eastAsia"/>
                <w:b/>
                <w:bCs/>
              </w:rPr>
              <w:t>1、价格   A、优 B、良  C、好  D、一般   E、差</w:t>
            </w:r>
          </w:p>
          <w:p>
            <w:pPr>
              <w:kinsoku/>
              <w:overflowPunct/>
              <w:topLinePunct w:val="0"/>
              <w:bidi w:val="0"/>
              <w:spacing w:line="300" w:lineRule="auto"/>
              <w:ind w:left="210" w:leftChars="100"/>
              <w:rPr>
                <w:b/>
                <w:bCs/>
              </w:rPr>
            </w:pPr>
            <w:r>
              <w:rPr>
                <w:rFonts w:hint="eastAsia"/>
                <w:b/>
                <w:bCs/>
              </w:rPr>
              <w:t>2、质量   A、优 B、良  C、好  D、一般   E、差</w:t>
            </w:r>
          </w:p>
          <w:p>
            <w:pPr>
              <w:kinsoku/>
              <w:overflowPunct/>
              <w:topLinePunct w:val="0"/>
              <w:bidi w:val="0"/>
              <w:spacing w:line="300" w:lineRule="auto"/>
              <w:ind w:left="210" w:leftChars="100"/>
              <w:rPr>
                <w:b/>
                <w:bCs/>
              </w:rPr>
            </w:pPr>
            <w:r>
              <w:rPr>
                <w:rFonts w:hint="eastAsia"/>
                <w:b/>
                <w:bCs/>
              </w:rPr>
              <w:t>3、服务   A、优 B、良  C、好  D、一般   E、差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464" w:type="dxa"/>
            <w:vMerge w:val="continue"/>
            <w:noWrap w:val="0"/>
            <w:vAlign w:val="center"/>
          </w:tcPr>
          <w:p>
            <w:pPr>
              <w:kinsoku/>
              <w:overflowPunct/>
              <w:topLinePunct w:val="0"/>
              <w:bidi w:val="0"/>
              <w:spacing w:line="300" w:lineRule="auto"/>
            </w:pPr>
          </w:p>
        </w:tc>
        <w:tc>
          <w:tcPr>
            <w:tcW w:w="8822" w:type="dxa"/>
            <w:gridSpan w:val="6"/>
            <w:noWrap w:val="0"/>
            <w:vAlign w:val="center"/>
          </w:tcPr>
          <w:p>
            <w:pPr>
              <w:kinsoku/>
              <w:overflowPunct/>
              <w:topLinePunct w:val="0"/>
              <w:bidi w:val="0"/>
              <w:spacing w:line="300" w:lineRule="auto"/>
            </w:pPr>
            <w:r>
              <w:rPr>
                <w:rFonts w:hint="eastAsia"/>
              </w:rPr>
              <w:t>二、对成交供应商诚信总体评价：</w:t>
            </w:r>
            <w:r>
              <w:rPr>
                <w:rFonts w:hint="eastAsia" w:ascii="新宋体" w:hAnsi="新宋体" w:eastAsia="新宋体"/>
                <w:sz w:val="24"/>
              </w:rPr>
              <w:t>A、优（90-100）B、良（80-90）C、好（70-80）D、一般（60-70）E、差（60以下）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trPr>
        <w:tc>
          <w:tcPr>
            <w:tcW w:w="464" w:type="dxa"/>
            <w:vMerge w:val="continue"/>
            <w:noWrap w:val="0"/>
            <w:vAlign w:val="center"/>
          </w:tcPr>
          <w:p>
            <w:pPr>
              <w:kinsoku/>
              <w:overflowPunct/>
              <w:topLinePunct w:val="0"/>
              <w:bidi w:val="0"/>
              <w:spacing w:line="300" w:lineRule="auto"/>
            </w:pPr>
          </w:p>
        </w:tc>
        <w:tc>
          <w:tcPr>
            <w:tcW w:w="8822" w:type="dxa"/>
            <w:gridSpan w:val="6"/>
            <w:noWrap w:val="0"/>
            <w:vAlign w:val="top"/>
          </w:tcPr>
          <w:p>
            <w:pPr>
              <w:kinsoku/>
              <w:overflowPunct/>
              <w:topLinePunct w:val="0"/>
              <w:bidi w:val="0"/>
              <w:spacing w:line="300" w:lineRule="auto"/>
            </w:pPr>
            <w:r>
              <w:rPr>
                <w:rFonts w:hint="eastAsia"/>
              </w:rPr>
              <w:t>三、您若有政府采购方面的建议和措施，请说明（可附页说明）：</w:t>
            </w:r>
          </w:p>
          <w:p>
            <w:pPr>
              <w:kinsoku/>
              <w:overflowPunct/>
              <w:topLinePunct w:val="0"/>
              <w:bidi w:val="0"/>
              <w:spacing w:line="300" w:lineRule="auto"/>
              <w:ind w:left="210" w:leftChars="100"/>
              <w:rPr>
                <w:rFonts w:ascii="宋体" w:hAnsi="宋体"/>
                <w:b/>
                <w:bCs/>
              </w:rPr>
            </w:pPr>
            <w:r>
              <w:rPr>
                <w:rFonts w:hint="eastAsia" w:ascii="宋体" w:hAnsi="宋体"/>
                <w:b/>
                <w:bCs/>
              </w:rPr>
              <w:t>1、</w:t>
            </w:r>
          </w:p>
          <w:p>
            <w:pPr>
              <w:kinsoku/>
              <w:overflowPunct/>
              <w:topLinePunct w:val="0"/>
              <w:bidi w:val="0"/>
              <w:spacing w:line="300" w:lineRule="auto"/>
              <w:ind w:left="210" w:leftChars="100"/>
              <w:rPr>
                <w:rFonts w:ascii="宋体" w:hAnsi="宋体"/>
                <w:b/>
                <w:bCs/>
              </w:rPr>
            </w:pPr>
          </w:p>
          <w:p>
            <w:pPr>
              <w:kinsoku/>
              <w:overflowPunct/>
              <w:topLinePunct w:val="0"/>
              <w:bidi w:val="0"/>
              <w:spacing w:line="300" w:lineRule="auto"/>
              <w:ind w:left="210" w:leftChars="100"/>
              <w:rPr>
                <w:rFonts w:ascii="宋体" w:hAnsi="宋体"/>
                <w:b/>
                <w:bCs/>
              </w:rPr>
            </w:pPr>
            <w:r>
              <w:rPr>
                <w:rFonts w:hint="eastAsia" w:ascii="宋体" w:hAnsi="宋体"/>
                <w:b/>
                <w:bCs/>
              </w:rPr>
              <w:t>2、</w:t>
            </w:r>
          </w:p>
          <w:p>
            <w:pPr>
              <w:kinsoku/>
              <w:overflowPunct/>
              <w:topLinePunct w:val="0"/>
              <w:bidi w:val="0"/>
              <w:spacing w:line="300" w:lineRule="auto"/>
              <w:ind w:left="210" w:leftChars="100"/>
              <w:rPr>
                <w:rFonts w:ascii="宋体" w:hAnsi="宋体"/>
                <w:b/>
                <w:bCs/>
              </w:rPr>
            </w:pPr>
          </w:p>
          <w:p>
            <w:pPr>
              <w:kinsoku/>
              <w:overflowPunct/>
              <w:topLinePunct w:val="0"/>
              <w:bidi w:val="0"/>
              <w:spacing w:line="300" w:lineRule="auto"/>
              <w:ind w:left="210" w:leftChars="100"/>
              <w:rPr>
                <w:rFonts w:ascii="宋体" w:hAnsi="宋体"/>
                <w:b/>
                <w:bCs/>
              </w:rPr>
            </w:pPr>
            <w:r>
              <w:rPr>
                <w:rFonts w:hint="eastAsia" w:ascii="宋体" w:hAnsi="宋体"/>
                <w:b/>
                <w:bCs/>
              </w:rPr>
              <w:t>3</w:t>
            </w:r>
            <w:r>
              <w:rPr>
                <w:rFonts w:hint="eastAsia" w:ascii="宋体" w:hAnsi="宋体"/>
              </w:rPr>
              <w:t>、</w:t>
            </w:r>
          </w:p>
          <w:p>
            <w:pPr>
              <w:kinsoku/>
              <w:overflowPunct/>
              <w:topLinePunct w:val="0"/>
              <w:bidi w:val="0"/>
              <w:spacing w:line="300" w:lineRule="auto"/>
              <w:ind w:left="210" w:leftChars="100"/>
              <w:rPr>
                <w:rFonts w:ascii="宋体" w:hAnsi="宋体"/>
                <w:b/>
                <w:bCs/>
              </w:rPr>
            </w:pPr>
          </w:p>
          <w:p>
            <w:pPr>
              <w:kinsoku/>
              <w:overflowPunct/>
              <w:topLinePunct w:val="0"/>
              <w:bidi w:val="0"/>
              <w:spacing w:line="300" w:lineRule="auto"/>
              <w:ind w:left="210" w:leftChars="100"/>
              <w:rPr>
                <w:rFonts w:ascii="宋体" w:hAnsi="宋体"/>
                <w:b/>
                <w:bCs/>
              </w:rPr>
            </w:pPr>
          </w:p>
          <w:p>
            <w:pPr>
              <w:kinsoku/>
              <w:overflowPunct/>
              <w:topLinePunct w:val="0"/>
              <w:bidi w:val="0"/>
              <w:spacing w:line="300" w:lineRule="auto"/>
              <w:ind w:left="210" w:leftChars="100"/>
              <w:rPr>
                <w:rFonts w:ascii="宋体" w:hAnsi="宋体"/>
                <w:b/>
                <w:bCs/>
              </w:rPr>
            </w:pPr>
          </w:p>
          <w:p>
            <w:pPr>
              <w:kinsoku/>
              <w:overflowPunct/>
              <w:topLinePunct w:val="0"/>
              <w:bidi w:val="0"/>
              <w:spacing w:line="300" w:lineRule="auto"/>
              <w:ind w:left="210" w:leftChars="100"/>
              <w:rPr>
                <w:rFonts w:ascii="宋体" w:hAnsi="宋体"/>
                <w:b/>
                <w:bCs/>
              </w:rPr>
            </w:pPr>
          </w:p>
          <w:p>
            <w:pPr>
              <w:kinsoku/>
              <w:overflowPunct/>
              <w:topLinePunct w:val="0"/>
              <w:bidi w:val="0"/>
              <w:spacing w:line="300" w:lineRule="auto"/>
              <w:ind w:left="210" w:leftChars="100"/>
              <w:rPr>
                <w:rFonts w:ascii="宋体" w:hAnsi="宋体"/>
                <w:b/>
                <w:bCs/>
              </w:rPr>
            </w:pPr>
          </w:p>
          <w:p>
            <w:pPr>
              <w:kinsoku/>
              <w:overflowPunct/>
              <w:topLinePunct w:val="0"/>
              <w:bidi w:val="0"/>
              <w:spacing w:line="300" w:lineRule="auto"/>
              <w:ind w:left="210" w:left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trPr>
        <w:tc>
          <w:tcPr>
            <w:tcW w:w="464" w:type="dxa"/>
            <w:vMerge w:val="continue"/>
            <w:tcBorders>
              <w:bottom w:val="single" w:color="auto" w:sz="4" w:space="0"/>
            </w:tcBorders>
            <w:noWrap w:val="0"/>
            <w:vAlign w:val="center"/>
          </w:tcPr>
          <w:p>
            <w:pPr>
              <w:kinsoku/>
              <w:overflowPunct/>
              <w:topLinePunct w:val="0"/>
              <w:bidi w:val="0"/>
              <w:spacing w:line="300" w:lineRule="auto"/>
            </w:pPr>
          </w:p>
        </w:tc>
        <w:tc>
          <w:tcPr>
            <w:tcW w:w="8822" w:type="dxa"/>
            <w:gridSpan w:val="6"/>
            <w:tcBorders>
              <w:bottom w:val="single" w:color="auto" w:sz="4" w:space="0"/>
            </w:tcBorders>
            <w:noWrap w:val="0"/>
            <w:vAlign w:val="center"/>
          </w:tcPr>
          <w:p>
            <w:pPr>
              <w:kinsoku/>
              <w:overflowPunct/>
              <w:topLinePunct w:val="0"/>
              <w:bidi w:val="0"/>
              <w:spacing w:line="300" w:lineRule="auto"/>
            </w:pPr>
            <w:r>
              <w:rPr>
                <w:rFonts w:hint="eastAsia"/>
              </w:rPr>
              <w:t>（此表由采购单位填写，主要对成交供应商在项目履约过程中的诚信情况及项目验收后项目总体履约（满意度）进行评价，此表务必在项目验收完成后三日内交回公共资源交易中心）</w:t>
            </w:r>
          </w:p>
          <w:p>
            <w:pPr>
              <w:kinsoku/>
              <w:overflowPunct/>
              <w:topLinePunct w:val="0"/>
              <w:bidi w:val="0"/>
              <w:spacing w:line="300" w:lineRule="auto"/>
            </w:pPr>
          </w:p>
          <w:p>
            <w:pPr>
              <w:kinsoku/>
              <w:overflowPunct/>
              <w:topLinePunct w:val="0"/>
              <w:bidi w:val="0"/>
              <w:spacing w:line="300" w:lineRule="auto"/>
              <w:jc w:val="right"/>
            </w:pPr>
            <w:r>
              <w:rPr>
                <w:rFonts w:hint="eastAsia"/>
              </w:rPr>
              <w:t>采购单位确认：（盖章）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8" w:hRule="atLeast"/>
        </w:trPr>
        <w:tc>
          <w:tcPr>
            <w:tcW w:w="464" w:type="dxa"/>
            <w:tcBorders>
              <w:top w:val="single" w:color="auto" w:sz="4" w:space="0"/>
              <w:bottom w:val="single" w:color="auto" w:sz="4" w:space="0"/>
            </w:tcBorders>
            <w:noWrap w:val="0"/>
            <w:vAlign w:val="top"/>
          </w:tcPr>
          <w:p>
            <w:pPr>
              <w:kinsoku/>
              <w:overflowPunct/>
              <w:topLinePunct w:val="0"/>
              <w:bidi w:val="0"/>
              <w:spacing w:line="300" w:lineRule="auto"/>
              <w:ind w:firstLine="210" w:firstLineChars="100"/>
            </w:pPr>
            <w:r>
              <w:rPr>
                <w:rFonts w:hint="eastAsia"/>
              </w:rPr>
              <w:t xml:space="preserve">     备注</w:t>
            </w:r>
          </w:p>
        </w:tc>
        <w:tc>
          <w:tcPr>
            <w:tcW w:w="8822" w:type="dxa"/>
            <w:gridSpan w:val="6"/>
            <w:tcBorders>
              <w:top w:val="single" w:color="auto" w:sz="4" w:space="0"/>
              <w:bottom w:val="single" w:color="auto" w:sz="4" w:space="0"/>
            </w:tcBorders>
            <w:noWrap w:val="0"/>
            <w:vAlign w:val="center"/>
          </w:tcPr>
          <w:tbl>
            <w:tblPr>
              <w:tblStyle w:val="53"/>
              <w:tblW w:w="0" w:type="auto"/>
              <w:tblInd w:w="0" w:type="dxa"/>
              <w:tblLayout w:type="fixed"/>
              <w:tblCellMar>
                <w:top w:w="57" w:type="dxa"/>
                <w:left w:w="108" w:type="dxa"/>
                <w:bottom w:w="57" w:type="dxa"/>
                <w:right w:w="108" w:type="dxa"/>
              </w:tblCellMar>
            </w:tblPr>
            <w:tblGrid>
              <w:gridCol w:w="2650"/>
              <w:gridCol w:w="3077"/>
              <w:gridCol w:w="2864"/>
            </w:tblGrid>
            <w:tr>
              <w:tblPrEx>
                <w:tblCellMar>
                  <w:top w:w="57" w:type="dxa"/>
                  <w:left w:w="108" w:type="dxa"/>
                  <w:bottom w:w="57" w:type="dxa"/>
                  <w:right w:w="108" w:type="dxa"/>
                </w:tblCellMar>
              </w:tblPrEx>
              <w:tc>
                <w:tcPr>
                  <w:tcW w:w="2650" w:type="dxa"/>
                  <w:vMerge w:val="restart"/>
                  <w:noWrap w:val="0"/>
                  <w:vAlign w:val="top"/>
                </w:tcPr>
                <w:p>
                  <w:pPr>
                    <w:kinsoku/>
                    <w:overflowPunct/>
                    <w:topLinePunct w:val="0"/>
                    <w:bidi w:val="0"/>
                    <w:spacing w:line="300" w:lineRule="auto"/>
                  </w:pPr>
                  <w:r>
                    <w:rPr>
                      <w:rFonts w:hint="eastAsia"/>
                    </w:rPr>
                    <w:t>瑞安市公共资源交易中心</w:t>
                  </w:r>
                </w:p>
              </w:tc>
              <w:tc>
                <w:tcPr>
                  <w:tcW w:w="3077" w:type="dxa"/>
                  <w:noWrap w:val="0"/>
                  <w:vAlign w:val="top"/>
                </w:tcPr>
                <w:p>
                  <w:pPr>
                    <w:kinsoku/>
                    <w:overflowPunct/>
                    <w:topLinePunct w:val="0"/>
                    <w:bidi w:val="0"/>
                    <w:spacing w:line="300" w:lineRule="auto"/>
                  </w:pPr>
                  <w:r>
                    <w:rPr>
                      <w:rFonts w:hint="eastAsia"/>
                    </w:rPr>
                    <w:t>地址：瑞安市满庭芳大楼三楼</w:t>
                  </w:r>
                </w:p>
              </w:tc>
              <w:tc>
                <w:tcPr>
                  <w:tcW w:w="2864" w:type="dxa"/>
                  <w:noWrap w:val="0"/>
                  <w:vAlign w:val="top"/>
                </w:tcPr>
                <w:p>
                  <w:pPr>
                    <w:kinsoku/>
                    <w:overflowPunct/>
                    <w:topLinePunct w:val="0"/>
                    <w:bidi w:val="0"/>
                    <w:spacing w:line="300" w:lineRule="auto"/>
                  </w:pPr>
                  <w:r>
                    <w:rPr>
                      <w:rFonts w:hint="eastAsia"/>
                    </w:rPr>
                    <w:t>联系电话：0577-65879521</w:t>
                  </w:r>
                </w:p>
              </w:tc>
            </w:tr>
            <w:tr>
              <w:tblPrEx>
                <w:tblCellMar>
                  <w:top w:w="57" w:type="dxa"/>
                  <w:left w:w="108" w:type="dxa"/>
                  <w:bottom w:w="57" w:type="dxa"/>
                  <w:right w:w="108" w:type="dxa"/>
                </w:tblCellMar>
              </w:tblPrEx>
              <w:tc>
                <w:tcPr>
                  <w:tcW w:w="2650" w:type="dxa"/>
                  <w:vMerge w:val="continue"/>
                  <w:noWrap w:val="0"/>
                  <w:vAlign w:val="top"/>
                </w:tcPr>
                <w:p>
                  <w:pPr>
                    <w:kinsoku/>
                    <w:overflowPunct/>
                    <w:topLinePunct w:val="0"/>
                    <w:bidi w:val="0"/>
                    <w:spacing w:line="300" w:lineRule="auto"/>
                  </w:pPr>
                </w:p>
              </w:tc>
              <w:tc>
                <w:tcPr>
                  <w:tcW w:w="3077" w:type="dxa"/>
                  <w:noWrap w:val="0"/>
                  <w:vAlign w:val="top"/>
                </w:tcPr>
                <w:p>
                  <w:pPr>
                    <w:kinsoku/>
                    <w:overflowPunct/>
                    <w:topLinePunct w:val="0"/>
                    <w:bidi w:val="0"/>
                    <w:spacing w:line="300" w:lineRule="auto"/>
                  </w:pPr>
                  <w:r>
                    <w:rPr>
                      <w:rFonts w:hint="eastAsia"/>
                    </w:rPr>
                    <w:t>传真：0577-65879523</w:t>
                  </w:r>
                </w:p>
              </w:tc>
              <w:tc>
                <w:tcPr>
                  <w:tcW w:w="2864" w:type="dxa"/>
                  <w:noWrap w:val="0"/>
                  <w:vAlign w:val="top"/>
                </w:tcPr>
                <w:p>
                  <w:pPr>
                    <w:kinsoku/>
                    <w:overflowPunct/>
                    <w:topLinePunct w:val="0"/>
                    <w:bidi w:val="0"/>
                    <w:spacing w:line="300" w:lineRule="auto"/>
                  </w:pPr>
                  <w:r>
                    <w:rPr>
                      <w:rFonts w:hint="eastAsia"/>
                    </w:rPr>
                    <w:t>网址：www.raztb.com</w:t>
                  </w:r>
                </w:p>
              </w:tc>
            </w:tr>
          </w:tbl>
          <w:p>
            <w:pPr>
              <w:kinsoku/>
              <w:overflowPunct/>
              <w:topLinePunct w:val="0"/>
              <w:bidi w:val="0"/>
              <w:spacing w:line="300" w:lineRule="auto"/>
            </w:pPr>
          </w:p>
        </w:tc>
      </w:tr>
    </w:tbl>
    <w:p>
      <w:pPr>
        <w:pStyle w:val="4"/>
        <w:keepNext w:val="0"/>
        <w:keepLines w:val="0"/>
        <w:pageBreakBefore/>
        <w:kinsoku/>
        <w:overflowPunct/>
        <w:topLinePunct w:val="0"/>
        <w:bidi w:val="0"/>
        <w:spacing w:before="312" w:beforeLines="100" w:after="312" w:afterLines="100" w:line="300" w:lineRule="auto"/>
        <w:jc w:val="center"/>
        <w:rPr>
          <w:rFonts w:hAnsi="宋体"/>
          <w:sz w:val="28"/>
          <w:szCs w:val="36"/>
        </w:rPr>
      </w:pPr>
      <w:bookmarkStart w:id="1918" w:name="_Toc18711"/>
      <w:r>
        <w:rPr>
          <w:rFonts w:hint="eastAsia" w:hAnsi="宋体"/>
          <w:sz w:val="28"/>
          <w:szCs w:val="36"/>
        </w:rPr>
        <w:t>第五部分  磋商响应文件格式</w:t>
      </w:r>
      <w:bookmarkEnd w:id="1918"/>
    </w:p>
    <w:p>
      <w:pPr>
        <w:kinsoku/>
        <w:overflowPunct/>
        <w:topLinePunct w:val="0"/>
        <w:bidi w:val="0"/>
        <w:snapToGrid w:val="0"/>
        <w:spacing w:before="624" w:beforeLines="200" w:after="156" w:afterLines="50" w:line="300" w:lineRule="auto"/>
        <w:jc w:val="center"/>
        <w:rPr>
          <w:rFonts w:ascii="宋体" w:hAnsi="宋体"/>
          <w:b/>
          <w:bCs/>
          <w:sz w:val="28"/>
        </w:rPr>
      </w:pPr>
      <w:r>
        <w:rPr>
          <w:rFonts w:hint="eastAsia" w:ascii="宋体" w:hAnsi="宋体"/>
          <w:b/>
          <w:bCs/>
          <w:sz w:val="28"/>
        </w:rPr>
        <w:t>磋商供应商提交磋商响应文件须知</w:t>
      </w:r>
    </w:p>
    <w:p>
      <w:pPr>
        <w:kinsoku/>
        <w:overflowPunct/>
        <w:topLinePunct w:val="0"/>
        <w:bidi w:val="0"/>
        <w:snapToGrid w:val="0"/>
        <w:spacing w:line="300" w:lineRule="auto"/>
        <w:jc w:val="center"/>
        <w:rPr>
          <w:sz w:val="28"/>
          <w:szCs w:val="21"/>
        </w:rPr>
      </w:pPr>
    </w:p>
    <w:p>
      <w:pPr>
        <w:pStyle w:val="565"/>
        <w:numPr>
          <w:ilvl w:val="1"/>
          <w:numId w:val="26"/>
        </w:numPr>
        <w:kinsoku/>
        <w:overflowPunct/>
        <w:topLinePunct w:val="0"/>
        <w:bidi w:val="0"/>
        <w:snapToGrid w:val="0"/>
        <w:spacing w:line="300" w:lineRule="auto"/>
        <w:ind w:left="851" w:firstLineChars="0"/>
        <w:rPr>
          <w:rFonts w:ascii="宋体" w:hAnsi="宋体"/>
          <w:szCs w:val="22"/>
        </w:rPr>
      </w:pPr>
      <w:r>
        <w:rPr>
          <w:rFonts w:hint="eastAsia" w:ascii="宋体" w:hAnsi="宋体"/>
          <w:szCs w:val="22"/>
        </w:rPr>
        <w:t>磋商供应商应严格按照磋商响应文件的组成提交下述规定的全部格式文件以及其他有关资料，混乱的编排导致磋商响应文件被误读或采购机构、磋商小组查找不到有效文件是磋商供应商的风险。</w:t>
      </w:r>
    </w:p>
    <w:p>
      <w:pPr>
        <w:pStyle w:val="565"/>
        <w:numPr>
          <w:ilvl w:val="1"/>
          <w:numId w:val="26"/>
        </w:numPr>
        <w:kinsoku/>
        <w:overflowPunct/>
        <w:topLinePunct w:val="0"/>
        <w:bidi w:val="0"/>
        <w:snapToGrid w:val="0"/>
        <w:spacing w:line="300" w:lineRule="auto"/>
        <w:ind w:left="851" w:firstLineChars="0"/>
        <w:rPr>
          <w:rFonts w:ascii="宋体" w:hAnsi="宋体"/>
          <w:szCs w:val="22"/>
        </w:rPr>
      </w:pPr>
      <w:r>
        <w:rPr>
          <w:rFonts w:hint="eastAsia" w:ascii="宋体" w:hAnsi="宋体"/>
          <w:szCs w:val="22"/>
        </w:rPr>
        <w:t>所附表格中要求回答的全部问题和/或信息都必须正面回答。</w:t>
      </w:r>
    </w:p>
    <w:p>
      <w:pPr>
        <w:pStyle w:val="565"/>
        <w:numPr>
          <w:ilvl w:val="1"/>
          <w:numId w:val="26"/>
        </w:numPr>
        <w:kinsoku/>
        <w:overflowPunct/>
        <w:topLinePunct w:val="0"/>
        <w:bidi w:val="0"/>
        <w:snapToGrid w:val="0"/>
        <w:spacing w:line="300" w:lineRule="auto"/>
        <w:ind w:left="851" w:firstLineChars="0"/>
        <w:rPr>
          <w:rFonts w:ascii="宋体" w:hAnsi="宋体"/>
          <w:szCs w:val="22"/>
        </w:rPr>
      </w:pPr>
      <w:r>
        <w:rPr>
          <w:rFonts w:hint="eastAsia" w:ascii="宋体" w:hAnsi="宋体"/>
          <w:szCs w:val="22"/>
        </w:rPr>
        <w:t>本资格声明的签字人应保证全部声明和问题的回答是真实的和准确的。</w:t>
      </w:r>
    </w:p>
    <w:p>
      <w:pPr>
        <w:pStyle w:val="565"/>
        <w:numPr>
          <w:ilvl w:val="1"/>
          <w:numId w:val="26"/>
        </w:numPr>
        <w:kinsoku/>
        <w:overflowPunct/>
        <w:topLinePunct w:val="0"/>
        <w:bidi w:val="0"/>
        <w:snapToGrid w:val="0"/>
        <w:spacing w:line="300" w:lineRule="auto"/>
        <w:ind w:left="851" w:firstLineChars="0"/>
        <w:rPr>
          <w:rFonts w:ascii="宋体" w:hAnsi="宋体"/>
          <w:szCs w:val="22"/>
        </w:rPr>
      </w:pPr>
      <w:r>
        <w:rPr>
          <w:rFonts w:hint="eastAsia" w:ascii="宋体" w:hAnsi="宋体"/>
          <w:szCs w:val="22"/>
        </w:rPr>
        <w:t>采购机构将应用磋商供应商提交的资料根据自己的判断和考虑决定磋商供应商履行合同的合格性及能力。</w:t>
      </w:r>
    </w:p>
    <w:p>
      <w:pPr>
        <w:pStyle w:val="565"/>
        <w:numPr>
          <w:ilvl w:val="1"/>
          <w:numId w:val="26"/>
        </w:numPr>
        <w:kinsoku/>
        <w:overflowPunct/>
        <w:topLinePunct w:val="0"/>
        <w:bidi w:val="0"/>
        <w:snapToGrid w:val="0"/>
        <w:spacing w:line="300" w:lineRule="auto"/>
        <w:ind w:left="851" w:firstLineChars="0"/>
        <w:rPr>
          <w:rFonts w:ascii="宋体" w:hAnsi="宋体"/>
          <w:szCs w:val="22"/>
        </w:rPr>
      </w:pPr>
      <w:r>
        <w:rPr>
          <w:rFonts w:hint="eastAsia" w:ascii="宋体" w:hAnsi="宋体"/>
          <w:szCs w:val="22"/>
        </w:rPr>
        <w:t>磋商供应商提交的材料将被保密保存，但不退还。</w:t>
      </w:r>
    </w:p>
    <w:p>
      <w:pPr>
        <w:pStyle w:val="565"/>
        <w:numPr>
          <w:ilvl w:val="1"/>
          <w:numId w:val="26"/>
        </w:numPr>
        <w:kinsoku/>
        <w:overflowPunct/>
        <w:topLinePunct w:val="0"/>
        <w:bidi w:val="0"/>
        <w:snapToGrid w:val="0"/>
        <w:spacing w:line="300" w:lineRule="auto"/>
        <w:ind w:left="851" w:firstLineChars="0"/>
      </w:pPr>
      <w:r>
        <w:rPr>
          <w:rFonts w:hint="eastAsia" w:ascii="宋体" w:hAnsi="宋体"/>
          <w:szCs w:val="22"/>
        </w:rPr>
        <w:t>全部文件应按磋商供应商须知中规定的语言和份数提交。</w:t>
      </w:r>
    </w:p>
    <w:p>
      <w:pPr>
        <w:pStyle w:val="565"/>
        <w:kinsoku/>
        <w:overflowPunct/>
        <w:topLinePunct w:val="0"/>
        <w:bidi w:val="0"/>
        <w:snapToGrid w:val="0"/>
        <w:spacing w:line="300" w:lineRule="auto"/>
        <w:ind w:left="851" w:firstLine="0" w:firstLineChars="0"/>
      </w:pPr>
    </w:p>
    <w:p>
      <w:pPr>
        <w:kinsoku/>
        <w:overflowPunct/>
        <w:topLinePunct w:val="0"/>
        <w:bidi w:val="0"/>
        <w:spacing w:line="300" w:lineRule="auto"/>
        <w:rPr>
          <w:rFonts w:ascii="宋体" w:hAnsi="宋体"/>
          <w:szCs w:val="21"/>
        </w:rPr>
      </w:pPr>
    </w:p>
    <w:p>
      <w:pPr>
        <w:pStyle w:val="5"/>
        <w:keepNext w:val="0"/>
        <w:keepLines w:val="0"/>
        <w:pageBreakBefore/>
        <w:widowControl w:val="0"/>
        <w:tabs>
          <w:tab w:val="left" w:pos="840"/>
        </w:tabs>
        <w:kinsoku/>
        <w:overflowPunct/>
        <w:topLinePunct w:val="0"/>
        <w:bidi w:val="0"/>
        <w:adjustRightInd w:val="0"/>
        <w:snapToGrid w:val="0"/>
        <w:spacing w:before="312" w:beforeLines="100" w:after="312" w:afterLines="100" w:line="300" w:lineRule="auto"/>
        <w:jc w:val="center"/>
        <w:rPr>
          <w:rFonts w:hAnsi="宋体"/>
          <w:sz w:val="28"/>
          <w:szCs w:val="36"/>
        </w:rPr>
      </w:pPr>
      <w:bookmarkStart w:id="1919" w:name="_Toc13792"/>
      <w:bookmarkStart w:id="1920" w:name="_Toc18163"/>
      <w:bookmarkStart w:id="1921" w:name="_Toc3903992"/>
      <w:r>
        <w:rPr>
          <w:rFonts w:hint="eastAsia" w:hAnsi="宋体"/>
          <w:sz w:val="28"/>
          <w:szCs w:val="36"/>
        </w:rPr>
        <w:t>附件一 -1 法定代表人授权委托书</w:t>
      </w:r>
      <w:bookmarkEnd w:id="1919"/>
      <w:bookmarkEnd w:id="1920"/>
      <w:bookmarkEnd w:id="1921"/>
    </w:p>
    <w:p>
      <w:pPr>
        <w:kinsoku/>
        <w:overflowPunct/>
        <w:topLinePunct w:val="0"/>
        <w:bidi w:val="0"/>
        <w:spacing w:line="300" w:lineRule="auto"/>
        <w:rPr>
          <w:rFonts w:ascii="宋体" w:hAnsi="宋体"/>
          <w:bCs/>
        </w:rPr>
      </w:pPr>
      <w:r>
        <w:rPr>
          <w:rFonts w:hint="eastAsia" w:ascii="宋体" w:hAnsi="宋体"/>
          <w:bCs/>
        </w:rPr>
        <w:t>瑞安市公安局：</w:t>
      </w:r>
    </w:p>
    <w:p>
      <w:pPr>
        <w:kinsoku/>
        <w:overflowPunct/>
        <w:topLinePunct w:val="0"/>
        <w:bidi w:val="0"/>
        <w:snapToGrid w:val="0"/>
        <w:spacing w:before="156" w:beforeLines="50" w:after="50" w:line="300" w:lineRule="auto"/>
        <w:rPr>
          <w:rFonts w:ascii="Arial" w:hAnsi="Arial" w:cs="Arial"/>
          <w:szCs w:val="21"/>
        </w:rPr>
      </w:pPr>
      <w:r>
        <w:rPr>
          <w:rFonts w:hint="eastAsia" w:ascii="Arial" w:hAnsi="Arial" w:cs="Arial"/>
          <w:szCs w:val="21"/>
        </w:rPr>
        <w:t>浙江瑞扬工程咨询招标代理股份有限公司：</w:t>
      </w:r>
    </w:p>
    <w:p>
      <w:pPr>
        <w:kinsoku/>
        <w:overflowPunct/>
        <w:topLinePunct w:val="0"/>
        <w:bidi w:val="0"/>
        <w:spacing w:line="300" w:lineRule="auto"/>
        <w:ind w:left="420" w:leftChars="200" w:firstLine="426" w:firstLineChars="203"/>
        <w:rPr>
          <w:rFonts w:ascii="宋体" w:hAnsi="宋体"/>
        </w:rPr>
      </w:pPr>
      <w:r>
        <w:rPr>
          <w:rFonts w:hint="eastAsia" w:ascii="宋体" w:hAnsi="宋体"/>
        </w:rPr>
        <w:t>本授权委托书声明：我</w:t>
      </w:r>
      <w:r>
        <w:rPr>
          <w:rFonts w:hint="eastAsia" w:ascii="宋体" w:hAnsi="宋体"/>
          <w:u w:val="single"/>
        </w:rPr>
        <w:t xml:space="preserve">      </w:t>
      </w:r>
      <w:r>
        <w:rPr>
          <w:rFonts w:hint="eastAsia" w:ascii="宋体" w:hAnsi="宋体"/>
        </w:rPr>
        <w:t>（法人代表姓名）系</w:t>
      </w:r>
      <w:r>
        <w:rPr>
          <w:rFonts w:hint="eastAsia" w:ascii="宋体" w:hAnsi="宋体"/>
          <w:u w:val="single"/>
        </w:rPr>
        <w:t xml:space="preserve">                         （磋商供应商名称）</w:t>
      </w:r>
      <w:r>
        <w:rPr>
          <w:rFonts w:hint="eastAsia" w:ascii="宋体" w:hAnsi="宋体"/>
        </w:rPr>
        <w:t>的法定代表人，现授权委托本单位正式职工</w:t>
      </w:r>
      <w:r>
        <w:rPr>
          <w:rFonts w:hint="eastAsia" w:ascii="宋体" w:hAnsi="宋体"/>
          <w:u w:val="single"/>
        </w:rPr>
        <w:t xml:space="preserve">    （授权代表姓名）    </w:t>
      </w:r>
      <w:r>
        <w:rPr>
          <w:rFonts w:hint="eastAsia" w:ascii="宋体" w:hAnsi="宋体"/>
        </w:rPr>
        <w:t>为我公司法定代表人授权代表，参加贵处组织的</w:t>
      </w:r>
      <w:r>
        <w:rPr>
          <w:rFonts w:hint="eastAsia" w:ascii="宋体" w:hAnsi="宋体"/>
          <w:u w:val="single"/>
        </w:rPr>
        <w:t>（项目编号</w:t>
      </w:r>
      <w:r>
        <w:rPr>
          <w:rFonts w:hint="eastAsia" w:ascii="宋体" w:hAnsi="宋体"/>
          <w:u w:val="single"/>
          <w:lang w:eastAsia="zh-CN"/>
        </w:rPr>
        <w:t>RACG201905028</w:t>
      </w:r>
      <w:r>
        <w:rPr>
          <w:rFonts w:hint="eastAsia" w:ascii="宋体" w:hAnsi="宋体"/>
          <w:u w:val="single"/>
        </w:rPr>
        <w:t xml:space="preserve">）    </w:t>
      </w:r>
      <w:r>
        <w:rPr>
          <w:rFonts w:hint="eastAsia" w:ascii="宋体" w:hAnsi="宋体"/>
        </w:rPr>
        <w:t xml:space="preserve">项目投标，全权处理本次招投标活动中的一切事宜，并代表我方全权办理针对上述项目的投标、开标、评标、签约等具体事务和签署相关文件。   </w:t>
      </w:r>
    </w:p>
    <w:p>
      <w:pPr>
        <w:kinsoku/>
        <w:overflowPunct/>
        <w:topLinePunct w:val="0"/>
        <w:bidi w:val="0"/>
        <w:spacing w:line="300" w:lineRule="auto"/>
        <w:ind w:left="420" w:leftChars="200" w:firstLine="426" w:firstLineChars="203"/>
        <w:rPr>
          <w:rFonts w:ascii="宋体" w:hAnsi="宋体"/>
        </w:rPr>
      </w:pPr>
      <w:r>
        <w:rPr>
          <w:rFonts w:hint="eastAsia" w:ascii="宋体" w:hAnsi="宋体"/>
        </w:rPr>
        <w:t>我方对被授权人的签名负全部责任。</w:t>
      </w:r>
    </w:p>
    <w:p>
      <w:pPr>
        <w:kinsoku/>
        <w:overflowPunct/>
        <w:topLinePunct w:val="0"/>
        <w:bidi w:val="0"/>
        <w:spacing w:line="300" w:lineRule="auto"/>
        <w:ind w:left="420" w:leftChars="200" w:firstLine="426" w:firstLineChars="203"/>
        <w:rPr>
          <w:rFonts w:ascii="宋体" w:hAnsi="宋体"/>
        </w:rPr>
      </w:pPr>
      <w:r>
        <w:rPr>
          <w:rFonts w:hint="eastAsia" w:ascii="宋体" w:hAnsi="宋体"/>
        </w:rPr>
        <w:t>在撤销授权的书面通知以前，本授权委托书一直有效。被授权人在授权委托书有效期内签署的所有文件不因授权的撤销而失效。</w:t>
      </w:r>
    </w:p>
    <w:p>
      <w:pPr>
        <w:kinsoku/>
        <w:overflowPunct/>
        <w:topLinePunct w:val="0"/>
        <w:bidi w:val="0"/>
        <w:spacing w:line="300" w:lineRule="auto"/>
        <w:ind w:firstLine="420" w:firstLineChars="200"/>
        <w:rPr>
          <w:rFonts w:ascii="宋体" w:hAnsi="宋体"/>
        </w:rPr>
      </w:pPr>
      <w:r>
        <w:rPr>
          <w:rFonts w:hint="eastAsia" w:ascii="宋体" w:hAnsi="宋体"/>
        </w:rPr>
        <w:t>授权代表无转委托权，特此委托。</w:t>
      </w:r>
    </w:p>
    <w:p>
      <w:pPr>
        <w:kinsoku/>
        <w:overflowPunct/>
        <w:topLinePunct w:val="0"/>
        <w:bidi w:val="0"/>
        <w:spacing w:line="300" w:lineRule="auto"/>
        <w:ind w:firstLine="697"/>
        <w:rPr>
          <w:rFonts w:ascii="宋体" w:hAnsi="宋体"/>
        </w:rPr>
      </w:pPr>
    </w:p>
    <w:p>
      <w:pPr>
        <w:kinsoku/>
        <w:overflowPunct/>
        <w:topLinePunct w:val="0"/>
        <w:bidi w:val="0"/>
        <w:spacing w:before="312" w:beforeLines="100" w:after="312" w:afterLines="100" w:line="300" w:lineRule="auto"/>
        <w:ind w:firstLine="697"/>
        <w:rPr>
          <w:rFonts w:ascii="宋体" w:hAnsi="宋体"/>
        </w:rPr>
      </w:pPr>
      <w:r>
        <w:rPr>
          <w:rFonts w:ascii="宋体" w:hAnsi="宋体"/>
        </w:rPr>
        <mc:AlternateContent>
          <mc:Choice Requires="wps">
            <w:drawing>
              <wp:anchor distT="0" distB="0" distL="114300" distR="114300" simplePos="0" relativeHeight="251661312" behindDoc="0" locked="0" layoutInCell="1" allowOverlap="1">
                <wp:simplePos x="0" y="0"/>
                <wp:positionH relativeFrom="column">
                  <wp:posOffset>-281305</wp:posOffset>
                </wp:positionH>
                <wp:positionV relativeFrom="paragraph">
                  <wp:posOffset>140970</wp:posOffset>
                </wp:positionV>
                <wp:extent cx="2324100" cy="3533775"/>
                <wp:effectExtent l="4445" t="4445" r="14605" b="508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24100" cy="3533775"/>
                        </a:xfrm>
                        <a:prstGeom prst="rect">
                          <a:avLst/>
                        </a:prstGeom>
                        <a:solidFill>
                          <a:srgbClr val="FFFFFF"/>
                        </a:solidFill>
                        <a:ln w="9525">
                          <a:solidFill>
                            <a:srgbClr val="000000"/>
                          </a:solidFill>
                          <a:miter lim="800000"/>
                        </a:ln>
                        <a:effectLst/>
                      </wps:spPr>
                      <wps:txbx>
                        <w:txbxContent>
                          <w:p/>
                          <w:p/>
                          <w:p/>
                          <w:p/>
                          <w:p/>
                          <w:p/>
                          <w:p/>
                          <w:p/>
                          <w:p/>
                          <w:p>
                            <w:pPr>
                              <w:jc w:val="center"/>
                            </w:pPr>
                            <w:r>
                              <w:rPr>
                                <w:rFonts w:hint="eastAsia"/>
                              </w:rPr>
                              <w:t>授权代表身份证</w:t>
                            </w:r>
                            <w:r>
                              <w:t>复印件（</w:t>
                            </w:r>
                            <w:r>
                              <w:rPr>
                                <w:rFonts w:hint="eastAsia"/>
                              </w:rPr>
                              <w:t>正反两面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15pt;margin-top:11.1pt;height:278.25pt;width:183pt;z-index:251661312;mso-width-relative:page;mso-height-relative:page;" fillcolor="#FFFFFF" filled="t" stroked="t" coordsize="21600,21600" o:gfxdata="UEsDBAoAAAAAAIdO4kAAAAAAAAAAAAAAAAAEAAAAZHJzL1BLAwQUAAAACACHTuJAZM7nTNoAAAAK AQAADwAAAGRycy9kb3ducmV2LnhtbE2Py07DMBBF90j8gzVIbFDrvGjSkEkXSCDYQUF068bTJMKP YLtp+XvMCpaje3TvmWZz1orN5PxoDUK6TICR6awcTY/w/vawqID5IIwUyhpC+CYPm/byohG1tCfz SvM29CyWGF8LhCGEqebcdwNp4Zd2IhOzg3VahHi6nksnTrFcK54lyYprMZq4MIiJ7gfqPrdHjVAV T/POP+cvH93qoNbhppwfvxzi9VWa3AELdA5/MPzqR3Voo9PeHo30TCEsiiKPKEKWZcAikGdpCWyP cFtWJfC24f9faH8AUEsDBBQAAAAIAIdO4kBxOf46SQIAAJYEAAAOAAAAZHJzL2Uyb0RvYy54bWyt VM2O0zAQviPxDpbvNG3a0t1o09WyqyKk5UdaeADXcRoL22Nst0l5APYNOHHhznP1ORg72aUsIO2B HCJPZvzNzPfN5Oy804rshPMSTEknozElwnCopNmU9MP71bMTSnxgpmIKjCjpXnh6vnz65Ky1hcih AVUJRxDE+KK1JW1CsEWWed4IzfwIrDDorMFpFtB0m6xyrEV0rbJ8PH6eteAq64AL7/HrVe+kA6J7 DCDUteTiCvhWCxN6VCcUC9iSb6T1dJmqrWvBw9u69iIQVVLsNKQ3JsHzOr6z5RkrNo7ZRvKhBPaY Eh70pJk0mPQe6ooFRrZO/gGlJXfgoQ4jDjrrG0mMYBeT8QNubhpmReoFqfb2nnT//2D5m907R2RV 0pwSwzQKfvh6e/j24/D9C8kjPa31BUbdWIwL3QvocGhSq95eA//oiYHLhpmNuHAO2kawCsubxJvZ 0dUex0eQdfsaKszDtgESUFc7HblDNgiiozT7e2lEFwjHj/k0n03G6OLom86n08VinnKw4u66dT68 FKBJPJTUofYJnu2ufYjlsOIuJGbzoGS1kkolw23Wl8qRHcM5WaVnQP8tTBnSlvR0ns97Bv4JMU7P 3yC0DLg+SuqSnhwHKRPrEGlkh3ojfZGxnrvQrbtBjjVUeyTSQT/OuMx4aMB9pqTFUS6p/7RlTlCi XhkU43Qym8XZT8ZsvsjRcMee9bGHGY5QJQ2U9MfL0O/L1jq5aTBTL7+BCxSwlonaWGpf1SA7jmti fFituA/Hdor69TtZ/gRQSwMECgAAAAAAh07iQAAAAAAAAAAAAAAAAAYAAABfcmVscy9QSwMEFAAA AAgAh07iQIoUZjzRAAAAlAEAAAsAAABfcmVscy8ucmVsc6WQwWrDMAyG74O9g9F9cZrDGKNOL6PQ a+kewNiKYxpbRjLZ+vbzDoNl9LajfqHvE//+8JkWtSJLpGxg1/WgMDvyMQcD75fj0wsoqTZ7u1BG AzcUOIyPD/szLra2I5ljEdUoWQzMtZZXrcXNmKx0VDC3zUScbG0jB12su9qAeuj7Z82/GTBumOrk DfDJD6Aut9LMf9gpOiahqXaOkqZpiu4eVQe2ZY7uyDbhG7lGsxywGvAsGgdqWdd+BH1fv/un3tNH PuO61X6HjOuPV2+6HL8AUEsDBBQAAAAIAIdO4kB+5uUg9wAAAOEBAAATAAAAW0NvbnRlbnRfVHlw ZXNdLnhtbJWRQU7DMBBF90jcwfIWJU67QAgl6YK0S0CoHGBkTxKLZGx5TGhvj5O2G0SRWNoz/78n u9wcxkFMGNg6quQqL6RA0s5Y6ir5vt9lD1JwBDIwOMJKHpHlpr69KfdHjyxSmriSfYz+USnWPY7A ufNIadK6MEJMx9ApD/oDOlTrorhX2lFEilmcO2RdNtjC5xDF9pCuTyYBB5bi6bQ4syoJ3g9WQ0ym aiLzg5KdCXlKLjvcW893SUOqXwnz5DrgnHtJTxOsQfEKIT7DmDSUCayM+6KAU/53yWw5cuba1mrM m8BNir3hdLG61o5r1zj93/Ltkrp0q+WD6m9QSwECFAAUAAAACACHTuJAfublIPcAAADhAQAAEwAA AAAAAAABACAAAAC8BAAAW0NvbnRlbnRfVHlwZXNdLnhtbFBLAQIUAAoAAAAAAIdO4kAAAAAAAAAA AAAAAAAGAAAAAAAAAAAAEAAAAJ4DAABfcmVscy9QSwECFAAUAAAACACHTuJAihRmPNEAAACUAQAA CwAAAAAAAAABACAAAADCAwAAX3JlbHMvLnJlbHNQSwECFAAKAAAAAACHTuJAAAAAAAAAAAAAAAAA BAAAAAAAAAAAABAAAAAAAAAAZHJzL1BLAQIUABQAAAAIAIdO4kBkzudM2gAAAAoBAAAPAAAAAAAA AAEAIAAAACIAAABkcnMvZG93bnJldi54bWxQSwECFAAUAAAACACHTuJAcTn+OkkCAACWBAAADgAA AAAAAAABACAAAAApAQAAZHJzL2Uyb0RvYy54bWxQSwUGAAAAAAYABgBZAQAA5AUAAAAA ">
                <v:fill on="t" focussize="0,0"/>
                <v:stroke color="#000000" miterlimit="8" joinstyle="miter"/>
                <v:imagedata o:title=""/>
                <o:lock v:ext="edit" aspectratio="f"/>
                <v:textbox>
                  <w:txbxContent>
                    <w:p/>
                    <w:p/>
                    <w:p/>
                    <w:p/>
                    <w:p/>
                    <w:p/>
                    <w:p/>
                    <w:p/>
                    <w:p/>
                    <w:p>
                      <w:pPr>
                        <w:jc w:val="center"/>
                      </w:pPr>
                      <w:r>
                        <w:rPr>
                          <w:rFonts w:hint="eastAsia"/>
                        </w:rPr>
                        <w:t>授权代表身份证</w:t>
                      </w:r>
                      <w:r>
                        <w:t>复印件（</w:t>
                      </w:r>
                      <w:r>
                        <w:rPr>
                          <w:rFonts w:hint="eastAsia"/>
                        </w:rPr>
                        <w:t>正反两面</w:t>
                      </w:r>
                      <w:r>
                        <w:t>）</w:t>
                      </w:r>
                    </w:p>
                  </w:txbxContent>
                </v:textbox>
              </v:shape>
            </w:pict>
          </mc:Fallback>
        </mc:AlternateContent>
      </w:r>
    </w:p>
    <w:p>
      <w:pPr>
        <w:kinsoku/>
        <w:overflowPunct/>
        <w:topLinePunct w:val="0"/>
        <w:bidi w:val="0"/>
        <w:spacing w:before="312" w:beforeLines="100" w:after="312" w:afterLines="100" w:line="300" w:lineRule="auto"/>
        <w:ind w:left="2100"/>
        <w:jc w:val="center"/>
        <w:rPr>
          <w:rFonts w:ascii="宋体" w:hAnsi="宋体"/>
          <w:szCs w:val="21"/>
          <w:u w:val="single"/>
        </w:rPr>
      </w:pPr>
      <w:r>
        <w:rPr>
          <w:rFonts w:hint="eastAsia" w:ascii="宋体" w:hAnsi="宋体"/>
          <w:sz w:val="24"/>
        </w:rPr>
        <w:t xml:space="preserve">  </w:t>
      </w:r>
      <w:r>
        <w:rPr>
          <w:rFonts w:hint="eastAsia" w:ascii="宋体" w:hAnsi="宋体"/>
          <w:szCs w:val="21"/>
        </w:rPr>
        <w:t>授权代表：</w:t>
      </w:r>
      <w:r>
        <w:rPr>
          <w:rFonts w:hint="eastAsia" w:ascii="宋体" w:hAnsi="宋体"/>
          <w:szCs w:val="21"/>
          <w:u w:val="single"/>
        </w:rPr>
        <w:t xml:space="preserve">         </w:t>
      </w:r>
      <w:r>
        <w:rPr>
          <w:rFonts w:hint="eastAsia" w:ascii="宋体" w:hAnsi="宋体"/>
          <w:szCs w:val="21"/>
        </w:rPr>
        <w:t>性别 ：</w:t>
      </w:r>
      <w:r>
        <w:rPr>
          <w:rFonts w:hint="eastAsia" w:ascii="宋体" w:hAnsi="宋体"/>
          <w:szCs w:val="21"/>
          <w:u w:val="single"/>
        </w:rPr>
        <w:t xml:space="preserve">   </w:t>
      </w:r>
      <w:r>
        <w:rPr>
          <w:rFonts w:hint="eastAsia" w:ascii="宋体" w:hAnsi="宋体"/>
          <w:szCs w:val="21"/>
        </w:rPr>
        <w:t>年龄：_</w:t>
      </w:r>
      <w:r>
        <w:rPr>
          <w:rFonts w:hint="eastAsia" w:ascii="宋体" w:hAnsi="宋体"/>
          <w:szCs w:val="21"/>
          <w:u w:val="single"/>
        </w:rPr>
        <w:t xml:space="preserve">    __</w:t>
      </w:r>
      <w:r>
        <w:rPr>
          <w:rFonts w:hint="eastAsia" w:ascii="宋体" w:hAnsi="宋体"/>
          <w:szCs w:val="21"/>
        </w:rPr>
        <w:t xml:space="preserve"> </w:t>
      </w:r>
    </w:p>
    <w:p>
      <w:pPr>
        <w:kinsoku/>
        <w:overflowPunct/>
        <w:topLinePunct w:val="0"/>
        <w:bidi w:val="0"/>
        <w:spacing w:before="312" w:beforeLines="100" w:after="312" w:afterLines="100" w:line="300" w:lineRule="auto"/>
        <w:ind w:left="2100" w:leftChars="1000" w:firstLine="1365" w:firstLineChars="650"/>
        <w:rPr>
          <w:rFonts w:ascii="宋体" w:hAnsi="宋体"/>
          <w:szCs w:val="21"/>
          <w:u w:val="single"/>
        </w:rPr>
      </w:pPr>
      <w:r>
        <w:rPr>
          <w:rFonts w:hint="eastAsia" w:ascii="宋体" w:hAnsi="宋体"/>
          <w:szCs w:val="21"/>
        </w:rPr>
        <w:t>身份证号码：</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____    </w:t>
      </w:r>
    </w:p>
    <w:p>
      <w:pPr>
        <w:kinsoku/>
        <w:overflowPunct/>
        <w:topLinePunct w:val="0"/>
        <w:bidi w:val="0"/>
        <w:spacing w:before="312" w:beforeLines="100" w:after="312" w:afterLines="100" w:line="300" w:lineRule="auto"/>
        <w:ind w:left="2100" w:leftChars="1000" w:firstLine="1365" w:firstLineChars="650"/>
        <w:rPr>
          <w:rFonts w:ascii="宋体" w:hAnsi="宋体"/>
          <w:szCs w:val="21"/>
          <w:u w:val="single"/>
        </w:rPr>
      </w:pPr>
      <w:r>
        <w:rPr>
          <w:rFonts w:hint="eastAsia" w:ascii="宋体" w:hAnsi="宋体"/>
          <w:szCs w:val="21"/>
        </w:rPr>
        <w:t>详细通讯地址：</w:t>
      </w:r>
      <w:r>
        <w:rPr>
          <w:rFonts w:hint="eastAsia" w:ascii="宋体" w:hAnsi="宋体"/>
          <w:szCs w:val="21"/>
          <w:u w:val="single"/>
        </w:rPr>
        <w:t xml:space="preserve">              </w:t>
      </w:r>
      <w:r>
        <w:rPr>
          <w:rFonts w:hint="eastAsia"/>
          <w:szCs w:val="21"/>
        </w:rPr>
        <w:t>邮政编码：</w:t>
      </w:r>
      <w:r>
        <w:rPr>
          <w:rFonts w:hint="eastAsia" w:ascii="宋体" w:hAnsi="宋体"/>
          <w:szCs w:val="21"/>
          <w:u w:val="single"/>
        </w:rPr>
        <w:t xml:space="preserve">         </w:t>
      </w:r>
    </w:p>
    <w:p>
      <w:pPr>
        <w:kinsoku/>
        <w:overflowPunct/>
        <w:topLinePunct w:val="0"/>
        <w:bidi w:val="0"/>
        <w:spacing w:before="312" w:beforeLines="100" w:after="312" w:afterLines="100" w:line="300" w:lineRule="auto"/>
        <w:ind w:firstLine="3465" w:firstLineChars="1650"/>
        <w:rPr>
          <w:szCs w:val="21"/>
        </w:rPr>
      </w:pPr>
      <w:r>
        <w:rPr>
          <w:rFonts w:hint="eastAsia"/>
          <w:szCs w:val="21"/>
        </w:rPr>
        <w:t>电话：</w:t>
      </w:r>
      <w:r>
        <w:rPr>
          <w:rFonts w:hint="eastAsia"/>
          <w:szCs w:val="21"/>
          <w:u w:val="single"/>
        </w:rPr>
        <w:t xml:space="preserve">            </w:t>
      </w:r>
      <w:r>
        <w:rPr>
          <w:rFonts w:hint="eastAsia"/>
          <w:szCs w:val="21"/>
        </w:rPr>
        <w:t>传真：</w:t>
      </w:r>
      <w:r>
        <w:rPr>
          <w:rFonts w:hint="eastAsia"/>
          <w:szCs w:val="21"/>
          <w:u w:val="single"/>
        </w:rPr>
        <w:t xml:space="preserve">                              </w:t>
      </w:r>
      <w:r>
        <w:rPr>
          <w:rFonts w:hint="eastAsia"/>
          <w:szCs w:val="21"/>
        </w:rPr>
        <w:t xml:space="preserve">  </w:t>
      </w:r>
    </w:p>
    <w:p>
      <w:pPr>
        <w:kinsoku/>
        <w:overflowPunct/>
        <w:topLinePunct w:val="0"/>
        <w:bidi w:val="0"/>
        <w:spacing w:before="312" w:beforeLines="100" w:after="312" w:afterLines="100" w:line="300" w:lineRule="auto"/>
        <w:ind w:left="1" w:firstLine="403" w:firstLineChars="192"/>
        <w:rPr>
          <w:rFonts w:ascii="宋体" w:hAnsi="宋体"/>
          <w:szCs w:val="21"/>
        </w:rPr>
      </w:pPr>
      <w:r>
        <w:rPr>
          <w:rFonts w:hint="eastAsia"/>
          <w:szCs w:val="21"/>
        </w:rPr>
        <w:t xml:space="preserve">                             </w:t>
      </w:r>
      <w:r>
        <w:rPr>
          <w:rFonts w:hint="eastAsia" w:ascii="宋体" w:hAnsi="宋体"/>
          <w:szCs w:val="21"/>
        </w:rPr>
        <w:t>磋商供应商：</w:t>
      </w:r>
      <w:r>
        <w:rPr>
          <w:rFonts w:hint="eastAsia" w:ascii="宋体" w:hAnsi="宋体"/>
          <w:szCs w:val="21"/>
          <w:u w:val="single"/>
        </w:rPr>
        <w:t xml:space="preserve">                            （盖章）</w:t>
      </w:r>
    </w:p>
    <w:p>
      <w:pPr>
        <w:kinsoku/>
        <w:overflowPunct/>
        <w:topLinePunct w:val="0"/>
        <w:bidi w:val="0"/>
        <w:spacing w:before="312" w:beforeLines="100" w:after="312" w:afterLines="100" w:line="300" w:lineRule="auto"/>
        <w:ind w:left="2100" w:right="420" w:firstLine="1365" w:firstLineChars="650"/>
        <w:rPr>
          <w:rFonts w:ascii="宋体" w:hAnsi="宋体"/>
          <w:szCs w:val="21"/>
        </w:rPr>
      </w:pPr>
      <w:r>
        <w:rPr>
          <w:rFonts w:hint="eastAsia" w:ascii="宋体" w:hAnsi="宋体"/>
          <w:szCs w:val="21"/>
        </w:rPr>
        <w:t>法定代表人：</w:t>
      </w:r>
      <w:r>
        <w:rPr>
          <w:rFonts w:hint="eastAsia" w:ascii="宋体" w:hAnsi="宋体"/>
          <w:szCs w:val="21"/>
          <w:u w:val="single"/>
        </w:rPr>
        <w:t xml:space="preserve">                 （签字或盖章）</w:t>
      </w:r>
    </w:p>
    <w:p>
      <w:pPr>
        <w:kinsoku/>
        <w:overflowPunct/>
        <w:topLinePunct w:val="0"/>
        <w:bidi w:val="0"/>
        <w:spacing w:before="312" w:beforeLines="100" w:after="312" w:afterLines="100" w:line="300" w:lineRule="auto"/>
        <w:ind w:firstLine="3150" w:firstLineChars="1500"/>
        <w:jc w:val="right"/>
        <w:rPr>
          <w:rFonts w:ascii="宋体" w:hAnsi="宋体"/>
          <w:szCs w:val="21"/>
        </w:rPr>
      </w:pPr>
      <w:r>
        <w:rPr>
          <w:rFonts w:hint="eastAsia" w:ascii="宋体" w:hAnsi="宋体"/>
          <w:szCs w:val="21"/>
        </w:rPr>
        <w:t>授权委托日期：</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tabs>
          <w:tab w:val="left" w:pos="4532"/>
        </w:tabs>
        <w:kinsoku/>
        <w:overflowPunct/>
        <w:topLinePunct w:val="0"/>
        <w:bidi w:val="0"/>
        <w:spacing w:before="312" w:beforeLines="100" w:after="312" w:afterLines="100" w:line="300" w:lineRule="auto"/>
        <w:ind w:firstLine="422" w:firstLineChars="200"/>
      </w:pPr>
      <w:r>
        <w:rPr>
          <w:rFonts w:hint="eastAsia"/>
          <w:b/>
        </w:rPr>
        <w:t>注：本法定代表人授权委托书正本一式二份，磋商响应文件正本中有一份，另一份在递交标书时，随授权代表身份证件原件一起交验。</w:t>
      </w:r>
    </w:p>
    <w:p>
      <w:pPr>
        <w:tabs>
          <w:tab w:val="left" w:pos="4532"/>
        </w:tabs>
        <w:kinsoku/>
        <w:overflowPunct/>
        <w:topLinePunct w:val="0"/>
        <w:bidi w:val="0"/>
        <w:spacing w:line="300" w:lineRule="auto"/>
        <w:rPr>
          <w:b/>
        </w:rPr>
      </w:pPr>
    </w:p>
    <w:p>
      <w:pPr>
        <w:pStyle w:val="5"/>
        <w:keepNext w:val="0"/>
        <w:keepLines w:val="0"/>
        <w:pageBreakBefore/>
        <w:widowControl w:val="0"/>
        <w:tabs>
          <w:tab w:val="left" w:pos="840"/>
        </w:tabs>
        <w:kinsoku/>
        <w:overflowPunct/>
        <w:topLinePunct w:val="0"/>
        <w:bidi w:val="0"/>
        <w:adjustRightInd w:val="0"/>
        <w:snapToGrid w:val="0"/>
        <w:spacing w:before="312" w:beforeLines="100" w:after="312" w:afterLines="100" w:line="300" w:lineRule="auto"/>
        <w:jc w:val="center"/>
        <w:rPr>
          <w:rFonts w:hAnsi="宋体"/>
          <w:sz w:val="28"/>
          <w:szCs w:val="36"/>
        </w:rPr>
      </w:pPr>
      <w:bookmarkStart w:id="1922" w:name="_Toc3903993"/>
      <w:bookmarkStart w:id="1923" w:name="_Toc2076"/>
      <w:bookmarkStart w:id="1924" w:name="_Toc14517"/>
      <w:r>
        <w:rPr>
          <w:rFonts w:hint="eastAsia" w:hAnsi="宋体"/>
          <w:sz w:val="28"/>
          <w:szCs w:val="36"/>
        </w:rPr>
        <w:t xml:space="preserve">附件一 -2 </w:t>
      </w:r>
      <w:r>
        <w:rPr>
          <w:rFonts w:hAnsi="宋体"/>
          <w:sz w:val="28"/>
          <w:szCs w:val="36"/>
        </w:rPr>
        <w:t>法定代表人</w:t>
      </w:r>
      <w:r>
        <w:rPr>
          <w:rFonts w:hint="eastAsia" w:hAnsi="宋体"/>
          <w:sz w:val="28"/>
          <w:szCs w:val="36"/>
        </w:rPr>
        <w:t>身份</w:t>
      </w:r>
      <w:r>
        <w:rPr>
          <w:rFonts w:hAnsi="宋体"/>
          <w:sz w:val="28"/>
          <w:szCs w:val="36"/>
        </w:rPr>
        <w:t>证明</w:t>
      </w:r>
      <w:bookmarkEnd w:id="1922"/>
      <w:bookmarkEnd w:id="1923"/>
      <w:bookmarkEnd w:id="1924"/>
    </w:p>
    <w:p>
      <w:pPr>
        <w:kinsoku/>
        <w:overflowPunct/>
        <w:topLinePunct w:val="0"/>
        <w:bidi w:val="0"/>
        <w:spacing w:line="300" w:lineRule="auto"/>
      </w:pPr>
    </w:p>
    <w:p>
      <w:pPr>
        <w:kinsoku/>
        <w:overflowPunct/>
        <w:topLinePunct w:val="0"/>
        <w:bidi w:val="0"/>
        <w:spacing w:line="300" w:lineRule="auto"/>
        <w:rPr>
          <w:rFonts w:ascii="Arial" w:hAnsi="Arial" w:cs="Arial"/>
          <w:szCs w:val="21"/>
        </w:rPr>
      </w:pPr>
      <w:r>
        <w:rPr>
          <w:rFonts w:hint="eastAsia" w:ascii="Arial" w:hAnsi="Arial" w:cs="Arial"/>
          <w:szCs w:val="21"/>
        </w:rPr>
        <w:t>申</w:t>
      </w:r>
      <w:r>
        <w:rPr>
          <w:rFonts w:ascii="Arial" w:hAnsi="Arial" w:cs="Arial"/>
          <w:szCs w:val="21"/>
        </w:rPr>
        <w:t xml:space="preserve"> </w:t>
      </w:r>
      <w:r>
        <w:rPr>
          <w:rFonts w:hint="eastAsia" w:ascii="Arial" w:hAnsi="Arial" w:cs="Arial"/>
          <w:szCs w:val="21"/>
        </w:rPr>
        <w:t>请</w:t>
      </w:r>
      <w:r>
        <w:rPr>
          <w:rFonts w:ascii="Arial" w:hAnsi="Arial" w:cs="Arial"/>
          <w:szCs w:val="21"/>
        </w:rPr>
        <w:t xml:space="preserve"> </w:t>
      </w:r>
      <w:r>
        <w:rPr>
          <w:rFonts w:hint="eastAsia" w:ascii="Arial" w:hAnsi="Arial" w:cs="Arial"/>
          <w:szCs w:val="21"/>
        </w:rPr>
        <w:t>人：</w:t>
      </w:r>
      <w:r>
        <w:rPr>
          <w:rFonts w:hint="eastAsia" w:ascii="Arial" w:hAnsi="Arial" w:cs="Arial"/>
          <w:szCs w:val="21"/>
          <w:u w:val="single"/>
        </w:rPr>
        <w:t xml:space="preserve">                                       </w:t>
      </w:r>
      <w:r>
        <w:rPr>
          <w:rFonts w:ascii="Arial" w:hAnsi="Arial" w:cs="Arial"/>
          <w:szCs w:val="21"/>
          <w:u w:val="single"/>
        </w:rPr>
        <w:t xml:space="preserve">                        </w:t>
      </w:r>
    </w:p>
    <w:p>
      <w:pPr>
        <w:kinsoku/>
        <w:overflowPunct/>
        <w:topLinePunct w:val="0"/>
        <w:bidi w:val="0"/>
        <w:spacing w:line="300" w:lineRule="auto"/>
        <w:rPr>
          <w:rFonts w:ascii="Arial" w:hAnsi="Arial" w:cs="Arial"/>
          <w:szCs w:val="21"/>
          <w:u w:val="single"/>
        </w:rPr>
      </w:pPr>
      <w:r>
        <w:rPr>
          <w:rFonts w:hint="eastAsia" w:ascii="Arial" w:hAnsi="Arial" w:cs="Arial"/>
          <w:szCs w:val="21"/>
        </w:rPr>
        <w:t>单位性质：</w:t>
      </w:r>
      <w:r>
        <w:rPr>
          <w:rFonts w:ascii="Arial" w:hAnsi="Arial" w:cs="Arial"/>
          <w:szCs w:val="21"/>
          <w:u w:val="single"/>
        </w:rPr>
        <w:t xml:space="preserve">                                                       </w:t>
      </w:r>
    </w:p>
    <w:p>
      <w:pPr>
        <w:kinsoku/>
        <w:overflowPunct/>
        <w:topLinePunct w:val="0"/>
        <w:bidi w:val="0"/>
        <w:spacing w:line="300" w:lineRule="auto"/>
        <w:rPr>
          <w:rFonts w:ascii="Arial" w:hAnsi="Arial" w:cs="Arial"/>
          <w:szCs w:val="21"/>
        </w:rPr>
      </w:pPr>
      <w:r>
        <w:rPr>
          <w:rFonts w:hint="eastAsia" w:ascii="Arial" w:hAnsi="Arial" w:cs="Arial"/>
          <w:szCs w:val="21"/>
        </w:rPr>
        <w:t>地</w:t>
      </w:r>
      <w:r>
        <w:rPr>
          <w:rFonts w:ascii="Arial" w:hAnsi="Arial" w:cs="Arial"/>
          <w:szCs w:val="21"/>
        </w:rPr>
        <w:t xml:space="preserve">    </w:t>
      </w:r>
      <w:r>
        <w:rPr>
          <w:rFonts w:hint="eastAsia" w:ascii="Arial" w:hAnsi="Arial" w:cs="Arial"/>
          <w:szCs w:val="21"/>
        </w:rPr>
        <w:t>址：</w:t>
      </w:r>
      <w:r>
        <w:rPr>
          <w:rFonts w:ascii="Arial" w:hAnsi="Arial" w:cs="Arial"/>
          <w:szCs w:val="21"/>
          <w:u w:val="single"/>
        </w:rPr>
        <w:t xml:space="preserve">                                                       </w:t>
      </w:r>
    </w:p>
    <w:p>
      <w:pPr>
        <w:kinsoku/>
        <w:overflowPunct/>
        <w:topLinePunct w:val="0"/>
        <w:bidi w:val="0"/>
        <w:spacing w:line="300" w:lineRule="auto"/>
        <w:rPr>
          <w:rFonts w:ascii="Arial" w:hAnsi="Arial" w:cs="Arial"/>
          <w:szCs w:val="21"/>
        </w:rPr>
      </w:pPr>
      <w:r>
        <w:rPr>
          <w:rFonts w:hint="eastAsia" w:ascii="Arial" w:hAnsi="Arial" w:cs="Arial"/>
          <w:szCs w:val="21"/>
        </w:rPr>
        <w:t>成立时间：</w:t>
      </w:r>
      <w:r>
        <w:rPr>
          <w:rFonts w:ascii="Arial" w:hAnsi="Arial" w:cs="Arial"/>
          <w:szCs w:val="21"/>
          <w:u w:val="single"/>
        </w:rPr>
        <w:t xml:space="preserve">          </w:t>
      </w:r>
      <w:r>
        <w:rPr>
          <w:rFonts w:hint="eastAsia" w:ascii="Arial" w:hAnsi="Arial" w:cs="Arial"/>
          <w:szCs w:val="21"/>
        </w:rPr>
        <w:t>年</w:t>
      </w:r>
      <w:r>
        <w:rPr>
          <w:rFonts w:ascii="Arial" w:hAnsi="Arial" w:cs="Arial"/>
          <w:szCs w:val="21"/>
          <w:u w:val="single"/>
        </w:rPr>
        <w:t xml:space="preserve">          </w:t>
      </w:r>
      <w:r>
        <w:rPr>
          <w:rFonts w:hint="eastAsia" w:ascii="Arial" w:hAnsi="Arial" w:cs="Arial"/>
          <w:szCs w:val="21"/>
        </w:rPr>
        <w:t>月</w:t>
      </w:r>
      <w:r>
        <w:rPr>
          <w:rFonts w:ascii="Arial" w:hAnsi="Arial" w:cs="Arial"/>
          <w:szCs w:val="21"/>
          <w:u w:val="single"/>
        </w:rPr>
        <w:t xml:space="preserve">          </w:t>
      </w:r>
      <w:r>
        <w:rPr>
          <w:rFonts w:hint="eastAsia" w:ascii="Arial" w:hAnsi="Arial" w:cs="Arial"/>
          <w:szCs w:val="21"/>
        </w:rPr>
        <w:t>日</w:t>
      </w:r>
    </w:p>
    <w:p>
      <w:pPr>
        <w:kinsoku/>
        <w:overflowPunct/>
        <w:topLinePunct w:val="0"/>
        <w:bidi w:val="0"/>
        <w:spacing w:line="300" w:lineRule="auto"/>
        <w:rPr>
          <w:rFonts w:ascii="Arial" w:hAnsi="Arial" w:cs="Arial"/>
          <w:szCs w:val="21"/>
        </w:rPr>
      </w:pPr>
      <w:r>
        <w:rPr>
          <w:rFonts w:hint="eastAsia" w:ascii="Arial" w:hAnsi="Arial" w:cs="Arial"/>
          <w:szCs w:val="21"/>
        </w:rPr>
        <w:t>经营期限：</w:t>
      </w:r>
      <w:r>
        <w:rPr>
          <w:rFonts w:ascii="Arial" w:hAnsi="Arial" w:cs="Arial"/>
          <w:szCs w:val="21"/>
          <w:u w:val="single"/>
        </w:rPr>
        <w:t xml:space="preserve">                                                       </w:t>
      </w:r>
    </w:p>
    <w:p>
      <w:pPr>
        <w:kinsoku/>
        <w:overflowPunct/>
        <w:topLinePunct w:val="0"/>
        <w:bidi w:val="0"/>
        <w:spacing w:line="300" w:lineRule="auto"/>
        <w:rPr>
          <w:rFonts w:ascii="Arial" w:hAnsi="Arial" w:cs="Arial"/>
          <w:szCs w:val="21"/>
        </w:rPr>
      </w:pPr>
      <w:r>
        <w:rPr>
          <w:rFonts w:hint="eastAsia" w:ascii="Arial" w:hAnsi="Arial" w:cs="Arial"/>
          <w:szCs w:val="21"/>
        </w:rPr>
        <w:t>姓</w:t>
      </w:r>
      <w:r>
        <w:rPr>
          <w:rFonts w:ascii="Arial" w:hAnsi="Arial" w:cs="Arial"/>
          <w:szCs w:val="21"/>
        </w:rPr>
        <w:t xml:space="preserve">    </w:t>
      </w:r>
      <w:r>
        <w:rPr>
          <w:rFonts w:hint="eastAsia" w:ascii="Arial" w:hAnsi="Arial" w:cs="Arial"/>
          <w:szCs w:val="21"/>
        </w:rPr>
        <w:t>名：</w:t>
      </w:r>
      <w:r>
        <w:rPr>
          <w:rFonts w:ascii="Arial" w:hAnsi="Arial" w:cs="Arial"/>
          <w:szCs w:val="21"/>
          <w:u w:val="single"/>
        </w:rPr>
        <w:t xml:space="preserve">             </w:t>
      </w:r>
      <w:r>
        <w:rPr>
          <w:rFonts w:hint="eastAsia" w:ascii="Arial" w:hAnsi="Arial" w:cs="Arial"/>
          <w:szCs w:val="21"/>
        </w:rPr>
        <w:t>性</w:t>
      </w:r>
      <w:r>
        <w:rPr>
          <w:rFonts w:ascii="Arial" w:hAnsi="Arial" w:cs="Arial"/>
          <w:szCs w:val="21"/>
        </w:rPr>
        <w:t xml:space="preserve">    </w:t>
      </w:r>
      <w:r>
        <w:rPr>
          <w:rFonts w:hint="eastAsia" w:ascii="Arial" w:hAnsi="Arial" w:cs="Arial"/>
          <w:szCs w:val="21"/>
        </w:rPr>
        <w:t>别：</w:t>
      </w:r>
      <w:r>
        <w:rPr>
          <w:rFonts w:ascii="Arial" w:hAnsi="Arial" w:cs="Arial"/>
          <w:szCs w:val="21"/>
          <w:u w:val="single"/>
        </w:rPr>
        <w:t xml:space="preserve">               </w:t>
      </w:r>
    </w:p>
    <w:p>
      <w:pPr>
        <w:kinsoku/>
        <w:overflowPunct/>
        <w:topLinePunct w:val="0"/>
        <w:bidi w:val="0"/>
        <w:spacing w:line="300" w:lineRule="auto"/>
        <w:rPr>
          <w:rFonts w:ascii="Arial" w:hAnsi="Arial" w:cs="Arial"/>
          <w:szCs w:val="21"/>
        </w:rPr>
      </w:pPr>
      <w:r>
        <w:rPr>
          <w:rFonts w:hint="eastAsia" w:ascii="Arial" w:hAnsi="Arial" w:cs="Arial"/>
          <w:szCs w:val="21"/>
        </w:rPr>
        <w:t>年</w:t>
      </w:r>
      <w:r>
        <w:rPr>
          <w:rFonts w:ascii="Arial" w:hAnsi="Arial" w:cs="Arial"/>
          <w:szCs w:val="21"/>
        </w:rPr>
        <w:t xml:space="preserve">    </w:t>
      </w:r>
      <w:r>
        <w:rPr>
          <w:rFonts w:hint="eastAsia" w:ascii="Arial" w:hAnsi="Arial" w:cs="Arial"/>
          <w:szCs w:val="21"/>
        </w:rPr>
        <w:t>龄：</w:t>
      </w:r>
      <w:r>
        <w:rPr>
          <w:rFonts w:ascii="Arial" w:hAnsi="Arial" w:cs="Arial"/>
          <w:szCs w:val="21"/>
          <w:u w:val="single"/>
        </w:rPr>
        <w:t xml:space="preserve">             </w:t>
      </w:r>
      <w:r>
        <w:rPr>
          <w:rFonts w:hint="eastAsia" w:ascii="Arial" w:hAnsi="Arial" w:cs="Arial"/>
          <w:szCs w:val="21"/>
        </w:rPr>
        <w:t>职</w:t>
      </w:r>
      <w:r>
        <w:rPr>
          <w:rFonts w:ascii="Arial" w:hAnsi="Arial" w:cs="Arial"/>
          <w:szCs w:val="21"/>
        </w:rPr>
        <w:t xml:space="preserve">    </w:t>
      </w:r>
      <w:r>
        <w:rPr>
          <w:rFonts w:hint="eastAsia" w:ascii="Arial" w:hAnsi="Arial" w:cs="Arial"/>
          <w:szCs w:val="21"/>
        </w:rPr>
        <w:t>务：</w:t>
      </w:r>
      <w:r>
        <w:rPr>
          <w:rFonts w:ascii="Arial" w:hAnsi="Arial" w:cs="Arial"/>
          <w:szCs w:val="21"/>
          <w:u w:val="single"/>
        </w:rPr>
        <w:t xml:space="preserve">               </w:t>
      </w:r>
    </w:p>
    <w:p>
      <w:pPr>
        <w:kinsoku/>
        <w:overflowPunct/>
        <w:topLinePunct w:val="0"/>
        <w:bidi w:val="0"/>
        <w:spacing w:line="300" w:lineRule="auto"/>
        <w:rPr>
          <w:rFonts w:ascii="Arial" w:hAnsi="Arial" w:cs="Arial"/>
          <w:szCs w:val="21"/>
        </w:rPr>
      </w:pPr>
      <w:r>
        <w:rPr>
          <w:rFonts w:hint="eastAsia" w:ascii="Arial" w:hAnsi="Arial" w:cs="Arial"/>
          <w:szCs w:val="21"/>
        </w:rPr>
        <w:t>系</w:t>
      </w:r>
      <w:r>
        <w:rPr>
          <w:rFonts w:ascii="Arial" w:hAnsi="Arial" w:cs="Arial"/>
          <w:szCs w:val="21"/>
          <w:u w:val="single"/>
        </w:rPr>
        <w:t xml:space="preserve">                                </w:t>
      </w:r>
      <w:r>
        <w:rPr>
          <w:rFonts w:hint="eastAsia" w:ascii="Arial" w:hAnsi="Arial" w:cs="Arial"/>
          <w:szCs w:val="21"/>
        </w:rPr>
        <w:t>（申请人名称）的法定代表人。</w:t>
      </w:r>
    </w:p>
    <w:p>
      <w:pPr>
        <w:kinsoku/>
        <w:overflowPunct/>
        <w:topLinePunct w:val="0"/>
        <w:bidi w:val="0"/>
        <w:spacing w:line="300" w:lineRule="auto"/>
        <w:rPr>
          <w:rFonts w:ascii="Arial" w:hAnsi="Arial" w:cs="Arial"/>
          <w:szCs w:val="21"/>
        </w:rPr>
      </w:pPr>
      <w:r>
        <w:rPr>
          <w:rFonts w:hint="eastAsia" w:ascii="Arial" w:hAnsi="Arial" w:cs="Arial"/>
          <w:szCs w:val="21"/>
        </w:rPr>
        <w:t>特此证明。</w:t>
      </w:r>
    </w:p>
    <w:p>
      <w:pPr>
        <w:kinsoku/>
        <w:overflowPunct/>
        <w:topLinePunct w:val="0"/>
        <w:bidi w:val="0"/>
        <w:spacing w:line="300" w:lineRule="auto"/>
        <w:rPr>
          <w:rFonts w:ascii="Arial" w:hAnsi="Arial" w:cs="Arial"/>
          <w:szCs w:val="21"/>
        </w:rPr>
      </w:pPr>
    </w:p>
    <w:p>
      <w:pPr>
        <w:kinsoku/>
        <w:overflowPunct/>
        <w:topLinePunct w:val="0"/>
        <w:bidi w:val="0"/>
        <w:spacing w:line="300" w:lineRule="auto"/>
        <w:rPr>
          <w:rFonts w:ascii="宋体" w:hAnsi="宋体"/>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2533650</wp:posOffset>
                </wp:positionH>
                <wp:positionV relativeFrom="paragraph">
                  <wp:posOffset>1905</wp:posOffset>
                </wp:positionV>
                <wp:extent cx="3529330" cy="2476500"/>
                <wp:effectExtent l="5080" t="4445" r="8890" b="146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529330" cy="2476500"/>
                        </a:xfrm>
                        <a:prstGeom prst="rect">
                          <a:avLst/>
                        </a:prstGeom>
                        <a:solidFill>
                          <a:srgbClr val="FFFFFF"/>
                        </a:solidFill>
                        <a:ln w="9525">
                          <a:solidFill>
                            <a:srgbClr val="000000"/>
                          </a:solidFill>
                          <a:miter lim="800000"/>
                        </a:ln>
                        <a:effectLst/>
                      </wps:spPr>
                      <wps:txbx>
                        <w:txbxContent>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r>
                              <w:rPr>
                                <w:rFonts w:hint="eastAsia" w:ascii="新宋体" w:hAnsi="新宋体" w:eastAsia="新宋体"/>
                                <w:sz w:val="22"/>
                                <w:szCs w:val="22"/>
                              </w:rPr>
                              <w:t>法定代表身份证复印件粘贴处（正反两面）：</w:t>
                            </w: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pPr>
                          </w:p>
                          <w:p/>
                          <w:p/>
                          <w:p/>
                          <w:p/>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9.5pt;margin-top:0.15pt;height:195pt;width:277.9pt;z-index:251660288;mso-width-relative:page;mso-height-relative:page;" fillcolor="#FFFFFF" filled="t" stroked="t" coordsize="21600,21600" o:gfxdata="UEsDBAoAAAAAAIdO4kAAAAAAAAAAAAAAAAAEAAAAZHJzL1BLAwQUAAAACACHTuJA4Yu4vtcAAAAI AQAADwAAAGRycy9kb3ducmV2LnhtbE2PQU/DMAyF70j8h8hIXBBLRsdYS9MdkEBwG2Ma16zx2orG KUnWjX+Pd4Kb7ff0/L1yeXK9GDHEzpOG6USBQKq97ajRsPl4vl2AiMmQNb0n1PCDEZbV5UVpCuuP 9I7jOjWCQygWRkOb0lBIGesWnYkTPyCxtvfBmcRraKQN5sjhrpd3Ss2lMx3xh9YM+NRi/bU+OA2L 2ev4Gd+y1bae7/s83TyML99B6+urqXoEkfCU/sxwxmd0qJhp5w9ko+g1ZHnOXRIPIFjO72fcZHe+ qwxkVcr/BapfUEsDBBQAAAAIAIdO4kCgbMUFSgIAAJYEAAAOAAAAZHJzL2Uyb0RvYy54bWytVEtu FDEQ3SNxB8t70vPNZzQ9UUgUhBQ+UuAAHrd72sJ2mbJnusMB4Aas2LDnXHMOyu5JaAUWWdALy+Uq P796VdXL884atlMYNLiSj49GnCknodJuU/KPH65fnHIWonCVMOBUye9U4Oer58+WrV+oCTRgKoWM QFxYtL7kTYx+URRBNsqKcAReOXLWgFZEMnFTVChaQremmIxGx0ULWHkEqUKg06veyQ+I+BRAqGst 1RXIrVUu9qiojIiUUmi0D3yV2da1kvFdXQcVmSk5ZRrzSo/Qfp3WYrUUiw0K32h5oCCeQuFRTlZo R48+QF2JKNgW9V9QVkuEAHU8kmCLPpGsCGUxHj3S5rYRXuVcSOrgH0QP/w9Wvt29R6Yr6gTOnLBU 8P33b/sfv/Y/v7Jxkqf1YUFRt57iYvcSuhSaUg3+BuSnwBxcNsJt1AUitI0SFdHLN4vB1R4nJJB1 +wYqekdsI2SgrkabAEkNRuhUmruH0qguMkmH0/nkbDollyTfZHZyPB/l4hVicX/dY4ivFFiWNiVH qn2GF7ubECkRCr0PyfTB6OpaG5MN3KwvDbKdoD65zl/Kna6EYZhxrC352Xwy7xUY+sIQYpS/f0FY HWl8jLYlPx0GGZd4qNyyB75JvqRYr13s1t2hHGuo7khIhL6daZhp0wB+4aylVi55+LwVqDgzrx0V 42w8m6Xez8ZsfjIhA4ee9dAjnCSokkfO+u1l7Odl61FvGnqpL7+DCypgrbO0iWrPikRLBrVrlu8w WmkehnaO+vM7Wf0GUEsDBAoAAAAAAIdO4kAAAAAAAAAAAAAAAAAGAAAAX3JlbHMvUEsDBBQAAAAI AIdO4kCKFGY80QAAAJQBAAALAAAAX3JlbHMvLnJlbHOlkMFqwzAMhu+DvYPRfXGawxijTi+j0Gvp HsDYimMaW0Yy2fr28w6DZfS2o36h7xP//vCZFrUiS6RsYNf1oDA78jEHA++X49MLKKk2e7tQRgM3 FDiMjw/7My62tiOZYxHVKFkMzLWWV63FzZisdFQwt81EnGxtIwddrLvagHro+2fNvxkwbpjq5A3w yQ+gLrfSzH/YKTomoal2jpKmaYruHlUHtmWO7sg24Ru5RrMcsBrwLBoHalnXfgR9X7/7p97TRz7j utV+h4zrj1dvuhy/AFBLAwQUAAAACACHTuJAfublIPcAAADhAQAAEwAAAFtDb250ZW50X1R5cGVz XS54bWyVkUFOwzAQRfdI3MHyFiVOu0AIJemCtEtAqBxgZE8Si2RseUxob4+TthtEkVjaM/+/J7vc HMZBTBjYOqrkKi+kQNLOWOoq+b7fZQ9ScAQyMDjCSh6R5aa+vSn3R48sUpq4kn2M/lEp1j2OwLnz SGnSujBCTMfQKQ/6AzpU66K4V9pRRIpZnDtkXTbYwucQxfaQrk8mAQeW4um0OLMqCd4PVkNMpmoi 84OSnQl5Si473FvPd0lDql8J8+Q64Jx7SU8TrEHxCiE+w5g0lAmsjPuigFP+d8lsOXLm2tZqzJvA TYq94XSxutaOa9c4/d/y7ZK6dKvlg+pvUEsBAhQAFAAAAAgAh07iQH7m5SD3AAAA4QEAABMAAAAA AAAAAQAgAAAAugQAAFtDb250ZW50X1R5cGVzXS54bWxQSwECFAAKAAAAAACHTuJAAAAAAAAAAAAA AAAABgAAAAAAAAAAABAAAACcAwAAX3JlbHMvUEsBAhQAFAAAAAgAh07iQIoUZjzRAAAAlAEAAAsA AAAAAAAAAQAgAAAAwAMAAF9yZWxzLy5yZWxzUEsBAhQACgAAAAAAh07iQAAAAAAAAAAAAAAAAAQA AAAAAAAAAAAQAAAAAAAAAGRycy9QSwECFAAUAAAACACHTuJA4Yu4vtcAAAAIAQAADwAAAAAAAAAB ACAAAAAiAAAAZHJzL2Rvd25yZXYueG1sUEsBAhQAFAAAAAgAh07iQKBsxQVKAgAAlgQAAA4AAAAA AAAAAQAgAAAAJgEAAGRycy9lMm9Eb2MueG1sUEsFBgAAAAAGAAYAWQEAAOIFAAAAAA== ">
                <v:fill on="t" focussize="0,0"/>
                <v:stroke color="#000000" miterlimit="8" joinstyle="miter"/>
                <v:imagedata o:title=""/>
                <o:lock v:ext="edit" aspectratio="f"/>
                <v:textbox>
                  <w:txbxContent>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r>
                        <w:rPr>
                          <w:rFonts w:hint="eastAsia" w:ascii="新宋体" w:hAnsi="新宋体" w:eastAsia="新宋体"/>
                          <w:sz w:val="22"/>
                          <w:szCs w:val="22"/>
                        </w:rPr>
                        <w:t>法定代表身份证复印件粘贴处（正反两面）：</w:t>
                      </w: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pPr>
                    </w:p>
                    <w:p/>
                    <w:p/>
                    <w:p/>
                    <w:p/>
                    <w:p/>
                    <w:p/>
                  </w:txbxContent>
                </v:textbox>
              </v:shape>
            </w:pict>
          </mc:Fallback>
        </mc:AlternateContent>
      </w:r>
      <w:r>
        <w:rPr>
          <w:rFonts w:hint="eastAsia" w:ascii="宋体" w:hAnsi="宋体"/>
        </w:rPr>
        <w:t>附：</w:t>
      </w:r>
    </w:p>
    <w:p>
      <w:pPr>
        <w:kinsoku/>
        <w:overflowPunct/>
        <w:topLinePunct w:val="0"/>
        <w:bidi w:val="0"/>
        <w:spacing w:line="300" w:lineRule="auto"/>
        <w:rPr>
          <w:rFonts w:ascii="Arial" w:hAnsi="Arial" w:cs="Arial"/>
          <w:szCs w:val="21"/>
        </w:rPr>
      </w:pPr>
    </w:p>
    <w:p>
      <w:pPr>
        <w:kinsoku/>
        <w:overflowPunct/>
        <w:topLinePunct w:val="0"/>
        <w:bidi w:val="0"/>
        <w:spacing w:line="300" w:lineRule="auto"/>
        <w:rPr>
          <w:rFonts w:ascii="Arial" w:hAnsi="Arial" w:cs="Arial"/>
          <w:szCs w:val="21"/>
        </w:rPr>
      </w:pPr>
    </w:p>
    <w:p>
      <w:pPr>
        <w:kinsoku/>
        <w:overflowPunct/>
        <w:topLinePunct w:val="0"/>
        <w:bidi w:val="0"/>
        <w:spacing w:line="300" w:lineRule="auto"/>
        <w:rPr>
          <w:rFonts w:ascii="Arial" w:hAnsi="Arial" w:cs="Arial"/>
          <w:szCs w:val="21"/>
        </w:rPr>
      </w:pPr>
    </w:p>
    <w:p>
      <w:pPr>
        <w:kinsoku/>
        <w:overflowPunct/>
        <w:topLinePunct w:val="0"/>
        <w:bidi w:val="0"/>
        <w:spacing w:line="300" w:lineRule="auto"/>
        <w:jc w:val="right"/>
        <w:rPr>
          <w:rFonts w:ascii="Arial" w:hAnsi="Arial" w:cs="Arial"/>
          <w:szCs w:val="21"/>
        </w:rPr>
      </w:pPr>
      <w:r>
        <w:rPr>
          <w:rFonts w:hint="eastAsia" w:ascii="Arial" w:hAnsi="Arial" w:cs="Arial"/>
          <w:szCs w:val="21"/>
        </w:rPr>
        <w:t>申请人：</w:t>
      </w:r>
      <w:r>
        <w:rPr>
          <w:rFonts w:ascii="Arial" w:hAnsi="Arial" w:cs="Arial"/>
          <w:szCs w:val="21"/>
          <w:u w:val="single"/>
        </w:rPr>
        <w:t xml:space="preserve">                     </w:t>
      </w:r>
      <w:r>
        <w:rPr>
          <w:rFonts w:hint="eastAsia" w:ascii="Arial" w:hAnsi="Arial" w:cs="Arial"/>
          <w:szCs w:val="21"/>
        </w:rPr>
        <w:t>（盖单位章）</w:t>
      </w:r>
    </w:p>
    <w:p>
      <w:pPr>
        <w:kinsoku/>
        <w:overflowPunct/>
        <w:topLinePunct w:val="0"/>
        <w:bidi w:val="0"/>
        <w:spacing w:line="300" w:lineRule="auto"/>
        <w:jc w:val="right"/>
        <w:rPr>
          <w:rFonts w:ascii="Arial" w:hAnsi="Arial" w:cs="Arial"/>
          <w:szCs w:val="21"/>
        </w:rPr>
      </w:pPr>
    </w:p>
    <w:p>
      <w:pPr>
        <w:kinsoku/>
        <w:wordWrap w:val="0"/>
        <w:overflowPunct/>
        <w:topLinePunct w:val="0"/>
        <w:bidi w:val="0"/>
        <w:spacing w:line="300" w:lineRule="auto"/>
        <w:jc w:val="right"/>
        <w:rPr>
          <w:rFonts w:ascii="Arial" w:hAnsi="Arial" w:cs="Arial"/>
        </w:rPr>
      </w:pPr>
      <w:r>
        <w:rPr>
          <w:rFonts w:ascii="Arial" w:hAnsi="Arial" w:cs="Arial"/>
          <w:szCs w:val="21"/>
          <w:u w:val="single"/>
        </w:rPr>
        <w:t xml:space="preserve">        </w:t>
      </w:r>
      <w:r>
        <w:rPr>
          <w:rFonts w:hint="eastAsia" w:ascii="Arial" w:hAnsi="Arial" w:cs="Arial"/>
          <w:szCs w:val="21"/>
        </w:rPr>
        <w:t>年</w:t>
      </w:r>
      <w:r>
        <w:rPr>
          <w:rFonts w:ascii="Arial" w:hAnsi="Arial" w:cs="Arial"/>
          <w:szCs w:val="21"/>
          <w:u w:val="single"/>
        </w:rPr>
        <w:t xml:space="preserve">        </w:t>
      </w:r>
      <w:r>
        <w:rPr>
          <w:rFonts w:hint="eastAsia" w:ascii="Arial" w:hAnsi="Arial" w:cs="Arial"/>
          <w:szCs w:val="21"/>
        </w:rPr>
        <w:t>月</w:t>
      </w:r>
      <w:r>
        <w:rPr>
          <w:rFonts w:ascii="Arial" w:hAnsi="Arial" w:cs="Arial"/>
          <w:szCs w:val="21"/>
          <w:u w:val="single"/>
        </w:rPr>
        <w:t xml:space="preserve">        </w:t>
      </w:r>
      <w:r>
        <w:rPr>
          <w:rFonts w:hint="eastAsia" w:ascii="Arial" w:hAnsi="Arial" w:cs="Arial"/>
          <w:szCs w:val="21"/>
        </w:rPr>
        <w:t>日</w:t>
      </w:r>
      <w:r>
        <w:rPr>
          <w:rFonts w:ascii="Arial" w:hAnsi="Arial" w:cs="Arial"/>
          <w:szCs w:val="21"/>
        </w:rPr>
        <w:t xml:space="preserve">           </w:t>
      </w:r>
    </w:p>
    <w:p>
      <w:pPr>
        <w:tabs>
          <w:tab w:val="left" w:pos="4532"/>
        </w:tabs>
        <w:kinsoku/>
        <w:overflowPunct/>
        <w:topLinePunct w:val="0"/>
        <w:bidi w:val="0"/>
        <w:spacing w:line="300" w:lineRule="auto"/>
        <w:rPr>
          <w:rFonts w:ascii="Arial" w:hAnsi="Arial" w:cs="Arial"/>
        </w:rPr>
      </w:pPr>
    </w:p>
    <w:p>
      <w:pPr>
        <w:kinsoku/>
        <w:overflowPunct/>
        <w:topLinePunct w:val="0"/>
        <w:bidi w:val="0"/>
        <w:spacing w:line="300" w:lineRule="auto"/>
      </w:pPr>
    </w:p>
    <w:p>
      <w:pPr>
        <w:kinsoku/>
        <w:overflowPunct/>
        <w:topLinePunct w:val="0"/>
        <w:bidi w:val="0"/>
        <w:spacing w:line="300" w:lineRule="auto"/>
      </w:pPr>
    </w:p>
    <w:p>
      <w:pPr>
        <w:kinsoku/>
        <w:overflowPunct/>
        <w:topLinePunct w:val="0"/>
        <w:bidi w:val="0"/>
        <w:spacing w:line="300" w:lineRule="auto"/>
      </w:pPr>
    </w:p>
    <w:p>
      <w:pPr>
        <w:kinsoku/>
        <w:overflowPunct/>
        <w:topLinePunct w:val="0"/>
        <w:bidi w:val="0"/>
        <w:spacing w:line="300" w:lineRule="auto"/>
      </w:pPr>
    </w:p>
    <w:p>
      <w:pPr>
        <w:kinsoku/>
        <w:overflowPunct/>
        <w:topLinePunct w:val="0"/>
        <w:bidi w:val="0"/>
        <w:spacing w:line="300" w:lineRule="auto"/>
      </w:pPr>
    </w:p>
    <w:p>
      <w:pPr>
        <w:tabs>
          <w:tab w:val="left" w:pos="720"/>
          <w:tab w:val="left" w:pos="900"/>
        </w:tabs>
        <w:kinsoku/>
        <w:overflowPunct/>
        <w:topLinePunct w:val="0"/>
        <w:bidi w:val="0"/>
        <w:spacing w:line="300" w:lineRule="auto"/>
        <w:ind w:firstLine="4624" w:firstLineChars="2202"/>
        <w:rPr>
          <w:rFonts w:ascii="宋体" w:hAnsi="宋体"/>
        </w:rPr>
      </w:pPr>
    </w:p>
    <w:p>
      <w:pPr>
        <w:tabs>
          <w:tab w:val="left" w:pos="720"/>
          <w:tab w:val="left" w:pos="900"/>
        </w:tabs>
        <w:kinsoku/>
        <w:overflowPunct/>
        <w:topLinePunct w:val="0"/>
        <w:bidi w:val="0"/>
        <w:spacing w:line="300" w:lineRule="auto"/>
        <w:ind w:firstLine="4624" w:firstLineChars="2202"/>
        <w:rPr>
          <w:rFonts w:ascii="宋体" w:hAnsi="宋体"/>
        </w:rPr>
      </w:pPr>
      <w:r>
        <w:rPr>
          <w:rFonts w:hint="eastAsia" w:ascii="宋体" w:hAnsi="宋体"/>
        </w:rPr>
        <w:t>磋商供应商：</w:t>
      </w:r>
      <w:r>
        <w:rPr>
          <w:rFonts w:ascii="宋体" w:hAnsi="宋体"/>
          <w:u w:val="single"/>
        </w:rPr>
        <w:t xml:space="preserve">             （盖公章）</w:t>
      </w:r>
    </w:p>
    <w:p>
      <w:pPr>
        <w:tabs>
          <w:tab w:val="left" w:pos="720"/>
          <w:tab w:val="left" w:pos="900"/>
        </w:tabs>
        <w:kinsoku/>
        <w:overflowPunct/>
        <w:topLinePunct w:val="0"/>
        <w:bidi w:val="0"/>
        <w:spacing w:line="300" w:lineRule="auto"/>
        <w:ind w:firstLine="4624" w:firstLineChars="2202"/>
        <w:rPr>
          <w:rFonts w:ascii="宋体" w:hAnsi="宋体"/>
        </w:rPr>
      </w:pPr>
      <w:r>
        <w:rPr>
          <w:rFonts w:hint="eastAsia" w:ascii="宋体" w:hAnsi="宋体"/>
        </w:rPr>
        <w:t>日</w:t>
      </w:r>
      <w:r>
        <w:rPr>
          <w:rFonts w:ascii="宋体" w:hAnsi="宋体"/>
        </w:rPr>
        <w:t xml:space="preserve">    期：</w:t>
      </w:r>
      <w:r>
        <w:rPr>
          <w:rFonts w:ascii="宋体" w:hAnsi="宋体"/>
          <w:u w:val="single"/>
        </w:rPr>
        <w:t xml:space="preserve">      </w:t>
      </w:r>
      <w:r>
        <w:rPr>
          <w:rFonts w:ascii="宋体" w:hAnsi="宋体"/>
        </w:rPr>
        <w:t>年</w:t>
      </w:r>
      <w:r>
        <w:rPr>
          <w:rFonts w:ascii="宋体" w:hAnsi="宋体"/>
          <w:u w:val="single"/>
        </w:rPr>
        <w:t xml:space="preserve">     </w:t>
      </w:r>
      <w:r>
        <w:rPr>
          <w:rFonts w:ascii="宋体" w:hAnsi="宋体"/>
        </w:rPr>
        <w:t>月</w:t>
      </w:r>
      <w:r>
        <w:rPr>
          <w:rFonts w:ascii="宋体" w:hAnsi="宋体"/>
          <w:u w:val="single"/>
        </w:rPr>
        <w:t xml:space="preserve">     </w:t>
      </w:r>
      <w:r>
        <w:rPr>
          <w:rFonts w:ascii="宋体" w:hAnsi="宋体"/>
        </w:rPr>
        <w:t>日</w:t>
      </w:r>
    </w:p>
    <w:p>
      <w:pPr>
        <w:kinsoku/>
        <w:overflowPunct/>
        <w:topLinePunct w:val="0"/>
        <w:bidi w:val="0"/>
        <w:spacing w:line="300" w:lineRule="auto"/>
      </w:pPr>
    </w:p>
    <w:p>
      <w:pPr>
        <w:pStyle w:val="5"/>
        <w:keepNext w:val="0"/>
        <w:keepLines w:val="0"/>
        <w:pageBreakBefore/>
        <w:widowControl w:val="0"/>
        <w:tabs>
          <w:tab w:val="left" w:pos="840"/>
        </w:tabs>
        <w:kinsoku/>
        <w:overflowPunct/>
        <w:topLinePunct w:val="0"/>
        <w:bidi w:val="0"/>
        <w:adjustRightInd w:val="0"/>
        <w:snapToGrid w:val="0"/>
        <w:spacing w:before="312" w:beforeLines="100" w:after="312" w:afterLines="100" w:line="300" w:lineRule="auto"/>
        <w:jc w:val="center"/>
        <w:rPr>
          <w:rFonts w:hAnsi="宋体"/>
          <w:sz w:val="28"/>
          <w:szCs w:val="36"/>
        </w:rPr>
      </w:pPr>
      <w:bookmarkStart w:id="1925" w:name="_Toc11588"/>
      <w:bookmarkStart w:id="1926" w:name="_Toc30428"/>
      <w:bookmarkStart w:id="1927" w:name="_Toc3903994"/>
      <w:r>
        <w:rPr>
          <w:rFonts w:hint="eastAsia" w:hAnsi="宋体"/>
          <w:sz w:val="28"/>
          <w:szCs w:val="36"/>
        </w:rPr>
        <w:t>附件二</w:t>
      </w:r>
      <w:r>
        <w:rPr>
          <w:rFonts w:hAnsi="宋体"/>
          <w:sz w:val="28"/>
          <w:szCs w:val="36"/>
        </w:rPr>
        <w:t xml:space="preserve">   </w:t>
      </w:r>
      <w:r>
        <w:rPr>
          <w:rFonts w:hint="eastAsia" w:hAnsi="宋体"/>
          <w:sz w:val="28"/>
          <w:szCs w:val="36"/>
        </w:rPr>
        <w:t>磋 商 函</w:t>
      </w:r>
      <w:bookmarkEnd w:id="1925"/>
      <w:bookmarkEnd w:id="1926"/>
      <w:bookmarkEnd w:id="1927"/>
    </w:p>
    <w:p>
      <w:pPr>
        <w:kinsoku/>
        <w:overflowPunct/>
        <w:topLinePunct w:val="0"/>
        <w:bidi w:val="0"/>
        <w:spacing w:line="300" w:lineRule="auto"/>
        <w:jc w:val="both"/>
        <w:rPr>
          <w:rFonts w:ascii="宋体" w:hAnsi="宋体"/>
          <w:b/>
          <w:bCs/>
          <w:u w:val="single"/>
        </w:rPr>
      </w:pPr>
      <w:r>
        <w:rPr>
          <w:rFonts w:hint="eastAsia" w:ascii="宋体" w:hAnsi="宋体"/>
          <w:b/>
          <w:bCs/>
          <w:u w:val="single"/>
        </w:rPr>
        <w:t>瑞安市公安局：</w:t>
      </w:r>
    </w:p>
    <w:p>
      <w:pPr>
        <w:kinsoku/>
        <w:overflowPunct/>
        <w:topLinePunct w:val="0"/>
        <w:bidi w:val="0"/>
        <w:spacing w:line="300" w:lineRule="auto"/>
        <w:rPr>
          <w:rFonts w:ascii="宋体" w:hAnsi="宋体"/>
          <w:u w:val="single"/>
        </w:rPr>
      </w:pPr>
    </w:p>
    <w:p>
      <w:pPr>
        <w:tabs>
          <w:tab w:val="left" w:pos="7560"/>
        </w:tabs>
        <w:kinsoku/>
        <w:overflowPunct/>
        <w:topLinePunct w:val="0"/>
        <w:bidi w:val="0"/>
        <w:spacing w:line="300" w:lineRule="auto"/>
        <w:ind w:left="420" w:leftChars="200"/>
        <w:rPr>
          <w:rFonts w:ascii="宋体" w:hAnsi="宋体"/>
        </w:rPr>
      </w:pPr>
      <w:r>
        <w:rPr>
          <w:rFonts w:hint="eastAsia" w:ascii="宋体" w:hAnsi="宋体"/>
        </w:rPr>
        <w:t>1、★根据你方采购项目名称</w:t>
      </w:r>
      <w:r>
        <w:rPr>
          <w:rFonts w:hint="eastAsia" w:ascii="宋体" w:hAnsi="宋体"/>
          <w:u w:val="single"/>
        </w:rPr>
        <w:t xml:space="preserve">                   </w:t>
      </w:r>
      <w:r>
        <w:rPr>
          <w:rFonts w:hint="eastAsia" w:ascii="宋体" w:hAnsi="宋体"/>
        </w:rPr>
        <w:t>项目编号</w:t>
      </w:r>
      <w:r>
        <w:rPr>
          <w:rFonts w:hint="eastAsia" w:ascii="宋体" w:hAnsi="宋体"/>
          <w:u w:val="single"/>
          <w:lang w:eastAsia="zh-CN"/>
        </w:rPr>
        <w:t>RACG201905028</w:t>
      </w:r>
      <w:r>
        <w:rPr>
          <w:rFonts w:hint="eastAsia" w:ascii="宋体" w:hAnsi="宋体"/>
          <w:u w:val="single"/>
        </w:rPr>
        <w:t xml:space="preserve">            </w:t>
      </w:r>
      <w:r>
        <w:rPr>
          <w:rFonts w:hint="eastAsia" w:ascii="宋体" w:hAnsi="宋体"/>
        </w:rPr>
        <w:t>工程采购文件，遵照《中华人民共和国政府采购法》等有关规定，经踏勘项目现场和研究上述采购文件、工程量清单及其他有关文件后，我方愿以人民币(大写)</w:t>
      </w:r>
      <w:r>
        <w:rPr>
          <w:rFonts w:hint="eastAsia" w:ascii="宋体" w:hAnsi="宋体"/>
          <w:u w:val="single"/>
        </w:rPr>
        <w:t xml:space="preserve">               </w:t>
      </w:r>
      <w:r>
        <w:rPr>
          <w:rFonts w:hint="eastAsia" w:ascii="宋体" w:hAnsi="宋体"/>
        </w:rPr>
        <w:t>元（RMB￥</w:t>
      </w:r>
      <w:r>
        <w:rPr>
          <w:rFonts w:hint="eastAsia" w:ascii="宋体" w:hAnsi="宋体"/>
          <w:u w:val="single"/>
        </w:rPr>
        <w:t xml:space="preserve">              </w:t>
      </w:r>
      <w:r>
        <w:rPr>
          <w:rFonts w:hint="eastAsia" w:ascii="宋体" w:hAnsi="宋体"/>
        </w:rPr>
        <w:t>元）的报价并按上述采购文件、工程量清单及相关的资料要求承包上述工程的施工、竣工，并承担任何质量缺陷保修责任。</w:t>
      </w:r>
    </w:p>
    <w:p>
      <w:pPr>
        <w:kinsoku/>
        <w:overflowPunct/>
        <w:topLinePunct w:val="0"/>
        <w:bidi w:val="0"/>
        <w:spacing w:line="300" w:lineRule="auto"/>
        <w:ind w:left="420"/>
        <w:rPr>
          <w:rFonts w:ascii="宋体" w:hAnsi="宋体"/>
        </w:rPr>
      </w:pPr>
      <w:r>
        <w:rPr>
          <w:rFonts w:hint="eastAsia" w:ascii="宋体" w:hAnsi="宋体"/>
        </w:rPr>
        <w:t>2、我方已详细研究了采购文件的所有内容包括修正文件（如果有）和所有已提供的参考资料以及有关附件并完全明白, 我方放弃在此方面提出含糊意见或误解的一切权力。</w:t>
      </w:r>
    </w:p>
    <w:p>
      <w:pPr>
        <w:kinsoku/>
        <w:overflowPunct/>
        <w:topLinePunct w:val="0"/>
        <w:bidi w:val="0"/>
        <w:spacing w:line="300" w:lineRule="auto"/>
        <w:ind w:left="420" w:leftChars="200"/>
        <w:rPr>
          <w:rFonts w:ascii="宋体" w:hAnsi="宋体"/>
        </w:rPr>
      </w:pPr>
      <w:r>
        <w:rPr>
          <w:rFonts w:hint="eastAsia" w:ascii="宋体" w:hAnsi="宋体"/>
        </w:rPr>
        <w:t>3、▲如果我方成交，我方保证按采购文件中规定委派建造师</w:t>
      </w:r>
      <w:r>
        <w:rPr>
          <w:rFonts w:hint="eastAsia" w:ascii="宋体" w:hAnsi="宋体"/>
          <w:u w:val="single"/>
        </w:rPr>
        <w:t xml:space="preserve">  （姓名 ） </w:t>
      </w:r>
      <w:r>
        <w:rPr>
          <w:rFonts w:hint="eastAsia" w:ascii="宋体" w:hAnsi="宋体"/>
        </w:rPr>
        <w:t>在</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日历天内完成并移交全部工程，工程质量</w:t>
      </w:r>
      <w:r>
        <w:rPr>
          <w:rFonts w:hint="eastAsia" w:ascii="宋体" w:hAnsi="宋体"/>
          <w:u w:val="single"/>
        </w:rPr>
        <w:t xml:space="preserve"> 合格 </w:t>
      </w:r>
      <w:r>
        <w:rPr>
          <w:rFonts w:hint="eastAsia" w:ascii="宋体" w:hAnsi="宋体"/>
        </w:rPr>
        <w:t>。</w:t>
      </w:r>
    </w:p>
    <w:p>
      <w:pPr>
        <w:kinsoku/>
        <w:overflowPunct/>
        <w:topLinePunct w:val="0"/>
        <w:bidi w:val="0"/>
        <w:spacing w:line="300" w:lineRule="auto"/>
        <w:ind w:firstLine="420" w:firstLineChars="200"/>
        <w:rPr>
          <w:rFonts w:ascii="Arial" w:hAnsi="Arial" w:cs="Arial"/>
          <w:b/>
        </w:rPr>
      </w:pPr>
      <w:r>
        <w:rPr>
          <w:rFonts w:hint="eastAsia" w:ascii="宋体" w:hAnsi="宋体"/>
        </w:rPr>
        <w:t>4、如果我方成交，我方将按照规定提交上述总价</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rPr>
        <w:t>% 的报价保证金作为履约担保。</w:t>
      </w:r>
    </w:p>
    <w:p>
      <w:pPr>
        <w:kinsoku/>
        <w:overflowPunct/>
        <w:topLinePunct w:val="0"/>
        <w:bidi w:val="0"/>
        <w:spacing w:line="300" w:lineRule="auto"/>
        <w:ind w:left="420"/>
        <w:rPr>
          <w:rFonts w:ascii="宋体" w:hAnsi="宋体"/>
        </w:rPr>
      </w:pPr>
      <w:r>
        <w:rPr>
          <w:rFonts w:hint="eastAsia" w:ascii="宋体" w:hAnsi="宋体"/>
        </w:rPr>
        <w:t>5、我方同意所提交的报价文件在报价须知中所规定的有效期内有效，在此期间内如果中标，我方将受此约束。</w:t>
      </w:r>
    </w:p>
    <w:p>
      <w:pPr>
        <w:kinsoku/>
        <w:overflowPunct/>
        <w:topLinePunct w:val="0"/>
        <w:bidi w:val="0"/>
        <w:spacing w:line="300" w:lineRule="auto"/>
        <w:ind w:firstLine="420" w:firstLineChars="200"/>
        <w:rPr>
          <w:rFonts w:ascii="宋体" w:hAnsi="宋体"/>
        </w:rPr>
      </w:pPr>
      <w:r>
        <w:rPr>
          <w:rFonts w:hint="eastAsia" w:ascii="宋体" w:hAnsi="宋体"/>
        </w:rPr>
        <w:t>6、除非另外达成协议并生效，中标通知书和本报价文件将成为约束双方的合同文件的组成部分。</w:t>
      </w:r>
    </w:p>
    <w:p>
      <w:pPr>
        <w:kinsoku/>
        <w:overflowPunct/>
        <w:topLinePunct w:val="0"/>
        <w:bidi w:val="0"/>
        <w:spacing w:line="300" w:lineRule="auto"/>
        <w:ind w:firstLine="488"/>
        <w:rPr>
          <w:rFonts w:ascii="宋体" w:hAnsi="宋体"/>
        </w:rPr>
      </w:pPr>
      <w:r>
        <w:rPr>
          <w:rFonts w:hint="eastAsia" w:ascii="宋体" w:hAnsi="宋体"/>
        </w:rPr>
        <w:t xml:space="preserve">                 </w:t>
      </w:r>
    </w:p>
    <w:p>
      <w:pPr>
        <w:kinsoku/>
        <w:overflowPunct/>
        <w:topLinePunct w:val="0"/>
        <w:bidi w:val="0"/>
        <w:spacing w:line="300" w:lineRule="auto"/>
        <w:ind w:firstLine="490"/>
        <w:rPr>
          <w:rFonts w:ascii="宋体" w:hAnsi="宋体"/>
        </w:rPr>
      </w:pPr>
    </w:p>
    <w:p>
      <w:pPr>
        <w:kinsoku/>
        <w:overflowPunct/>
        <w:topLinePunct w:val="0"/>
        <w:bidi w:val="0"/>
        <w:spacing w:line="300" w:lineRule="auto"/>
        <w:ind w:left="840" w:firstLine="420"/>
        <w:rPr>
          <w:rFonts w:ascii="宋体" w:hAnsi="宋体"/>
          <w:u w:val="single"/>
        </w:rPr>
      </w:pPr>
      <w:r>
        <w:rPr>
          <w:rFonts w:hint="eastAsia" w:ascii="宋体" w:hAnsi="宋体"/>
        </w:rPr>
        <w:t>蹉 商 供 应 商：</w:t>
      </w:r>
      <w:r>
        <w:rPr>
          <w:rFonts w:hint="eastAsia" w:ascii="宋体" w:hAnsi="宋体"/>
          <w:u w:val="single"/>
        </w:rPr>
        <w:t xml:space="preserve">                                   （盖单位公章）</w:t>
      </w:r>
    </w:p>
    <w:p>
      <w:pPr>
        <w:kinsoku/>
        <w:overflowPunct/>
        <w:topLinePunct w:val="0"/>
        <w:bidi w:val="0"/>
        <w:spacing w:line="300" w:lineRule="auto"/>
        <w:ind w:left="840" w:firstLine="420"/>
        <w:rPr>
          <w:rFonts w:ascii="宋体" w:hAnsi="宋体"/>
          <w:u w:val="single"/>
        </w:rPr>
      </w:pPr>
      <w:r>
        <w:rPr>
          <w:rFonts w:hint="eastAsia" w:ascii="宋体" w:hAnsi="宋体"/>
        </w:rPr>
        <w:t>法定代表人或授权代表：</w:t>
      </w:r>
      <w:r>
        <w:rPr>
          <w:rFonts w:hint="eastAsia" w:ascii="宋体" w:hAnsi="宋体"/>
          <w:u w:val="single"/>
        </w:rPr>
        <w:t xml:space="preserve">                   </w:t>
      </w:r>
      <w:r>
        <w:rPr>
          <w:rFonts w:hint="eastAsia" w:ascii="宋体" w:hAnsi="宋体"/>
        </w:rPr>
        <w:t>（签字或盖章）</w:t>
      </w:r>
    </w:p>
    <w:p>
      <w:pPr>
        <w:kinsoku/>
        <w:overflowPunct/>
        <w:topLinePunct w:val="0"/>
        <w:bidi w:val="0"/>
        <w:spacing w:line="300" w:lineRule="auto"/>
        <w:ind w:left="839" w:firstLine="420" w:firstLineChars="200"/>
        <w:rPr>
          <w:rFonts w:ascii="宋体" w:hAnsi="宋体"/>
          <w:u w:val="single"/>
        </w:rPr>
      </w:pPr>
      <w:r>
        <w:rPr>
          <w:rFonts w:hint="eastAsia" w:ascii="宋体" w:hAnsi="宋体"/>
        </w:rPr>
        <w:t>单位地址：</w:t>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 xml:space="preserve">      </w:t>
      </w:r>
      <w:r>
        <w:rPr>
          <w:rFonts w:hint="eastAsia" w:ascii="宋体" w:hAnsi="宋体"/>
          <w:u w:val="single"/>
        </w:rPr>
        <w:tab/>
      </w:r>
    </w:p>
    <w:p>
      <w:pPr>
        <w:kinsoku/>
        <w:overflowPunct/>
        <w:topLinePunct w:val="0"/>
        <w:bidi w:val="0"/>
        <w:spacing w:line="300" w:lineRule="auto"/>
        <w:ind w:left="839" w:firstLine="420" w:firstLineChars="200"/>
        <w:rPr>
          <w:rFonts w:ascii="宋体" w:hAnsi="宋体"/>
          <w:u w:val="single"/>
        </w:rPr>
      </w:pPr>
      <w:r>
        <w:rPr>
          <w:rFonts w:hint="eastAsia" w:ascii="宋体" w:hAnsi="宋体"/>
        </w:rPr>
        <w:t>邮政编码：</w:t>
      </w:r>
      <w:r>
        <w:rPr>
          <w:rFonts w:hint="eastAsia" w:ascii="宋体" w:hAnsi="宋体"/>
          <w:u w:val="single"/>
        </w:rPr>
        <w:tab/>
      </w:r>
      <w:r>
        <w:rPr>
          <w:rFonts w:hint="eastAsia" w:ascii="宋体" w:hAnsi="宋体"/>
          <w:u w:val="single"/>
        </w:rPr>
        <w:t xml:space="preserve">     </w:t>
      </w:r>
      <w:r>
        <w:rPr>
          <w:rFonts w:hint="eastAsia" w:ascii="宋体" w:hAnsi="宋体"/>
          <w:u w:val="single"/>
        </w:rPr>
        <w:tab/>
      </w:r>
      <w:r>
        <w:rPr>
          <w:rFonts w:hint="eastAsia" w:ascii="宋体" w:hAnsi="宋体"/>
          <w:u w:val="single"/>
        </w:rPr>
        <w:t xml:space="preserve">             </w:t>
      </w:r>
    </w:p>
    <w:p>
      <w:pPr>
        <w:kinsoku/>
        <w:overflowPunct/>
        <w:topLinePunct w:val="0"/>
        <w:bidi w:val="0"/>
        <w:spacing w:line="300" w:lineRule="auto"/>
        <w:ind w:left="840" w:firstLine="420"/>
        <w:rPr>
          <w:rFonts w:ascii="宋体" w:hAnsi="宋体"/>
        </w:rPr>
      </w:pPr>
      <w:r>
        <w:rPr>
          <w:rFonts w:hint="eastAsia" w:ascii="宋体" w:hAnsi="宋体"/>
        </w:rPr>
        <w:t>电    话：</w:t>
      </w:r>
      <w:r>
        <w:rPr>
          <w:rFonts w:hint="eastAsia" w:ascii="宋体" w:hAnsi="宋体"/>
          <w:u w:val="single"/>
        </w:rPr>
        <w:tab/>
      </w:r>
      <w:r>
        <w:rPr>
          <w:rFonts w:hint="eastAsia" w:ascii="宋体" w:hAnsi="宋体"/>
          <w:u w:val="single"/>
        </w:rPr>
        <w:t xml:space="preserve">    </w:t>
      </w:r>
      <w:r>
        <w:rPr>
          <w:rFonts w:hint="eastAsia" w:ascii="宋体" w:hAnsi="宋体"/>
          <w:u w:val="single"/>
        </w:rPr>
        <w:tab/>
      </w:r>
      <w:r>
        <w:rPr>
          <w:rFonts w:hint="eastAsia" w:ascii="宋体" w:hAnsi="宋体"/>
          <w:u w:val="single"/>
        </w:rPr>
        <w:t xml:space="preserve">             </w:t>
      </w:r>
    </w:p>
    <w:p>
      <w:pPr>
        <w:kinsoku/>
        <w:overflowPunct/>
        <w:topLinePunct w:val="0"/>
        <w:bidi w:val="0"/>
        <w:spacing w:line="300" w:lineRule="auto"/>
        <w:ind w:left="840" w:firstLine="420"/>
        <w:rPr>
          <w:rFonts w:ascii="宋体" w:hAnsi="宋体"/>
        </w:rPr>
      </w:pPr>
      <w:r>
        <w:rPr>
          <w:rFonts w:hint="eastAsia" w:ascii="宋体" w:hAnsi="宋体"/>
        </w:rPr>
        <w:t>传    真：</w:t>
      </w:r>
      <w:r>
        <w:rPr>
          <w:rFonts w:hint="eastAsia" w:ascii="宋体" w:hAnsi="宋体"/>
          <w:u w:val="single"/>
        </w:rPr>
        <w:tab/>
      </w:r>
      <w:r>
        <w:rPr>
          <w:rFonts w:hint="eastAsia" w:ascii="宋体" w:hAnsi="宋体"/>
          <w:u w:val="single"/>
        </w:rPr>
        <w:t xml:space="preserve">    </w:t>
      </w:r>
      <w:r>
        <w:rPr>
          <w:rFonts w:hint="eastAsia" w:ascii="宋体" w:hAnsi="宋体"/>
          <w:u w:val="single"/>
        </w:rPr>
        <w:tab/>
      </w:r>
      <w:r>
        <w:rPr>
          <w:rFonts w:hint="eastAsia" w:ascii="宋体" w:hAnsi="宋体"/>
          <w:u w:val="single"/>
        </w:rPr>
        <w:t xml:space="preserve">             </w:t>
      </w:r>
    </w:p>
    <w:p>
      <w:pPr>
        <w:kinsoku/>
        <w:overflowPunct/>
        <w:topLinePunct w:val="0"/>
        <w:bidi w:val="0"/>
        <w:spacing w:line="300" w:lineRule="auto"/>
        <w:ind w:left="840" w:firstLine="420"/>
        <w:rPr>
          <w:sz w:val="24"/>
          <w:szCs w:val="24"/>
        </w:rPr>
      </w:pPr>
      <w:r>
        <w:rPr>
          <w:rFonts w:hint="eastAsia" w:ascii="宋体" w:hAnsi="宋体"/>
        </w:rPr>
        <w:t>日    期：</w:t>
      </w:r>
      <w:r>
        <w:rPr>
          <w:rFonts w:hint="eastAsia" w:ascii="宋体" w:hAnsi="宋体"/>
          <w:u w:val="single"/>
        </w:rPr>
        <w:tab/>
      </w:r>
      <w:r>
        <w:rPr>
          <w:rFonts w:hint="eastAsia" w:ascii="宋体" w:hAnsi="宋体"/>
          <w:u w:val="single"/>
        </w:rPr>
        <w:t xml:space="preserve">    </w:t>
      </w:r>
      <w:r>
        <w:rPr>
          <w:rFonts w:hint="eastAsia" w:ascii="宋体" w:hAnsi="宋体"/>
          <w:u w:val="single"/>
        </w:rPr>
        <w:tab/>
      </w:r>
      <w:r>
        <w:rPr>
          <w:rFonts w:hint="eastAsia" w:ascii="宋体" w:hAnsi="宋体"/>
          <w:u w:val="single"/>
        </w:rPr>
        <w:t xml:space="preserve">             </w:t>
      </w:r>
      <w:bookmarkStart w:id="1928" w:name="_Toc304361094"/>
      <w:bookmarkStart w:id="1929" w:name="_Toc304360694"/>
      <w:bookmarkStart w:id="1930" w:name="_Toc206554446"/>
      <w:bookmarkStart w:id="1931" w:name="_Toc361996159"/>
    </w:p>
    <w:bookmarkEnd w:id="1928"/>
    <w:bookmarkEnd w:id="1929"/>
    <w:bookmarkEnd w:id="1930"/>
    <w:bookmarkEnd w:id="1931"/>
    <w:p>
      <w:pPr>
        <w:pStyle w:val="5"/>
        <w:keepNext w:val="0"/>
        <w:keepLines w:val="0"/>
        <w:pageBreakBefore/>
        <w:widowControl w:val="0"/>
        <w:tabs>
          <w:tab w:val="left" w:pos="840"/>
        </w:tabs>
        <w:kinsoku/>
        <w:overflowPunct/>
        <w:topLinePunct w:val="0"/>
        <w:bidi w:val="0"/>
        <w:adjustRightInd w:val="0"/>
        <w:snapToGrid w:val="0"/>
        <w:spacing w:before="312" w:beforeLines="100" w:after="312" w:afterLines="100" w:line="300" w:lineRule="auto"/>
        <w:jc w:val="center"/>
        <w:rPr>
          <w:rFonts w:hint="eastAsia" w:hAnsi="宋体"/>
          <w:sz w:val="28"/>
          <w:szCs w:val="36"/>
        </w:rPr>
      </w:pPr>
      <w:bookmarkStart w:id="1932" w:name="_Toc17765"/>
      <w:bookmarkStart w:id="1933" w:name="_Toc16850"/>
      <w:bookmarkStart w:id="1934" w:name="_Toc1777"/>
      <w:bookmarkStart w:id="1935" w:name="_Toc3903995"/>
      <w:r>
        <w:rPr>
          <w:rFonts w:hint="eastAsia" w:hAnsi="宋体"/>
          <w:sz w:val="28"/>
          <w:szCs w:val="36"/>
        </w:rPr>
        <w:t>附件三  第（大写数字）轮报价一览表</w:t>
      </w:r>
      <w:bookmarkEnd w:id="1932"/>
      <w:bookmarkEnd w:id="1933"/>
      <w:bookmarkEnd w:id="1934"/>
      <w:bookmarkEnd w:id="1935"/>
    </w:p>
    <w:p>
      <w:pPr>
        <w:pStyle w:val="8"/>
        <w:kinsoku/>
        <w:overflowPunct/>
        <w:topLinePunct w:val="0"/>
        <w:bidi w:val="0"/>
        <w:spacing w:line="300" w:lineRule="auto"/>
        <w:ind w:firstLine="0"/>
        <w:rPr>
          <w:rFonts w:hint="eastAsia"/>
        </w:rPr>
      </w:pPr>
      <w:r>
        <w:rPr>
          <w:rFonts w:hint="eastAsia"/>
        </w:rPr>
        <w:t>项目编号：</w:t>
      </w:r>
      <w:r>
        <w:rPr>
          <w:rFonts w:hint="eastAsia"/>
          <w:lang w:eastAsia="zh-CN"/>
        </w:rPr>
        <w:t xml:space="preserve">RACG201905028 </w:t>
      </w:r>
      <w:r>
        <w:rPr>
          <w:rFonts w:hint="eastAsia"/>
        </w:rPr>
        <w:t xml:space="preserve">                                         （</w:t>
      </w:r>
      <w:r>
        <w:t>价格单位：人民币元）</w:t>
      </w:r>
    </w:p>
    <w:tbl>
      <w:tblPr>
        <w:tblStyle w:val="5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04"/>
        <w:gridCol w:w="2568"/>
        <w:gridCol w:w="1484"/>
        <w:gridCol w:w="1320"/>
        <w:gridCol w:w="1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jc w:val="center"/>
        </w:trPr>
        <w:tc>
          <w:tcPr>
            <w:tcW w:w="2304" w:type="dxa"/>
            <w:tcBorders>
              <w:top w:val="single" w:color="auto" w:sz="8" w:space="0"/>
              <w:left w:val="single" w:color="auto" w:sz="8" w:space="0"/>
              <w:bottom w:val="single" w:color="auto" w:sz="8" w:space="0"/>
              <w:right w:val="single" w:color="auto" w:sz="8" w:space="0"/>
            </w:tcBorders>
            <w:noWrap w:val="0"/>
            <w:vAlign w:val="center"/>
          </w:tcPr>
          <w:p>
            <w:pPr>
              <w:kinsoku/>
              <w:overflowPunct/>
              <w:topLinePunct w:val="0"/>
              <w:bidi w:val="0"/>
              <w:spacing w:line="300" w:lineRule="auto"/>
              <w:ind w:right="-21" w:rightChars="-10"/>
              <w:jc w:val="center"/>
            </w:pPr>
            <w:r>
              <w:rPr>
                <w:rFonts w:hint="eastAsia"/>
              </w:rPr>
              <w:t>项目名称</w:t>
            </w:r>
          </w:p>
        </w:tc>
        <w:tc>
          <w:tcPr>
            <w:tcW w:w="2568" w:type="dxa"/>
            <w:tcBorders>
              <w:top w:val="single" w:color="auto" w:sz="8" w:space="0"/>
              <w:left w:val="single" w:color="auto" w:sz="8" w:space="0"/>
              <w:bottom w:val="single" w:color="auto" w:sz="8" w:space="0"/>
              <w:right w:val="single" w:color="auto" w:sz="8" w:space="0"/>
            </w:tcBorders>
            <w:noWrap w:val="0"/>
            <w:vAlign w:val="center"/>
          </w:tcPr>
          <w:p>
            <w:pPr>
              <w:kinsoku/>
              <w:overflowPunct/>
              <w:topLinePunct w:val="0"/>
              <w:bidi w:val="0"/>
              <w:spacing w:line="300" w:lineRule="auto"/>
              <w:ind w:right="-21" w:rightChars="-10"/>
              <w:jc w:val="center"/>
            </w:pPr>
            <w:r>
              <w:rPr>
                <w:rFonts w:hint="eastAsia"/>
              </w:rPr>
              <w:t>报价总价</w:t>
            </w:r>
          </w:p>
          <w:p>
            <w:pPr>
              <w:kinsoku/>
              <w:overflowPunct/>
              <w:topLinePunct w:val="0"/>
              <w:bidi w:val="0"/>
              <w:spacing w:line="300" w:lineRule="auto"/>
              <w:ind w:right="-21" w:rightChars="-10"/>
              <w:jc w:val="center"/>
            </w:pPr>
            <w:r>
              <w:rPr>
                <w:rFonts w:hint="eastAsia"/>
              </w:rPr>
              <w:t>（</w:t>
            </w:r>
            <w:r>
              <w:t>人民币元）</w:t>
            </w:r>
          </w:p>
        </w:tc>
        <w:tc>
          <w:tcPr>
            <w:tcW w:w="1484" w:type="dxa"/>
            <w:tcBorders>
              <w:top w:val="single" w:color="auto" w:sz="8" w:space="0"/>
              <w:left w:val="single" w:color="auto" w:sz="8" w:space="0"/>
              <w:bottom w:val="single" w:color="auto" w:sz="8" w:space="0"/>
              <w:right w:val="single" w:color="auto" w:sz="8" w:space="0"/>
            </w:tcBorders>
            <w:noWrap w:val="0"/>
            <w:vAlign w:val="center"/>
          </w:tcPr>
          <w:p>
            <w:pPr>
              <w:kinsoku/>
              <w:overflowPunct/>
              <w:topLinePunct w:val="0"/>
              <w:bidi w:val="0"/>
              <w:spacing w:line="300" w:lineRule="auto"/>
              <w:jc w:val="center"/>
              <w:rPr>
                <w:rFonts w:ascii="新宋体" w:hAnsi="新宋体" w:eastAsia="新宋体"/>
              </w:rPr>
            </w:pPr>
            <w:r>
              <w:rPr>
                <w:rFonts w:hint="eastAsia" w:ascii="新宋体" w:hAnsi="新宋体" w:eastAsia="新宋体"/>
              </w:rPr>
              <w:t>项目建造师</w:t>
            </w:r>
          </w:p>
        </w:tc>
        <w:tc>
          <w:tcPr>
            <w:tcW w:w="1320" w:type="dxa"/>
            <w:tcBorders>
              <w:top w:val="single" w:color="auto" w:sz="8" w:space="0"/>
              <w:left w:val="single" w:color="auto" w:sz="8" w:space="0"/>
              <w:bottom w:val="single" w:color="auto" w:sz="8" w:space="0"/>
              <w:right w:val="single" w:color="auto" w:sz="8" w:space="0"/>
            </w:tcBorders>
            <w:noWrap w:val="0"/>
            <w:vAlign w:val="center"/>
          </w:tcPr>
          <w:p>
            <w:pPr>
              <w:kinsoku/>
              <w:overflowPunct/>
              <w:topLinePunct w:val="0"/>
              <w:bidi w:val="0"/>
              <w:spacing w:line="300" w:lineRule="auto"/>
              <w:jc w:val="center"/>
              <w:rPr>
                <w:rFonts w:ascii="新宋体" w:hAnsi="新宋体" w:eastAsia="新宋体"/>
              </w:rPr>
            </w:pPr>
            <w:r>
              <w:rPr>
                <w:rFonts w:hint="eastAsia" w:ascii="新宋体" w:hAnsi="新宋体" w:eastAsia="新宋体"/>
              </w:rPr>
              <w:t>工期</w:t>
            </w:r>
          </w:p>
        </w:tc>
        <w:tc>
          <w:tcPr>
            <w:tcW w:w="1320" w:type="dxa"/>
            <w:tcBorders>
              <w:top w:val="single" w:color="auto" w:sz="8" w:space="0"/>
              <w:left w:val="single" w:color="auto" w:sz="8" w:space="0"/>
              <w:bottom w:val="single" w:color="auto" w:sz="8" w:space="0"/>
              <w:right w:val="single" w:color="auto" w:sz="8" w:space="0"/>
            </w:tcBorders>
            <w:noWrap w:val="0"/>
            <w:vAlign w:val="center"/>
          </w:tcPr>
          <w:p>
            <w:pPr>
              <w:kinsoku/>
              <w:overflowPunct/>
              <w:topLinePunct w:val="0"/>
              <w:bidi w:val="0"/>
              <w:spacing w:line="300" w:lineRule="auto"/>
              <w:jc w:val="center"/>
              <w:rPr>
                <w:rFonts w:ascii="新宋体" w:hAnsi="新宋体" w:eastAsia="新宋体"/>
              </w:rPr>
            </w:pPr>
            <w:r>
              <w:rPr>
                <w:rFonts w:hint="eastAsia" w:ascii="新宋体" w:hAnsi="新宋体" w:eastAsia="新宋体"/>
              </w:rPr>
              <w:t>质量要求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56" w:hRule="atLeast"/>
          <w:jc w:val="center"/>
        </w:trPr>
        <w:tc>
          <w:tcPr>
            <w:tcW w:w="2304" w:type="dxa"/>
            <w:vMerge w:val="restart"/>
            <w:tcBorders>
              <w:top w:val="single" w:color="auto" w:sz="8" w:space="0"/>
              <w:left w:val="single" w:color="auto" w:sz="8" w:space="0"/>
              <w:right w:val="single" w:color="auto" w:sz="8" w:space="0"/>
            </w:tcBorders>
            <w:noWrap w:val="0"/>
            <w:vAlign w:val="center"/>
          </w:tcPr>
          <w:p>
            <w:pPr>
              <w:kinsoku/>
              <w:overflowPunct/>
              <w:topLinePunct w:val="0"/>
              <w:bidi w:val="0"/>
              <w:spacing w:line="300" w:lineRule="auto"/>
              <w:ind w:right="-21" w:rightChars="-10"/>
              <w:jc w:val="center"/>
            </w:pPr>
          </w:p>
        </w:tc>
        <w:tc>
          <w:tcPr>
            <w:tcW w:w="2568" w:type="dxa"/>
            <w:tcBorders>
              <w:top w:val="single" w:color="auto" w:sz="8" w:space="0"/>
              <w:left w:val="single" w:color="auto" w:sz="8" w:space="0"/>
              <w:bottom w:val="single" w:color="auto" w:sz="8" w:space="0"/>
              <w:right w:val="single" w:color="auto" w:sz="8" w:space="0"/>
            </w:tcBorders>
            <w:noWrap w:val="0"/>
            <w:vAlign w:val="center"/>
          </w:tcPr>
          <w:p>
            <w:pPr>
              <w:kinsoku/>
              <w:overflowPunct/>
              <w:topLinePunct w:val="0"/>
              <w:bidi w:val="0"/>
              <w:spacing w:line="300" w:lineRule="auto"/>
              <w:ind w:right="-21" w:rightChars="-10"/>
              <w:jc w:val="both"/>
            </w:pPr>
            <w:r>
              <w:rPr>
                <w:rFonts w:hint="eastAsia"/>
              </w:rPr>
              <w:t>小写</w:t>
            </w:r>
          </w:p>
        </w:tc>
        <w:tc>
          <w:tcPr>
            <w:tcW w:w="1484" w:type="dxa"/>
            <w:vMerge w:val="restart"/>
            <w:tcBorders>
              <w:top w:val="single" w:color="auto" w:sz="8" w:space="0"/>
              <w:left w:val="single" w:color="auto" w:sz="8" w:space="0"/>
              <w:right w:val="single" w:color="auto" w:sz="8" w:space="0"/>
            </w:tcBorders>
            <w:noWrap w:val="0"/>
            <w:vAlign w:val="center"/>
          </w:tcPr>
          <w:p>
            <w:pPr>
              <w:kinsoku/>
              <w:overflowPunct/>
              <w:topLinePunct w:val="0"/>
              <w:bidi w:val="0"/>
              <w:spacing w:line="300" w:lineRule="auto"/>
              <w:ind w:right="-21" w:rightChars="-10"/>
              <w:jc w:val="center"/>
              <w:rPr>
                <w:rFonts w:hint="eastAsia"/>
              </w:rPr>
            </w:pPr>
          </w:p>
        </w:tc>
        <w:tc>
          <w:tcPr>
            <w:tcW w:w="1320" w:type="dxa"/>
            <w:vMerge w:val="restart"/>
            <w:tcBorders>
              <w:top w:val="single" w:color="auto" w:sz="8" w:space="0"/>
              <w:left w:val="single" w:color="auto" w:sz="8" w:space="0"/>
              <w:right w:val="single" w:color="auto" w:sz="8" w:space="0"/>
            </w:tcBorders>
            <w:noWrap w:val="0"/>
            <w:vAlign w:val="center"/>
          </w:tcPr>
          <w:p>
            <w:pPr>
              <w:kinsoku/>
              <w:overflowPunct/>
              <w:topLinePunct w:val="0"/>
              <w:bidi w:val="0"/>
              <w:spacing w:line="300" w:lineRule="auto"/>
              <w:ind w:right="-21" w:rightChars="-10"/>
              <w:jc w:val="center"/>
            </w:pPr>
          </w:p>
        </w:tc>
        <w:tc>
          <w:tcPr>
            <w:tcW w:w="1320" w:type="dxa"/>
            <w:vMerge w:val="restart"/>
            <w:tcBorders>
              <w:top w:val="single" w:color="auto" w:sz="8" w:space="0"/>
              <w:left w:val="single" w:color="auto" w:sz="8" w:space="0"/>
              <w:right w:val="single" w:color="auto" w:sz="8" w:space="0"/>
            </w:tcBorders>
            <w:noWrap w:val="0"/>
            <w:vAlign w:val="center"/>
          </w:tcPr>
          <w:p>
            <w:pPr>
              <w:kinsoku/>
              <w:overflowPunct/>
              <w:topLinePunct w:val="0"/>
              <w:bidi w:val="0"/>
              <w:spacing w:line="300" w:lineRule="auto"/>
              <w:ind w:right="-21" w:rightChars="-10"/>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823" w:hRule="atLeast"/>
          <w:jc w:val="center"/>
        </w:trPr>
        <w:tc>
          <w:tcPr>
            <w:tcW w:w="2304" w:type="dxa"/>
            <w:vMerge w:val="continue"/>
            <w:tcBorders>
              <w:left w:val="single" w:color="auto" w:sz="8" w:space="0"/>
              <w:bottom w:val="single" w:color="auto" w:sz="8" w:space="0"/>
              <w:right w:val="single" w:color="auto" w:sz="8" w:space="0"/>
            </w:tcBorders>
            <w:noWrap w:val="0"/>
            <w:vAlign w:val="center"/>
          </w:tcPr>
          <w:p>
            <w:pPr>
              <w:kinsoku/>
              <w:overflowPunct/>
              <w:topLinePunct w:val="0"/>
              <w:bidi w:val="0"/>
              <w:spacing w:line="300" w:lineRule="auto"/>
              <w:ind w:right="-21" w:rightChars="-10"/>
              <w:jc w:val="center"/>
            </w:pPr>
          </w:p>
        </w:tc>
        <w:tc>
          <w:tcPr>
            <w:tcW w:w="2568" w:type="dxa"/>
            <w:tcBorders>
              <w:top w:val="single" w:color="auto" w:sz="8" w:space="0"/>
              <w:left w:val="single" w:color="auto" w:sz="8" w:space="0"/>
              <w:bottom w:val="single" w:color="auto" w:sz="8" w:space="0"/>
              <w:right w:val="single" w:color="auto" w:sz="8" w:space="0"/>
            </w:tcBorders>
            <w:noWrap w:val="0"/>
            <w:vAlign w:val="center"/>
          </w:tcPr>
          <w:p>
            <w:pPr>
              <w:kinsoku/>
              <w:overflowPunct/>
              <w:topLinePunct w:val="0"/>
              <w:bidi w:val="0"/>
              <w:spacing w:line="300" w:lineRule="auto"/>
              <w:ind w:right="-21" w:rightChars="-10"/>
              <w:jc w:val="both"/>
            </w:pPr>
            <w:r>
              <w:rPr>
                <w:rFonts w:hint="eastAsia"/>
              </w:rPr>
              <w:t>大写</w:t>
            </w:r>
          </w:p>
        </w:tc>
        <w:tc>
          <w:tcPr>
            <w:tcW w:w="1484" w:type="dxa"/>
            <w:vMerge w:val="continue"/>
            <w:tcBorders>
              <w:left w:val="single" w:color="auto" w:sz="8" w:space="0"/>
              <w:bottom w:val="single" w:color="auto" w:sz="8" w:space="0"/>
              <w:right w:val="single" w:color="auto" w:sz="8" w:space="0"/>
            </w:tcBorders>
            <w:noWrap w:val="0"/>
            <w:vAlign w:val="top"/>
          </w:tcPr>
          <w:p>
            <w:pPr>
              <w:kinsoku/>
              <w:overflowPunct/>
              <w:topLinePunct w:val="0"/>
              <w:bidi w:val="0"/>
              <w:spacing w:line="300" w:lineRule="auto"/>
              <w:ind w:right="-21" w:rightChars="-10"/>
              <w:jc w:val="center"/>
            </w:pPr>
          </w:p>
        </w:tc>
        <w:tc>
          <w:tcPr>
            <w:tcW w:w="1320" w:type="dxa"/>
            <w:vMerge w:val="continue"/>
            <w:tcBorders>
              <w:left w:val="single" w:color="auto" w:sz="8" w:space="0"/>
              <w:bottom w:val="single" w:color="auto" w:sz="8" w:space="0"/>
              <w:right w:val="single" w:color="auto" w:sz="8" w:space="0"/>
            </w:tcBorders>
            <w:noWrap w:val="0"/>
            <w:vAlign w:val="center"/>
          </w:tcPr>
          <w:p>
            <w:pPr>
              <w:kinsoku/>
              <w:overflowPunct/>
              <w:topLinePunct w:val="0"/>
              <w:bidi w:val="0"/>
              <w:spacing w:line="300" w:lineRule="auto"/>
              <w:ind w:right="-21" w:rightChars="-10"/>
              <w:jc w:val="center"/>
            </w:pPr>
          </w:p>
        </w:tc>
        <w:tc>
          <w:tcPr>
            <w:tcW w:w="1320" w:type="dxa"/>
            <w:vMerge w:val="continue"/>
            <w:tcBorders>
              <w:left w:val="single" w:color="auto" w:sz="8" w:space="0"/>
              <w:bottom w:val="single" w:color="auto" w:sz="8" w:space="0"/>
              <w:right w:val="single" w:color="auto" w:sz="8" w:space="0"/>
            </w:tcBorders>
            <w:noWrap w:val="0"/>
            <w:vAlign w:val="center"/>
          </w:tcPr>
          <w:p>
            <w:pPr>
              <w:kinsoku/>
              <w:overflowPunct/>
              <w:topLinePunct w:val="0"/>
              <w:bidi w:val="0"/>
              <w:spacing w:line="300" w:lineRule="auto"/>
              <w:ind w:right="-21" w:rightChars="-10"/>
              <w:jc w:val="center"/>
            </w:pPr>
          </w:p>
        </w:tc>
      </w:tr>
    </w:tbl>
    <w:p>
      <w:pPr>
        <w:kinsoku/>
        <w:overflowPunct/>
        <w:topLinePunct w:val="0"/>
        <w:bidi w:val="0"/>
        <w:spacing w:line="300" w:lineRule="auto"/>
        <w:ind w:firstLine="221" w:firstLineChars="100"/>
        <w:rPr>
          <w:rFonts w:hint="eastAsia" w:ascii="新宋体" w:hAnsi="新宋体" w:eastAsia="新宋体"/>
          <w:szCs w:val="21"/>
        </w:rPr>
      </w:pPr>
      <w:r>
        <w:rPr>
          <w:rFonts w:hint="eastAsia" w:ascii="新宋体" w:hAnsi="新宋体" w:eastAsia="新宋体"/>
          <w:b/>
          <w:bCs/>
          <w:sz w:val="22"/>
          <w:szCs w:val="22"/>
        </w:rPr>
        <w:t>备注：</w:t>
      </w:r>
    </w:p>
    <w:p>
      <w:pPr>
        <w:numPr>
          <w:ilvl w:val="0"/>
          <w:numId w:val="27"/>
        </w:numPr>
        <w:kinsoku/>
        <w:overflowPunct/>
        <w:topLinePunct w:val="0"/>
        <w:bidi w:val="0"/>
        <w:spacing w:line="300" w:lineRule="auto"/>
        <w:rPr>
          <w:rFonts w:hint="eastAsia" w:ascii="新宋体" w:hAnsi="新宋体" w:eastAsia="新宋体"/>
          <w:szCs w:val="21"/>
        </w:rPr>
      </w:pPr>
      <w:r>
        <w:rPr>
          <w:rFonts w:hint="eastAsia" w:ascii="新宋体" w:hAnsi="新宋体" w:eastAsia="新宋体"/>
          <w:szCs w:val="21"/>
        </w:rPr>
        <w:t>投标报价包括</w:t>
      </w:r>
      <w:r>
        <w:rPr>
          <w:rFonts w:hint="eastAsia"/>
        </w:rPr>
        <w:t>完成本次项目需完成全部工作所发生的所有费用</w:t>
      </w:r>
      <w:r>
        <w:rPr>
          <w:rFonts w:hint="eastAsia" w:ascii="新宋体" w:hAnsi="新宋体" w:eastAsia="新宋体"/>
          <w:szCs w:val="21"/>
        </w:rPr>
        <w:t>。</w:t>
      </w:r>
    </w:p>
    <w:p>
      <w:pPr>
        <w:numPr>
          <w:ilvl w:val="0"/>
          <w:numId w:val="27"/>
        </w:numPr>
        <w:kinsoku/>
        <w:overflowPunct/>
        <w:topLinePunct w:val="0"/>
        <w:bidi w:val="0"/>
        <w:spacing w:line="300" w:lineRule="auto"/>
        <w:rPr>
          <w:rFonts w:hint="eastAsia" w:ascii="新宋体" w:hAnsi="新宋体" w:eastAsia="新宋体"/>
          <w:szCs w:val="21"/>
        </w:rPr>
      </w:pPr>
      <w:r>
        <w:rPr>
          <w:rFonts w:hint="eastAsia" w:ascii="新宋体" w:hAnsi="新宋体" w:eastAsia="新宋体"/>
          <w:szCs w:val="21"/>
        </w:rPr>
        <w:t>此表中“报价总价”应与附件二“磋商函”中报价、已标价的工程量清单中的报价总价相一致。</w:t>
      </w:r>
    </w:p>
    <w:p>
      <w:pPr>
        <w:numPr>
          <w:ilvl w:val="0"/>
          <w:numId w:val="27"/>
        </w:numPr>
        <w:kinsoku/>
        <w:overflowPunct/>
        <w:topLinePunct w:val="0"/>
        <w:bidi w:val="0"/>
        <w:spacing w:line="300" w:lineRule="auto"/>
        <w:rPr>
          <w:rFonts w:hint="eastAsia" w:ascii="新宋体" w:hAnsi="新宋体" w:eastAsia="新宋体"/>
          <w:szCs w:val="21"/>
        </w:rPr>
      </w:pPr>
      <w:r>
        <w:rPr>
          <w:rFonts w:hint="eastAsia" w:ascii="新宋体" w:hAnsi="新宋体" w:eastAsia="新宋体"/>
          <w:szCs w:val="21"/>
        </w:rPr>
        <w:t>此表不得自行增减内容，不提供此表格将被视为没有实质性响应采购文件,其</w:t>
      </w:r>
      <w:r>
        <w:rPr>
          <w:rFonts w:hint="eastAsia" w:ascii="新宋体" w:hAnsi="新宋体" w:eastAsia="新宋体"/>
          <w:szCs w:val="21"/>
          <w:lang w:eastAsia="zh-CN"/>
        </w:rPr>
        <w:t>磋商响应文件</w:t>
      </w:r>
      <w:r>
        <w:rPr>
          <w:rFonts w:hint="eastAsia" w:ascii="新宋体" w:hAnsi="新宋体" w:eastAsia="新宋体"/>
          <w:szCs w:val="21"/>
        </w:rPr>
        <w:t>将作</w:t>
      </w:r>
      <w:r>
        <w:rPr>
          <w:rFonts w:ascii="新宋体" w:hAnsi="新宋体" w:eastAsia="新宋体"/>
          <w:szCs w:val="21"/>
        </w:rPr>
        <w:t>无效标处理</w:t>
      </w:r>
      <w:r>
        <w:rPr>
          <w:rFonts w:hint="eastAsia" w:ascii="新宋体" w:hAnsi="新宋体" w:eastAsia="新宋体"/>
          <w:szCs w:val="21"/>
        </w:rPr>
        <w:t>。</w:t>
      </w:r>
    </w:p>
    <w:p>
      <w:pPr>
        <w:numPr>
          <w:ilvl w:val="0"/>
          <w:numId w:val="27"/>
        </w:numPr>
        <w:kinsoku/>
        <w:overflowPunct/>
        <w:topLinePunct w:val="0"/>
        <w:bidi w:val="0"/>
        <w:spacing w:line="300" w:lineRule="auto"/>
        <w:rPr>
          <w:rFonts w:hint="eastAsia" w:ascii="新宋体" w:hAnsi="新宋体" w:eastAsia="新宋体"/>
          <w:szCs w:val="21"/>
        </w:rPr>
      </w:pPr>
      <w:r>
        <w:rPr>
          <w:rFonts w:hint="eastAsia" w:ascii="新宋体" w:hAnsi="新宋体" w:eastAsia="新宋体"/>
          <w:b/>
          <w:szCs w:val="21"/>
        </w:rPr>
        <w:t>该表格请磋商人多准备几张，盖好公章，以备磋商时填写。</w:t>
      </w:r>
    </w:p>
    <w:p>
      <w:pPr>
        <w:numPr>
          <w:ilvl w:val="0"/>
          <w:numId w:val="27"/>
        </w:numPr>
        <w:kinsoku/>
        <w:overflowPunct/>
        <w:topLinePunct w:val="0"/>
        <w:bidi w:val="0"/>
        <w:spacing w:line="300" w:lineRule="auto"/>
        <w:rPr>
          <w:rFonts w:hint="eastAsia" w:ascii="新宋体" w:hAnsi="新宋体" w:eastAsia="新宋体"/>
          <w:szCs w:val="21"/>
        </w:rPr>
      </w:pPr>
      <w:r>
        <w:rPr>
          <w:rFonts w:hint="eastAsia"/>
        </w:rPr>
        <w:t>最终报价与首次报价不同的，以最终报价为准，成交供应商须在领取成交通知书前向代理机构提供下调后的工程量清单报价明细。最终报价是磋商响应文件的有效组成部分</w:t>
      </w:r>
      <w:r>
        <w:rPr>
          <w:rFonts w:hint="eastAsia" w:ascii="新宋体" w:hAnsi="新宋体" w:eastAsia="新宋体"/>
          <w:szCs w:val="21"/>
        </w:rPr>
        <w:t>。</w:t>
      </w:r>
    </w:p>
    <w:p>
      <w:pPr>
        <w:kinsoku/>
        <w:overflowPunct/>
        <w:topLinePunct w:val="0"/>
        <w:bidi w:val="0"/>
        <w:spacing w:line="300" w:lineRule="auto"/>
        <w:jc w:val="both"/>
        <w:rPr>
          <w:rFonts w:ascii="Arial" w:hAnsi="Arial"/>
        </w:rPr>
      </w:pPr>
    </w:p>
    <w:p>
      <w:pPr>
        <w:kinsoku/>
        <w:overflowPunct/>
        <w:topLinePunct w:val="0"/>
        <w:bidi w:val="0"/>
        <w:spacing w:line="300" w:lineRule="auto"/>
        <w:ind w:firstLine="4830" w:firstLineChars="2300"/>
        <w:rPr>
          <w:rFonts w:hint="eastAsia" w:ascii="Arial" w:hAnsi="Arial"/>
        </w:rPr>
      </w:pPr>
    </w:p>
    <w:p>
      <w:pPr>
        <w:kinsoku/>
        <w:overflowPunct/>
        <w:topLinePunct w:val="0"/>
        <w:bidi w:val="0"/>
        <w:spacing w:line="300" w:lineRule="auto"/>
        <w:ind w:firstLine="4830" w:firstLineChars="2300"/>
        <w:rPr>
          <w:rFonts w:hint="eastAsia" w:ascii="Arial" w:hAnsi="Arial"/>
        </w:rPr>
      </w:pPr>
    </w:p>
    <w:p>
      <w:pPr>
        <w:kinsoku/>
        <w:overflowPunct/>
        <w:topLinePunct w:val="0"/>
        <w:bidi w:val="0"/>
        <w:spacing w:line="300" w:lineRule="auto"/>
        <w:ind w:firstLine="4830" w:firstLineChars="2300"/>
        <w:rPr>
          <w:rFonts w:hint="eastAsia" w:ascii="Arial" w:hAnsi="Arial"/>
        </w:rPr>
      </w:pPr>
    </w:p>
    <w:p>
      <w:pPr>
        <w:kinsoku/>
        <w:overflowPunct/>
        <w:topLinePunct w:val="0"/>
        <w:bidi w:val="0"/>
        <w:spacing w:line="300" w:lineRule="auto"/>
        <w:rPr>
          <w:rFonts w:hint="eastAsia" w:ascii="Arial" w:hAnsi="Arial"/>
        </w:rPr>
      </w:pPr>
    </w:p>
    <w:p>
      <w:pPr>
        <w:kinsoku/>
        <w:overflowPunct/>
        <w:topLinePunct w:val="0"/>
        <w:bidi w:val="0"/>
        <w:spacing w:line="300" w:lineRule="auto"/>
        <w:ind w:firstLine="4830" w:firstLineChars="2300"/>
        <w:rPr>
          <w:rFonts w:ascii="Arial" w:hAnsi="Arial"/>
        </w:rPr>
      </w:pPr>
      <w:r>
        <w:rPr>
          <w:rFonts w:hint="eastAsia" w:ascii="Arial" w:hAnsi="Arial"/>
        </w:rPr>
        <w:t>磋商供应商（公章）：</w:t>
      </w:r>
    </w:p>
    <w:p>
      <w:pPr>
        <w:kinsoku/>
        <w:overflowPunct/>
        <w:topLinePunct w:val="0"/>
        <w:bidi w:val="0"/>
        <w:spacing w:line="300" w:lineRule="auto"/>
        <w:ind w:firstLine="4830" w:firstLineChars="2300"/>
        <w:rPr>
          <w:rFonts w:ascii="Arial" w:hAnsi="Arial"/>
        </w:rPr>
      </w:pPr>
      <w:r>
        <w:rPr>
          <w:rFonts w:hint="eastAsia" w:ascii="Arial" w:hAnsi="Arial"/>
        </w:rPr>
        <w:t>法定代表人或授权代表（签字或盖章）：</w:t>
      </w:r>
    </w:p>
    <w:p>
      <w:pPr>
        <w:pStyle w:val="3"/>
        <w:kinsoku/>
        <w:overflowPunct/>
        <w:topLinePunct w:val="0"/>
        <w:bidi w:val="0"/>
        <w:spacing w:line="300" w:lineRule="auto"/>
        <w:ind w:firstLine="4830" w:firstLineChars="2300"/>
        <w:rPr>
          <w:rFonts w:ascii="Arial" w:hAnsi="Arial"/>
        </w:rPr>
      </w:pPr>
      <w:r>
        <w:rPr>
          <w:rFonts w:hint="eastAsia" w:ascii="Arial" w:hAnsi="Arial"/>
        </w:rPr>
        <w:t>日    期：</w:t>
      </w:r>
    </w:p>
    <w:p>
      <w:pPr>
        <w:pStyle w:val="3"/>
        <w:kinsoku/>
        <w:overflowPunct/>
        <w:topLinePunct w:val="0"/>
        <w:bidi w:val="0"/>
        <w:spacing w:line="300" w:lineRule="auto"/>
        <w:ind w:firstLine="4830" w:firstLineChars="2300"/>
        <w:rPr>
          <w:rFonts w:ascii="Arial" w:hAnsi="Arial"/>
        </w:rPr>
      </w:pPr>
    </w:p>
    <w:p>
      <w:pPr>
        <w:kinsoku/>
        <w:wordWrap w:val="0"/>
        <w:overflowPunct/>
        <w:topLinePunct w:val="0"/>
        <w:bidi w:val="0"/>
        <w:spacing w:before="156" w:beforeLines="50" w:after="156" w:afterLines="50" w:line="300" w:lineRule="auto"/>
        <w:jc w:val="right"/>
        <w:rPr>
          <w:rFonts w:hint="eastAsia" w:ascii="新宋体" w:hAnsi="新宋体" w:eastAsia="新宋体"/>
          <w:szCs w:val="21"/>
        </w:rPr>
      </w:pPr>
    </w:p>
    <w:p>
      <w:pPr>
        <w:pStyle w:val="5"/>
        <w:keepNext w:val="0"/>
        <w:keepLines w:val="0"/>
        <w:pageBreakBefore/>
        <w:widowControl w:val="0"/>
        <w:tabs>
          <w:tab w:val="left" w:pos="840"/>
        </w:tabs>
        <w:kinsoku/>
        <w:overflowPunct/>
        <w:topLinePunct w:val="0"/>
        <w:bidi w:val="0"/>
        <w:adjustRightInd w:val="0"/>
        <w:snapToGrid w:val="0"/>
        <w:spacing w:before="312" w:beforeLines="100" w:after="312" w:afterLines="100" w:line="300" w:lineRule="auto"/>
        <w:jc w:val="center"/>
        <w:rPr>
          <w:rFonts w:hint="eastAsia" w:hAnsi="宋体"/>
          <w:sz w:val="28"/>
          <w:szCs w:val="36"/>
        </w:rPr>
      </w:pPr>
      <w:bookmarkStart w:id="1936" w:name="_Toc29191"/>
      <w:bookmarkStart w:id="1937" w:name="_Toc5287"/>
      <w:bookmarkStart w:id="1938" w:name="_Toc3429"/>
      <w:bookmarkStart w:id="1939" w:name="_Toc3903996"/>
      <w:bookmarkStart w:id="1940" w:name="_Toc318139611"/>
      <w:bookmarkStart w:id="1941" w:name="_Toc294682038"/>
      <w:bookmarkStart w:id="1942" w:name="_Toc211762710"/>
      <w:bookmarkStart w:id="1943" w:name="_Toc252555574"/>
      <w:r>
        <w:rPr>
          <w:rFonts w:hint="eastAsia" w:hAnsi="宋体"/>
          <w:sz w:val="28"/>
          <w:szCs w:val="36"/>
        </w:rPr>
        <w:t>附件四   已标价工程量清单</w:t>
      </w:r>
      <w:bookmarkEnd w:id="1936"/>
      <w:bookmarkEnd w:id="1937"/>
      <w:bookmarkEnd w:id="1938"/>
      <w:bookmarkEnd w:id="1939"/>
    </w:p>
    <w:p>
      <w:pPr>
        <w:kinsoku/>
        <w:overflowPunct/>
        <w:topLinePunct w:val="0"/>
        <w:bidi w:val="0"/>
        <w:spacing w:line="300" w:lineRule="auto"/>
        <w:ind w:firstLine="420"/>
      </w:pPr>
      <w:r>
        <w:rPr>
          <w:rFonts w:hint="eastAsia"/>
        </w:rPr>
        <w:t>详见下列表格</w:t>
      </w:r>
    </w:p>
    <w:p>
      <w:pPr>
        <w:kinsoku/>
        <w:overflowPunct/>
        <w:topLinePunct w:val="0"/>
        <w:bidi w:val="0"/>
        <w:spacing w:line="300" w:lineRule="auto"/>
        <w:ind w:firstLine="1440"/>
        <w:jc w:val="center"/>
        <w:rPr>
          <w:bCs/>
          <w:sz w:val="72"/>
        </w:rPr>
      </w:pPr>
    </w:p>
    <w:p>
      <w:pPr>
        <w:kinsoku/>
        <w:overflowPunct/>
        <w:topLinePunct w:val="0"/>
        <w:bidi w:val="0"/>
        <w:spacing w:line="300" w:lineRule="auto"/>
        <w:ind w:firstLine="1440"/>
        <w:jc w:val="center"/>
        <w:rPr>
          <w:bCs/>
          <w:sz w:val="72"/>
        </w:rPr>
      </w:pPr>
    </w:p>
    <w:p>
      <w:pPr>
        <w:tabs>
          <w:tab w:val="left" w:pos="720"/>
        </w:tabs>
        <w:kinsoku/>
        <w:overflowPunct/>
        <w:topLinePunct w:val="0"/>
        <w:bidi w:val="0"/>
        <w:spacing w:after="156" w:afterLines="50" w:line="300" w:lineRule="auto"/>
        <w:jc w:val="center"/>
        <w:rPr>
          <w:rFonts w:ascii="Arial" w:hAnsi="Arial" w:eastAsia="黑体" w:cs="Arial"/>
          <w:bCs/>
          <w:sz w:val="44"/>
          <w:szCs w:val="48"/>
        </w:rPr>
      </w:pPr>
      <w:r>
        <w:rPr>
          <w:rFonts w:ascii="楷体_GB2312" w:eastAsia="楷体_GB2312"/>
          <w:bCs/>
        </w:rPr>
        <w:br w:type="page"/>
      </w:r>
      <w:bookmarkStart w:id="1944" w:name="_Toc514918859"/>
      <w:bookmarkStart w:id="1945" w:name="_Toc480985301"/>
      <w:bookmarkStart w:id="1946" w:name="_Toc476734068"/>
      <w:bookmarkStart w:id="1947" w:name="_Toc26636"/>
      <w:bookmarkStart w:id="1948" w:name="_Toc5818"/>
      <w:bookmarkStart w:id="1949" w:name="_Toc9508"/>
      <w:bookmarkStart w:id="1950" w:name="_Toc27307"/>
      <w:bookmarkStart w:id="1951" w:name="_Toc18366"/>
      <w:bookmarkStart w:id="1952" w:name="_Toc9420"/>
      <w:bookmarkStart w:id="1953" w:name="_Toc424636056"/>
      <w:r>
        <w:rPr>
          <w:rFonts w:hint="eastAsia" w:ascii="Arial" w:hAnsi="Arial" w:eastAsia="黑体" w:cs="Arial"/>
          <w:bCs/>
          <w:sz w:val="44"/>
          <w:szCs w:val="48"/>
        </w:rPr>
        <w:t>投</w:t>
      </w:r>
      <w:r>
        <w:rPr>
          <w:rFonts w:ascii="Arial" w:hAnsi="Arial" w:eastAsia="黑体" w:cs="Arial"/>
          <w:bCs/>
          <w:sz w:val="44"/>
          <w:szCs w:val="48"/>
        </w:rPr>
        <w:t xml:space="preserve"> </w:t>
      </w:r>
      <w:r>
        <w:rPr>
          <w:rFonts w:hint="eastAsia" w:ascii="Arial" w:hAnsi="Arial" w:eastAsia="黑体" w:cs="Arial"/>
          <w:bCs/>
          <w:sz w:val="44"/>
          <w:szCs w:val="48"/>
        </w:rPr>
        <w:t>标</w:t>
      </w:r>
      <w:r>
        <w:rPr>
          <w:rFonts w:ascii="Arial" w:hAnsi="Arial" w:eastAsia="黑体" w:cs="Arial"/>
          <w:bCs/>
          <w:sz w:val="44"/>
          <w:szCs w:val="48"/>
        </w:rPr>
        <w:t xml:space="preserve"> </w:t>
      </w:r>
      <w:r>
        <w:rPr>
          <w:rFonts w:hint="eastAsia" w:ascii="Arial" w:hAnsi="Arial" w:eastAsia="黑体" w:cs="Arial"/>
          <w:bCs/>
          <w:sz w:val="44"/>
          <w:szCs w:val="48"/>
        </w:rPr>
        <w:t>总</w:t>
      </w:r>
      <w:r>
        <w:rPr>
          <w:rFonts w:ascii="Arial" w:hAnsi="Arial" w:eastAsia="黑体" w:cs="Arial"/>
          <w:bCs/>
          <w:sz w:val="44"/>
          <w:szCs w:val="48"/>
        </w:rPr>
        <w:t xml:space="preserve"> </w:t>
      </w:r>
      <w:r>
        <w:rPr>
          <w:rFonts w:hint="eastAsia" w:ascii="Arial" w:hAnsi="Arial" w:eastAsia="黑体" w:cs="Arial"/>
          <w:bCs/>
          <w:sz w:val="44"/>
          <w:szCs w:val="48"/>
        </w:rPr>
        <w:t>价</w:t>
      </w:r>
    </w:p>
    <w:p>
      <w:pPr>
        <w:kinsoku/>
        <w:overflowPunct/>
        <w:topLinePunct w:val="0"/>
        <w:bidi w:val="0"/>
        <w:spacing w:after="156" w:afterLines="50" w:line="300" w:lineRule="auto"/>
        <w:rPr>
          <w:rFonts w:ascii="Arial" w:hAnsi="Arial" w:cs="Arial"/>
        </w:rPr>
      </w:pPr>
    </w:p>
    <w:p>
      <w:pPr>
        <w:kinsoku/>
        <w:overflowPunct/>
        <w:topLinePunct w:val="0"/>
        <w:bidi w:val="0"/>
        <w:spacing w:after="312" w:afterLines="100" w:line="300" w:lineRule="auto"/>
        <w:ind w:firstLine="848" w:firstLineChars="303"/>
        <w:rPr>
          <w:rFonts w:ascii="黑体" w:hAnsi="黑体" w:eastAsia="黑体" w:cs="Arial"/>
          <w:sz w:val="24"/>
          <w:u w:val="single"/>
        </w:rPr>
      </w:pPr>
      <w:r>
        <w:rPr>
          <w:rFonts w:hint="eastAsia" w:ascii="黑体" w:hAnsi="黑体" w:eastAsia="黑体" w:cs="Arial"/>
          <w:sz w:val="28"/>
        </w:rPr>
        <w:t>招</w:t>
      </w:r>
      <w:r>
        <w:rPr>
          <w:rFonts w:ascii="黑体" w:hAnsi="黑体" w:eastAsia="黑体" w:cs="Arial"/>
          <w:sz w:val="28"/>
        </w:rPr>
        <w:t xml:space="preserve"> </w:t>
      </w:r>
      <w:r>
        <w:rPr>
          <w:rFonts w:hint="eastAsia" w:ascii="黑体" w:hAnsi="黑体" w:eastAsia="黑体" w:cs="Arial"/>
          <w:sz w:val="28"/>
        </w:rPr>
        <w:t>标</w:t>
      </w:r>
      <w:r>
        <w:rPr>
          <w:rFonts w:ascii="黑体" w:hAnsi="黑体" w:eastAsia="黑体" w:cs="Arial"/>
          <w:sz w:val="28"/>
        </w:rPr>
        <w:t xml:space="preserve"> </w:t>
      </w:r>
      <w:r>
        <w:rPr>
          <w:rFonts w:hint="eastAsia" w:ascii="黑体" w:hAnsi="黑体" w:eastAsia="黑体" w:cs="Arial"/>
          <w:sz w:val="28"/>
        </w:rPr>
        <w:t>人：</w:t>
      </w:r>
      <w:r>
        <w:rPr>
          <w:rFonts w:ascii="黑体" w:hAnsi="黑体" w:eastAsia="黑体" w:cs="Arial"/>
          <w:sz w:val="24"/>
          <w:u w:val="single"/>
        </w:rPr>
        <w:t xml:space="preserve">                                               </w:t>
      </w:r>
    </w:p>
    <w:p>
      <w:pPr>
        <w:kinsoku/>
        <w:overflowPunct/>
        <w:topLinePunct w:val="0"/>
        <w:bidi w:val="0"/>
        <w:spacing w:after="312" w:afterLines="100" w:line="300" w:lineRule="auto"/>
        <w:ind w:firstLine="848" w:firstLineChars="303"/>
        <w:rPr>
          <w:rFonts w:ascii="黑体" w:hAnsi="黑体" w:eastAsia="黑体" w:cs="Arial"/>
          <w:sz w:val="28"/>
          <w:u w:val="single"/>
        </w:rPr>
      </w:pPr>
    </w:p>
    <w:p>
      <w:pPr>
        <w:kinsoku/>
        <w:overflowPunct/>
        <w:topLinePunct w:val="0"/>
        <w:bidi w:val="0"/>
        <w:spacing w:after="312" w:afterLines="100" w:line="300" w:lineRule="auto"/>
        <w:ind w:firstLine="848" w:firstLineChars="303"/>
        <w:rPr>
          <w:rFonts w:ascii="黑体" w:hAnsi="黑体" w:eastAsia="黑体" w:cs="Arial"/>
          <w:sz w:val="24"/>
          <w:u w:val="single"/>
        </w:rPr>
      </w:pPr>
      <w:r>
        <w:rPr>
          <w:rFonts w:hint="eastAsia" w:ascii="黑体" w:hAnsi="黑体" w:eastAsia="黑体" w:cs="Arial"/>
          <w:sz w:val="28"/>
        </w:rPr>
        <w:t>工程名称：</w:t>
      </w:r>
      <w:r>
        <w:rPr>
          <w:rFonts w:ascii="黑体" w:hAnsi="黑体" w:eastAsia="黑体" w:cs="Arial"/>
          <w:sz w:val="24"/>
          <w:u w:val="single"/>
        </w:rPr>
        <w:t xml:space="preserve">                                               </w:t>
      </w:r>
    </w:p>
    <w:p>
      <w:pPr>
        <w:kinsoku/>
        <w:overflowPunct/>
        <w:topLinePunct w:val="0"/>
        <w:bidi w:val="0"/>
        <w:spacing w:after="312" w:afterLines="100" w:line="300" w:lineRule="auto"/>
        <w:ind w:firstLine="848" w:firstLineChars="303"/>
        <w:rPr>
          <w:rFonts w:ascii="黑体" w:hAnsi="黑体" w:eastAsia="黑体" w:cs="Arial"/>
          <w:sz w:val="28"/>
        </w:rPr>
      </w:pPr>
    </w:p>
    <w:p>
      <w:pPr>
        <w:kinsoku/>
        <w:overflowPunct/>
        <w:topLinePunct w:val="0"/>
        <w:bidi w:val="0"/>
        <w:spacing w:after="312" w:afterLines="100" w:line="300" w:lineRule="auto"/>
        <w:ind w:firstLine="848" w:firstLineChars="303"/>
        <w:rPr>
          <w:rFonts w:ascii="黑体" w:hAnsi="黑体" w:eastAsia="黑体" w:cs="Arial"/>
          <w:u w:val="single"/>
        </w:rPr>
      </w:pPr>
      <w:r>
        <w:rPr>
          <w:rFonts w:hint="eastAsia" w:ascii="黑体" w:hAnsi="黑体" w:eastAsia="黑体" w:cs="Arial"/>
          <w:sz w:val="28"/>
        </w:rPr>
        <w:t>投标总价</w:t>
      </w:r>
      <w:r>
        <w:rPr>
          <w:rFonts w:hint="eastAsia" w:ascii="黑体" w:hAnsi="黑体" w:eastAsia="黑体" w:cs="Arial"/>
          <w:sz w:val="24"/>
        </w:rPr>
        <w:t>（小写）：</w:t>
      </w:r>
      <w:r>
        <w:rPr>
          <w:rFonts w:ascii="黑体" w:hAnsi="黑体" w:eastAsia="黑体" w:cs="Arial"/>
          <w:sz w:val="24"/>
          <w:u w:val="single"/>
        </w:rPr>
        <w:t xml:space="preserve">                                        </w:t>
      </w:r>
    </w:p>
    <w:p>
      <w:pPr>
        <w:kinsoku/>
        <w:overflowPunct/>
        <w:topLinePunct w:val="0"/>
        <w:bidi w:val="0"/>
        <w:spacing w:after="312" w:afterLines="100" w:line="300" w:lineRule="auto"/>
        <w:ind w:firstLine="2040" w:firstLineChars="850"/>
        <w:rPr>
          <w:rFonts w:ascii="黑体" w:hAnsi="黑体" w:eastAsia="黑体" w:cs="Arial"/>
          <w:sz w:val="24"/>
        </w:rPr>
      </w:pPr>
      <w:r>
        <w:rPr>
          <w:rFonts w:hint="eastAsia" w:ascii="黑体" w:hAnsi="黑体" w:eastAsia="黑体" w:cs="Arial"/>
          <w:sz w:val="24"/>
        </w:rPr>
        <w:t>（大写）：</w:t>
      </w:r>
      <w:r>
        <w:rPr>
          <w:rFonts w:ascii="黑体" w:hAnsi="黑体" w:eastAsia="黑体" w:cs="Arial"/>
          <w:sz w:val="24"/>
          <w:u w:val="single"/>
        </w:rPr>
        <w:t xml:space="preserve">                                        </w:t>
      </w:r>
    </w:p>
    <w:p>
      <w:pPr>
        <w:tabs>
          <w:tab w:val="left" w:pos="720"/>
        </w:tabs>
        <w:kinsoku/>
        <w:overflowPunct/>
        <w:topLinePunct w:val="0"/>
        <w:bidi w:val="0"/>
        <w:spacing w:after="156" w:afterLines="50" w:line="300" w:lineRule="auto"/>
        <w:rPr>
          <w:rFonts w:ascii="黑体" w:hAnsi="黑体" w:eastAsia="黑体" w:cs="Arial"/>
        </w:rPr>
      </w:pPr>
    </w:p>
    <w:p>
      <w:pPr>
        <w:kinsoku/>
        <w:overflowPunct/>
        <w:topLinePunct w:val="0"/>
        <w:bidi w:val="0"/>
        <w:spacing w:after="156" w:afterLines="50" w:line="300" w:lineRule="auto"/>
        <w:rPr>
          <w:rFonts w:ascii="黑体" w:hAnsi="黑体" w:eastAsia="黑体" w:cs="Arial"/>
        </w:rPr>
      </w:pPr>
    </w:p>
    <w:p>
      <w:pPr>
        <w:kinsoku/>
        <w:overflowPunct/>
        <w:topLinePunct w:val="0"/>
        <w:bidi w:val="0"/>
        <w:spacing w:after="156" w:afterLines="50" w:line="300" w:lineRule="auto"/>
        <w:ind w:firstLine="848" w:firstLineChars="303"/>
        <w:rPr>
          <w:rFonts w:ascii="黑体" w:hAnsi="黑体" w:eastAsia="黑体" w:cs="Arial"/>
          <w:szCs w:val="21"/>
        </w:rPr>
      </w:pPr>
      <w:r>
        <w:rPr>
          <w:rFonts w:hint="eastAsia" w:ascii="黑体" w:hAnsi="黑体" w:eastAsia="黑体" w:cs="Arial"/>
          <w:sz w:val="28"/>
        </w:rPr>
        <w:t>投</w:t>
      </w:r>
      <w:r>
        <w:rPr>
          <w:rFonts w:ascii="黑体" w:hAnsi="黑体" w:eastAsia="黑体" w:cs="Arial"/>
          <w:sz w:val="28"/>
        </w:rPr>
        <w:t xml:space="preserve"> </w:t>
      </w:r>
      <w:r>
        <w:rPr>
          <w:rFonts w:hint="eastAsia" w:ascii="黑体" w:hAnsi="黑体" w:eastAsia="黑体" w:cs="Arial"/>
          <w:sz w:val="28"/>
        </w:rPr>
        <w:t>标</w:t>
      </w:r>
      <w:r>
        <w:rPr>
          <w:rFonts w:ascii="黑体" w:hAnsi="黑体" w:eastAsia="黑体" w:cs="Arial"/>
          <w:sz w:val="28"/>
        </w:rPr>
        <w:t xml:space="preserve"> </w:t>
      </w:r>
      <w:r>
        <w:rPr>
          <w:rFonts w:hint="eastAsia" w:ascii="黑体" w:hAnsi="黑体" w:eastAsia="黑体" w:cs="Arial"/>
          <w:sz w:val="28"/>
        </w:rPr>
        <w:t>人：</w:t>
      </w:r>
      <w:r>
        <w:rPr>
          <w:rFonts w:ascii="黑体" w:hAnsi="黑体" w:eastAsia="黑体" w:cs="Arial"/>
          <w:sz w:val="24"/>
          <w:u w:val="single"/>
        </w:rPr>
        <w:t xml:space="preserve">                                        </w:t>
      </w:r>
    </w:p>
    <w:p>
      <w:pPr>
        <w:kinsoku/>
        <w:overflowPunct/>
        <w:topLinePunct w:val="0"/>
        <w:bidi w:val="0"/>
        <w:spacing w:after="156" w:afterLines="50" w:line="300" w:lineRule="auto"/>
        <w:ind w:left="4393" w:leftChars="2092"/>
        <w:rPr>
          <w:rFonts w:ascii="黑体" w:hAnsi="黑体" w:eastAsia="黑体" w:cs="Arial"/>
          <w:szCs w:val="21"/>
        </w:rPr>
      </w:pPr>
      <w:r>
        <w:rPr>
          <w:rFonts w:hint="eastAsia" w:ascii="黑体" w:hAnsi="黑体" w:eastAsia="黑体" w:cs="Arial"/>
          <w:szCs w:val="21"/>
        </w:rPr>
        <w:t>（单位盖章）</w:t>
      </w:r>
    </w:p>
    <w:p>
      <w:pPr>
        <w:tabs>
          <w:tab w:val="left" w:pos="720"/>
        </w:tabs>
        <w:kinsoku/>
        <w:overflowPunct/>
        <w:topLinePunct w:val="0"/>
        <w:bidi w:val="0"/>
        <w:spacing w:after="156" w:afterLines="50" w:line="300" w:lineRule="auto"/>
        <w:rPr>
          <w:rFonts w:ascii="黑体" w:hAnsi="黑体" w:eastAsia="黑体" w:cs="Arial"/>
        </w:rPr>
      </w:pPr>
    </w:p>
    <w:p>
      <w:pPr>
        <w:kinsoku/>
        <w:overflowPunct/>
        <w:topLinePunct w:val="0"/>
        <w:bidi w:val="0"/>
        <w:spacing w:after="156" w:afterLines="50" w:line="300" w:lineRule="auto"/>
        <w:ind w:firstLine="848" w:firstLineChars="303"/>
        <w:rPr>
          <w:rFonts w:ascii="黑体" w:hAnsi="黑体" w:eastAsia="黑体" w:cs="Arial"/>
          <w:sz w:val="28"/>
        </w:rPr>
      </w:pPr>
      <w:r>
        <w:rPr>
          <w:rFonts w:hint="eastAsia" w:ascii="黑体" w:hAnsi="黑体" w:eastAsia="黑体" w:cs="Arial"/>
          <w:sz w:val="28"/>
        </w:rPr>
        <w:t>法定代表人</w:t>
      </w:r>
    </w:p>
    <w:p>
      <w:pPr>
        <w:kinsoku/>
        <w:overflowPunct/>
        <w:topLinePunct w:val="0"/>
        <w:bidi w:val="0"/>
        <w:spacing w:after="156" w:afterLines="50" w:line="300" w:lineRule="auto"/>
        <w:ind w:firstLine="848" w:firstLineChars="303"/>
        <w:rPr>
          <w:rFonts w:ascii="黑体" w:hAnsi="黑体" w:eastAsia="黑体" w:cs="Arial"/>
          <w:szCs w:val="21"/>
        </w:rPr>
      </w:pPr>
      <w:r>
        <w:rPr>
          <w:rFonts w:hint="eastAsia" w:ascii="黑体" w:hAnsi="黑体" w:eastAsia="黑体" w:cs="Arial"/>
          <w:sz w:val="28"/>
        </w:rPr>
        <w:t>或其授权人</w:t>
      </w:r>
      <w:r>
        <w:rPr>
          <w:rFonts w:hint="eastAsia" w:ascii="黑体" w:hAnsi="黑体" w:eastAsia="黑体" w:cs="Arial"/>
          <w:sz w:val="22"/>
        </w:rPr>
        <w:t>：</w:t>
      </w:r>
      <w:r>
        <w:rPr>
          <w:rFonts w:ascii="黑体" w:hAnsi="黑体" w:eastAsia="黑体" w:cs="Arial"/>
          <w:sz w:val="22"/>
          <w:u w:val="single"/>
        </w:rPr>
        <w:t xml:space="preserve">                                          </w:t>
      </w:r>
    </w:p>
    <w:p>
      <w:pPr>
        <w:kinsoku/>
        <w:overflowPunct/>
        <w:topLinePunct w:val="0"/>
        <w:bidi w:val="0"/>
        <w:spacing w:after="156" w:afterLines="50" w:line="300" w:lineRule="auto"/>
        <w:ind w:left="4393" w:leftChars="2092"/>
        <w:rPr>
          <w:rFonts w:ascii="黑体" w:hAnsi="黑体" w:eastAsia="黑体" w:cs="Arial"/>
          <w:szCs w:val="21"/>
        </w:rPr>
      </w:pPr>
      <w:r>
        <w:rPr>
          <w:rFonts w:hint="eastAsia" w:ascii="黑体" w:hAnsi="黑体" w:eastAsia="黑体" w:cs="Arial"/>
          <w:szCs w:val="21"/>
        </w:rPr>
        <w:t>（签字或盖章）</w:t>
      </w:r>
    </w:p>
    <w:p>
      <w:pPr>
        <w:tabs>
          <w:tab w:val="left" w:pos="720"/>
        </w:tabs>
        <w:kinsoku/>
        <w:overflowPunct/>
        <w:topLinePunct w:val="0"/>
        <w:bidi w:val="0"/>
        <w:spacing w:after="156" w:afterLines="50" w:line="300" w:lineRule="auto"/>
        <w:rPr>
          <w:rFonts w:ascii="黑体" w:hAnsi="黑体" w:eastAsia="黑体" w:cs="Arial"/>
        </w:rPr>
      </w:pPr>
    </w:p>
    <w:p>
      <w:pPr>
        <w:tabs>
          <w:tab w:val="left" w:pos="720"/>
        </w:tabs>
        <w:kinsoku/>
        <w:overflowPunct/>
        <w:topLinePunct w:val="0"/>
        <w:bidi w:val="0"/>
        <w:spacing w:after="156" w:afterLines="50" w:line="300" w:lineRule="auto"/>
        <w:rPr>
          <w:rFonts w:ascii="黑体" w:hAnsi="黑体" w:eastAsia="黑体" w:cs="Arial"/>
        </w:rPr>
      </w:pPr>
    </w:p>
    <w:p>
      <w:pPr>
        <w:kinsoku/>
        <w:overflowPunct/>
        <w:topLinePunct w:val="0"/>
        <w:bidi w:val="0"/>
        <w:spacing w:after="156" w:afterLines="50" w:line="300" w:lineRule="auto"/>
        <w:ind w:firstLine="848" w:firstLineChars="303"/>
        <w:rPr>
          <w:rFonts w:ascii="黑体" w:hAnsi="黑体" w:eastAsia="黑体" w:cs="Arial"/>
          <w:sz w:val="28"/>
          <w:u w:val="single"/>
        </w:rPr>
      </w:pPr>
      <w:r>
        <w:rPr>
          <w:rFonts w:hint="eastAsia" w:ascii="黑体" w:hAnsi="黑体" w:eastAsia="黑体" w:cs="Arial"/>
          <w:sz w:val="28"/>
        </w:rPr>
        <w:t>编制时间：</w:t>
      </w:r>
      <w:r>
        <w:rPr>
          <w:rFonts w:ascii="黑体" w:hAnsi="黑体" w:eastAsia="黑体" w:cs="Arial"/>
          <w:sz w:val="24"/>
          <w:u w:val="single"/>
        </w:rPr>
        <w:t xml:space="preserve">        </w:t>
      </w:r>
      <w:r>
        <w:rPr>
          <w:rFonts w:hint="eastAsia" w:ascii="黑体" w:hAnsi="黑体" w:eastAsia="黑体" w:cs="Arial"/>
          <w:sz w:val="28"/>
        </w:rPr>
        <w:t>年</w:t>
      </w:r>
      <w:r>
        <w:rPr>
          <w:rFonts w:ascii="黑体" w:hAnsi="黑体" w:eastAsia="黑体" w:cs="Arial"/>
          <w:sz w:val="24"/>
          <w:u w:val="single"/>
        </w:rPr>
        <w:t xml:space="preserve">       </w:t>
      </w:r>
      <w:r>
        <w:rPr>
          <w:rFonts w:hint="eastAsia" w:ascii="黑体" w:hAnsi="黑体" w:eastAsia="黑体" w:cs="Arial"/>
          <w:sz w:val="28"/>
        </w:rPr>
        <w:t>月</w:t>
      </w:r>
      <w:r>
        <w:rPr>
          <w:rFonts w:ascii="黑体" w:hAnsi="黑体" w:eastAsia="黑体" w:cs="Arial"/>
          <w:sz w:val="24"/>
          <w:u w:val="single"/>
        </w:rPr>
        <w:t xml:space="preserve">      </w:t>
      </w:r>
      <w:r>
        <w:rPr>
          <w:rFonts w:hint="eastAsia" w:ascii="黑体" w:hAnsi="黑体" w:eastAsia="黑体" w:cs="Arial"/>
          <w:sz w:val="28"/>
        </w:rPr>
        <w:t>日</w:t>
      </w:r>
    </w:p>
    <w:p>
      <w:pPr>
        <w:kinsoku/>
        <w:overflowPunct/>
        <w:topLinePunct w:val="0"/>
        <w:bidi w:val="0"/>
        <w:spacing w:line="300" w:lineRule="auto"/>
        <w:rPr>
          <w:rFonts w:ascii="黑体" w:hAnsi="黑体" w:eastAsia="黑体"/>
          <w:bCs/>
        </w:rPr>
      </w:pPr>
      <w:r>
        <w:rPr>
          <w:rFonts w:ascii="黑体" w:hAnsi="黑体" w:eastAsia="黑体"/>
          <w:bCs/>
        </w:rPr>
        <w:br w:type="page"/>
      </w:r>
    </w:p>
    <w:p>
      <w:pPr>
        <w:tabs>
          <w:tab w:val="left" w:pos="720"/>
        </w:tabs>
        <w:kinsoku/>
        <w:overflowPunct/>
        <w:topLinePunct w:val="0"/>
        <w:bidi w:val="0"/>
        <w:spacing w:after="156" w:afterLines="50" w:line="300" w:lineRule="auto"/>
        <w:jc w:val="center"/>
        <w:rPr>
          <w:rFonts w:ascii="黑体" w:hAnsi="黑体" w:eastAsia="黑体" w:cs="Arial"/>
          <w:bCs/>
          <w:sz w:val="36"/>
          <w:szCs w:val="48"/>
        </w:rPr>
      </w:pPr>
      <w:r>
        <w:rPr>
          <w:rFonts w:hint="eastAsia" w:ascii="黑体" w:hAnsi="黑体" w:eastAsia="黑体" w:cs="Arial"/>
          <w:bCs/>
          <w:sz w:val="36"/>
          <w:szCs w:val="48"/>
        </w:rPr>
        <w:t>总</w:t>
      </w:r>
      <w:r>
        <w:rPr>
          <w:rFonts w:ascii="黑体" w:hAnsi="黑体" w:eastAsia="黑体" w:cs="Arial"/>
          <w:bCs/>
          <w:sz w:val="36"/>
          <w:szCs w:val="48"/>
        </w:rPr>
        <w:t xml:space="preserve">  </w:t>
      </w:r>
      <w:r>
        <w:rPr>
          <w:rFonts w:hint="eastAsia" w:ascii="黑体" w:hAnsi="黑体" w:eastAsia="黑体" w:cs="Arial"/>
          <w:bCs/>
          <w:sz w:val="36"/>
          <w:szCs w:val="48"/>
        </w:rPr>
        <w:t>说</w:t>
      </w:r>
      <w:r>
        <w:rPr>
          <w:rFonts w:ascii="黑体" w:hAnsi="黑体" w:eastAsia="黑体" w:cs="Arial"/>
          <w:bCs/>
          <w:sz w:val="36"/>
          <w:szCs w:val="48"/>
        </w:rPr>
        <w:t xml:space="preserve">  </w:t>
      </w:r>
      <w:r>
        <w:rPr>
          <w:rFonts w:hint="eastAsia" w:ascii="黑体" w:hAnsi="黑体" w:eastAsia="黑体" w:cs="Arial"/>
          <w:bCs/>
          <w:sz w:val="36"/>
          <w:szCs w:val="48"/>
        </w:rPr>
        <w:t>明</w:t>
      </w:r>
    </w:p>
    <w:p>
      <w:pPr>
        <w:kinsoku/>
        <w:overflowPunct/>
        <w:topLinePunct w:val="0"/>
        <w:bidi w:val="0"/>
        <w:spacing w:line="300" w:lineRule="auto"/>
      </w:pPr>
      <w:r>
        <w:rPr>
          <w:rFonts w:hint="eastAsia"/>
        </w:rPr>
        <w:t>工程名称：</w:t>
      </w:r>
      <w:r>
        <w:t xml:space="preserve">                                                    </w:t>
      </w:r>
      <w:r>
        <w:rPr>
          <w:rFonts w:hint="eastAsia"/>
        </w:rPr>
        <w:t>第</w:t>
      </w:r>
      <w:r>
        <w:t xml:space="preserve">     </w:t>
      </w:r>
      <w:r>
        <w:rPr>
          <w:rFonts w:hint="eastAsia"/>
        </w:rPr>
        <w:t>页</w:t>
      </w:r>
      <w:r>
        <w:t xml:space="preserve"> </w:t>
      </w:r>
      <w:r>
        <w:rPr>
          <w:rFonts w:hint="eastAsia"/>
        </w:rPr>
        <w:t>共</w:t>
      </w:r>
      <w:r>
        <w:t xml:space="preserve">     </w:t>
      </w:r>
      <w:r>
        <w:rPr>
          <w:rFonts w:hint="eastAsia"/>
        </w:rPr>
        <w:t>页</w:t>
      </w:r>
    </w:p>
    <w:tbl>
      <w:tblPr>
        <w:tblStyle w:val="53"/>
        <w:tblW w:w="0" w:type="auto"/>
        <w:tblInd w:w="-31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18"/>
        <w:gridCol w:w="93"/>
        <w:gridCol w:w="299"/>
        <w:gridCol w:w="367"/>
        <w:gridCol w:w="682"/>
        <w:gridCol w:w="1077"/>
        <w:gridCol w:w="992"/>
        <w:gridCol w:w="567"/>
        <w:gridCol w:w="1134"/>
        <w:gridCol w:w="391"/>
        <w:gridCol w:w="885"/>
        <w:gridCol w:w="142"/>
        <w:gridCol w:w="425"/>
        <w:gridCol w:w="567"/>
        <w:gridCol w:w="567"/>
        <w:gridCol w:w="532"/>
        <w:gridCol w:w="177"/>
        <w:gridCol w:w="709"/>
        <w:gridCol w:w="14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gridAfter w:val="3"/>
          <w:wBefore w:w="318" w:type="dxa"/>
          <w:wAfter w:w="1027" w:type="dxa"/>
          <w:trHeight w:val="11898" w:hRule="atLeast"/>
        </w:trPr>
        <w:tc>
          <w:tcPr>
            <w:tcW w:w="8720" w:type="dxa"/>
            <w:gridSpan w:val="15"/>
            <w:noWrap w:val="0"/>
            <w:vAlign w:val="top"/>
          </w:tcPr>
          <w:p>
            <w:pPr>
              <w:kinsoku/>
              <w:overflowPunct/>
              <w:topLinePunct w:val="0"/>
              <w:bidi w:val="0"/>
              <w:spacing w:line="300" w:lineRule="auto"/>
              <w:ind w:firstLine="424" w:firstLineChars="177"/>
              <w:rPr>
                <w:sz w:val="24"/>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wBefore w:w="0" w:type="dxa"/>
          <w:wAfter w:w="0" w:type="dxa"/>
          <w:trHeight w:val="765" w:hRule="atLeast"/>
        </w:trPr>
        <w:tc>
          <w:tcPr>
            <w:tcW w:w="10065" w:type="dxa"/>
            <w:gridSpan w:val="19"/>
            <w:shd w:val="clear" w:color="auto" w:fill="FFFFFF"/>
            <w:noWrap w:val="0"/>
            <w:vAlign w:val="center"/>
          </w:tcPr>
          <w:p>
            <w:pPr>
              <w:kinsoku/>
              <w:overflowPunct/>
              <w:topLinePunct w:val="0"/>
              <w:bidi w:val="0"/>
              <w:spacing w:line="300" w:lineRule="auto"/>
              <w:ind w:firstLine="803"/>
              <w:jc w:val="center"/>
              <w:rPr>
                <w:rFonts w:ascii="宋体" w:cs="Arial"/>
                <w:b/>
                <w:bCs/>
                <w:color w:val="000000"/>
                <w:sz w:val="40"/>
                <w:szCs w:val="40"/>
              </w:rPr>
            </w:pPr>
            <w:r>
              <w:rPr>
                <w:rFonts w:hint="eastAsia" w:ascii="宋体" w:hAnsi="宋体" w:cs="Arial"/>
                <w:b/>
                <w:bCs/>
                <w:color w:val="000000"/>
                <w:sz w:val="40"/>
                <w:szCs w:val="40"/>
              </w:rPr>
              <w:t>投标报价费用表</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wBefore w:w="0" w:type="dxa"/>
          <w:wAfter w:w="0" w:type="dxa"/>
          <w:trHeight w:val="435" w:hRule="atLeast"/>
        </w:trPr>
        <w:tc>
          <w:tcPr>
            <w:tcW w:w="4395" w:type="dxa"/>
            <w:gridSpan w:val="8"/>
            <w:shd w:val="clear" w:color="auto" w:fill="FFFFFF"/>
            <w:noWrap w:val="0"/>
            <w:vAlign w:val="bottom"/>
          </w:tcPr>
          <w:p>
            <w:pPr>
              <w:kinsoku/>
              <w:overflowPunct/>
              <w:topLinePunct w:val="0"/>
              <w:bidi w:val="0"/>
              <w:spacing w:line="300" w:lineRule="auto"/>
              <w:ind w:firstLine="360"/>
              <w:rPr>
                <w:rFonts w:ascii="宋体" w:cs="Arial"/>
                <w:color w:val="000000"/>
                <w:sz w:val="18"/>
                <w:szCs w:val="18"/>
              </w:rPr>
            </w:pPr>
            <w:r>
              <w:rPr>
                <w:rFonts w:hint="eastAsia" w:ascii="宋体" w:hAnsi="宋体" w:cs="Arial"/>
                <w:color w:val="000000"/>
                <w:sz w:val="18"/>
                <w:szCs w:val="18"/>
              </w:rPr>
              <w:t>工程名称</w:t>
            </w:r>
            <w:r>
              <w:rPr>
                <w:rFonts w:ascii="宋体" w:hAnsi="宋体" w:cs="Arial"/>
                <w:color w:val="000000"/>
                <w:sz w:val="18"/>
                <w:szCs w:val="18"/>
              </w:rPr>
              <w:t xml:space="preserve"> </w:t>
            </w:r>
          </w:p>
        </w:tc>
        <w:tc>
          <w:tcPr>
            <w:tcW w:w="1525" w:type="dxa"/>
            <w:gridSpan w:val="2"/>
            <w:shd w:val="clear" w:color="auto" w:fill="FFFFFF"/>
            <w:noWrap w:val="0"/>
            <w:vAlign w:val="bottom"/>
          </w:tcPr>
          <w:p>
            <w:pPr>
              <w:kinsoku/>
              <w:overflowPunct/>
              <w:topLinePunct w:val="0"/>
              <w:bidi w:val="0"/>
              <w:spacing w:line="300" w:lineRule="auto"/>
              <w:ind w:firstLine="360"/>
              <w:rPr>
                <w:rFonts w:ascii="宋体" w:cs="Arial"/>
                <w:color w:val="000000"/>
                <w:sz w:val="18"/>
                <w:szCs w:val="18"/>
              </w:rPr>
            </w:pPr>
          </w:p>
        </w:tc>
        <w:tc>
          <w:tcPr>
            <w:tcW w:w="1452" w:type="dxa"/>
            <w:gridSpan w:val="3"/>
            <w:shd w:val="clear" w:color="auto" w:fill="FFFFFF"/>
            <w:noWrap w:val="0"/>
            <w:vAlign w:val="bottom"/>
          </w:tcPr>
          <w:p>
            <w:pPr>
              <w:kinsoku/>
              <w:overflowPunct/>
              <w:topLinePunct w:val="0"/>
              <w:bidi w:val="0"/>
              <w:spacing w:line="300" w:lineRule="auto"/>
              <w:ind w:firstLine="360"/>
              <w:rPr>
                <w:rFonts w:ascii="宋体" w:cs="Arial"/>
                <w:color w:val="000000"/>
                <w:sz w:val="18"/>
                <w:szCs w:val="18"/>
              </w:rPr>
            </w:pPr>
          </w:p>
        </w:tc>
        <w:tc>
          <w:tcPr>
            <w:tcW w:w="2693" w:type="dxa"/>
            <w:gridSpan w:val="6"/>
            <w:shd w:val="clear" w:color="auto" w:fill="FFFFFF"/>
            <w:noWrap w:val="0"/>
            <w:vAlign w:val="bottom"/>
          </w:tcPr>
          <w:p>
            <w:pPr>
              <w:kinsoku/>
              <w:wordWrap w:val="0"/>
              <w:overflowPunct/>
              <w:topLinePunct w:val="0"/>
              <w:bidi w:val="0"/>
              <w:spacing w:line="300" w:lineRule="auto"/>
              <w:ind w:firstLine="360"/>
              <w:jc w:val="right"/>
              <w:rPr>
                <w:rFonts w:ascii="宋体" w:cs="Arial"/>
                <w:color w:val="000000"/>
                <w:sz w:val="18"/>
                <w:szCs w:val="18"/>
              </w:rPr>
            </w:pPr>
            <w:r>
              <w:rPr>
                <w:rFonts w:hint="eastAsia" w:ascii="宋体" w:hAnsi="宋体" w:cs="Arial"/>
                <w:color w:val="000000"/>
                <w:sz w:val="18"/>
                <w:szCs w:val="18"/>
              </w:rPr>
              <w:t>第</w:t>
            </w:r>
            <w:r>
              <w:rPr>
                <w:rFonts w:ascii="宋体" w:hAnsi="宋体" w:cs="Arial"/>
                <w:color w:val="000000"/>
                <w:sz w:val="18"/>
                <w:szCs w:val="18"/>
              </w:rPr>
              <w:t xml:space="preserve">   </w:t>
            </w:r>
            <w:r>
              <w:rPr>
                <w:rFonts w:hint="eastAsia" w:ascii="宋体" w:hAnsi="宋体" w:cs="Arial"/>
                <w:color w:val="000000"/>
                <w:sz w:val="18"/>
                <w:szCs w:val="18"/>
              </w:rPr>
              <w:t>页</w:t>
            </w:r>
            <w:r>
              <w:rPr>
                <w:rFonts w:ascii="宋体" w:hAnsi="宋体" w:cs="Arial"/>
                <w:color w:val="000000"/>
                <w:sz w:val="18"/>
                <w:szCs w:val="18"/>
              </w:rPr>
              <w:t xml:space="preserve"> </w:t>
            </w:r>
            <w:r>
              <w:rPr>
                <w:rFonts w:hint="eastAsia" w:ascii="宋体" w:hAnsi="宋体" w:cs="Arial"/>
                <w:color w:val="000000"/>
                <w:sz w:val="18"/>
                <w:szCs w:val="18"/>
              </w:rPr>
              <w:t>共</w:t>
            </w:r>
            <w:r>
              <w:rPr>
                <w:rFonts w:ascii="宋体" w:hAnsi="宋体" w:cs="Arial"/>
                <w:color w:val="000000"/>
                <w:sz w:val="18"/>
                <w:szCs w:val="18"/>
              </w:rPr>
              <w:t xml:space="preserve">  </w:t>
            </w:r>
            <w:r>
              <w:rPr>
                <w:rFonts w:hint="eastAsia" w:ascii="宋体" w:hAnsi="宋体" w:cs="Arial"/>
                <w:color w:val="000000"/>
                <w:sz w:val="18"/>
                <w:szCs w:val="18"/>
              </w:rPr>
              <w:t>页</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wBefore w:w="0" w:type="dxa"/>
          <w:wAfter w:w="0" w:type="dxa"/>
          <w:trHeight w:val="435" w:hRule="atLeast"/>
        </w:trPr>
        <w:tc>
          <w:tcPr>
            <w:tcW w:w="710" w:type="dxa"/>
            <w:gridSpan w:val="3"/>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r>
              <w:rPr>
                <w:rFonts w:hint="eastAsia" w:ascii="宋体" w:hAnsi="宋体" w:cs="Arial"/>
                <w:color w:val="000000"/>
                <w:sz w:val="18"/>
                <w:szCs w:val="18"/>
              </w:rPr>
              <w:t>序号</w:t>
            </w:r>
          </w:p>
        </w:tc>
        <w:tc>
          <w:tcPr>
            <w:tcW w:w="2126" w:type="dxa"/>
            <w:gridSpan w:val="3"/>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r>
              <w:rPr>
                <w:rFonts w:hint="eastAsia" w:ascii="宋体" w:hAnsi="宋体" w:cs="Arial"/>
                <w:color w:val="000000"/>
                <w:sz w:val="18"/>
                <w:szCs w:val="18"/>
              </w:rPr>
              <w:t>工程名称</w:t>
            </w:r>
          </w:p>
        </w:tc>
        <w:tc>
          <w:tcPr>
            <w:tcW w:w="1559" w:type="dxa"/>
            <w:gridSpan w:val="2"/>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r>
              <w:rPr>
                <w:rFonts w:hint="eastAsia" w:ascii="宋体" w:hAnsi="宋体" w:cs="Arial"/>
                <w:color w:val="000000"/>
                <w:sz w:val="18"/>
                <w:szCs w:val="18"/>
              </w:rPr>
              <w:t>金额</w:t>
            </w:r>
            <w:r>
              <w:rPr>
                <w:rFonts w:ascii="宋体" w:hAnsi="宋体" w:cs="Arial"/>
                <w:color w:val="000000"/>
                <w:sz w:val="18"/>
                <w:szCs w:val="18"/>
              </w:rPr>
              <w:t>(</w:t>
            </w:r>
            <w:r>
              <w:rPr>
                <w:rFonts w:hint="eastAsia" w:ascii="宋体" w:hAnsi="宋体" w:cs="Arial"/>
                <w:color w:val="000000"/>
                <w:sz w:val="18"/>
                <w:szCs w:val="18"/>
              </w:rPr>
              <w:t>元</w:t>
            </w:r>
            <w:r>
              <w:rPr>
                <w:rFonts w:ascii="宋体" w:hAnsi="宋体" w:cs="Arial"/>
                <w:color w:val="000000"/>
                <w:sz w:val="18"/>
                <w:szCs w:val="18"/>
              </w:rPr>
              <w:t>)</w:t>
            </w:r>
          </w:p>
        </w:tc>
        <w:tc>
          <w:tcPr>
            <w:tcW w:w="4820" w:type="dxa"/>
            <w:gridSpan w:val="9"/>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r>
              <w:rPr>
                <w:rFonts w:hint="eastAsia" w:ascii="宋体" w:hAnsi="宋体" w:cs="Arial"/>
                <w:color w:val="000000"/>
                <w:sz w:val="18"/>
                <w:szCs w:val="18"/>
              </w:rPr>
              <w:t>其中：（元）</w:t>
            </w:r>
          </w:p>
        </w:tc>
        <w:tc>
          <w:tcPr>
            <w:tcW w:w="850" w:type="dxa"/>
            <w:gridSpan w:val="2"/>
            <w:vMerge w:val="restart"/>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r>
              <w:rPr>
                <w:rFonts w:hint="eastAsia" w:ascii="宋体" w:hAnsi="宋体" w:cs="Arial"/>
                <w:color w:val="000000"/>
                <w:sz w:val="18"/>
                <w:szCs w:val="18"/>
              </w:rPr>
              <w:t>备注</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wBefore w:w="0" w:type="dxa"/>
          <w:wAfter w:w="0" w:type="dxa"/>
          <w:trHeight w:val="480" w:hRule="atLeast"/>
        </w:trPr>
        <w:tc>
          <w:tcPr>
            <w:tcW w:w="710" w:type="dxa"/>
            <w:gridSpan w:val="3"/>
            <w:vMerge w:val="continue"/>
            <w:tcBorders>
              <w:top w:val="single" w:color="000000" w:sz="4" w:space="0"/>
              <w:left w:val="single" w:color="000000" w:sz="4" w:space="0"/>
            </w:tcBorders>
            <w:shd w:val="clear" w:color="auto" w:fill="auto"/>
            <w:noWrap w:val="0"/>
            <w:vAlign w:val="center"/>
          </w:tcPr>
          <w:p>
            <w:pPr>
              <w:kinsoku/>
              <w:overflowPunct/>
              <w:topLinePunct w:val="0"/>
              <w:bidi w:val="0"/>
              <w:spacing w:line="300" w:lineRule="auto"/>
              <w:ind w:firstLine="360"/>
              <w:rPr>
                <w:rFonts w:ascii="宋体" w:cs="Arial"/>
                <w:color w:val="000000"/>
                <w:sz w:val="18"/>
                <w:szCs w:val="18"/>
              </w:rPr>
            </w:pPr>
          </w:p>
        </w:tc>
        <w:tc>
          <w:tcPr>
            <w:tcW w:w="2126" w:type="dxa"/>
            <w:gridSpan w:val="3"/>
            <w:vMerge w:val="continue"/>
            <w:tcBorders>
              <w:top w:val="single" w:color="000000" w:sz="4" w:space="0"/>
              <w:left w:val="single" w:color="000000" w:sz="4" w:space="0"/>
            </w:tcBorders>
            <w:shd w:val="clear" w:color="auto" w:fill="auto"/>
            <w:noWrap w:val="0"/>
            <w:vAlign w:val="center"/>
          </w:tcPr>
          <w:p>
            <w:pPr>
              <w:kinsoku/>
              <w:overflowPunct/>
              <w:topLinePunct w:val="0"/>
              <w:bidi w:val="0"/>
              <w:spacing w:line="300" w:lineRule="auto"/>
              <w:ind w:firstLine="360"/>
              <w:rPr>
                <w:rFonts w:ascii="宋体" w:cs="Arial"/>
                <w:color w:val="000000"/>
                <w:sz w:val="18"/>
                <w:szCs w:val="18"/>
              </w:rPr>
            </w:pPr>
          </w:p>
        </w:tc>
        <w:tc>
          <w:tcPr>
            <w:tcW w:w="1559" w:type="dxa"/>
            <w:gridSpan w:val="2"/>
            <w:vMerge w:val="continue"/>
            <w:tcBorders>
              <w:top w:val="single" w:color="000000" w:sz="4" w:space="0"/>
              <w:left w:val="single" w:color="000000" w:sz="4" w:space="0"/>
            </w:tcBorders>
            <w:shd w:val="clear" w:color="auto" w:fill="auto"/>
            <w:noWrap w:val="0"/>
            <w:vAlign w:val="center"/>
          </w:tcPr>
          <w:p>
            <w:pPr>
              <w:kinsoku/>
              <w:overflowPunct/>
              <w:topLinePunct w:val="0"/>
              <w:bidi w:val="0"/>
              <w:spacing w:line="300" w:lineRule="auto"/>
              <w:ind w:firstLine="360"/>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r>
              <w:rPr>
                <w:rFonts w:hint="eastAsia" w:ascii="宋体" w:hAnsi="宋体" w:cs="Arial"/>
                <w:color w:val="000000"/>
                <w:sz w:val="18"/>
                <w:szCs w:val="18"/>
              </w:rPr>
              <w:t>暂估价</w:t>
            </w:r>
          </w:p>
        </w:tc>
        <w:tc>
          <w:tcPr>
            <w:tcW w:w="127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r>
              <w:rPr>
                <w:rFonts w:hint="eastAsia" w:ascii="宋体" w:hAnsi="宋体" w:cs="Arial"/>
                <w:color w:val="000000"/>
                <w:sz w:val="18"/>
                <w:szCs w:val="18"/>
              </w:rPr>
              <w:t>安全文明</w:t>
            </w:r>
            <w:r>
              <w:rPr>
                <w:rFonts w:ascii="宋体" w:cs="Arial"/>
                <w:color w:val="000000"/>
                <w:sz w:val="18"/>
                <w:szCs w:val="18"/>
              </w:rPr>
              <w:br w:type="textWrapping"/>
            </w:r>
            <w:r>
              <w:rPr>
                <w:rFonts w:hint="eastAsia" w:ascii="宋体" w:hAnsi="宋体" w:cs="Arial"/>
                <w:color w:val="000000"/>
                <w:sz w:val="18"/>
                <w:szCs w:val="18"/>
              </w:rPr>
              <w:t>施工基本费</w:t>
            </w:r>
          </w:p>
        </w:tc>
        <w:tc>
          <w:tcPr>
            <w:tcW w:w="113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r>
              <w:rPr>
                <w:rFonts w:hint="eastAsia" w:ascii="宋体" w:hAnsi="宋体" w:cs="Arial"/>
                <w:color w:val="000000"/>
                <w:sz w:val="18"/>
                <w:szCs w:val="18"/>
              </w:rPr>
              <w:t>规费</w:t>
            </w:r>
          </w:p>
        </w:tc>
        <w:tc>
          <w:tcPr>
            <w:tcW w:w="1276"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r>
              <w:rPr>
                <w:rFonts w:hint="eastAsia" w:ascii="宋体" w:hAnsi="宋体" w:cs="Arial"/>
                <w:color w:val="000000"/>
                <w:sz w:val="18"/>
                <w:szCs w:val="18"/>
              </w:rPr>
              <w:t>税金</w:t>
            </w:r>
          </w:p>
        </w:tc>
        <w:tc>
          <w:tcPr>
            <w:tcW w:w="850" w:type="dxa"/>
            <w:gridSpan w:val="2"/>
            <w:vMerge w:val="continue"/>
            <w:tcBorders>
              <w:top w:val="single" w:color="000000" w:sz="4" w:space="0"/>
              <w:left w:val="single" w:color="000000" w:sz="4" w:space="0"/>
              <w:right w:val="single" w:color="000000" w:sz="4" w:space="0"/>
            </w:tcBorders>
            <w:noWrap w:val="0"/>
            <w:vAlign w:val="center"/>
          </w:tcPr>
          <w:p>
            <w:pPr>
              <w:kinsoku/>
              <w:overflowPunct/>
              <w:topLinePunct w:val="0"/>
              <w:bidi w:val="0"/>
              <w:spacing w:line="300" w:lineRule="auto"/>
              <w:ind w:firstLine="360"/>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wBefore w:w="0" w:type="dxa"/>
          <w:wAfter w:w="0" w:type="dxa"/>
          <w:trHeight w:val="435" w:hRule="atLeast"/>
        </w:trPr>
        <w:tc>
          <w:tcPr>
            <w:tcW w:w="71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r>
              <w:rPr>
                <w:rFonts w:ascii="宋体" w:hAnsi="宋体" w:cs="Arial"/>
                <w:color w:val="000000"/>
                <w:sz w:val="18"/>
                <w:szCs w:val="18"/>
              </w:rPr>
              <w:t>1</w:t>
            </w:r>
          </w:p>
        </w:tc>
        <w:tc>
          <w:tcPr>
            <w:tcW w:w="212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r>
              <w:rPr>
                <w:rFonts w:hint="eastAsia" w:ascii="宋体" w:hAnsi="宋体" w:cs="Arial"/>
                <w:color w:val="000000"/>
                <w:sz w:val="18"/>
                <w:szCs w:val="18"/>
              </w:rPr>
              <w:t>单位工程</w:t>
            </w:r>
          </w:p>
        </w:tc>
        <w:tc>
          <w:tcPr>
            <w:tcW w:w="155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276" w:type="dxa"/>
            <w:gridSpan w:val="2"/>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13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27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850" w:type="dxa"/>
            <w:gridSpan w:val="2"/>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wBefore w:w="0" w:type="dxa"/>
          <w:wAfter w:w="0" w:type="dxa"/>
          <w:trHeight w:val="450" w:hRule="atLeast"/>
        </w:trPr>
        <w:tc>
          <w:tcPr>
            <w:tcW w:w="71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r>
              <w:rPr>
                <w:rFonts w:ascii="宋体" w:hAnsi="宋体" w:cs="Arial"/>
                <w:color w:val="000000"/>
                <w:sz w:val="18"/>
                <w:szCs w:val="18"/>
              </w:rPr>
              <w:t>1.1</w:t>
            </w:r>
          </w:p>
        </w:tc>
        <w:tc>
          <w:tcPr>
            <w:tcW w:w="212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r>
              <w:rPr>
                <w:rFonts w:hint="eastAsia" w:ascii="宋体" w:hAnsi="宋体" w:cs="Arial"/>
                <w:color w:val="000000"/>
                <w:sz w:val="18"/>
                <w:szCs w:val="18"/>
              </w:rPr>
              <w:t>专业工程</w:t>
            </w:r>
          </w:p>
        </w:tc>
        <w:tc>
          <w:tcPr>
            <w:tcW w:w="155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276" w:type="dxa"/>
            <w:gridSpan w:val="2"/>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13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27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850" w:type="dxa"/>
            <w:gridSpan w:val="2"/>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wBefore w:w="0" w:type="dxa"/>
          <w:wAfter w:w="0" w:type="dxa"/>
          <w:trHeight w:val="435" w:hRule="atLeast"/>
        </w:trPr>
        <w:tc>
          <w:tcPr>
            <w:tcW w:w="71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r>
              <w:rPr>
                <w:rFonts w:ascii="宋体" w:hAnsi="宋体" w:cs="Arial"/>
                <w:color w:val="000000"/>
                <w:sz w:val="18"/>
                <w:szCs w:val="18"/>
              </w:rPr>
              <w:t>1.2</w:t>
            </w:r>
          </w:p>
        </w:tc>
        <w:tc>
          <w:tcPr>
            <w:tcW w:w="212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r>
              <w:rPr>
                <w:rFonts w:hint="eastAsia" w:ascii="宋体" w:hAnsi="宋体" w:cs="Arial"/>
                <w:color w:val="000000"/>
                <w:sz w:val="18"/>
                <w:szCs w:val="18"/>
              </w:rPr>
              <w:t>专业工程</w:t>
            </w:r>
          </w:p>
        </w:tc>
        <w:tc>
          <w:tcPr>
            <w:tcW w:w="155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276" w:type="dxa"/>
            <w:gridSpan w:val="2"/>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13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27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850" w:type="dxa"/>
            <w:gridSpan w:val="2"/>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wBefore w:w="0" w:type="dxa"/>
          <w:wAfter w:w="0" w:type="dxa"/>
          <w:trHeight w:val="450" w:hRule="atLeast"/>
        </w:trPr>
        <w:tc>
          <w:tcPr>
            <w:tcW w:w="71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r>
              <w:rPr>
                <w:rFonts w:hint="eastAsia" w:ascii="宋体" w:cs="Arial"/>
                <w:color w:val="000000"/>
                <w:sz w:val="18"/>
                <w:szCs w:val="18"/>
              </w:rPr>
              <w:t>……</w:t>
            </w:r>
          </w:p>
        </w:tc>
        <w:tc>
          <w:tcPr>
            <w:tcW w:w="212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c>
          <w:tcPr>
            <w:tcW w:w="155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276" w:type="dxa"/>
            <w:gridSpan w:val="2"/>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13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27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850" w:type="dxa"/>
            <w:gridSpan w:val="2"/>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wBefore w:w="0" w:type="dxa"/>
          <w:wAfter w:w="0" w:type="dxa"/>
          <w:trHeight w:val="450" w:hRule="atLeast"/>
        </w:trPr>
        <w:tc>
          <w:tcPr>
            <w:tcW w:w="71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r>
              <w:rPr>
                <w:rFonts w:ascii="宋体" w:hAnsi="宋体" w:cs="Arial"/>
                <w:color w:val="000000"/>
                <w:sz w:val="18"/>
                <w:szCs w:val="18"/>
              </w:rPr>
              <w:t>2</w:t>
            </w:r>
          </w:p>
        </w:tc>
        <w:tc>
          <w:tcPr>
            <w:tcW w:w="212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r>
              <w:rPr>
                <w:rFonts w:hint="eastAsia" w:ascii="宋体" w:hAnsi="宋体" w:cs="Arial"/>
                <w:color w:val="000000"/>
                <w:sz w:val="18"/>
                <w:szCs w:val="18"/>
              </w:rPr>
              <w:t>单位工程</w:t>
            </w:r>
          </w:p>
        </w:tc>
        <w:tc>
          <w:tcPr>
            <w:tcW w:w="155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276" w:type="dxa"/>
            <w:gridSpan w:val="2"/>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13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27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850" w:type="dxa"/>
            <w:gridSpan w:val="2"/>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wBefore w:w="0" w:type="dxa"/>
          <w:wAfter w:w="0" w:type="dxa"/>
          <w:trHeight w:val="450" w:hRule="atLeast"/>
        </w:trPr>
        <w:tc>
          <w:tcPr>
            <w:tcW w:w="71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r>
              <w:rPr>
                <w:rFonts w:ascii="宋体" w:hAnsi="宋体" w:cs="Arial"/>
                <w:color w:val="000000"/>
                <w:sz w:val="18"/>
                <w:szCs w:val="18"/>
              </w:rPr>
              <w:t>2.1</w:t>
            </w:r>
          </w:p>
        </w:tc>
        <w:tc>
          <w:tcPr>
            <w:tcW w:w="212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r>
              <w:rPr>
                <w:rFonts w:hint="eastAsia" w:ascii="宋体" w:hAnsi="宋体" w:cs="Arial"/>
                <w:color w:val="000000"/>
                <w:sz w:val="18"/>
                <w:szCs w:val="18"/>
              </w:rPr>
              <w:t>专业工程</w:t>
            </w:r>
          </w:p>
        </w:tc>
        <w:tc>
          <w:tcPr>
            <w:tcW w:w="155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276" w:type="dxa"/>
            <w:gridSpan w:val="2"/>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13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27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850" w:type="dxa"/>
            <w:gridSpan w:val="2"/>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wBefore w:w="0" w:type="dxa"/>
          <w:wAfter w:w="0" w:type="dxa"/>
          <w:trHeight w:val="450" w:hRule="atLeast"/>
        </w:trPr>
        <w:tc>
          <w:tcPr>
            <w:tcW w:w="71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r>
              <w:rPr>
                <w:rFonts w:ascii="宋体" w:hAnsi="宋体" w:cs="Arial"/>
                <w:color w:val="000000"/>
                <w:sz w:val="18"/>
                <w:szCs w:val="18"/>
              </w:rPr>
              <w:t>2.2</w:t>
            </w:r>
          </w:p>
        </w:tc>
        <w:tc>
          <w:tcPr>
            <w:tcW w:w="212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r>
              <w:rPr>
                <w:rFonts w:hint="eastAsia" w:ascii="宋体" w:hAnsi="宋体" w:cs="Arial"/>
                <w:color w:val="000000"/>
                <w:sz w:val="18"/>
                <w:szCs w:val="18"/>
              </w:rPr>
              <w:t>专业工程</w:t>
            </w:r>
          </w:p>
        </w:tc>
        <w:tc>
          <w:tcPr>
            <w:tcW w:w="155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276" w:type="dxa"/>
            <w:gridSpan w:val="2"/>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13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27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850" w:type="dxa"/>
            <w:gridSpan w:val="2"/>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wBefore w:w="0" w:type="dxa"/>
          <w:wAfter w:w="0" w:type="dxa"/>
          <w:trHeight w:val="435" w:hRule="atLeast"/>
        </w:trPr>
        <w:tc>
          <w:tcPr>
            <w:tcW w:w="71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r>
              <w:rPr>
                <w:rFonts w:hint="eastAsia" w:ascii="宋体" w:cs="Arial"/>
                <w:color w:val="000000"/>
                <w:sz w:val="18"/>
                <w:szCs w:val="18"/>
              </w:rPr>
              <w:t>……</w:t>
            </w:r>
          </w:p>
        </w:tc>
        <w:tc>
          <w:tcPr>
            <w:tcW w:w="212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c>
          <w:tcPr>
            <w:tcW w:w="155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276" w:type="dxa"/>
            <w:gridSpan w:val="2"/>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13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27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850" w:type="dxa"/>
            <w:gridSpan w:val="2"/>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wBefore w:w="0" w:type="dxa"/>
          <w:wAfter w:w="0" w:type="dxa"/>
          <w:trHeight w:val="450" w:hRule="atLeast"/>
        </w:trPr>
        <w:tc>
          <w:tcPr>
            <w:tcW w:w="71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p>
        </w:tc>
        <w:tc>
          <w:tcPr>
            <w:tcW w:w="212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c>
          <w:tcPr>
            <w:tcW w:w="155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276" w:type="dxa"/>
            <w:gridSpan w:val="2"/>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13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27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850" w:type="dxa"/>
            <w:gridSpan w:val="2"/>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wBefore w:w="0" w:type="dxa"/>
          <w:wAfter w:w="0" w:type="dxa"/>
          <w:trHeight w:val="435" w:hRule="atLeast"/>
        </w:trPr>
        <w:tc>
          <w:tcPr>
            <w:tcW w:w="71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p>
        </w:tc>
        <w:tc>
          <w:tcPr>
            <w:tcW w:w="212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c>
          <w:tcPr>
            <w:tcW w:w="155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276" w:type="dxa"/>
            <w:gridSpan w:val="2"/>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13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27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850" w:type="dxa"/>
            <w:gridSpan w:val="2"/>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wBefore w:w="0" w:type="dxa"/>
          <w:wAfter w:w="0" w:type="dxa"/>
          <w:trHeight w:val="435" w:hRule="atLeast"/>
        </w:trPr>
        <w:tc>
          <w:tcPr>
            <w:tcW w:w="71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p>
        </w:tc>
        <w:tc>
          <w:tcPr>
            <w:tcW w:w="212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c>
          <w:tcPr>
            <w:tcW w:w="155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276" w:type="dxa"/>
            <w:gridSpan w:val="2"/>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13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27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850" w:type="dxa"/>
            <w:gridSpan w:val="2"/>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wBefore w:w="0" w:type="dxa"/>
          <w:wAfter w:w="0" w:type="dxa"/>
          <w:trHeight w:val="435" w:hRule="atLeast"/>
        </w:trPr>
        <w:tc>
          <w:tcPr>
            <w:tcW w:w="71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p>
        </w:tc>
        <w:tc>
          <w:tcPr>
            <w:tcW w:w="212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c>
          <w:tcPr>
            <w:tcW w:w="155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276" w:type="dxa"/>
            <w:gridSpan w:val="2"/>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13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27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850" w:type="dxa"/>
            <w:gridSpan w:val="2"/>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wBefore w:w="0" w:type="dxa"/>
          <w:wAfter w:w="0" w:type="dxa"/>
          <w:trHeight w:val="435" w:hRule="atLeast"/>
        </w:trPr>
        <w:tc>
          <w:tcPr>
            <w:tcW w:w="71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p>
        </w:tc>
        <w:tc>
          <w:tcPr>
            <w:tcW w:w="212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c>
          <w:tcPr>
            <w:tcW w:w="155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276" w:type="dxa"/>
            <w:gridSpan w:val="2"/>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13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27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850" w:type="dxa"/>
            <w:gridSpan w:val="2"/>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wBefore w:w="0" w:type="dxa"/>
          <w:wAfter w:w="0" w:type="dxa"/>
          <w:trHeight w:val="435" w:hRule="atLeast"/>
        </w:trPr>
        <w:tc>
          <w:tcPr>
            <w:tcW w:w="71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p>
        </w:tc>
        <w:tc>
          <w:tcPr>
            <w:tcW w:w="212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c>
          <w:tcPr>
            <w:tcW w:w="155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276" w:type="dxa"/>
            <w:gridSpan w:val="2"/>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13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27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850" w:type="dxa"/>
            <w:gridSpan w:val="2"/>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wBefore w:w="0" w:type="dxa"/>
          <w:wAfter w:w="0" w:type="dxa"/>
          <w:trHeight w:val="435" w:hRule="atLeast"/>
        </w:trPr>
        <w:tc>
          <w:tcPr>
            <w:tcW w:w="71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p>
        </w:tc>
        <w:tc>
          <w:tcPr>
            <w:tcW w:w="212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c>
          <w:tcPr>
            <w:tcW w:w="155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276" w:type="dxa"/>
            <w:gridSpan w:val="2"/>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13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27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850" w:type="dxa"/>
            <w:gridSpan w:val="2"/>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wBefore w:w="0" w:type="dxa"/>
          <w:wAfter w:w="0" w:type="dxa"/>
          <w:trHeight w:val="435" w:hRule="atLeast"/>
        </w:trPr>
        <w:tc>
          <w:tcPr>
            <w:tcW w:w="71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p>
        </w:tc>
        <w:tc>
          <w:tcPr>
            <w:tcW w:w="212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c>
          <w:tcPr>
            <w:tcW w:w="155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276" w:type="dxa"/>
            <w:gridSpan w:val="2"/>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13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27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850" w:type="dxa"/>
            <w:gridSpan w:val="2"/>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wBefore w:w="0" w:type="dxa"/>
          <w:wAfter w:w="0" w:type="dxa"/>
          <w:trHeight w:val="435" w:hRule="atLeast"/>
        </w:trPr>
        <w:tc>
          <w:tcPr>
            <w:tcW w:w="71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p>
        </w:tc>
        <w:tc>
          <w:tcPr>
            <w:tcW w:w="212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c>
          <w:tcPr>
            <w:tcW w:w="155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276" w:type="dxa"/>
            <w:gridSpan w:val="2"/>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ind w:firstLine="360"/>
              <w:jc w:val="right"/>
              <w:rPr>
                <w:rFonts w:ascii="宋体" w:cs="Arial"/>
                <w:color w:val="000000"/>
                <w:sz w:val="18"/>
                <w:szCs w:val="18"/>
              </w:rPr>
            </w:pPr>
          </w:p>
        </w:tc>
        <w:tc>
          <w:tcPr>
            <w:tcW w:w="113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27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850" w:type="dxa"/>
            <w:gridSpan w:val="2"/>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ind w:firstLine="360"/>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wBefore w:w="0" w:type="dxa"/>
          <w:wAfter w:w="0" w:type="dxa"/>
          <w:trHeight w:val="435" w:hRule="atLeast"/>
        </w:trPr>
        <w:tc>
          <w:tcPr>
            <w:tcW w:w="2836" w:type="dxa"/>
            <w:gridSpan w:val="6"/>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r>
              <w:rPr>
                <w:rFonts w:hint="eastAsia" w:ascii="宋体" w:hAnsi="宋体" w:cs="Arial"/>
                <w:color w:val="000000"/>
                <w:sz w:val="18"/>
                <w:szCs w:val="18"/>
              </w:rPr>
              <w:t>合计</w:t>
            </w:r>
          </w:p>
        </w:tc>
        <w:tc>
          <w:tcPr>
            <w:tcW w:w="1559" w:type="dxa"/>
            <w:gridSpan w:val="2"/>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134" w:type="dxa"/>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276" w:type="dxa"/>
            <w:gridSpan w:val="2"/>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134" w:type="dxa"/>
            <w:gridSpan w:val="3"/>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1276" w:type="dxa"/>
            <w:gridSpan w:val="3"/>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ind w:firstLine="360"/>
              <w:jc w:val="right"/>
              <w:rPr>
                <w:rFonts w:ascii="宋体" w:cs="Arial"/>
                <w:color w:val="000000"/>
                <w:sz w:val="18"/>
                <w:szCs w:val="18"/>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insoku/>
              <w:overflowPunct/>
              <w:topLinePunct w:val="0"/>
              <w:bidi w:val="0"/>
              <w:spacing w:line="300" w:lineRule="auto"/>
              <w:ind w:firstLine="360"/>
              <w:jc w:val="center"/>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445" w:hRule="atLeast"/>
        </w:trPr>
        <w:tc>
          <w:tcPr>
            <w:tcW w:w="9513" w:type="dxa"/>
            <w:gridSpan w:val="16"/>
            <w:shd w:val="clear" w:color="auto" w:fill="FFFFFF"/>
            <w:noWrap w:val="0"/>
            <w:vAlign w:val="center"/>
          </w:tcPr>
          <w:p>
            <w:pPr>
              <w:kinsoku/>
              <w:overflowPunct/>
              <w:topLinePunct w:val="0"/>
              <w:bidi w:val="0"/>
              <w:spacing w:line="300" w:lineRule="auto"/>
              <w:jc w:val="center"/>
              <w:rPr>
                <w:rFonts w:ascii="宋体" w:cs="Arial"/>
                <w:b/>
                <w:bCs/>
                <w:color w:val="000000"/>
                <w:sz w:val="40"/>
                <w:szCs w:val="40"/>
              </w:rPr>
            </w:pPr>
            <w:r>
              <w:rPr>
                <w:rFonts w:hint="eastAsia" w:ascii="宋体" w:hAnsi="宋体" w:cs="Arial"/>
                <w:b/>
                <w:bCs/>
                <w:color w:val="000000"/>
                <w:sz w:val="40"/>
                <w:szCs w:val="40"/>
              </w:rPr>
              <w:t>单位（专业）工程投标报价费用表</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269" w:hRule="atLeast"/>
        </w:trPr>
        <w:tc>
          <w:tcPr>
            <w:tcW w:w="3417" w:type="dxa"/>
            <w:gridSpan w:val="5"/>
            <w:shd w:val="clear" w:color="auto" w:fill="FFFFFF"/>
            <w:noWrap w:val="0"/>
            <w:vAlign w:val="bottom"/>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工程名称</w:t>
            </w:r>
            <w:r>
              <w:rPr>
                <w:rFonts w:ascii="宋体" w:hAnsi="宋体" w:cs="Arial"/>
                <w:color w:val="000000"/>
                <w:sz w:val="18"/>
                <w:szCs w:val="18"/>
              </w:rPr>
              <w:t xml:space="preserve">: </w:t>
            </w:r>
          </w:p>
        </w:tc>
        <w:tc>
          <w:tcPr>
            <w:tcW w:w="3119" w:type="dxa"/>
            <w:gridSpan w:val="5"/>
            <w:shd w:val="clear" w:color="auto" w:fill="FFFFFF"/>
            <w:noWrap w:val="0"/>
            <w:vAlign w:val="bottom"/>
          </w:tcPr>
          <w:p>
            <w:pPr>
              <w:kinsoku/>
              <w:overflowPunct/>
              <w:topLinePunct w:val="0"/>
              <w:bidi w:val="0"/>
              <w:spacing w:line="300" w:lineRule="auto"/>
              <w:rPr>
                <w:rFonts w:ascii="宋体" w:cs="Arial"/>
                <w:color w:val="000000"/>
                <w:sz w:val="18"/>
                <w:szCs w:val="18"/>
              </w:rPr>
            </w:pPr>
          </w:p>
        </w:tc>
        <w:tc>
          <w:tcPr>
            <w:tcW w:w="2977" w:type="dxa"/>
            <w:gridSpan w:val="6"/>
            <w:shd w:val="clear" w:color="auto" w:fill="FFFFFF"/>
            <w:noWrap w:val="0"/>
            <w:vAlign w:val="bottom"/>
          </w:tcPr>
          <w:p>
            <w:pPr>
              <w:kinsoku/>
              <w:overflowPunct/>
              <w:topLinePunct w:val="0"/>
              <w:bidi w:val="0"/>
              <w:spacing w:line="300" w:lineRule="auto"/>
              <w:jc w:val="right"/>
              <w:rPr>
                <w:rFonts w:ascii="宋体" w:cs="Arial"/>
                <w:color w:val="000000"/>
                <w:sz w:val="18"/>
                <w:szCs w:val="18"/>
              </w:rPr>
            </w:pPr>
            <w:r>
              <w:rPr>
                <w:rFonts w:hint="eastAsia" w:ascii="宋体" w:hAnsi="宋体" w:cs="Arial"/>
                <w:color w:val="000000"/>
                <w:sz w:val="18"/>
                <w:szCs w:val="18"/>
              </w:rPr>
              <w:t>第</w:t>
            </w:r>
            <w:r>
              <w:rPr>
                <w:rFonts w:ascii="宋体" w:hAnsi="宋体" w:cs="Arial"/>
                <w:color w:val="000000"/>
                <w:sz w:val="18"/>
                <w:szCs w:val="18"/>
              </w:rPr>
              <w:t xml:space="preserve">  </w:t>
            </w:r>
            <w:r>
              <w:rPr>
                <w:rFonts w:hint="eastAsia" w:ascii="宋体" w:hAnsi="宋体" w:cs="Arial"/>
                <w:color w:val="000000"/>
                <w:sz w:val="18"/>
                <w:szCs w:val="18"/>
              </w:rPr>
              <w:t>页</w:t>
            </w:r>
            <w:r>
              <w:rPr>
                <w:rFonts w:ascii="宋体" w:hAnsi="宋体" w:cs="Arial"/>
                <w:color w:val="000000"/>
                <w:sz w:val="18"/>
                <w:szCs w:val="18"/>
              </w:rPr>
              <w:t xml:space="preserve"> </w:t>
            </w:r>
            <w:r>
              <w:rPr>
                <w:rFonts w:hint="eastAsia" w:ascii="宋体" w:hAnsi="宋体" w:cs="Arial"/>
                <w:color w:val="000000"/>
                <w:sz w:val="18"/>
                <w:szCs w:val="18"/>
              </w:rPr>
              <w:t>共</w:t>
            </w:r>
            <w:r>
              <w:rPr>
                <w:rFonts w:ascii="宋体" w:hAnsi="宋体" w:cs="Arial"/>
                <w:color w:val="000000"/>
                <w:sz w:val="18"/>
                <w:szCs w:val="18"/>
              </w:rPr>
              <w:t xml:space="preserve">  </w:t>
            </w:r>
            <w:r>
              <w:rPr>
                <w:rFonts w:hint="eastAsia" w:ascii="宋体" w:hAnsi="宋体" w:cs="Arial"/>
                <w:color w:val="000000"/>
                <w:sz w:val="18"/>
                <w:szCs w:val="18"/>
              </w:rPr>
              <w:t>页</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270" w:hRule="atLeast"/>
        </w:trPr>
        <w:tc>
          <w:tcPr>
            <w:tcW w:w="66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序号</w:t>
            </w:r>
          </w:p>
        </w:tc>
        <w:tc>
          <w:tcPr>
            <w:tcW w:w="275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费用名称</w:t>
            </w:r>
          </w:p>
        </w:tc>
        <w:tc>
          <w:tcPr>
            <w:tcW w:w="311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计算公式</w:t>
            </w:r>
          </w:p>
        </w:tc>
        <w:tc>
          <w:tcPr>
            <w:tcW w:w="15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金额</w:t>
            </w:r>
            <w:r>
              <w:rPr>
                <w:rFonts w:ascii="宋体" w:cs="Arial"/>
                <w:color w:val="000000"/>
                <w:sz w:val="18"/>
                <w:szCs w:val="18"/>
              </w:rPr>
              <w:br w:type="textWrapping"/>
            </w:r>
            <w:r>
              <w:rPr>
                <w:rFonts w:ascii="宋体" w:hAnsi="宋体" w:cs="Arial"/>
                <w:color w:val="000000"/>
                <w:sz w:val="18"/>
                <w:szCs w:val="18"/>
              </w:rPr>
              <w:t>(</w:t>
            </w:r>
            <w:r>
              <w:rPr>
                <w:rFonts w:hint="eastAsia" w:ascii="宋体" w:hAnsi="宋体" w:cs="Arial"/>
                <w:color w:val="000000"/>
                <w:sz w:val="18"/>
                <w:szCs w:val="18"/>
              </w:rPr>
              <w:t>元</w:t>
            </w:r>
            <w:r>
              <w:rPr>
                <w:rFonts w:ascii="宋体" w:hAnsi="宋体" w:cs="Arial"/>
                <w:color w:val="000000"/>
                <w:sz w:val="18"/>
                <w:szCs w:val="18"/>
              </w:rPr>
              <w:t>)</w:t>
            </w: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备注</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90" w:hRule="atLeast"/>
        </w:trPr>
        <w:tc>
          <w:tcPr>
            <w:tcW w:w="66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1</w:t>
            </w:r>
          </w:p>
        </w:tc>
        <w:tc>
          <w:tcPr>
            <w:tcW w:w="275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分部分项工程费</w:t>
            </w:r>
          </w:p>
        </w:tc>
        <w:tc>
          <w:tcPr>
            <w:tcW w:w="311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w:t>
            </w:r>
            <w:r>
              <w:rPr>
                <w:rFonts w:ascii="宋体" w:hAnsi="宋体" w:cs="Arial"/>
                <w:color w:val="000000"/>
                <w:sz w:val="18"/>
                <w:szCs w:val="18"/>
              </w:rPr>
              <w:t>(</w:t>
            </w:r>
            <w:r>
              <w:rPr>
                <w:rFonts w:hint="eastAsia" w:ascii="宋体" w:hAnsi="宋体" w:cs="Arial"/>
                <w:color w:val="000000"/>
                <w:sz w:val="18"/>
                <w:szCs w:val="18"/>
              </w:rPr>
              <w:t>分部分项工程量×综合单价）</w:t>
            </w:r>
          </w:p>
        </w:tc>
        <w:tc>
          <w:tcPr>
            <w:tcW w:w="15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90" w:hRule="atLeast"/>
        </w:trPr>
        <w:tc>
          <w:tcPr>
            <w:tcW w:w="66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其中</w:t>
            </w:r>
          </w:p>
        </w:tc>
        <w:tc>
          <w:tcPr>
            <w:tcW w:w="206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ascii="宋体" w:hAnsi="宋体" w:cs="Arial"/>
                <w:color w:val="000000"/>
                <w:sz w:val="18"/>
                <w:szCs w:val="18"/>
              </w:rPr>
              <w:t xml:space="preserve">1.1 </w:t>
            </w:r>
            <w:r>
              <w:rPr>
                <w:rFonts w:hint="eastAsia" w:ascii="宋体" w:hAnsi="宋体" w:cs="Arial"/>
                <w:color w:val="000000"/>
                <w:sz w:val="18"/>
                <w:szCs w:val="18"/>
              </w:rPr>
              <w:t>人工费</w:t>
            </w:r>
            <w:r>
              <w:rPr>
                <w:rFonts w:ascii="宋体" w:hAnsi="宋体" w:cs="Arial"/>
                <w:color w:val="000000"/>
                <w:sz w:val="18"/>
                <w:szCs w:val="18"/>
              </w:rPr>
              <w:t>+</w:t>
            </w:r>
            <w:r>
              <w:rPr>
                <w:rFonts w:hint="eastAsia" w:ascii="宋体" w:hAnsi="宋体" w:cs="Arial"/>
                <w:color w:val="000000"/>
                <w:sz w:val="18"/>
                <w:szCs w:val="18"/>
              </w:rPr>
              <w:t>机械费</w:t>
            </w:r>
          </w:p>
        </w:tc>
        <w:tc>
          <w:tcPr>
            <w:tcW w:w="311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∑分部分项（人工费</w:t>
            </w:r>
            <w:r>
              <w:rPr>
                <w:rFonts w:ascii="宋体" w:hAnsi="宋体" w:cs="Arial"/>
                <w:color w:val="000000"/>
                <w:sz w:val="18"/>
                <w:szCs w:val="18"/>
              </w:rPr>
              <w:t>+</w:t>
            </w:r>
            <w:r>
              <w:rPr>
                <w:rFonts w:hint="eastAsia" w:ascii="宋体" w:hAnsi="宋体" w:cs="Arial"/>
                <w:color w:val="000000"/>
                <w:sz w:val="18"/>
                <w:szCs w:val="18"/>
              </w:rPr>
              <w:t>机械费）</w:t>
            </w:r>
          </w:p>
        </w:tc>
        <w:tc>
          <w:tcPr>
            <w:tcW w:w="15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90" w:hRule="atLeast"/>
        </w:trPr>
        <w:tc>
          <w:tcPr>
            <w:tcW w:w="66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2</w:t>
            </w:r>
          </w:p>
        </w:tc>
        <w:tc>
          <w:tcPr>
            <w:tcW w:w="275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措施项目费</w:t>
            </w:r>
          </w:p>
        </w:tc>
        <w:tc>
          <w:tcPr>
            <w:tcW w:w="311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w:t>
            </w:r>
            <w:r>
              <w:rPr>
                <w:rFonts w:ascii="宋体" w:hAnsi="宋体" w:cs="Arial"/>
                <w:color w:val="000000"/>
                <w:sz w:val="18"/>
                <w:szCs w:val="18"/>
              </w:rPr>
              <w:t>2.1+2.2</w:t>
            </w:r>
            <w:r>
              <w:rPr>
                <w:rFonts w:hint="eastAsia" w:ascii="宋体" w:hAnsi="宋体" w:cs="Arial"/>
                <w:color w:val="000000"/>
                <w:sz w:val="18"/>
                <w:szCs w:val="18"/>
              </w:rPr>
              <w:t>）</w:t>
            </w:r>
          </w:p>
        </w:tc>
        <w:tc>
          <w:tcPr>
            <w:tcW w:w="15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90" w:hRule="atLeast"/>
        </w:trPr>
        <w:tc>
          <w:tcPr>
            <w:tcW w:w="66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2.1</w:t>
            </w:r>
          </w:p>
        </w:tc>
        <w:tc>
          <w:tcPr>
            <w:tcW w:w="275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施工技术措施项目费</w:t>
            </w:r>
          </w:p>
        </w:tc>
        <w:tc>
          <w:tcPr>
            <w:tcW w:w="311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w:t>
            </w:r>
            <w:r>
              <w:rPr>
                <w:rFonts w:ascii="宋体" w:hAnsi="宋体" w:cs="Arial"/>
                <w:color w:val="000000"/>
                <w:sz w:val="18"/>
                <w:szCs w:val="18"/>
              </w:rPr>
              <w:t>(</w:t>
            </w:r>
            <w:r>
              <w:rPr>
                <w:rFonts w:hint="eastAsia" w:ascii="宋体" w:hAnsi="宋体" w:cs="Arial"/>
                <w:color w:val="000000"/>
                <w:sz w:val="18"/>
                <w:szCs w:val="18"/>
              </w:rPr>
              <w:t>技措项目工程量×综合单价）</w:t>
            </w:r>
          </w:p>
        </w:tc>
        <w:tc>
          <w:tcPr>
            <w:tcW w:w="15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480" w:hRule="atLeast"/>
        </w:trPr>
        <w:tc>
          <w:tcPr>
            <w:tcW w:w="66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其中</w:t>
            </w:r>
          </w:p>
        </w:tc>
        <w:tc>
          <w:tcPr>
            <w:tcW w:w="206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ascii="宋体" w:hAnsi="宋体" w:cs="Arial"/>
                <w:color w:val="000000"/>
                <w:sz w:val="18"/>
                <w:szCs w:val="18"/>
              </w:rPr>
              <w:t xml:space="preserve">2.1.1 </w:t>
            </w:r>
            <w:r>
              <w:rPr>
                <w:rFonts w:hint="eastAsia" w:ascii="宋体" w:hAnsi="宋体" w:cs="Arial"/>
                <w:color w:val="000000"/>
                <w:sz w:val="18"/>
                <w:szCs w:val="18"/>
              </w:rPr>
              <w:t>人工费</w:t>
            </w:r>
            <w:r>
              <w:rPr>
                <w:rFonts w:ascii="宋体" w:hAnsi="宋体" w:cs="Arial"/>
                <w:color w:val="000000"/>
                <w:sz w:val="18"/>
                <w:szCs w:val="18"/>
              </w:rPr>
              <w:t>+</w:t>
            </w:r>
            <w:r>
              <w:rPr>
                <w:rFonts w:hint="eastAsia" w:ascii="宋体" w:hAnsi="宋体" w:cs="Arial"/>
                <w:color w:val="000000"/>
                <w:sz w:val="18"/>
                <w:szCs w:val="18"/>
              </w:rPr>
              <w:t>机械费</w:t>
            </w:r>
          </w:p>
        </w:tc>
        <w:tc>
          <w:tcPr>
            <w:tcW w:w="311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∑技措项目（人工费</w:t>
            </w:r>
            <w:r>
              <w:rPr>
                <w:rFonts w:ascii="宋体" w:hAnsi="宋体" w:cs="Arial"/>
                <w:color w:val="000000"/>
                <w:sz w:val="18"/>
                <w:szCs w:val="18"/>
              </w:rPr>
              <w:t>+</w:t>
            </w:r>
            <w:r>
              <w:rPr>
                <w:rFonts w:hint="eastAsia" w:ascii="宋体" w:hAnsi="宋体" w:cs="Arial"/>
                <w:color w:val="000000"/>
                <w:sz w:val="18"/>
                <w:szCs w:val="18"/>
              </w:rPr>
              <w:t>机械费）</w:t>
            </w:r>
          </w:p>
        </w:tc>
        <w:tc>
          <w:tcPr>
            <w:tcW w:w="15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480" w:hRule="atLeast"/>
        </w:trPr>
        <w:tc>
          <w:tcPr>
            <w:tcW w:w="66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2.2</w:t>
            </w:r>
          </w:p>
        </w:tc>
        <w:tc>
          <w:tcPr>
            <w:tcW w:w="275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施工组织措施项目费</w:t>
            </w:r>
          </w:p>
        </w:tc>
        <w:tc>
          <w:tcPr>
            <w:tcW w:w="311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(1.1+2.1.1)</w:t>
            </w:r>
            <w:r>
              <w:rPr>
                <w:rFonts w:hint="eastAsia" w:ascii="宋体" w:hAnsi="宋体" w:cs="Arial"/>
                <w:color w:val="000000"/>
                <w:sz w:val="18"/>
                <w:szCs w:val="18"/>
              </w:rPr>
              <w:t>×费率</w:t>
            </w:r>
          </w:p>
        </w:tc>
        <w:tc>
          <w:tcPr>
            <w:tcW w:w="15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195" w:hRule="atLeast"/>
        </w:trPr>
        <w:tc>
          <w:tcPr>
            <w:tcW w:w="66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其中</w:t>
            </w:r>
          </w:p>
        </w:tc>
        <w:tc>
          <w:tcPr>
            <w:tcW w:w="206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安全文明施工基本费</w:t>
            </w:r>
          </w:p>
        </w:tc>
        <w:tc>
          <w:tcPr>
            <w:tcW w:w="311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(1.1+2.1.1)</w:t>
            </w:r>
            <w:r>
              <w:rPr>
                <w:rFonts w:hint="eastAsia" w:ascii="宋体" w:hAnsi="宋体" w:cs="Arial"/>
                <w:color w:val="000000"/>
                <w:sz w:val="18"/>
                <w:szCs w:val="18"/>
              </w:rPr>
              <w:t>×费率</w:t>
            </w:r>
          </w:p>
        </w:tc>
        <w:tc>
          <w:tcPr>
            <w:tcW w:w="15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105" w:hRule="atLeast"/>
        </w:trPr>
        <w:tc>
          <w:tcPr>
            <w:tcW w:w="66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3</w:t>
            </w:r>
          </w:p>
        </w:tc>
        <w:tc>
          <w:tcPr>
            <w:tcW w:w="275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其他项目费</w:t>
            </w:r>
          </w:p>
        </w:tc>
        <w:tc>
          <w:tcPr>
            <w:tcW w:w="311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w:t>
            </w:r>
            <w:r>
              <w:rPr>
                <w:rFonts w:ascii="宋体" w:hAnsi="宋体" w:cs="Arial"/>
                <w:color w:val="000000"/>
                <w:sz w:val="18"/>
                <w:szCs w:val="18"/>
              </w:rPr>
              <w:t>3.1+3.2+3.3+3.4</w:t>
            </w:r>
            <w:r>
              <w:rPr>
                <w:rFonts w:hint="eastAsia" w:ascii="宋体" w:hAnsi="宋体" w:cs="Arial"/>
                <w:color w:val="000000"/>
                <w:sz w:val="18"/>
                <w:szCs w:val="18"/>
              </w:rPr>
              <w:t>）</w:t>
            </w:r>
          </w:p>
        </w:tc>
        <w:tc>
          <w:tcPr>
            <w:tcW w:w="15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90" w:hRule="atLeast"/>
        </w:trPr>
        <w:tc>
          <w:tcPr>
            <w:tcW w:w="66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3.1</w:t>
            </w:r>
          </w:p>
        </w:tc>
        <w:tc>
          <w:tcPr>
            <w:tcW w:w="275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暂列金额</w:t>
            </w:r>
          </w:p>
        </w:tc>
        <w:tc>
          <w:tcPr>
            <w:tcW w:w="311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3.1.1+3.1.2+3.1.3</w:t>
            </w:r>
          </w:p>
        </w:tc>
        <w:tc>
          <w:tcPr>
            <w:tcW w:w="15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480" w:hRule="atLeast"/>
        </w:trPr>
        <w:tc>
          <w:tcPr>
            <w:tcW w:w="66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3.1.1</w:t>
            </w:r>
          </w:p>
        </w:tc>
        <w:tc>
          <w:tcPr>
            <w:tcW w:w="682"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其中</w:t>
            </w:r>
          </w:p>
        </w:tc>
        <w:tc>
          <w:tcPr>
            <w:tcW w:w="206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标化工地增加费</w:t>
            </w:r>
          </w:p>
        </w:tc>
        <w:tc>
          <w:tcPr>
            <w:tcW w:w="311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按</w:t>
            </w:r>
            <w:r>
              <w:rPr>
                <w:rFonts w:hint="eastAsia" w:ascii="宋体" w:hAnsi="宋体" w:cs="Arial"/>
                <w:color w:val="000000"/>
                <w:sz w:val="18"/>
                <w:szCs w:val="18"/>
                <w:lang w:eastAsia="zh-CN"/>
              </w:rPr>
              <w:t>磋商文件</w:t>
            </w:r>
            <w:r>
              <w:rPr>
                <w:rFonts w:hint="eastAsia" w:ascii="宋体" w:hAnsi="宋体" w:cs="Arial"/>
                <w:color w:val="000000"/>
                <w:sz w:val="18"/>
                <w:szCs w:val="18"/>
              </w:rPr>
              <w:t>规定额度列计</w:t>
            </w:r>
          </w:p>
        </w:tc>
        <w:tc>
          <w:tcPr>
            <w:tcW w:w="15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480" w:hRule="atLeast"/>
        </w:trPr>
        <w:tc>
          <w:tcPr>
            <w:tcW w:w="666" w:type="dxa"/>
            <w:gridSpan w:val="2"/>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3.1.2</w:t>
            </w:r>
          </w:p>
        </w:tc>
        <w:tc>
          <w:tcPr>
            <w:tcW w:w="682" w:type="dxa"/>
            <w:vMerge w:val="continue"/>
            <w:tcBorders>
              <w:top w:val="single" w:color="000000" w:sz="4" w:space="0"/>
              <w:left w:val="single" w:color="000000" w:sz="4" w:space="0"/>
            </w:tcBorders>
            <w:shd w:val="clear" w:color="auto" w:fill="auto"/>
            <w:noWrap w:val="0"/>
            <w:vAlign w:val="center"/>
          </w:tcPr>
          <w:p>
            <w:pPr>
              <w:kinsoku/>
              <w:overflowPunct/>
              <w:topLinePunct w:val="0"/>
              <w:bidi w:val="0"/>
              <w:spacing w:line="300" w:lineRule="auto"/>
              <w:rPr>
                <w:rFonts w:ascii="宋体" w:cs="Arial"/>
                <w:color w:val="000000"/>
                <w:sz w:val="18"/>
                <w:szCs w:val="18"/>
              </w:rPr>
            </w:pPr>
          </w:p>
        </w:tc>
        <w:tc>
          <w:tcPr>
            <w:tcW w:w="206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优质工程增加费</w:t>
            </w:r>
          </w:p>
        </w:tc>
        <w:tc>
          <w:tcPr>
            <w:tcW w:w="311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按</w:t>
            </w:r>
            <w:r>
              <w:rPr>
                <w:rFonts w:hint="eastAsia" w:ascii="宋体" w:hAnsi="宋体" w:cs="Arial"/>
                <w:color w:val="000000"/>
                <w:sz w:val="18"/>
                <w:szCs w:val="18"/>
                <w:lang w:eastAsia="zh-CN"/>
              </w:rPr>
              <w:t>磋商文件</w:t>
            </w:r>
            <w:r>
              <w:rPr>
                <w:rFonts w:hint="eastAsia" w:ascii="宋体" w:hAnsi="宋体" w:cs="Arial"/>
                <w:color w:val="000000"/>
                <w:sz w:val="18"/>
                <w:szCs w:val="18"/>
              </w:rPr>
              <w:t>规定额度列计</w:t>
            </w:r>
          </w:p>
        </w:tc>
        <w:tc>
          <w:tcPr>
            <w:tcW w:w="15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480" w:hRule="atLeast"/>
        </w:trPr>
        <w:tc>
          <w:tcPr>
            <w:tcW w:w="666" w:type="dxa"/>
            <w:gridSpan w:val="2"/>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3.1.3</w:t>
            </w:r>
          </w:p>
        </w:tc>
        <w:tc>
          <w:tcPr>
            <w:tcW w:w="682" w:type="dxa"/>
            <w:vMerge w:val="continue"/>
            <w:tcBorders>
              <w:top w:val="single" w:color="000000" w:sz="4" w:space="0"/>
              <w:left w:val="single" w:color="000000" w:sz="4" w:space="0"/>
            </w:tcBorders>
            <w:shd w:val="clear" w:color="auto" w:fill="auto"/>
            <w:noWrap w:val="0"/>
            <w:vAlign w:val="center"/>
          </w:tcPr>
          <w:p>
            <w:pPr>
              <w:kinsoku/>
              <w:overflowPunct/>
              <w:topLinePunct w:val="0"/>
              <w:bidi w:val="0"/>
              <w:spacing w:line="300" w:lineRule="auto"/>
              <w:rPr>
                <w:rFonts w:ascii="宋体" w:cs="Arial"/>
                <w:color w:val="000000"/>
                <w:sz w:val="18"/>
                <w:szCs w:val="18"/>
              </w:rPr>
            </w:pPr>
          </w:p>
        </w:tc>
        <w:tc>
          <w:tcPr>
            <w:tcW w:w="206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其他暂列金额</w:t>
            </w:r>
          </w:p>
        </w:tc>
        <w:tc>
          <w:tcPr>
            <w:tcW w:w="311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按</w:t>
            </w:r>
            <w:r>
              <w:rPr>
                <w:rFonts w:hint="eastAsia" w:ascii="宋体" w:hAnsi="宋体" w:cs="Arial"/>
                <w:color w:val="000000"/>
                <w:sz w:val="18"/>
                <w:szCs w:val="18"/>
                <w:lang w:eastAsia="zh-CN"/>
              </w:rPr>
              <w:t>磋商文件</w:t>
            </w:r>
            <w:r>
              <w:rPr>
                <w:rFonts w:hint="eastAsia" w:ascii="宋体" w:hAnsi="宋体" w:cs="Arial"/>
                <w:color w:val="000000"/>
                <w:sz w:val="18"/>
                <w:szCs w:val="18"/>
              </w:rPr>
              <w:t>规定额度列计</w:t>
            </w:r>
          </w:p>
        </w:tc>
        <w:tc>
          <w:tcPr>
            <w:tcW w:w="15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379" w:hRule="atLeast"/>
        </w:trPr>
        <w:tc>
          <w:tcPr>
            <w:tcW w:w="66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3.2</w:t>
            </w:r>
          </w:p>
        </w:tc>
        <w:tc>
          <w:tcPr>
            <w:tcW w:w="275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暂估价</w:t>
            </w:r>
          </w:p>
        </w:tc>
        <w:tc>
          <w:tcPr>
            <w:tcW w:w="311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3.2.1+3.2.2+3.2.3</w:t>
            </w:r>
          </w:p>
        </w:tc>
        <w:tc>
          <w:tcPr>
            <w:tcW w:w="15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480" w:hRule="atLeast"/>
        </w:trPr>
        <w:tc>
          <w:tcPr>
            <w:tcW w:w="66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3.2.1</w:t>
            </w:r>
          </w:p>
        </w:tc>
        <w:tc>
          <w:tcPr>
            <w:tcW w:w="682"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其中</w:t>
            </w:r>
          </w:p>
        </w:tc>
        <w:tc>
          <w:tcPr>
            <w:tcW w:w="206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材料（工程设备）暂估价</w:t>
            </w:r>
          </w:p>
        </w:tc>
        <w:tc>
          <w:tcPr>
            <w:tcW w:w="311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按</w:t>
            </w:r>
            <w:r>
              <w:rPr>
                <w:rFonts w:hint="eastAsia" w:ascii="宋体" w:hAnsi="宋体" w:cs="Arial"/>
                <w:color w:val="000000"/>
                <w:sz w:val="18"/>
                <w:szCs w:val="18"/>
                <w:lang w:eastAsia="zh-CN"/>
              </w:rPr>
              <w:t>磋商文件</w:t>
            </w:r>
            <w:r>
              <w:rPr>
                <w:rFonts w:hint="eastAsia" w:ascii="宋体" w:hAnsi="宋体" w:cs="Arial"/>
                <w:color w:val="000000"/>
                <w:sz w:val="18"/>
                <w:szCs w:val="18"/>
              </w:rPr>
              <w:t>规定额度列计</w:t>
            </w:r>
            <w:r>
              <w:rPr>
                <w:rFonts w:ascii="宋体" w:cs="Arial"/>
                <w:color w:val="000000"/>
                <w:sz w:val="18"/>
                <w:szCs w:val="18"/>
              </w:rPr>
              <w:br w:type="textWrapping"/>
            </w:r>
            <w:r>
              <w:rPr>
                <w:rFonts w:ascii="宋体" w:hAnsi="宋体" w:cs="Arial"/>
                <w:color w:val="000000"/>
                <w:sz w:val="18"/>
                <w:szCs w:val="18"/>
              </w:rPr>
              <w:t>(</w:t>
            </w:r>
            <w:r>
              <w:rPr>
                <w:rFonts w:hint="eastAsia" w:ascii="宋体" w:hAnsi="宋体" w:cs="Arial"/>
                <w:color w:val="000000"/>
                <w:sz w:val="18"/>
                <w:szCs w:val="18"/>
              </w:rPr>
              <w:t>或计入综合单价</w:t>
            </w:r>
            <w:r>
              <w:rPr>
                <w:rFonts w:ascii="宋体" w:hAnsi="宋体" w:cs="Arial"/>
                <w:color w:val="000000"/>
                <w:sz w:val="18"/>
                <w:szCs w:val="18"/>
              </w:rPr>
              <w:t>)</w:t>
            </w:r>
          </w:p>
        </w:tc>
        <w:tc>
          <w:tcPr>
            <w:tcW w:w="15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90" w:hRule="atLeast"/>
        </w:trPr>
        <w:tc>
          <w:tcPr>
            <w:tcW w:w="666" w:type="dxa"/>
            <w:gridSpan w:val="2"/>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3.2.2</w:t>
            </w:r>
          </w:p>
        </w:tc>
        <w:tc>
          <w:tcPr>
            <w:tcW w:w="682" w:type="dxa"/>
            <w:vMerge w:val="continue"/>
            <w:tcBorders>
              <w:top w:val="single" w:color="000000" w:sz="4" w:space="0"/>
              <w:left w:val="single" w:color="000000" w:sz="4" w:space="0"/>
            </w:tcBorders>
            <w:shd w:val="clear" w:color="auto" w:fill="auto"/>
            <w:noWrap w:val="0"/>
            <w:vAlign w:val="center"/>
          </w:tcPr>
          <w:p>
            <w:pPr>
              <w:kinsoku/>
              <w:overflowPunct/>
              <w:topLinePunct w:val="0"/>
              <w:bidi w:val="0"/>
              <w:spacing w:line="300" w:lineRule="auto"/>
              <w:rPr>
                <w:rFonts w:ascii="宋体" w:cs="Arial"/>
                <w:color w:val="000000"/>
                <w:sz w:val="18"/>
                <w:szCs w:val="18"/>
              </w:rPr>
            </w:pPr>
          </w:p>
        </w:tc>
        <w:tc>
          <w:tcPr>
            <w:tcW w:w="206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专业工程暂估价</w:t>
            </w:r>
          </w:p>
        </w:tc>
        <w:tc>
          <w:tcPr>
            <w:tcW w:w="311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按</w:t>
            </w:r>
            <w:r>
              <w:rPr>
                <w:rFonts w:hint="eastAsia" w:ascii="宋体" w:hAnsi="宋体" w:cs="Arial"/>
                <w:color w:val="000000"/>
                <w:sz w:val="18"/>
                <w:szCs w:val="18"/>
                <w:lang w:eastAsia="zh-CN"/>
              </w:rPr>
              <w:t>磋商文件</w:t>
            </w:r>
            <w:r>
              <w:rPr>
                <w:rFonts w:hint="eastAsia" w:ascii="宋体" w:hAnsi="宋体" w:cs="Arial"/>
                <w:color w:val="000000"/>
                <w:sz w:val="18"/>
                <w:szCs w:val="18"/>
              </w:rPr>
              <w:t>规定额度列计</w:t>
            </w:r>
          </w:p>
        </w:tc>
        <w:tc>
          <w:tcPr>
            <w:tcW w:w="15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480" w:hRule="atLeast"/>
        </w:trPr>
        <w:tc>
          <w:tcPr>
            <w:tcW w:w="666" w:type="dxa"/>
            <w:gridSpan w:val="2"/>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3.2.3</w:t>
            </w:r>
          </w:p>
        </w:tc>
        <w:tc>
          <w:tcPr>
            <w:tcW w:w="682" w:type="dxa"/>
            <w:vMerge w:val="continue"/>
            <w:tcBorders>
              <w:top w:val="single" w:color="000000" w:sz="4" w:space="0"/>
              <w:left w:val="single" w:color="000000" w:sz="4" w:space="0"/>
            </w:tcBorders>
            <w:shd w:val="clear" w:color="auto" w:fill="auto"/>
            <w:noWrap w:val="0"/>
            <w:vAlign w:val="center"/>
          </w:tcPr>
          <w:p>
            <w:pPr>
              <w:kinsoku/>
              <w:overflowPunct/>
              <w:topLinePunct w:val="0"/>
              <w:bidi w:val="0"/>
              <w:spacing w:line="300" w:lineRule="auto"/>
              <w:rPr>
                <w:rFonts w:ascii="宋体" w:cs="Arial"/>
                <w:color w:val="000000"/>
                <w:sz w:val="18"/>
                <w:szCs w:val="18"/>
              </w:rPr>
            </w:pPr>
          </w:p>
        </w:tc>
        <w:tc>
          <w:tcPr>
            <w:tcW w:w="206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专项技术措施暂估价</w:t>
            </w:r>
          </w:p>
        </w:tc>
        <w:tc>
          <w:tcPr>
            <w:tcW w:w="311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按</w:t>
            </w:r>
            <w:r>
              <w:rPr>
                <w:rFonts w:hint="eastAsia" w:ascii="宋体" w:hAnsi="宋体" w:cs="Arial"/>
                <w:color w:val="000000"/>
                <w:sz w:val="18"/>
                <w:szCs w:val="18"/>
                <w:lang w:eastAsia="zh-CN"/>
              </w:rPr>
              <w:t>磋商文件</w:t>
            </w:r>
            <w:r>
              <w:rPr>
                <w:rFonts w:hint="eastAsia" w:ascii="宋体" w:hAnsi="宋体" w:cs="Arial"/>
                <w:color w:val="000000"/>
                <w:sz w:val="18"/>
                <w:szCs w:val="18"/>
              </w:rPr>
              <w:t>规定额度列计</w:t>
            </w:r>
          </w:p>
        </w:tc>
        <w:tc>
          <w:tcPr>
            <w:tcW w:w="15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90" w:hRule="atLeast"/>
        </w:trPr>
        <w:tc>
          <w:tcPr>
            <w:tcW w:w="66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3.3</w:t>
            </w:r>
          </w:p>
        </w:tc>
        <w:tc>
          <w:tcPr>
            <w:tcW w:w="275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计日工</w:t>
            </w:r>
          </w:p>
        </w:tc>
        <w:tc>
          <w:tcPr>
            <w:tcW w:w="311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∑计日工</w:t>
            </w:r>
            <w:r>
              <w:rPr>
                <w:rFonts w:ascii="宋体" w:hAnsi="宋体" w:cs="Arial"/>
                <w:color w:val="000000"/>
                <w:sz w:val="18"/>
                <w:szCs w:val="18"/>
              </w:rPr>
              <w:t>(</w:t>
            </w:r>
            <w:r>
              <w:rPr>
                <w:rFonts w:hint="eastAsia" w:ascii="宋体" w:hAnsi="宋体" w:cs="Arial"/>
                <w:color w:val="000000"/>
                <w:sz w:val="18"/>
                <w:szCs w:val="18"/>
              </w:rPr>
              <w:t>暂估数量×综合单价）</w:t>
            </w:r>
          </w:p>
        </w:tc>
        <w:tc>
          <w:tcPr>
            <w:tcW w:w="15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434" w:hRule="atLeast"/>
        </w:trPr>
        <w:tc>
          <w:tcPr>
            <w:tcW w:w="66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3.4</w:t>
            </w:r>
          </w:p>
        </w:tc>
        <w:tc>
          <w:tcPr>
            <w:tcW w:w="275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施工总承包服务费</w:t>
            </w:r>
          </w:p>
        </w:tc>
        <w:tc>
          <w:tcPr>
            <w:tcW w:w="311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3.4.1+3.4.2</w:t>
            </w:r>
          </w:p>
        </w:tc>
        <w:tc>
          <w:tcPr>
            <w:tcW w:w="15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255" w:hRule="atLeast"/>
        </w:trPr>
        <w:tc>
          <w:tcPr>
            <w:tcW w:w="66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3.4.1</w:t>
            </w:r>
          </w:p>
        </w:tc>
        <w:tc>
          <w:tcPr>
            <w:tcW w:w="682"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其中</w:t>
            </w:r>
          </w:p>
        </w:tc>
        <w:tc>
          <w:tcPr>
            <w:tcW w:w="206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专业发包工程管理费</w:t>
            </w:r>
          </w:p>
        </w:tc>
        <w:tc>
          <w:tcPr>
            <w:tcW w:w="311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∑专业发包工程（暂估金额×费率）</w:t>
            </w:r>
          </w:p>
        </w:tc>
        <w:tc>
          <w:tcPr>
            <w:tcW w:w="15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90" w:hRule="atLeast"/>
        </w:trPr>
        <w:tc>
          <w:tcPr>
            <w:tcW w:w="666" w:type="dxa"/>
            <w:gridSpan w:val="2"/>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3.4.2</w:t>
            </w:r>
          </w:p>
        </w:tc>
        <w:tc>
          <w:tcPr>
            <w:tcW w:w="682" w:type="dxa"/>
            <w:vMerge w:val="continue"/>
            <w:tcBorders>
              <w:top w:val="single" w:color="000000" w:sz="4" w:space="0"/>
              <w:left w:val="single" w:color="000000" w:sz="4" w:space="0"/>
            </w:tcBorders>
            <w:shd w:val="clear" w:color="auto" w:fill="auto"/>
            <w:noWrap w:val="0"/>
            <w:vAlign w:val="center"/>
          </w:tcPr>
          <w:p>
            <w:pPr>
              <w:kinsoku/>
              <w:overflowPunct/>
              <w:topLinePunct w:val="0"/>
              <w:bidi w:val="0"/>
              <w:spacing w:line="300" w:lineRule="auto"/>
              <w:rPr>
                <w:rFonts w:ascii="宋体" w:cs="Arial"/>
                <w:color w:val="000000"/>
                <w:sz w:val="18"/>
                <w:szCs w:val="18"/>
              </w:rPr>
            </w:pPr>
          </w:p>
        </w:tc>
        <w:tc>
          <w:tcPr>
            <w:tcW w:w="2069"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甲供材料设备管理费</w:t>
            </w:r>
          </w:p>
        </w:tc>
        <w:tc>
          <w:tcPr>
            <w:tcW w:w="311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甲供材料暂估金额×费率</w:t>
            </w:r>
            <w:r>
              <w:rPr>
                <w:rFonts w:ascii="宋体" w:hAnsi="宋体" w:cs="Arial"/>
                <w:color w:val="000000"/>
                <w:sz w:val="18"/>
                <w:szCs w:val="18"/>
              </w:rPr>
              <w:t>+</w:t>
            </w:r>
            <w:r>
              <w:rPr>
                <w:rFonts w:hint="eastAsia" w:ascii="宋体" w:hAnsi="宋体" w:cs="Arial"/>
                <w:color w:val="000000"/>
                <w:sz w:val="18"/>
                <w:szCs w:val="18"/>
              </w:rPr>
              <w:t>甲供设备暂估金额×费率</w:t>
            </w:r>
          </w:p>
        </w:tc>
        <w:tc>
          <w:tcPr>
            <w:tcW w:w="15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90" w:hRule="atLeast"/>
        </w:trPr>
        <w:tc>
          <w:tcPr>
            <w:tcW w:w="66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4</w:t>
            </w:r>
          </w:p>
        </w:tc>
        <w:tc>
          <w:tcPr>
            <w:tcW w:w="275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规费</w:t>
            </w:r>
          </w:p>
        </w:tc>
        <w:tc>
          <w:tcPr>
            <w:tcW w:w="311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hint="eastAsia" w:ascii="宋体" w:hAnsi="宋体" w:cs="Arial"/>
                <w:color w:val="000000"/>
                <w:sz w:val="18"/>
                <w:szCs w:val="18"/>
              </w:rPr>
            </w:pPr>
            <w:r>
              <w:rPr>
                <w:rFonts w:hint="eastAsia" w:ascii="宋体" w:hAnsi="宋体" w:cs="Arial"/>
                <w:color w:val="000000"/>
                <w:sz w:val="18"/>
                <w:szCs w:val="18"/>
              </w:rPr>
              <w:t>(1.1+2.1.1)×费率</w:t>
            </w:r>
          </w:p>
        </w:tc>
        <w:tc>
          <w:tcPr>
            <w:tcW w:w="15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90" w:hRule="atLeast"/>
        </w:trPr>
        <w:tc>
          <w:tcPr>
            <w:tcW w:w="66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5</w:t>
            </w:r>
          </w:p>
        </w:tc>
        <w:tc>
          <w:tcPr>
            <w:tcW w:w="275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税金</w:t>
            </w:r>
          </w:p>
        </w:tc>
        <w:tc>
          <w:tcPr>
            <w:tcW w:w="311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hint="eastAsia" w:ascii="宋体" w:hAnsi="宋体" w:cs="Arial"/>
                <w:color w:val="000000"/>
                <w:sz w:val="18"/>
                <w:szCs w:val="18"/>
              </w:rPr>
            </w:pPr>
            <w:r>
              <w:rPr>
                <w:rFonts w:hint="eastAsia" w:ascii="宋体" w:hAnsi="宋体" w:cs="Arial"/>
                <w:color w:val="000000"/>
                <w:sz w:val="18"/>
                <w:szCs w:val="18"/>
              </w:rPr>
              <w:t>(1+2+3+4+计税不计费)×费率</w:t>
            </w:r>
          </w:p>
        </w:tc>
        <w:tc>
          <w:tcPr>
            <w:tcW w:w="15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2"/>
          <w:gridAfter w:val="1"/>
          <w:wBefore w:w="0" w:type="dxa"/>
          <w:wAfter w:w="0" w:type="dxa"/>
          <w:trHeight w:val="555" w:hRule="atLeast"/>
        </w:trPr>
        <w:tc>
          <w:tcPr>
            <w:tcW w:w="3417" w:type="dxa"/>
            <w:gridSpan w:val="5"/>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投标报价合计</w:t>
            </w:r>
          </w:p>
        </w:tc>
        <w:tc>
          <w:tcPr>
            <w:tcW w:w="3119" w:type="dxa"/>
            <w:gridSpan w:val="5"/>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1+2+3+4+5</w:t>
            </w:r>
          </w:p>
        </w:tc>
        <w:tc>
          <w:tcPr>
            <w:tcW w:w="1559" w:type="dxa"/>
            <w:gridSpan w:val="3"/>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bl>
    <w:p>
      <w:pPr>
        <w:kinsoku/>
        <w:overflowPunct/>
        <w:topLinePunct w:val="0"/>
        <w:bidi w:val="0"/>
        <w:spacing w:line="300" w:lineRule="auto"/>
        <w:ind w:firstLine="720"/>
        <w:jc w:val="center"/>
        <w:rPr>
          <w:rFonts w:ascii="黑体" w:eastAsia="黑体"/>
          <w:sz w:val="36"/>
          <w:szCs w:val="36"/>
        </w:rPr>
      </w:pPr>
      <w:r>
        <w:rPr>
          <w:rFonts w:hint="eastAsia" w:ascii="黑体" w:eastAsia="黑体"/>
          <w:sz w:val="36"/>
          <w:szCs w:val="36"/>
        </w:rPr>
        <w:br w:type="page"/>
      </w:r>
      <w:r>
        <w:rPr>
          <w:rFonts w:hint="eastAsia" w:ascii="黑体" w:eastAsia="黑体"/>
          <w:sz w:val="36"/>
          <w:szCs w:val="36"/>
        </w:rPr>
        <w:t>分部分项工程量清单与计价表</w:t>
      </w:r>
    </w:p>
    <w:p>
      <w:pPr>
        <w:kinsoku/>
        <w:overflowPunct/>
        <w:topLinePunct w:val="0"/>
        <w:bidi w:val="0"/>
        <w:spacing w:line="300" w:lineRule="auto"/>
      </w:pPr>
      <w:r>
        <w:rPr>
          <w:rFonts w:hint="eastAsia"/>
        </w:rPr>
        <w:t>单位（专业）工程名称：</w:t>
      </w:r>
      <w:r>
        <w:t xml:space="preserve">                                           </w:t>
      </w:r>
      <w:r>
        <w:rPr>
          <w:rFonts w:hint="eastAsia"/>
        </w:rPr>
        <w:t>第</w:t>
      </w:r>
      <w:r>
        <w:t xml:space="preserve">     </w:t>
      </w:r>
      <w:r>
        <w:rPr>
          <w:rFonts w:hint="eastAsia"/>
        </w:rPr>
        <w:t>页</w:t>
      </w:r>
      <w:r>
        <w:t xml:space="preserve"> </w:t>
      </w:r>
      <w:r>
        <w:rPr>
          <w:rFonts w:hint="eastAsia"/>
        </w:rPr>
        <w:t>共</w:t>
      </w:r>
      <w:r>
        <w:t xml:space="preserve">    </w:t>
      </w:r>
      <w:r>
        <w:rPr>
          <w:rFonts w:hint="eastAsia"/>
        </w:rPr>
        <w:t>页</w:t>
      </w:r>
    </w:p>
    <w:tbl>
      <w:tblPr>
        <w:tblStyle w:val="53"/>
        <w:tblW w:w="0" w:type="auto"/>
        <w:tblInd w:w="-176"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68"/>
        <w:gridCol w:w="850"/>
        <w:gridCol w:w="851"/>
        <w:gridCol w:w="850"/>
        <w:gridCol w:w="851"/>
        <w:gridCol w:w="850"/>
        <w:gridCol w:w="851"/>
        <w:gridCol w:w="850"/>
        <w:gridCol w:w="709"/>
        <w:gridCol w:w="709"/>
        <w:gridCol w:w="709"/>
        <w:gridCol w:w="56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568" w:type="dxa"/>
            <w:vMerge w:val="restart"/>
            <w:tcBorders>
              <w:top w:val="single" w:color="auto" w:sz="8" w:space="0"/>
            </w:tcBorders>
            <w:noWrap w:val="0"/>
            <w:vAlign w:val="center"/>
          </w:tcPr>
          <w:p>
            <w:pPr>
              <w:kinsoku/>
              <w:overflowPunct/>
              <w:topLinePunct w:val="0"/>
              <w:bidi w:val="0"/>
              <w:spacing w:line="300" w:lineRule="auto"/>
              <w:jc w:val="center"/>
              <w:rPr>
                <w:szCs w:val="21"/>
              </w:rPr>
            </w:pPr>
            <w:r>
              <w:rPr>
                <w:rFonts w:hint="eastAsia"/>
                <w:szCs w:val="21"/>
              </w:rPr>
              <w:t>序号</w:t>
            </w:r>
          </w:p>
        </w:tc>
        <w:tc>
          <w:tcPr>
            <w:tcW w:w="850" w:type="dxa"/>
            <w:vMerge w:val="restart"/>
            <w:tcBorders>
              <w:top w:val="single" w:color="auto" w:sz="8" w:space="0"/>
            </w:tcBorders>
            <w:noWrap w:val="0"/>
            <w:vAlign w:val="center"/>
          </w:tcPr>
          <w:p>
            <w:pPr>
              <w:kinsoku/>
              <w:overflowPunct/>
              <w:topLinePunct w:val="0"/>
              <w:bidi w:val="0"/>
              <w:spacing w:line="300" w:lineRule="auto"/>
              <w:jc w:val="center"/>
              <w:rPr>
                <w:szCs w:val="21"/>
              </w:rPr>
            </w:pPr>
            <w:r>
              <w:rPr>
                <w:rFonts w:hint="eastAsia"/>
                <w:szCs w:val="21"/>
              </w:rPr>
              <w:t>项目</w:t>
            </w:r>
          </w:p>
          <w:p>
            <w:pPr>
              <w:kinsoku/>
              <w:overflowPunct/>
              <w:topLinePunct w:val="0"/>
              <w:bidi w:val="0"/>
              <w:spacing w:line="300" w:lineRule="auto"/>
              <w:jc w:val="center"/>
              <w:rPr>
                <w:szCs w:val="21"/>
              </w:rPr>
            </w:pPr>
            <w:r>
              <w:rPr>
                <w:rFonts w:hint="eastAsia"/>
                <w:szCs w:val="21"/>
              </w:rPr>
              <w:t>编码</w:t>
            </w:r>
          </w:p>
        </w:tc>
        <w:tc>
          <w:tcPr>
            <w:tcW w:w="851" w:type="dxa"/>
            <w:vMerge w:val="restart"/>
            <w:tcBorders>
              <w:top w:val="single" w:color="auto" w:sz="8" w:space="0"/>
            </w:tcBorders>
            <w:noWrap w:val="0"/>
            <w:vAlign w:val="center"/>
          </w:tcPr>
          <w:p>
            <w:pPr>
              <w:kinsoku/>
              <w:overflowPunct/>
              <w:topLinePunct w:val="0"/>
              <w:bidi w:val="0"/>
              <w:spacing w:line="300" w:lineRule="auto"/>
              <w:jc w:val="center"/>
              <w:rPr>
                <w:szCs w:val="21"/>
              </w:rPr>
            </w:pPr>
            <w:r>
              <w:rPr>
                <w:rFonts w:hint="eastAsia"/>
                <w:szCs w:val="21"/>
              </w:rPr>
              <w:t>项目</w:t>
            </w:r>
          </w:p>
          <w:p>
            <w:pPr>
              <w:kinsoku/>
              <w:overflowPunct/>
              <w:topLinePunct w:val="0"/>
              <w:bidi w:val="0"/>
              <w:spacing w:line="300" w:lineRule="auto"/>
              <w:jc w:val="center"/>
              <w:rPr>
                <w:szCs w:val="21"/>
              </w:rPr>
            </w:pPr>
            <w:r>
              <w:rPr>
                <w:rFonts w:hint="eastAsia"/>
                <w:szCs w:val="21"/>
              </w:rPr>
              <w:t>名称</w:t>
            </w:r>
          </w:p>
        </w:tc>
        <w:tc>
          <w:tcPr>
            <w:tcW w:w="850" w:type="dxa"/>
            <w:vMerge w:val="restart"/>
            <w:tcBorders>
              <w:top w:val="single" w:color="auto" w:sz="8" w:space="0"/>
            </w:tcBorders>
            <w:noWrap w:val="0"/>
            <w:vAlign w:val="center"/>
          </w:tcPr>
          <w:p>
            <w:pPr>
              <w:kinsoku/>
              <w:overflowPunct/>
              <w:topLinePunct w:val="0"/>
              <w:bidi w:val="0"/>
              <w:spacing w:line="300" w:lineRule="auto"/>
              <w:jc w:val="center"/>
              <w:rPr>
                <w:szCs w:val="21"/>
              </w:rPr>
            </w:pPr>
            <w:r>
              <w:rPr>
                <w:rFonts w:hint="eastAsia"/>
                <w:szCs w:val="21"/>
              </w:rPr>
              <w:t>项目</w:t>
            </w:r>
          </w:p>
          <w:p>
            <w:pPr>
              <w:kinsoku/>
              <w:overflowPunct/>
              <w:topLinePunct w:val="0"/>
              <w:bidi w:val="0"/>
              <w:spacing w:line="300" w:lineRule="auto"/>
              <w:jc w:val="center"/>
              <w:rPr>
                <w:szCs w:val="21"/>
              </w:rPr>
            </w:pPr>
            <w:r>
              <w:rPr>
                <w:rFonts w:hint="eastAsia"/>
                <w:szCs w:val="21"/>
              </w:rPr>
              <w:t>特征</w:t>
            </w:r>
          </w:p>
        </w:tc>
        <w:tc>
          <w:tcPr>
            <w:tcW w:w="851" w:type="dxa"/>
            <w:vMerge w:val="restart"/>
            <w:tcBorders>
              <w:top w:val="single" w:color="auto" w:sz="8" w:space="0"/>
            </w:tcBorders>
            <w:noWrap w:val="0"/>
            <w:vAlign w:val="center"/>
          </w:tcPr>
          <w:p>
            <w:pPr>
              <w:kinsoku/>
              <w:overflowPunct/>
              <w:topLinePunct w:val="0"/>
              <w:bidi w:val="0"/>
              <w:spacing w:line="300" w:lineRule="auto"/>
              <w:jc w:val="center"/>
              <w:rPr>
                <w:szCs w:val="21"/>
              </w:rPr>
            </w:pPr>
            <w:r>
              <w:rPr>
                <w:rFonts w:hint="eastAsia"/>
                <w:szCs w:val="21"/>
              </w:rPr>
              <w:t>计量</w:t>
            </w:r>
          </w:p>
          <w:p>
            <w:pPr>
              <w:kinsoku/>
              <w:overflowPunct/>
              <w:topLinePunct w:val="0"/>
              <w:bidi w:val="0"/>
              <w:spacing w:line="300" w:lineRule="auto"/>
              <w:jc w:val="center"/>
              <w:rPr>
                <w:szCs w:val="21"/>
              </w:rPr>
            </w:pPr>
            <w:r>
              <w:rPr>
                <w:rFonts w:hint="eastAsia"/>
                <w:szCs w:val="21"/>
              </w:rPr>
              <w:t>单位</w:t>
            </w:r>
          </w:p>
        </w:tc>
        <w:tc>
          <w:tcPr>
            <w:tcW w:w="850" w:type="dxa"/>
            <w:vMerge w:val="restart"/>
            <w:tcBorders>
              <w:top w:val="single" w:color="auto" w:sz="8" w:space="0"/>
            </w:tcBorders>
            <w:noWrap w:val="0"/>
            <w:vAlign w:val="center"/>
          </w:tcPr>
          <w:p>
            <w:pPr>
              <w:kinsoku/>
              <w:overflowPunct/>
              <w:topLinePunct w:val="0"/>
              <w:bidi w:val="0"/>
              <w:spacing w:line="300" w:lineRule="auto"/>
              <w:ind w:left="-105" w:leftChars="-50" w:right="-105" w:rightChars="-50"/>
              <w:jc w:val="center"/>
              <w:rPr>
                <w:szCs w:val="21"/>
              </w:rPr>
            </w:pPr>
            <w:r>
              <w:rPr>
                <w:rFonts w:hint="eastAsia"/>
                <w:szCs w:val="21"/>
              </w:rPr>
              <w:t>工程量</w:t>
            </w:r>
          </w:p>
        </w:tc>
        <w:tc>
          <w:tcPr>
            <w:tcW w:w="851" w:type="dxa"/>
            <w:vMerge w:val="restart"/>
            <w:tcBorders>
              <w:top w:val="single" w:color="auto" w:sz="8" w:space="0"/>
            </w:tcBorders>
            <w:noWrap w:val="0"/>
            <w:vAlign w:val="center"/>
          </w:tcPr>
          <w:p>
            <w:pPr>
              <w:kinsoku/>
              <w:overflowPunct/>
              <w:topLinePunct w:val="0"/>
              <w:bidi w:val="0"/>
              <w:spacing w:line="300" w:lineRule="auto"/>
              <w:jc w:val="center"/>
              <w:rPr>
                <w:szCs w:val="21"/>
              </w:rPr>
            </w:pPr>
            <w:r>
              <w:rPr>
                <w:rFonts w:hint="eastAsia"/>
                <w:szCs w:val="21"/>
              </w:rPr>
              <w:t>综合单价</w:t>
            </w:r>
            <w:r>
              <w:rPr>
                <w:szCs w:val="21"/>
              </w:rPr>
              <w:t>(</w:t>
            </w:r>
            <w:r>
              <w:rPr>
                <w:rFonts w:hint="eastAsia"/>
                <w:szCs w:val="21"/>
              </w:rPr>
              <w:t>元</w:t>
            </w:r>
            <w:r>
              <w:rPr>
                <w:szCs w:val="21"/>
              </w:rPr>
              <w:t>)</w:t>
            </w:r>
          </w:p>
        </w:tc>
        <w:tc>
          <w:tcPr>
            <w:tcW w:w="850" w:type="dxa"/>
            <w:vMerge w:val="restart"/>
            <w:tcBorders>
              <w:top w:val="single" w:color="auto" w:sz="8" w:space="0"/>
            </w:tcBorders>
            <w:noWrap w:val="0"/>
            <w:vAlign w:val="center"/>
          </w:tcPr>
          <w:p>
            <w:pPr>
              <w:kinsoku/>
              <w:overflowPunct/>
              <w:topLinePunct w:val="0"/>
              <w:bidi w:val="0"/>
              <w:spacing w:line="300" w:lineRule="auto"/>
              <w:jc w:val="center"/>
              <w:rPr>
                <w:szCs w:val="21"/>
              </w:rPr>
            </w:pPr>
            <w:r>
              <w:rPr>
                <w:rFonts w:hint="eastAsia"/>
                <w:szCs w:val="21"/>
              </w:rPr>
              <w:t>合价</w:t>
            </w:r>
            <w:r>
              <w:rPr>
                <w:szCs w:val="21"/>
              </w:rPr>
              <w:t>(</w:t>
            </w:r>
            <w:r>
              <w:rPr>
                <w:rFonts w:hint="eastAsia"/>
                <w:szCs w:val="21"/>
              </w:rPr>
              <w:t>元</w:t>
            </w:r>
            <w:r>
              <w:rPr>
                <w:szCs w:val="21"/>
              </w:rPr>
              <w:t>)</w:t>
            </w:r>
          </w:p>
        </w:tc>
        <w:tc>
          <w:tcPr>
            <w:tcW w:w="2127" w:type="dxa"/>
            <w:gridSpan w:val="3"/>
            <w:tcBorders>
              <w:top w:val="single" w:color="auto" w:sz="8" w:space="0"/>
            </w:tcBorders>
            <w:noWrap w:val="0"/>
            <w:vAlign w:val="center"/>
          </w:tcPr>
          <w:p>
            <w:pPr>
              <w:kinsoku/>
              <w:overflowPunct/>
              <w:topLinePunct w:val="0"/>
              <w:bidi w:val="0"/>
              <w:spacing w:line="300" w:lineRule="auto"/>
              <w:ind w:left="-105" w:leftChars="-50" w:right="-105" w:rightChars="-50"/>
              <w:jc w:val="center"/>
              <w:rPr>
                <w:szCs w:val="21"/>
              </w:rPr>
            </w:pPr>
            <w:r>
              <w:rPr>
                <w:rFonts w:hint="eastAsia"/>
                <w:szCs w:val="21"/>
              </w:rPr>
              <w:t>其中</w:t>
            </w:r>
          </w:p>
        </w:tc>
        <w:tc>
          <w:tcPr>
            <w:tcW w:w="567" w:type="dxa"/>
            <w:vMerge w:val="restart"/>
            <w:tcBorders>
              <w:top w:val="single" w:color="auto" w:sz="8" w:space="0"/>
            </w:tcBorders>
            <w:noWrap w:val="0"/>
            <w:vAlign w:val="center"/>
          </w:tcPr>
          <w:p>
            <w:pPr>
              <w:kinsoku/>
              <w:overflowPunct/>
              <w:topLinePunct w:val="0"/>
              <w:bidi w:val="0"/>
              <w:spacing w:line="300" w:lineRule="auto"/>
              <w:ind w:left="-105" w:leftChars="-50" w:right="-105" w:rightChars="-50"/>
              <w:jc w:val="center"/>
              <w:rPr>
                <w:szCs w:val="21"/>
              </w:rPr>
            </w:pPr>
            <w:r>
              <w:rPr>
                <w:rFonts w:hint="eastAsia"/>
                <w:szCs w:val="21"/>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568" w:type="dxa"/>
            <w:vMerge w:val="continue"/>
            <w:noWrap w:val="0"/>
            <w:vAlign w:val="center"/>
          </w:tcPr>
          <w:p>
            <w:pPr>
              <w:kinsoku/>
              <w:overflowPunct/>
              <w:topLinePunct w:val="0"/>
              <w:bidi w:val="0"/>
              <w:spacing w:line="300" w:lineRule="auto"/>
              <w:jc w:val="center"/>
              <w:rPr>
                <w:szCs w:val="21"/>
              </w:rPr>
            </w:pPr>
          </w:p>
        </w:tc>
        <w:tc>
          <w:tcPr>
            <w:tcW w:w="850" w:type="dxa"/>
            <w:vMerge w:val="continue"/>
            <w:noWrap w:val="0"/>
            <w:vAlign w:val="center"/>
          </w:tcPr>
          <w:p>
            <w:pPr>
              <w:kinsoku/>
              <w:overflowPunct/>
              <w:topLinePunct w:val="0"/>
              <w:bidi w:val="0"/>
              <w:spacing w:line="300" w:lineRule="auto"/>
              <w:jc w:val="center"/>
              <w:rPr>
                <w:szCs w:val="21"/>
              </w:rPr>
            </w:pPr>
          </w:p>
        </w:tc>
        <w:tc>
          <w:tcPr>
            <w:tcW w:w="851" w:type="dxa"/>
            <w:vMerge w:val="continue"/>
            <w:noWrap w:val="0"/>
            <w:vAlign w:val="center"/>
          </w:tcPr>
          <w:p>
            <w:pPr>
              <w:kinsoku/>
              <w:overflowPunct/>
              <w:topLinePunct w:val="0"/>
              <w:bidi w:val="0"/>
              <w:spacing w:line="300" w:lineRule="auto"/>
              <w:jc w:val="center"/>
              <w:rPr>
                <w:szCs w:val="21"/>
              </w:rPr>
            </w:pPr>
          </w:p>
        </w:tc>
        <w:tc>
          <w:tcPr>
            <w:tcW w:w="850" w:type="dxa"/>
            <w:vMerge w:val="continue"/>
            <w:noWrap w:val="0"/>
            <w:vAlign w:val="center"/>
          </w:tcPr>
          <w:p>
            <w:pPr>
              <w:kinsoku/>
              <w:overflowPunct/>
              <w:topLinePunct w:val="0"/>
              <w:bidi w:val="0"/>
              <w:spacing w:line="300" w:lineRule="auto"/>
              <w:jc w:val="center"/>
              <w:rPr>
                <w:szCs w:val="21"/>
              </w:rPr>
            </w:pPr>
          </w:p>
        </w:tc>
        <w:tc>
          <w:tcPr>
            <w:tcW w:w="851" w:type="dxa"/>
            <w:vMerge w:val="continue"/>
            <w:noWrap w:val="0"/>
            <w:vAlign w:val="center"/>
          </w:tcPr>
          <w:p>
            <w:pPr>
              <w:kinsoku/>
              <w:overflowPunct/>
              <w:topLinePunct w:val="0"/>
              <w:bidi w:val="0"/>
              <w:spacing w:line="300" w:lineRule="auto"/>
              <w:jc w:val="center"/>
              <w:rPr>
                <w:szCs w:val="21"/>
              </w:rPr>
            </w:pPr>
          </w:p>
        </w:tc>
        <w:tc>
          <w:tcPr>
            <w:tcW w:w="850" w:type="dxa"/>
            <w:vMerge w:val="continue"/>
            <w:noWrap w:val="0"/>
            <w:vAlign w:val="center"/>
          </w:tcPr>
          <w:p>
            <w:pPr>
              <w:kinsoku/>
              <w:overflowPunct/>
              <w:topLinePunct w:val="0"/>
              <w:bidi w:val="0"/>
              <w:spacing w:line="300" w:lineRule="auto"/>
              <w:jc w:val="center"/>
              <w:rPr>
                <w:szCs w:val="21"/>
              </w:rPr>
            </w:pPr>
          </w:p>
        </w:tc>
        <w:tc>
          <w:tcPr>
            <w:tcW w:w="851" w:type="dxa"/>
            <w:vMerge w:val="continue"/>
            <w:noWrap w:val="0"/>
            <w:vAlign w:val="center"/>
          </w:tcPr>
          <w:p>
            <w:pPr>
              <w:kinsoku/>
              <w:overflowPunct/>
              <w:topLinePunct w:val="0"/>
              <w:bidi w:val="0"/>
              <w:spacing w:line="300" w:lineRule="auto"/>
              <w:jc w:val="center"/>
              <w:rPr>
                <w:szCs w:val="21"/>
              </w:rPr>
            </w:pPr>
          </w:p>
        </w:tc>
        <w:tc>
          <w:tcPr>
            <w:tcW w:w="850" w:type="dxa"/>
            <w:vMerge w:val="continue"/>
            <w:noWrap w:val="0"/>
            <w:vAlign w:val="center"/>
          </w:tcPr>
          <w:p>
            <w:pPr>
              <w:kinsoku/>
              <w:overflowPunct/>
              <w:topLinePunct w:val="0"/>
              <w:bidi w:val="0"/>
              <w:spacing w:line="300" w:lineRule="auto"/>
              <w:jc w:val="center"/>
              <w:rPr>
                <w:szCs w:val="21"/>
              </w:rPr>
            </w:pPr>
          </w:p>
        </w:tc>
        <w:tc>
          <w:tcPr>
            <w:tcW w:w="709" w:type="dxa"/>
            <w:noWrap w:val="0"/>
            <w:vAlign w:val="center"/>
          </w:tcPr>
          <w:p>
            <w:pPr>
              <w:kinsoku/>
              <w:overflowPunct/>
              <w:topLinePunct w:val="0"/>
              <w:bidi w:val="0"/>
              <w:spacing w:line="300" w:lineRule="auto"/>
              <w:ind w:left="-105" w:leftChars="-50" w:right="-105" w:rightChars="-50"/>
              <w:jc w:val="center"/>
              <w:rPr>
                <w:szCs w:val="21"/>
              </w:rPr>
            </w:pPr>
            <w:r>
              <w:rPr>
                <w:rFonts w:hint="eastAsia"/>
                <w:szCs w:val="21"/>
              </w:rPr>
              <w:t>人工费</w:t>
            </w:r>
          </w:p>
        </w:tc>
        <w:tc>
          <w:tcPr>
            <w:tcW w:w="709" w:type="dxa"/>
            <w:tcBorders>
              <w:right w:val="single" w:color="auto" w:sz="4" w:space="0"/>
            </w:tcBorders>
            <w:noWrap w:val="0"/>
            <w:vAlign w:val="center"/>
          </w:tcPr>
          <w:p>
            <w:pPr>
              <w:kinsoku/>
              <w:overflowPunct/>
              <w:topLinePunct w:val="0"/>
              <w:bidi w:val="0"/>
              <w:spacing w:line="300" w:lineRule="auto"/>
              <w:ind w:left="-105" w:leftChars="-50" w:right="-105" w:rightChars="-50"/>
              <w:jc w:val="center"/>
              <w:rPr>
                <w:szCs w:val="21"/>
              </w:rPr>
            </w:pPr>
            <w:r>
              <w:rPr>
                <w:rFonts w:hint="eastAsia"/>
                <w:szCs w:val="21"/>
              </w:rPr>
              <w:t>机械费</w:t>
            </w:r>
          </w:p>
        </w:tc>
        <w:tc>
          <w:tcPr>
            <w:tcW w:w="709" w:type="dxa"/>
            <w:tcBorders>
              <w:left w:val="single" w:color="auto" w:sz="4" w:space="0"/>
            </w:tcBorders>
            <w:noWrap w:val="0"/>
            <w:vAlign w:val="center"/>
          </w:tcPr>
          <w:p>
            <w:pPr>
              <w:kinsoku/>
              <w:overflowPunct/>
              <w:topLinePunct w:val="0"/>
              <w:bidi w:val="0"/>
              <w:spacing w:line="300" w:lineRule="auto"/>
              <w:ind w:left="-105" w:leftChars="-50" w:right="-105" w:rightChars="-50"/>
              <w:jc w:val="center"/>
              <w:rPr>
                <w:szCs w:val="21"/>
              </w:rPr>
            </w:pPr>
            <w:r>
              <w:rPr>
                <w:rFonts w:hint="eastAsia"/>
                <w:szCs w:val="21"/>
              </w:rPr>
              <w:t>暂估价</w:t>
            </w:r>
          </w:p>
        </w:tc>
        <w:tc>
          <w:tcPr>
            <w:tcW w:w="567" w:type="dxa"/>
            <w:vMerge w:val="continue"/>
            <w:noWrap w:val="0"/>
            <w:vAlign w:val="center"/>
          </w:tcPr>
          <w:p>
            <w:pPr>
              <w:kinsoku/>
              <w:overflowPunct/>
              <w:topLinePunct w:val="0"/>
              <w:bidi w:val="0"/>
              <w:spacing w:line="300" w:lineRule="auto"/>
              <w:ind w:left="-105" w:leftChars="-50" w:right="-105" w:rightChars="-5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568"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709" w:type="dxa"/>
            <w:noWrap w:val="0"/>
            <w:vAlign w:val="center"/>
          </w:tcPr>
          <w:p>
            <w:pPr>
              <w:kinsoku/>
              <w:overflowPunct/>
              <w:topLinePunct w:val="0"/>
              <w:bidi w:val="0"/>
              <w:spacing w:line="300" w:lineRule="auto"/>
              <w:jc w:val="center"/>
              <w:rPr>
                <w:szCs w:val="21"/>
              </w:rPr>
            </w:pPr>
          </w:p>
        </w:tc>
        <w:tc>
          <w:tcPr>
            <w:tcW w:w="709" w:type="dxa"/>
            <w:tcBorders>
              <w:right w:val="single" w:color="auto" w:sz="4" w:space="0"/>
            </w:tcBorders>
            <w:noWrap w:val="0"/>
            <w:vAlign w:val="center"/>
          </w:tcPr>
          <w:p>
            <w:pPr>
              <w:kinsoku/>
              <w:overflowPunct/>
              <w:topLinePunct w:val="0"/>
              <w:bidi w:val="0"/>
              <w:spacing w:line="300" w:lineRule="auto"/>
              <w:jc w:val="center"/>
              <w:rPr>
                <w:szCs w:val="21"/>
              </w:rPr>
            </w:pPr>
          </w:p>
        </w:tc>
        <w:tc>
          <w:tcPr>
            <w:tcW w:w="709"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568"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709" w:type="dxa"/>
            <w:noWrap w:val="0"/>
            <w:vAlign w:val="center"/>
          </w:tcPr>
          <w:p>
            <w:pPr>
              <w:kinsoku/>
              <w:overflowPunct/>
              <w:topLinePunct w:val="0"/>
              <w:bidi w:val="0"/>
              <w:spacing w:line="300" w:lineRule="auto"/>
              <w:jc w:val="center"/>
              <w:rPr>
                <w:szCs w:val="21"/>
              </w:rPr>
            </w:pPr>
          </w:p>
        </w:tc>
        <w:tc>
          <w:tcPr>
            <w:tcW w:w="709" w:type="dxa"/>
            <w:tcBorders>
              <w:right w:val="single" w:color="auto" w:sz="4" w:space="0"/>
            </w:tcBorders>
            <w:noWrap w:val="0"/>
            <w:vAlign w:val="center"/>
          </w:tcPr>
          <w:p>
            <w:pPr>
              <w:kinsoku/>
              <w:overflowPunct/>
              <w:topLinePunct w:val="0"/>
              <w:bidi w:val="0"/>
              <w:spacing w:line="300" w:lineRule="auto"/>
              <w:jc w:val="center"/>
              <w:rPr>
                <w:szCs w:val="21"/>
              </w:rPr>
            </w:pPr>
          </w:p>
        </w:tc>
        <w:tc>
          <w:tcPr>
            <w:tcW w:w="709"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568"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709" w:type="dxa"/>
            <w:noWrap w:val="0"/>
            <w:vAlign w:val="center"/>
          </w:tcPr>
          <w:p>
            <w:pPr>
              <w:kinsoku/>
              <w:overflowPunct/>
              <w:topLinePunct w:val="0"/>
              <w:bidi w:val="0"/>
              <w:spacing w:line="300" w:lineRule="auto"/>
              <w:jc w:val="center"/>
              <w:rPr>
                <w:szCs w:val="21"/>
              </w:rPr>
            </w:pPr>
          </w:p>
        </w:tc>
        <w:tc>
          <w:tcPr>
            <w:tcW w:w="709" w:type="dxa"/>
            <w:tcBorders>
              <w:right w:val="single" w:color="auto" w:sz="4" w:space="0"/>
            </w:tcBorders>
            <w:noWrap w:val="0"/>
            <w:vAlign w:val="center"/>
          </w:tcPr>
          <w:p>
            <w:pPr>
              <w:kinsoku/>
              <w:overflowPunct/>
              <w:topLinePunct w:val="0"/>
              <w:bidi w:val="0"/>
              <w:spacing w:line="300" w:lineRule="auto"/>
              <w:jc w:val="center"/>
              <w:rPr>
                <w:szCs w:val="21"/>
              </w:rPr>
            </w:pPr>
          </w:p>
        </w:tc>
        <w:tc>
          <w:tcPr>
            <w:tcW w:w="709"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568"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709" w:type="dxa"/>
            <w:noWrap w:val="0"/>
            <w:vAlign w:val="center"/>
          </w:tcPr>
          <w:p>
            <w:pPr>
              <w:kinsoku/>
              <w:overflowPunct/>
              <w:topLinePunct w:val="0"/>
              <w:bidi w:val="0"/>
              <w:spacing w:line="300" w:lineRule="auto"/>
              <w:jc w:val="center"/>
              <w:rPr>
                <w:szCs w:val="21"/>
              </w:rPr>
            </w:pPr>
          </w:p>
        </w:tc>
        <w:tc>
          <w:tcPr>
            <w:tcW w:w="709" w:type="dxa"/>
            <w:tcBorders>
              <w:right w:val="single" w:color="auto" w:sz="4" w:space="0"/>
            </w:tcBorders>
            <w:noWrap w:val="0"/>
            <w:vAlign w:val="center"/>
          </w:tcPr>
          <w:p>
            <w:pPr>
              <w:kinsoku/>
              <w:overflowPunct/>
              <w:topLinePunct w:val="0"/>
              <w:bidi w:val="0"/>
              <w:spacing w:line="300" w:lineRule="auto"/>
              <w:jc w:val="center"/>
              <w:rPr>
                <w:szCs w:val="21"/>
              </w:rPr>
            </w:pPr>
          </w:p>
        </w:tc>
        <w:tc>
          <w:tcPr>
            <w:tcW w:w="709"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568"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709" w:type="dxa"/>
            <w:noWrap w:val="0"/>
            <w:vAlign w:val="center"/>
          </w:tcPr>
          <w:p>
            <w:pPr>
              <w:kinsoku/>
              <w:overflowPunct/>
              <w:topLinePunct w:val="0"/>
              <w:bidi w:val="0"/>
              <w:spacing w:line="300" w:lineRule="auto"/>
              <w:jc w:val="center"/>
              <w:rPr>
                <w:szCs w:val="21"/>
              </w:rPr>
            </w:pPr>
          </w:p>
        </w:tc>
        <w:tc>
          <w:tcPr>
            <w:tcW w:w="709" w:type="dxa"/>
            <w:tcBorders>
              <w:right w:val="single" w:color="auto" w:sz="4" w:space="0"/>
            </w:tcBorders>
            <w:noWrap w:val="0"/>
            <w:vAlign w:val="center"/>
          </w:tcPr>
          <w:p>
            <w:pPr>
              <w:kinsoku/>
              <w:overflowPunct/>
              <w:topLinePunct w:val="0"/>
              <w:bidi w:val="0"/>
              <w:spacing w:line="300" w:lineRule="auto"/>
              <w:jc w:val="center"/>
              <w:rPr>
                <w:szCs w:val="21"/>
              </w:rPr>
            </w:pPr>
          </w:p>
        </w:tc>
        <w:tc>
          <w:tcPr>
            <w:tcW w:w="709"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568"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709" w:type="dxa"/>
            <w:noWrap w:val="0"/>
            <w:vAlign w:val="center"/>
          </w:tcPr>
          <w:p>
            <w:pPr>
              <w:kinsoku/>
              <w:overflowPunct/>
              <w:topLinePunct w:val="0"/>
              <w:bidi w:val="0"/>
              <w:spacing w:line="300" w:lineRule="auto"/>
              <w:jc w:val="center"/>
              <w:rPr>
                <w:szCs w:val="21"/>
              </w:rPr>
            </w:pPr>
          </w:p>
        </w:tc>
        <w:tc>
          <w:tcPr>
            <w:tcW w:w="709" w:type="dxa"/>
            <w:tcBorders>
              <w:right w:val="single" w:color="auto" w:sz="4" w:space="0"/>
            </w:tcBorders>
            <w:noWrap w:val="0"/>
            <w:vAlign w:val="center"/>
          </w:tcPr>
          <w:p>
            <w:pPr>
              <w:kinsoku/>
              <w:overflowPunct/>
              <w:topLinePunct w:val="0"/>
              <w:bidi w:val="0"/>
              <w:spacing w:line="300" w:lineRule="auto"/>
              <w:jc w:val="center"/>
              <w:rPr>
                <w:szCs w:val="21"/>
              </w:rPr>
            </w:pPr>
          </w:p>
        </w:tc>
        <w:tc>
          <w:tcPr>
            <w:tcW w:w="709"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568"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709" w:type="dxa"/>
            <w:noWrap w:val="0"/>
            <w:vAlign w:val="center"/>
          </w:tcPr>
          <w:p>
            <w:pPr>
              <w:kinsoku/>
              <w:overflowPunct/>
              <w:topLinePunct w:val="0"/>
              <w:bidi w:val="0"/>
              <w:spacing w:line="300" w:lineRule="auto"/>
              <w:jc w:val="center"/>
              <w:rPr>
                <w:szCs w:val="21"/>
              </w:rPr>
            </w:pPr>
          </w:p>
        </w:tc>
        <w:tc>
          <w:tcPr>
            <w:tcW w:w="709" w:type="dxa"/>
            <w:tcBorders>
              <w:right w:val="single" w:color="auto" w:sz="4" w:space="0"/>
            </w:tcBorders>
            <w:noWrap w:val="0"/>
            <w:vAlign w:val="center"/>
          </w:tcPr>
          <w:p>
            <w:pPr>
              <w:kinsoku/>
              <w:overflowPunct/>
              <w:topLinePunct w:val="0"/>
              <w:bidi w:val="0"/>
              <w:spacing w:line="300" w:lineRule="auto"/>
              <w:jc w:val="center"/>
              <w:rPr>
                <w:szCs w:val="21"/>
              </w:rPr>
            </w:pPr>
          </w:p>
        </w:tc>
        <w:tc>
          <w:tcPr>
            <w:tcW w:w="709"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568"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709" w:type="dxa"/>
            <w:noWrap w:val="0"/>
            <w:vAlign w:val="center"/>
          </w:tcPr>
          <w:p>
            <w:pPr>
              <w:kinsoku/>
              <w:overflowPunct/>
              <w:topLinePunct w:val="0"/>
              <w:bidi w:val="0"/>
              <w:spacing w:line="300" w:lineRule="auto"/>
              <w:jc w:val="center"/>
              <w:rPr>
                <w:szCs w:val="21"/>
              </w:rPr>
            </w:pPr>
          </w:p>
        </w:tc>
        <w:tc>
          <w:tcPr>
            <w:tcW w:w="709" w:type="dxa"/>
            <w:tcBorders>
              <w:right w:val="single" w:color="auto" w:sz="4" w:space="0"/>
            </w:tcBorders>
            <w:noWrap w:val="0"/>
            <w:vAlign w:val="center"/>
          </w:tcPr>
          <w:p>
            <w:pPr>
              <w:kinsoku/>
              <w:overflowPunct/>
              <w:topLinePunct w:val="0"/>
              <w:bidi w:val="0"/>
              <w:spacing w:line="300" w:lineRule="auto"/>
              <w:jc w:val="center"/>
              <w:rPr>
                <w:szCs w:val="21"/>
              </w:rPr>
            </w:pPr>
          </w:p>
        </w:tc>
        <w:tc>
          <w:tcPr>
            <w:tcW w:w="709"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568"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709" w:type="dxa"/>
            <w:noWrap w:val="0"/>
            <w:vAlign w:val="center"/>
          </w:tcPr>
          <w:p>
            <w:pPr>
              <w:kinsoku/>
              <w:overflowPunct/>
              <w:topLinePunct w:val="0"/>
              <w:bidi w:val="0"/>
              <w:spacing w:line="300" w:lineRule="auto"/>
              <w:jc w:val="center"/>
              <w:rPr>
                <w:szCs w:val="21"/>
              </w:rPr>
            </w:pPr>
          </w:p>
        </w:tc>
        <w:tc>
          <w:tcPr>
            <w:tcW w:w="709" w:type="dxa"/>
            <w:tcBorders>
              <w:right w:val="single" w:color="auto" w:sz="4" w:space="0"/>
            </w:tcBorders>
            <w:noWrap w:val="0"/>
            <w:vAlign w:val="center"/>
          </w:tcPr>
          <w:p>
            <w:pPr>
              <w:kinsoku/>
              <w:overflowPunct/>
              <w:topLinePunct w:val="0"/>
              <w:bidi w:val="0"/>
              <w:spacing w:line="300" w:lineRule="auto"/>
              <w:jc w:val="center"/>
              <w:rPr>
                <w:szCs w:val="21"/>
              </w:rPr>
            </w:pPr>
          </w:p>
        </w:tc>
        <w:tc>
          <w:tcPr>
            <w:tcW w:w="709"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568"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709" w:type="dxa"/>
            <w:noWrap w:val="0"/>
            <w:vAlign w:val="center"/>
          </w:tcPr>
          <w:p>
            <w:pPr>
              <w:kinsoku/>
              <w:overflowPunct/>
              <w:topLinePunct w:val="0"/>
              <w:bidi w:val="0"/>
              <w:spacing w:line="300" w:lineRule="auto"/>
              <w:jc w:val="center"/>
              <w:rPr>
                <w:szCs w:val="21"/>
              </w:rPr>
            </w:pPr>
          </w:p>
        </w:tc>
        <w:tc>
          <w:tcPr>
            <w:tcW w:w="709" w:type="dxa"/>
            <w:tcBorders>
              <w:right w:val="single" w:color="auto" w:sz="4" w:space="0"/>
            </w:tcBorders>
            <w:noWrap w:val="0"/>
            <w:vAlign w:val="center"/>
          </w:tcPr>
          <w:p>
            <w:pPr>
              <w:kinsoku/>
              <w:overflowPunct/>
              <w:topLinePunct w:val="0"/>
              <w:bidi w:val="0"/>
              <w:spacing w:line="300" w:lineRule="auto"/>
              <w:jc w:val="center"/>
              <w:rPr>
                <w:szCs w:val="21"/>
              </w:rPr>
            </w:pPr>
          </w:p>
        </w:tc>
        <w:tc>
          <w:tcPr>
            <w:tcW w:w="709"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568"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709" w:type="dxa"/>
            <w:noWrap w:val="0"/>
            <w:vAlign w:val="center"/>
          </w:tcPr>
          <w:p>
            <w:pPr>
              <w:kinsoku/>
              <w:overflowPunct/>
              <w:topLinePunct w:val="0"/>
              <w:bidi w:val="0"/>
              <w:spacing w:line="300" w:lineRule="auto"/>
              <w:jc w:val="center"/>
              <w:rPr>
                <w:szCs w:val="21"/>
              </w:rPr>
            </w:pPr>
          </w:p>
        </w:tc>
        <w:tc>
          <w:tcPr>
            <w:tcW w:w="709" w:type="dxa"/>
            <w:tcBorders>
              <w:right w:val="single" w:color="auto" w:sz="4" w:space="0"/>
            </w:tcBorders>
            <w:noWrap w:val="0"/>
            <w:vAlign w:val="center"/>
          </w:tcPr>
          <w:p>
            <w:pPr>
              <w:kinsoku/>
              <w:overflowPunct/>
              <w:topLinePunct w:val="0"/>
              <w:bidi w:val="0"/>
              <w:spacing w:line="300" w:lineRule="auto"/>
              <w:jc w:val="center"/>
              <w:rPr>
                <w:szCs w:val="21"/>
              </w:rPr>
            </w:pPr>
          </w:p>
        </w:tc>
        <w:tc>
          <w:tcPr>
            <w:tcW w:w="709"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568"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709" w:type="dxa"/>
            <w:noWrap w:val="0"/>
            <w:vAlign w:val="center"/>
          </w:tcPr>
          <w:p>
            <w:pPr>
              <w:kinsoku/>
              <w:overflowPunct/>
              <w:topLinePunct w:val="0"/>
              <w:bidi w:val="0"/>
              <w:spacing w:line="300" w:lineRule="auto"/>
              <w:jc w:val="center"/>
              <w:rPr>
                <w:szCs w:val="21"/>
              </w:rPr>
            </w:pPr>
          </w:p>
        </w:tc>
        <w:tc>
          <w:tcPr>
            <w:tcW w:w="709" w:type="dxa"/>
            <w:tcBorders>
              <w:right w:val="single" w:color="auto" w:sz="4" w:space="0"/>
            </w:tcBorders>
            <w:noWrap w:val="0"/>
            <w:vAlign w:val="center"/>
          </w:tcPr>
          <w:p>
            <w:pPr>
              <w:kinsoku/>
              <w:overflowPunct/>
              <w:topLinePunct w:val="0"/>
              <w:bidi w:val="0"/>
              <w:spacing w:line="300" w:lineRule="auto"/>
              <w:jc w:val="center"/>
              <w:rPr>
                <w:szCs w:val="21"/>
              </w:rPr>
            </w:pPr>
          </w:p>
        </w:tc>
        <w:tc>
          <w:tcPr>
            <w:tcW w:w="709"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568"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709" w:type="dxa"/>
            <w:noWrap w:val="0"/>
            <w:vAlign w:val="center"/>
          </w:tcPr>
          <w:p>
            <w:pPr>
              <w:kinsoku/>
              <w:overflowPunct/>
              <w:topLinePunct w:val="0"/>
              <w:bidi w:val="0"/>
              <w:spacing w:line="300" w:lineRule="auto"/>
              <w:jc w:val="center"/>
              <w:rPr>
                <w:szCs w:val="21"/>
              </w:rPr>
            </w:pPr>
          </w:p>
        </w:tc>
        <w:tc>
          <w:tcPr>
            <w:tcW w:w="709" w:type="dxa"/>
            <w:tcBorders>
              <w:right w:val="single" w:color="auto" w:sz="4" w:space="0"/>
            </w:tcBorders>
            <w:noWrap w:val="0"/>
            <w:vAlign w:val="center"/>
          </w:tcPr>
          <w:p>
            <w:pPr>
              <w:kinsoku/>
              <w:overflowPunct/>
              <w:topLinePunct w:val="0"/>
              <w:bidi w:val="0"/>
              <w:spacing w:line="300" w:lineRule="auto"/>
              <w:jc w:val="center"/>
              <w:rPr>
                <w:szCs w:val="21"/>
              </w:rPr>
            </w:pPr>
          </w:p>
        </w:tc>
        <w:tc>
          <w:tcPr>
            <w:tcW w:w="709"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568"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709" w:type="dxa"/>
            <w:noWrap w:val="0"/>
            <w:vAlign w:val="center"/>
          </w:tcPr>
          <w:p>
            <w:pPr>
              <w:kinsoku/>
              <w:overflowPunct/>
              <w:topLinePunct w:val="0"/>
              <w:bidi w:val="0"/>
              <w:spacing w:line="300" w:lineRule="auto"/>
              <w:jc w:val="center"/>
              <w:rPr>
                <w:szCs w:val="21"/>
              </w:rPr>
            </w:pPr>
          </w:p>
        </w:tc>
        <w:tc>
          <w:tcPr>
            <w:tcW w:w="709" w:type="dxa"/>
            <w:tcBorders>
              <w:right w:val="single" w:color="auto" w:sz="4" w:space="0"/>
            </w:tcBorders>
            <w:noWrap w:val="0"/>
            <w:vAlign w:val="center"/>
          </w:tcPr>
          <w:p>
            <w:pPr>
              <w:kinsoku/>
              <w:overflowPunct/>
              <w:topLinePunct w:val="0"/>
              <w:bidi w:val="0"/>
              <w:spacing w:line="300" w:lineRule="auto"/>
              <w:jc w:val="center"/>
              <w:rPr>
                <w:szCs w:val="21"/>
              </w:rPr>
            </w:pPr>
          </w:p>
        </w:tc>
        <w:tc>
          <w:tcPr>
            <w:tcW w:w="709"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568"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709" w:type="dxa"/>
            <w:noWrap w:val="0"/>
            <w:vAlign w:val="center"/>
          </w:tcPr>
          <w:p>
            <w:pPr>
              <w:kinsoku/>
              <w:overflowPunct/>
              <w:topLinePunct w:val="0"/>
              <w:bidi w:val="0"/>
              <w:spacing w:line="300" w:lineRule="auto"/>
              <w:jc w:val="center"/>
              <w:rPr>
                <w:szCs w:val="21"/>
              </w:rPr>
            </w:pPr>
          </w:p>
        </w:tc>
        <w:tc>
          <w:tcPr>
            <w:tcW w:w="709" w:type="dxa"/>
            <w:tcBorders>
              <w:right w:val="single" w:color="auto" w:sz="4" w:space="0"/>
            </w:tcBorders>
            <w:noWrap w:val="0"/>
            <w:vAlign w:val="center"/>
          </w:tcPr>
          <w:p>
            <w:pPr>
              <w:kinsoku/>
              <w:overflowPunct/>
              <w:topLinePunct w:val="0"/>
              <w:bidi w:val="0"/>
              <w:spacing w:line="300" w:lineRule="auto"/>
              <w:jc w:val="center"/>
              <w:rPr>
                <w:szCs w:val="21"/>
              </w:rPr>
            </w:pPr>
          </w:p>
        </w:tc>
        <w:tc>
          <w:tcPr>
            <w:tcW w:w="709"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568"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709" w:type="dxa"/>
            <w:noWrap w:val="0"/>
            <w:vAlign w:val="center"/>
          </w:tcPr>
          <w:p>
            <w:pPr>
              <w:kinsoku/>
              <w:overflowPunct/>
              <w:topLinePunct w:val="0"/>
              <w:bidi w:val="0"/>
              <w:spacing w:line="300" w:lineRule="auto"/>
              <w:jc w:val="center"/>
              <w:rPr>
                <w:szCs w:val="21"/>
              </w:rPr>
            </w:pPr>
          </w:p>
        </w:tc>
        <w:tc>
          <w:tcPr>
            <w:tcW w:w="709" w:type="dxa"/>
            <w:tcBorders>
              <w:right w:val="single" w:color="auto" w:sz="4" w:space="0"/>
            </w:tcBorders>
            <w:noWrap w:val="0"/>
            <w:vAlign w:val="center"/>
          </w:tcPr>
          <w:p>
            <w:pPr>
              <w:kinsoku/>
              <w:overflowPunct/>
              <w:topLinePunct w:val="0"/>
              <w:bidi w:val="0"/>
              <w:spacing w:line="300" w:lineRule="auto"/>
              <w:jc w:val="center"/>
              <w:rPr>
                <w:szCs w:val="21"/>
              </w:rPr>
            </w:pPr>
          </w:p>
        </w:tc>
        <w:tc>
          <w:tcPr>
            <w:tcW w:w="709"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568"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709" w:type="dxa"/>
            <w:noWrap w:val="0"/>
            <w:vAlign w:val="center"/>
          </w:tcPr>
          <w:p>
            <w:pPr>
              <w:kinsoku/>
              <w:overflowPunct/>
              <w:topLinePunct w:val="0"/>
              <w:bidi w:val="0"/>
              <w:spacing w:line="300" w:lineRule="auto"/>
              <w:jc w:val="center"/>
              <w:rPr>
                <w:szCs w:val="21"/>
              </w:rPr>
            </w:pPr>
          </w:p>
        </w:tc>
        <w:tc>
          <w:tcPr>
            <w:tcW w:w="709" w:type="dxa"/>
            <w:tcBorders>
              <w:right w:val="single" w:color="auto" w:sz="4" w:space="0"/>
            </w:tcBorders>
            <w:noWrap w:val="0"/>
            <w:vAlign w:val="center"/>
          </w:tcPr>
          <w:p>
            <w:pPr>
              <w:kinsoku/>
              <w:overflowPunct/>
              <w:topLinePunct w:val="0"/>
              <w:bidi w:val="0"/>
              <w:spacing w:line="300" w:lineRule="auto"/>
              <w:jc w:val="center"/>
              <w:rPr>
                <w:szCs w:val="21"/>
              </w:rPr>
            </w:pPr>
          </w:p>
        </w:tc>
        <w:tc>
          <w:tcPr>
            <w:tcW w:w="709"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568"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709" w:type="dxa"/>
            <w:noWrap w:val="0"/>
            <w:vAlign w:val="center"/>
          </w:tcPr>
          <w:p>
            <w:pPr>
              <w:kinsoku/>
              <w:overflowPunct/>
              <w:topLinePunct w:val="0"/>
              <w:bidi w:val="0"/>
              <w:spacing w:line="300" w:lineRule="auto"/>
              <w:jc w:val="center"/>
              <w:rPr>
                <w:szCs w:val="21"/>
              </w:rPr>
            </w:pPr>
          </w:p>
        </w:tc>
        <w:tc>
          <w:tcPr>
            <w:tcW w:w="709" w:type="dxa"/>
            <w:tcBorders>
              <w:right w:val="single" w:color="auto" w:sz="4" w:space="0"/>
            </w:tcBorders>
            <w:noWrap w:val="0"/>
            <w:vAlign w:val="center"/>
          </w:tcPr>
          <w:p>
            <w:pPr>
              <w:kinsoku/>
              <w:overflowPunct/>
              <w:topLinePunct w:val="0"/>
              <w:bidi w:val="0"/>
              <w:spacing w:line="300" w:lineRule="auto"/>
              <w:jc w:val="center"/>
              <w:rPr>
                <w:szCs w:val="21"/>
              </w:rPr>
            </w:pPr>
          </w:p>
        </w:tc>
        <w:tc>
          <w:tcPr>
            <w:tcW w:w="709"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568"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709" w:type="dxa"/>
            <w:noWrap w:val="0"/>
            <w:vAlign w:val="center"/>
          </w:tcPr>
          <w:p>
            <w:pPr>
              <w:kinsoku/>
              <w:overflowPunct/>
              <w:topLinePunct w:val="0"/>
              <w:bidi w:val="0"/>
              <w:spacing w:line="300" w:lineRule="auto"/>
              <w:jc w:val="center"/>
              <w:rPr>
                <w:szCs w:val="21"/>
              </w:rPr>
            </w:pPr>
          </w:p>
        </w:tc>
        <w:tc>
          <w:tcPr>
            <w:tcW w:w="709" w:type="dxa"/>
            <w:tcBorders>
              <w:right w:val="single" w:color="auto" w:sz="4" w:space="0"/>
            </w:tcBorders>
            <w:noWrap w:val="0"/>
            <w:vAlign w:val="center"/>
          </w:tcPr>
          <w:p>
            <w:pPr>
              <w:kinsoku/>
              <w:overflowPunct/>
              <w:topLinePunct w:val="0"/>
              <w:bidi w:val="0"/>
              <w:spacing w:line="300" w:lineRule="auto"/>
              <w:jc w:val="center"/>
              <w:rPr>
                <w:szCs w:val="21"/>
              </w:rPr>
            </w:pPr>
          </w:p>
        </w:tc>
        <w:tc>
          <w:tcPr>
            <w:tcW w:w="709"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568"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851" w:type="dxa"/>
            <w:noWrap w:val="0"/>
            <w:vAlign w:val="center"/>
          </w:tcPr>
          <w:p>
            <w:pPr>
              <w:kinsoku/>
              <w:overflowPunct/>
              <w:topLinePunct w:val="0"/>
              <w:bidi w:val="0"/>
              <w:spacing w:line="300" w:lineRule="auto"/>
              <w:jc w:val="center"/>
              <w:rPr>
                <w:szCs w:val="21"/>
              </w:rPr>
            </w:pPr>
          </w:p>
        </w:tc>
        <w:tc>
          <w:tcPr>
            <w:tcW w:w="850" w:type="dxa"/>
            <w:noWrap w:val="0"/>
            <w:vAlign w:val="center"/>
          </w:tcPr>
          <w:p>
            <w:pPr>
              <w:kinsoku/>
              <w:overflowPunct/>
              <w:topLinePunct w:val="0"/>
              <w:bidi w:val="0"/>
              <w:spacing w:line="300" w:lineRule="auto"/>
              <w:jc w:val="center"/>
              <w:rPr>
                <w:szCs w:val="21"/>
              </w:rPr>
            </w:pPr>
          </w:p>
        </w:tc>
        <w:tc>
          <w:tcPr>
            <w:tcW w:w="709" w:type="dxa"/>
            <w:noWrap w:val="0"/>
            <w:vAlign w:val="center"/>
          </w:tcPr>
          <w:p>
            <w:pPr>
              <w:kinsoku/>
              <w:overflowPunct/>
              <w:topLinePunct w:val="0"/>
              <w:bidi w:val="0"/>
              <w:spacing w:line="300" w:lineRule="auto"/>
              <w:jc w:val="center"/>
              <w:rPr>
                <w:szCs w:val="21"/>
              </w:rPr>
            </w:pPr>
          </w:p>
        </w:tc>
        <w:tc>
          <w:tcPr>
            <w:tcW w:w="709" w:type="dxa"/>
            <w:tcBorders>
              <w:right w:val="single" w:color="auto" w:sz="4" w:space="0"/>
            </w:tcBorders>
            <w:noWrap w:val="0"/>
            <w:vAlign w:val="center"/>
          </w:tcPr>
          <w:p>
            <w:pPr>
              <w:kinsoku/>
              <w:overflowPunct/>
              <w:topLinePunct w:val="0"/>
              <w:bidi w:val="0"/>
              <w:spacing w:line="300" w:lineRule="auto"/>
              <w:jc w:val="center"/>
              <w:rPr>
                <w:szCs w:val="21"/>
              </w:rPr>
            </w:pPr>
          </w:p>
        </w:tc>
        <w:tc>
          <w:tcPr>
            <w:tcW w:w="709"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5671" w:type="dxa"/>
            <w:gridSpan w:val="7"/>
            <w:noWrap w:val="0"/>
            <w:vAlign w:val="center"/>
          </w:tcPr>
          <w:p>
            <w:pPr>
              <w:kinsoku/>
              <w:overflowPunct/>
              <w:topLinePunct w:val="0"/>
              <w:bidi w:val="0"/>
              <w:spacing w:line="300" w:lineRule="auto"/>
              <w:jc w:val="center"/>
              <w:rPr>
                <w:szCs w:val="21"/>
              </w:rPr>
            </w:pPr>
            <w:r>
              <w:rPr>
                <w:rFonts w:hint="eastAsia"/>
                <w:szCs w:val="21"/>
              </w:rPr>
              <w:t>本</w:t>
            </w:r>
            <w:r>
              <w:rPr>
                <w:szCs w:val="21"/>
              </w:rPr>
              <w:t xml:space="preserve"> </w:t>
            </w:r>
            <w:r>
              <w:rPr>
                <w:rFonts w:hint="eastAsia"/>
                <w:szCs w:val="21"/>
              </w:rPr>
              <w:t>页</w:t>
            </w:r>
            <w:r>
              <w:rPr>
                <w:szCs w:val="21"/>
              </w:rPr>
              <w:t xml:space="preserve"> </w:t>
            </w:r>
            <w:r>
              <w:rPr>
                <w:rFonts w:hint="eastAsia"/>
                <w:szCs w:val="21"/>
              </w:rPr>
              <w:t>小</w:t>
            </w:r>
            <w:r>
              <w:rPr>
                <w:szCs w:val="21"/>
              </w:rPr>
              <w:t xml:space="preserve"> </w:t>
            </w:r>
            <w:r>
              <w:rPr>
                <w:rFonts w:hint="eastAsia"/>
                <w:szCs w:val="21"/>
              </w:rPr>
              <w:t>计</w:t>
            </w:r>
          </w:p>
        </w:tc>
        <w:tc>
          <w:tcPr>
            <w:tcW w:w="850" w:type="dxa"/>
            <w:noWrap w:val="0"/>
            <w:vAlign w:val="center"/>
          </w:tcPr>
          <w:p>
            <w:pPr>
              <w:kinsoku/>
              <w:overflowPunct/>
              <w:topLinePunct w:val="0"/>
              <w:bidi w:val="0"/>
              <w:spacing w:line="300" w:lineRule="auto"/>
              <w:jc w:val="center"/>
              <w:rPr>
                <w:szCs w:val="21"/>
              </w:rPr>
            </w:pPr>
          </w:p>
        </w:tc>
        <w:tc>
          <w:tcPr>
            <w:tcW w:w="709" w:type="dxa"/>
            <w:noWrap w:val="0"/>
            <w:vAlign w:val="center"/>
          </w:tcPr>
          <w:p>
            <w:pPr>
              <w:kinsoku/>
              <w:overflowPunct/>
              <w:topLinePunct w:val="0"/>
              <w:bidi w:val="0"/>
              <w:spacing w:line="300" w:lineRule="auto"/>
              <w:jc w:val="center"/>
              <w:rPr>
                <w:szCs w:val="21"/>
              </w:rPr>
            </w:pPr>
          </w:p>
        </w:tc>
        <w:tc>
          <w:tcPr>
            <w:tcW w:w="709" w:type="dxa"/>
            <w:tcBorders>
              <w:right w:val="single" w:color="auto" w:sz="4" w:space="0"/>
            </w:tcBorders>
            <w:noWrap w:val="0"/>
            <w:vAlign w:val="center"/>
          </w:tcPr>
          <w:p>
            <w:pPr>
              <w:kinsoku/>
              <w:overflowPunct/>
              <w:topLinePunct w:val="0"/>
              <w:bidi w:val="0"/>
              <w:spacing w:line="300" w:lineRule="auto"/>
              <w:jc w:val="center"/>
              <w:rPr>
                <w:szCs w:val="21"/>
              </w:rPr>
            </w:pPr>
          </w:p>
        </w:tc>
        <w:tc>
          <w:tcPr>
            <w:tcW w:w="709"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5671" w:type="dxa"/>
            <w:gridSpan w:val="7"/>
            <w:tcBorders>
              <w:bottom w:val="single" w:color="auto" w:sz="8" w:space="0"/>
            </w:tcBorders>
            <w:noWrap w:val="0"/>
            <w:vAlign w:val="center"/>
          </w:tcPr>
          <w:p>
            <w:pPr>
              <w:kinsoku/>
              <w:overflowPunct/>
              <w:topLinePunct w:val="0"/>
              <w:bidi w:val="0"/>
              <w:spacing w:line="300" w:lineRule="auto"/>
              <w:jc w:val="center"/>
              <w:rPr>
                <w:szCs w:val="21"/>
              </w:rPr>
            </w:pPr>
            <w:r>
              <w:rPr>
                <w:rFonts w:hint="eastAsia"/>
                <w:szCs w:val="21"/>
              </w:rPr>
              <w:t>合</w:t>
            </w:r>
            <w:r>
              <w:rPr>
                <w:szCs w:val="21"/>
              </w:rPr>
              <w:t xml:space="preserve">       </w:t>
            </w:r>
            <w:r>
              <w:rPr>
                <w:rFonts w:hint="eastAsia"/>
                <w:szCs w:val="21"/>
              </w:rPr>
              <w:t>计</w:t>
            </w:r>
          </w:p>
        </w:tc>
        <w:tc>
          <w:tcPr>
            <w:tcW w:w="850" w:type="dxa"/>
            <w:tcBorders>
              <w:bottom w:val="single" w:color="auto" w:sz="8" w:space="0"/>
            </w:tcBorders>
            <w:noWrap w:val="0"/>
            <w:vAlign w:val="center"/>
          </w:tcPr>
          <w:p>
            <w:pPr>
              <w:kinsoku/>
              <w:overflowPunct/>
              <w:topLinePunct w:val="0"/>
              <w:bidi w:val="0"/>
              <w:spacing w:line="300" w:lineRule="auto"/>
              <w:jc w:val="center"/>
              <w:rPr>
                <w:szCs w:val="21"/>
              </w:rPr>
            </w:pPr>
          </w:p>
        </w:tc>
        <w:tc>
          <w:tcPr>
            <w:tcW w:w="709" w:type="dxa"/>
            <w:tcBorders>
              <w:bottom w:val="single" w:color="auto" w:sz="8" w:space="0"/>
            </w:tcBorders>
            <w:noWrap w:val="0"/>
            <w:vAlign w:val="center"/>
          </w:tcPr>
          <w:p>
            <w:pPr>
              <w:kinsoku/>
              <w:overflowPunct/>
              <w:topLinePunct w:val="0"/>
              <w:bidi w:val="0"/>
              <w:spacing w:line="300" w:lineRule="auto"/>
              <w:jc w:val="center"/>
              <w:rPr>
                <w:szCs w:val="21"/>
              </w:rPr>
            </w:pPr>
          </w:p>
        </w:tc>
        <w:tc>
          <w:tcPr>
            <w:tcW w:w="709" w:type="dxa"/>
            <w:tcBorders>
              <w:bottom w:val="single" w:color="auto" w:sz="8" w:space="0"/>
              <w:right w:val="single" w:color="auto" w:sz="4" w:space="0"/>
            </w:tcBorders>
            <w:noWrap w:val="0"/>
            <w:vAlign w:val="center"/>
          </w:tcPr>
          <w:p>
            <w:pPr>
              <w:kinsoku/>
              <w:overflowPunct/>
              <w:topLinePunct w:val="0"/>
              <w:bidi w:val="0"/>
              <w:spacing w:line="300" w:lineRule="auto"/>
              <w:jc w:val="center"/>
              <w:rPr>
                <w:szCs w:val="21"/>
              </w:rPr>
            </w:pPr>
          </w:p>
        </w:tc>
        <w:tc>
          <w:tcPr>
            <w:tcW w:w="709" w:type="dxa"/>
            <w:tcBorders>
              <w:left w:val="single" w:color="auto" w:sz="4" w:space="0"/>
              <w:bottom w:val="single" w:color="auto" w:sz="8" w:space="0"/>
            </w:tcBorders>
            <w:noWrap w:val="0"/>
            <w:vAlign w:val="center"/>
          </w:tcPr>
          <w:p>
            <w:pPr>
              <w:kinsoku/>
              <w:overflowPunct/>
              <w:topLinePunct w:val="0"/>
              <w:bidi w:val="0"/>
              <w:spacing w:line="300" w:lineRule="auto"/>
              <w:jc w:val="center"/>
              <w:rPr>
                <w:szCs w:val="21"/>
              </w:rPr>
            </w:pPr>
          </w:p>
        </w:tc>
        <w:tc>
          <w:tcPr>
            <w:tcW w:w="567" w:type="dxa"/>
            <w:tcBorders>
              <w:bottom w:val="single" w:color="auto" w:sz="8" w:space="0"/>
            </w:tcBorders>
            <w:noWrap w:val="0"/>
            <w:vAlign w:val="center"/>
          </w:tcPr>
          <w:p>
            <w:pPr>
              <w:kinsoku/>
              <w:overflowPunct/>
              <w:topLinePunct w:val="0"/>
              <w:bidi w:val="0"/>
              <w:spacing w:line="300" w:lineRule="auto"/>
              <w:jc w:val="center"/>
              <w:rPr>
                <w:szCs w:val="21"/>
              </w:rPr>
            </w:pPr>
          </w:p>
        </w:tc>
      </w:tr>
    </w:tbl>
    <w:p>
      <w:pPr>
        <w:kinsoku/>
        <w:overflowPunct/>
        <w:topLinePunct w:val="0"/>
        <w:bidi w:val="0"/>
        <w:spacing w:line="300" w:lineRule="auto"/>
        <w:ind w:firstLine="720"/>
        <w:jc w:val="center"/>
        <w:rPr>
          <w:rFonts w:ascii="黑体" w:eastAsia="黑体"/>
          <w:sz w:val="36"/>
          <w:szCs w:val="36"/>
        </w:rPr>
      </w:pPr>
      <w:r>
        <w:rPr>
          <w:rFonts w:ascii="黑体" w:hAnsi="黑体" w:eastAsia="黑体"/>
          <w:bCs/>
        </w:rPr>
        <w:br w:type="page"/>
      </w:r>
      <w:r>
        <w:rPr>
          <w:rFonts w:hint="eastAsia" w:ascii="黑体" w:eastAsia="黑体"/>
          <w:sz w:val="36"/>
          <w:szCs w:val="36"/>
        </w:rPr>
        <w:t>施工技术措施项目清单与计价表</w:t>
      </w:r>
    </w:p>
    <w:p>
      <w:pPr>
        <w:kinsoku/>
        <w:overflowPunct/>
        <w:topLinePunct w:val="0"/>
        <w:bidi w:val="0"/>
        <w:spacing w:line="300" w:lineRule="auto"/>
      </w:pPr>
      <w:r>
        <w:rPr>
          <w:rFonts w:hint="eastAsia"/>
        </w:rPr>
        <w:t>单位（专业）工程名称：</w:t>
      </w:r>
      <w:r>
        <w:t xml:space="preserve">                                           </w:t>
      </w:r>
      <w:r>
        <w:rPr>
          <w:rFonts w:hint="eastAsia"/>
        </w:rPr>
        <w:t>第</w:t>
      </w:r>
      <w:r>
        <w:t xml:space="preserve">     </w:t>
      </w:r>
      <w:r>
        <w:rPr>
          <w:rFonts w:hint="eastAsia"/>
        </w:rPr>
        <w:t>页</w:t>
      </w:r>
      <w:r>
        <w:t xml:space="preserve"> </w:t>
      </w:r>
      <w:r>
        <w:rPr>
          <w:rFonts w:hint="eastAsia"/>
        </w:rPr>
        <w:t>共</w:t>
      </w:r>
      <w:r>
        <w:t xml:space="preserve">    </w:t>
      </w:r>
      <w:r>
        <w:rPr>
          <w:rFonts w:hint="eastAsia"/>
        </w:rPr>
        <w:t>页</w:t>
      </w:r>
    </w:p>
    <w:tbl>
      <w:tblPr>
        <w:tblStyle w:val="53"/>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60"/>
        <w:gridCol w:w="713"/>
        <w:gridCol w:w="678"/>
        <w:gridCol w:w="1143"/>
        <w:gridCol w:w="653"/>
        <w:gridCol w:w="868"/>
        <w:gridCol w:w="857"/>
        <w:gridCol w:w="1069"/>
        <w:gridCol w:w="711"/>
        <w:gridCol w:w="753"/>
        <w:gridCol w:w="850"/>
        <w:gridCol w:w="56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460" w:type="dxa"/>
            <w:vMerge w:val="restart"/>
            <w:tcBorders>
              <w:top w:val="single" w:color="auto" w:sz="8" w:space="0"/>
            </w:tcBorders>
            <w:noWrap w:val="0"/>
            <w:vAlign w:val="center"/>
          </w:tcPr>
          <w:p>
            <w:pPr>
              <w:kinsoku/>
              <w:overflowPunct/>
              <w:topLinePunct w:val="0"/>
              <w:bidi w:val="0"/>
              <w:spacing w:line="300" w:lineRule="auto"/>
              <w:rPr>
                <w:szCs w:val="21"/>
              </w:rPr>
            </w:pPr>
            <w:r>
              <w:rPr>
                <w:rFonts w:hint="eastAsia"/>
                <w:szCs w:val="21"/>
              </w:rPr>
              <w:t>序号</w:t>
            </w:r>
          </w:p>
        </w:tc>
        <w:tc>
          <w:tcPr>
            <w:tcW w:w="713" w:type="dxa"/>
            <w:vMerge w:val="restart"/>
            <w:tcBorders>
              <w:top w:val="single" w:color="auto" w:sz="8" w:space="0"/>
            </w:tcBorders>
            <w:noWrap w:val="0"/>
            <w:vAlign w:val="center"/>
          </w:tcPr>
          <w:p>
            <w:pPr>
              <w:kinsoku/>
              <w:overflowPunct/>
              <w:topLinePunct w:val="0"/>
              <w:bidi w:val="0"/>
              <w:spacing w:line="300" w:lineRule="auto"/>
              <w:rPr>
                <w:szCs w:val="21"/>
              </w:rPr>
            </w:pPr>
            <w:r>
              <w:rPr>
                <w:rFonts w:hint="eastAsia"/>
                <w:szCs w:val="21"/>
              </w:rPr>
              <w:t>项目编码</w:t>
            </w:r>
          </w:p>
        </w:tc>
        <w:tc>
          <w:tcPr>
            <w:tcW w:w="678" w:type="dxa"/>
            <w:vMerge w:val="restart"/>
            <w:tcBorders>
              <w:top w:val="single" w:color="auto" w:sz="8" w:space="0"/>
            </w:tcBorders>
            <w:noWrap w:val="0"/>
            <w:vAlign w:val="center"/>
          </w:tcPr>
          <w:p>
            <w:pPr>
              <w:kinsoku/>
              <w:overflowPunct/>
              <w:topLinePunct w:val="0"/>
              <w:bidi w:val="0"/>
              <w:spacing w:line="300" w:lineRule="auto"/>
              <w:rPr>
                <w:szCs w:val="21"/>
              </w:rPr>
            </w:pPr>
            <w:r>
              <w:rPr>
                <w:rFonts w:hint="eastAsia"/>
                <w:szCs w:val="21"/>
              </w:rPr>
              <w:t>项目名称</w:t>
            </w:r>
          </w:p>
        </w:tc>
        <w:tc>
          <w:tcPr>
            <w:tcW w:w="1143" w:type="dxa"/>
            <w:vMerge w:val="restart"/>
            <w:tcBorders>
              <w:top w:val="single" w:color="auto" w:sz="8" w:space="0"/>
            </w:tcBorders>
            <w:noWrap w:val="0"/>
            <w:vAlign w:val="center"/>
          </w:tcPr>
          <w:p>
            <w:pPr>
              <w:kinsoku/>
              <w:overflowPunct/>
              <w:topLinePunct w:val="0"/>
              <w:bidi w:val="0"/>
              <w:spacing w:line="300" w:lineRule="auto"/>
              <w:rPr>
                <w:szCs w:val="21"/>
              </w:rPr>
            </w:pPr>
            <w:r>
              <w:rPr>
                <w:rFonts w:hint="eastAsia"/>
                <w:szCs w:val="21"/>
              </w:rPr>
              <w:t>项目特征</w:t>
            </w:r>
          </w:p>
        </w:tc>
        <w:tc>
          <w:tcPr>
            <w:tcW w:w="653" w:type="dxa"/>
            <w:vMerge w:val="restart"/>
            <w:tcBorders>
              <w:top w:val="single" w:color="auto" w:sz="8" w:space="0"/>
            </w:tcBorders>
            <w:noWrap w:val="0"/>
            <w:vAlign w:val="center"/>
          </w:tcPr>
          <w:p>
            <w:pPr>
              <w:kinsoku/>
              <w:overflowPunct/>
              <w:topLinePunct w:val="0"/>
              <w:bidi w:val="0"/>
              <w:spacing w:line="300" w:lineRule="auto"/>
              <w:rPr>
                <w:szCs w:val="21"/>
              </w:rPr>
            </w:pPr>
            <w:r>
              <w:rPr>
                <w:rFonts w:hint="eastAsia"/>
                <w:szCs w:val="21"/>
              </w:rPr>
              <w:t>计量单位</w:t>
            </w:r>
          </w:p>
        </w:tc>
        <w:tc>
          <w:tcPr>
            <w:tcW w:w="868" w:type="dxa"/>
            <w:vMerge w:val="restart"/>
            <w:tcBorders>
              <w:top w:val="single" w:color="auto" w:sz="8" w:space="0"/>
            </w:tcBorders>
            <w:noWrap w:val="0"/>
            <w:vAlign w:val="center"/>
          </w:tcPr>
          <w:p>
            <w:pPr>
              <w:kinsoku/>
              <w:overflowPunct/>
              <w:topLinePunct w:val="0"/>
              <w:bidi w:val="0"/>
              <w:spacing w:line="300" w:lineRule="auto"/>
              <w:rPr>
                <w:szCs w:val="21"/>
              </w:rPr>
            </w:pPr>
            <w:r>
              <w:rPr>
                <w:rFonts w:hint="eastAsia"/>
                <w:szCs w:val="21"/>
              </w:rPr>
              <w:t>工程量</w:t>
            </w:r>
          </w:p>
        </w:tc>
        <w:tc>
          <w:tcPr>
            <w:tcW w:w="857" w:type="dxa"/>
            <w:vMerge w:val="restart"/>
            <w:tcBorders>
              <w:top w:val="single" w:color="auto" w:sz="8" w:space="0"/>
            </w:tcBorders>
            <w:noWrap w:val="0"/>
            <w:vAlign w:val="center"/>
          </w:tcPr>
          <w:p>
            <w:pPr>
              <w:kinsoku/>
              <w:overflowPunct/>
              <w:topLinePunct w:val="0"/>
              <w:bidi w:val="0"/>
              <w:spacing w:line="300" w:lineRule="auto"/>
              <w:rPr>
                <w:szCs w:val="21"/>
              </w:rPr>
            </w:pPr>
            <w:r>
              <w:rPr>
                <w:rFonts w:hint="eastAsia"/>
                <w:szCs w:val="21"/>
              </w:rPr>
              <w:t>综合单价</w:t>
            </w:r>
            <w:r>
              <w:rPr>
                <w:szCs w:val="21"/>
              </w:rPr>
              <w:t>(</w:t>
            </w:r>
            <w:r>
              <w:rPr>
                <w:rFonts w:hint="eastAsia"/>
                <w:szCs w:val="21"/>
              </w:rPr>
              <w:t>元</w:t>
            </w:r>
            <w:r>
              <w:rPr>
                <w:szCs w:val="21"/>
              </w:rPr>
              <w:t>)</w:t>
            </w:r>
          </w:p>
        </w:tc>
        <w:tc>
          <w:tcPr>
            <w:tcW w:w="1069" w:type="dxa"/>
            <w:vMerge w:val="restart"/>
            <w:tcBorders>
              <w:top w:val="single" w:color="auto" w:sz="8" w:space="0"/>
            </w:tcBorders>
            <w:noWrap w:val="0"/>
            <w:vAlign w:val="center"/>
          </w:tcPr>
          <w:p>
            <w:pPr>
              <w:kinsoku/>
              <w:overflowPunct/>
              <w:topLinePunct w:val="0"/>
              <w:bidi w:val="0"/>
              <w:spacing w:line="300" w:lineRule="auto"/>
              <w:jc w:val="center"/>
              <w:rPr>
                <w:szCs w:val="21"/>
              </w:rPr>
            </w:pPr>
            <w:r>
              <w:rPr>
                <w:rFonts w:hint="eastAsia"/>
                <w:szCs w:val="21"/>
              </w:rPr>
              <w:t>合计</w:t>
            </w:r>
          </w:p>
          <w:p>
            <w:pPr>
              <w:kinsoku/>
              <w:overflowPunct/>
              <w:topLinePunct w:val="0"/>
              <w:bidi w:val="0"/>
              <w:spacing w:line="300" w:lineRule="auto"/>
              <w:jc w:val="center"/>
              <w:rPr>
                <w:szCs w:val="21"/>
              </w:rPr>
            </w:pPr>
            <w:r>
              <w:rPr>
                <w:szCs w:val="21"/>
              </w:rPr>
              <w:t>(</w:t>
            </w:r>
            <w:r>
              <w:rPr>
                <w:rFonts w:hint="eastAsia"/>
                <w:szCs w:val="21"/>
              </w:rPr>
              <w:t>元</w:t>
            </w:r>
            <w:r>
              <w:rPr>
                <w:szCs w:val="21"/>
              </w:rPr>
              <w:t>)</w:t>
            </w:r>
          </w:p>
        </w:tc>
        <w:tc>
          <w:tcPr>
            <w:tcW w:w="2314" w:type="dxa"/>
            <w:gridSpan w:val="3"/>
            <w:tcBorders>
              <w:top w:val="single" w:color="auto" w:sz="8" w:space="0"/>
            </w:tcBorders>
            <w:noWrap w:val="0"/>
            <w:vAlign w:val="center"/>
          </w:tcPr>
          <w:p>
            <w:pPr>
              <w:kinsoku/>
              <w:overflowPunct/>
              <w:topLinePunct w:val="0"/>
              <w:bidi w:val="0"/>
              <w:spacing w:line="300" w:lineRule="auto"/>
              <w:rPr>
                <w:szCs w:val="21"/>
              </w:rPr>
            </w:pPr>
            <w:r>
              <w:rPr>
                <w:rFonts w:hint="eastAsia"/>
                <w:szCs w:val="21"/>
              </w:rPr>
              <w:t>其中</w:t>
            </w:r>
            <w:r>
              <w:rPr>
                <w:szCs w:val="21"/>
              </w:rPr>
              <w:t>(</w:t>
            </w:r>
            <w:r>
              <w:rPr>
                <w:rFonts w:hint="eastAsia"/>
                <w:szCs w:val="21"/>
              </w:rPr>
              <w:t>元</w:t>
            </w:r>
            <w:r>
              <w:rPr>
                <w:szCs w:val="21"/>
              </w:rPr>
              <w:t>)</w:t>
            </w:r>
          </w:p>
        </w:tc>
        <w:tc>
          <w:tcPr>
            <w:tcW w:w="567" w:type="dxa"/>
            <w:vMerge w:val="restart"/>
            <w:tcBorders>
              <w:top w:val="single" w:color="auto" w:sz="8" w:space="0"/>
            </w:tcBorders>
            <w:noWrap w:val="0"/>
            <w:vAlign w:val="center"/>
          </w:tcPr>
          <w:p>
            <w:pPr>
              <w:kinsoku/>
              <w:overflowPunct/>
              <w:topLinePunct w:val="0"/>
              <w:bidi w:val="0"/>
              <w:spacing w:line="300" w:lineRule="auto"/>
              <w:rPr>
                <w:szCs w:val="21"/>
              </w:rPr>
            </w:pPr>
            <w:r>
              <w:rPr>
                <w:rFonts w:hint="eastAsia"/>
                <w:szCs w:val="21"/>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460" w:type="dxa"/>
            <w:vMerge w:val="continue"/>
            <w:noWrap w:val="0"/>
            <w:vAlign w:val="center"/>
          </w:tcPr>
          <w:p>
            <w:pPr>
              <w:kinsoku/>
              <w:overflowPunct/>
              <w:topLinePunct w:val="0"/>
              <w:bidi w:val="0"/>
              <w:spacing w:line="300" w:lineRule="auto"/>
              <w:jc w:val="center"/>
              <w:rPr>
                <w:szCs w:val="21"/>
              </w:rPr>
            </w:pPr>
          </w:p>
        </w:tc>
        <w:tc>
          <w:tcPr>
            <w:tcW w:w="713" w:type="dxa"/>
            <w:vMerge w:val="continue"/>
            <w:noWrap w:val="0"/>
            <w:vAlign w:val="center"/>
          </w:tcPr>
          <w:p>
            <w:pPr>
              <w:kinsoku/>
              <w:overflowPunct/>
              <w:topLinePunct w:val="0"/>
              <w:bidi w:val="0"/>
              <w:spacing w:line="300" w:lineRule="auto"/>
              <w:jc w:val="center"/>
              <w:rPr>
                <w:szCs w:val="21"/>
              </w:rPr>
            </w:pPr>
          </w:p>
        </w:tc>
        <w:tc>
          <w:tcPr>
            <w:tcW w:w="678" w:type="dxa"/>
            <w:vMerge w:val="continue"/>
            <w:noWrap w:val="0"/>
            <w:vAlign w:val="center"/>
          </w:tcPr>
          <w:p>
            <w:pPr>
              <w:kinsoku/>
              <w:overflowPunct/>
              <w:topLinePunct w:val="0"/>
              <w:bidi w:val="0"/>
              <w:spacing w:line="300" w:lineRule="auto"/>
              <w:jc w:val="center"/>
              <w:rPr>
                <w:szCs w:val="21"/>
              </w:rPr>
            </w:pPr>
          </w:p>
        </w:tc>
        <w:tc>
          <w:tcPr>
            <w:tcW w:w="1143" w:type="dxa"/>
            <w:vMerge w:val="continue"/>
            <w:noWrap w:val="0"/>
            <w:vAlign w:val="center"/>
          </w:tcPr>
          <w:p>
            <w:pPr>
              <w:kinsoku/>
              <w:overflowPunct/>
              <w:topLinePunct w:val="0"/>
              <w:bidi w:val="0"/>
              <w:spacing w:line="300" w:lineRule="auto"/>
              <w:jc w:val="center"/>
              <w:rPr>
                <w:szCs w:val="21"/>
              </w:rPr>
            </w:pPr>
          </w:p>
        </w:tc>
        <w:tc>
          <w:tcPr>
            <w:tcW w:w="653" w:type="dxa"/>
            <w:vMerge w:val="continue"/>
            <w:noWrap w:val="0"/>
            <w:vAlign w:val="center"/>
          </w:tcPr>
          <w:p>
            <w:pPr>
              <w:kinsoku/>
              <w:overflowPunct/>
              <w:topLinePunct w:val="0"/>
              <w:bidi w:val="0"/>
              <w:spacing w:line="300" w:lineRule="auto"/>
              <w:jc w:val="center"/>
              <w:rPr>
                <w:szCs w:val="21"/>
              </w:rPr>
            </w:pPr>
          </w:p>
        </w:tc>
        <w:tc>
          <w:tcPr>
            <w:tcW w:w="868" w:type="dxa"/>
            <w:vMerge w:val="continue"/>
            <w:noWrap w:val="0"/>
            <w:vAlign w:val="center"/>
          </w:tcPr>
          <w:p>
            <w:pPr>
              <w:kinsoku/>
              <w:overflowPunct/>
              <w:topLinePunct w:val="0"/>
              <w:bidi w:val="0"/>
              <w:spacing w:line="300" w:lineRule="auto"/>
              <w:jc w:val="center"/>
              <w:rPr>
                <w:szCs w:val="21"/>
              </w:rPr>
            </w:pPr>
          </w:p>
        </w:tc>
        <w:tc>
          <w:tcPr>
            <w:tcW w:w="857" w:type="dxa"/>
            <w:vMerge w:val="continue"/>
            <w:noWrap w:val="0"/>
            <w:vAlign w:val="center"/>
          </w:tcPr>
          <w:p>
            <w:pPr>
              <w:kinsoku/>
              <w:overflowPunct/>
              <w:topLinePunct w:val="0"/>
              <w:bidi w:val="0"/>
              <w:spacing w:line="300" w:lineRule="auto"/>
              <w:jc w:val="center"/>
              <w:rPr>
                <w:szCs w:val="21"/>
              </w:rPr>
            </w:pPr>
          </w:p>
        </w:tc>
        <w:tc>
          <w:tcPr>
            <w:tcW w:w="1069" w:type="dxa"/>
            <w:vMerge w:val="continue"/>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ind w:left="-105" w:leftChars="-50" w:right="-105" w:rightChars="-50"/>
              <w:rPr>
                <w:szCs w:val="21"/>
              </w:rPr>
            </w:pPr>
            <w:r>
              <w:rPr>
                <w:rFonts w:hint="eastAsia"/>
                <w:szCs w:val="21"/>
              </w:rPr>
              <w:t>人工费</w:t>
            </w:r>
          </w:p>
        </w:tc>
        <w:tc>
          <w:tcPr>
            <w:tcW w:w="753" w:type="dxa"/>
            <w:tcBorders>
              <w:right w:val="single" w:color="auto" w:sz="4" w:space="0"/>
            </w:tcBorders>
            <w:noWrap w:val="0"/>
            <w:vAlign w:val="center"/>
          </w:tcPr>
          <w:p>
            <w:pPr>
              <w:kinsoku/>
              <w:overflowPunct/>
              <w:topLinePunct w:val="0"/>
              <w:bidi w:val="0"/>
              <w:spacing w:line="300" w:lineRule="auto"/>
              <w:ind w:left="-105" w:leftChars="-50" w:right="-105" w:rightChars="-50"/>
              <w:rPr>
                <w:szCs w:val="21"/>
              </w:rPr>
            </w:pPr>
            <w:r>
              <w:rPr>
                <w:rFonts w:hint="eastAsia"/>
                <w:szCs w:val="21"/>
              </w:rPr>
              <w:t>机械费</w:t>
            </w:r>
          </w:p>
        </w:tc>
        <w:tc>
          <w:tcPr>
            <w:tcW w:w="850" w:type="dxa"/>
            <w:tcBorders>
              <w:left w:val="single" w:color="auto" w:sz="4" w:space="0"/>
            </w:tcBorders>
            <w:noWrap w:val="0"/>
            <w:vAlign w:val="center"/>
          </w:tcPr>
          <w:p>
            <w:pPr>
              <w:kinsoku/>
              <w:overflowPunct/>
              <w:topLinePunct w:val="0"/>
              <w:bidi w:val="0"/>
              <w:spacing w:line="300" w:lineRule="auto"/>
              <w:ind w:right="-105" w:rightChars="-50"/>
              <w:rPr>
                <w:szCs w:val="21"/>
              </w:rPr>
            </w:pPr>
            <w:r>
              <w:rPr>
                <w:rFonts w:hint="eastAsia"/>
                <w:szCs w:val="21"/>
              </w:rPr>
              <w:t>暂估价</w:t>
            </w:r>
          </w:p>
        </w:tc>
        <w:tc>
          <w:tcPr>
            <w:tcW w:w="567" w:type="dxa"/>
            <w:vMerge w:val="continue"/>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60" w:type="dxa"/>
            <w:noWrap w:val="0"/>
            <w:vAlign w:val="center"/>
          </w:tcPr>
          <w:p>
            <w:pPr>
              <w:kinsoku/>
              <w:overflowPunct/>
              <w:topLinePunct w:val="0"/>
              <w:bidi w:val="0"/>
              <w:spacing w:line="300" w:lineRule="auto"/>
              <w:jc w:val="center"/>
              <w:rPr>
                <w:szCs w:val="21"/>
              </w:rPr>
            </w:pPr>
          </w:p>
        </w:tc>
        <w:tc>
          <w:tcPr>
            <w:tcW w:w="713" w:type="dxa"/>
            <w:noWrap w:val="0"/>
            <w:vAlign w:val="center"/>
          </w:tcPr>
          <w:p>
            <w:pPr>
              <w:kinsoku/>
              <w:overflowPunct/>
              <w:topLinePunct w:val="0"/>
              <w:bidi w:val="0"/>
              <w:spacing w:line="300" w:lineRule="auto"/>
              <w:jc w:val="center"/>
              <w:rPr>
                <w:szCs w:val="21"/>
              </w:rPr>
            </w:pPr>
          </w:p>
        </w:tc>
        <w:tc>
          <w:tcPr>
            <w:tcW w:w="678" w:type="dxa"/>
            <w:noWrap w:val="0"/>
            <w:vAlign w:val="center"/>
          </w:tcPr>
          <w:p>
            <w:pPr>
              <w:kinsoku/>
              <w:overflowPunct/>
              <w:topLinePunct w:val="0"/>
              <w:bidi w:val="0"/>
              <w:spacing w:line="300" w:lineRule="auto"/>
              <w:jc w:val="center"/>
              <w:rPr>
                <w:szCs w:val="21"/>
              </w:rPr>
            </w:pPr>
          </w:p>
        </w:tc>
        <w:tc>
          <w:tcPr>
            <w:tcW w:w="1143" w:type="dxa"/>
            <w:noWrap w:val="0"/>
            <w:vAlign w:val="center"/>
          </w:tcPr>
          <w:p>
            <w:pPr>
              <w:kinsoku/>
              <w:overflowPunct/>
              <w:topLinePunct w:val="0"/>
              <w:bidi w:val="0"/>
              <w:spacing w:line="300" w:lineRule="auto"/>
              <w:jc w:val="center"/>
              <w:rPr>
                <w:szCs w:val="21"/>
              </w:rPr>
            </w:pPr>
          </w:p>
        </w:tc>
        <w:tc>
          <w:tcPr>
            <w:tcW w:w="653" w:type="dxa"/>
            <w:noWrap w:val="0"/>
            <w:vAlign w:val="center"/>
          </w:tcPr>
          <w:p>
            <w:pPr>
              <w:kinsoku/>
              <w:overflowPunct/>
              <w:topLinePunct w:val="0"/>
              <w:bidi w:val="0"/>
              <w:spacing w:line="300" w:lineRule="auto"/>
              <w:jc w:val="center"/>
              <w:rPr>
                <w:szCs w:val="21"/>
              </w:rPr>
            </w:pPr>
          </w:p>
        </w:tc>
        <w:tc>
          <w:tcPr>
            <w:tcW w:w="868" w:type="dxa"/>
            <w:noWrap w:val="0"/>
            <w:vAlign w:val="center"/>
          </w:tcPr>
          <w:p>
            <w:pPr>
              <w:kinsoku/>
              <w:overflowPunct/>
              <w:topLinePunct w:val="0"/>
              <w:bidi w:val="0"/>
              <w:spacing w:line="300" w:lineRule="auto"/>
              <w:jc w:val="center"/>
              <w:rPr>
                <w:szCs w:val="21"/>
              </w:rPr>
            </w:pPr>
          </w:p>
        </w:tc>
        <w:tc>
          <w:tcPr>
            <w:tcW w:w="857" w:type="dxa"/>
            <w:noWrap w:val="0"/>
            <w:vAlign w:val="center"/>
          </w:tcPr>
          <w:p>
            <w:pPr>
              <w:kinsoku/>
              <w:overflowPunct/>
              <w:topLinePunct w:val="0"/>
              <w:bidi w:val="0"/>
              <w:spacing w:line="300" w:lineRule="auto"/>
              <w:jc w:val="center"/>
              <w:rPr>
                <w:szCs w:val="21"/>
              </w:rPr>
            </w:pP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60" w:type="dxa"/>
            <w:noWrap w:val="0"/>
            <w:vAlign w:val="center"/>
          </w:tcPr>
          <w:p>
            <w:pPr>
              <w:kinsoku/>
              <w:overflowPunct/>
              <w:topLinePunct w:val="0"/>
              <w:bidi w:val="0"/>
              <w:spacing w:line="300" w:lineRule="auto"/>
              <w:jc w:val="center"/>
              <w:rPr>
                <w:szCs w:val="21"/>
              </w:rPr>
            </w:pPr>
          </w:p>
        </w:tc>
        <w:tc>
          <w:tcPr>
            <w:tcW w:w="713" w:type="dxa"/>
            <w:noWrap w:val="0"/>
            <w:vAlign w:val="center"/>
          </w:tcPr>
          <w:p>
            <w:pPr>
              <w:kinsoku/>
              <w:overflowPunct/>
              <w:topLinePunct w:val="0"/>
              <w:bidi w:val="0"/>
              <w:spacing w:line="300" w:lineRule="auto"/>
              <w:jc w:val="center"/>
              <w:rPr>
                <w:szCs w:val="21"/>
              </w:rPr>
            </w:pPr>
          </w:p>
        </w:tc>
        <w:tc>
          <w:tcPr>
            <w:tcW w:w="678" w:type="dxa"/>
            <w:noWrap w:val="0"/>
            <w:vAlign w:val="center"/>
          </w:tcPr>
          <w:p>
            <w:pPr>
              <w:kinsoku/>
              <w:overflowPunct/>
              <w:topLinePunct w:val="0"/>
              <w:bidi w:val="0"/>
              <w:spacing w:line="300" w:lineRule="auto"/>
              <w:jc w:val="center"/>
              <w:rPr>
                <w:szCs w:val="21"/>
              </w:rPr>
            </w:pPr>
          </w:p>
        </w:tc>
        <w:tc>
          <w:tcPr>
            <w:tcW w:w="1143" w:type="dxa"/>
            <w:noWrap w:val="0"/>
            <w:vAlign w:val="center"/>
          </w:tcPr>
          <w:p>
            <w:pPr>
              <w:kinsoku/>
              <w:overflowPunct/>
              <w:topLinePunct w:val="0"/>
              <w:bidi w:val="0"/>
              <w:spacing w:line="300" w:lineRule="auto"/>
              <w:jc w:val="center"/>
              <w:rPr>
                <w:szCs w:val="21"/>
              </w:rPr>
            </w:pPr>
          </w:p>
        </w:tc>
        <w:tc>
          <w:tcPr>
            <w:tcW w:w="653" w:type="dxa"/>
            <w:noWrap w:val="0"/>
            <w:vAlign w:val="center"/>
          </w:tcPr>
          <w:p>
            <w:pPr>
              <w:kinsoku/>
              <w:overflowPunct/>
              <w:topLinePunct w:val="0"/>
              <w:bidi w:val="0"/>
              <w:spacing w:line="300" w:lineRule="auto"/>
              <w:jc w:val="center"/>
              <w:rPr>
                <w:szCs w:val="21"/>
              </w:rPr>
            </w:pPr>
          </w:p>
        </w:tc>
        <w:tc>
          <w:tcPr>
            <w:tcW w:w="868" w:type="dxa"/>
            <w:noWrap w:val="0"/>
            <w:vAlign w:val="center"/>
          </w:tcPr>
          <w:p>
            <w:pPr>
              <w:kinsoku/>
              <w:overflowPunct/>
              <w:topLinePunct w:val="0"/>
              <w:bidi w:val="0"/>
              <w:spacing w:line="300" w:lineRule="auto"/>
              <w:jc w:val="center"/>
              <w:rPr>
                <w:szCs w:val="21"/>
              </w:rPr>
            </w:pPr>
          </w:p>
        </w:tc>
        <w:tc>
          <w:tcPr>
            <w:tcW w:w="857" w:type="dxa"/>
            <w:noWrap w:val="0"/>
            <w:vAlign w:val="center"/>
          </w:tcPr>
          <w:p>
            <w:pPr>
              <w:kinsoku/>
              <w:overflowPunct/>
              <w:topLinePunct w:val="0"/>
              <w:bidi w:val="0"/>
              <w:spacing w:line="300" w:lineRule="auto"/>
              <w:jc w:val="center"/>
              <w:rPr>
                <w:szCs w:val="21"/>
              </w:rPr>
            </w:pP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60" w:type="dxa"/>
            <w:noWrap w:val="0"/>
            <w:vAlign w:val="center"/>
          </w:tcPr>
          <w:p>
            <w:pPr>
              <w:kinsoku/>
              <w:overflowPunct/>
              <w:topLinePunct w:val="0"/>
              <w:bidi w:val="0"/>
              <w:spacing w:line="300" w:lineRule="auto"/>
              <w:jc w:val="center"/>
              <w:rPr>
                <w:szCs w:val="21"/>
              </w:rPr>
            </w:pPr>
          </w:p>
        </w:tc>
        <w:tc>
          <w:tcPr>
            <w:tcW w:w="713" w:type="dxa"/>
            <w:noWrap w:val="0"/>
            <w:vAlign w:val="center"/>
          </w:tcPr>
          <w:p>
            <w:pPr>
              <w:kinsoku/>
              <w:overflowPunct/>
              <w:topLinePunct w:val="0"/>
              <w:bidi w:val="0"/>
              <w:spacing w:line="300" w:lineRule="auto"/>
              <w:jc w:val="center"/>
              <w:rPr>
                <w:szCs w:val="21"/>
              </w:rPr>
            </w:pPr>
          </w:p>
        </w:tc>
        <w:tc>
          <w:tcPr>
            <w:tcW w:w="678" w:type="dxa"/>
            <w:noWrap w:val="0"/>
            <w:vAlign w:val="center"/>
          </w:tcPr>
          <w:p>
            <w:pPr>
              <w:kinsoku/>
              <w:overflowPunct/>
              <w:topLinePunct w:val="0"/>
              <w:bidi w:val="0"/>
              <w:spacing w:line="300" w:lineRule="auto"/>
              <w:jc w:val="center"/>
              <w:rPr>
                <w:szCs w:val="21"/>
              </w:rPr>
            </w:pPr>
          </w:p>
        </w:tc>
        <w:tc>
          <w:tcPr>
            <w:tcW w:w="1143" w:type="dxa"/>
            <w:noWrap w:val="0"/>
            <w:vAlign w:val="center"/>
          </w:tcPr>
          <w:p>
            <w:pPr>
              <w:kinsoku/>
              <w:overflowPunct/>
              <w:topLinePunct w:val="0"/>
              <w:bidi w:val="0"/>
              <w:spacing w:line="300" w:lineRule="auto"/>
              <w:jc w:val="center"/>
              <w:rPr>
                <w:szCs w:val="21"/>
              </w:rPr>
            </w:pPr>
          </w:p>
        </w:tc>
        <w:tc>
          <w:tcPr>
            <w:tcW w:w="653" w:type="dxa"/>
            <w:noWrap w:val="0"/>
            <w:vAlign w:val="center"/>
          </w:tcPr>
          <w:p>
            <w:pPr>
              <w:kinsoku/>
              <w:overflowPunct/>
              <w:topLinePunct w:val="0"/>
              <w:bidi w:val="0"/>
              <w:spacing w:line="300" w:lineRule="auto"/>
              <w:jc w:val="center"/>
              <w:rPr>
                <w:szCs w:val="21"/>
              </w:rPr>
            </w:pPr>
          </w:p>
        </w:tc>
        <w:tc>
          <w:tcPr>
            <w:tcW w:w="868" w:type="dxa"/>
            <w:noWrap w:val="0"/>
            <w:vAlign w:val="center"/>
          </w:tcPr>
          <w:p>
            <w:pPr>
              <w:kinsoku/>
              <w:overflowPunct/>
              <w:topLinePunct w:val="0"/>
              <w:bidi w:val="0"/>
              <w:spacing w:line="300" w:lineRule="auto"/>
              <w:jc w:val="center"/>
              <w:rPr>
                <w:szCs w:val="21"/>
              </w:rPr>
            </w:pPr>
          </w:p>
        </w:tc>
        <w:tc>
          <w:tcPr>
            <w:tcW w:w="857" w:type="dxa"/>
            <w:noWrap w:val="0"/>
            <w:vAlign w:val="center"/>
          </w:tcPr>
          <w:p>
            <w:pPr>
              <w:kinsoku/>
              <w:overflowPunct/>
              <w:topLinePunct w:val="0"/>
              <w:bidi w:val="0"/>
              <w:spacing w:line="300" w:lineRule="auto"/>
              <w:jc w:val="center"/>
              <w:rPr>
                <w:szCs w:val="21"/>
              </w:rPr>
            </w:pP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60" w:type="dxa"/>
            <w:noWrap w:val="0"/>
            <w:vAlign w:val="center"/>
          </w:tcPr>
          <w:p>
            <w:pPr>
              <w:kinsoku/>
              <w:overflowPunct/>
              <w:topLinePunct w:val="0"/>
              <w:bidi w:val="0"/>
              <w:spacing w:line="300" w:lineRule="auto"/>
              <w:jc w:val="center"/>
              <w:rPr>
                <w:szCs w:val="21"/>
              </w:rPr>
            </w:pPr>
          </w:p>
        </w:tc>
        <w:tc>
          <w:tcPr>
            <w:tcW w:w="713" w:type="dxa"/>
            <w:noWrap w:val="0"/>
            <w:vAlign w:val="center"/>
          </w:tcPr>
          <w:p>
            <w:pPr>
              <w:kinsoku/>
              <w:overflowPunct/>
              <w:topLinePunct w:val="0"/>
              <w:bidi w:val="0"/>
              <w:spacing w:line="300" w:lineRule="auto"/>
              <w:jc w:val="center"/>
              <w:rPr>
                <w:szCs w:val="21"/>
              </w:rPr>
            </w:pPr>
          </w:p>
        </w:tc>
        <w:tc>
          <w:tcPr>
            <w:tcW w:w="678" w:type="dxa"/>
            <w:noWrap w:val="0"/>
            <w:vAlign w:val="center"/>
          </w:tcPr>
          <w:p>
            <w:pPr>
              <w:kinsoku/>
              <w:overflowPunct/>
              <w:topLinePunct w:val="0"/>
              <w:bidi w:val="0"/>
              <w:spacing w:line="300" w:lineRule="auto"/>
              <w:jc w:val="center"/>
              <w:rPr>
                <w:szCs w:val="21"/>
              </w:rPr>
            </w:pPr>
          </w:p>
        </w:tc>
        <w:tc>
          <w:tcPr>
            <w:tcW w:w="1143" w:type="dxa"/>
            <w:noWrap w:val="0"/>
            <w:vAlign w:val="center"/>
          </w:tcPr>
          <w:p>
            <w:pPr>
              <w:kinsoku/>
              <w:overflowPunct/>
              <w:topLinePunct w:val="0"/>
              <w:bidi w:val="0"/>
              <w:spacing w:line="300" w:lineRule="auto"/>
              <w:jc w:val="center"/>
              <w:rPr>
                <w:szCs w:val="21"/>
              </w:rPr>
            </w:pPr>
          </w:p>
        </w:tc>
        <w:tc>
          <w:tcPr>
            <w:tcW w:w="653" w:type="dxa"/>
            <w:noWrap w:val="0"/>
            <w:vAlign w:val="center"/>
          </w:tcPr>
          <w:p>
            <w:pPr>
              <w:kinsoku/>
              <w:overflowPunct/>
              <w:topLinePunct w:val="0"/>
              <w:bidi w:val="0"/>
              <w:spacing w:line="300" w:lineRule="auto"/>
              <w:jc w:val="center"/>
              <w:rPr>
                <w:szCs w:val="21"/>
              </w:rPr>
            </w:pPr>
          </w:p>
        </w:tc>
        <w:tc>
          <w:tcPr>
            <w:tcW w:w="868" w:type="dxa"/>
            <w:noWrap w:val="0"/>
            <w:vAlign w:val="center"/>
          </w:tcPr>
          <w:p>
            <w:pPr>
              <w:kinsoku/>
              <w:overflowPunct/>
              <w:topLinePunct w:val="0"/>
              <w:bidi w:val="0"/>
              <w:spacing w:line="300" w:lineRule="auto"/>
              <w:jc w:val="center"/>
              <w:rPr>
                <w:szCs w:val="21"/>
              </w:rPr>
            </w:pPr>
          </w:p>
        </w:tc>
        <w:tc>
          <w:tcPr>
            <w:tcW w:w="857" w:type="dxa"/>
            <w:noWrap w:val="0"/>
            <w:vAlign w:val="center"/>
          </w:tcPr>
          <w:p>
            <w:pPr>
              <w:kinsoku/>
              <w:overflowPunct/>
              <w:topLinePunct w:val="0"/>
              <w:bidi w:val="0"/>
              <w:spacing w:line="300" w:lineRule="auto"/>
              <w:jc w:val="center"/>
              <w:rPr>
                <w:szCs w:val="21"/>
              </w:rPr>
            </w:pP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60" w:type="dxa"/>
            <w:noWrap w:val="0"/>
            <w:vAlign w:val="center"/>
          </w:tcPr>
          <w:p>
            <w:pPr>
              <w:kinsoku/>
              <w:overflowPunct/>
              <w:topLinePunct w:val="0"/>
              <w:bidi w:val="0"/>
              <w:spacing w:line="300" w:lineRule="auto"/>
              <w:jc w:val="center"/>
              <w:rPr>
                <w:szCs w:val="21"/>
              </w:rPr>
            </w:pPr>
          </w:p>
        </w:tc>
        <w:tc>
          <w:tcPr>
            <w:tcW w:w="713" w:type="dxa"/>
            <w:noWrap w:val="0"/>
            <w:vAlign w:val="center"/>
          </w:tcPr>
          <w:p>
            <w:pPr>
              <w:kinsoku/>
              <w:overflowPunct/>
              <w:topLinePunct w:val="0"/>
              <w:bidi w:val="0"/>
              <w:spacing w:line="300" w:lineRule="auto"/>
              <w:jc w:val="center"/>
              <w:rPr>
                <w:szCs w:val="21"/>
              </w:rPr>
            </w:pPr>
          </w:p>
        </w:tc>
        <w:tc>
          <w:tcPr>
            <w:tcW w:w="678" w:type="dxa"/>
            <w:noWrap w:val="0"/>
            <w:vAlign w:val="center"/>
          </w:tcPr>
          <w:p>
            <w:pPr>
              <w:kinsoku/>
              <w:overflowPunct/>
              <w:topLinePunct w:val="0"/>
              <w:bidi w:val="0"/>
              <w:spacing w:line="300" w:lineRule="auto"/>
              <w:jc w:val="center"/>
              <w:rPr>
                <w:szCs w:val="21"/>
              </w:rPr>
            </w:pPr>
          </w:p>
        </w:tc>
        <w:tc>
          <w:tcPr>
            <w:tcW w:w="1143" w:type="dxa"/>
            <w:noWrap w:val="0"/>
            <w:vAlign w:val="center"/>
          </w:tcPr>
          <w:p>
            <w:pPr>
              <w:kinsoku/>
              <w:overflowPunct/>
              <w:topLinePunct w:val="0"/>
              <w:bidi w:val="0"/>
              <w:spacing w:line="300" w:lineRule="auto"/>
              <w:jc w:val="center"/>
              <w:rPr>
                <w:szCs w:val="21"/>
              </w:rPr>
            </w:pPr>
          </w:p>
        </w:tc>
        <w:tc>
          <w:tcPr>
            <w:tcW w:w="653" w:type="dxa"/>
            <w:noWrap w:val="0"/>
            <w:vAlign w:val="center"/>
          </w:tcPr>
          <w:p>
            <w:pPr>
              <w:kinsoku/>
              <w:overflowPunct/>
              <w:topLinePunct w:val="0"/>
              <w:bidi w:val="0"/>
              <w:spacing w:line="300" w:lineRule="auto"/>
              <w:jc w:val="center"/>
              <w:rPr>
                <w:szCs w:val="21"/>
              </w:rPr>
            </w:pPr>
          </w:p>
        </w:tc>
        <w:tc>
          <w:tcPr>
            <w:tcW w:w="868" w:type="dxa"/>
            <w:noWrap w:val="0"/>
            <w:vAlign w:val="center"/>
          </w:tcPr>
          <w:p>
            <w:pPr>
              <w:kinsoku/>
              <w:overflowPunct/>
              <w:topLinePunct w:val="0"/>
              <w:bidi w:val="0"/>
              <w:spacing w:line="300" w:lineRule="auto"/>
              <w:jc w:val="center"/>
              <w:rPr>
                <w:szCs w:val="21"/>
              </w:rPr>
            </w:pPr>
          </w:p>
        </w:tc>
        <w:tc>
          <w:tcPr>
            <w:tcW w:w="857" w:type="dxa"/>
            <w:noWrap w:val="0"/>
            <w:vAlign w:val="center"/>
          </w:tcPr>
          <w:p>
            <w:pPr>
              <w:kinsoku/>
              <w:overflowPunct/>
              <w:topLinePunct w:val="0"/>
              <w:bidi w:val="0"/>
              <w:spacing w:line="300" w:lineRule="auto"/>
              <w:jc w:val="center"/>
              <w:rPr>
                <w:szCs w:val="21"/>
              </w:rPr>
            </w:pP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60" w:type="dxa"/>
            <w:noWrap w:val="0"/>
            <w:vAlign w:val="center"/>
          </w:tcPr>
          <w:p>
            <w:pPr>
              <w:kinsoku/>
              <w:overflowPunct/>
              <w:topLinePunct w:val="0"/>
              <w:bidi w:val="0"/>
              <w:spacing w:line="300" w:lineRule="auto"/>
              <w:jc w:val="center"/>
              <w:rPr>
                <w:szCs w:val="21"/>
              </w:rPr>
            </w:pPr>
          </w:p>
        </w:tc>
        <w:tc>
          <w:tcPr>
            <w:tcW w:w="713" w:type="dxa"/>
            <w:noWrap w:val="0"/>
            <w:vAlign w:val="center"/>
          </w:tcPr>
          <w:p>
            <w:pPr>
              <w:kinsoku/>
              <w:overflowPunct/>
              <w:topLinePunct w:val="0"/>
              <w:bidi w:val="0"/>
              <w:spacing w:line="300" w:lineRule="auto"/>
              <w:jc w:val="center"/>
              <w:rPr>
                <w:szCs w:val="21"/>
              </w:rPr>
            </w:pPr>
          </w:p>
        </w:tc>
        <w:tc>
          <w:tcPr>
            <w:tcW w:w="678" w:type="dxa"/>
            <w:noWrap w:val="0"/>
            <w:vAlign w:val="center"/>
          </w:tcPr>
          <w:p>
            <w:pPr>
              <w:kinsoku/>
              <w:overflowPunct/>
              <w:topLinePunct w:val="0"/>
              <w:bidi w:val="0"/>
              <w:spacing w:line="300" w:lineRule="auto"/>
              <w:jc w:val="center"/>
              <w:rPr>
                <w:szCs w:val="21"/>
              </w:rPr>
            </w:pPr>
          </w:p>
        </w:tc>
        <w:tc>
          <w:tcPr>
            <w:tcW w:w="1143" w:type="dxa"/>
            <w:noWrap w:val="0"/>
            <w:vAlign w:val="center"/>
          </w:tcPr>
          <w:p>
            <w:pPr>
              <w:kinsoku/>
              <w:overflowPunct/>
              <w:topLinePunct w:val="0"/>
              <w:bidi w:val="0"/>
              <w:spacing w:line="300" w:lineRule="auto"/>
              <w:jc w:val="center"/>
              <w:rPr>
                <w:szCs w:val="21"/>
              </w:rPr>
            </w:pPr>
          </w:p>
        </w:tc>
        <w:tc>
          <w:tcPr>
            <w:tcW w:w="653" w:type="dxa"/>
            <w:noWrap w:val="0"/>
            <w:vAlign w:val="center"/>
          </w:tcPr>
          <w:p>
            <w:pPr>
              <w:kinsoku/>
              <w:overflowPunct/>
              <w:topLinePunct w:val="0"/>
              <w:bidi w:val="0"/>
              <w:spacing w:line="300" w:lineRule="auto"/>
              <w:jc w:val="center"/>
              <w:rPr>
                <w:szCs w:val="21"/>
              </w:rPr>
            </w:pPr>
          </w:p>
        </w:tc>
        <w:tc>
          <w:tcPr>
            <w:tcW w:w="868" w:type="dxa"/>
            <w:noWrap w:val="0"/>
            <w:vAlign w:val="center"/>
          </w:tcPr>
          <w:p>
            <w:pPr>
              <w:kinsoku/>
              <w:overflowPunct/>
              <w:topLinePunct w:val="0"/>
              <w:bidi w:val="0"/>
              <w:spacing w:line="300" w:lineRule="auto"/>
              <w:jc w:val="center"/>
              <w:rPr>
                <w:szCs w:val="21"/>
              </w:rPr>
            </w:pPr>
          </w:p>
        </w:tc>
        <w:tc>
          <w:tcPr>
            <w:tcW w:w="857" w:type="dxa"/>
            <w:noWrap w:val="0"/>
            <w:vAlign w:val="center"/>
          </w:tcPr>
          <w:p>
            <w:pPr>
              <w:kinsoku/>
              <w:overflowPunct/>
              <w:topLinePunct w:val="0"/>
              <w:bidi w:val="0"/>
              <w:spacing w:line="300" w:lineRule="auto"/>
              <w:jc w:val="center"/>
              <w:rPr>
                <w:szCs w:val="21"/>
              </w:rPr>
            </w:pP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60" w:type="dxa"/>
            <w:noWrap w:val="0"/>
            <w:vAlign w:val="center"/>
          </w:tcPr>
          <w:p>
            <w:pPr>
              <w:kinsoku/>
              <w:overflowPunct/>
              <w:topLinePunct w:val="0"/>
              <w:bidi w:val="0"/>
              <w:spacing w:line="300" w:lineRule="auto"/>
              <w:jc w:val="center"/>
              <w:rPr>
                <w:szCs w:val="21"/>
              </w:rPr>
            </w:pPr>
          </w:p>
        </w:tc>
        <w:tc>
          <w:tcPr>
            <w:tcW w:w="713" w:type="dxa"/>
            <w:noWrap w:val="0"/>
            <w:vAlign w:val="center"/>
          </w:tcPr>
          <w:p>
            <w:pPr>
              <w:kinsoku/>
              <w:overflowPunct/>
              <w:topLinePunct w:val="0"/>
              <w:bidi w:val="0"/>
              <w:spacing w:line="300" w:lineRule="auto"/>
              <w:jc w:val="center"/>
              <w:rPr>
                <w:szCs w:val="21"/>
              </w:rPr>
            </w:pPr>
          </w:p>
        </w:tc>
        <w:tc>
          <w:tcPr>
            <w:tcW w:w="678" w:type="dxa"/>
            <w:noWrap w:val="0"/>
            <w:vAlign w:val="center"/>
          </w:tcPr>
          <w:p>
            <w:pPr>
              <w:kinsoku/>
              <w:overflowPunct/>
              <w:topLinePunct w:val="0"/>
              <w:bidi w:val="0"/>
              <w:spacing w:line="300" w:lineRule="auto"/>
              <w:jc w:val="center"/>
              <w:rPr>
                <w:szCs w:val="21"/>
              </w:rPr>
            </w:pPr>
          </w:p>
        </w:tc>
        <w:tc>
          <w:tcPr>
            <w:tcW w:w="1143" w:type="dxa"/>
            <w:noWrap w:val="0"/>
            <w:vAlign w:val="center"/>
          </w:tcPr>
          <w:p>
            <w:pPr>
              <w:kinsoku/>
              <w:overflowPunct/>
              <w:topLinePunct w:val="0"/>
              <w:bidi w:val="0"/>
              <w:spacing w:line="300" w:lineRule="auto"/>
              <w:jc w:val="center"/>
              <w:rPr>
                <w:szCs w:val="21"/>
              </w:rPr>
            </w:pPr>
          </w:p>
        </w:tc>
        <w:tc>
          <w:tcPr>
            <w:tcW w:w="653" w:type="dxa"/>
            <w:noWrap w:val="0"/>
            <w:vAlign w:val="center"/>
          </w:tcPr>
          <w:p>
            <w:pPr>
              <w:kinsoku/>
              <w:overflowPunct/>
              <w:topLinePunct w:val="0"/>
              <w:bidi w:val="0"/>
              <w:spacing w:line="300" w:lineRule="auto"/>
              <w:jc w:val="center"/>
              <w:rPr>
                <w:szCs w:val="21"/>
              </w:rPr>
            </w:pPr>
          </w:p>
        </w:tc>
        <w:tc>
          <w:tcPr>
            <w:tcW w:w="868" w:type="dxa"/>
            <w:noWrap w:val="0"/>
            <w:vAlign w:val="center"/>
          </w:tcPr>
          <w:p>
            <w:pPr>
              <w:kinsoku/>
              <w:overflowPunct/>
              <w:topLinePunct w:val="0"/>
              <w:bidi w:val="0"/>
              <w:spacing w:line="300" w:lineRule="auto"/>
              <w:jc w:val="center"/>
              <w:rPr>
                <w:szCs w:val="21"/>
              </w:rPr>
            </w:pPr>
          </w:p>
        </w:tc>
        <w:tc>
          <w:tcPr>
            <w:tcW w:w="857" w:type="dxa"/>
            <w:noWrap w:val="0"/>
            <w:vAlign w:val="center"/>
          </w:tcPr>
          <w:p>
            <w:pPr>
              <w:kinsoku/>
              <w:overflowPunct/>
              <w:topLinePunct w:val="0"/>
              <w:bidi w:val="0"/>
              <w:spacing w:line="300" w:lineRule="auto"/>
              <w:jc w:val="center"/>
              <w:rPr>
                <w:szCs w:val="21"/>
              </w:rPr>
            </w:pP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60" w:type="dxa"/>
            <w:noWrap w:val="0"/>
            <w:vAlign w:val="center"/>
          </w:tcPr>
          <w:p>
            <w:pPr>
              <w:kinsoku/>
              <w:overflowPunct/>
              <w:topLinePunct w:val="0"/>
              <w:bidi w:val="0"/>
              <w:spacing w:line="300" w:lineRule="auto"/>
              <w:jc w:val="center"/>
              <w:rPr>
                <w:szCs w:val="21"/>
              </w:rPr>
            </w:pPr>
          </w:p>
        </w:tc>
        <w:tc>
          <w:tcPr>
            <w:tcW w:w="713" w:type="dxa"/>
            <w:noWrap w:val="0"/>
            <w:vAlign w:val="center"/>
          </w:tcPr>
          <w:p>
            <w:pPr>
              <w:kinsoku/>
              <w:overflowPunct/>
              <w:topLinePunct w:val="0"/>
              <w:bidi w:val="0"/>
              <w:spacing w:line="300" w:lineRule="auto"/>
              <w:jc w:val="center"/>
              <w:rPr>
                <w:szCs w:val="21"/>
              </w:rPr>
            </w:pPr>
          </w:p>
        </w:tc>
        <w:tc>
          <w:tcPr>
            <w:tcW w:w="678" w:type="dxa"/>
            <w:noWrap w:val="0"/>
            <w:vAlign w:val="center"/>
          </w:tcPr>
          <w:p>
            <w:pPr>
              <w:kinsoku/>
              <w:overflowPunct/>
              <w:topLinePunct w:val="0"/>
              <w:bidi w:val="0"/>
              <w:spacing w:line="300" w:lineRule="auto"/>
              <w:jc w:val="center"/>
              <w:rPr>
                <w:szCs w:val="21"/>
              </w:rPr>
            </w:pPr>
          </w:p>
        </w:tc>
        <w:tc>
          <w:tcPr>
            <w:tcW w:w="1143" w:type="dxa"/>
            <w:noWrap w:val="0"/>
            <w:vAlign w:val="center"/>
          </w:tcPr>
          <w:p>
            <w:pPr>
              <w:kinsoku/>
              <w:overflowPunct/>
              <w:topLinePunct w:val="0"/>
              <w:bidi w:val="0"/>
              <w:spacing w:line="300" w:lineRule="auto"/>
              <w:jc w:val="center"/>
              <w:rPr>
                <w:szCs w:val="21"/>
              </w:rPr>
            </w:pPr>
          </w:p>
        </w:tc>
        <w:tc>
          <w:tcPr>
            <w:tcW w:w="653" w:type="dxa"/>
            <w:noWrap w:val="0"/>
            <w:vAlign w:val="center"/>
          </w:tcPr>
          <w:p>
            <w:pPr>
              <w:kinsoku/>
              <w:overflowPunct/>
              <w:topLinePunct w:val="0"/>
              <w:bidi w:val="0"/>
              <w:spacing w:line="300" w:lineRule="auto"/>
              <w:jc w:val="center"/>
              <w:rPr>
                <w:szCs w:val="21"/>
              </w:rPr>
            </w:pPr>
          </w:p>
        </w:tc>
        <w:tc>
          <w:tcPr>
            <w:tcW w:w="868" w:type="dxa"/>
            <w:noWrap w:val="0"/>
            <w:vAlign w:val="center"/>
          </w:tcPr>
          <w:p>
            <w:pPr>
              <w:kinsoku/>
              <w:overflowPunct/>
              <w:topLinePunct w:val="0"/>
              <w:bidi w:val="0"/>
              <w:spacing w:line="300" w:lineRule="auto"/>
              <w:jc w:val="center"/>
              <w:rPr>
                <w:szCs w:val="21"/>
              </w:rPr>
            </w:pPr>
          </w:p>
        </w:tc>
        <w:tc>
          <w:tcPr>
            <w:tcW w:w="857" w:type="dxa"/>
            <w:noWrap w:val="0"/>
            <w:vAlign w:val="center"/>
          </w:tcPr>
          <w:p>
            <w:pPr>
              <w:kinsoku/>
              <w:overflowPunct/>
              <w:topLinePunct w:val="0"/>
              <w:bidi w:val="0"/>
              <w:spacing w:line="300" w:lineRule="auto"/>
              <w:jc w:val="center"/>
              <w:rPr>
                <w:szCs w:val="21"/>
              </w:rPr>
            </w:pP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60" w:type="dxa"/>
            <w:noWrap w:val="0"/>
            <w:vAlign w:val="center"/>
          </w:tcPr>
          <w:p>
            <w:pPr>
              <w:kinsoku/>
              <w:overflowPunct/>
              <w:topLinePunct w:val="0"/>
              <w:bidi w:val="0"/>
              <w:spacing w:line="300" w:lineRule="auto"/>
              <w:jc w:val="center"/>
              <w:rPr>
                <w:szCs w:val="21"/>
              </w:rPr>
            </w:pPr>
          </w:p>
        </w:tc>
        <w:tc>
          <w:tcPr>
            <w:tcW w:w="713" w:type="dxa"/>
            <w:noWrap w:val="0"/>
            <w:vAlign w:val="center"/>
          </w:tcPr>
          <w:p>
            <w:pPr>
              <w:kinsoku/>
              <w:overflowPunct/>
              <w:topLinePunct w:val="0"/>
              <w:bidi w:val="0"/>
              <w:spacing w:line="300" w:lineRule="auto"/>
              <w:jc w:val="center"/>
              <w:rPr>
                <w:szCs w:val="21"/>
              </w:rPr>
            </w:pPr>
          </w:p>
        </w:tc>
        <w:tc>
          <w:tcPr>
            <w:tcW w:w="678" w:type="dxa"/>
            <w:noWrap w:val="0"/>
            <w:vAlign w:val="center"/>
          </w:tcPr>
          <w:p>
            <w:pPr>
              <w:kinsoku/>
              <w:overflowPunct/>
              <w:topLinePunct w:val="0"/>
              <w:bidi w:val="0"/>
              <w:spacing w:line="300" w:lineRule="auto"/>
              <w:jc w:val="center"/>
              <w:rPr>
                <w:szCs w:val="21"/>
              </w:rPr>
            </w:pPr>
          </w:p>
        </w:tc>
        <w:tc>
          <w:tcPr>
            <w:tcW w:w="1143" w:type="dxa"/>
            <w:noWrap w:val="0"/>
            <w:vAlign w:val="center"/>
          </w:tcPr>
          <w:p>
            <w:pPr>
              <w:kinsoku/>
              <w:overflowPunct/>
              <w:topLinePunct w:val="0"/>
              <w:bidi w:val="0"/>
              <w:spacing w:line="300" w:lineRule="auto"/>
              <w:jc w:val="center"/>
              <w:rPr>
                <w:szCs w:val="21"/>
              </w:rPr>
            </w:pPr>
          </w:p>
        </w:tc>
        <w:tc>
          <w:tcPr>
            <w:tcW w:w="653" w:type="dxa"/>
            <w:noWrap w:val="0"/>
            <w:vAlign w:val="center"/>
          </w:tcPr>
          <w:p>
            <w:pPr>
              <w:kinsoku/>
              <w:overflowPunct/>
              <w:topLinePunct w:val="0"/>
              <w:bidi w:val="0"/>
              <w:spacing w:line="300" w:lineRule="auto"/>
              <w:jc w:val="center"/>
              <w:rPr>
                <w:szCs w:val="21"/>
              </w:rPr>
            </w:pPr>
          </w:p>
        </w:tc>
        <w:tc>
          <w:tcPr>
            <w:tcW w:w="868" w:type="dxa"/>
            <w:noWrap w:val="0"/>
            <w:vAlign w:val="center"/>
          </w:tcPr>
          <w:p>
            <w:pPr>
              <w:kinsoku/>
              <w:overflowPunct/>
              <w:topLinePunct w:val="0"/>
              <w:bidi w:val="0"/>
              <w:spacing w:line="300" w:lineRule="auto"/>
              <w:jc w:val="center"/>
              <w:rPr>
                <w:szCs w:val="21"/>
              </w:rPr>
            </w:pPr>
          </w:p>
        </w:tc>
        <w:tc>
          <w:tcPr>
            <w:tcW w:w="857" w:type="dxa"/>
            <w:noWrap w:val="0"/>
            <w:vAlign w:val="center"/>
          </w:tcPr>
          <w:p>
            <w:pPr>
              <w:kinsoku/>
              <w:overflowPunct/>
              <w:topLinePunct w:val="0"/>
              <w:bidi w:val="0"/>
              <w:spacing w:line="300" w:lineRule="auto"/>
              <w:jc w:val="center"/>
              <w:rPr>
                <w:szCs w:val="21"/>
              </w:rPr>
            </w:pP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60" w:type="dxa"/>
            <w:noWrap w:val="0"/>
            <w:vAlign w:val="center"/>
          </w:tcPr>
          <w:p>
            <w:pPr>
              <w:kinsoku/>
              <w:overflowPunct/>
              <w:topLinePunct w:val="0"/>
              <w:bidi w:val="0"/>
              <w:spacing w:line="300" w:lineRule="auto"/>
              <w:jc w:val="center"/>
              <w:rPr>
                <w:szCs w:val="21"/>
              </w:rPr>
            </w:pPr>
          </w:p>
        </w:tc>
        <w:tc>
          <w:tcPr>
            <w:tcW w:w="713" w:type="dxa"/>
            <w:noWrap w:val="0"/>
            <w:vAlign w:val="center"/>
          </w:tcPr>
          <w:p>
            <w:pPr>
              <w:kinsoku/>
              <w:overflowPunct/>
              <w:topLinePunct w:val="0"/>
              <w:bidi w:val="0"/>
              <w:spacing w:line="300" w:lineRule="auto"/>
              <w:jc w:val="center"/>
              <w:rPr>
                <w:szCs w:val="21"/>
              </w:rPr>
            </w:pPr>
          </w:p>
        </w:tc>
        <w:tc>
          <w:tcPr>
            <w:tcW w:w="678" w:type="dxa"/>
            <w:noWrap w:val="0"/>
            <w:vAlign w:val="center"/>
          </w:tcPr>
          <w:p>
            <w:pPr>
              <w:kinsoku/>
              <w:overflowPunct/>
              <w:topLinePunct w:val="0"/>
              <w:bidi w:val="0"/>
              <w:spacing w:line="300" w:lineRule="auto"/>
              <w:jc w:val="center"/>
              <w:rPr>
                <w:szCs w:val="21"/>
              </w:rPr>
            </w:pPr>
          </w:p>
        </w:tc>
        <w:tc>
          <w:tcPr>
            <w:tcW w:w="1143" w:type="dxa"/>
            <w:noWrap w:val="0"/>
            <w:vAlign w:val="center"/>
          </w:tcPr>
          <w:p>
            <w:pPr>
              <w:kinsoku/>
              <w:overflowPunct/>
              <w:topLinePunct w:val="0"/>
              <w:bidi w:val="0"/>
              <w:spacing w:line="300" w:lineRule="auto"/>
              <w:jc w:val="center"/>
              <w:rPr>
                <w:szCs w:val="21"/>
              </w:rPr>
            </w:pPr>
          </w:p>
        </w:tc>
        <w:tc>
          <w:tcPr>
            <w:tcW w:w="653" w:type="dxa"/>
            <w:noWrap w:val="0"/>
            <w:vAlign w:val="center"/>
          </w:tcPr>
          <w:p>
            <w:pPr>
              <w:kinsoku/>
              <w:overflowPunct/>
              <w:topLinePunct w:val="0"/>
              <w:bidi w:val="0"/>
              <w:spacing w:line="300" w:lineRule="auto"/>
              <w:jc w:val="center"/>
              <w:rPr>
                <w:szCs w:val="21"/>
              </w:rPr>
            </w:pPr>
          </w:p>
        </w:tc>
        <w:tc>
          <w:tcPr>
            <w:tcW w:w="868" w:type="dxa"/>
            <w:noWrap w:val="0"/>
            <w:vAlign w:val="center"/>
          </w:tcPr>
          <w:p>
            <w:pPr>
              <w:kinsoku/>
              <w:overflowPunct/>
              <w:topLinePunct w:val="0"/>
              <w:bidi w:val="0"/>
              <w:spacing w:line="300" w:lineRule="auto"/>
              <w:jc w:val="center"/>
              <w:rPr>
                <w:szCs w:val="21"/>
              </w:rPr>
            </w:pPr>
          </w:p>
        </w:tc>
        <w:tc>
          <w:tcPr>
            <w:tcW w:w="857" w:type="dxa"/>
            <w:noWrap w:val="0"/>
            <w:vAlign w:val="center"/>
          </w:tcPr>
          <w:p>
            <w:pPr>
              <w:kinsoku/>
              <w:overflowPunct/>
              <w:topLinePunct w:val="0"/>
              <w:bidi w:val="0"/>
              <w:spacing w:line="300" w:lineRule="auto"/>
              <w:jc w:val="center"/>
              <w:rPr>
                <w:szCs w:val="21"/>
              </w:rPr>
            </w:pP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60" w:type="dxa"/>
            <w:noWrap w:val="0"/>
            <w:vAlign w:val="center"/>
          </w:tcPr>
          <w:p>
            <w:pPr>
              <w:kinsoku/>
              <w:overflowPunct/>
              <w:topLinePunct w:val="0"/>
              <w:bidi w:val="0"/>
              <w:spacing w:line="300" w:lineRule="auto"/>
              <w:jc w:val="center"/>
              <w:rPr>
                <w:szCs w:val="21"/>
              </w:rPr>
            </w:pPr>
          </w:p>
        </w:tc>
        <w:tc>
          <w:tcPr>
            <w:tcW w:w="713" w:type="dxa"/>
            <w:noWrap w:val="0"/>
            <w:vAlign w:val="center"/>
          </w:tcPr>
          <w:p>
            <w:pPr>
              <w:kinsoku/>
              <w:overflowPunct/>
              <w:topLinePunct w:val="0"/>
              <w:bidi w:val="0"/>
              <w:spacing w:line="300" w:lineRule="auto"/>
              <w:jc w:val="center"/>
              <w:rPr>
                <w:szCs w:val="21"/>
              </w:rPr>
            </w:pPr>
          </w:p>
        </w:tc>
        <w:tc>
          <w:tcPr>
            <w:tcW w:w="678" w:type="dxa"/>
            <w:noWrap w:val="0"/>
            <w:vAlign w:val="center"/>
          </w:tcPr>
          <w:p>
            <w:pPr>
              <w:kinsoku/>
              <w:overflowPunct/>
              <w:topLinePunct w:val="0"/>
              <w:bidi w:val="0"/>
              <w:spacing w:line="300" w:lineRule="auto"/>
              <w:jc w:val="center"/>
              <w:rPr>
                <w:szCs w:val="21"/>
              </w:rPr>
            </w:pPr>
          </w:p>
        </w:tc>
        <w:tc>
          <w:tcPr>
            <w:tcW w:w="1143" w:type="dxa"/>
            <w:noWrap w:val="0"/>
            <w:vAlign w:val="center"/>
          </w:tcPr>
          <w:p>
            <w:pPr>
              <w:kinsoku/>
              <w:overflowPunct/>
              <w:topLinePunct w:val="0"/>
              <w:bidi w:val="0"/>
              <w:spacing w:line="300" w:lineRule="auto"/>
              <w:jc w:val="center"/>
              <w:rPr>
                <w:szCs w:val="21"/>
              </w:rPr>
            </w:pPr>
          </w:p>
        </w:tc>
        <w:tc>
          <w:tcPr>
            <w:tcW w:w="653" w:type="dxa"/>
            <w:noWrap w:val="0"/>
            <w:vAlign w:val="center"/>
          </w:tcPr>
          <w:p>
            <w:pPr>
              <w:kinsoku/>
              <w:overflowPunct/>
              <w:topLinePunct w:val="0"/>
              <w:bidi w:val="0"/>
              <w:spacing w:line="300" w:lineRule="auto"/>
              <w:jc w:val="center"/>
              <w:rPr>
                <w:szCs w:val="21"/>
              </w:rPr>
            </w:pPr>
          </w:p>
        </w:tc>
        <w:tc>
          <w:tcPr>
            <w:tcW w:w="868" w:type="dxa"/>
            <w:noWrap w:val="0"/>
            <w:vAlign w:val="center"/>
          </w:tcPr>
          <w:p>
            <w:pPr>
              <w:kinsoku/>
              <w:overflowPunct/>
              <w:topLinePunct w:val="0"/>
              <w:bidi w:val="0"/>
              <w:spacing w:line="300" w:lineRule="auto"/>
              <w:jc w:val="center"/>
              <w:rPr>
                <w:szCs w:val="21"/>
              </w:rPr>
            </w:pPr>
          </w:p>
        </w:tc>
        <w:tc>
          <w:tcPr>
            <w:tcW w:w="857" w:type="dxa"/>
            <w:noWrap w:val="0"/>
            <w:vAlign w:val="center"/>
          </w:tcPr>
          <w:p>
            <w:pPr>
              <w:kinsoku/>
              <w:overflowPunct/>
              <w:topLinePunct w:val="0"/>
              <w:bidi w:val="0"/>
              <w:spacing w:line="300" w:lineRule="auto"/>
              <w:jc w:val="center"/>
              <w:rPr>
                <w:szCs w:val="21"/>
              </w:rPr>
            </w:pP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60" w:type="dxa"/>
            <w:noWrap w:val="0"/>
            <w:vAlign w:val="center"/>
          </w:tcPr>
          <w:p>
            <w:pPr>
              <w:kinsoku/>
              <w:overflowPunct/>
              <w:topLinePunct w:val="0"/>
              <w:bidi w:val="0"/>
              <w:spacing w:line="300" w:lineRule="auto"/>
              <w:jc w:val="center"/>
              <w:rPr>
                <w:szCs w:val="21"/>
              </w:rPr>
            </w:pPr>
          </w:p>
        </w:tc>
        <w:tc>
          <w:tcPr>
            <w:tcW w:w="713" w:type="dxa"/>
            <w:noWrap w:val="0"/>
            <w:vAlign w:val="center"/>
          </w:tcPr>
          <w:p>
            <w:pPr>
              <w:kinsoku/>
              <w:overflowPunct/>
              <w:topLinePunct w:val="0"/>
              <w:bidi w:val="0"/>
              <w:spacing w:line="300" w:lineRule="auto"/>
              <w:jc w:val="center"/>
              <w:rPr>
                <w:szCs w:val="21"/>
              </w:rPr>
            </w:pPr>
          </w:p>
        </w:tc>
        <w:tc>
          <w:tcPr>
            <w:tcW w:w="678" w:type="dxa"/>
            <w:noWrap w:val="0"/>
            <w:vAlign w:val="center"/>
          </w:tcPr>
          <w:p>
            <w:pPr>
              <w:kinsoku/>
              <w:overflowPunct/>
              <w:topLinePunct w:val="0"/>
              <w:bidi w:val="0"/>
              <w:spacing w:line="300" w:lineRule="auto"/>
              <w:jc w:val="center"/>
              <w:rPr>
                <w:szCs w:val="21"/>
              </w:rPr>
            </w:pPr>
          </w:p>
        </w:tc>
        <w:tc>
          <w:tcPr>
            <w:tcW w:w="1143" w:type="dxa"/>
            <w:noWrap w:val="0"/>
            <w:vAlign w:val="center"/>
          </w:tcPr>
          <w:p>
            <w:pPr>
              <w:kinsoku/>
              <w:overflowPunct/>
              <w:topLinePunct w:val="0"/>
              <w:bidi w:val="0"/>
              <w:spacing w:line="300" w:lineRule="auto"/>
              <w:jc w:val="center"/>
              <w:rPr>
                <w:szCs w:val="21"/>
              </w:rPr>
            </w:pPr>
          </w:p>
        </w:tc>
        <w:tc>
          <w:tcPr>
            <w:tcW w:w="653" w:type="dxa"/>
            <w:noWrap w:val="0"/>
            <w:vAlign w:val="center"/>
          </w:tcPr>
          <w:p>
            <w:pPr>
              <w:kinsoku/>
              <w:overflowPunct/>
              <w:topLinePunct w:val="0"/>
              <w:bidi w:val="0"/>
              <w:spacing w:line="300" w:lineRule="auto"/>
              <w:jc w:val="center"/>
              <w:rPr>
                <w:szCs w:val="21"/>
              </w:rPr>
            </w:pPr>
          </w:p>
        </w:tc>
        <w:tc>
          <w:tcPr>
            <w:tcW w:w="868" w:type="dxa"/>
            <w:noWrap w:val="0"/>
            <w:vAlign w:val="center"/>
          </w:tcPr>
          <w:p>
            <w:pPr>
              <w:kinsoku/>
              <w:overflowPunct/>
              <w:topLinePunct w:val="0"/>
              <w:bidi w:val="0"/>
              <w:spacing w:line="300" w:lineRule="auto"/>
              <w:jc w:val="center"/>
              <w:rPr>
                <w:szCs w:val="21"/>
              </w:rPr>
            </w:pPr>
          </w:p>
        </w:tc>
        <w:tc>
          <w:tcPr>
            <w:tcW w:w="857" w:type="dxa"/>
            <w:noWrap w:val="0"/>
            <w:vAlign w:val="center"/>
          </w:tcPr>
          <w:p>
            <w:pPr>
              <w:kinsoku/>
              <w:overflowPunct/>
              <w:topLinePunct w:val="0"/>
              <w:bidi w:val="0"/>
              <w:spacing w:line="300" w:lineRule="auto"/>
              <w:jc w:val="center"/>
              <w:rPr>
                <w:szCs w:val="21"/>
              </w:rPr>
            </w:pP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CellMar>
            <w:top w:w="0" w:type="dxa"/>
            <w:left w:w="108" w:type="dxa"/>
            <w:bottom w:w="0" w:type="dxa"/>
            <w:right w:w="108" w:type="dxa"/>
          </w:tblCellMar>
        </w:tblPrEx>
        <w:trPr>
          <w:trHeight w:val="454" w:hRule="exact"/>
        </w:trPr>
        <w:tc>
          <w:tcPr>
            <w:tcW w:w="460" w:type="dxa"/>
            <w:noWrap w:val="0"/>
            <w:vAlign w:val="center"/>
          </w:tcPr>
          <w:p>
            <w:pPr>
              <w:kinsoku/>
              <w:overflowPunct/>
              <w:topLinePunct w:val="0"/>
              <w:bidi w:val="0"/>
              <w:spacing w:line="300" w:lineRule="auto"/>
              <w:jc w:val="center"/>
              <w:rPr>
                <w:szCs w:val="21"/>
              </w:rPr>
            </w:pPr>
          </w:p>
        </w:tc>
        <w:tc>
          <w:tcPr>
            <w:tcW w:w="713" w:type="dxa"/>
            <w:noWrap w:val="0"/>
            <w:vAlign w:val="center"/>
          </w:tcPr>
          <w:p>
            <w:pPr>
              <w:kinsoku/>
              <w:overflowPunct/>
              <w:topLinePunct w:val="0"/>
              <w:bidi w:val="0"/>
              <w:spacing w:line="300" w:lineRule="auto"/>
              <w:jc w:val="center"/>
              <w:rPr>
                <w:szCs w:val="21"/>
              </w:rPr>
            </w:pPr>
          </w:p>
        </w:tc>
        <w:tc>
          <w:tcPr>
            <w:tcW w:w="678" w:type="dxa"/>
            <w:noWrap w:val="0"/>
            <w:vAlign w:val="center"/>
          </w:tcPr>
          <w:p>
            <w:pPr>
              <w:kinsoku/>
              <w:overflowPunct/>
              <w:topLinePunct w:val="0"/>
              <w:bidi w:val="0"/>
              <w:spacing w:line="300" w:lineRule="auto"/>
              <w:jc w:val="center"/>
              <w:rPr>
                <w:szCs w:val="21"/>
              </w:rPr>
            </w:pPr>
          </w:p>
        </w:tc>
        <w:tc>
          <w:tcPr>
            <w:tcW w:w="1143" w:type="dxa"/>
            <w:noWrap w:val="0"/>
            <w:vAlign w:val="center"/>
          </w:tcPr>
          <w:p>
            <w:pPr>
              <w:kinsoku/>
              <w:overflowPunct/>
              <w:topLinePunct w:val="0"/>
              <w:bidi w:val="0"/>
              <w:spacing w:line="300" w:lineRule="auto"/>
              <w:jc w:val="center"/>
              <w:rPr>
                <w:szCs w:val="21"/>
              </w:rPr>
            </w:pPr>
          </w:p>
        </w:tc>
        <w:tc>
          <w:tcPr>
            <w:tcW w:w="653" w:type="dxa"/>
            <w:noWrap w:val="0"/>
            <w:vAlign w:val="center"/>
          </w:tcPr>
          <w:p>
            <w:pPr>
              <w:kinsoku/>
              <w:overflowPunct/>
              <w:topLinePunct w:val="0"/>
              <w:bidi w:val="0"/>
              <w:spacing w:line="300" w:lineRule="auto"/>
              <w:jc w:val="center"/>
              <w:rPr>
                <w:szCs w:val="21"/>
              </w:rPr>
            </w:pPr>
          </w:p>
        </w:tc>
        <w:tc>
          <w:tcPr>
            <w:tcW w:w="868" w:type="dxa"/>
            <w:noWrap w:val="0"/>
            <w:vAlign w:val="center"/>
          </w:tcPr>
          <w:p>
            <w:pPr>
              <w:kinsoku/>
              <w:overflowPunct/>
              <w:topLinePunct w:val="0"/>
              <w:bidi w:val="0"/>
              <w:spacing w:line="300" w:lineRule="auto"/>
              <w:jc w:val="center"/>
              <w:rPr>
                <w:szCs w:val="21"/>
              </w:rPr>
            </w:pPr>
          </w:p>
        </w:tc>
        <w:tc>
          <w:tcPr>
            <w:tcW w:w="857" w:type="dxa"/>
            <w:noWrap w:val="0"/>
            <w:vAlign w:val="center"/>
          </w:tcPr>
          <w:p>
            <w:pPr>
              <w:kinsoku/>
              <w:overflowPunct/>
              <w:topLinePunct w:val="0"/>
              <w:bidi w:val="0"/>
              <w:spacing w:line="300" w:lineRule="auto"/>
              <w:jc w:val="center"/>
              <w:rPr>
                <w:szCs w:val="21"/>
              </w:rPr>
            </w:pP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60" w:type="dxa"/>
            <w:noWrap w:val="0"/>
            <w:vAlign w:val="center"/>
          </w:tcPr>
          <w:p>
            <w:pPr>
              <w:kinsoku/>
              <w:overflowPunct/>
              <w:topLinePunct w:val="0"/>
              <w:bidi w:val="0"/>
              <w:spacing w:line="300" w:lineRule="auto"/>
              <w:jc w:val="center"/>
              <w:rPr>
                <w:szCs w:val="21"/>
              </w:rPr>
            </w:pPr>
          </w:p>
        </w:tc>
        <w:tc>
          <w:tcPr>
            <w:tcW w:w="713" w:type="dxa"/>
            <w:noWrap w:val="0"/>
            <w:vAlign w:val="center"/>
          </w:tcPr>
          <w:p>
            <w:pPr>
              <w:kinsoku/>
              <w:overflowPunct/>
              <w:topLinePunct w:val="0"/>
              <w:bidi w:val="0"/>
              <w:spacing w:line="300" w:lineRule="auto"/>
              <w:jc w:val="center"/>
              <w:rPr>
                <w:szCs w:val="21"/>
              </w:rPr>
            </w:pPr>
          </w:p>
        </w:tc>
        <w:tc>
          <w:tcPr>
            <w:tcW w:w="678" w:type="dxa"/>
            <w:noWrap w:val="0"/>
            <w:vAlign w:val="center"/>
          </w:tcPr>
          <w:p>
            <w:pPr>
              <w:kinsoku/>
              <w:overflowPunct/>
              <w:topLinePunct w:val="0"/>
              <w:bidi w:val="0"/>
              <w:spacing w:line="300" w:lineRule="auto"/>
              <w:jc w:val="center"/>
              <w:rPr>
                <w:szCs w:val="21"/>
              </w:rPr>
            </w:pPr>
          </w:p>
        </w:tc>
        <w:tc>
          <w:tcPr>
            <w:tcW w:w="1143" w:type="dxa"/>
            <w:noWrap w:val="0"/>
            <w:vAlign w:val="center"/>
          </w:tcPr>
          <w:p>
            <w:pPr>
              <w:kinsoku/>
              <w:overflowPunct/>
              <w:topLinePunct w:val="0"/>
              <w:bidi w:val="0"/>
              <w:spacing w:line="300" w:lineRule="auto"/>
              <w:jc w:val="center"/>
              <w:rPr>
                <w:szCs w:val="21"/>
              </w:rPr>
            </w:pPr>
          </w:p>
        </w:tc>
        <w:tc>
          <w:tcPr>
            <w:tcW w:w="653" w:type="dxa"/>
            <w:noWrap w:val="0"/>
            <w:vAlign w:val="center"/>
          </w:tcPr>
          <w:p>
            <w:pPr>
              <w:kinsoku/>
              <w:overflowPunct/>
              <w:topLinePunct w:val="0"/>
              <w:bidi w:val="0"/>
              <w:spacing w:line="300" w:lineRule="auto"/>
              <w:jc w:val="center"/>
              <w:rPr>
                <w:szCs w:val="21"/>
              </w:rPr>
            </w:pPr>
          </w:p>
        </w:tc>
        <w:tc>
          <w:tcPr>
            <w:tcW w:w="868" w:type="dxa"/>
            <w:noWrap w:val="0"/>
            <w:vAlign w:val="center"/>
          </w:tcPr>
          <w:p>
            <w:pPr>
              <w:kinsoku/>
              <w:overflowPunct/>
              <w:topLinePunct w:val="0"/>
              <w:bidi w:val="0"/>
              <w:spacing w:line="300" w:lineRule="auto"/>
              <w:jc w:val="center"/>
              <w:rPr>
                <w:szCs w:val="21"/>
              </w:rPr>
            </w:pPr>
          </w:p>
        </w:tc>
        <w:tc>
          <w:tcPr>
            <w:tcW w:w="857" w:type="dxa"/>
            <w:noWrap w:val="0"/>
            <w:vAlign w:val="center"/>
          </w:tcPr>
          <w:p>
            <w:pPr>
              <w:kinsoku/>
              <w:overflowPunct/>
              <w:topLinePunct w:val="0"/>
              <w:bidi w:val="0"/>
              <w:spacing w:line="300" w:lineRule="auto"/>
              <w:jc w:val="center"/>
              <w:rPr>
                <w:szCs w:val="21"/>
              </w:rPr>
            </w:pP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60" w:type="dxa"/>
            <w:noWrap w:val="0"/>
            <w:vAlign w:val="center"/>
          </w:tcPr>
          <w:p>
            <w:pPr>
              <w:kinsoku/>
              <w:overflowPunct/>
              <w:topLinePunct w:val="0"/>
              <w:bidi w:val="0"/>
              <w:spacing w:line="300" w:lineRule="auto"/>
              <w:jc w:val="center"/>
              <w:rPr>
                <w:szCs w:val="21"/>
              </w:rPr>
            </w:pPr>
          </w:p>
        </w:tc>
        <w:tc>
          <w:tcPr>
            <w:tcW w:w="713" w:type="dxa"/>
            <w:noWrap w:val="0"/>
            <w:vAlign w:val="center"/>
          </w:tcPr>
          <w:p>
            <w:pPr>
              <w:kinsoku/>
              <w:overflowPunct/>
              <w:topLinePunct w:val="0"/>
              <w:bidi w:val="0"/>
              <w:spacing w:line="300" w:lineRule="auto"/>
              <w:jc w:val="center"/>
              <w:rPr>
                <w:szCs w:val="21"/>
              </w:rPr>
            </w:pPr>
          </w:p>
        </w:tc>
        <w:tc>
          <w:tcPr>
            <w:tcW w:w="678" w:type="dxa"/>
            <w:noWrap w:val="0"/>
            <w:vAlign w:val="center"/>
          </w:tcPr>
          <w:p>
            <w:pPr>
              <w:kinsoku/>
              <w:overflowPunct/>
              <w:topLinePunct w:val="0"/>
              <w:bidi w:val="0"/>
              <w:spacing w:line="300" w:lineRule="auto"/>
              <w:jc w:val="center"/>
              <w:rPr>
                <w:szCs w:val="21"/>
              </w:rPr>
            </w:pPr>
          </w:p>
        </w:tc>
        <w:tc>
          <w:tcPr>
            <w:tcW w:w="1143" w:type="dxa"/>
            <w:noWrap w:val="0"/>
            <w:vAlign w:val="center"/>
          </w:tcPr>
          <w:p>
            <w:pPr>
              <w:kinsoku/>
              <w:overflowPunct/>
              <w:topLinePunct w:val="0"/>
              <w:bidi w:val="0"/>
              <w:spacing w:line="300" w:lineRule="auto"/>
              <w:jc w:val="center"/>
              <w:rPr>
                <w:szCs w:val="21"/>
              </w:rPr>
            </w:pPr>
          </w:p>
        </w:tc>
        <w:tc>
          <w:tcPr>
            <w:tcW w:w="653" w:type="dxa"/>
            <w:noWrap w:val="0"/>
            <w:vAlign w:val="center"/>
          </w:tcPr>
          <w:p>
            <w:pPr>
              <w:kinsoku/>
              <w:overflowPunct/>
              <w:topLinePunct w:val="0"/>
              <w:bidi w:val="0"/>
              <w:spacing w:line="300" w:lineRule="auto"/>
              <w:jc w:val="center"/>
              <w:rPr>
                <w:szCs w:val="21"/>
              </w:rPr>
            </w:pPr>
          </w:p>
        </w:tc>
        <w:tc>
          <w:tcPr>
            <w:tcW w:w="868" w:type="dxa"/>
            <w:noWrap w:val="0"/>
            <w:vAlign w:val="center"/>
          </w:tcPr>
          <w:p>
            <w:pPr>
              <w:kinsoku/>
              <w:overflowPunct/>
              <w:topLinePunct w:val="0"/>
              <w:bidi w:val="0"/>
              <w:spacing w:line="300" w:lineRule="auto"/>
              <w:jc w:val="center"/>
              <w:rPr>
                <w:szCs w:val="21"/>
              </w:rPr>
            </w:pPr>
          </w:p>
        </w:tc>
        <w:tc>
          <w:tcPr>
            <w:tcW w:w="857" w:type="dxa"/>
            <w:noWrap w:val="0"/>
            <w:vAlign w:val="center"/>
          </w:tcPr>
          <w:p>
            <w:pPr>
              <w:kinsoku/>
              <w:overflowPunct/>
              <w:topLinePunct w:val="0"/>
              <w:bidi w:val="0"/>
              <w:spacing w:line="300" w:lineRule="auto"/>
              <w:jc w:val="center"/>
              <w:rPr>
                <w:szCs w:val="21"/>
              </w:rPr>
            </w:pP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60" w:type="dxa"/>
            <w:noWrap w:val="0"/>
            <w:vAlign w:val="center"/>
          </w:tcPr>
          <w:p>
            <w:pPr>
              <w:kinsoku/>
              <w:overflowPunct/>
              <w:topLinePunct w:val="0"/>
              <w:bidi w:val="0"/>
              <w:spacing w:line="300" w:lineRule="auto"/>
              <w:jc w:val="center"/>
              <w:rPr>
                <w:szCs w:val="21"/>
              </w:rPr>
            </w:pPr>
          </w:p>
        </w:tc>
        <w:tc>
          <w:tcPr>
            <w:tcW w:w="713" w:type="dxa"/>
            <w:noWrap w:val="0"/>
            <w:vAlign w:val="center"/>
          </w:tcPr>
          <w:p>
            <w:pPr>
              <w:kinsoku/>
              <w:overflowPunct/>
              <w:topLinePunct w:val="0"/>
              <w:bidi w:val="0"/>
              <w:spacing w:line="300" w:lineRule="auto"/>
              <w:jc w:val="center"/>
              <w:rPr>
                <w:szCs w:val="21"/>
              </w:rPr>
            </w:pPr>
          </w:p>
        </w:tc>
        <w:tc>
          <w:tcPr>
            <w:tcW w:w="678" w:type="dxa"/>
            <w:noWrap w:val="0"/>
            <w:vAlign w:val="center"/>
          </w:tcPr>
          <w:p>
            <w:pPr>
              <w:kinsoku/>
              <w:overflowPunct/>
              <w:topLinePunct w:val="0"/>
              <w:bidi w:val="0"/>
              <w:spacing w:line="300" w:lineRule="auto"/>
              <w:jc w:val="center"/>
              <w:rPr>
                <w:szCs w:val="21"/>
              </w:rPr>
            </w:pPr>
          </w:p>
        </w:tc>
        <w:tc>
          <w:tcPr>
            <w:tcW w:w="1143" w:type="dxa"/>
            <w:noWrap w:val="0"/>
            <w:vAlign w:val="center"/>
          </w:tcPr>
          <w:p>
            <w:pPr>
              <w:kinsoku/>
              <w:overflowPunct/>
              <w:topLinePunct w:val="0"/>
              <w:bidi w:val="0"/>
              <w:spacing w:line="300" w:lineRule="auto"/>
              <w:jc w:val="center"/>
              <w:rPr>
                <w:szCs w:val="21"/>
              </w:rPr>
            </w:pPr>
          </w:p>
        </w:tc>
        <w:tc>
          <w:tcPr>
            <w:tcW w:w="653" w:type="dxa"/>
            <w:noWrap w:val="0"/>
            <w:vAlign w:val="center"/>
          </w:tcPr>
          <w:p>
            <w:pPr>
              <w:kinsoku/>
              <w:overflowPunct/>
              <w:topLinePunct w:val="0"/>
              <w:bidi w:val="0"/>
              <w:spacing w:line="300" w:lineRule="auto"/>
              <w:jc w:val="center"/>
              <w:rPr>
                <w:szCs w:val="21"/>
              </w:rPr>
            </w:pPr>
          </w:p>
        </w:tc>
        <w:tc>
          <w:tcPr>
            <w:tcW w:w="868" w:type="dxa"/>
            <w:noWrap w:val="0"/>
            <w:vAlign w:val="center"/>
          </w:tcPr>
          <w:p>
            <w:pPr>
              <w:kinsoku/>
              <w:overflowPunct/>
              <w:topLinePunct w:val="0"/>
              <w:bidi w:val="0"/>
              <w:spacing w:line="300" w:lineRule="auto"/>
              <w:jc w:val="center"/>
              <w:rPr>
                <w:szCs w:val="21"/>
              </w:rPr>
            </w:pPr>
          </w:p>
        </w:tc>
        <w:tc>
          <w:tcPr>
            <w:tcW w:w="857" w:type="dxa"/>
            <w:noWrap w:val="0"/>
            <w:vAlign w:val="center"/>
          </w:tcPr>
          <w:p>
            <w:pPr>
              <w:kinsoku/>
              <w:overflowPunct/>
              <w:topLinePunct w:val="0"/>
              <w:bidi w:val="0"/>
              <w:spacing w:line="300" w:lineRule="auto"/>
              <w:jc w:val="center"/>
              <w:rPr>
                <w:szCs w:val="21"/>
              </w:rPr>
            </w:pP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60" w:type="dxa"/>
            <w:noWrap w:val="0"/>
            <w:vAlign w:val="center"/>
          </w:tcPr>
          <w:p>
            <w:pPr>
              <w:kinsoku/>
              <w:overflowPunct/>
              <w:topLinePunct w:val="0"/>
              <w:bidi w:val="0"/>
              <w:spacing w:line="300" w:lineRule="auto"/>
              <w:jc w:val="center"/>
              <w:rPr>
                <w:szCs w:val="21"/>
              </w:rPr>
            </w:pPr>
          </w:p>
        </w:tc>
        <w:tc>
          <w:tcPr>
            <w:tcW w:w="713" w:type="dxa"/>
            <w:noWrap w:val="0"/>
            <w:vAlign w:val="center"/>
          </w:tcPr>
          <w:p>
            <w:pPr>
              <w:kinsoku/>
              <w:overflowPunct/>
              <w:topLinePunct w:val="0"/>
              <w:bidi w:val="0"/>
              <w:spacing w:line="300" w:lineRule="auto"/>
              <w:jc w:val="center"/>
              <w:rPr>
                <w:szCs w:val="21"/>
              </w:rPr>
            </w:pPr>
          </w:p>
        </w:tc>
        <w:tc>
          <w:tcPr>
            <w:tcW w:w="678" w:type="dxa"/>
            <w:noWrap w:val="0"/>
            <w:vAlign w:val="center"/>
          </w:tcPr>
          <w:p>
            <w:pPr>
              <w:kinsoku/>
              <w:overflowPunct/>
              <w:topLinePunct w:val="0"/>
              <w:bidi w:val="0"/>
              <w:spacing w:line="300" w:lineRule="auto"/>
              <w:jc w:val="center"/>
              <w:rPr>
                <w:szCs w:val="21"/>
              </w:rPr>
            </w:pPr>
          </w:p>
        </w:tc>
        <w:tc>
          <w:tcPr>
            <w:tcW w:w="1143" w:type="dxa"/>
            <w:noWrap w:val="0"/>
            <w:vAlign w:val="center"/>
          </w:tcPr>
          <w:p>
            <w:pPr>
              <w:kinsoku/>
              <w:overflowPunct/>
              <w:topLinePunct w:val="0"/>
              <w:bidi w:val="0"/>
              <w:spacing w:line="300" w:lineRule="auto"/>
              <w:jc w:val="center"/>
              <w:rPr>
                <w:szCs w:val="21"/>
              </w:rPr>
            </w:pPr>
          </w:p>
        </w:tc>
        <w:tc>
          <w:tcPr>
            <w:tcW w:w="653" w:type="dxa"/>
            <w:noWrap w:val="0"/>
            <w:vAlign w:val="center"/>
          </w:tcPr>
          <w:p>
            <w:pPr>
              <w:kinsoku/>
              <w:overflowPunct/>
              <w:topLinePunct w:val="0"/>
              <w:bidi w:val="0"/>
              <w:spacing w:line="300" w:lineRule="auto"/>
              <w:jc w:val="center"/>
              <w:rPr>
                <w:szCs w:val="21"/>
              </w:rPr>
            </w:pPr>
          </w:p>
        </w:tc>
        <w:tc>
          <w:tcPr>
            <w:tcW w:w="868" w:type="dxa"/>
            <w:noWrap w:val="0"/>
            <w:vAlign w:val="center"/>
          </w:tcPr>
          <w:p>
            <w:pPr>
              <w:kinsoku/>
              <w:overflowPunct/>
              <w:topLinePunct w:val="0"/>
              <w:bidi w:val="0"/>
              <w:spacing w:line="300" w:lineRule="auto"/>
              <w:jc w:val="center"/>
              <w:rPr>
                <w:szCs w:val="21"/>
              </w:rPr>
            </w:pPr>
          </w:p>
        </w:tc>
        <w:tc>
          <w:tcPr>
            <w:tcW w:w="857" w:type="dxa"/>
            <w:noWrap w:val="0"/>
            <w:vAlign w:val="center"/>
          </w:tcPr>
          <w:p>
            <w:pPr>
              <w:kinsoku/>
              <w:overflowPunct/>
              <w:topLinePunct w:val="0"/>
              <w:bidi w:val="0"/>
              <w:spacing w:line="300" w:lineRule="auto"/>
              <w:jc w:val="center"/>
              <w:rPr>
                <w:szCs w:val="21"/>
              </w:rPr>
            </w:pP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60" w:type="dxa"/>
            <w:noWrap w:val="0"/>
            <w:vAlign w:val="center"/>
          </w:tcPr>
          <w:p>
            <w:pPr>
              <w:kinsoku/>
              <w:overflowPunct/>
              <w:topLinePunct w:val="0"/>
              <w:bidi w:val="0"/>
              <w:spacing w:line="300" w:lineRule="auto"/>
              <w:jc w:val="center"/>
              <w:rPr>
                <w:szCs w:val="21"/>
              </w:rPr>
            </w:pPr>
          </w:p>
        </w:tc>
        <w:tc>
          <w:tcPr>
            <w:tcW w:w="713" w:type="dxa"/>
            <w:noWrap w:val="0"/>
            <w:vAlign w:val="center"/>
          </w:tcPr>
          <w:p>
            <w:pPr>
              <w:kinsoku/>
              <w:overflowPunct/>
              <w:topLinePunct w:val="0"/>
              <w:bidi w:val="0"/>
              <w:spacing w:line="300" w:lineRule="auto"/>
              <w:jc w:val="center"/>
              <w:rPr>
                <w:szCs w:val="21"/>
              </w:rPr>
            </w:pPr>
          </w:p>
        </w:tc>
        <w:tc>
          <w:tcPr>
            <w:tcW w:w="678" w:type="dxa"/>
            <w:noWrap w:val="0"/>
            <w:vAlign w:val="center"/>
          </w:tcPr>
          <w:p>
            <w:pPr>
              <w:kinsoku/>
              <w:overflowPunct/>
              <w:topLinePunct w:val="0"/>
              <w:bidi w:val="0"/>
              <w:spacing w:line="300" w:lineRule="auto"/>
              <w:jc w:val="center"/>
              <w:rPr>
                <w:szCs w:val="21"/>
              </w:rPr>
            </w:pPr>
          </w:p>
        </w:tc>
        <w:tc>
          <w:tcPr>
            <w:tcW w:w="1143" w:type="dxa"/>
            <w:noWrap w:val="0"/>
            <w:vAlign w:val="center"/>
          </w:tcPr>
          <w:p>
            <w:pPr>
              <w:kinsoku/>
              <w:overflowPunct/>
              <w:topLinePunct w:val="0"/>
              <w:bidi w:val="0"/>
              <w:spacing w:line="300" w:lineRule="auto"/>
              <w:jc w:val="center"/>
              <w:rPr>
                <w:szCs w:val="21"/>
              </w:rPr>
            </w:pPr>
          </w:p>
        </w:tc>
        <w:tc>
          <w:tcPr>
            <w:tcW w:w="653" w:type="dxa"/>
            <w:noWrap w:val="0"/>
            <w:vAlign w:val="center"/>
          </w:tcPr>
          <w:p>
            <w:pPr>
              <w:kinsoku/>
              <w:overflowPunct/>
              <w:topLinePunct w:val="0"/>
              <w:bidi w:val="0"/>
              <w:spacing w:line="300" w:lineRule="auto"/>
              <w:jc w:val="center"/>
              <w:rPr>
                <w:szCs w:val="21"/>
              </w:rPr>
            </w:pPr>
          </w:p>
        </w:tc>
        <w:tc>
          <w:tcPr>
            <w:tcW w:w="868" w:type="dxa"/>
            <w:noWrap w:val="0"/>
            <w:vAlign w:val="center"/>
          </w:tcPr>
          <w:p>
            <w:pPr>
              <w:kinsoku/>
              <w:overflowPunct/>
              <w:topLinePunct w:val="0"/>
              <w:bidi w:val="0"/>
              <w:spacing w:line="300" w:lineRule="auto"/>
              <w:jc w:val="center"/>
              <w:rPr>
                <w:szCs w:val="21"/>
              </w:rPr>
            </w:pPr>
          </w:p>
        </w:tc>
        <w:tc>
          <w:tcPr>
            <w:tcW w:w="857" w:type="dxa"/>
            <w:noWrap w:val="0"/>
            <w:vAlign w:val="center"/>
          </w:tcPr>
          <w:p>
            <w:pPr>
              <w:kinsoku/>
              <w:overflowPunct/>
              <w:topLinePunct w:val="0"/>
              <w:bidi w:val="0"/>
              <w:spacing w:line="300" w:lineRule="auto"/>
              <w:jc w:val="center"/>
              <w:rPr>
                <w:szCs w:val="21"/>
              </w:rPr>
            </w:pP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60" w:type="dxa"/>
            <w:noWrap w:val="0"/>
            <w:vAlign w:val="center"/>
          </w:tcPr>
          <w:p>
            <w:pPr>
              <w:kinsoku/>
              <w:overflowPunct/>
              <w:topLinePunct w:val="0"/>
              <w:bidi w:val="0"/>
              <w:spacing w:line="300" w:lineRule="auto"/>
              <w:jc w:val="center"/>
              <w:rPr>
                <w:szCs w:val="21"/>
              </w:rPr>
            </w:pPr>
          </w:p>
        </w:tc>
        <w:tc>
          <w:tcPr>
            <w:tcW w:w="713" w:type="dxa"/>
            <w:noWrap w:val="0"/>
            <w:vAlign w:val="center"/>
          </w:tcPr>
          <w:p>
            <w:pPr>
              <w:kinsoku/>
              <w:overflowPunct/>
              <w:topLinePunct w:val="0"/>
              <w:bidi w:val="0"/>
              <w:spacing w:line="300" w:lineRule="auto"/>
              <w:jc w:val="center"/>
              <w:rPr>
                <w:szCs w:val="21"/>
              </w:rPr>
            </w:pPr>
          </w:p>
        </w:tc>
        <w:tc>
          <w:tcPr>
            <w:tcW w:w="678" w:type="dxa"/>
            <w:noWrap w:val="0"/>
            <w:vAlign w:val="center"/>
          </w:tcPr>
          <w:p>
            <w:pPr>
              <w:kinsoku/>
              <w:overflowPunct/>
              <w:topLinePunct w:val="0"/>
              <w:bidi w:val="0"/>
              <w:spacing w:line="300" w:lineRule="auto"/>
              <w:jc w:val="center"/>
              <w:rPr>
                <w:szCs w:val="21"/>
              </w:rPr>
            </w:pPr>
          </w:p>
        </w:tc>
        <w:tc>
          <w:tcPr>
            <w:tcW w:w="1143" w:type="dxa"/>
            <w:noWrap w:val="0"/>
            <w:vAlign w:val="center"/>
          </w:tcPr>
          <w:p>
            <w:pPr>
              <w:kinsoku/>
              <w:overflowPunct/>
              <w:topLinePunct w:val="0"/>
              <w:bidi w:val="0"/>
              <w:spacing w:line="300" w:lineRule="auto"/>
              <w:jc w:val="center"/>
              <w:rPr>
                <w:szCs w:val="21"/>
              </w:rPr>
            </w:pPr>
          </w:p>
        </w:tc>
        <w:tc>
          <w:tcPr>
            <w:tcW w:w="653" w:type="dxa"/>
            <w:noWrap w:val="0"/>
            <w:vAlign w:val="center"/>
          </w:tcPr>
          <w:p>
            <w:pPr>
              <w:kinsoku/>
              <w:overflowPunct/>
              <w:topLinePunct w:val="0"/>
              <w:bidi w:val="0"/>
              <w:spacing w:line="300" w:lineRule="auto"/>
              <w:jc w:val="center"/>
              <w:rPr>
                <w:szCs w:val="21"/>
              </w:rPr>
            </w:pPr>
          </w:p>
        </w:tc>
        <w:tc>
          <w:tcPr>
            <w:tcW w:w="868" w:type="dxa"/>
            <w:noWrap w:val="0"/>
            <w:vAlign w:val="center"/>
          </w:tcPr>
          <w:p>
            <w:pPr>
              <w:kinsoku/>
              <w:overflowPunct/>
              <w:topLinePunct w:val="0"/>
              <w:bidi w:val="0"/>
              <w:spacing w:line="300" w:lineRule="auto"/>
              <w:jc w:val="center"/>
              <w:rPr>
                <w:szCs w:val="21"/>
              </w:rPr>
            </w:pPr>
          </w:p>
        </w:tc>
        <w:tc>
          <w:tcPr>
            <w:tcW w:w="857" w:type="dxa"/>
            <w:noWrap w:val="0"/>
            <w:vAlign w:val="center"/>
          </w:tcPr>
          <w:p>
            <w:pPr>
              <w:kinsoku/>
              <w:overflowPunct/>
              <w:topLinePunct w:val="0"/>
              <w:bidi w:val="0"/>
              <w:spacing w:line="300" w:lineRule="auto"/>
              <w:jc w:val="center"/>
              <w:rPr>
                <w:szCs w:val="21"/>
              </w:rPr>
            </w:pP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60" w:type="dxa"/>
            <w:noWrap w:val="0"/>
            <w:vAlign w:val="center"/>
          </w:tcPr>
          <w:p>
            <w:pPr>
              <w:kinsoku/>
              <w:overflowPunct/>
              <w:topLinePunct w:val="0"/>
              <w:bidi w:val="0"/>
              <w:spacing w:line="300" w:lineRule="auto"/>
              <w:jc w:val="center"/>
              <w:rPr>
                <w:szCs w:val="21"/>
              </w:rPr>
            </w:pPr>
          </w:p>
        </w:tc>
        <w:tc>
          <w:tcPr>
            <w:tcW w:w="713" w:type="dxa"/>
            <w:noWrap w:val="0"/>
            <w:vAlign w:val="center"/>
          </w:tcPr>
          <w:p>
            <w:pPr>
              <w:kinsoku/>
              <w:overflowPunct/>
              <w:topLinePunct w:val="0"/>
              <w:bidi w:val="0"/>
              <w:spacing w:line="300" w:lineRule="auto"/>
              <w:jc w:val="center"/>
              <w:rPr>
                <w:szCs w:val="21"/>
              </w:rPr>
            </w:pPr>
          </w:p>
        </w:tc>
        <w:tc>
          <w:tcPr>
            <w:tcW w:w="678" w:type="dxa"/>
            <w:noWrap w:val="0"/>
            <w:vAlign w:val="center"/>
          </w:tcPr>
          <w:p>
            <w:pPr>
              <w:kinsoku/>
              <w:overflowPunct/>
              <w:topLinePunct w:val="0"/>
              <w:bidi w:val="0"/>
              <w:spacing w:line="300" w:lineRule="auto"/>
              <w:jc w:val="center"/>
              <w:rPr>
                <w:szCs w:val="21"/>
              </w:rPr>
            </w:pPr>
          </w:p>
        </w:tc>
        <w:tc>
          <w:tcPr>
            <w:tcW w:w="1143" w:type="dxa"/>
            <w:noWrap w:val="0"/>
            <w:vAlign w:val="center"/>
          </w:tcPr>
          <w:p>
            <w:pPr>
              <w:kinsoku/>
              <w:overflowPunct/>
              <w:topLinePunct w:val="0"/>
              <w:bidi w:val="0"/>
              <w:spacing w:line="300" w:lineRule="auto"/>
              <w:jc w:val="center"/>
              <w:rPr>
                <w:szCs w:val="21"/>
              </w:rPr>
            </w:pPr>
          </w:p>
        </w:tc>
        <w:tc>
          <w:tcPr>
            <w:tcW w:w="653" w:type="dxa"/>
            <w:noWrap w:val="0"/>
            <w:vAlign w:val="center"/>
          </w:tcPr>
          <w:p>
            <w:pPr>
              <w:kinsoku/>
              <w:overflowPunct/>
              <w:topLinePunct w:val="0"/>
              <w:bidi w:val="0"/>
              <w:spacing w:line="300" w:lineRule="auto"/>
              <w:jc w:val="center"/>
              <w:rPr>
                <w:szCs w:val="21"/>
              </w:rPr>
            </w:pPr>
          </w:p>
        </w:tc>
        <w:tc>
          <w:tcPr>
            <w:tcW w:w="868" w:type="dxa"/>
            <w:noWrap w:val="0"/>
            <w:vAlign w:val="center"/>
          </w:tcPr>
          <w:p>
            <w:pPr>
              <w:kinsoku/>
              <w:overflowPunct/>
              <w:topLinePunct w:val="0"/>
              <w:bidi w:val="0"/>
              <w:spacing w:line="300" w:lineRule="auto"/>
              <w:jc w:val="center"/>
              <w:rPr>
                <w:szCs w:val="21"/>
              </w:rPr>
            </w:pPr>
          </w:p>
        </w:tc>
        <w:tc>
          <w:tcPr>
            <w:tcW w:w="857" w:type="dxa"/>
            <w:noWrap w:val="0"/>
            <w:vAlign w:val="center"/>
          </w:tcPr>
          <w:p>
            <w:pPr>
              <w:kinsoku/>
              <w:overflowPunct/>
              <w:topLinePunct w:val="0"/>
              <w:bidi w:val="0"/>
              <w:spacing w:line="300" w:lineRule="auto"/>
              <w:jc w:val="center"/>
              <w:rPr>
                <w:szCs w:val="21"/>
              </w:rPr>
            </w:pP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60" w:type="dxa"/>
            <w:noWrap w:val="0"/>
            <w:vAlign w:val="center"/>
          </w:tcPr>
          <w:p>
            <w:pPr>
              <w:kinsoku/>
              <w:overflowPunct/>
              <w:topLinePunct w:val="0"/>
              <w:bidi w:val="0"/>
              <w:spacing w:line="300" w:lineRule="auto"/>
              <w:jc w:val="center"/>
              <w:rPr>
                <w:szCs w:val="21"/>
              </w:rPr>
            </w:pPr>
          </w:p>
        </w:tc>
        <w:tc>
          <w:tcPr>
            <w:tcW w:w="713" w:type="dxa"/>
            <w:noWrap w:val="0"/>
            <w:vAlign w:val="center"/>
          </w:tcPr>
          <w:p>
            <w:pPr>
              <w:kinsoku/>
              <w:overflowPunct/>
              <w:topLinePunct w:val="0"/>
              <w:bidi w:val="0"/>
              <w:spacing w:line="300" w:lineRule="auto"/>
              <w:jc w:val="center"/>
              <w:rPr>
                <w:szCs w:val="21"/>
              </w:rPr>
            </w:pPr>
          </w:p>
        </w:tc>
        <w:tc>
          <w:tcPr>
            <w:tcW w:w="678" w:type="dxa"/>
            <w:noWrap w:val="0"/>
            <w:vAlign w:val="center"/>
          </w:tcPr>
          <w:p>
            <w:pPr>
              <w:kinsoku/>
              <w:overflowPunct/>
              <w:topLinePunct w:val="0"/>
              <w:bidi w:val="0"/>
              <w:spacing w:line="300" w:lineRule="auto"/>
              <w:jc w:val="center"/>
              <w:rPr>
                <w:szCs w:val="21"/>
              </w:rPr>
            </w:pPr>
          </w:p>
        </w:tc>
        <w:tc>
          <w:tcPr>
            <w:tcW w:w="1143" w:type="dxa"/>
            <w:noWrap w:val="0"/>
            <w:vAlign w:val="center"/>
          </w:tcPr>
          <w:p>
            <w:pPr>
              <w:kinsoku/>
              <w:overflowPunct/>
              <w:topLinePunct w:val="0"/>
              <w:bidi w:val="0"/>
              <w:spacing w:line="300" w:lineRule="auto"/>
              <w:jc w:val="center"/>
              <w:rPr>
                <w:szCs w:val="21"/>
              </w:rPr>
            </w:pPr>
          </w:p>
        </w:tc>
        <w:tc>
          <w:tcPr>
            <w:tcW w:w="653" w:type="dxa"/>
            <w:noWrap w:val="0"/>
            <w:vAlign w:val="center"/>
          </w:tcPr>
          <w:p>
            <w:pPr>
              <w:kinsoku/>
              <w:overflowPunct/>
              <w:topLinePunct w:val="0"/>
              <w:bidi w:val="0"/>
              <w:spacing w:line="300" w:lineRule="auto"/>
              <w:jc w:val="center"/>
              <w:rPr>
                <w:szCs w:val="21"/>
              </w:rPr>
            </w:pPr>
          </w:p>
        </w:tc>
        <w:tc>
          <w:tcPr>
            <w:tcW w:w="868" w:type="dxa"/>
            <w:noWrap w:val="0"/>
            <w:vAlign w:val="center"/>
          </w:tcPr>
          <w:p>
            <w:pPr>
              <w:kinsoku/>
              <w:overflowPunct/>
              <w:topLinePunct w:val="0"/>
              <w:bidi w:val="0"/>
              <w:spacing w:line="300" w:lineRule="auto"/>
              <w:jc w:val="center"/>
              <w:rPr>
                <w:szCs w:val="21"/>
              </w:rPr>
            </w:pPr>
          </w:p>
        </w:tc>
        <w:tc>
          <w:tcPr>
            <w:tcW w:w="857" w:type="dxa"/>
            <w:noWrap w:val="0"/>
            <w:vAlign w:val="center"/>
          </w:tcPr>
          <w:p>
            <w:pPr>
              <w:kinsoku/>
              <w:overflowPunct/>
              <w:topLinePunct w:val="0"/>
              <w:bidi w:val="0"/>
              <w:spacing w:line="300" w:lineRule="auto"/>
              <w:jc w:val="center"/>
              <w:rPr>
                <w:szCs w:val="21"/>
              </w:rPr>
            </w:pP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60" w:type="dxa"/>
            <w:noWrap w:val="0"/>
            <w:vAlign w:val="center"/>
          </w:tcPr>
          <w:p>
            <w:pPr>
              <w:kinsoku/>
              <w:overflowPunct/>
              <w:topLinePunct w:val="0"/>
              <w:bidi w:val="0"/>
              <w:spacing w:line="300" w:lineRule="auto"/>
              <w:jc w:val="center"/>
              <w:rPr>
                <w:szCs w:val="21"/>
              </w:rPr>
            </w:pPr>
          </w:p>
        </w:tc>
        <w:tc>
          <w:tcPr>
            <w:tcW w:w="713" w:type="dxa"/>
            <w:noWrap w:val="0"/>
            <w:vAlign w:val="center"/>
          </w:tcPr>
          <w:p>
            <w:pPr>
              <w:kinsoku/>
              <w:overflowPunct/>
              <w:topLinePunct w:val="0"/>
              <w:bidi w:val="0"/>
              <w:spacing w:line="300" w:lineRule="auto"/>
              <w:jc w:val="center"/>
              <w:rPr>
                <w:szCs w:val="21"/>
              </w:rPr>
            </w:pPr>
          </w:p>
        </w:tc>
        <w:tc>
          <w:tcPr>
            <w:tcW w:w="678" w:type="dxa"/>
            <w:noWrap w:val="0"/>
            <w:vAlign w:val="center"/>
          </w:tcPr>
          <w:p>
            <w:pPr>
              <w:kinsoku/>
              <w:overflowPunct/>
              <w:topLinePunct w:val="0"/>
              <w:bidi w:val="0"/>
              <w:spacing w:line="300" w:lineRule="auto"/>
              <w:jc w:val="center"/>
              <w:rPr>
                <w:szCs w:val="21"/>
              </w:rPr>
            </w:pPr>
          </w:p>
        </w:tc>
        <w:tc>
          <w:tcPr>
            <w:tcW w:w="1143" w:type="dxa"/>
            <w:noWrap w:val="0"/>
            <w:vAlign w:val="center"/>
          </w:tcPr>
          <w:p>
            <w:pPr>
              <w:kinsoku/>
              <w:overflowPunct/>
              <w:topLinePunct w:val="0"/>
              <w:bidi w:val="0"/>
              <w:spacing w:line="300" w:lineRule="auto"/>
              <w:jc w:val="center"/>
              <w:rPr>
                <w:szCs w:val="21"/>
              </w:rPr>
            </w:pPr>
          </w:p>
        </w:tc>
        <w:tc>
          <w:tcPr>
            <w:tcW w:w="653" w:type="dxa"/>
            <w:noWrap w:val="0"/>
            <w:vAlign w:val="center"/>
          </w:tcPr>
          <w:p>
            <w:pPr>
              <w:kinsoku/>
              <w:overflowPunct/>
              <w:topLinePunct w:val="0"/>
              <w:bidi w:val="0"/>
              <w:spacing w:line="300" w:lineRule="auto"/>
              <w:jc w:val="center"/>
              <w:rPr>
                <w:szCs w:val="21"/>
              </w:rPr>
            </w:pPr>
          </w:p>
        </w:tc>
        <w:tc>
          <w:tcPr>
            <w:tcW w:w="868" w:type="dxa"/>
            <w:noWrap w:val="0"/>
            <w:vAlign w:val="center"/>
          </w:tcPr>
          <w:p>
            <w:pPr>
              <w:kinsoku/>
              <w:overflowPunct/>
              <w:topLinePunct w:val="0"/>
              <w:bidi w:val="0"/>
              <w:spacing w:line="300" w:lineRule="auto"/>
              <w:jc w:val="center"/>
              <w:rPr>
                <w:szCs w:val="21"/>
              </w:rPr>
            </w:pPr>
          </w:p>
        </w:tc>
        <w:tc>
          <w:tcPr>
            <w:tcW w:w="857" w:type="dxa"/>
            <w:noWrap w:val="0"/>
            <w:vAlign w:val="center"/>
          </w:tcPr>
          <w:p>
            <w:pPr>
              <w:kinsoku/>
              <w:overflowPunct/>
              <w:topLinePunct w:val="0"/>
              <w:bidi w:val="0"/>
              <w:spacing w:line="300" w:lineRule="auto"/>
              <w:jc w:val="center"/>
              <w:rPr>
                <w:szCs w:val="21"/>
              </w:rPr>
            </w:pP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60" w:type="dxa"/>
            <w:noWrap w:val="0"/>
            <w:vAlign w:val="center"/>
          </w:tcPr>
          <w:p>
            <w:pPr>
              <w:kinsoku/>
              <w:overflowPunct/>
              <w:topLinePunct w:val="0"/>
              <w:bidi w:val="0"/>
              <w:spacing w:line="300" w:lineRule="auto"/>
              <w:jc w:val="center"/>
              <w:rPr>
                <w:szCs w:val="21"/>
              </w:rPr>
            </w:pPr>
          </w:p>
        </w:tc>
        <w:tc>
          <w:tcPr>
            <w:tcW w:w="713" w:type="dxa"/>
            <w:noWrap w:val="0"/>
            <w:vAlign w:val="center"/>
          </w:tcPr>
          <w:p>
            <w:pPr>
              <w:kinsoku/>
              <w:overflowPunct/>
              <w:topLinePunct w:val="0"/>
              <w:bidi w:val="0"/>
              <w:spacing w:line="300" w:lineRule="auto"/>
              <w:jc w:val="center"/>
              <w:rPr>
                <w:szCs w:val="21"/>
              </w:rPr>
            </w:pPr>
          </w:p>
        </w:tc>
        <w:tc>
          <w:tcPr>
            <w:tcW w:w="678" w:type="dxa"/>
            <w:noWrap w:val="0"/>
            <w:vAlign w:val="center"/>
          </w:tcPr>
          <w:p>
            <w:pPr>
              <w:kinsoku/>
              <w:overflowPunct/>
              <w:topLinePunct w:val="0"/>
              <w:bidi w:val="0"/>
              <w:spacing w:line="300" w:lineRule="auto"/>
              <w:jc w:val="center"/>
              <w:rPr>
                <w:szCs w:val="21"/>
              </w:rPr>
            </w:pPr>
          </w:p>
        </w:tc>
        <w:tc>
          <w:tcPr>
            <w:tcW w:w="1143" w:type="dxa"/>
            <w:noWrap w:val="0"/>
            <w:vAlign w:val="center"/>
          </w:tcPr>
          <w:p>
            <w:pPr>
              <w:kinsoku/>
              <w:overflowPunct/>
              <w:topLinePunct w:val="0"/>
              <w:bidi w:val="0"/>
              <w:spacing w:line="300" w:lineRule="auto"/>
              <w:jc w:val="center"/>
              <w:rPr>
                <w:szCs w:val="21"/>
              </w:rPr>
            </w:pPr>
          </w:p>
        </w:tc>
        <w:tc>
          <w:tcPr>
            <w:tcW w:w="653" w:type="dxa"/>
            <w:noWrap w:val="0"/>
            <w:vAlign w:val="center"/>
          </w:tcPr>
          <w:p>
            <w:pPr>
              <w:kinsoku/>
              <w:overflowPunct/>
              <w:topLinePunct w:val="0"/>
              <w:bidi w:val="0"/>
              <w:spacing w:line="300" w:lineRule="auto"/>
              <w:jc w:val="center"/>
              <w:rPr>
                <w:szCs w:val="21"/>
              </w:rPr>
            </w:pPr>
          </w:p>
        </w:tc>
        <w:tc>
          <w:tcPr>
            <w:tcW w:w="868" w:type="dxa"/>
            <w:noWrap w:val="0"/>
            <w:vAlign w:val="center"/>
          </w:tcPr>
          <w:p>
            <w:pPr>
              <w:kinsoku/>
              <w:overflowPunct/>
              <w:topLinePunct w:val="0"/>
              <w:bidi w:val="0"/>
              <w:spacing w:line="300" w:lineRule="auto"/>
              <w:jc w:val="center"/>
              <w:rPr>
                <w:szCs w:val="21"/>
              </w:rPr>
            </w:pPr>
          </w:p>
        </w:tc>
        <w:tc>
          <w:tcPr>
            <w:tcW w:w="857" w:type="dxa"/>
            <w:noWrap w:val="0"/>
            <w:vAlign w:val="center"/>
          </w:tcPr>
          <w:p>
            <w:pPr>
              <w:kinsoku/>
              <w:overflowPunct/>
              <w:topLinePunct w:val="0"/>
              <w:bidi w:val="0"/>
              <w:spacing w:line="300" w:lineRule="auto"/>
              <w:jc w:val="center"/>
              <w:rPr>
                <w:szCs w:val="21"/>
              </w:rPr>
            </w:pP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5372" w:type="dxa"/>
            <w:gridSpan w:val="7"/>
            <w:noWrap w:val="0"/>
            <w:vAlign w:val="center"/>
          </w:tcPr>
          <w:p>
            <w:pPr>
              <w:kinsoku/>
              <w:overflowPunct/>
              <w:topLinePunct w:val="0"/>
              <w:bidi w:val="0"/>
              <w:spacing w:line="300" w:lineRule="auto"/>
              <w:jc w:val="center"/>
              <w:rPr>
                <w:szCs w:val="21"/>
              </w:rPr>
            </w:pPr>
            <w:r>
              <w:rPr>
                <w:rFonts w:hint="eastAsia"/>
                <w:szCs w:val="21"/>
              </w:rPr>
              <w:t>本页小计</w:t>
            </w:r>
          </w:p>
        </w:tc>
        <w:tc>
          <w:tcPr>
            <w:tcW w:w="1069" w:type="dxa"/>
            <w:noWrap w:val="0"/>
            <w:vAlign w:val="center"/>
          </w:tcPr>
          <w:p>
            <w:pPr>
              <w:kinsoku/>
              <w:overflowPunct/>
              <w:topLinePunct w:val="0"/>
              <w:bidi w:val="0"/>
              <w:spacing w:line="300" w:lineRule="auto"/>
              <w:jc w:val="center"/>
              <w:rPr>
                <w:szCs w:val="21"/>
              </w:rPr>
            </w:pPr>
          </w:p>
        </w:tc>
        <w:tc>
          <w:tcPr>
            <w:tcW w:w="711" w:type="dxa"/>
            <w:noWrap w:val="0"/>
            <w:vAlign w:val="center"/>
          </w:tcPr>
          <w:p>
            <w:pPr>
              <w:kinsoku/>
              <w:overflowPunct/>
              <w:topLinePunct w:val="0"/>
              <w:bidi w:val="0"/>
              <w:spacing w:line="300" w:lineRule="auto"/>
              <w:jc w:val="center"/>
              <w:rPr>
                <w:szCs w:val="21"/>
              </w:rPr>
            </w:pPr>
          </w:p>
        </w:tc>
        <w:tc>
          <w:tcPr>
            <w:tcW w:w="753" w:type="dxa"/>
            <w:tcBorders>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tcBorders>
            <w:noWrap w:val="0"/>
            <w:vAlign w:val="center"/>
          </w:tcPr>
          <w:p>
            <w:pPr>
              <w:kinsoku/>
              <w:overflowPunct/>
              <w:topLinePunct w:val="0"/>
              <w:bidi w:val="0"/>
              <w:spacing w:line="300" w:lineRule="auto"/>
              <w:jc w:val="center"/>
              <w:rPr>
                <w:szCs w:val="21"/>
              </w:rPr>
            </w:pPr>
          </w:p>
        </w:tc>
        <w:tc>
          <w:tcPr>
            <w:tcW w:w="567"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5372" w:type="dxa"/>
            <w:gridSpan w:val="7"/>
            <w:tcBorders>
              <w:bottom w:val="single" w:color="auto" w:sz="8" w:space="0"/>
            </w:tcBorders>
            <w:noWrap w:val="0"/>
            <w:vAlign w:val="center"/>
          </w:tcPr>
          <w:p>
            <w:pPr>
              <w:kinsoku/>
              <w:overflowPunct/>
              <w:topLinePunct w:val="0"/>
              <w:bidi w:val="0"/>
              <w:spacing w:line="300" w:lineRule="auto"/>
              <w:jc w:val="center"/>
              <w:rPr>
                <w:szCs w:val="21"/>
              </w:rPr>
            </w:pPr>
            <w:r>
              <w:rPr>
                <w:rFonts w:hint="eastAsia"/>
                <w:szCs w:val="21"/>
              </w:rPr>
              <w:t>合</w:t>
            </w:r>
            <w:r>
              <w:rPr>
                <w:szCs w:val="21"/>
              </w:rPr>
              <w:t xml:space="preserve">    </w:t>
            </w:r>
            <w:r>
              <w:rPr>
                <w:rFonts w:hint="eastAsia"/>
                <w:szCs w:val="21"/>
              </w:rPr>
              <w:t>计</w:t>
            </w:r>
          </w:p>
        </w:tc>
        <w:tc>
          <w:tcPr>
            <w:tcW w:w="1069" w:type="dxa"/>
            <w:tcBorders>
              <w:bottom w:val="single" w:color="auto" w:sz="8" w:space="0"/>
            </w:tcBorders>
            <w:noWrap w:val="0"/>
            <w:vAlign w:val="center"/>
          </w:tcPr>
          <w:p>
            <w:pPr>
              <w:kinsoku/>
              <w:overflowPunct/>
              <w:topLinePunct w:val="0"/>
              <w:bidi w:val="0"/>
              <w:spacing w:line="300" w:lineRule="auto"/>
              <w:jc w:val="center"/>
              <w:rPr>
                <w:szCs w:val="21"/>
              </w:rPr>
            </w:pPr>
          </w:p>
        </w:tc>
        <w:tc>
          <w:tcPr>
            <w:tcW w:w="711" w:type="dxa"/>
            <w:tcBorders>
              <w:bottom w:val="single" w:color="auto" w:sz="8" w:space="0"/>
            </w:tcBorders>
            <w:noWrap w:val="0"/>
            <w:vAlign w:val="center"/>
          </w:tcPr>
          <w:p>
            <w:pPr>
              <w:kinsoku/>
              <w:overflowPunct/>
              <w:topLinePunct w:val="0"/>
              <w:bidi w:val="0"/>
              <w:spacing w:line="300" w:lineRule="auto"/>
              <w:jc w:val="center"/>
              <w:rPr>
                <w:szCs w:val="21"/>
              </w:rPr>
            </w:pPr>
          </w:p>
        </w:tc>
        <w:tc>
          <w:tcPr>
            <w:tcW w:w="753" w:type="dxa"/>
            <w:tcBorders>
              <w:bottom w:val="single" w:color="auto" w:sz="8" w:space="0"/>
              <w:right w:val="single" w:color="auto" w:sz="4" w:space="0"/>
            </w:tcBorders>
            <w:noWrap w:val="0"/>
            <w:vAlign w:val="center"/>
          </w:tcPr>
          <w:p>
            <w:pPr>
              <w:kinsoku/>
              <w:overflowPunct/>
              <w:topLinePunct w:val="0"/>
              <w:bidi w:val="0"/>
              <w:spacing w:line="300" w:lineRule="auto"/>
              <w:jc w:val="center"/>
              <w:rPr>
                <w:szCs w:val="21"/>
              </w:rPr>
            </w:pPr>
          </w:p>
        </w:tc>
        <w:tc>
          <w:tcPr>
            <w:tcW w:w="850" w:type="dxa"/>
            <w:tcBorders>
              <w:left w:val="single" w:color="auto" w:sz="4" w:space="0"/>
              <w:bottom w:val="single" w:color="auto" w:sz="8" w:space="0"/>
            </w:tcBorders>
            <w:noWrap w:val="0"/>
            <w:vAlign w:val="center"/>
          </w:tcPr>
          <w:p>
            <w:pPr>
              <w:kinsoku/>
              <w:overflowPunct/>
              <w:topLinePunct w:val="0"/>
              <w:bidi w:val="0"/>
              <w:spacing w:line="300" w:lineRule="auto"/>
              <w:jc w:val="center"/>
              <w:rPr>
                <w:szCs w:val="21"/>
              </w:rPr>
            </w:pPr>
          </w:p>
        </w:tc>
        <w:tc>
          <w:tcPr>
            <w:tcW w:w="567" w:type="dxa"/>
            <w:tcBorders>
              <w:bottom w:val="single" w:color="auto" w:sz="8" w:space="0"/>
            </w:tcBorders>
            <w:noWrap w:val="0"/>
            <w:vAlign w:val="center"/>
          </w:tcPr>
          <w:p>
            <w:pPr>
              <w:kinsoku/>
              <w:overflowPunct/>
              <w:topLinePunct w:val="0"/>
              <w:bidi w:val="0"/>
              <w:spacing w:line="300" w:lineRule="auto"/>
              <w:jc w:val="center"/>
              <w:rPr>
                <w:szCs w:val="21"/>
              </w:rPr>
            </w:pPr>
          </w:p>
        </w:tc>
      </w:tr>
    </w:tbl>
    <w:p>
      <w:pPr>
        <w:kinsoku/>
        <w:overflowPunct/>
        <w:topLinePunct w:val="0"/>
        <w:bidi w:val="0"/>
        <w:spacing w:line="300" w:lineRule="auto"/>
        <w:rPr>
          <w:rFonts w:ascii="黑体" w:hAnsi="黑体" w:eastAsia="黑体"/>
          <w:bCs/>
        </w:rPr>
      </w:pPr>
    </w:p>
    <w:p>
      <w:pPr>
        <w:kinsoku/>
        <w:overflowPunct/>
        <w:topLinePunct w:val="0"/>
        <w:bidi w:val="0"/>
        <w:spacing w:line="300" w:lineRule="auto"/>
        <w:rPr>
          <w:rFonts w:ascii="黑体" w:hAnsi="黑体" w:eastAsia="黑体"/>
          <w:bCs/>
        </w:rPr>
      </w:pPr>
    </w:p>
    <w:tbl>
      <w:tblPr>
        <w:tblStyle w:val="53"/>
        <w:tblW w:w="0" w:type="auto"/>
        <w:tblInd w:w="-318" w:type="dxa"/>
        <w:tblLayout w:type="fixed"/>
        <w:tblCellMar>
          <w:top w:w="15" w:type="dxa"/>
          <w:left w:w="108" w:type="dxa"/>
          <w:bottom w:w="15" w:type="dxa"/>
          <w:right w:w="108" w:type="dxa"/>
        </w:tblCellMar>
      </w:tblPr>
      <w:tblGrid>
        <w:gridCol w:w="710"/>
        <w:gridCol w:w="1204"/>
        <w:gridCol w:w="1239"/>
        <w:gridCol w:w="675"/>
        <w:gridCol w:w="499"/>
        <w:gridCol w:w="897"/>
        <w:gridCol w:w="911"/>
        <w:gridCol w:w="883"/>
        <w:gridCol w:w="779"/>
        <w:gridCol w:w="105"/>
        <w:gridCol w:w="631"/>
        <w:gridCol w:w="682"/>
        <w:gridCol w:w="850"/>
      </w:tblGrid>
      <w:tr>
        <w:tblPrEx>
          <w:tblCellMar>
            <w:top w:w="15" w:type="dxa"/>
            <w:left w:w="108" w:type="dxa"/>
            <w:bottom w:w="15" w:type="dxa"/>
            <w:right w:w="108" w:type="dxa"/>
          </w:tblCellMar>
        </w:tblPrEx>
        <w:trPr>
          <w:trHeight w:val="900" w:hRule="atLeast"/>
        </w:trPr>
        <w:tc>
          <w:tcPr>
            <w:tcW w:w="10065" w:type="dxa"/>
            <w:gridSpan w:val="13"/>
            <w:shd w:val="clear" w:color="auto" w:fill="FFFFFF"/>
            <w:noWrap w:val="0"/>
            <w:vAlign w:val="center"/>
          </w:tcPr>
          <w:p>
            <w:pPr>
              <w:kinsoku/>
              <w:overflowPunct/>
              <w:topLinePunct w:val="0"/>
              <w:bidi w:val="0"/>
              <w:spacing w:line="300" w:lineRule="auto"/>
              <w:jc w:val="center"/>
              <w:rPr>
                <w:rFonts w:ascii="宋体" w:cs="Arial"/>
                <w:b/>
                <w:bCs/>
                <w:color w:val="000000"/>
                <w:sz w:val="40"/>
                <w:szCs w:val="40"/>
              </w:rPr>
            </w:pPr>
            <w:r>
              <w:rPr>
                <w:rFonts w:hint="eastAsia" w:ascii="宋体" w:hAnsi="宋体" w:cs="Arial"/>
                <w:b/>
                <w:bCs/>
                <w:color w:val="000000"/>
                <w:sz w:val="40"/>
                <w:szCs w:val="40"/>
              </w:rPr>
              <w:t>综合单价计算表</w:t>
            </w:r>
          </w:p>
        </w:tc>
      </w:tr>
      <w:tr>
        <w:tblPrEx>
          <w:tblCellMar>
            <w:top w:w="15" w:type="dxa"/>
            <w:left w:w="108" w:type="dxa"/>
            <w:bottom w:w="15" w:type="dxa"/>
            <w:right w:w="108" w:type="dxa"/>
          </w:tblCellMar>
        </w:tblPrEx>
        <w:trPr>
          <w:trHeight w:val="450" w:hRule="atLeast"/>
        </w:trPr>
        <w:tc>
          <w:tcPr>
            <w:tcW w:w="5224" w:type="dxa"/>
            <w:gridSpan w:val="6"/>
            <w:shd w:val="clear" w:color="auto" w:fill="FFFFFF"/>
            <w:noWrap w:val="0"/>
            <w:vAlign w:val="bottom"/>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单位</w:t>
            </w:r>
            <w:r>
              <w:rPr>
                <w:rFonts w:ascii="宋体" w:hAnsi="宋体" w:cs="Arial"/>
                <w:color w:val="000000"/>
                <w:sz w:val="18"/>
                <w:szCs w:val="18"/>
              </w:rPr>
              <w:t>(</w:t>
            </w:r>
            <w:r>
              <w:rPr>
                <w:rFonts w:hint="eastAsia" w:ascii="宋体" w:hAnsi="宋体" w:cs="Arial"/>
                <w:color w:val="000000"/>
                <w:sz w:val="18"/>
                <w:szCs w:val="18"/>
              </w:rPr>
              <w:t>专业</w:t>
            </w:r>
            <w:r>
              <w:rPr>
                <w:rFonts w:ascii="宋体" w:hAnsi="宋体" w:cs="Arial"/>
                <w:color w:val="000000"/>
                <w:sz w:val="18"/>
                <w:szCs w:val="18"/>
              </w:rPr>
              <w:t>)</w:t>
            </w:r>
            <w:r>
              <w:rPr>
                <w:rFonts w:hint="eastAsia" w:ascii="宋体" w:hAnsi="宋体" w:cs="Arial"/>
                <w:color w:val="000000"/>
                <w:sz w:val="18"/>
                <w:szCs w:val="18"/>
              </w:rPr>
              <w:t>工程名称</w:t>
            </w:r>
          </w:p>
        </w:tc>
        <w:tc>
          <w:tcPr>
            <w:tcW w:w="2678" w:type="dxa"/>
            <w:gridSpan w:val="4"/>
            <w:shd w:val="clear" w:color="auto" w:fill="FFFFFF"/>
            <w:noWrap w:val="0"/>
            <w:vAlign w:val="bottom"/>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 xml:space="preserve"> </w:t>
            </w:r>
          </w:p>
        </w:tc>
        <w:tc>
          <w:tcPr>
            <w:tcW w:w="2163" w:type="dxa"/>
            <w:gridSpan w:val="3"/>
            <w:shd w:val="clear" w:color="auto" w:fill="FFFFFF"/>
            <w:noWrap w:val="0"/>
            <w:vAlign w:val="bottom"/>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第</w:t>
            </w:r>
            <w:r>
              <w:rPr>
                <w:rFonts w:ascii="宋体" w:hAnsi="宋体" w:cs="Arial"/>
                <w:color w:val="000000"/>
                <w:sz w:val="18"/>
                <w:szCs w:val="18"/>
              </w:rPr>
              <w:t xml:space="preserve">  </w:t>
            </w:r>
            <w:r>
              <w:rPr>
                <w:rFonts w:hint="eastAsia" w:ascii="宋体" w:hAnsi="宋体" w:cs="Arial"/>
                <w:color w:val="000000"/>
                <w:sz w:val="18"/>
                <w:szCs w:val="18"/>
              </w:rPr>
              <w:t>页</w:t>
            </w:r>
            <w:r>
              <w:rPr>
                <w:rFonts w:ascii="宋体" w:hAnsi="宋体" w:cs="Arial"/>
                <w:color w:val="000000"/>
                <w:sz w:val="18"/>
                <w:szCs w:val="18"/>
              </w:rPr>
              <w:t xml:space="preserve"> </w:t>
            </w:r>
            <w:r>
              <w:rPr>
                <w:rFonts w:hint="eastAsia" w:ascii="宋体" w:hAnsi="宋体" w:cs="Arial"/>
                <w:color w:val="000000"/>
                <w:sz w:val="18"/>
                <w:szCs w:val="18"/>
              </w:rPr>
              <w:t>共</w:t>
            </w:r>
            <w:r>
              <w:rPr>
                <w:rFonts w:ascii="宋体" w:hAnsi="宋体" w:cs="Arial"/>
                <w:color w:val="000000"/>
                <w:sz w:val="18"/>
                <w:szCs w:val="18"/>
              </w:rPr>
              <w:t xml:space="preserve">  </w:t>
            </w:r>
            <w:r>
              <w:rPr>
                <w:rFonts w:hint="eastAsia" w:ascii="宋体" w:hAnsi="宋体" w:cs="Arial"/>
                <w:color w:val="000000"/>
                <w:sz w:val="18"/>
                <w:szCs w:val="18"/>
              </w:rPr>
              <w:t>页</w:t>
            </w:r>
          </w:p>
        </w:tc>
      </w:tr>
      <w:tr>
        <w:tblPrEx>
          <w:tblCellMar>
            <w:top w:w="15" w:type="dxa"/>
            <w:left w:w="108" w:type="dxa"/>
            <w:bottom w:w="15" w:type="dxa"/>
            <w:right w:w="108" w:type="dxa"/>
          </w:tblCellMar>
        </w:tblPrEx>
        <w:trPr>
          <w:trHeight w:val="450" w:hRule="atLeast"/>
        </w:trPr>
        <w:tc>
          <w:tcPr>
            <w:tcW w:w="710"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清单</w:t>
            </w:r>
            <w:r>
              <w:rPr>
                <w:rFonts w:ascii="宋体" w:cs="Arial"/>
                <w:color w:val="000000"/>
                <w:sz w:val="18"/>
                <w:szCs w:val="18"/>
              </w:rPr>
              <w:br w:type="textWrapping"/>
            </w:r>
            <w:r>
              <w:rPr>
                <w:rFonts w:hint="eastAsia" w:ascii="宋体" w:hAnsi="宋体" w:cs="Arial"/>
                <w:color w:val="000000"/>
                <w:sz w:val="18"/>
                <w:szCs w:val="18"/>
              </w:rPr>
              <w:t>序号</w:t>
            </w:r>
          </w:p>
        </w:tc>
        <w:tc>
          <w:tcPr>
            <w:tcW w:w="1204"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项目编码</w:t>
            </w:r>
            <w:r>
              <w:rPr>
                <w:rFonts w:ascii="宋体" w:cs="Arial"/>
                <w:color w:val="000000"/>
                <w:sz w:val="18"/>
                <w:szCs w:val="18"/>
              </w:rPr>
              <w:br w:type="textWrapping"/>
            </w:r>
            <w:r>
              <w:rPr>
                <w:rFonts w:ascii="宋体" w:hAnsi="宋体" w:cs="Arial"/>
                <w:color w:val="000000"/>
                <w:sz w:val="18"/>
                <w:szCs w:val="18"/>
              </w:rPr>
              <w:t>(</w:t>
            </w:r>
            <w:r>
              <w:rPr>
                <w:rFonts w:hint="eastAsia" w:ascii="宋体" w:hAnsi="宋体" w:cs="Arial"/>
                <w:color w:val="000000"/>
                <w:sz w:val="18"/>
                <w:szCs w:val="18"/>
              </w:rPr>
              <w:t>定额编码</w:t>
            </w:r>
            <w:r>
              <w:rPr>
                <w:rFonts w:ascii="宋体" w:hAnsi="宋体" w:cs="Arial"/>
                <w:color w:val="000000"/>
                <w:sz w:val="18"/>
                <w:szCs w:val="18"/>
              </w:rPr>
              <w:t>)</w:t>
            </w:r>
          </w:p>
        </w:tc>
        <w:tc>
          <w:tcPr>
            <w:tcW w:w="1239"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清单（定额）</w:t>
            </w:r>
            <w:r>
              <w:rPr>
                <w:rFonts w:ascii="宋体" w:cs="Arial"/>
                <w:color w:val="000000"/>
                <w:sz w:val="18"/>
                <w:szCs w:val="18"/>
              </w:rPr>
              <w:br w:type="textWrapping"/>
            </w:r>
            <w:r>
              <w:rPr>
                <w:rFonts w:hint="eastAsia" w:ascii="宋体" w:hAnsi="宋体" w:cs="Arial"/>
                <w:color w:val="000000"/>
                <w:sz w:val="18"/>
                <w:szCs w:val="18"/>
              </w:rPr>
              <w:t>项目名称</w:t>
            </w:r>
          </w:p>
        </w:tc>
        <w:tc>
          <w:tcPr>
            <w:tcW w:w="675"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计量</w:t>
            </w:r>
            <w:r>
              <w:rPr>
                <w:rFonts w:ascii="宋体" w:cs="Arial"/>
                <w:color w:val="000000"/>
                <w:sz w:val="18"/>
                <w:szCs w:val="18"/>
              </w:rPr>
              <w:br w:type="textWrapping"/>
            </w:r>
            <w:r>
              <w:rPr>
                <w:rFonts w:hint="eastAsia" w:ascii="宋体" w:hAnsi="宋体" w:cs="Arial"/>
                <w:color w:val="000000"/>
                <w:sz w:val="18"/>
                <w:szCs w:val="18"/>
              </w:rPr>
              <w:t>单位</w:t>
            </w:r>
          </w:p>
        </w:tc>
        <w:tc>
          <w:tcPr>
            <w:tcW w:w="499"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数量</w:t>
            </w:r>
          </w:p>
        </w:tc>
        <w:tc>
          <w:tcPr>
            <w:tcW w:w="4888" w:type="dxa"/>
            <w:gridSpan w:val="7"/>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综</w:t>
            </w:r>
            <w:r>
              <w:rPr>
                <w:rFonts w:ascii="宋体" w:hAnsi="宋体" w:cs="Arial"/>
                <w:color w:val="000000"/>
                <w:sz w:val="18"/>
                <w:szCs w:val="18"/>
              </w:rPr>
              <w:t xml:space="preserve"> </w:t>
            </w:r>
            <w:r>
              <w:rPr>
                <w:rFonts w:hint="eastAsia" w:ascii="宋体" w:hAnsi="宋体" w:cs="Arial"/>
                <w:color w:val="000000"/>
                <w:sz w:val="18"/>
                <w:szCs w:val="18"/>
              </w:rPr>
              <w:t>合</w:t>
            </w:r>
            <w:r>
              <w:rPr>
                <w:rFonts w:ascii="宋体" w:hAnsi="宋体" w:cs="Arial"/>
                <w:color w:val="000000"/>
                <w:sz w:val="18"/>
                <w:szCs w:val="18"/>
              </w:rPr>
              <w:t xml:space="preserve"> </w:t>
            </w:r>
            <w:r>
              <w:rPr>
                <w:rFonts w:hint="eastAsia" w:ascii="宋体" w:hAnsi="宋体" w:cs="Arial"/>
                <w:color w:val="000000"/>
                <w:sz w:val="18"/>
                <w:szCs w:val="18"/>
              </w:rPr>
              <w:t>单</w:t>
            </w:r>
            <w:r>
              <w:rPr>
                <w:rFonts w:ascii="宋体" w:hAnsi="宋体" w:cs="Arial"/>
                <w:color w:val="000000"/>
                <w:sz w:val="18"/>
                <w:szCs w:val="18"/>
              </w:rPr>
              <w:t xml:space="preserve"> </w:t>
            </w:r>
            <w:r>
              <w:rPr>
                <w:rFonts w:hint="eastAsia" w:ascii="宋体" w:hAnsi="宋体" w:cs="Arial"/>
                <w:color w:val="000000"/>
                <w:sz w:val="18"/>
                <w:szCs w:val="18"/>
              </w:rPr>
              <w:t>价</w:t>
            </w:r>
            <w:r>
              <w:rPr>
                <w:rFonts w:ascii="宋体" w:hAnsi="宋体" w:cs="Arial"/>
                <w:color w:val="000000"/>
                <w:sz w:val="18"/>
                <w:szCs w:val="18"/>
              </w:rPr>
              <w:t xml:space="preserve"> (</w:t>
            </w:r>
            <w:r>
              <w:rPr>
                <w:rFonts w:hint="eastAsia" w:ascii="宋体" w:hAnsi="宋体" w:cs="Arial"/>
                <w:color w:val="000000"/>
                <w:sz w:val="18"/>
                <w:szCs w:val="18"/>
              </w:rPr>
              <w:t>元</w:t>
            </w:r>
            <w:r>
              <w:rPr>
                <w:rFonts w:ascii="宋体" w:hAnsi="宋体" w:cs="Arial"/>
                <w:color w:val="000000"/>
                <w:sz w:val="18"/>
                <w:szCs w:val="18"/>
              </w:rPr>
              <w:t>)</w:t>
            </w:r>
          </w:p>
        </w:tc>
        <w:tc>
          <w:tcPr>
            <w:tcW w:w="850" w:type="dxa"/>
            <w:vMerge w:val="restart"/>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合计</w:t>
            </w:r>
            <w:r>
              <w:rPr>
                <w:rFonts w:ascii="宋体" w:cs="Arial"/>
                <w:color w:val="000000"/>
                <w:sz w:val="18"/>
                <w:szCs w:val="18"/>
              </w:rPr>
              <w:br w:type="textWrapping"/>
            </w:r>
            <w:r>
              <w:rPr>
                <w:rFonts w:ascii="宋体" w:hAnsi="宋体" w:cs="Arial"/>
                <w:color w:val="000000"/>
                <w:sz w:val="18"/>
                <w:szCs w:val="18"/>
              </w:rPr>
              <w:t>(</w:t>
            </w:r>
            <w:r>
              <w:rPr>
                <w:rFonts w:hint="eastAsia" w:ascii="宋体" w:hAnsi="宋体" w:cs="Arial"/>
                <w:color w:val="000000"/>
                <w:sz w:val="18"/>
                <w:szCs w:val="18"/>
              </w:rPr>
              <w:t>元</w:t>
            </w:r>
            <w:r>
              <w:rPr>
                <w:rFonts w:ascii="宋体" w:hAnsi="宋体" w:cs="Arial"/>
                <w:color w:val="000000"/>
                <w:sz w:val="18"/>
                <w:szCs w:val="18"/>
              </w:rPr>
              <w:t>)</w:t>
            </w:r>
          </w:p>
        </w:tc>
      </w:tr>
      <w:tr>
        <w:tblPrEx>
          <w:tblCellMar>
            <w:top w:w="15" w:type="dxa"/>
            <w:left w:w="108" w:type="dxa"/>
            <w:bottom w:w="15" w:type="dxa"/>
            <w:right w:w="108" w:type="dxa"/>
          </w:tblCellMar>
        </w:tblPrEx>
        <w:trPr>
          <w:trHeight w:val="810" w:hRule="atLeast"/>
        </w:trPr>
        <w:tc>
          <w:tcPr>
            <w:tcW w:w="710" w:type="dxa"/>
            <w:vMerge w:val="continue"/>
            <w:tcBorders>
              <w:top w:val="single" w:color="000000" w:sz="4" w:space="0"/>
              <w:left w:val="single" w:color="000000" w:sz="4" w:space="0"/>
            </w:tcBorders>
            <w:shd w:val="clear" w:color="auto" w:fill="auto"/>
            <w:noWrap w:val="0"/>
            <w:vAlign w:val="center"/>
          </w:tcPr>
          <w:p>
            <w:pPr>
              <w:kinsoku/>
              <w:overflowPunct/>
              <w:topLinePunct w:val="0"/>
              <w:bidi w:val="0"/>
              <w:spacing w:line="300" w:lineRule="auto"/>
              <w:jc w:val="center"/>
              <w:rPr>
                <w:rFonts w:ascii="宋体" w:cs="Arial"/>
                <w:color w:val="000000"/>
                <w:sz w:val="18"/>
                <w:szCs w:val="18"/>
              </w:rPr>
            </w:pPr>
          </w:p>
        </w:tc>
        <w:tc>
          <w:tcPr>
            <w:tcW w:w="1204" w:type="dxa"/>
            <w:vMerge w:val="continue"/>
            <w:tcBorders>
              <w:top w:val="single" w:color="000000" w:sz="4" w:space="0"/>
              <w:left w:val="single" w:color="000000" w:sz="4" w:space="0"/>
            </w:tcBorders>
            <w:shd w:val="clear" w:color="auto" w:fill="auto"/>
            <w:noWrap w:val="0"/>
            <w:vAlign w:val="center"/>
          </w:tcPr>
          <w:p>
            <w:pPr>
              <w:kinsoku/>
              <w:overflowPunct/>
              <w:topLinePunct w:val="0"/>
              <w:bidi w:val="0"/>
              <w:spacing w:line="300" w:lineRule="auto"/>
              <w:jc w:val="center"/>
              <w:rPr>
                <w:rFonts w:ascii="宋体" w:cs="Arial"/>
                <w:color w:val="000000"/>
                <w:sz w:val="18"/>
                <w:szCs w:val="18"/>
              </w:rPr>
            </w:pPr>
          </w:p>
        </w:tc>
        <w:tc>
          <w:tcPr>
            <w:tcW w:w="1239" w:type="dxa"/>
            <w:vMerge w:val="continue"/>
            <w:tcBorders>
              <w:top w:val="single" w:color="000000" w:sz="4" w:space="0"/>
              <w:left w:val="single" w:color="000000" w:sz="4" w:space="0"/>
            </w:tcBorders>
            <w:shd w:val="clear" w:color="auto" w:fill="auto"/>
            <w:noWrap w:val="0"/>
            <w:vAlign w:val="center"/>
          </w:tcPr>
          <w:p>
            <w:pPr>
              <w:kinsoku/>
              <w:overflowPunct/>
              <w:topLinePunct w:val="0"/>
              <w:bidi w:val="0"/>
              <w:spacing w:line="300" w:lineRule="auto"/>
              <w:jc w:val="center"/>
              <w:rPr>
                <w:rFonts w:ascii="宋体" w:cs="Arial"/>
                <w:color w:val="000000"/>
                <w:sz w:val="18"/>
                <w:szCs w:val="18"/>
              </w:rPr>
            </w:pPr>
          </w:p>
        </w:tc>
        <w:tc>
          <w:tcPr>
            <w:tcW w:w="675" w:type="dxa"/>
            <w:vMerge w:val="continue"/>
            <w:tcBorders>
              <w:top w:val="single" w:color="000000" w:sz="4" w:space="0"/>
              <w:left w:val="single" w:color="000000" w:sz="4" w:space="0"/>
            </w:tcBorders>
            <w:shd w:val="clear" w:color="auto" w:fill="auto"/>
            <w:noWrap w:val="0"/>
            <w:vAlign w:val="center"/>
          </w:tcPr>
          <w:p>
            <w:pPr>
              <w:kinsoku/>
              <w:overflowPunct/>
              <w:topLinePunct w:val="0"/>
              <w:bidi w:val="0"/>
              <w:spacing w:line="300" w:lineRule="auto"/>
              <w:jc w:val="center"/>
              <w:rPr>
                <w:rFonts w:ascii="宋体" w:cs="Arial"/>
                <w:color w:val="000000"/>
                <w:sz w:val="18"/>
                <w:szCs w:val="18"/>
              </w:rPr>
            </w:pPr>
          </w:p>
        </w:tc>
        <w:tc>
          <w:tcPr>
            <w:tcW w:w="499" w:type="dxa"/>
            <w:vMerge w:val="continue"/>
            <w:tcBorders>
              <w:top w:val="single" w:color="000000" w:sz="4" w:space="0"/>
              <w:left w:val="single" w:color="000000" w:sz="4" w:space="0"/>
            </w:tcBorders>
            <w:shd w:val="clear" w:color="auto" w:fill="auto"/>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人工费</w:t>
            </w: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材料</w:t>
            </w:r>
            <w:r>
              <w:rPr>
                <w:rFonts w:ascii="宋体" w:cs="Arial"/>
                <w:color w:val="000000"/>
                <w:sz w:val="18"/>
                <w:szCs w:val="18"/>
              </w:rPr>
              <w:br w:type="textWrapping"/>
            </w:r>
            <w:r>
              <w:rPr>
                <w:rFonts w:ascii="宋体" w:hAnsi="宋体" w:cs="Arial"/>
                <w:color w:val="000000"/>
                <w:sz w:val="18"/>
                <w:szCs w:val="18"/>
              </w:rPr>
              <w:t>(</w:t>
            </w:r>
            <w:r>
              <w:rPr>
                <w:rFonts w:hint="eastAsia" w:ascii="宋体" w:hAnsi="宋体" w:cs="Arial"/>
                <w:color w:val="000000"/>
                <w:sz w:val="18"/>
                <w:szCs w:val="18"/>
              </w:rPr>
              <w:t>设备</w:t>
            </w:r>
            <w:r>
              <w:rPr>
                <w:rFonts w:ascii="宋体" w:hAnsi="宋体" w:cs="Arial"/>
                <w:color w:val="000000"/>
                <w:sz w:val="18"/>
                <w:szCs w:val="18"/>
              </w:rPr>
              <w:t>)</w:t>
            </w:r>
            <w:r>
              <w:rPr>
                <w:rFonts w:ascii="宋体" w:hAnsi="宋体" w:cs="Arial"/>
                <w:color w:val="000000"/>
                <w:sz w:val="18"/>
                <w:szCs w:val="18"/>
              </w:rPr>
              <w:br w:type="textWrapping"/>
            </w:r>
            <w:r>
              <w:rPr>
                <w:rFonts w:hint="eastAsia" w:ascii="宋体" w:hAnsi="宋体" w:cs="Arial"/>
                <w:color w:val="000000"/>
                <w:sz w:val="18"/>
                <w:szCs w:val="18"/>
              </w:rPr>
              <w:t>费</w:t>
            </w: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机械费</w:t>
            </w: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管理费</w:t>
            </w: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利润</w:t>
            </w:r>
          </w:p>
        </w:tc>
        <w:tc>
          <w:tcPr>
            <w:tcW w:w="682"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小计</w:t>
            </w:r>
          </w:p>
        </w:tc>
        <w:tc>
          <w:tcPr>
            <w:tcW w:w="850" w:type="dxa"/>
            <w:vMerge w:val="continue"/>
            <w:tcBorders>
              <w:top w:val="single" w:color="000000" w:sz="4" w:space="0"/>
              <w:left w:val="single" w:color="000000" w:sz="4" w:space="0"/>
              <w:right w:val="single" w:color="000000" w:sz="4" w:space="0"/>
            </w:tcBorders>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57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57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57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81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81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57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81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57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710"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bl>
    <w:p>
      <w:pPr>
        <w:kinsoku/>
        <w:overflowPunct/>
        <w:topLinePunct w:val="0"/>
        <w:bidi w:val="0"/>
        <w:spacing w:line="300" w:lineRule="auto"/>
        <w:rPr>
          <w:rFonts w:ascii="黑体" w:hAnsi="黑体" w:eastAsia="黑体"/>
          <w:bCs/>
        </w:rPr>
      </w:pPr>
    </w:p>
    <w:p>
      <w:pPr>
        <w:kinsoku/>
        <w:overflowPunct/>
        <w:topLinePunct w:val="0"/>
        <w:bidi w:val="0"/>
        <w:spacing w:line="300" w:lineRule="auto"/>
        <w:rPr>
          <w:rFonts w:ascii="黑体" w:hAnsi="黑体" w:eastAsia="黑体"/>
          <w:bCs/>
        </w:rPr>
      </w:pPr>
    </w:p>
    <w:p>
      <w:pPr>
        <w:kinsoku/>
        <w:overflowPunct/>
        <w:topLinePunct w:val="0"/>
        <w:bidi w:val="0"/>
        <w:spacing w:line="300" w:lineRule="auto"/>
        <w:rPr>
          <w:rFonts w:ascii="黑体" w:hAnsi="黑体" w:eastAsia="黑体"/>
          <w:bCs/>
        </w:rPr>
      </w:pPr>
    </w:p>
    <w:tbl>
      <w:tblPr>
        <w:tblStyle w:val="53"/>
        <w:tblW w:w="0" w:type="auto"/>
        <w:tblInd w:w="5" w:type="dxa"/>
        <w:tblLayout w:type="fixed"/>
        <w:tblCellMar>
          <w:top w:w="15" w:type="dxa"/>
          <w:left w:w="108" w:type="dxa"/>
          <w:bottom w:w="15" w:type="dxa"/>
          <w:right w:w="108" w:type="dxa"/>
        </w:tblCellMar>
      </w:tblPr>
      <w:tblGrid>
        <w:gridCol w:w="710"/>
        <w:gridCol w:w="1204"/>
        <w:gridCol w:w="1239"/>
        <w:gridCol w:w="675"/>
        <w:gridCol w:w="499"/>
        <w:gridCol w:w="897"/>
        <w:gridCol w:w="911"/>
        <w:gridCol w:w="883"/>
        <w:gridCol w:w="779"/>
        <w:gridCol w:w="105"/>
        <w:gridCol w:w="631"/>
        <w:gridCol w:w="682"/>
        <w:gridCol w:w="850"/>
      </w:tblGrid>
      <w:tr>
        <w:tblPrEx>
          <w:tblCellMar>
            <w:top w:w="15" w:type="dxa"/>
            <w:left w:w="108" w:type="dxa"/>
            <w:bottom w:w="15" w:type="dxa"/>
            <w:right w:w="108" w:type="dxa"/>
          </w:tblCellMar>
        </w:tblPrEx>
        <w:trPr>
          <w:trHeight w:val="900" w:hRule="atLeast"/>
        </w:trPr>
        <w:tc>
          <w:tcPr>
            <w:tcW w:w="10065" w:type="dxa"/>
            <w:gridSpan w:val="13"/>
            <w:shd w:val="clear" w:color="auto" w:fill="FFFFFF"/>
            <w:noWrap w:val="0"/>
            <w:vAlign w:val="center"/>
          </w:tcPr>
          <w:p>
            <w:pPr>
              <w:kinsoku/>
              <w:overflowPunct/>
              <w:topLinePunct w:val="0"/>
              <w:bidi w:val="0"/>
              <w:spacing w:line="300" w:lineRule="auto"/>
              <w:jc w:val="center"/>
              <w:rPr>
                <w:rFonts w:ascii="宋体" w:cs="Arial"/>
                <w:b/>
                <w:bCs/>
                <w:color w:val="000000"/>
                <w:sz w:val="40"/>
                <w:szCs w:val="40"/>
              </w:rPr>
            </w:pPr>
            <w:r>
              <w:rPr>
                <w:rFonts w:hint="eastAsia" w:ascii="宋体" w:hAnsi="宋体" w:cs="Arial"/>
                <w:b/>
                <w:bCs/>
                <w:color w:val="000000"/>
                <w:sz w:val="40"/>
                <w:szCs w:val="40"/>
              </w:rPr>
              <w:t>综合单价计算表（技术措施）</w:t>
            </w:r>
          </w:p>
        </w:tc>
      </w:tr>
      <w:tr>
        <w:tblPrEx>
          <w:tblCellMar>
            <w:top w:w="15" w:type="dxa"/>
            <w:left w:w="108" w:type="dxa"/>
            <w:bottom w:w="15" w:type="dxa"/>
            <w:right w:w="108" w:type="dxa"/>
          </w:tblCellMar>
        </w:tblPrEx>
        <w:trPr>
          <w:trHeight w:val="450" w:hRule="atLeast"/>
        </w:trPr>
        <w:tc>
          <w:tcPr>
            <w:tcW w:w="5224" w:type="dxa"/>
            <w:gridSpan w:val="6"/>
            <w:shd w:val="clear" w:color="auto" w:fill="FFFFFF"/>
            <w:noWrap w:val="0"/>
            <w:vAlign w:val="bottom"/>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单位</w:t>
            </w:r>
            <w:r>
              <w:rPr>
                <w:rFonts w:ascii="宋体" w:hAnsi="宋体" w:cs="Arial"/>
                <w:color w:val="000000"/>
                <w:sz w:val="18"/>
                <w:szCs w:val="18"/>
              </w:rPr>
              <w:t>(</w:t>
            </w:r>
            <w:r>
              <w:rPr>
                <w:rFonts w:hint="eastAsia" w:ascii="宋体" w:hAnsi="宋体" w:cs="Arial"/>
                <w:color w:val="000000"/>
                <w:sz w:val="18"/>
                <w:szCs w:val="18"/>
              </w:rPr>
              <w:t>专业</w:t>
            </w:r>
            <w:r>
              <w:rPr>
                <w:rFonts w:ascii="宋体" w:hAnsi="宋体" w:cs="Arial"/>
                <w:color w:val="000000"/>
                <w:sz w:val="18"/>
                <w:szCs w:val="18"/>
              </w:rPr>
              <w:t>)</w:t>
            </w:r>
            <w:r>
              <w:rPr>
                <w:rFonts w:hint="eastAsia" w:ascii="宋体" w:hAnsi="宋体" w:cs="Arial"/>
                <w:color w:val="000000"/>
                <w:sz w:val="18"/>
                <w:szCs w:val="18"/>
              </w:rPr>
              <w:t>工程名称</w:t>
            </w:r>
          </w:p>
        </w:tc>
        <w:tc>
          <w:tcPr>
            <w:tcW w:w="2678" w:type="dxa"/>
            <w:gridSpan w:val="4"/>
            <w:shd w:val="clear" w:color="auto" w:fill="FFFFFF"/>
            <w:noWrap w:val="0"/>
            <w:vAlign w:val="bottom"/>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 xml:space="preserve"> </w:t>
            </w:r>
          </w:p>
        </w:tc>
        <w:tc>
          <w:tcPr>
            <w:tcW w:w="2163" w:type="dxa"/>
            <w:gridSpan w:val="3"/>
            <w:shd w:val="clear" w:color="auto" w:fill="FFFFFF"/>
            <w:noWrap w:val="0"/>
            <w:vAlign w:val="bottom"/>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第</w:t>
            </w:r>
            <w:r>
              <w:rPr>
                <w:rFonts w:ascii="宋体" w:hAnsi="宋体" w:cs="Arial"/>
                <w:color w:val="000000"/>
                <w:sz w:val="18"/>
                <w:szCs w:val="18"/>
              </w:rPr>
              <w:t xml:space="preserve">  </w:t>
            </w:r>
            <w:r>
              <w:rPr>
                <w:rFonts w:hint="eastAsia" w:ascii="宋体" w:hAnsi="宋体" w:cs="Arial"/>
                <w:color w:val="000000"/>
                <w:sz w:val="18"/>
                <w:szCs w:val="18"/>
              </w:rPr>
              <w:t>页</w:t>
            </w:r>
            <w:r>
              <w:rPr>
                <w:rFonts w:ascii="宋体" w:hAnsi="宋体" w:cs="Arial"/>
                <w:color w:val="000000"/>
                <w:sz w:val="18"/>
                <w:szCs w:val="18"/>
              </w:rPr>
              <w:t xml:space="preserve"> </w:t>
            </w:r>
            <w:r>
              <w:rPr>
                <w:rFonts w:hint="eastAsia" w:ascii="宋体" w:hAnsi="宋体" w:cs="Arial"/>
                <w:color w:val="000000"/>
                <w:sz w:val="18"/>
                <w:szCs w:val="18"/>
              </w:rPr>
              <w:t>共</w:t>
            </w:r>
            <w:r>
              <w:rPr>
                <w:rFonts w:ascii="宋体" w:hAnsi="宋体" w:cs="Arial"/>
                <w:color w:val="000000"/>
                <w:sz w:val="18"/>
                <w:szCs w:val="18"/>
              </w:rPr>
              <w:t xml:space="preserve">  </w:t>
            </w:r>
            <w:r>
              <w:rPr>
                <w:rFonts w:hint="eastAsia" w:ascii="宋体" w:hAnsi="宋体" w:cs="Arial"/>
                <w:color w:val="000000"/>
                <w:sz w:val="18"/>
                <w:szCs w:val="18"/>
              </w:rPr>
              <w:t>页</w:t>
            </w:r>
          </w:p>
        </w:tc>
      </w:tr>
      <w:tr>
        <w:tblPrEx>
          <w:tblCellMar>
            <w:top w:w="15" w:type="dxa"/>
            <w:left w:w="108" w:type="dxa"/>
            <w:bottom w:w="15" w:type="dxa"/>
            <w:right w:w="108" w:type="dxa"/>
          </w:tblCellMar>
        </w:tblPrEx>
        <w:trPr>
          <w:trHeight w:val="450" w:hRule="atLeast"/>
        </w:trPr>
        <w:tc>
          <w:tcPr>
            <w:tcW w:w="710"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清单</w:t>
            </w:r>
            <w:r>
              <w:rPr>
                <w:rFonts w:ascii="宋体" w:cs="Arial"/>
                <w:color w:val="000000"/>
                <w:sz w:val="18"/>
                <w:szCs w:val="18"/>
              </w:rPr>
              <w:br w:type="textWrapping"/>
            </w:r>
            <w:r>
              <w:rPr>
                <w:rFonts w:hint="eastAsia" w:ascii="宋体" w:hAnsi="宋体" w:cs="Arial"/>
                <w:color w:val="000000"/>
                <w:sz w:val="18"/>
                <w:szCs w:val="18"/>
              </w:rPr>
              <w:t>序号</w:t>
            </w:r>
          </w:p>
        </w:tc>
        <w:tc>
          <w:tcPr>
            <w:tcW w:w="1204"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项目编码</w:t>
            </w:r>
            <w:r>
              <w:rPr>
                <w:rFonts w:ascii="宋体" w:cs="Arial"/>
                <w:color w:val="000000"/>
                <w:sz w:val="18"/>
                <w:szCs w:val="18"/>
              </w:rPr>
              <w:br w:type="textWrapping"/>
            </w:r>
            <w:r>
              <w:rPr>
                <w:rFonts w:ascii="宋体" w:hAnsi="宋体" w:cs="Arial"/>
                <w:color w:val="000000"/>
                <w:sz w:val="18"/>
                <w:szCs w:val="18"/>
              </w:rPr>
              <w:t>(</w:t>
            </w:r>
            <w:r>
              <w:rPr>
                <w:rFonts w:hint="eastAsia" w:ascii="宋体" w:hAnsi="宋体" w:cs="Arial"/>
                <w:color w:val="000000"/>
                <w:sz w:val="18"/>
                <w:szCs w:val="18"/>
              </w:rPr>
              <w:t>定额编码</w:t>
            </w:r>
            <w:r>
              <w:rPr>
                <w:rFonts w:ascii="宋体" w:hAnsi="宋体" w:cs="Arial"/>
                <w:color w:val="000000"/>
                <w:sz w:val="18"/>
                <w:szCs w:val="18"/>
              </w:rPr>
              <w:t>)</w:t>
            </w:r>
          </w:p>
        </w:tc>
        <w:tc>
          <w:tcPr>
            <w:tcW w:w="1239"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清单（定额）</w:t>
            </w:r>
            <w:r>
              <w:rPr>
                <w:rFonts w:ascii="宋体" w:cs="Arial"/>
                <w:color w:val="000000"/>
                <w:sz w:val="18"/>
                <w:szCs w:val="18"/>
              </w:rPr>
              <w:br w:type="textWrapping"/>
            </w:r>
            <w:r>
              <w:rPr>
                <w:rFonts w:hint="eastAsia" w:ascii="宋体" w:hAnsi="宋体" w:cs="Arial"/>
                <w:color w:val="000000"/>
                <w:sz w:val="18"/>
                <w:szCs w:val="18"/>
              </w:rPr>
              <w:t>项目名称</w:t>
            </w:r>
          </w:p>
        </w:tc>
        <w:tc>
          <w:tcPr>
            <w:tcW w:w="675"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计量</w:t>
            </w:r>
            <w:r>
              <w:rPr>
                <w:rFonts w:ascii="宋体" w:cs="Arial"/>
                <w:color w:val="000000"/>
                <w:sz w:val="18"/>
                <w:szCs w:val="18"/>
              </w:rPr>
              <w:br w:type="textWrapping"/>
            </w:r>
            <w:r>
              <w:rPr>
                <w:rFonts w:hint="eastAsia" w:ascii="宋体" w:hAnsi="宋体" w:cs="Arial"/>
                <w:color w:val="000000"/>
                <w:sz w:val="18"/>
                <w:szCs w:val="18"/>
              </w:rPr>
              <w:t>单位</w:t>
            </w:r>
          </w:p>
        </w:tc>
        <w:tc>
          <w:tcPr>
            <w:tcW w:w="499"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数量</w:t>
            </w:r>
          </w:p>
        </w:tc>
        <w:tc>
          <w:tcPr>
            <w:tcW w:w="4888" w:type="dxa"/>
            <w:gridSpan w:val="7"/>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综</w:t>
            </w:r>
            <w:r>
              <w:rPr>
                <w:rFonts w:ascii="宋体" w:hAnsi="宋体" w:cs="Arial"/>
                <w:color w:val="000000"/>
                <w:sz w:val="18"/>
                <w:szCs w:val="18"/>
              </w:rPr>
              <w:t xml:space="preserve"> </w:t>
            </w:r>
            <w:r>
              <w:rPr>
                <w:rFonts w:hint="eastAsia" w:ascii="宋体" w:hAnsi="宋体" w:cs="Arial"/>
                <w:color w:val="000000"/>
                <w:sz w:val="18"/>
                <w:szCs w:val="18"/>
              </w:rPr>
              <w:t>合</w:t>
            </w:r>
            <w:r>
              <w:rPr>
                <w:rFonts w:ascii="宋体" w:hAnsi="宋体" w:cs="Arial"/>
                <w:color w:val="000000"/>
                <w:sz w:val="18"/>
                <w:szCs w:val="18"/>
              </w:rPr>
              <w:t xml:space="preserve"> </w:t>
            </w:r>
            <w:r>
              <w:rPr>
                <w:rFonts w:hint="eastAsia" w:ascii="宋体" w:hAnsi="宋体" w:cs="Arial"/>
                <w:color w:val="000000"/>
                <w:sz w:val="18"/>
                <w:szCs w:val="18"/>
              </w:rPr>
              <w:t>单</w:t>
            </w:r>
            <w:r>
              <w:rPr>
                <w:rFonts w:ascii="宋体" w:hAnsi="宋体" w:cs="Arial"/>
                <w:color w:val="000000"/>
                <w:sz w:val="18"/>
                <w:szCs w:val="18"/>
              </w:rPr>
              <w:t xml:space="preserve"> </w:t>
            </w:r>
            <w:r>
              <w:rPr>
                <w:rFonts w:hint="eastAsia" w:ascii="宋体" w:hAnsi="宋体" w:cs="Arial"/>
                <w:color w:val="000000"/>
                <w:sz w:val="18"/>
                <w:szCs w:val="18"/>
              </w:rPr>
              <w:t>价</w:t>
            </w:r>
            <w:r>
              <w:rPr>
                <w:rFonts w:ascii="宋体" w:hAnsi="宋体" w:cs="Arial"/>
                <w:color w:val="000000"/>
                <w:sz w:val="18"/>
                <w:szCs w:val="18"/>
              </w:rPr>
              <w:t xml:space="preserve"> (</w:t>
            </w:r>
            <w:r>
              <w:rPr>
                <w:rFonts w:hint="eastAsia" w:ascii="宋体" w:hAnsi="宋体" w:cs="Arial"/>
                <w:color w:val="000000"/>
                <w:sz w:val="18"/>
                <w:szCs w:val="18"/>
              </w:rPr>
              <w:t>元</w:t>
            </w:r>
            <w:r>
              <w:rPr>
                <w:rFonts w:ascii="宋体" w:hAnsi="宋体" w:cs="Arial"/>
                <w:color w:val="000000"/>
                <w:sz w:val="18"/>
                <w:szCs w:val="18"/>
              </w:rPr>
              <w:t>)</w:t>
            </w:r>
          </w:p>
        </w:tc>
        <w:tc>
          <w:tcPr>
            <w:tcW w:w="850" w:type="dxa"/>
            <w:vMerge w:val="restart"/>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合计</w:t>
            </w:r>
            <w:r>
              <w:rPr>
                <w:rFonts w:ascii="宋体" w:cs="Arial"/>
                <w:color w:val="000000"/>
                <w:sz w:val="18"/>
                <w:szCs w:val="18"/>
              </w:rPr>
              <w:br w:type="textWrapping"/>
            </w:r>
            <w:r>
              <w:rPr>
                <w:rFonts w:ascii="宋体" w:hAnsi="宋体" w:cs="Arial"/>
                <w:color w:val="000000"/>
                <w:sz w:val="18"/>
                <w:szCs w:val="18"/>
              </w:rPr>
              <w:t>(</w:t>
            </w:r>
            <w:r>
              <w:rPr>
                <w:rFonts w:hint="eastAsia" w:ascii="宋体" w:hAnsi="宋体" w:cs="Arial"/>
                <w:color w:val="000000"/>
                <w:sz w:val="18"/>
                <w:szCs w:val="18"/>
              </w:rPr>
              <w:t>元</w:t>
            </w:r>
            <w:r>
              <w:rPr>
                <w:rFonts w:ascii="宋体" w:hAnsi="宋体" w:cs="Arial"/>
                <w:color w:val="000000"/>
                <w:sz w:val="18"/>
                <w:szCs w:val="18"/>
              </w:rPr>
              <w:t>)</w:t>
            </w:r>
          </w:p>
        </w:tc>
      </w:tr>
      <w:tr>
        <w:tblPrEx>
          <w:tblCellMar>
            <w:top w:w="15" w:type="dxa"/>
            <w:left w:w="108" w:type="dxa"/>
            <w:bottom w:w="15" w:type="dxa"/>
            <w:right w:w="108" w:type="dxa"/>
          </w:tblCellMar>
        </w:tblPrEx>
        <w:trPr>
          <w:trHeight w:val="810" w:hRule="atLeast"/>
        </w:trPr>
        <w:tc>
          <w:tcPr>
            <w:tcW w:w="710" w:type="dxa"/>
            <w:vMerge w:val="continue"/>
            <w:tcBorders>
              <w:top w:val="single" w:color="000000" w:sz="4" w:space="0"/>
              <w:left w:val="single" w:color="000000" w:sz="4" w:space="0"/>
            </w:tcBorders>
            <w:shd w:val="clear" w:color="auto" w:fill="auto"/>
            <w:noWrap w:val="0"/>
            <w:vAlign w:val="center"/>
          </w:tcPr>
          <w:p>
            <w:pPr>
              <w:kinsoku/>
              <w:overflowPunct/>
              <w:topLinePunct w:val="0"/>
              <w:bidi w:val="0"/>
              <w:spacing w:line="300" w:lineRule="auto"/>
              <w:jc w:val="center"/>
              <w:rPr>
                <w:rFonts w:ascii="宋体" w:cs="Arial"/>
                <w:color w:val="000000"/>
                <w:sz w:val="18"/>
                <w:szCs w:val="18"/>
              </w:rPr>
            </w:pPr>
          </w:p>
        </w:tc>
        <w:tc>
          <w:tcPr>
            <w:tcW w:w="1204" w:type="dxa"/>
            <w:vMerge w:val="continue"/>
            <w:tcBorders>
              <w:top w:val="single" w:color="000000" w:sz="4" w:space="0"/>
              <w:left w:val="single" w:color="000000" w:sz="4" w:space="0"/>
            </w:tcBorders>
            <w:shd w:val="clear" w:color="auto" w:fill="auto"/>
            <w:noWrap w:val="0"/>
            <w:vAlign w:val="center"/>
          </w:tcPr>
          <w:p>
            <w:pPr>
              <w:kinsoku/>
              <w:overflowPunct/>
              <w:topLinePunct w:val="0"/>
              <w:bidi w:val="0"/>
              <w:spacing w:line="300" w:lineRule="auto"/>
              <w:jc w:val="center"/>
              <w:rPr>
                <w:rFonts w:ascii="宋体" w:cs="Arial"/>
                <w:color w:val="000000"/>
                <w:sz w:val="18"/>
                <w:szCs w:val="18"/>
              </w:rPr>
            </w:pPr>
          </w:p>
        </w:tc>
        <w:tc>
          <w:tcPr>
            <w:tcW w:w="1239" w:type="dxa"/>
            <w:vMerge w:val="continue"/>
            <w:tcBorders>
              <w:top w:val="single" w:color="000000" w:sz="4" w:space="0"/>
              <w:left w:val="single" w:color="000000" w:sz="4" w:space="0"/>
            </w:tcBorders>
            <w:shd w:val="clear" w:color="auto" w:fill="auto"/>
            <w:noWrap w:val="0"/>
            <w:vAlign w:val="center"/>
          </w:tcPr>
          <w:p>
            <w:pPr>
              <w:kinsoku/>
              <w:overflowPunct/>
              <w:topLinePunct w:val="0"/>
              <w:bidi w:val="0"/>
              <w:spacing w:line="300" w:lineRule="auto"/>
              <w:jc w:val="center"/>
              <w:rPr>
                <w:rFonts w:ascii="宋体" w:cs="Arial"/>
                <w:color w:val="000000"/>
                <w:sz w:val="18"/>
                <w:szCs w:val="18"/>
              </w:rPr>
            </w:pPr>
          </w:p>
        </w:tc>
        <w:tc>
          <w:tcPr>
            <w:tcW w:w="675" w:type="dxa"/>
            <w:vMerge w:val="continue"/>
            <w:tcBorders>
              <w:top w:val="single" w:color="000000" w:sz="4" w:space="0"/>
              <w:left w:val="single" w:color="000000" w:sz="4" w:space="0"/>
            </w:tcBorders>
            <w:shd w:val="clear" w:color="auto" w:fill="auto"/>
            <w:noWrap w:val="0"/>
            <w:vAlign w:val="center"/>
          </w:tcPr>
          <w:p>
            <w:pPr>
              <w:kinsoku/>
              <w:overflowPunct/>
              <w:topLinePunct w:val="0"/>
              <w:bidi w:val="0"/>
              <w:spacing w:line="300" w:lineRule="auto"/>
              <w:jc w:val="center"/>
              <w:rPr>
                <w:rFonts w:ascii="宋体" w:cs="Arial"/>
                <w:color w:val="000000"/>
                <w:sz w:val="18"/>
                <w:szCs w:val="18"/>
              </w:rPr>
            </w:pPr>
          </w:p>
        </w:tc>
        <w:tc>
          <w:tcPr>
            <w:tcW w:w="499" w:type="dxa"/>
            <w:vMerge w:val="continue"/>
            <w:tcBorders>
              <w:top w:val="single" w:color="000000" w:sz="4" w:space="0"/>
              <w:left w:val="single" w:color="000000" w:sz="4" w:space="0"/>
            </w:tcBorders>
            <w:shd w:val="clear" w:color="auto" w:fill="auto"/>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人工费</w:t>
            </w: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材料</w:t>
            </w:r>
            <w:r>
              <w:rPr>
                <w:rFonts w:ascii="宋体" w:cs="Arial"/>
                <w:color w:val="000000"/>
                <w:sz w:val="18"/>
                <w:szCs w:val="18"/>
              </w:rPr>
              <w:br w:type="textWrapping"/>
            </w:r>
            <w:r>
              <w:rPr>
                <w:rFonts w:ascii="宋体" w:hAnsi="宋体" w:cs="Arial"/>
                <w:color w:val="000000"/>
                <w:sz w:val="18"/>
                <w:szCs w:val="18"/>
              </w:rPr>
              <w:t>(</w:t>
            </w:r>
            <w:r>
              <w:rPr>
                <w:rFonts w:hint="eastAsia" w:ascii="宋体" w:hAnsi="宋体" w:cs="Arial"/>
                <w:color w:val="000000"/>
                <w:sz w:val="18"/>
                <w:szCs w:val="18"/>
              </w:rPr>
              <w:t>设备</w:t>
            </w:r>
            <w:r>
              <w:rPr>
                <w:rFonts w:ascii="宋体" w:hAnsi="宋体" w:cs="Arial"/>
                <w:color w:val="000000"/>
                <w:sz w:val="18"/>
                <w:szCs w:val="18"/>
              </w:rPr>
              <w:t>)</w:t>
            </w:r>
            <w:r>
              <w:rPr>
                <w:rFonts w:ascii="宋体" w:hAnsi="宋体" w:cs="Arial"/>
                <w:color w:val="000000"/>
                <w:sz w:val="18"/>
                <w:szCs w:val="18"/>
              </w:rPr>
              <w:br w:type="textWrapping"/>
            </w:r>
            <w:r>
              <w:rPr>
                <w:rFonts w:hint="eastAsia" w:ascii="宋体" w:hAnsi="宋体" w:cs="Arial"/>
                <w:color w:val="000000"/>
                <w:sz w:val="18"/>
                <w:szCs w:val="18"/>
              </w:rPr>
              <w:t>费</w:t>
            </w: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机械费</w:t>
            </w: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管理费</w:t>
            </w: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利润</w:t>
            </w:r>
          </w:p>
        </w:tc>
        <w:tc>
          <w:tcPr>
            <w:tcW w:w="682"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小计</w:t>
            </w:r>
          </w:p>
        </w:tc>
        <w:tc>
          <w:tcPr>
            <w:tcW w:w="850" w:type="dxa"/>
            <w:vMerge w:val="continue"/>
            <w:tcBorders>
              <w:top w:val="single" w:color="000000" w:sz="4" w:space="0"/>
              <w:left w:val="single" w:color="000000" w:sz="4" w:space="0"/>
              <w:right w:val="single" w:color="000000" w:sz="4" w:space="0"/>
            </w:tcBorders>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57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57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57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81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81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57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81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57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710"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4"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75"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499"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7"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11"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3"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79"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736" w:type="dxa"/>
            <w:gridSpan w:val="2"/>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682"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5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bl>
    <w:p>
      <w:pPr>
        <w:kinsoku/>
        <w:overflowPunct/>
        <w:topLinePunct w:val="0"/>
        <w:bidi w:val="0"/>
        <w:spacing w:line="300" w:lineRule="auto"/>
        <w:rPr>
          <w:rFonts w:ascii="黑体" w:hAnsi="黑体" w:eastAsia="黑体"/>
          <w:bCs/>
        </w:rPr>
      </w:pPr>
    </w:p>
    <w:p>
      <w:pPr>
        <w:kinsoku/>
        <w:overflowPunct/>
        <w:topLinePunct w:val="0"/>
        <w:bidi w:val="0"/>
        <w:spacing w:line="300" w:lineRule="auto"/>
        <w:rPr>
          <w:rFonts w:ascii="黑体" w:hAnsi="黑体" w:eastAsia="黑体"/>
          <w:bCs/>
        </w:rPr>
      </w:pPr>
    </w:p>
    <w:p>
      <w:pPr>
        <w:kinsoku/>
        <w:overflowPunct/>
        <w:topLinePunct w:val="0"/>
        <w:bidi w:val="0"/>
        <w:spacing w:line="300" w:lineRule="auto"/>
        <w:rPr>
          <w:rFonts w:ascii="黑体" w:hAnsi="黑体" w:eastAsia="黑体"/>
          <w:bCs/>
        </w:rPr>
      </w:pPr>
    </w:p>
    <w:tbl>
      <w:tblPr>
        <w:tblStyle w:val="53"/>
        <w:tblW w:w="0" w:type="auto"/>
        <w:tblInd w:w="-176" w:type="dxa"/>
        <w:tblLayout w:type="fixed"/>
        <w:tblCellMar>
          <w:top w:w="15" w:type="dxa"/>
          <w:left w:w="108" w:type="dxa"/>
          <w:bottom w:w="15" w:type="dxa"/>
          <w:right w:w="108" w:type="dxa"/>
        </w:tblCellMar>
      </w:tblPr>
      <w:tblGrid>
        <w:gridCol w:w="1004"/>
        <w:gridCol w:w="1047"/>
        <w:gridCol w:w="473"/>
        <w:gridCol w:w="970"/>
        <w:gridCol w:w="730"/>
        <w:gridCol w:w="890"/>
        <w:gridCol w:w="982"/>
        <w:gridCol w:w="293"/>
        <w:gridCol w:w="841"/>
        <w:gridCol w:w="1134"/>
        <w:gridCol w:w="1134"/>
      </w:tblGrid>
      <w:tr>
        <w:tblPrEx>
          <w:tblCellMar>
            <w:top w:w="15" w:type="dxa"/>
            <w:left w:w="108" w:type="dxa"/>
            <w:bottom w:w="15" w:type="dxa"/>
            <w:right w:w="108" w:type="dxa"/>
          </w:tblCellMar>
        </w:tblPrEx>
        <w:trPr>
          <w:trHeight w:val="900" w:hRule="atLeast"/>
        </w:trPr>
        <w:tc>
          <w:tcPr>
            <w:tcW w:w="9498" w:type="dxa"/>
            <w:gridSpan w:val="11"/>
            <w:shd w:val="clear" w:color="auto" w:fill="FFFFFF"/>
            <w:noWrap w:val="0"/>
            <w:vAlign w:val="center"/>
          </w:tcPr>
          <w:p>
            <w:pPr>
              <w:kinsoku/>
              <w:overflowPunct/>
              <w:topLinePunct w:val="0"/>
              <w:bidi w:val="0"/>
              <w:spacing w:line="300" w:lineRule="auto"/>
              <w:jc w:val="center"/>
              <w:rPr>
                <w:rFonts w:ascii="宋体" w:cs="Arial"/>
                <w:b/>
                <w:bCs/>
                <w:color w:val="000000"/>
                <w:sz w:val="40"/>
                <w:szCs w:val="40"/>
              </w:rPr>
            </w:pPr>
            <w:r>
              <w:rPr>
                <w:rFonts w:hint="eastAsia" w:ascii="宋体" w:hAnsi="宋体" w:cs="Arial"/>
                <w:b/>
                <w:bCs/>
                <w:color w:val="000000"/>
                <w:sz w:val="40"/>
                <w:szCs w:val="40"/>
              </w:rPr>
              <w:t>综合单价工料机分析表</w:t>
            </w:r>
          </w:p>
        </w:tc>
      </w:tr>
      <w:tr>
        <w:tblPrEx>
          <w:tblCellMar>
            <w:top w:w="15" w:type="dxa"/>
            <w:left w:w="108" w:type="dxa"/>
            <w:bottom w:w="15" w:type="dxa"/>
            <w:right w:w="108" w:type="dxa"/>
          </w:tblCellMar>
        </w:tblPrEx>
        <w:trPr>
          <w:trHeight w:val="360" w:hRule="atLeast"/>
        </w:trPr>
        <w:tc>
          <w:tcPr>
            <w:tcW w:w="3494" w:type="dxa"/>
            <w:gridSpan w:val="4"/>
            <w:shd w:val="clear" w:color="auto" w:fill="FFFFFF"/>
            <w:noWrap w:val="0"/>
            <w:vAlign w:val="bottom"/>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单位</w:t>
            </w:r>
            <w:r>
              <w:rPr>
                <w:rFonts w:ascii="宋体" w:hAnsi="宋体" w:cs="Arial"/>
                <w:color w:val="000000"/>
                <w:sz w:val="18"/>
                <w:szCs w:val="18"/>
              </w:rPr>
              <w:t>(</w:t>
            </w:r>
            <w:r>
              <w:rPr>
                <w:rFonts w:hint="eastAsia" w:ascii="宋体" w:hAnsi="宋体" w:cs="Arial"/>
                <w:color w:val="000000"/>
                <w:sz w:val="18"/>
                <w:szCs w:val="18"/>
              </w:rPr>
              <w:t>专业</w:t>
            </w:r>
            <w:r>
              <w:rPr>
                <w:rFonts w:ascii="宋体" w:hAnsi="宋体" w:cs="Arial"/>
                <w:color w:val="000000"/>
                <w:sz w:val="18"/>
                <w:szCs w:val="18"/>
              </w:rPr>
              <w:t>)</w:t>
            </w:r>
            <w:r>
              <w:rPr>
                <w:rFonts w:hint="eastAsia" w:ascii="宋体" w:hAnsi="宋体" w:cs="Arial"/>
                <w:color w:val="000000"/>
                <w:sz w:val="18"/>
                <w:szCs w:val="18"/>
              </w:rPr>
              <w:t>工程名称</w:t>
            </w:r>
            <w:r>
              <w:rPr>
                <w:rFonts w:ascii="宋体" w:hAnsi="宋体" w:cs="Arial"/>
                <w:color w:val="000000"/>
                <w:sz w:val="18"/>
                <w:szCs w:val="18"/>
              </w:rPr>
              <w:t xml:space="preserve">: </w:t>
            </w:r>
          </w:p>
        </w:tc>
        <w:tc>
          <w:tcPr>
            <w:tcW w:w="2895" w:type="dxa"/>
            <w:gridSpan w:val="4"/>
            <w:shd w:val="clear" w:color="auto" w:fill="FFFFFF"/>
            <w:noWrap w:val="0"/>
            <w:vAlign w:val="bottom"/>
          </w:tcPr>
          <w:p>
            <w:pPr>
              <w:kinsoku/>
              <w:overflowPunct/>
              <w:topLinePunct w:val="0"/>
              <w:bidi w:val="0"/>
              <w:spacing w:line="300" w:lineRule="auto"/>
              <w:rPr>
                <w:rFonts w:ascii="宋体" w:cs="Arial"/>
                <w:color w:val="000000"/>
                <w:sz w:val="18"/>
                <w:szCs w:val="18"/>
              </w:rPr>
            </w:pPr>
            <w:r>
              <w:rPr>
                <w:rFonts w:ascii="宋体" w:hAnsi="宋体" w:cs="Arial"/>
                <w:color w:val="000000"/>
                <w:sz w:val="18"/>
                <w:szCs w:val="18"/>
              </w:rPr>
              <w:t xml:space="preserve"> </w:t>
            </w:r>
          </w:p>
        </w:tc>
        <w:tc>
          <w:tcPr>
            <w:tcW w:w="3109" w:type="dxa"/>
            <w:gridSpan w:val="3"/>
            <w:shd w:val="clear" w:color="auto" w:fill="FFFFFF"/>
            <w:noWrap w:val="0"/>
            <w:vAlign w:val="bottom"/>
          </w:tcPr>
          <w:p>
            <w:pPr>
              <w:kinsoku/>
              <w:overflowPunct/>
              <w:topLinePunct w:val="0"/>
              <w:bidi w:val="0"/>
              <w:spacing w:line="300" w:lineRule="auto"/>
              <w:jc w:val="right"/>
              <w:rPr>
                <w:rFonts w:ascii="宋体" w:cs="Arial"/>
                <w:color w:val="000000"/>
                <w:sz w:val="18"/>
                <w:szCs w:val="18"/>
              </w:rPr>
            </w:pPr>
            <w:r>
              <w:rPr>
                <w:rFonts w:hint="eastAsia" w:ascii="宋体" w:hAnsi="宋体" w:cs="Arial"/>
                <w:color w:val="000000"/>
                <w:sz w:val="18"/>
                <w:szCs w:val="18"/>
              </w:rPr>
              <w:t>第</w:t>
            </w:r>
            <w:r>
              <w:rPr>
                <w:rFonts w:ascii="宋体" w:hAnsi="宋体" w:cs="Arial"/>
                <w:color w:val="000000"/>
                <w:sz w:val="18"/>
                <w:szCs w:val="18"/>
              </w:rPr>
              <w:t xml:space="preserve"> </w:t>
            </w:r>
            <w:r>
              <w:rPr>
                <w:rFonts w:hint="eastAsia" w:ascii="宋体" w:hAnsi="宋体" w:cs="Arial"/>
                <w:color w:val="000000"/>
                <w:sz w:val="18"/>
                <w:szCs w:val="18"/>
              </w:rPr>
              <w:t>页</w:t>
            </w:r>
            <w:r>
              <w:rPr>
                <w:rFonts w:ascii="宋体" w:hAnsi="宋体" w:cs="Arial"/>
                <w:color w:val="000000"/>
                <w:sz w:val="18"/>
                <w:szCs w:val="18"/>
              </w:rPr>
              <w:t xml:space="preserve"> </w:t>
            </w:r>
            <w:r>
              <w:rPr>
                <w:rFonts w:hint="eastAsia" w:ascii="宋体" w:hAnsi="宋体" w:cs="Arial"/>
                <w:color w:val="000000"/>
                <w:sz w:val="18"/>
                <w:szCs w:val="18"/>
              </w:rPr>
              <w:t>共</w:t>
            </w:r>
            <w:r>
              <w:rPr>
                <w:rFonts w:ascii="宋体" w:hAnsi="宋体" w:cs="Arial"/>
                <w:color w:val="000000"/>
                <w:sz w:val="18"/>
                <w:szCs w:val="18"/>
              </w:rPr>
              <w:t xml:space="preserve">  </w:t>
            </w:r>
            <w:r>
              <w:rPr>
                <w:rFonts w:hint="eastAsia" w:ascii="宋体" w:hAnsi="宋体" w:cs="Arial"/>
                <w:color w:val="000000"/>
                <w:sz w:val="18"/>
                <w:szCs w:val="18"/>
              </w:rPr>
              <w:t>页</w:t>
            </w:r>
          </w:p>
        </w:tc>
      </w:tr>
      <w:tr>
        <w:tblPrEx>
          <w:tblCellMar>
            <w:top w:w="15" w:type="dxa"/>
            <w:left w:w="108" w:type="dxa"/>
            <w:bottom w:w="15" w:type="dxa"/>
            <w:right w:w="108" w:type="dxa"/>
          </w:tblCellMar>
        </w:tblPrEx>
        <w:trPr>
          <w:trHeight w:val="495" w:hRule="atLeast"/>
        </w:trPr>
        <w:tc>
          <w:tcPr>
            <w:tcW w:w="10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项目编码</w:t>
            </w:r>
          </w:p>
        </w:tc>
        <w:tc>
          <w:tcPr>
            <w:tcW w:w="152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7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项目名称</w:t>
            </w:r>
          </w:p>
        </w:tc>
        <w:tc>
          <w:tcPr>
            <w:tcW w:w="3736"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计量单位</w:t>
            </w:r>
          </w:p>
        </w:tc>
        <w:tc>
          <w:tcPr>
            <w:tcW w:w="1134"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9498" w:type="dxa"/>
            <w:gridSpan w:val="11"/>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清单综合单价组成明细</w:t>
            </w:r>
          </w:p>
        </w:tc>
      </w:tr>
      <w:tr>
        <w:tblPrEx>
          <w:tblCellMar>
            <w:top w:w="15" w:type="dxa"/>
            <w:left w:w="108" w:type="dxa"/>
            <w:bottom w:w="15" w:type="dxa"/>
            <w:right w:w="108" w:type="dxa"/>
          </w:tblCellMar>
        </w:tblPrEx>
        <w:trPr>
          <w:trHeight w:val="450" w:hRule="atLeast"/>
        </w:trPr>
        <w:tc>
          <w:tcPr>
            <w:tcW w:w="1004" w:type="dxa"/>
            <w:vMerge w:val="restart"/>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序号</w:t>
            </w:r>
          </w:p>
        </w:tc>
        <w:tc>
          <w:tcPr>
            <w:tcW w:w="2490" w:type="dxa"/>
            <w:gridSpan w:val="3"/>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名称及规格、型号</w:t>
            </w:r>
          </w:p>
        </w:tc>
        <w:tc>
          <w:tcPr>
            <w:tcW w:w="730"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单位</w:t>
            </w:r>
          </w:p>
        </w:tc>
        <w:tc>
          <w:tcPr>
            <w:tcW w:w="890"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数量</w:t>
            </w:r>
          </w:p>
        </w:tc>
        <w:tc>
          <w:tcPr>
            <w:tcW w:w="982"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单价</w:t>
            </w:r>
            <w:r>
              <w:rPr>
                <w:rFonts w:ascii="宋体" w:cs="Arial"/>
                <w:color w:val="000000"/>
                <w:sz w:val="18"/>
                <w:szCs w:val="18"/>
              </w:rPr>
              <w:br w:type="textWrapping"/>
            </w:r>
            <w:r>
              <w:rPr>
                <w:rFonts w:hint="eastAsia" w:ascii="宋体" w:hAnsi="宋体" w:cs="Arial"/>
                <w:color w:val="000000"/>
                <w:sz w:val="18"/>
                <w:szCs w:val="18"/>
              </w:rPr>
              <w:t>（元）</w:t>
            </w:r>
          </w:p>
        </w:tc>
        <w:tc>
          <w:tcPr>
            <w:tcW w:w="1134"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其中</w:t>
            </w:r>
          </w:p>
        </w:tc>
        <w:tc>
          <w:tcPr>
            <w:tcW w:w="1134"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合价</w:t>
            </w:r>
            <w:r>
              <w:rPr>
                <w:rFonts w:ascii="宋体" w:hAnsi="宋体" w:cs="Arial"/>
                <w:color w:val="000000"/>
                <w:sz w:val="18"/>
                <w:szCs w:val="18"/>
              </w:rPr>
              <w:t>(</w:t>
            </w:r>
            <w:r>
              <w:rPr>
                <w:rFonts w:hint="eastAsia" w:ascii="宋体" w:hAnsi="宋体" w:cs="Arial"/>
                <w:color w:val="000000"/>
                <w:sz w:val="18"/>
                <w:szCs w:val="18"/>
              </w:rPr>
              <w:t>元</w:t>
            </w:r>
            <w:r>
              <w:rPr>
                <w:rFonts w:ascii="宋体" w:hAnsi="宋体" w:cs="Arial"/>
                <w:color w:val="000000"/>
                <w:sz w:val="18"/>
                <w:szCs w:val="18"/>
              </w:rPr>
              <w:t>)</w:t>
            </w:r>
          </w:p>
        </w:tc>
        <w:tc>
          <w:tcPr>
            <w:tcW w:w="1134"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其中</w:t>
            </w:r>
          </w:p>
        </w:tc>
      </w:tr>
      <w:tr>
        <w:tblPrEx>
          <w:tblCellMar>
            <w:top w:w="15" w:type="dxa"/>
            <w:left w:w="108" w:type="dxa"/>
            <w:bottom w:w="15" w:type="dxa"/>
            <w:right w:w="108" w:type="dxa"/>
          </w:tblCellMar>
        </w:tblPrEx>
        <w:trPr>
          <w:trHeight w:val="605" w:hRule="atLeast"/>
        </w:trPr>
        <w:tc>
          <w:tcPr>
            <w:tcW w:w="1004" w:type="dxa"/>
            <w:vMerge w:val="continue"/>
            <w:tcBorders>
              <w:top w:val="single" w:color="000000" w:sz="4" w:space="0"/>
              <w:left w:val="single" w:color="000000" w:sz="4" w:space="0"/>
              <w:bottom w:val="single" w:color="000000" w:sz="4" w:space="0"/>
            </w:tcBorders>
            <w:shd w:val="clear" w:color="auto" w:fill="auto"/>
            <w:noWrap w:val="0"/>
            <w:vAlign w:val="center"/>
          </w:tcPr>
          <w:p>
            <w:pPr>
              <w:kinsoku/>
              <w:overflowPunct/>
              <w:topLinePunct w:val="0"/>
              <w:bidi w:val="0"/>
              <w:spacing w:line="300" w:lineRule="auto"/>
              <w:rPr>
                <w:rFonts w:ascii="宋体" w:cs="Arial"/>
                <w:color w:val="000000"/>
                <w:sz w:val="18"/>
                <w:szCs w:val="18"/>
              </w:rPr>
            </w:pPr>
          </w:p>
        </w:tc>
        <w:tc>
          <w:tcPr>
            <w:tcW w:w="2490" w:type="dxa"/>
            <w:gridSpan w:val="3"/>
            <w:vMerge w:val="continue"/>
            <w:tcBorders>
              <w:top w:val="single" w:color="000000" w:sz="4" w:space="0"/>
              <w:left w:val="single" w:color="000000" w:sz="4" w:space="0"/>
              <w:bottom w:val="single" w:color="auto" w:sz="4" w:space="0"/>
            </w:tcBorders>
            <w:shd w:val="clear" w:color="auto" w:fill="auto"/>
            <w:noWrap w:val="0"/>
            <w:vAlign w:val="center"/>
          </w:tcPr>
          <w:p>
            <w:pPr>
              <w:kinsoku/>
              <w:overflowPunct/>
              <w:topLinePunct w:val="0"/>
              <w:bidi w:val="0"/>
              <w:spacing w:line="300" w:lineRule="auto"/>
              <w:rPr>
                <w:rFonts w:ascii="宋体" w:cs="Arial"/>
                <w:color w:val="000000"/>
                <w:sz w:val="18"/>
                <w:szCs w:val="18"/>
              </w:rPr>
            </w:pPr>
          </w:p>
        </w:tc>
        <w:tc>
          <w:tcPr>
            <w:tcW w:w="730" w:type="dxa"/>
            <w:vMerge w:val="continue"/>
            <w:tcBorders>
              <w:top w:val="single" w:color="000000" w:sz="4" w:space="0"/>
              <w:left w:val="single" w:color="000000" w:sz="4" w:space="0"/>
              <w:bottom w:val="single" w:color="auto" w:sz="4" w:space="0"/>
            </w:tcBorders>
            <w:shd w:val="clear" w:color="auto" w:fill="auto"/>
            <w:noWrap w:val="0"/>
            <w:vAlign w:val="center"/>
          </w:tcPr>
          <w:p>
            <w:pPr>
              <w:kinsoku/>
              <w:overflowPunct/>
              <w:topLinePunct w:val="0"/>
              <w:bidi w:val="0"/>
              <w:spacing w:line="300" w:lineRule="auto"/>
              <w:rPr>
                <w:rFonts w:ascii="宋体" w:cs="Arial"/>
                <w:color w:val="000000"/>
                <w:sz w:val="18"/>
                <w:szCs w:val="18"/>
              </w:rPr>
            </w:pPr>
          </w:p>
        </w:tc>
        <w:tc>
          <w:tcPr>
            <w:tcW w:w="890" w:type="dxa"/>
            <w:vMerge w:val="continue"/>
            <w:tcBorders>
              <w:top w:val="single" w:color="000000" w:sz="4" w:space="0"/>
              <w:left w:val="single" w:color="000000" w:sz="4" w:space="0"/>
              <w:bottom w:val="single" w:color="auto" w:sz="4" w:space="0"/>
            </w:tcBorders>
            <w:shd w:val="clear" w:color="auto" w:fill="auto"/>
            <w:noWrap w:val="0"/>
            <w:vAlign w:val="center"/>
          </w:tcPr>
          <w:p>
            <w:pPr>
              <w:kinsoku/>
              <w:overflowPunct/>
              <w:topLinePunct w:val="0"/>
              <w:bidi w:val="0"/>
              <w:spacing w:line="300" w:lineRule="auto"/>
              <w:rPr>
                <w:rFonts w:ascii="宋体" w:cs="Arial"/>
                <w:color w:val="000000"/>
                <w:sz w:val="18"/>
                <w:szCs w:val="18"/>
              </w:rPr>
            </w:pPr>
          </w:p>
        </w:tc>
        <w:tc>
          <w:tcPr>
            <w:tcW w:w="982" w:type="dxa"/>
            <w:vMerge w:val="continue"/>
            <w:tcBorders>
              <w:top w:val="single" w:color="000000" w:sz="4" w:space="0"/>
              <w:left w:val="single" w:color="000000" w:sz="4" w:space="0"/>
              <w:bottom w:val="single" w:color="auto" w:sz="4" w:space="0"/>
            </w:tcBorders>
            <w:shd w:val="clear" w:color="auto" w:fill="auto"/>
            <w:noWrap w:val="0"/>
            <w:vAlign w:val="center"/>
          </w:tcPr>
          <w:p>
            <w:pPr>
              <w:kinsoku/>
              <w:overflowPunct/>
              <w:topLinePunct w:val="0"/>
              <w:bidi w:val="0"/>
              <w:spacing w:line="300" w:lineRule="auto"/>
              <w:rPr>
                <w:rFonts w:ascii="宋体" w:cs="Arial"/>
                <w:color w:val="000000"/>
                <w:sz w:val="18"/>
                <w:szCs w:val="18"/>
              </w:rPr>
            </w:pPr>
          </w:p>
        </w:tc>
        <w:tc>
          <w:tcPr>
            <w:tcW w:w="1134" w:type="dxa"/>
            <w:gridSpan w:val="2"/>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暂估单价</w:t>
            </w:r>
            <w:r>
              <w:rPr>
                <w:rFonts w:ascii="宋体" w:cs="Arial"/>
                <w:color w:val="000000"/>
                <w:sz w:val="18"/>
                <w:szCs w:val="18"/>
              </w:rPr>
              <w:br w:type="textWrapping"/>
            </w:r>
            <w:r>
              <w:rPr>
                <w:rFonts w:hint="eastAsia" w:ascii="宋体" w:hAnsi="宋体" w:cs="Arial"/>
                <w:color w:val="000000"/>
                <w:sz w:val="18"/>
                <w:szCs w:val="18"/>
              </w:rPr>
              <w:t>（元）</w:t>
            </w:r>
          </w:p>
        </w:tc>
        <w:tc>
          <w:tcPr>
            <w:tcW w:w="1134" w:type="dxa"/>
            <w:vMerge w:val="continue"/>
            <w:tcBorders>
              <w:top w:val="single" w:color="000000" w:sz="4" w:space="0"/>
              <w:left w:val="single" w:color="000000" w:sz="4" w:space="0"/>
              <w:bottom w:val="single" w:color="auto" w:sz="4" w:space="0"/>
            </w:tcBorders>
            <w:shd w:val="clear" w:color="auto" w:fill="auto"/>
            <w:noWrap w:val="0"/>
            <w:vAlign w:val="center"/>
          </w:tcPr>
          <w:p>
            <w:pPr>
              <w:kinsoku/>
              <w:overflowPunct/>
              <w:topLinePunct w:val="0"/>
              <w:bidi w:val="0"/>
              <w:spacing w:line="300" w:lineRule="auto"/>
              <w:rPr>
                <w:rFonts w:ascii="宋体" w:cs="Arial"/>
                <w:color w:val="000000"/>
                <w:sz w:val="18"/>
                <w:szCs w:val="18"/>
              </w:rPr>
            </w:pPr>
          </w:p>
        </w:tc>
        <w:tc>
          <w:tcPr>
            <w:tcW w:w="1134"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暂估合价</w:t>
            </w:r>
            <w:r>
              <w:rPr>
                <w:rFonts w:ascii="宋体" w:cs="Arial"/>
                <w:color w:val="000000"/>
                <w:sz w:val="18"/>
                <w:szCs w:val="18"/>
              </w:rPr>
              <w:br w:type="textWrapping"/>
            </w:r>
            <w:r>
              <w:rPr>
                <w:rFonts w:hint="eastAsia" w:ascii="宋体" w:hAnsi="宋体" w:cs="Arial"/>
                <w:color w:val="000000"/>
                <w:sz w:val="18"/>
                <w:szCs w:val="18"/>
              </w:rPr>
              <w:t>（元）</w:t>
            </w:r>
          </w:p>
        </w:tc>
      </w:tr>
      <w:tr>
        <w:tblPrEx>
          <w:tblCellMar>
            <w:top w:w="15" w:type="dxa"/>
            <w:left w:w="108" w:type="dxa"/>
            <w:bottom w:w="15" w:type="dxa"/>
            <w:right w:w="108" w:type="dxa"/>
          </w:tblCellMar>
        </w:tblPrEx>
        <w:trPr>
          <w:trHeight w:val="547" w:hRule="atLeast"/>
        </w:trPr>
        <w:tc>
          <w:tcPr>
            <w:tcW w:w="1004" w:type="dxa"/>
            <w:tcBorders>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47" w:type="dxa"/>
            <w:tcBorders>
              <w:top w:val="single" w:color="auto"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人工</w:t>
            </w:r>
          </w:p>
        </w:tc>
        <w:tc>
          <w:tcPr>
            <w:tcW w:w="1443" w:type="dxa"/>
            <w:gridSpan w:val="2"/>
            <w:tcBorders>
              <w:top w:val="single" w:color="auto"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30" w:type="dxa"/>
            <w:tcBorders>
              <w:top w:val="single" w:color="auto"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0" w:type="dxa"/>
            <w:tcBorders>
              <w:top w:val="single" w:color="auto"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82" w:type="dxa"/>
            <w:tcBorders>
              <w:top w:val="single" w:color="auto"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2"/>
            <w:tcBorders>
              <w:top w:val="single" w:color="auto"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auto"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auto" w:sz="4" w:space="0"/>
              <w:left w:val="single" w:color="000000" w:sz="4" w:space="0"/>
              <w:right w:val="single" w:color="000000" w:sz="4" w:space="0"/>
            </w:tcBorders>
            <w:shd w:val="clear" w:color="auto" w:fill="FFFFFF"/>
            <w:noWrap w:val="0"/>
            <w:vAlign w:val="bottom"/>
          </w:tcPr>
          <w:p>
            <w:pPr>
              <w:kinsoku/>
              <w:overflowPunct/>
              <w:topLinePunct w:val="0"/>
              <w:bidi w:val="0"/>
              <w:spacing w:line="300" w:lineRule="auto"/>
              <w:jc w:val="right"/>
              <w:rPr>
                <w:rFonts w:ascii="宋体" w:cs="Arial"/>
                <w:color w:val="000000"/>
                <w:sz w:val="18"/>
                <w:szCs w:val="18"/>
              </w:rPr>
            </w:pPr>
          </w:p>
        </w:tc>
      </w:tr>
      <w:tr>
        <w:trPr>
          <w:trHeight w:val="450" w:hRule="atLeast"/>
        </w:trPr>
        <w:tc>
          <w:tcPr>
            <w:tcW w:w="1004" w:type="dxa"/>
            <w:tcBorders>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1</w:t>
            </w:r>
          </w:p>
        </w:tc>
        <w:tc>
          <w:tcPr>
            <w:tcW w:w="6226" w:type="dxa"/>
            <w:gridSpan w:val="8"/>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人工费小计</w:t>
            </w:r>
          </w:p>
        </w:tc>
        <w:tc>
          <w:tcPr>
            <w:tcW w:w="113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bottom"/>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trHeight w:val="880" w:hRule="atLeast"/>
        </w:trPr>
        <w:tc>
          <w:tcPr>
            <w:tcW w:w="1004" w:type="dxa"/>
            <w:tcBorders>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47" w:type="dxa"/>
            <w:tcBorders>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材料</w:t>
            </w:r>
            <w:r>
              <w:rPr>
                <w:rFonts w:ascii="宋体" w:cs="Arial"/>
                <w:color w:val="000000"/>
                <w:sz w:val="18"/>
                <w:szCs w:val="18"/>
              </w:rPr>
              <w:br w:type="textWrapping"/>
            </w:r>
            <w:r>
              <w:rPr>
                <w:rFonts w:hint="eastAsia" w:ascii="宋体" w:hAnsi="宋体" w:cs="Arial"/>
                <w:color w:val="000000"/>
                <w:sz w:val="18"/>
                <w:szCs w:val="18"/>
              </w:rPr>
              <w:t>（工程</w:t>
            </w:r>
            <w:r>
              <w:rPr>
                <w:rFonts w:ascii="宋体" w:cs="Arial"/>
                <w:color w:val="000000"/>
                <w:sz w:val="18"/>
                <w:szCs w:val="18"/>
              </w:rPr>
              <w:br w:type="textWrapping"/>
            </w:r>
            <w:r>
              <w:rPr>
                <w:rFonts w:hint="eastAsia" w:ascii="宋体" w:hAnsi="宋体" w:cs="Arial"/>
                <w:color w:val="000000"/>
                <w:sz w:val="18"/>
                <w:szCs w:val="18"/>
              </w:rPr>
              <w:t>设备）</w:t>
            </w:r>
          </w:p>
        </w:tc>
        <w:tc>
          <w:tcPr>
            <w:tcW w:w="144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3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356" w:hRule="atLeast"/>
        </w:trPr>
        <w:tc>
          <w:tcPr>
            <w:tcW w:w="1004" w:type="dxa"/>
            <w:tcBorders>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47" w:type="dxa"/>
            <w:tcBorders>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4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3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248" w:hRule="atLeast"/>
        </w:trPr>
        <w:tc>
          <w:tcPr>
            <w:tcW w:w="1004" w:type="dxa"/>
            <w:tcBorders>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47" w:type="dxa"/>
            <w:tcBorders>
              <w:left w:val="single" w:color="000000" w:sz="4" w:space="0"/>
            </w:tcBorders>
            <w:shd w:val="clear" w:color="auto" w:fill="FFFFFF"/>
            <w:noWrap w:val="0"/>
            <w:vAlign w:val="center"/>
          </w:tcPr>
          <w:p>
            <w:pPr>
              <w:kinsoku/>
              <w:overflowPunct/>
              <w:topLinePunct w:val="0"/>
              <w:bidi w:val="0"/>
              <w:spacing w:line="300" w:lineRule="auto"/>
              <w:jc w:val="both"/>
              <w:rPr>
                <w:rFonts w:ascii="宋体" w:cs="Arial"/>
                <w:color w:val="000000"/>
                <w:sz w:val="18"/>
                <w:szCs w:val="18"/>
              </w:rPr>
            </w:pPr>
          </w:p>
        </w:tc>
        <w:tc>
          <w:tcPr>
            <w:tcW w:w="144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3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1004" w:type="dxa"/>
            <w:tcBorders>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2</w:t>
            </w:r>
          </w:p>
        </w:tc>
        <w:tc>
          <w:tcPr>
            <w:tcW w:w="6226" w:type="dxa"/>
            <w:gridSpan w:val="8"/>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材料（工程设备）费小计</w:t>
            </w:r>
          </w:p>
        </w:tc>
        <w:tc>
          <w:tcPr>
            <w:tcW w:w="113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bottom"/>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trHeight w:val="502" w:hRule="atLeast"/>
        </w:trPr>
        <w:tc>
          <w:tcPr>
            <w:tcW w:w="1004" w:type="dxa"/>
            <w:tcBorders>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47" w:type="dxa"/>
            <w:tcBorders>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机械</w:t>
            </w:r>
          </w:p>
        </w:tc>
        <w:tc>
          <w:tcPr>
            <w:tcW w:w="144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3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bottom"/>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317" w:hRule="atLeast"/>
        </w:trPr>
        <w:tc>
          <w:tcPr>
            <w:tcW w:w="1004" w:type="dxa"/>
            <w:tcBorders>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47" w:type="dxa"/>
            <w:tcBorders>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4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3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bottom"/>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1004" w:type="dxa"/>
            <w:tcBorders>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3</w:t>
            </w:r>
          </w:p>
        </w:tc>
        <w:tc>
          <w:tcPr>
            <w:tcW w:w="6226" w:type="dxa"/>
            <w:gridSpan w:val="8"/>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机械费小计</w:t>
            </w:r>
          </w:p>
        </w:tc>
        <w:tc>
          <w:tcPr>
            <w:tcW w:w="113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bottom"/>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trHeight w:val="577" w:hRule="atLeast"/>
        </w:trPr>
        <w:tc>
          <w:tcPr>
            <w:tcW w:w="10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4</w:t>
            </w:r>
          </w:p>
        </w:tc>
        <w:tc>
          <w:tcPr>
            <w:tcW w:w="6226" w:type="dxa"/>
            <w:gridSpan w:val="8"/>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工料机费用合计</w:t>
            </w:r>
            <w:r>
              <w:rPr>
                <w:rFonts w:ascii="宋体" w:hAnsi="宋体" w:cs="Arial"/>
                <w:color w:val="000000"/>
                <w:sz w:val="18"/>
                <w:szCs w:val="18"/>
              </w:rPr>
              <w:t>(1+2+3)</w:t>
            </w:r>
          </w:p>
        </w:tc>
        <w:tc>
          <w:tcPr>
            <w:tcW w:w="113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bottom"/>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671" w:hRule="atLeast"/>
        </w:trPr>
        <w:tc>
          <w:tcPr>
            <w:tcW w:w="10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5</w:t>
            </w:r>
          </w:p>
        </w:tc>
        <w:tc>
          <w:tcPr>
            <w:tcW w:w="6226" w:type="dxa"/>
            <w:gridSpan w:val="8"/>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管理费（人工费</w:t>
            </w:r>
            <w:r>
              <w:rPr>
                <w:rFonts w:ascii="宋体" w:hAnsi="宋体" w:cs="Arial"/>
                <w:color w:val="000000"/>
                <w:sz w:val="18"/>
                <w:szCs w:val="18"/>
              </w:rPr>
              <w:t>+</w:t>
            </w:r>
            <w:r>
              <w:rPr>
                <w:rFonts w:hint="eastAsia" w:ascii="宋体" w:hAnsi="宋体" w:cs="Arial"/>
                <w:color w:val="000000"/>
                <w:sz w:val="18"/>
                <w:szCs w:val="18"/>
              </w:rPr>
              <w:t>机械费）×费率</w:t>
            </w:r>
          </w:p>
        </w:tc>
        <w:tc>
          <w:tcPr>
            <w:tcW w:w="113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bottom"/>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681" w:hRule="atLeast"/>
        </w:trPr>
        <w:tc>
          <w:tcPr>
            <w:tcW w:w="100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6</w:t>
            </w:r>
          </w:p>
        </w:tc>
        <w:tc>
          <w:tcPr>
            <w:tcW w:w="6226" w:type="dxa"/>
            <w:gridSpan w:val="8"/>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利润（人工费</w:t>
            </w:r>
            <w:r>
              <w:rPr>
                <w:rFonts w:ascii="宋体" w:hAnsi="宋体" w:cs="Arial"/>
                <w:color w:val="000000"/>
                <w:sz w:val="18"/>
                <w:szCs w:val="18"/>
              </w:rPr>
              <w:t>+</w:t>
            </w:r>
            <w:r>
              <w:rPr>
                <w:rFonts w:hint="eastAsia" w:ascii="宋体" w:hAnsi="宋体" w:cs="Arial"/>
                <w:color w:val="000000"/>
                <w:sz w:val="18"/>
                <w:szCs w:val="18"/>
              </w:rPr>
              <w:t>机械费）×费率</w:t>
            </w:r>
          </w:p>
        </w:tc>
        <w:tc>
          <w:tcPr>
            <w:tcW w:w="113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bottom"/>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699" w:hRule="atLeast"/>
        </w:trPr>
        <w:tc>
          <w:tcPr>
            <w:tcW w:w="1004"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7</w:t>
            </w:r>
          </w:p>
        </w:tc>
        <w:tc>
          <w:tcPr>
            <w:tcW w:w="6226" w:type="dxa"/>
            <w:gridSpan w:val="8"/>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综合单价</w:t>
            </w:r>
            <w:r>
              <w:rPr>
                <w:rFonts w:ascii="宋体" w:hAnsi="宋体" w:cs="Arial"/>
                <w:color w:val="000000"/>
                <w:sz w:val="18"/>
                <w:szCs w:val="18"/>
              </w:rPr>
              <w:t>(4+5+6)</w:t>
            </w:r>
          </w:p>
        </w:tc>
        <w:tc>
          <w:tcPr>
            <w:tcW w:w="1134"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bottom w:val="single" w:color="auto" w:sz="4" w:space="0"/>
              <w:right w:val="single" w:color="000000" w:sz="4" w:space="0"/>
            </w:tcBorders>
            <w:shd w:val="clear" w:color="auto" w:fill="FFFFFF"/>
            <w:noWrap w:val="0"/>
            <w:vAlign w:val="bottom"/>
          </w:tcPr>
          <w:p>
            <w:pPr>
              <w:kinsoku/>
              <w:overflowPunct/>
              <w:topLinePunct w:val="0"/>
              <w:bidi w:val="0"/>
              <w:spacing w:line="300" w:lineRule="auto"/>
              <w:jc w:val="right"/>
              <w:rPr>
                <w:rFonts w:ascii="宋体" w:cs="Arial"/>
                <w:color w:val="000000"/>
                <w:sz w:val="18"/>
                <w:szCs w:val="18"/>
              </w:rPr>
            </w:pPr>
          </w:p>
        </w:tc>
      </w:tr>
    </w:tbl>
    <w:p>
      <w:pPr>
        <w:kinsoku/>
        <w:overflowPunct/>
        <w:topLinePunct w:val="0"/>
        <w:bidi w:val="0"/>
        <w:spacing w:line="300" w:lineRule="auto"/>
        <w:ind w:firstLine="720"/>
        <w:jc w:val="center"/>
        <w:rPr>
          <w:rFonts w:ascii="黑体" w:eastAsia="黑体"/>
          <w:sz w:val="36"/>
          <w:szCs w:val="36"/>
        </w:rPr>
      </w:pPr>
    </w:p>
    <w:p>
      <w:pPr>
        <w:kinsoku/>
        <w:overflowPunct/>
        <w:topLinePunct w:val="0"/>
        <w:bidi w:val="0"/>
        <w:spacing w:line="300" w:lineRule="auto"/>
        <w:ind w:firstLine="720"/>
        <w:jc w:val="center"/>
        <w:rPr>
          <w:rFonts w:ascii="黑体" w:eastAsia="黑体"/>
          <w:sz w:val="36"/>
          <w:szCs w:val="36"/>
        </w:rPr>
      </w:pPr>
    </w:p>
    <w:p>
      <w:pPr>
        <w:kinsoku/>
        <w:overflowPunct/>
        <w:topLinePunct w:val="0"/>
        <w:bidi w:val="0"/>
        <w:spacing w:line="300" w:lineRule="auto"/>
        <w:ind w:firstLine="720"/>
        <w:jc w:val="center"/>
        <w:rPr>
          <w:rFonts w:ascii="黑体" w:eastAsia="黑体"/>
          <w:sz w:val="36"/>
          <w:szCs w:val="36"/>
        </w:rPr>
      </w:pPr>
    </w:p>
    <w:tbl>
      <w:tblPr>
        <w:tblStyle w:val="53"/>
        <w:tblW w:w="0" w:type="auto"/>
        <w:tblInd w:w="-176" w:type="dxa"/>
        <w:tblLayout w:type="fixed"/>
        <w:tblCellMar>
          <w:top w:w="15" w:type="dxa"/>
          <w:left w:w="108" w:type="dxa"/>
          <w:bottom w:w="15" w:type="dxa"/>
          <w:right w:w="108" w:type="dxa"/>
        </w:tblCellMar>
      </w:tblPr>
      <w:tblGrid>
        <w:gridCol w:w="1084"/>
        <w:gridCol w:w="840"/>
        <w:gridCol w:w="834"/>
        <w:gridCol w:w="1024"/>
        <w:gridCol w:w="595"/>
        <w:gridCol w:w="882"/>
        <w:gridCol w:w="925"/>
        <w:gridCol w:w="1088"/>
        <w:gridCol w:w="1043"/>
        <w:gridCol w:w="1089"/>
      </w:tblGrid>
      <w:tr>
        <w:tblPrEx>
          <w:tblCellMar>
            <w:top w:w="15" w:type="dxa"/>
            <w:left w:w="108" w:type="dxa"/>
            <w:bottom w:w="15" w:type="dxa"/>
            <w:right w:w="108" w:type="dxa"/>
          </w:tblCellMar>
        </w:tblPrEx>
        <w:trPr>
          <w:trHeight w:val="900" w:hRule="atLeast"/>
        </w:trPr>
        <w:tc>
          <w:tcPr>
            <w:tcW w:w="9404" w:type="dxa"/>
            <w:gridSpan w:val="10"/>
            <w:shd w:val="clear" w:color="auto" w:fill="FFFFFF"/>
            <w:noWrap w:val="0"/>
            <w:vAlign w:val="center"/>
          </w:tcPr>
          <w:p>
            <w:pPr>
              <w:kinsoku/>
              <w:overflowPunct/>
              <w:topLinePunct w:val="0"/>
              <w:bidi w:val="0"/>
              <w:spacing w:line="300" w:lineRule="auto"/>
              <w:jc w:val="center"/>
              <w:rPr>
                <w:rFonts w:ascii="宋体" w:cs="Arial"/>
                <w:b/>
                <w:bCs/>
                <w:color w:val="000000"/>
                <w:sz w:val="40"/>
                <w:szCs w:val="40"/>
              </w:rPr>
            </w:pPr>
            <w:r>
              <w:rPr>
                <w:rFonts w:hint="eastAsia" w:ascii="宋体" w:hAnsi="宋体" w:cs="Arial"/>
                <w:b/>
                <w:bCs/>
                <w:color w:val="000000"/>
                <w:sz w:val="40"/>
                <w:szCs w:val="40"/>
              </w:rPr>
              <w:t>综合单价工料机分析表（技术措施）</w:t>
            </w:r>
          </w:p>
        </w:tc>
      </w:tr>
      <w:tr>
        <w:tblPrEx>
          <w:tblCellMar>
            <w:top w:w="15" w:type="dxa"/>
            <w:left w:w="108" w:type="dxa"/>
            <w:bottom w:w="15" w:type="dxa"/>
            <w:right w:w="108" w:type="dxa"/>
          </w:tblCellMar>
        </w:tblPrEx>
        <w:trPr>
          <w:trHeight w:val="360" w:hRule="atLeast"/>
        </w:trPr>
        <w:tc>
          <w:tcPr>
            <w:tcW w:w="3782" w:type="dxa"/>
            <w:gridSpan w:val="4"/>
            <w:shd w:val="clear" w:color="auto" w:fill="FFFFFF"/>
            <w:noWrap w:val="0"/>
            <w:vAlign w:val="bottom"/>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单位</w:t>
            </w:r>
            <w:r>
              <w:rPr>
                <w:rFonts w:ascii="宋体" w:hAnsi="宋体" w:cs="Arial"/>
                <w:color w:val="000000"/>
                <w:sz w:val="18"/>
                <w:szCs w:val="18"/>
              </w:rPr>
              <w:t>(</w:t>
            </w:r>
            <w:r>
              <w:rPr>
                <w:rFonts w:hint="eastAsia" w:ascii="宋体" w:hAnsi="宋体" w:cs="Arial"/>
                <w:color w:val="000000"/>
                <w:sz w:val="18"/>
                <w:szCs w:val="18"/>
              </w:rPr>
              <w:t>专业</w:t>
            </w:r>
            <w:r>
              <w:rPr>
                <w:rFonts w:ascii="宋体" w:hAnsi="宋体" w:cs="Arial"/>
                <w:color w:val="000000"/>
                <w:sz w:val="18"/>
                <w:szCs w:val="18"/>
              </w:rPr>
              <w:t>)</w:t>
            </w:r>
            <w:r>
              <w:rPr>
                <w:rFonts w:hint="eastAsia" w:ascii="宋体" w:hAnsi="宋体" w:cs="Arial"/>
                <w:color w:val="000000"/>
                <w:sz w:val="18"/>
                <w:szCs w:val="18"/>
              </w:rPr>
              <w:t>工程名称</w:t>
            </w:r>
            <w:r>
              <w:rPr>
                <w:rFonts w:ascii="宋体" w:hAnsi="宋体" w:cs="Arial"/>
                <w:color w:val="000000"/>
                <w:sz w:val="18"/>
                <w:szCs w:val="18"/>
              </w:rPr>
              <w:t xml:space="preserve">: </w:t>
            </w:r>
          </w:p>
        </w:tc>
        <w:tc>
          <w:tcPr>
            <w:tcW w:w="2402" w:type="dxa"/>
            <w:gridSpan w:val="3"/>
            <w:shd w:val="clear" w:color="auto" w:fill="FFFFFF"/>
            <w:noWrap w:val="0"/>
            <w:vAlign w:val="bottom"/>
          </w:tcPr>
          <w:p>
            <w:pPr>
              <w:kinsoku/>
              <w:overflowPunct/>
              <w:topLinePunct w:val="0"/>
              <w:bidi w:val="0"/>
              <w:spacing w:line="300" w:lineRule="auto"/>
              <w:rPr>
                <w:rFonts w:ascii="宋体" w:cs="Arial"/>
                <w:color w:val="000000"/>
                <w:sz w:val="18"/>
                <w:szCs w:val="18"/>
              </w:rPr>
            </w:pPr>
            <w:r>
              <w:rPr>
                <w:rFonts w:ascii="宋体" w:hAnsi="宋体" w:cs="Arial"/>
                <w:color w:val="000000"/>
                <w:sz w:val="18"/>
                <w:szCs w:val="18"/>
              </w:rPr>
              <w:t xml:space="preserve"> </w:t>
            </w:r>
          </w:p>
        </w:tc>
        <w:tc>
          <w:tcPr>
            <w:tcW w:w="3220" w:type="dxa"/>
            <w:gridSpan w:val="3"/>
            <w:shd w:val="clear" w:color="auto" w:fill="FFFFFF"/>
            <w:noWrap w:val="0"/>
            <w:vAlign w:val="bottom"/>
          </w:tcPr>
          <w:p>
            <w:pPr>
              <w:kinsoku/>
              <w:overflowPunct/>
              <w:topLinePunct w:val="0"/>
              <w:bidi w:val="0"/>
              <w:spacing w:line="300" w:lineRule="auto"/>
              <w:jc w:val="right"/>
              <w:rPr>
                <w:rFonts w:ascii="宋体" w:cs="Arial"/>
                <w:color w:val="000000"/>
                <w:sz w:val="18"/>
                <w:szCs w:val="18"/>
              </w:rPr>
            </w:pPr>
            <w:r>
              <w:rPr>
                <w:rFonts w:hint="eastAsia" w:ascii="宋体" w:hAnsi="宋体" w:cs="Arial"/>
                <w:color w:val="000000"/>
                <w:sz w:val="18"/>
                <w:szCs w:val="18"/>
              </w:rPr>
              <w:t>第</w:t>
            </w:r>
            <w:r>
              <w:rPr>
                <w:rFonts w:ascii="宋体" w:hAnsi="宋体" w:cs="Arial"/>
                <w:color w:val="000000"/>
                <w:sz w:val="18"/>
                <w:szCs w:val="18"/>
              </w:rPr>
              <w:t xml:space="preserve"> </w:t>
            </w:r>
            <w:r>
              <w:rPr>
                <w:rFonts w:hint="eastAsia" w:ascii="宋体" w:hAnsi="宋体" w:cs="Arial"/>
                <w:color w:val="000000"/>
                <w:sz w:val="18"/>
                <w:szCs w:val="18"/>
              </w:rPr>
              <w:t>页</w:t>
            </w:r>
            <w:r>
              <w:rPr>
                <w:rFonts w:ascii="宋体" w:hAnsi="宋体" w:cs="Arial"/>
                <w:color w:val="000000"/>
                <w:sz w:val="18"/>
                <w:szCs w:val="18"/>
              </w:rPr>
              <w:t xml:space="preserve"> </w:t>
            </w:r>
            <w:r>
              <w:rPr>
                <w:rFonts w:hint="eastAsia" w:ascii="宋体" w:hAnsi="宋体" w:cs="Arial"/>
                <w:color w:val="000000"/>
                <w:sz w:val="18"/>
                <w:szCs w:val="18"/>
              </w:rPr>
              <w:t>共</w:t>
            </w:r>
            <w:r>
              <w:rPr>
                <w:rFonts w:ascii="宋体" w:hAnsi="宋体" w:cs="Arial"/>
                <w:color w:val="000000"/>
                <w:sz w:val="18"/>
                <w:szCs w:val="18"/>
              </w:rPr>
              <w:t xml:space="preserve">  </w:t>
            </w:r>
            <w:r>
              <w:rPr>
                <w:rFonts w:hint="eastAsia" w:ascii="宋体" w:hAnsi="宋体" w:cs="Arial"/>
                <w:color w:val="000000"/>
                <w:sz w:val="18"/>
                <w:szCs w:val="18"/>
              </w:rPr>
              <w:t>页</w:t>
            </w:r>
          </w:p>
        </w:tc>
      </w:tr>
      <w:tr>
        <w:tblPrEx>
          <w:tblCellMar>
            <w:top w:w="15" w:type="dxa"/>
            <w:left w:w="108" w:type="dxa"/>
            <w:bottom w:w="15" w:type="dxa"/>
            <w:right w:w="108" w:type="dxa"/>
          </w:tblCellMar>
        </w:tblPrEx>
        <w:trPr>
          <w:trHeight w:val="780" w:hRule="atLeast"/>
        </w:trPr>
        <w:tc>
          <w:tcPr>
            <w:tcW w:w="10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项目编码</w:t>
            </w:r>
          </w:p>
        </w:tc>
        <w:tc>
          <w:tcPr>
            <w:tcW w:w="1674"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2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项目名称</w:t>
            </w:r>
          </w:p>
        </w:tc>
        <w:tc>
          <w:tcPr>
            <w:tcW w:w="349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4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计量单位</w:t>
            </w:r>
          </w:p>
        </w:tc>
        <w:tc>
          <w:tcPr>
            <w:tcW w:w="1089"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9404" w:type="dxa"/>
            <w:gridSpan w:val="10"/>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清单综合单价组成明细</w:t>
            </w:r>
          </w:p>
        </w:tc>
      </w:tr>
      <w:tr>
        <w:tblPrEx>
          <w:tblCellMar>
            <w:top w:w="15" w:type="dxa"/>
            <w:left w:w="108" w:type="dxa"/>
            <w:bottom w:w="15" w:type="dxa"/>
            <w:right w:w="108" w:type="dxa"/>
          </w:tblCellMar>
        </w:tblPrEx>
        <w:trPr>
          <w:trHeight w:val="450" w:hRule="atLeast"/>
        </w:trPr>
        <w:tc>
          <w:tcPr>
            <w:tcW w:w="1084" w:type="dxa"/>
            <w:vMerge w:val="restart"/>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序号</w:t>
            </w:r>
          </w:p>
        </w:tc>
        <w:tc>
          <w:tcPr>
            <w:tcW w:w="2698" w:type="dxa"/>
            <w:gridSpan w:val="3"/>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名称及规格、型号</w:t>
            </w:r>
          </w:p>
        </w:tc>
        <w:tc>
          <w:tcPr>
            <w:tcW w:w="595"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单位</w:t>
            </w:r>
          </w:p>
        </w:tc>
        <w:tc>
          <w:tcPr>
            <w:tcW w:w="882"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数量</w:t>
            </w:r>
          </w:p>
        </w:tc>
        <w:tc>
          <w:tcPr>
            <w:tcW w:w="925"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单价</w:t>
            </w:r>
            <w:r>
              <w:rPr>
                <w:rFonts w:ascii="宋体" w:cs="Arial"/>
                <w:color w:val="000000"/>
                <w:sz w:val="18"/>
                <w:szCs w:val="18"/>
              </w:rPr>
              <w:br w:type="textWrapping"/>
            </w:r>
            <w:r>
              <w:rPr>
                <w:rFonts w:hint="eastAsia" w:ascii="宋体" w:hAnsi="宋体" w:cs="Arial"/>
                <w:color w:val="000000"/>
                <w:sz w:val="18"/>
                <w:szCs w:val="18"/>
              </w:rPr>
              <w:t>（元）</w:t>
            </w:r>
          </w:p>
        </w:tc>
        <w:tc>
          <w:tcPr>
            <w:tcW w:w="1088"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其中</w:t>
            </w:r>
          </w:p>
        </w:tc>
        <w:tc>
          <w:tcPr>
            <w:tcW w:w="1043"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合价</w:t>
            </w:r>
            <w:r>
              <w:rPr>
                <w:rFonts w:ascii="宋体" w:hAnsi="宋体" w:cs="Arial"/>
                <w:color w:val="000000"/>
                <w:sz w:val="18"/>
                <w:szCs w:val="18"/>
              </w:rPr>
              <w:t>(</w:t>
            </w:r>
            <w:r>
              <w:rPr>
                <w:rFonts w:hint="eastAsia" w:ascii="宋体" w:hAnsi="宋体" w:cs="Arial"/>
                <w:color w:val="000000"/>
                <w:sz w:val="18"/>
                <w:szCs w:val="18"/>
              </w:rPr>
              <w:t>元</w:t>
            </w:r>
            <w:r>
              <w:rPr>
                <w:rFonts w:ascii="宋体" w:hAnsi="宋体" w:cs="Arial"/>
                <w:color w:val="000000"/>
                <w:sz w:val="18"/>
                <w:szCs w:val="18"/>
              </w:rPr>
              <w:t>)</w:t>
            </w:r>
          </w:p>
        </w:tc>
        <w:tc>
          <w:tcPr>
            <w:tcW w:w="1089"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其中</w:t>
            </w:r>
          </w:p>
        </w:tc>
      </w:tr>
      <w:tr>
        <w:tblPrEx>
          <w:tblCellMar>
            <w:top w:w="15" w:type="dxa"/>
            <w:left w:w="108" w:type="dxa"/>
            <w:bottom w:w="15" w:type="dxa"/>
            <w:right w:w="108" w:type="dxa"/>
          </w:tblCellMar>
        </w:tblPrEx>
        <w:trPr>
          <w:trHeight w:val="540" w:hRule="atLeast"/>
        </w:trPr>
        <w:tc>
          <w:tcPr>
            <w:tcW w:w="1084" w:type="dxa"/>
            <w:vMerge w:val="continue"/>
            <w:tcBorders>
              <w:top w:val="single" w:color="000000" w:sz="4" w:space="0"/>
              <w:left w:val="single" w:color="000000" w:sz="4" w:space="0"/>
              <w:bottom w:val="single" w:color="000000" w:sz="4" w:space="0"/>
            </w:tcBorders>
            <w:shd w:val="clear" w:color="auto" w:fill="auto"/>
            <w:noWrap w:val="0"/>
            <w:vAlign w:val="center"/>
          </w:tcPr>
          <w:p>
            <w:pPr>
              <w:kinsoku/>
              <w:overflowPunct/>
              <w:topLinePunct w:val="0"/>
              <w:bidi w:val="0"/>
              <w:spacing w:line="300" w:lineRule="auto"/>
              <w:rPr>
                <w:rFonts w:ascii="宋体" w:cs="Arial"/>
                <w:color w:val="000000"/>
                <w:sz w:val="18"/>
                <w:szCs w:val="18"/>
              </w:rPr>
            </w:pPr>
          </w:p>
        </w:tc>
        <w:tc>
          <w:tcPr>
            <w:tcW w:w="2698" w:type="dxa"/>
            <w:gridSpan w:val="3"/>
            <w:vMerge w:val="continue"/>
            <w:tcBorders>
              <w:top w:val="single" w:color="000000" w:sz="4" w:space="0"/>
              <w:left w:val="single" w:color="000000" w:sz="4" w:space="0"/>
              <w:bottom w:val="single" w:color="auto" w:sz="4" w:space="0"/>
            </w:tcBorders>
            <w:shd w:val="clear" w:color="auto" w:fill="auto"/>
            <w:noWrap w:val="0"/>
            <w:vAlign w:val="center"/>
          </w:tcPr>
          <w:p>
            <w:pPr>
              <w:kinsoku/>
              <w:overflowPunct/>
              <w:topLinePunct w:val="0"/>
              <w:bidi w:val="0"/>
              <w:spacing w:line="300" w:lineRule="auto"/>
              <w:rPr>
                <w:rFonts w:ascii="宋体" w:cs="Arial"/>
                <w:color w:val="000000"/>
                <w:sz w:val="18"/>
                <w:szCs w:val="18"/>
              </w:rPr>
            </w:pPr>
          </w:p>
        </w:tc>
        <w:tc>
          <w:tcPr>
            <w:tcW w:w="595" w:type="dxa"/>
            <w:vMerge w:val="continue"/>
            <w:tcBorders>
              <w:top w:val="single" w:color="000000" w:sz="4" w:space="0"/>
              <w:left w:val="single" w:color="000000" w:sz="4" w:space="0"/>
              <w:bottom w:val="single" w:color="auto" w:sz="4" w:space="0"/>
            </w:tcBorders>
            <w:shd w:val="clear" w:color="auto" w:fill="auto"/>
            <w:noWrap w:val="0"/>
            <w:vAlign w:val="center"/>
          </w:tcPr>
          <w:p>
            <w:pPr>
              <w:kinsoku/>
              <w:overflowPunct/>
              <w:topLinePunct w:val="0"/>
              <w:bidi w:val="0"/>
              <w:spacing w:line="300" w:lineRule="auto"/>
              <w:rPr>
                <w:rFonts w:ascii="宋体" w:cs="Arial"/>
                <w:color w:val="000000"/>
                <w:sz w:val="18"/>
                <w:szCs w:val="18"/>
              </w:rPr>
            </w:pPr>
          </w:p>
        </w:tc>
        <w:tc>
          <w:tcPr>
            <w:tcW w:w="882" w:type="dxa"/>
            <w:vMerge w:val="continue"/>
            <w:tcBorders>
              <w:top w:val="single" w:color="000000" w:sz="4" w:space="0"/>
              <w:left w:val="single" w:color="000000" w:sz="4" w:space="0"/>
              <w:bottom w:val="single" w:color="auto" w:sz="4" w:space="0"/>
            </w:tcBorders>
            <w:shd w:val="clear" w:color="auto" w:fill="auto"/>
            <w:noWrap w:val="0"/>
            <w:vAlign w:val="center"/>
          </w:tcPr>
          <w:p>
            <w:pPr>
              <w:kinsoku/>
              <w:overflowPunct/>
              <w:topLinePunct w:val="0"/>
              <w:bidi w:val="0"/>
              <w:spacing w:line="300" w:lineRule="auto"/>
              <w:rPr>
                <w:rFonts w:ascii="宋体" w:cs="Arial"/>
                <w:color w:val="000000"/>
                <w:sz w:val="18"/>
                <w:szCs w:val="18"/>
              </w:rPr>
            </w:pPr>
          </w:p>
        </w:tc>
        <w:tc>
          <w:tcPr>
            <w:tcW w:w="925" w:type="dxa"/>
            <w:vMerge w:val="continue"/>
            <w:tcBorders>
              <w:top w:val="single" w:color="000000" w:sz="4" w:space="0"/>
              <w:left w:val="single" w:color="000000" w:sz="4" w:space="0"/>
              <w:bottom w:val="single" w:color="auto" w:sz="4" w:space="0"/>
            </w:tcBorders>
            <w:shd w:val="clear" w:color="auto" w:fill="auto"/>
            <w:noWrap w:val="0"/>
            <w:vAlign w:val="center"/>
          </w:tcPr>
          <w:p>
            <w:pPr>
              <w:kinsoku/>
              <w:overflowPunct/>
              <w:topLinePunct w:val="0"/>
              <w:bidi w:val="0"/>
              <w:spacing w:line="300" w:lineRule="auto"/>
              <w:rPr>
                <w:rFonts w:ascii="宋体" w:cs="Arial"/>
                <w:color w:val="000000"/>
                <w:sz w:val="18"/>
                <w:szCs w:val="18"/>
              </w:rPr>
            </w:pPr>
          </w:p>
        </w:tc>
        <w:tc>
          <w:tcPr>
            <w:tcW w:w="1088"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暂估单价</w:t>
            </w:r>
            <w:r>
              <w:rPr>
                <w:rFonts w:ascii="宋体" w:cs="Arial"/>
                <w:color w:val="000000"/>
                <w:sz w:val="18"/>
                <w:szCs w:val="18"/>
              </w:rPr>
              <w:br w:type="textWrapping"/>
            </w:r>
            <w:r>
              <w:rPr>
                <w:rFonts w:hint="eastAsia" w:ascii="宋体" w:hAnsi="宋体" w:cs="Arial"/>
                <w:color w:val="000000"/>
                <w:sz w:val="18"/>
                <w:szCs w:val="18"/>
              </w:rPr>
              <w:t>（元）</w:t>
            </w:r>
          </w:p>
        </w:tc>
        <w:tc>
          <w:tcPr>
            <w:tcW w:w="1043" w:type="dxa"/>
            <w:vMerge w:val="continue"/>
            <w:tcBorders>
              <w:top w:val="single" w:color="000000" w:sz="4" w:space="0"/>
              <w:left w:val="single" w:color="000000" w:sz="4" w:space="0"/>
              <w:bottom w:val="single" w:color="auto" w:sz="4" w:space="0"/>
            </w:tcBorders>
            <w:shd w:val="clear" w:color="auto" w:fill="auto"/>
            <w:noWrap w:val="0"/>
            <w:vAlign w:val="center"/>
          </w:tcPr>
          <w:p>
            <w:pPr>
              <w:kinsoku/>
              <w:overflowPunct/>
              <w:topLinePunct w:val="0"/>
              <w:bidi w:val="0"/>
              <w:spacing w:line="300" w:lineRule="auto"/>
              <w:rPr>
                <w:rFonts w:ascii="宋体" w:cs="Arial"/>
                <w:color w:val="000000"/>
                <w:sz w:val="18"/>
                <w:szCs w:val="18"/>
              </w:rPr>
            </w:pPr>
          </w:p>
        </w:tc>
        <w:tc>
          <w:tcPr>
            <w:tcW w:w="108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暂估合价</w:t>
            </w:r>
            <w:r>
              <w:rPr>
                <w:rFonts w:ascii="宋体" w:cs="Arial"/>
                <w:color w:val="000000"/>
                <w:sz w:val="18"/>
                <w:szCs w:val="18"/>
              </w:rPr>
              <w:br w:type="textWrapping"/>
            </w:r>
            <w:r>
              <w:rPr>
                <w:rFonts w:hint="eastAsia" w:ascii="宋体" w:hAnsi="宋体" w:cs="Arial"/>
                <w:color w:val="000000"/>
                <w:sz w:val="18"/>
                <w:szCs w:val="18"/>
              </w:rPr>
              <w:t>（元）</w:t>
            </w:r>
          </w:p>
        </w:tc>
      </w:tr>
      <w:tr>
        <w:tblPrEx>
          <w:tblCellMar>
            <w:top w:w="15" w:type="dxa"/>
            <w:left w:w="108" w:type="dxa"/>
            <w:bottom w:w="15" w:type="dxa"/>
            <w:right w:w="108" w:type="dxa"/>
          </w:tblCellMar>
        </w:tblPrEx>
        <w:trPr>
          <w:trHeight w:val="792" w:hRule="atLeast"/>
        </w:trPr>
        <w:tc>
          <w:tcPr>
            <w:tcW w:w="1084" w:type="dxa"/>
            <w:tcBorders>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40" w:type="dxa"/>
            <w:tcBorders>
              <w:top w:val="single" w:color="auto"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人工</w:t>
            </w:r>
          </w:p>
        </w:tc>
        <w:tc>
          <w:tcPr>
            <w:tcW w:w="1858" w:type="dxa"/>
            <w:gridSpan w:val="2"/>
            <w:tcBorders>
              <w:top w:val="single" w:color="auto"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595" w:type="dxa"/>
            <w:tcBorders>
              <w:top w:val="single" w:color="auto"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2" w:type="dxa"/>
            <w:tcBorders>
              <w:top w:val="single" w:color="auto"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25" w:type="dxa"/>
            <w:tcBorders>
              <w:top w:val="single" w:color="auto"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88" w:type="dxa"/>
            <w:tcBorders>
              <w:top w:val="single" w:color="auto"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43" w:type="dxa"/>
            <w:tcBorders>
              <w:top w:val="single" w:color="auto"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89" w:type="dxa"/>
            <w:tcBorders>
              <w:top w:val="single" w:color="auto" w:sz="4" w:space="0"/>
              <w:left w:val="single" w:color="000000" w:sz="4" w:space="0"/>
              <w:right w:val="single" w:color="000000" w:sz="4" w:space="0"/>
            </w:tcBorders>
            <w:shd w:val="clear" w:color="auto" w:fill="FFFFFF"/>
            <w:noWrap w:val="0"/>
            <w:vAlign w:val="bottom"/>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1084" w:type="dxa"/>
            <w:tcBorders>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1</w:t>
            </w:r>
          </w:p>
        </w:tc>
        <w:tc>
          <w:tcPr>
            <w:tcW w:w="6188" w:type="dxa"/>
            <w:gridSpan w:val="7"/>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人工费小计</w:t>
            </w:r>
          </w:p>
        </w:tc>
        <w:tc>
          <w:tcPr>
            <w:tcW w:w="104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89" w:type="dxa"/>
            <w:tcBorders>
              <w:top w:val="single" w:color="000000" w:sz="4" w:space="0"/>
              <w:left w:val="single" w:color="000000" w:sz="4" w:space="0"/>
              <w:right w:val="single" w:color="000000" w:sz="4" w:space="0"/>
            </w:tcBorders>
            <w:shd w:val="clear" w:color="auto" w:fill="FFFFFF"/>
            <w:noWrap w:val="0"/>
            <w:vAlign w:val="bottom"/>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trHeight w:val="795" w:hRule="atLeast"/>
        </w:trPr>
        <w:tc>
          <w:tcPr>
            <w:tcW w:w="1084" w:type="dxa"/>
            <w:tcBorders>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40" w:type="dxa"/>
            <w:tcBorders>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材料</w:t>
            </w:r>
            <w:r>
              <w:rPr>
                <w:rFonts w:ascii="宋体" w:cs="Arial"/>
                <w:color w:val="000000"/>
                <w:sz w:val="18"/>
                <w:szCs w:val="18"/>
              </w:rPr>
              <w:br w:type="textWrapping"/>
            </w:r>
            <w:r>
              <w:rPr>
                <w:rFonts w:hint="eastAsia" w:ascii="宋体" w:hAnsi="宋体" w:cs="Arial"/>
                <w:color w:val="000000"/>
                <w:sz w:val="18"/>
                <w:szCs w:val="18"/>
              </w:rPr>
              <w:t>（工程</w:t>
            </w:r>
            <w:r>
              <w:rPr>
                <w:rFonts w:ascii="宋体" w:cs="Arial"/>
                <w:color w:val="000000"/>
                <w:sz w:val="18"/>
                <w:szCs w:val="18"/>
              </w:rPr>
              <w:br w:type="textWrapping"/>
            </w:r>
            <w:r>
              <w:rPr>
                <w:rFonts w:hint="eastAsia" w:ascii="宋体" w:hAnsi="宋体" w:cs="Arial"/>
                <w:color w:val="000000"/>
                <w:sz w:val="18"/>
                <w:szCs w:val="18"/>
              </w:rPr>
              <w:t>设备）</w:t>
            </w:r>
          </w:p>
        </w:tc>
        <w:tc>
          <w:tcPr>
            <w:tcW w:w="1858"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59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2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88"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4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89"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691" w:hRule="atLeast"/>
        </w:trPr>
        <w:tc>
          <w:tcPr>
            <w:tcW w:w="1084" w:type="dxa"/>
            <w:tcBorders>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40" w:type="dxa"/>
            <w:tcBorders>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858"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59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2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88"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4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89"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673" w:hRule="atLeast"/>
        </w:trPr>
        <w:tc>
          <w:tcPr>
            <w:tcW w:w="1084" w:type="dxa"/>
            <w:tcBorders>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40" w:type="dxa"/>
            <w:tcBorders>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858"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59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2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88"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4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89"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1084" w:type="dxa"/>
            <w:tcBorders>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2</w:t>
            </w:r>
          </w:p>
        </w:tc>
        <w:tc>
          <w:tcPr>
            <w:tcW w:w="6188" w:type="dxa"/>
            <w:gridSpan w:val="7"/>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材料（工程设备）费小计</w:t>
            </w:r>
          </w:p>
        </w:tc>
        <w:tc>
          <w:tcPr>
            <w:tcW w:w="104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89" w:type="dxa"/>
            <w:tcBorders>
              <w:top w:val="single" w:color="000000" w:sz="4" w:space="0"/>
              <w:left w:val="single" w:color="000000" w:sz="4" w:space="0"/>
              <w:right w:val="single" w:color="000000" w:sz="4" w:space="0"/>
            </w:tcBorders>
            <w:shd w:val="clear" w:color="auto" w:fill="FFFFFF"/>
            <w:noWrap w:val="0"/>
            <w:vAlign w:val="bottom"/>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trHeight w:val="627" w:hRule="atLeast"/>
        </w:trPr>
        <w:tc>
          <w:tcPr>
            <w:tcW w:w="1084" w:type="dxa"/>
            <w:tcBorders>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40" w:type="dxa"/>
            <w:tcBorders>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机械</w:t>
            </w:r>
          </w:p>
        </w:tc>
        <w:tc>
          <w:tcPr>
            <w:tcW w:w="1858"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59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2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88"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4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89" w:type="dxa"/>
            <w:tcBorders>
              <w:top w:val="single" w:color="000000" w:sz="4" w:space="0"/>
              <w:left w:val="single" w:color="000000" w:sz="4" w:space="0"/>
              <w:right w:val="single" w:color="000000" w:sz="4" w:space="0"/>
            </w:tcBorders>
            <w:shd w:val="clear" w:color="auto" w:fill="FFFFFF"/>
            <w:noWrap w:val="0"/>
            <w:vAlign w:val="bottom"/>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577" w:hRule="atLeast"/>
        </w:trPr>
        <w:tc>
          <w:tcPr>
            <w:tcW w:w="1084" w:type="dxa"/>
            <w:tcBorders>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40" w:type="dxa"/>
            <w:tcBorders>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858"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59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88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2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88"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4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89" w:type="dxa"/>
            <w:tcBorders>
              <w:top w:val="single" w:color="000000" w:sz="4" w:space="0"/>
              <w:left w:val="single" w:color="000000" w:sz="4" w:space="0"/>
              <w:right w:val="single" w:color="000000" w:sz="4" w:space="0"/>
            </w:tcBorders>
            <w:shd w:val="clear" w:color="auto" w:fill="FFFFFF"/>
            <w:noWrap w:val="0"/>
            <w:vAlign w:val="bottom"/>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1084" w:type="dxa"/>
            <w:tcBorders>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3</w:t>
            </w:r>
          </w:p>
        </w:tc>
        <w:tc>
          <w:tcPr>
            <w:tcW w:w="6188" w:type="dxa"/>
            <w:gridSpan w:val="7"/>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机械费小计</w:t>
            </w:r>
          </w:p>
        </w:tc>
        <w:tc>
          <w:tcPr>
            <w:tcW w:w="104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89" w:type="dxa"/>
            <w:tcBorders>
              <w:top w:val="single" w:color="000000" w:sz="4" w:space="0"/>
              <w:left w:val="single" w:color="000000" w:sz="4" w:space="0"/>
              <w:right w:val="single" w:color="000000" w:sz="4" w:space="0"/>
            </w:tcBorders>
            <w:shd w:val="clear" w:color="auto" w:fill="FFFFFF"/>
            <w:noWrap w:val="0"/>
            <w:vAlign w:val="bottom"/>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trHeight w:val="577" w:hRule="atLeast"/>
        </w:trPr>
        <w:tc>
          <w:tcPr>
            <w:tcW w:w="10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4</w:t>
            </w:r>
          </w:p>
        </w:tc>
        <w:tc>
          <w:tcPr>
            <w:tcW w:w="6188" w:type="dxa"/>
            <w:gridSpan w:val="7"/>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工料机费用合计</w:t>
            </w:r>
            <w:r>
              <w:rPr>
                <w:rFonts w:ascii="宋体" w:hAnsi="宋体" w:cs="Arial"/>
                <w:color w:val="000000"/>
                <w:sz w:val="18"/>
                <w:szCs w:val="18"/>
              </w:rPr>
              <w:t>(1+2+3)</w:t>
            </w:r>
          </w:p>
        </w:tc>
        <w:tc>
          <w:tcPr>
            <w:tcW w:w="104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89" w:type="dxa"/>
            <w:tcBorders>
              <w:top w:val="single" w:color="000000" w:sz="4" w:space="0"/>
              <w:left w:val="single" w:color="000000" w:sz="4" w:space="0"/>
              <w:right w:val="single" w:color="000000" w:sz="4" w:space="0"/>
            </w:tcBorders>
            <w:shd w:val="clear" w:color="auto" w:fill="FFFFFF"/>
            <w:noWrap w:val="0"/>
            <w:vAlign w:val="bottom"/>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671" w:hRule="atLeast"/>
        </w:trPr>
        <w:tc>
          <w:tcPr>
            <w:tcW w:w="10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5</w:t>
            </w:r>
          </w:p>
        </w:tc>
        <w:tc>
          <w:tcPr>
            <w:tcW w:w="6188" w:type="dxa"/>
            <w:gridSpan w:val="7"/>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管理费（人工费</w:t>
            </w:r>
            <w:r>
              <w:rPr>
                <w:rFonts w:ascii="宋体" w:hAnsi="宋体" w:cs="Arial"/>
                <w:color w:val="000000"/>
                <w:sz w:val="18"/>
                <w:szCs w:val="18"/>
              </w:rPr>
              <w:t>+</w:t>
            </w:r>
            <w:r>
              <w:rPr>
                <w:rFonts w:hint="eastAsia" w:ascii="宋体" w:hAnsi="宋体" w:cs="Arial"/>
                <w:color w:val="000000"/>
                <w:sz w:val="18"/>
                <w:szCs w:val="18"/>
              </w:rPr>
              <w:t>机械费）×费率</w:t>
            </w:r>
          </w:p>
        </w:tc>
        <w:tc>
          <w:tcPr>
            <w:tcW w:w="104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89" w:type="dxa"/>
            <w:tcBorders>
              <w:top w:val="single" w:color="000000" w:sz="4" w:space="0"/>
              <w:left w:val="single" w:color="000000" w:sz="4" w:space="0"/>
              <w:right w:val="single" w:color="000000" w:sz="4" w:space="0"/>
            </w:tcBorders>
            <w:shd w:val="clear" w:color="auto" w:fill="FFFFFF"/>
            <w:noWrap w:val="0"/>
            <w:vAlign w:val="bottom"/>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681" w:hRule="atLeast"/>
        </w:trPr>
        <w:tc>
          <w:tcPr>
            <w:tcW w:w="10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6</w:t>
            </w:r>
          </w:p>
        </w:tc>
        <w:tc>
          <w:tcPr>
            <w:tcW w:w="6188" w:type="dxa"/>
            <w:gridSpan w:val="7"/>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利润（人工费</w:t>
            </w:r>
            <w:r>
              <w:rPr>
                <w:rFonts w:ascii="宋体" w:hAnsi="宋体" w:cs="Arial"/>
                <w:color w:val="000000"/>
                <w:sz w:val="18"/>
                <w:szCs w:val="18"/>
              </w:rPr>
              <w:t>+</w:t>
            </w:r>
            <w:r>
              <w:rPr>
                <w:rFonts w:hint="eastAsia" w:ascii="宋体" w:hAnsi="宋体" w:cs="Arial"/>
                <w:color w:val="000000"/>
                <w:sz w:val="18"/>
                <w:szCs w:val="18"/>
              </w:rPr>
              <w:t>机械费）×费率</w:t>
            </w:r>
          </w:p>
        </w:tc>
        <w:tc>
          <w:tcPr>
            <w:tcW w:w="104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89" w:type="dxa"/>
            <w:tcBorders>
              <w:top w:val="single" w:color="000000" w:sz="4" w:space="0"/>
              <w:left w:val="single" w:color="000000" w:sz="4" w:space="0"/>
              <w:right w:val="single" w:color="000000" w:sz="4" w:space="0"/>
            </w:tcBorders>
            <w:shd w:val="clear" w:color="auto" w:fill="FFFFFF"/>
            <w:noWrap w:val="0"/>
            <w:vAlign w:val="bottom"/>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699" w:hRule="atLeast"/>
        </w:trPr>
        <w:tc>
          <w:tcPr>
            <w:tcW w:w="1084"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7</w:t>
            </w:r>
          </w:p>
        </w:tc>
        <w:tc>
          <w:tcPr>
            <w:tcW w:w="6188" w:type="dxa"/>
            <w:gridSpan w:val="7"/>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综合单价</w:t>
            </w:r>
            <w:r>
              <w:rPr>
                <w:rFonts w:ascii="宋体" w:hAnsi="宋体" w:cs="Arial"/>
                <w:color w:val="000000"/>
                <w:sz w:val="18"/>
                <w:szCs w:val="18"/>
              </w:rPr>
              <w:t>(4+5+6)</w:t>
            </w:r>
          </w:p>
        </w:tc>
        <w:tc>
          <w:tcPr>
            <w:tcW w:w="1043"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089" w:type="dxa"/>
            <w:tcBorders>
              <w:top w:val="single" w:color="000000" w:sz="4" w:space="0"/>
              <w:left w:val="single" w:color="000000" w:sz="4" w:space="0"/>
              <w:bottom w:val="single" w:color="auto" w:sz="4" w:space="0"/>
              <w:right w:val="single" w:color="000000" w:sz="4" w:space="0"/>
            </w:tcBorders>
            <w:shd w:val="clear" w:color="auto" w:fill="FFFFFF"/>
            <w:noWrap w:val="0"/>
            <w:vAlign w:val="bottom"/>
          </w:tcPr>
          <w:p>
            <w:pPr>
              <w:kinsoku/>
              <w:overflowPunct/>
              <w:topLinePunct w:val="0"/>
              <w:bidi w:val="0"/>
              <w:spacing w:line="300" w:lineRule="auto"/>
              <w:jc w:val="right"/>
              <w:rPr>
                <w:rFonts w:ascii="宋体" w:cs="Arial"/>
                <w:color w:val="000000"/>
                <w:sz w:val="18"/>
                <w:szCs w:val="18"/>
              </w:rPr>
            </w:pPr>
          </w:p>
        </w:tc>
      </w:tr>
    </w:tbl>
    <w:p>
      <w:pPr>
        <w:kinsoku/>
        <w:overflowPunct/>
        <w:topLinePunct w:val="0"/>
        <w:bidi w:val="0"/>
        <w:spacing w:line="300" w:lineRule="auto"/>
        <w:ind w:firstLine="720"/>
        <w:jc w:val="center"/>
        <w:rPr>
          <w:rFonts w:ascii="黑体" w:eastAsia="黑体"/>
          <w:sz w:val="36"/>
          <w:szCs w:val="36"/>
        </w:rPr>
      </w:pPr>
    </w:p>
    <w:p>
      <w:pPr>
        <w:kinsoku/>
        <w:overflowPunct/>
        <w:topLinePunct w:val="0"/>
        <w:bidi w:val="0"/>
        <w:spacing w:line="300" w:lineRule="auto"/>
        <w:ind w:firstLine="720"/>
        <w:jc w:val="center"/>
        <w:rPr>
          <w:rFonts w:ascii="黑体" w:eastAsia="黑体"/>
          <w:sz w:val="36"/>
          <w:szCs w:val="36"/>
        </w:rPr>
      </w:pPr>
    </w:p>
    <w:p>
      <w:pPr>
        <w:kinsoku/>
        <w:overflowPunct/>
        <w:topLinePunct w:val="0"/>
        <w:bidi w:val="0"/>
        <w:spacing w:line="300" w:lineRule="auto"/>
        <w:ind w:firstLine="720"/>
        <w:jc w:val="center"/>
        <w:rPr>
          <w:rFonts w:ascii="黑体" w:eastAsia="黑体"/>
          <w:sz w:val="36"/>
          <w:szCs w:val="36"/>
        </w:rPr>
      </w:pPr>
    </w:p>
    <w:tbl>
      <w:tblPr>
        <w:tblStyle w:val="53"/>
        <w:tblW w:w="0" w:type="auto"/>
        <w:tblInd w:w="-176" w:type="dxa"/>
        <w:tblLayout w:type="fixed"/>
        <w:tblCellMar>
          <w:top w:w="15" w:type="dxa"/>
          <w:left w:w="108" w:type="dxa"/>
          <w:bottom w:w="15" w:type="dxa"/>
          <w:right w:w="108" w:type="dxa"/>
        </w:tblCellMar>
      </w:tblPr>
      <w:tblGrid>
        <w:gridCol w:w="710"/>
        <w:gridCol w:w="1602"/>
        <w:gridCol w:w="2225"/>
        <w:gridCol w:w="1984"/>
        <w:gridCol w:w="993"/>
        <w:gridCol w:w="1417"/>
        <w:gridCol w:w="992"/>
      </w:tblGrid>
      <w:tr>
        <w:tblPrEx>
          <w:tblCellMar>
            <w:top w:w="15" w:type="dxa"/>
            <w:left w:w="108" w:type="dxa"/>
            <w:bottom w:w="15" w:type="dxa"/>
            <w:right w:w="108" w:type="dxa"/>
          </w:tblCellMar>
        </w:tblPrEx>
        <w:trPr>
          <w:trHeight w:val="900" w:hRule="atLeast"/>
        </w:trPr>
        <w:tc>
          <w:tcPr>
            <w:tcW w:w="9923" w:type="dxa"/>
            <w:gridSpan w:val="7"/>
            <w:shd w:val="clear" w:color="auto" w:fill="FFFFFF"/>
            <w:noWrap w:val="0"/>
            <w:vAlign w:val="center"/>
          </w:tcPr>
          <w:p>
            <w:pPr>
              <w:kinsoku/>
              <w:overflowPunct/>
              <w:topLinePunct w:val="0"/>
              <w:bidi w:val="0"/>
              <w:spacing w:line="300" w:lineRule="auto"/>
              <w:jc w:val="center"/>
              <w:rPr>
                <w:rFonts w:ascii="宋体" w:cs="Arial"/>
                <w:b/>
                <w:bCs/>
                <w:color w:val="000000"/>
                <w:sz w:val="40"/>
                <w:szCs w:val="40"/>
              </w:rPr>
            </w:pPr>
            <w:r>
              <w:rPr>
                <w:rFonts w:hint="eastAsia" w:ascii="宋体" w:hAnsi="宋体" w:cs="Arial"/>
                <w:b/>
                <w:bCs/>
                <w:color w:val="000000"/>
                <w:sz w:val="40"/>
                <w:szCs w:val="40"/>
              </w:rPr>
              <w:t>施工组织（总价）措施项目清单与计价表</w:t>
            </w:r>
          </w:p>
        </w:tc>
      </w:tr>
      <w:tr>
        <w:tblPrEx>
          <w:tblCellMar>
            <w:top w:w="15" w:type="dxa"/>
            <w:left w:w="108" w:type="dxa"/>
            <w:bottom w:w="15" w:type="dxa"/>
            <w:right w:w="108" w:type="dxa"/>
          </w:tblCellMar>
        </w:tblPrEx>
        <w:trPr>
          <w:trHeight w:val="435" w:hRule="atLeast"/>
        </w:trPr>
        <w:tc>
          <w:tcPr>
            <w:tcW w:w="4537" w:type="dxa"/>
            <w:gridSpan w:val="3"/>
            <w:shd w:val="clear" w:color="auto" w:fill="FFFFFF"/>
            <w:noWrap w:val="0"/>
            <w:vAlign w:val="bottom"/>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工程名称</w:t>
            </w:r>
            <w:r>
              <w:rPr>
                <w:rFonts w:ascii="宋体" w:hAnsi="宋体" w:cs="Arial"/>
                <w:color w:val="000000"/>
                <w:sz w:val="18"/>
                <w:szCs w:val="18"/>
              </w:rPr>
              <w:t>:</w:t>
            </w:r>
          </w:p>
        </w:tc>
        <w:tc>
          <w:tcPr>
            <w:tcW w:w="1984" w:type="dxa"/>
            <w:shd w:val="clear" w:color="auto" w:fill="FFFFFF"/>
            <w:noWrap w:val="0"/>
            <w:vAlign w:val="bottom"/>
          </w:tcPr>
          <w:p>
            <w:pPr>
              <w:kinsoku/>
              <w:overflowPunct/>
              <w:topLinePunct w:val="0"/>
              <w:bidi w:val="0"/>
              <w:spacing w:line="300" w:lineRule="auto"/>
              <w:rPr>
                <w:rFonts w:ascii="宋体" w:cs="Arial"/>
                <w:color w:val="000000"/>
                <w:sz w:val="18"/>
                <w:szCs w:val="18"/>
              </w:rPr>
            </w:pPr>
          </w:p>
        </w:tc>
        <w:tc>
          <w:tcPr>
            <w:tcW w:w="3402" w:type="dxa"/>
            <w:gridSpan w:val="3"/>
            <w:shd w:val="clear" w:color="auto" w:fill="FFFFFF"/>
            <w:noWrap w:val="0"/>
            <w:vAlign w:val="bottom"/>
          </w:tcPr>
          <w:p>
            <w:pPr>
              <w:kinsoku/>
              <w:overflowPunct/>
              <w:topLinePunct w:val="0"/>
              <w:bidi w:val="0"/>
              <w:spacing w:line="300" w:lineRule="auto"/>
              <w:jc w:val="right"/>
              <w:rPr>
                <w:rFonts w:ascii="宋体" w:cs="Arial"/>
                <w:color w:val="000000"/>
                <w:sz w:val="18"/>
                <w:szCs w:val="18"/>
              </w:rPr>
            </w:pPr>
            <w:r>
              <w:rPr>
                <w:rFonts w:hint="eastAsia" w:ascii="宋体" w:hAnsi="宋体" w:cs="Arial"/>
                <w:color w:val="000000"/>
                <w:sz w:val="18"/>
                <w:szCs w:val="18"/>
              </w:rPr>
              <w:t>第</w:t>
            </w:r>
            <w:r>
              <w:rPr>
                <w:rFonts w:ascii="宋体" w:hAnsi="宋体" w:cs="Arial"/>
                <w:color w:val="000000"/>
                <w:sz w:val="18"/>
                <w:szCs w:val="18"/>
              </w:rPr>
              <w:t xml:space="preserve"> </w:t>
            </w:r>
            <w:r>
              <w:rPr>
                <w:rFonts w:hint="eastAsia" w:ascii="宋体" w:hAnsi="宋体" w:cs="Arial"/>
                <w:color w:val="000000"/>
                <w:sz w:val="18"/>
                <w:szCs w:val="18"/>
              </w:rPr>
              <w:t>页</w:t>
            </w:r>
            <w:r>
              <w:rPr>
                <w:rFonts w:ascii="宋体" w:hAnsi="宋体" w:cs="Arial"/>
                <w:color w:val="000000"/>
                <w:sz w:val="18"/>
                <w:szCs w:val="18"/>
              </w:rPr>
              <w:t xml:space="preserve"> </w:t>
            </w:r>
            <w:r>
              <w:rPr>
                <w:rFonts w:hint="eastAsia" w:ascii="宋体" w:hAnsi="宋体" w:cs="Arial"/>
                <w:color w:val="000000"/>
                <w:sz w:val="18"/>
                <w:szCs w:val="18"/>
              </w:rPr>
              <w:t>共</w:t>
            </w:r>
            <w:r>
              <w:rPr>
                <w:rFonts w:ascii="宋体" w:hAnsi="宋体" w:cs="Arial"/>
                <w:color w:val="000000"/>
                <w:sz w:val="18"/>
                <w:szCs w:val="18"/>
              </w:rPr>
              <w:t xml:space="preserve"> </w:t>
            </w:r>
            <w:r>
              <w:rPr>
                <w:rFonts w:hint="eastAsia" w:ascii="宋体" w:hAnsi="宋体" w:cs="Arial"/>
                <w:color w:val="000000"/>
                <w:sz w:val="18"/>
                <w:szCs w:val="18"/>
              </w:rPr>
              <w:t>页</w:t>
            </w:r>
          </w:p>
        </w:tc>
      </w:tr>
      <w:tr>
        <w:tblPrEx>
          <w:tblCellMar>
            <w:top w:w="15" w:type="dxa"/>
            <w:left w:w="108" w:type="dxa"/>
            <w:bottom w:w="15" w:type="dxa"/>
            <w:right w:w="108" w:type="dxa"/>
          </w:tblCellMar>
        </w:tblPrEx>
        <w:trPr>
          <w:trHeight w:val="855"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序号</w:t>
            </w:r>
          </w:p>
        </w:tc>
        <w:tc>
          <w:tcPr>
            <w:tcW w:w="160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项目编号</w:t>
            </w:r>
          </w:p>
        </w:tc>
        <w:tc>
          <w:tcPr>
            <w:tcW w:w="222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项目名称</w:t>
            </w:r>
          </w:p>
        </w:tc>
        <w:tc>
          <w:tcPr>
            <w:tcW w:w="19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计算基础</w:t>
            </w:r>
          </w:p>
        </w:tc>
        <w:tc>
          <w:tcPr>
            <w:tcW w:w="99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费率</w:t>
            </w:r>
            <w:r>
              <w:rPr>
                <w:rFonts w:ascii="宋体" w:cs="Arial"/>
                <w:color w:val="000000"/>
                <w:sz w:val="18"/>
                <w:szCs w:val="18"/>
              </w:rPr>
              <w:br w:type="textWrapping"/>
            </w:r>
            <w:r>
              <w:rPr>
                <w:rFonts w:ascii="宋体" w:hAnsi="宋体" w:cs="Arial"/>
                <w:color w:val="000000"/>
                <w:sz w:val="18"/>
                <w:szCs w:val="18"/>
              </w:rPr>
              <w:t>(%)</w:t>
            </w:r>
          </w:p>
        </w:tc>
        <w:tc>
          <w:tcPr>
            <w:tcW w:w="141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金额</w:t>
            </w:r>
            <w:r>
              <w:rPr>
                <w:rFonts w:ascii="宋体" w:cs="Arial"/>
                <w:color w:val="000000"/>
                <w:sz w:val="18"/>
                <w:szCs w:val="18"/>
              </w:rPr>
              <w:br w:type="textWrapping"/>
            </w:r>
            <w:r>
              <w:rPr>
                <w:rFonts w:ascii="宋体" w:hAnsi="宋体" w:cs="Arial"/>
                <w:color w:val="000000"/>
                <w:sz w:val="18"/>
                <w:szCs w:val="18"/>
              </w:rPr>
              <w:t>(</w:t>
            </w:r>
            <w:r>
              <w:rPr>
                <w:rFonts w:hint="eastAsia" w:ascii="宋体" w:hAnsi="宋体" w:cs="Arial"/>
                <w:color w:val="000000"/>
                <w:sz w:val="18"/>
                <w:szCs w:val="18"/>
              </w:rPr>
              <w:t>元</w:t>
            </w:r>
            <w:r>
              <w:rPr>
                <w:rFonts w:ascii="宋体" w:hAnsi="宋体" w:cs="Arial"/>
                <w:color w:val="000000"/>
                <w:sz w:val="18"/>
                <w:szCs w:val="18"/>
              </w:rPr>
              <w:t>)</w:t>
            </w:r>
          </w:p>
        </w:tc>
        <w:tc>
          <w:tcPr>
            <w:tcW w:w="992"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备注</w:t>
            </w:r>
          </w:p>
        </w:tc>
      </w:tr>
      <w:tr>
        <w:tblPrEx>
          <w:tblCellMar>
            <w:top w:w="15" w:type="dxa"/>
            <w:left w:w="108" w:type="dxa"/>
            <w:bottom w:w="15" w:type="dxa"/>
            <w:right w:w="108" w:type="dxa"/>
          </w:tblCellMar>
        </w:tblPrEx>
        <w:trPr>
          <w:trHeight w:val="63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1</w:t>
            </w:r>
          </w:p>
        </w:tc>
        <w:tc>
          <w:tcPr>
            <w:tcW w:w="160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22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安全文明施工费</w:t>
            </w:r>
          </w:p>
        </w:tc>
        <w:tc>
          <w:tcPr>
            <w:tcW w:w="19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9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1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92"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45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1.1</w:t>
            </w:r>
          </w:p>
        </w:tc>
        <w:tc>
          <w:tcPr>
            <w:tcW w:w="160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22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安全文明施工基本费</w:t>
            </w:r>
          </w:p>
        </w:tc>
        <w:tc>
          <w:tcPr>
            <w:tcW w:w="19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93" w:type="dxa"/>
            <w:tcBorders>
              <w:top w:val="single" w:color="000000" w:sz="4" w:space="0"/>
              <w:left w:val="single" w:color="000000" w:sz="4" w:space="0"/>
            </w:tcBorders>
            <w:shd w:val="clear" w:color="auto" w:fill="FFFFFF"/>
            <w:noWrap w:val="0"/>
            <w:vAlign w:val="bottom"/>
          </w:tcPr>
          <w:p>
            <w:pPr>
              <w:kinsoku/>
              <w:overflowPunct/>
              <w:topLinePunct w:val="0"/>
              <w:bidi w:val="0"/>
              <w:spacing w:line="300" w:lineRule="auto"/>
              <w:jc w:val="center"/>
              <w:rPr>
                <w:rFonts w:ascii="宋体" w:cs="Arial"/>
                <w:color w:val="000000"/>
                <w:sz w:val="18"/>
                <w:szCs w:val="18"/>
              </w:rPr>
            </w:pPr>
          </w:p>
        </w:tc>
        <w:tc>
          <w:tcPr>
            <w:tcW w:w="141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92"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63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2</w:t>
            </w:r>
          </w:p>
        </w:tc>
        <w:tc>
          <w:tcPr>
            <w:tcW w:w="160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22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提前竣工增加费</w:t>
            </w:r>
          </w:p>
        </w:tc>
        <w:tc>
          <w:tcPr>
            <w:tcW w:w="19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9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1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92"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63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3</w:t>
            </w:r>
          </w:p>
        </w:tc>
        <w:tc>
          <w:tcPr>
            <w:tcW w:w="160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22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二次搬运费</w:t>
            </w:r>
          </w:p>
        </w:tc>
        <w:tc>
          <w:tcPr>
            <w:tcW w:w="19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9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1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92"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63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4</w:t>
            </w:r>
          </w:p>
        </w:tc>
        <w:tc>
          <w:tcPr>
            <w:tcW w:w="160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22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冬雨季施工增加费</w:t>
            </w:r>
          </w:p>
        </w:tc>
        <w:tc>
          <w:tcPr>
            <w:tcW w:w="19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9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1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92"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63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5</w:t>
            </w:r>
          </w:p>
        </w:tc>
        <w:tc>
          <w:tcPr>
            <w:tcW w:w="160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22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其他施工组织措施费</w:t>
            </w:r>
          </w:p>
        </w:tc>
        <w:tc>
          <w:tcPr>
            <w:tcW w:w="19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9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1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92"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63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60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22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9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9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1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92"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63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60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22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9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9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1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92"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63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60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22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9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9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1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92"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63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60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22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9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9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1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92"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63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60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22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9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9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1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92"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63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60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22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9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9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1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92"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63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60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22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9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9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1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92"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630" w:hRule="atLeast"/>
        </w:trPr>
        <w:tc>
          <w:tcPr>
            <w:tcW w:w="71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602"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22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9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99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17"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92"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trHeight w:val="495" w:hRule="atLeast"/>
        </w:trPr>
        <w:tc>
          <w:tcPr>
            <w:tcW w:w="7514" w:type="dxa"/>
            <w:gridSpan w:val="5"/>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合</w:t>
            </w:r>
            <w:r>
              <w:rPr>
                <w:rFonts w:ascii="宋体" w:hAnsi="宋体" w:cs="Arial"/>
                <w:color w:val="000000"/>
                <w:sz w:val="18"/>
                <w:szCs w:val="18"/>
              </w:rPr>
              <w:t xml:space="preserve">    </w:t>
            </w:r>
            <w:r>
              <w:rPr>
                <w:rFonts w:hint="eastAsia" w:ascii="宋体" w:hAnsi="宋体" w:cs="Arial"/>
                <w:color w:val="000000"/>
                <w:sz w:val="18"/>
                <w:szCs w:val="18"/>
              </w:rPr>
              <w:t>计</w:t>
            </w:r>
          </w:p>
        </w:tc>
        <w:tc>
          <w:tcPr>
            <w:tcW w:w="1417" w:type="dxa"/>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bl>
    <w:p>
      <w:pPr>
        <w:kinsoku/>
        <w:overflowPunct/>
        <w:topLinePunct w:val="0"/>
        <w:bidi w:val="0"/>
        <w:spacing w:line="300" w:lineRule="auto"/>
        <w:ind w:firstLine="720"/>
        <w:jc w:val="center"/>
        <w:rPr>
          <w:rFonts w:ascii="黑体" w:eastAsia="黑体"/>
          <w:sz w:val="36"/>
          <w:szCs w:val="36"/>
        </w:rPr>
      </w:pPr>
      <w:r>
        <w:rPr>
          <w:rFonts w:hint="eastAsia" w:ascii="黑体" w:eastAsia="黑体"/>
          <w:sz w:val="36"/>
          <w:szCs w:val="36"/>
        </w:rPr>
        <w:t>其他项目清单与计价汇总表</w:t>
      </w:r>
    </w:p>
    <w:p>
      <w:pPr>
        <w:kinsoku/>
        <w:overflowPunct/>
        <w:topLinePunct w:val="0"/>
        <w:bidi w:val="0"/>
        <w:spacing w:line="300" w:lineRule="auto"/>
      </w:pPr>
      <w:r>
        <w:rPr>
          <w:rFonts w:hint="eastAsia"/>
        </w:rPr>
        <w:t>工程名称：</w:t>
      </w:r>
      <w:r>
        <w:t xml:space="preserve">                                                     </w:t>
      </w:r>
      <w:r>
        <w:rPr>
          <w:rFonts w:hint="eastAsia"/>
        </w:rPr>
        <w:t>第</w:t>
      </w:r>
      <w:r>
        <w:t xml:space="preserve">     </w:t>
      </w:r>
      <w:r>
        <w:rPr>
          <w:rFonts w:hint="eastAsia"/>
        </w:rPr>
        <w:t>页</w:t>
      </w:r>
      <w:r>
        <w:t xml:space="preserve"> </w:t>
      </w:r>
      <w:r>
        <w:rPr>
          <w:rFonts w:hint="eastAsia"/>
        </w:rPr>
        <w:t>共</w:t>
      </w:r>
      <w:r>
        <w:t xml:space="preserve">    </w:t>
      </w:r>
      <w:r>
        <w:rPr>
          <w:rFonts w:hint="eastAsia"/>
        </w:rPr>
        <w:t>页</w:t>
      </w:r>
    </w:p>
    <w:tbl>
      <w:tblPr>
        <w:tblStyle w:val="53"/>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61"/>
        <w:gridCol w:w="3715"/>
        <w:gridCol w:w="2856"/>
        <w:gridCol w:w="165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10" w:hRule="exact"/>
        </w:trPr>
        <w:tc>
          <w:tcPr>
            <w:tcW w:w="1061" w:type="dxa"/>
            <w:tcBorders>
              <w:top w:val="single" w:color="auto" w:sz="8" w:space="0"/>
            </w:tcBorders>
            <w:noWrap w:val="0"/>
            <w:vAlign w:val="center"/>
          </w:tcPr>
          <w:p>
            <w:pPr>
              <w:kinsoku/>
              <w:overflowPunct/>
              <w:topLinePunct w:val="0"/>
              <w:bidi w:val="0"/>
              <w:spacing w:line="300" w:lineRule="auto"/>
              <w:jc w:val="center"/>
              <w:rPr>
                <w:szCs w:val="21"/>
              </w:rPr>
            </w:pPr>
            <w:r>
              <w:rPr>
                <w:rFonts w:hint="eastAsia"/>
                <w:szCs w:val="21"/>
              </w:rPr>
              <w:t>序号</w:t>
            </w:r>
          </w:p>
        </w:tc>
        <w:tc>
          <w:tcPr>
            <w:tcW w:w="3715" w:type="dxa"/>
            <w:tcBorders>
              <w:top w:val="single" w:color="auto" w:sz="8" w:space="0"/>
            </w:tcBorders>
            <w:noWrap w:val="0"/>
            <w:vAlign w:val="center"/>
          </w:tcPr>
          <w:p>
            <w:pPr>
              <w:kinsoku/>
              <w:overflowPunct/>
              <w:topLinePunct w:val="0"/>
              <w:bidi w:val="0"/>
              <w:spacing w:line="300" w:lineRule="auto"/>
              <w:jc w:val="center"/>
              <w:rPr>
                <w:szCs w:val="21"/>
              </w:rPr>
            </w:pPr>
            <w:r>
              <w:rPr>
                <w:rFonts w:hint="eastAsia"/>
                <w:szCs w:val="21"/>
              </w:rPr>
              <w:t>项</w:t>
            </w:r>
            <w:r>
              <w:rPr>
                <w:szCs w:val="21"/>
              </w:rPr>
              <w:t xml:space="preserve"> </w:t>
            </w:r>
            <w:r>
              <w:rPr>
                <w:rFonts w:hint="eastAsia"/>
                <w:szCs w:val="21"/>
              </w:rPr>
              <w:t>目</w:t>
            </w:r>
            <w:r>
              <w:rPr>
                <w:szCs w:val="21"/>
              </w:rPr>
              <w:t xml:space="preserve"> </w:t>
            </w:r>
            <w:r>
              <w:rPr>
                <w:rFonts w:hint="eastAsia"/>
                <w:szCs w:val="21"/>
              </w:rPr>
              <w:t>名</w:t>
            </w:r>
            <w:r>
              <w:rPr>
                <w:szCs w:val="21"/>
              </w:rPr>
              <w:t xml:space="preserve"> </w:t>
            </w:r>
            <w:r>
              <w:rPr>
                <w:rFonts w:hint="eastAsia"/>
                <w:szCs w:val="21"/>
              </w:rPr>
              <w:t>称</w:t>
            </w:r>
          </w:p>
        </w:tc>
        <w:tc>
          <w:tcPr>
            <w:tcW w:w="2856" w:type="dxa"/>
            <w:tcBorders>
              <w:top w:val="single" w:color="auto" w:sz="8" w:space="0"/>
            </w:tcBorders>
            <w:noWrap w:val="0"/>
            <w:vAlign w:val="center"/>
          </w:tcPr>
          <w:p>
            <w:pPr>
              <w:kinsoku/>
              <w:overflowPunct/>
              <w:topLinePunct w:val="0"/>
              <w:bidi w:val="0"/>
              <w:spacing w:line="300" w:lineRule="auto"/>
              <w:jc w:val="center"/>
              <w:rPr>
                <w:szCs w:val="21"/>
              </w:rPr>
            </w:pPr>
            <w:r>
              <w:rPr>
                <w:rFonts w:hint="eastAsia"/>
                <w:szCs w:val="21"/>
              </w:rPr>
              <w:t>金额</w:t>
            </w:r>
            <w:r>
              <w:rPr>
                <w:szCs w:val="21"/>
              </w:rPr>
              <w:t>(</w:t>
            </w:r>
            <w:r>
              <w:rPr>
                <w:rFonts w:hint="eastAsia"/>
                <w:szCs w:val="21"/>
              </w:rPr>
              <w:t>元</w:t>
            </w:r>
            <w:r>
              <w:rPr>
                <w:szCs w:val="21"/>
              </w:rPr>
              <w:t>)</w:t>
            </w:r>
          </w:p>
        </w:tc>
        <w:tc>
          <w:tcPr>
            <w:tcW w:w="1654" w:type="dxa"/>
            <w:tcBorders>
              <w:top w:val="single" w:color="auto" w:sz="8" w:space="0"/>
            </w:tcBorders>
            <w:noWrap w:val="0"/>
            <w:vAlign w:val="center"/>
          </w:tcPr>
          <w:p>
            <w:pPr>
              <w:kinsoku/>
              <w:overflowPunct/>
              <w:topLinePunct w:val="0"/>
              <w:bidi w:val="0"/>
              <w:spacing w:line="300" w:lineRule="auto"/>
              <w:jc w:val="center"/>
              <w:rPr>
                <w:szCs w:val="21"/>
              </w:rPr>
            </w:pPr>
            <w:r>
              <w:rPr>
                <w:rFonts w:hint="eastAsia"/>
                <w:szCs w:val="21"/>
              </w:rPr>
              <w:t>备</w:t>
            </w:r>
            <w:r>
              <w:rPr>
                <w:szCs w:val="21"/>
              </w:rPr>
              <w:t xml:space="preserve">  </w:t>
            </w:r>
            <w:r>
              <w:rPr>
                <w:rFonts w:hint="eastAsia"/>
                <w:szCs w:val="21"/>
              </w:rPr>
              <w:t>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10" w:hRule="exact"/>
        </w:trPr>
        <w:tc>
          <w:tcPr>
            <w:tcW w:w="1061" w:type="dxa"/>
            <w:noWrap w:val="0"/>
            <w:vAlign w:val="center"/>
          </w:tcPr>
          <w:p>
            <w:pPr>
              <w:kinsoku/>
              <w:overflowPunct/>
              <w:topLinePunct w:val="0"/>
              <w:bidi w:val="0"/>
              <w:spacing w:line="300" w:lineRule="auto"/>
              <w:jc w:val="center"/>
              <w:rPr>
                <w:szCs w:val="21"/>
              </w:rPr>
            </w:pPr>
            <w:r>
              <w:rPr>
                <w:szCs w:val="21"/>
              </w:rPr>
              <w:t>1</w:t>
            </w:r>
          </w:p>
        </w:tc>
        <w:tc>
          <w:tcPr>
            <w:tcW w:w="3715" w:type="dxa"/>
            <w:noWrap w:val="0"/>
            <w:vAlign w:val="center"/>
          </w:tcPr>
          <w:p>
            <w:pPr>
              <w:kinsoku/>
              <w:overflowPunct/>
              <w:topLinePunct w:val="0"/>
              <w:bidi w:val="0"/>
              <w:spacing w:line="300" w:lineRule="auto"/>
              <w:rPr>
                <w:szCs w:val="21"/>
              </w:rPr>
            </w:pPr>
            <w:r>
              <w:rPr>
                <w:rFonts w:hint="eastAsia"/>
                <w:szCs w:val="21"/>
              </w:rPr>
              <w:t>暂列金额</w:t>
            </w:r>
          </w:p>
        </w:tc>
        <w:tc>
          <w:tcPr>
            <w:tcW w:w="2856" w:type="dxa"/>
            <w:noWrap w:val="0"/>
            <w:vAlign w:val="center"/>
          </w:tcPr>
          <w:p>
            <w:pPr>
              <w:kinsoku/>
              <w:overflowPunct/>
              <w:topLinePunct w:val="0"/>
              <w:bidi w:val="0"/>
              <w:spacing w:line="300" w:lineRule="auto"/>
              <w:jc w:val="center"/>
              <w:rPr>
                <w:szCs w:val="21"/>
              </w:rPr>
            </w:pPr>
          </w:p>
        </w:tc>
        <w:tc>
          <w:tcPr>
            <w:tcW w:w="1654"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10" w:hRule="exact"/>
        </w:trPr>
        <w:tc>
          <w:tcPr>
            <w:tcW w:w="1061" w:type="dxa"/>
            <w:noWrap w:val="0"/>
            <w:vAlign w:val="center"/>
          </w:tcPr>
          <w:p>
            <w:pPr>
              <w:kinsoku/>
              <w:overflowPunct/>
              <w:topLinePunct w:val="0"/>
              <w:bidi w:val="0"/>
              <w:spacing w:line="300" w:lineRule="auto"/>
              <w:jc w:val="center"/>
              <w:rPr>
                <w:szCs w:val="21"/>
              </w:rPr>
            </w:pPr>
            <w:r>
              <w:rPr>
                <w:szCs w:val="21"/>
              </w:rPr>
              <w:t>1.1</w:t>
            </w:r>
          </w:p>
        </w:tc>
        <w:tc>
          <w:tcPr>
            <w:tcW w:w="3715" w:type="dxa"/>
            <w:noWrap w:val="0"/>
            <w:vAlign w:val="center"/>
          </w:tcPr>
          <w:p>
            <w:pPr>
              <w:kinsoku/>
              <w:overflowPunct/>
              <w:topLinePunct w:val="0"/>
              <w:bidi w:val="0"/>
              <w:spacing w:line="300" w:lineRule="auto"/>
              <w:rPr>
                <w:szCs w:val="21"/>
              </w:rPr>
            </w:pPr>
            <w:r>
              <w:rPr>
                <w:rFonts w:hint="eastAsia"/>
                <w:szCs w:val="21"/>
              </w:rPr>
              <w:t>标化工地增加费</w:t>
            </w:r>
          </w:p>
        </w:tc>
        <w:tc>
          <w:tcPr>
            <w:tcW w:w="2856" w:type="dxa"/>
            <w:noWrap w:val="0"/>
            <w:vAlign w:val="center"/>
          </w:tcPr>
          <w:p>
            <w:pPr>
              <w:kinsoku/>
              <w:overflowPunct/>
              <w:topLinePunct w:val="0"/>
              <w:bidi w:val="0"/>
              <w:spacing w:line="300" w:lineRule="auto"/>
              <w:jc w:val="center"/>
              <w:rPr>
                <w:szCs w:val="21"/>
              </w:rPr>
            </w:pPr>
          </w:p>
        </w:tc>
        <w:tc>
          <w:tcPr>
            <w:tcW w:w="1654"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10" w:hRule="exact"/>
        </w:trPr>
        <w:tc>
          <w:tcPr>
            <w:tcW w:w="1061" w:type="dxa"/>
            <w:noWrap w:val="0"/>
            <w:vAlign w:val="center"/>
          </w:tcPr>
          <w:p>
            <w:pPr>
              <w:kinsoku/>
              <w:overflowPunct/>
              <w:topLinePunct w:val="0"/>
              <w:bidi w:val="0"/>
              <w:spacing w:line="300" w:lineRule="auto"/>
              <w:jc w:val="center"/>
              <w:rPr>
                <w:szCs w:val="21"/>
              </w:rPr>
            </w:pPr>
            <w:r>
              <w:rPr>
                <w:szCs w:val="21"/>
              </w:rPr>
              <w:t>1.2</w:t>
            </w:r>
          </w:p>
        </w:tc>
        <w:tc>
          <w:tcPr>
            <w:tcW w:w="3715" w:type="dxa"/>
            <w:noWrap w:val="0"/>
            <w:vAlign w:val="center"/>
          </w:tcPr>
          <w:p>
            <w:pPr>
              <w:kinsoku/>
              <w:overflowPunct/>
              <w:topLinePunct w:val="0"/>
              <w:bidi w:val="0"/>
              <w:spacing w:line="300" w:lineRule="auto"/>
              <w:rPr>
                <w:szCs w:val="21"/>
              </w:rPr>
            </w:pPr>
            <w:r>
              <w:rPr>
                <w:rFonts w:hint="eastAsia"/>
                <w:szCs w:val="21"/>
              </w:rPr>
              <w:t>优质工程增加费</w:t>
            </w:r>
          </w:p>
        </w:tc>
        <w:tc>
          <w:tcPr>
            <w:tcW w:w="2856" w:type="dxa"/>
            <w:noWrap w:val="0"/>
            <w:vAlign w:val="center"/>
          </w:tcPr>
          <w:p>
            <w:pPr>
              <w:kinsoku/>
              <w:overflowPunct/>
              <w:topLinePunct w:val="0"/>
              <w:bidi w:val="0"/>
              <w:spacing w:line="300" w:lineRule="auto"/>
              <w:jc w:val="center"/>
              <w:rPr>
                <w:szCs w:val="21"/>
              </w:rPr>
            </w:pPr>
          </w:p>
        </w:tc>
        <w:tc>
          <w:tcPr>
            <w:tcW w:w="1654"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10" w:hRule="exact"/>
        </w:trPr>
        <w:tc>
          <w:tcPr>
            <w:tcW w:w="1061" w:type="dxa"/>
            <w:noWrap w:val="0"/>
            <w:vAlign w:val="center"/>
          </w:tcPr>
          <w:p>
            <w:pPr>
              <w:kinsoku/>
              <w:overflowPunct/>
              <w:topLinePunct w:val="0"/>
              <w:bidi w:val="0"/>
              <w:spacing w:line="300" w:lineRule="auto"/>
              <w:jc w:val="center"/>
              <w:rPr>
                <w:szCs w:val="21"/>
              </w:rPr>
            </w:pPr>
            <w:r>
              <w:rPr>
                <w:szCs w:val="21"/>
              </w:rPr>
              <w:t>1.3</w:t>
            </w:r>
          </w:p>
        </w:tc>
        <w:tc>
          <w:tcPr>
            <w:tcW w:w="3715" w:type="dxa"/>
            <w:noWrap w:val="0"/>
            <w:vAlign w:val="center"/>
          </w:tcPr>
          <w:p>
            <w:pPr>
              <w:kinsoku/>
              <w:overflowPunct/>
              <w:topLinePunct w:val="0"/>
              <w:bidi w:val="0"/>
              <w:spacing w:line="300" w:lineRule="auto"/>
              <w:rPr>
                <w:szCs w:val="21"/>
              </w:rPr>
            </w:pPr>
            <w:r>
              <w:rPr>
                <w:rFonts w:hint="eastAsia"/>
                <w:szCs w:val="21"/>
              </w:rPr>
              <w:t>其他暂列金额</w:t>
            </w:r>
          </w:p>
        </w:tc>
        <w:tc>
          <w:tcPr>
            <w:tcW w:w="2856" w:type="dxa"/>
            <w:noWrap w:val="0"/>
            <w:vAlign w:val="center"/>
          </w:tcPr>
          <w:p>
            <w:pPr>
              <w:kinsoku/>
              <w:overflowPunct/>
              <w:topLinePunct w:val="0"/>
              <w:bidi w:val="0"/>
              <w:spacing w:line="300" w:lineRule="auto"/>
              <w:jc w:val="center"/>
              <w:rPr>
                <w:szCs w:val="21"/>
              </w:rPr>
            </w:pPr>
          </w:p>
        </w:tc>
        <w:tc>
          <w:tcPr>
            <w:tcW w:w="1654"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10" w:hRule="exact"/>
        </w:trPr>
        <w:tc>
          <w:tcPr>
            <w:tcW w:w="1061" w:type="dxa"/>
            <w:noWrap w:val="0"/>
            <w:vAlign w:val="center"/>
          </w:tcPr>
          <w:p>
            <w:pPr>
              <w:kinsoku/>
              <w:overflowPunct/>
              <w:topLinePunct w:val="0"/>
              <w:bidi w:val="0"/>
              <w:spacing w:line="300" w:lineRule="auto"/>
              <w:jc w:val="center"/>
              <w:rPr>
                <w:szCs w:val="21"/>
              </w:rPr>
            </w:pPr>
            <w:r>
              <w:rPr>
                <w:szCs w:val="21"/>
              </w:rPr>
              <w:t>2</w:t>
            </w:r>
          </w:p>
        </w:tc>
        <w:tc>
          <w:tcPr>
            <w:tcW w:w="3715" w:type="dxa"/>
            <w:noWrap w:val="0"/>
            <w:vAlign w:val="center"/>
          </w:tcPr>
          <w:p>
            <w:pPr>
              <w:kinsoku/>
              <w:overflowPunct/>
              <w:topLinePunct w:val="0"/>
              <w:bidi w:val="0"/>
              <w:spacing w:line="300" w:lineRule="auto"/>
              <w:rPr>
                <w:szCs w:val="21"/>
              </w:rPr>
            </w:pPr>
            <w:r>
              <w:rPr>
                <w:rFonts w:hint="eastAsia"/>
                <w:szCs w:val="21"/>
              </w:rPr>
              <w:t>暂估价</w:t>
            </w:r>
          </w:p>
        </w:tc>
        <w:tc>
          <w:tcPr>
            <w:tcW w:w="2856" w:type="dxa"/>
            <w:noWrap w:val="0"/>
            <w:vAlign w:val="center"/>
          </w:tcPr>
          <w:p>
            <w:pPr>
              <w:kinsoku/>
              <w:overflowPunct/>
              <w:topLinePunct w:val="0"/>
              <w:bidi w:val="0"/>
              <w:spacing w:line="300" w:lineRule="auto"/>
              <w:jc w:val="center"/>
              <w:rPr>
                <w:szCs w:val="21"/>
              </w:rPr>
            </w:pPr>
          </w:p>
        </w:tc>
        <w:tc>
          <w:tcPr>
            <w:tcW w:w="1654"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10" w:hRule="exact"/>
        </w:trPr>
        <w:tc>
          <w:tcPr>
            <w:tcW w:w="1061" w:type="dxa"/>
            <w:noWrap w:val="0"/>
            <w:vAlign w:val="center"/>
          </w:tcPr>
          <w:p>
            <w:pPr>
              <w:kinsoku/>
              <w:overflowPunct/>
              <w:topLinePunct w:val="0"/>
              <w:bidi w:val="0"/>
              <w:spacing w:line="300" w:lineRule="auto"/>
              <w:jc w:val="center"/>
              <w:rPr>
                <w:szCs w:val="21"/>
              </w:rPr>
            </w:pPr>
            <w:r>
              <w:rPr>
                <w:szCs w:val="21"/>
              </w:rPr>
              <w:t>2.1</w:t>
            </w:r>
          </w:p>
        </w:tc>
        <w:tc>
          <w:tcPr>
            <w:tcW w:w="3715" w:type="dxa"/>
            <w:noWrap w:val="0"/>
            <w:vAlign w:val="center"/>
          </w:tcPr>
          <w:p>
            <w:pPr>
              <w:kinsoku/>
              <w:overflowPunct/>
              <w:topLinePunct w:val="0"/>
              <w:bidi w:val="0"/>
              <w:spacing w:line="300" w:lineRule="auto"/>
              <w:rPr>
                <w:szCs w:val="21"/>
              </w:rPr>
            </w:pPr>
            <w:r>
              <w:rPr>
                <w:rFonts w:hint="eastAsia"/>
                <w:szCs w:val="21"/>
              </w:rPr>
              <w:t>材料（设备）暂估价</w:t>
            </w:r>
          </w:p>
        </w:tc>
        <w:tc>
          <w:tcPr>
            <w:tcW w:w="2856" w:type="dxa"/>
            <w:noWrap w:val="0"/>
            <w:vAlign w:val="center"/>
          </w:tcPr>
          <w:p>
            <w:pPr>
              <w:kinsoku/>
              <w:overflowPunct/>
              <w:topLinePunct w:val="0"/>
              <w:bidi w:val="0"/>
              <w:spacing w:line="300" w:lineRule="auto"/>
              <w:jc w:val="center"/>
              <w:rPr>
                <w:szCs w:val="21"/>
              </w:rPr>
            </w:pPr>
          </w:p>
        </w:tc>
        <w:tc>
          <w:tcPr>
            <w:tcW w:w="1654"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10" w:hRule="exact"/>
        </w:trPr>
        <w:tc>
          <w:tcPr>
            <w:tcW w:w="1061" w:type="dxa"/>
            <w:noWrap w:val="0"/>
            <w:vAlign w:val="center"/>
          </w:tcPr>
          <w:p>
            <w:pPr>
              <w:kinsoku/>
              <w:overflowPunct/>
              <w:topLinePunct w:val="0"/>
              <w:bidi w:val="0"/>
              <w:spacing w:line="300" w:lineRule="auto"/>
              <w:jc w:val="center"/>
              <w:rPr>
                <w:szCs w:val="21"/>
              </w:rPr>
            </w:pPr>
            <w:r>
              <w:rPr>
                <w:szCs w:val="21"/>
              </w:rPr>
              <w:t>2.2</w:t>
            </w:r>
          </w:p>
        </w:tc>
        <w:tc>
          <w:tcPr>
            <w:tcW w:w="3715" w:type="dxa"/>
            <w:noWrap w:val="0"/>
            <w:vAlign w:val="center"/>
          </w:tcPr>
          <w:p>
            <w:pPr>
              <w:kinsoku/>
              <w:overflowPunct/>
              <w:topLinePunct w:val="0"/>
              <w:bidi w:val="0"/>
              <w:spacing w:line="300" w:lineRule="auto"/>
              <w:rPr>
                <w:szCs w:val="21"/>
              </w:rPr>
            </w:pPr>
            <w:r>
              <w:rPr>
                <w:rFonts w:hint="eastAsia"/>
                <w:szCs w:val="21"/>
              </w:rPr>
              <w:t>专业工程暂估价</w:t>
            </w:r>
          </w:p>
        </w:tc>
        <w:tc>
          <w:tcPr>
            <w:tcW w:w="2856" w:type="dxa"/>
            <w:noWrap w:val="0"/>
            <w:vAlign w:val="center"/>
          </w:tcPr>
          <w:p>
            <w:pPr>
              <w:kinsoku/>
              <w:overflowPunct/>
              <w:topLinePunct w:val="0"/>
              <w:bidi w:val="0"/>
              <w:spacing w:line="300" w:lineRule="auto"/>
              <w:jc w:val="center"/>
              <w:rPr>
                <w:szCs w:val="21"/>
              </w:rPr>
            </w:pPr>
          </w:p>
        </w:tc>
        <w:tc>
          <w:tcPr>
            <w:tcW w:w="1654"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10" w:hRule="exact"/>
        </w:trPr>
        <w:tc>
          <w:tcPr>
            <w:tcW w:w="1061" w:type="dxa"/>
            <w:noWrap w:val="0"/>
            <w:vAlign w:val="center"/>
          </w:tcPr>
          <w:p>
            <w:pPr>
              <w:kinsoku/>
              <w:overflowPunct/>
              <w:topLinePunct w:val="0"/>
              <w:bidi w:val="0"/>
              <w:spacing w:line="300" w:lineRule="auto"/>
              <w:jc w:val="center"/>
              <w:rPr>
                <w:szCs w:val="21"/>
              </w:rPr>
            </w:pPr>
            <w:r>
              <w:rPr>
                <w:szCs w:val="21"/>
              </w:rPr>
              <w:t>2.3</w:t>
            </w:r>
          </w:p>
        </w:tc>
        <w:tc>
          <w:tcPr>
            <w:tcW w:w="3715" w:type="dxa"/>
            <w:noWrap w:val="0"/>
            <w:vAlign w:val="center"/>
          </w:tcPr>
          <w:p>
            <w:pPr>
              <w:kinsoku/>
              <w:overflowPunct/>
              <w:topLinePunct w:val="0"/>
              <w:bidi w:val="0"/>
              <w:spacing w:line="300" w:lineRule="auto"/>
              <w:rPr>
                <w:szCs w:val="21"/>
              </w:rPr>
            </w:pPr>
            <w:r>
              <w:rPr>
                <w:rFonts w:hint="eastAsia"/>
                <w:szCs w:val="21"/>
              </w:rPr>
              <w:t>专项技术措施暂估价</w:t>
            </w:r>
          </w:p>
        </w:tc>
        <w:tc>
          <w:tcPr>
            <w:tcW w:w="2856" w:type="dxa"/>
            <w:noWrap w:val="0"/>
            <w:vAlign w:val="center"/>
          </w:tcPr>
          <w:p>
            <w:pPr>
              <w:kinsoku/>
              <w:overflowPunct/>
              <w:topLinePunct w:val="0"/>
              <w:bidi w:val="0"/>
              <w:spacing w:line="300" w:lineRule="auto"/>
              <w:jc w:val="center"/>
              <w:rPr>
                <w:szCs w:val="21"/>
              </w:rPr>
            </w:pPr>
          </w:p>
        </w:tc>
        <w:tc>
          <w:tcPr>
            <w:tcW w:w="1654"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10" w:hRule="exact"/>
        </w:trPr>
        <w:tc>
          <w:tcPr>
            <w:tcW w:w="1061" w:type="dxa"/>
            <w:noWrap w:val="0"/>
            <w:vAlign w:val="center"/>
          </w:tcPr>
          <w:p>
            <w:pPr>
              <w:kinsoku/>
              <w:overflowPunct/>
              <w:topLinePunct w:val="0"/>
              <w:bidi w:val="0"/>
              <w:spacing w:line="300" w:lineRule="auto"/>
              <w:jc w:val="center"/>
              <w:rPr>
                <w:szCs w:val="21"/>
              </w:rPr>
            </w:pPr>
            <w:r>
              <w:rPr>
                <w:szCs w:val="21"/>
              </w:rPr>
              <w:t>3</w:t>
            </w:r>
          </w:p>
        </w:tc>
        <w:tc>
          <w:tcPr>
            <w:tcW w:w="3715" w:type="dxa"/>
            <w:noWrap w:val="0"/>
            <w:vAlign w:val="center"/>
          </w:tcPr>
          <w:p>
            <w:pPr>
              <w:kinsoku/>
              <w:overflowPunct/>
              <w:topLinePunct w:val="0"/>
              <w:bidi w:val="0"/>
              <w:spacing w:line="300" w:lineRule="auto"/>
              <w:rPr>
                <w:szCs w:val="21"/>
              </w:rPr>
            </w:pPr>
            <w:r>
              <w:rPr>
                <w:rFonts w:hint="eastAsia"/>
                <w:szCs w:val="21"/>
              </w:rPr>
              <w:t>计日工</w:t>
            </w:r>
          </w:p>
        </w:tc>
        <w:tc>
          <w:tcPr>
            <w:tcW w:w="2856" w:type="dxa"/>
            <w:noWrap w:val="0"/>
            <w:vAlign w:val="center"/>
          </w:tcPr>
          <w:p>
            <w:pPr>
              <w:kinsoku/>
              <w:overflowPunct/>
              <w:topLinePunct w:val="0"/>
              <w:bidi w:val="0"/>
              <w:spacing w:line="300" w:lineRule="auto"/>
              <w:jc w:val="center"/>
              <w:rPr>
                <w:szCs w:val="21"/>
              </w:rPr>
            </w:pPr>
          </w:p>
        </w:tc>
        <w:tc>
          <w:tcPr>
            <w:tcW w:w="1654"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10" w:hRule="exact"/>
        </w:trPr>
        <w:tc>
          <w:tcPr>
            <w:tcW w:w="1061" w:type="dxa"/>
            <w:noWrap w:val="0"/>
            <w:vAlign w:val="center"/>
          </w:tcPr>
          <w:p>
            <w:pPr>
              <w:kinsoku/>
              <w:overflowPunct/>
              <w:topLinePunct w:val="0"/>
              <w:bidi w:val="0"/>
              <w:spacing w:line="300" w:lineRule="auto"/>
              <w:jc w:val="center"/>
              <w:rPr>
                <w:szCs w:val="21"/>
              </w:rPr>
            </w:pPr>
            <w:r>
              <w:rPr>
                <w:szCs w:val="21"/>
              </w:rPr>
              <w:t>4</w:t>
            </w:r>
          </w:p>
        </w:tc>
        <w:tc>
          <w:tcPr>
            <w:tcW w:w="3715" w:type="dxa"/>
            <w:noWrap w:val="0"/>
            <w:vAlign w:val="center"/>
          </w:tcPr>
          <w:p>
            <w:pPr>
              <w:kinsoku/>
              <w:overflowPunct/>
              <w:topLinePunct w:val="0"/>
              <w:bidi w:val="0"/>
              <w:spacing w:line="300" w:lineRule="auto"/>
              <w:rPr>
                <w:szCs w:val="21"/>
              </w:rPr>
            </w:pPr>
            <w:r>
              <w:rPr>
                <w:rFonts w:hint="eastAsia"/>
                <w:szCs w:val="21"/>
              </w:rPr>
              <w:t>总承包服务费</w:t>
            </w:r>
          </w:p>
        </w:tc>
        <w:tc>
          <w:tcPr>
            <w:tcW w:w="2856" w:type="dxa"/>
            <w:noWrap w:val="0"/>
            <w:vAlign w:val="center"/>
          </w:tcPr>
          <w:p>
            <w:pPr>
              <w:kinsoku/>
              <w:overflowPunct/>
              <w:topLinePunct w:val="0"/>
              <w:bidi w:val="0"/>
              <w:spacing w:line="300" w:lineRule="auto"/>
              <w:jc w:val="center"/>
              <w:rPr>
                <w:szCs w:val="21"/>
              </w:rPr>
            </w:pPr>
          </w:p>
        </w:tc>
        <w:tc>
          <w:tcPr>
            <w:tcW w:w="1654"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10" w:hRule="exact"/>
        </w:trPr>
        <w:tc>
          <w:tcPr>
            <w:tcW w:w="1061" w:type="dxa"/>
            <w:noWrap w:val="0"/>
            <w:vAlign w:val="center"/>
          </w:tcPr>
          <w:p>
            <w:pPr>
              <w:kinsoku/>
              <w:overflowPunct/>
              <w:topLinePunct w:val="0"/>
              <w:bidi w:val="0"/>
              <w:spacing w:line="300" w:lineRule="auto"/>
              <w:jc w:val="center"/>
              <w:rPr>
                <w:szCs w:val="21"/>
              </w:rPr>
            </w:pPr>
          </w:p>
        </w:tc>
        <w:tc>
          <w:tcPr>
            <w:tcW w:w="3715" w:type="dxa"/>
            <w:noWrap w:val="0"/>
            <w:vAlign w:val="center"/>
          </w:tcPr>
          <w:p>
            <w:pPr>
              <w:kinsoku/>
              <w:overflowPunct/>
              <w:topLinePunct w:val="0"/>
              <w:bidi w:val="0"/>
              <w:spacing w:line="300" w:lineRule="auto"/>
              <w:jc w:val="center"/>
              <w:rPr>
                <w:szCs w:val="21"/>
              </w:rPr>
            </w:pPr>
          </w:p>
        </w:tc>
        <w:tc>
          <w:tcPr>
            <w:tcW w:w="2856" w:type="dxa"/>
            <w:noWrap w:val="0"/>
            <w:vAlign w:val="center"/>
          </w:tcPr>
          <w:p>
            <w:pPr>
              <w:kinsoku/>
              <w:overflowPunct/>
              <w:topLinePunct w:val="0"/>
              <w:bidi w:val="0"/>
              <w:spacing w:line="300" w:lineRule="auto"/>
              <w:jc w:val="center"/>
              <w:rPr>
                <w:szCs w:val="21"/>
              </w:rPr>
            </w:pPr>
          </w:p>
        </w:tc>
        <w:tc>
          <w:tcPr>
            <w:tcW w:w="1654"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10" w:hRule="exact"/>
        </w:trPr>
        <w:tc>
          <w:tcPr>
            <w:tcW w:w="1061" w:type="dxa"/>
            <w:noWrap w:val="0"/>
            <w:vAlign w:val="center"/>
          </w:tcPr>
          <w:p>
            <w:pPr>
              <w:kinsoku/>
              <w:overflowPunct/>
              <w:topLinePunct w:val="0"/>
              <w:bidi w:val="0"/>
              <w:spacing w:line="300" w:lineRule="auto"/>
              <w:jc w:val="center"/>
              <w:rPr>
                <w:szCs w:val="21"/>
              </w:rPr>
            </w:pPr>
          </w:p>
        </w:tc>
        <w:tc>
          <w:tcPr>
            <w:tcW w:w="3715" w:type="dxa"/>
            <w:noWrap w:val="0"/>
            <w:vAlign w:val="center"/>
          </w:tcPr>
          <w:p>
            <w:pPr>
              <w:kinsoku/>
              <w:overflowPunct/>
              <w:topLinePunct w:val="0"/>
              <w:bidi w:val="0"/>
              <w:spacing w:line="300" w:lineRule="auto"/>
              <w:jc w:val="center"/>
              <w:rPr>
                <w:szCs w:val="21"/>
              </w:rPr>
            </w:pPr>
          </w:p>
        </w:tc>
        <w:tc>
          <w:tcPr>
            <w:tcW w:w="2856" w:type="dxa"/>
            <w:noWrap w:val="0"/>
            <w:vAlign w:val="center"/>
          </w:tcPr>
          <w:p>
            <w:pPr>
              <w:kinsoku/>
              <w:overflowPunct/>
              <w:topLinePunct w:val="0"/>
              <w:bidi w:val="0"/>
              <w:spacing w:line="300" w:lineRule="auto"/>
              <w:jc w:val="center"/>
              <w:rPr>
                <w:szCs w:val="21"/>
              </w:rPr>
            </w:pPr>
          </w:p>
        </w:tc>
        <w:tc>
          <w:tcPr>
            <w:tcW w:w="1654"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10" w:hRule="exact"/>
        </w:trPr>
        <w:tc>
          <w:tcPr>
            <w:tcW w:w="1061" w:type="dxa"/>
            <w:noWrap w:val="0"/>
            <w:vAlign w:val="center"/>
          </w:tcPr>
          <w:p>
            <w:pPr>
              <w:kinsoku/>
              <w:overflowPunct/>
              <w:topLinePunct w:val="0"/>
              <w:bidi w:val="0"/>
              <w:spacing w:line="300" w:lineRule="auto"/>
              <w:jc w:val="center"/>
              <w:rPr>
                <w:szCs w:val="21"/>
              </w:rPr>
            </w:pPr>
          </w:p>
        </w:tc>
        <w:tc>
          <w:tcPr>
            <w:tcW w:w="3715" w:type="dxa"/>
            <w:noWrap w:val="0"/>
            <w:vAlign w:val="center"/>
          </w:tcPr>
          <w:p>
            <w:pPr>
              <w:kinsoku/>
              <w:overflowPunct/>
              <w:topLinePunct w:val="0"/>
              <w:bidi w:val="0"/>
              <w:spacing w:line="300" w:lineRule="auto"/>
              <w:jc w:val="center"/>
              <w:rPr>
                <w:szCs w:val="21"/>
              </w:rPr>
            </w:pPr>
          </w:p>
        </w:tc>
        <w:tc>
          <w:tcPr>
            <w:tcW w:w="2856" w:type="dxa"/>
            <w:noWrap w:val="0"/>
            <w:vAlign w:val="center"/>
          </w:tcPr>
          <w:p>
            <w:pPr>
              <w:kinsoku/>
              <w:overflowPunct/>
              <w:topLinePunct w:val="0"/>
              <w:bidi w:val="0"/>
              <w:spacing w:line="300" w:lineRule="auto"/>
              <w:jc w:val="center"/>
              <w:rPr>
                <w:szCs w:val="21"/>
              </w:rPr>
            </w:pPr>
          </w:p>
        </w:tc>
        <w:tc>
          <w:tcPr>
            <w:tcW w:w="1654"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10" w:hRule="exact"/>
        </w:trPr>
        <w:tc>
          <w:tcPr>
            <w:tcW w:w="1061" w:type="dxa"/>
            <w:noWrap w:val="0"/>
            <w:vAlign w:val="center"/>
          </w:tcPr>
          <w:p>
            <w:pPr>
              <w:kinsoku/>
              <w:overflowPunct/>
              <w:topLinePunct w:val="0"/>
              <w:bidi w:val="0"/>
              <w:spacing w:line="300" w:lineRule="auto"/>
              <w:jc w:val="center"/>
              <w:rPr>
                <w:szCs w:val="21"/>
              </w:rPr>
            </w:pPr>
          </w:p>
        </w:tc>
        <w:tc>
          <w:tcPr>
            <w:tcW w:w="3715" w:type="dxa"/>
            <w:noWrap w:val="0"/>
            <w:vAlign w:val="center"/>
          </w:tcPr>
          <w:p>
            <w:pPr>
              <w:kinsoku/>
              <w:overflowPunct/>
              <w:topLinePunct w:val="0"/>
              <w:bidi w:val="0"/>
              <w:spacing w:line="300" w:lineRule="auto"/>
              <w:jc w:val="center"/>
              <w:rPr>
                <w:szCs w:val="21"/>
              </w:rPr>
            </w:pPr>
          </w:p>
        </w:tc>
        <w:tc>
          <w:tcPr>
            <w:tcW w:w="2856" w:type="dxa"/>
            <w:noWrap w:val="0"/>
            <w:vAlign w:val="center"/>
          </w:tcPr>
          <w:p>
            <w:pPr>
              <w:kinsoku/>
              <w:overflowPunct/>
              <w:topLinePunct w:val="0"/>
              <w:bidi w:val="0"/>
              <w:spacing w:line="300" w:lineRule="auto"/>
              <w:jc w:val="center"/>
              <w:rPr>
                <w:szCs w:val="21"/>
              </w:rPr>
            </w:pPr>
          </w:p>
        </w:tc>
        <w:tc>
          <w:tcPr>
            <w:tcW w:w="1654"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10" w:hRule="exact"/>
        </w:trPr>
        <w:tc>
          <w:tcPr>
            <w:tcW w:w="1061" w:type="dxa"/>
            <w:noWrap w:val="0"/>
            <w:vAlign w:val="center"/>
          </w:tcPr>
          <w:p>
            <w:pPr>
              <w:kinsoku/>
              <w:overflowPunct/>
              <w:topLinePunct w:val="0"/>
              <w:bidi w:val="0"/>
              <w:spacing w:line="300" w:lineRule="auto"/>
              <w:jc w:val="center"/>
              <w:rPr>
                <w:szCs w:val="21"/>
              </w:rPr>
            </w:pPr>
          </w:p>
        </w:tc>
        <w:tc>
          <w:tcPr>
            <w:tcW w:w="3715" w:type="dxa"/>
            <w:noWrap w:val="0"/>
            <w:vAlign w:val="center"/>
          </w:tcPr>
          <w:p>
            <w:pPr>
              <w:kinsoku/>
              <w:overflowPunct/>
              <w:topLinePunct w:val="0"/>
              <w:bidi w:val="0"/>
              <w:spacing w:line="300" w:lineRule="auto"/>
              <w:jc w:val="center"/>
              <w:rPr>
                <w:szCs w:val="21"/>
              </w:rPr>
            </w:pPr>
          </w:p>
        </w:tc>
        <w:tc>
          <w:tcPr>
            <w:tcW w:w="2856" w:type="dxa"/>
            <w:noWrap w:val="0"/>
            <w:vAlign w:val="center"/>
          </w:tcPr>
          <w:p>
            <w:pPr>
              <w:kinsoku/>
              <w:overflowPunct/>
              <w:topLinePunct w:val="0"/>
              <w:bidi w:val="0"/>
              <w:spacing w:line="300" w:lineRule="auto"/>
              <w:jc w:val="center"/>
              <w:rPr>
                <w:szCs w:val="21"/>
              </w:rPr>
            </w:pPr>
          </w:p>
        </w:tc>
        <w:tc>
          <w:tcPr>
            <w:tcW w:w="1654"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10" w:hRule="exact"/>
        </w:trPr>
        <w:tc>
          <w:tcPr>
            <w:tcW w:w="1061" w:type="dxa"/>
            <w:noWrap w:val="0"/>
            <w:vAlign w:val="center"/>
          </w:tcPr>
          <w:p>
            <w:pPr>
              <w:kinsoku/>
              <w:overflowPunct/>
              <w:topLinePunct w:val="0"/>
              <w:bidi w:val="0"/>
              <w:spacing w:line="300" w:lineRule="auto"/>
              <w:jc w:val="center"/>
              <w:rPr>
                <w:szCs w:val="21"/>
              </w:rPr>
            </w:pPr>
          </w:p>
        </w:tc>
        <w:tc>
          <w:tcPr>
            <w:tcW w:w="3715" w:type="dxa"/>
            <w:noWrap w:val="0"/>
            <w:vAlign w:val="center"/>
          </w:tcPr>
          <w:p>
            <w:pPr>
              <w:kinsoku/>
              <w:overflowPunct/>
              <w:topLinePunct w:val="0"/>
              <w:bidi w:val="0"/>
              <w:spacing w:line="300" w:lineRule="auto"/>
              <w:jc w:val="center"/>
              <w:rPr>
                <w:szCs w:val="21"/>
              </w:rPr>
            </w:pPr>
          </w:p>
        </w:tc>
        <w:tc>
          <w:tcPr>
            <w:tcW w:w="2856" w:type="dxa"/>
            <w:noWrap w:val="0"/>
            <w:vAlign w:val="center"/>
          </w:tcPr>
          <w:p>
            <w:pPr>
              <w:kinsoku/>
              <w:overflowPunct/>
              <w:topLinePunct w:val="0"/>
              <w:bidi w:val="0"/>
              <w:spacing w:line="300" w:lineRule="auto"/>
              <w:jc w:val="center"/>
              <w:rPr>
                <w:szCs w:val="21"/>
              </w:rPr>
            </w:pPr>
          </w:p>
        </w:tc>
        <w:tc>
          <w:tcPr>
            <w:tcW w:w="1654"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10" w:hRule="exact"/>
        </w:trPr>
        <w:tc>
          <w:tcPr>
            <w:tcW w:w="1061" w:type="dxa"/>
            <w:noWrap w:val="0"/>
            <w:vAlign w:val="center"/>
          </w:tcPr>
          <w:p>
            <w:pPr>
              <w:kinsoku/>
              <w:overflowPunct/>
              <w:topLinePunct w:val="0"/>
              <w:bidi w:val="0"/>
              <w:spacing w:line="300" w:lineRule="auto"/>
              <w:jc w:val="center"/>
              <w:rPr>
                <w:szCs w:val="21"/>
              </w:rPr>
            </w:pPr>
          </w:p>
        </w:tc>
        <w:tc>
          <w:tcPr>
            <w:tcW w:w="3715" w:type="dxa"/>
            <w:noWrap w:val="0"/>
            <w:vAlign w:val="center"/>
          </w:tcPr>
          <w:p>
            <w:pPr>
              <w:kinsoku/>
              <w:overflowPunct/>
              <w:topLinePunct w:val="0"/>
              <w:bidi w:val="0"/>
              <w:spacing w:line="300" w:lineRule="auto"/>
              <w:jc w:val="center"/>
              <w:rPr>
                <w:szCs w:val="21"/>
              </w:rPr>
            </w:pPr>
          </w:p>
        </w:tc>
        <w:tc>
          <w:tcPr>
            <w:tcW w:w="2856" w:type="dxa"/>
            <w:noWrap w:val="0"/>
            <w:vAlign w:val="center"/>
          </w:tcPr>
          <w:p>
            <w:pPr>
              <w:kinsoku/>
              <w:overflowPunct/>
              <w:topLinePunct w:val="0"/>
              <w:bidi w:val="0"/>
              <w:spacing w:line="300" w:lineRule="auto"/>
              <w:jc w:val="center"/>
              <w:rPr>
                <w:szCs w:val="21"/>
              </w:rPr>
            </w:pPr>
          </w:p>
        </w:tc>
        <w:tc>
          <w:tcPr>
            <w:tcW w:w="1654"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10" w:hRule="exact"/>
        </w:trPr>
        <w:tc>
          <w:tcPr>
            <w:tcW w:w="1061" w:type="dxa"/>
            <w:noWrap w:val="0"/>
            <w:vAlign w:val="center"/>
          </w:tcPr>
          <w:p>
            <w:pPr>
              <w:kinsoku/>
              <w:overflowPunct/>
              <w:topLinePunct w:val="0"/>
              <w:bidi w:val="0"/>
              <w:spacing w:line="300" w:lineRule="auto"/>
              <w:jc w:val="center"/>
              <w:rPr>
                <w:szCs w:val="21"/>
              </w:rPr>
            </w:pPr>
          </w:p>
        </w:tc>
        <w:tc>
          <w:tcPr>
            <w:tcW w:w="3715" w:type="dxa"/>
            <w:noWrap w:val="0"/>
            <w:vAlign w:val="center"/>
          </w:tcPr>
          <w:p>
            <w:pPr>
              <w:kinsoku/>
              <w:overflowPunct/>
              <w:topLinePunct w:val="0"/>
              <w:bidi w:val="0"/>
              <w:spacing w:line="300" w:lineRule="auto"/>
              <w:jc w:val="center"/>
              <w:rPr>
                <w:szCs w:val="21"/>
              </w:rPr>
            </w:pPr>
          </w:p>
        </w:tc>
        <w:tc>
          <w:tcPr>
            <w:tcW w:w="2856" w:type="dxa"/>
            <w:noWrap w:val="0"/>
            <w:vAlign w:val="center"/>
          </w:tcPr>
          <w:p>
            <w:pPr>
              <w:kinsoku/>
              <w:overflowPunct/>
              <w:topLinePunct w:val="0"/>
              <w:bidi w:val="0"/>
              <w:spacing w:line="300" w:lineRule="auto"/>
              <w:jc w:val="center"/>
              <w:rPr>
                <w:szCs w:val="21"/>
              </w:rPr>
            </w:pPr>
          </w:p>
        </w:tc>
        <w:tc>
          <w:tcPr>
            <w:tcW w:w="1654"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10" w:hRule="exact"/>
        </w:trPr>
        <w:tc>
          <w:tcPr>
            <w:tcW w:w="1061" w:type="dxa"/>
            <w:noWrap w:val="0"/>
            <w:vAlign w:val="center"/>
          </w:tcPr>
          <w:p>
            <w:pPr>
              <w:kinsoku/>
              <w:overflowPunct/>
              <w:topLinePunct w:val="0"/>
              <w:bidi w:val="0"/>
              <w:spacing w:line="300" w:lineRule="auto"/>
              <w:jc w:val="center"/>
              <w:rPr>
                <w:szCs w:val="21"/>
              </w:rPr>
            </w:pPr>
          </w:p>
        </w:tc>
        <w:tc>
          <w:tcPr>
            <w:tcW w:w="3715" w:type="dxa"/>
            <w:noWrap w:val="0"/>
            <w:vAlign w:val="center"/>
          </w:tcPr>
          <w:p>
            <w:pPr>
              <w:kinsoku/>
              <w:overflowPunct/>
              <w:topLinePunct w:val="0"/>
              <w:bidi w:val="0"/>
              <w:spacing w:line="300" w:lineRule="auto"/>
              <w:jc w:val="center"/>
              <w:rPr>
                <w:szCs w:val="21"/>
              </w:rPr>
            </w:pPr>
          </w:p>
        </w:tc>
        <w:tc>
          <w:tcPr>
            <w:tcW w:w="2856" w:type="dxa"/>
            <w:noWrap w:val="0"/>
            <w:vAlign w:val="center"/>
          </w:tcPr>
          <w:p>
            <w:pPr>
              <w:kinsoku/>
              <w:overflowPunct/>
              <w:topLinePunct w:val="0"/>
              <w:bidi w:val="0"/>
              <w:spacing w:line="300" w:lineRule="auto"/>
              <w:jc w:val="center"/>
              <w:rPr>
                <w:szCs w:val="21"/>
              </w:rPr>
            </w:pPr>
          </w:p>
        </w:tc>
        <w:tc>
          <w:tcPr>
            <w:tcW w:w="1654" w:type="dxa"/>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60" w:hRule="exact"/>
        </w:trPr>
        <w:tc>
          <w:tcPr>
            <w:tcW w:w="4776" w:type="dxa"/>
            <w:gridSpan w:val="2"/>
            <w:tcBorders>
              <w:bottom w:val="single" w:color="auto" w:sz="8" w:space="0"/>
            </w:tcBorders>
            <w:noWrap w:val="0"/>
            <w:vAlign w:val="center"/>
          </w:tcPr>
          <w:p>
            <w:pPr>
              <w:kinsoku/>
              <w:overflowPunct/>
              <w:topLinePunct w:val="0"/>
              <w:bidi w:val="0"/>
              <w:spacing w:line="300" w:lineRule="auto"/>
              <w:jc w:val="center"/>
              <w:rPr>
                <w:szCs w:val="21"/>
              </w:rPr>
            </w:pPr>
            <w:r>
              <w:rPr>
                <w:rFonts w:hint="eastAsia"/>
                <w:szCs w:val="21"/>
              </w:rPr>
              <w:t>合</w:t>
            </w:r>
            <w:r>
              <w:rPr>
                <w:szCs w:val="21"/>
              </w:rPr>
              <w:t xml:space="preserve">    </w:t>
            </w:r>
            <w:r>
              <w:rPr>
                <w:rFonts w:hint="eastAsia"/>
                <w:szCs w:val="21"/>
              </w:rPr>
              <w:t>计</w:t>
            </w:r>
          </w:p>
        </w:tc>
        <w:tc>
          <w:tcPr>
            <w:tcW w:w="2856" w:type="dxa"/>
            <w:tcBorders>
              <w:bottom w:val="single" w:color="auto" w:sz="8" w:space="0"/>
            </w:tcBorders>
            <w:noWrap w:val="0"/>
            <w:vAlign w:val="center"/>
          </w:tcPr>
          <w:p>
            <w:pPr>
              <w:kinsoku/>
              <w:overflowPunct/>
              <w:topLinePunct w:val="0"/>
              <w:bidi w:val="0"/>
              <w:spacing w:line="300" w:lineRule="auto"/>
              <w:jc w:val="center"/>
              <w:rPr>
                <w:szCs w:val="21"/>
              </w:rPr>
            </w:pPr>
          </w:p>
        </w:tc>
        <w:tc>
          <w:tcPr>
            <w:tcW w:w="1654" w:type="dxa"/>
            <w:tcBorders>
              <w:bottom w:val="single" w:color="auto" w:sz="8" w:space="0"/>
            </w:tcBorders>
            <w:noWrap w:val="0"/>
            <w:vAlign w:val="center"/>
          </w:tcPr>
          <w:p>
            <w:pPr>
              <w:kinsoku/>
              <w:overflowPunct/>
              <w:topLinePunct w:val="0"/>
              <w:bidi w:val="0"/>
              <w:spacing w:line="300" w:lineRule="auto"/>
              <w:jc w:val="center"/>
              <w:rPr>
                <w:szCs w:val="21"/>
              </w:rPr>
            </w:pPr>
          </w:p>
        </w:tc>
      </w:tr>
    </w:tbl>
    <w:p>
      <w:pPr>
        <w:kinsoku/>
        <w:overflowPunct/>
        <w:topLinePunct w:val="0"/>
        <w:bidi w:val="0"/>
        <w:spacing w:before="156" w:beforeLines="50" w:line="300" w:lineRule="auto"/>
        <w:rPr>
          <w:szCs w:val="21"/>
        </w:rPr>
      </w:pPr>
      <w:r>
        <w:rPr>
          <w:rFonts w:hint="eastAsia"/>
          <w:szCs w:val="21"/>
        </w:rPr>
        <w:t>本表以整体工程为对象进行计算，并列入为主的专业工程。</w:t>
      </w:r>
    </w:p>
    <w:p>
      <w:pPr>
        <w:kinsoku/>
        <w:overflowPunct/>
        <w:topLinePunct w:val="0"/>
        <w:bidi w:val="0"/>
        <w:spacing w:before="156" w:beforeLines="50" w:line="300" w:lineRule="auto"/>
        <w:jc w:val="center"/>
        <w:rPr>
          <w:rFonts w:ascii="黑体" w:eastAsia="黑体"/>
          <w:sz w:val="36"/>
          <w:szCs w:val="36"/>
        </w:rPr>
      </w:pPr>
      <w:r>
        <w:rPr>
          <w:szCs w:val="21"/>
        </w:rPr>
        <w:br w:type="page"/>
      </w:r>
      <w:r>
        <w:rPr>
          <w:rFonts w:hint="eastAsia" w:ascii="黑体" w:eastAsia="黑体"/>
          <w:sz w:val="36"/>
          <w:szCs w:val="36"/>
        </w:rPr>
        <w:t>暂列金额明细表</w:t>
      </w:r>
    </w:p>
    <w:p>
      <w:pPr>
        <w:kinsoku/>
        <w:overflowPunct/>
        <w:topLinePunct w:val="0"/>
        <w:bidi w:val="0"/>
        <w:spacing w:line="300" w:lineRule="auto"/>
      </w:pPr>
      <w:r>
        <w:rPr>
          <w:rFonts w:hint="eastAsia"/>
        </w:rPr>
        <w:t>工程名称：</w:t>
      </w:r>
      <w:r>
        <w:t xml:space="preserve">                                                     </w:t>
      </w:r>
      <w:r>
        <w:rPr>
          <w:rFonts w:hint="eastAsia"/>
        </w:rPr>
        <w:t>第</w:t>
      </w:r>
      <w:r>
        <w:t xml:space="preserve">     </w:t>
      </w:r>
      <w:r>
        <w:rPr>
          <w:rFonts w:hint="eastAsia"/>
        </w:rPr>
        <w:t>页</w:t>
      </w:r>
      <w:r>
        <w:t xml:space="preserve"> </w:t>
      </w:r>
      <w:r>
        <w:rPr>
          <w:rFonts w:hint="eastAsia"/>
        </w:rPr>
        <w:t>共</w:t>
      </w:r>
      <w:r>
        <w:t xml:space="preserve">    </w:t>
      </w:r>
      <w:r>
        <w:rPr>
          <w:rFonts w:hint="eastAsia"/>
        </w:rPr>
        <w:t>页</w:t>
      </w:r>
    </w:p>
    <w:tbl>
      <w:tblPr>
        <w:tblStyle w:val="53"/>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3"/>
        <w:gridCol w:w="619"/>
        <w:gridCol w:w="7"/>
        <w:gridCol w:w="31"/>
        <w:gridCol w:w="3"/>
        <w:gridCol w:w="2535"/>
        <w:gridCol w:w="81"/>
        <w:gridCol w:w="395"/>
        <w:gridCol w:w="325"/>
        <w:gridCol w:w="234"/>
        <w:gridCol w:w="888"/>
        <w:gridCol w:w="312"/>
        <w:gridCol w:w="386"/>
        <w:gridCol w:w="222"/>
        <w:gridCol w:w="577"/>
        <w:gridCol w:w="346"/>
        <w:gridCol w:w="567"/>
        <w:gridCol w:w="10"/>
        <w:gridCol w:w="155"/>
        <w:gridCol w:w="1253"/>
        <w:gridCol w:w="294"/>
        <w:gridCol w:w="90"/>
        <w:gridCol w:w="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3"/>
          <w:wAfter w:w="425" w:type="dxa"/>
          <w:trHeight w:val="510" w:hRule="exact"/>
        </w:trPr>
        <w:tc>
          <w:tcPr>
            <w:tcW w:w="750" w:type="dxa"/>
            <w:gridSpan w:val="4"/>
            <w:tcBorders>
              <w:top w:val="single" w:color="auto" w:sz="8" w:space="0"/>
            </w:tcBorders>
            <w:noWrap w:val="0"/>
            <w:vAlign w:val="center"/>
          </w:tcPr>
          <w:p>
            <w:pPr>
              <w:kinsoku/>
              <w:overflowPunct/>
              <w:topLinePunct w:val="0"/>
              <w:bidi w:val="0"/>
              <w:spacing w:line="300" w:lineRule="auto"/>
              <w:jc w:val="center"/>
              <w:rPr>
                <w:szCs w:val="21"/>
              </w:rPr>
            </w:pPr>
            <w:r>
              <w:rPr>
                <w:rFonts w:hint="eastAsia"/>
                <w:szCs w:val="21"/>
              </w:rPr>
              <w:t>序号</w:t>
            </w:r>
          </w:p>
        </w:tc>
        <w:tc>
          <w:tcPr>
            <w:tcW w:w="2619" w:type="dxa"/>
            <w:gridSpan w:val="3"/>
            <w:tcBorders>
              <w:top w:val="single" w:color="auto" w:sz="8" w:space="0"/>
            </w:tcBorders>
            <w:noWrap w:val="0"/>
            <w:vAlign w:val="center"/>
          </w:tcPr>
          <w:p>
            <w:pPr>
              <w:kinsoku/>
              <w:overflowPunct/>
              <w:topLinePunct w:val="0"/>
              <w:bidi w:val="0"/>
              <w:spacing w:line="300" w:lineRule="auto"/>
              <w:jc w:val="center"/>
              <w:rPr>
                <w:szCs w:val="21"/>
              </w:rPr>
            </w:pPr>
            <w:r>
              <w:rPr>
                <w:rFonts w:hint="eastAsia"/>
                <w:szCs w:val="21"/>
              </w:rPr>
              <w:t>项</w:t>
            </w:r>
            <w:r>
              <w:rPr>
                <w:szCs w:val="21"/>
              </w:rPr>
              <w:t xml:space="preserve"> </w:t>
            </w:r>
            <w:r>
              <w:rPr>
                <w:rFonts w:hint="eastAsia"/>
                <w:szCs w:val="21"/>
              </w:rPr>
              <w:t>目</w:t>
            </w:r>
            <w:r>
              <w:rPr>
                <w:szCs w:val="21"/>
              </w:rPr>
              <w:t xml:space="preserve"> </w:t>
            </w:r>
            <w:r>
              <w:rPr>
                <w:rFonts w:hint="eastAsia"/>
                <w:szCs w:val="21"/>
              </w:rPr>
              <w:t>名</w:t>
            </w:r>
            <w:r>
              <w:rPr>
                <w:szCs w:val="21"/>
              </w:rPr>
              <w:t xml:space="preserve"> </w:t>
            </w:r>
            <w:r>
              <w:rPr>
                <w:rFonts w:hint="eastAsia"/>
                <w:szCs w:val="21"/>
              </w:rPr>
              <w:t>称</w:t>
            </w:r>
          </w:p>
        </w:tc>
        <w:tc>
          <w:tcPr>
            <w:tcW w:w="1842" w:type="dxa"/>
            <w:gridSpan w:val="4"/>
            <w:tcBorders>
              <w:top w:val="single" w:color="auto" w:sz="8" w:space="0"/>
              <w:right w:val="single" w:color="auto" w:sz="4" w:space="0"/>
            </w:tcBorders>
            <w:noWrap w:val="0"/>
            <w:vAlign w:val="center"/>
          </w:tcPr>
          <w:p>
            <w:pPr>
              <w:kinsoku/>
              <w:overflowPunct/>
              <w:topLinePunct w:val="0"/>
              <w:bidi w:val="0"/>
              <w:spacing w:line="300" w:lineRule="auto"/>
              <w:jc w:val="center"/>
              <w:rPr>
                <w:szCs w:val="21"/>
              </w:rPr>
            </w:pPr>
            <w:r>
              <w:rPr>
                <w:rFonts w:hint="eastAsia"/>
                <w:szCs w:val="21"/>
              </w:rPr>
              <w:t>计量单位</w:t>
            </w:r>
          </w:p>
        </w:tc>
        <w:tc>
          <w:tcPr>
            <w:tcW w:w="1843" w:type="dxa"/>
            <w:gridSpan w:val="5"/>
            <w:tcBorders>
              <w:top w:val="single" w:color="auto" w:sz="8" w:space="0"/>
              <w:left w:val="single" w:color="auto" w:sz="4" w:space="0"/>
            </w:tcBorders>
            <w:noWrap w:val="0"/>
            <w:vAlign w:val="center"/>
          </w:tcPr>
          <w:p>
            <w:pPr>
              <w:kinsoku/>
              <w:overflowPunct/>
              <w:topLinePunct w:val="0"/>
              <w:bidi w:val="0"/>
              <w:spacing w:line="300" w:lineRule="auto"/>
              <w:jc w:val="center"/>
              <w:rPr>
                <w:szCs w:val="21"/>
              </w:rPr>
            </w:pPr>
            <w:r>
              <w:rPr>
                <w:rFonts w:hint="eastAsia"/>
                <w:szCs w:val="21"/>
              </w:rPr>
              <w:t>暂定金额</w:t>
            </w:r>
            <w:r>
              <w:rPr>
                <w:szCs w:val="21"/>
              </w:rPr>
              <w:t>(</w:t>
            </w:r>
            <w:r>
              <w:rPr>
                <w:rFonts w:hint="eastAsia"/>
                <w:szCs w:val="21"/>
              </w:rPr>
              <w:t>元</w:t>
            </w:r>
            <w:r>
              <w:rPr>
                <w:szCs w:val="21"/>
              </w:rPr>
              <w:t>)</w:t>
            </w:r>
          </w:p>
        </w:tc>
        <w:tc>
          <w:tcPr>
            <w:tcW w:w="1985" w:type="dxa"/>
            <w:gridSpan w:val="4"/>
            <w:tcBorders>
              <w:top w:val="single" w:color="auto" w:sz="8" w:space="0"/>
            </w:tcBorders>
            <w:noWrap w:val="0"/>
            <w:vAlign w:val="center"/>
          </w:tcPr>
          <w:p>
            <w:pPr>
              <w:kinsoku/>
              <w:overflowPunct/>
              <w:topLinePunct w:val="0"/>
              <w:bidi w:val="0"/>
              <w:spacing w:line="300" w:lineRule="auto"/>
              <w:jc w:val="center"/>
              <w:rPr>
                <w:szCs w:val="21"/>
              </w:rPr>
            </w:pPr>
            <w:r>
              <w:rPr>
                <w:rFonts w:hint="eastAsia"/>
                <w:szCs w:val="21"/>
              </w:rPr>
              <w:t>备</w:t>
            </w:r>
            <w:r>
              <w:rPr>
                <w:szCs w:val="21"/>
              </w:rPr>
              <w:t xml:space="preserve">  </w:t>
            </w:r>
            <w:r>
              <w:rPr>
                <w:rFonts w:hint="eastAsia"/>
                <w:szCs w:val="21"/>
              </w:rPr>
              <w:t>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3"/>
          <w:wAfter w:w="425" w:type="dxa"/>
          <w:trHeight w:val="510" w:hRule="exact"/>
        </w:trPr>
        <w:tc>
          <w:tcPr>
            <w:tcW w:w="750" w:type="dxa"/>
            <w:gridSpan w:val="4"/>
            <w:noWrap w:val="0"/>
            <w:vAlign w:val="center"/>
          </w:tcPr>
          <w:p>
            <w:pPr>
              <w:kinsoku/>
              <w:overflowPunct/>
              <w:topLinePunct w:val="0"/>
              <w:bidi w:val="0"/>
              <w:spacing w:line="300" w:lineRule="auto"/>
              <w:jc w:val="center"/>
              <w:rPr>
                <w:szCs w:val="21"/>
              </w:rPr>
            </w:pPr>
            <w:r>
              <w:rPr>
                <w:szCs w:val="21"/>
              </w:rPr>
              <w:t>1</w:t>
            </w:r>
          </w:p>
        </w:tc>
        <w:tc>
          <w:tcPr>
            <w:tcW w:w="2619" w:type="dxa"/>
            <w:gridSpan w:val="3"/>
            <w:noWrap w:val="0"/>
            <w:vAlign w:val="center"/>
          </w:tcPr>
          <w:p>
            <w:pPr>
              <w:kinsoku/>
              <w:overflowPunct/>
              <w:topLinePunct w:val="0"/>
              <w:bidi w:val="0"/>
              <w:spacing w:line="300" w:lineRule="auto"/>
              <w:rPr>
                <w:szCs w:val="21"/>
              </w:rPr>
            </w:pPr>
            <w:r>
              <w:rPr>
                <w:rFonts w:hint="eastAsia"/>
                <w:szCs w:val="21"/>
              </w:rPr>
              <w:t>标化工地增加费</w:t>
            </w:r>
          </w:p>
        </w:tc>
        <w:tc>
          <w:tcPr>
            <w:tcW w:w="1842" w:type="dxa"/>
            <w:gridSpan w:val="4"/>
            <w:tcBorders>
              <w:right w:val="single" w:color="auto" w:sz="4" w:space="0"/>
            </w:tcBorders>
            <w:noWrap w:val="0"/>
            <w:vAlign w:val="center"/>
          </w:tcPr>
          <w:p>
            <w:pPr>
              <w:kinsoku/>
              <w:overflowPunct/>
              <w:topLinePunct w:val="0"/>
              <w:bidi w:val="0"/>
              <w:spacing w:line="300" w:lineRule="auto"/>
              <w:jc w:val="center"/>
              <w:rPr>
                <w:szCs w:val="21"/>
              </w:rPr>
            </w:pPr>
            <w:r>
              <w:rPr>
                <w:rFonts w:hint="eastAsia"/>
                <w:szCs w:val="21"/>
              </w:rPr>
              <w:t>项</w:t>
            </w:r>
          </w:p>
        </w:tc>
        <w:tc>
          <w:tcPr>
            <w:tcW w:w="1843" w:type="dxa"/>
            <w:gridSpan w:val="5"/>
            <w:tcBorders>
              <w:left w:val="single" w:color="auto" w:sz="4" w:space="0"/>
            </w:tcBorders>
            <w:noWrap w:val="0"/>
            <w:vAlign w:val="center"/>
          </w:tcPr>
          <w:p>
            <w:pPr>
              <w:kinsoku/>
              <w:overflowPunct/>
              <w:topLinePunct w:val="0"/>
              <w:bidi w:val="0"/>
              <w:spacing w:line="300" w:lineRule="auto"/>
              <w:jc w:val="right"/>
              <w:rPr>
                <w:szCs w:val="21"/>
              </w:rPr>
            </w:pPr>
          </w:p>
        </w:tc>
        <w:tc>
          <w:tcPr>
            <w:tcW w:w="1985" w:type="dxa"/>
            <w:gridSpan w:val="4"/>
            <w:noWrap w:val="0"/>
            <w:vAlign w:val="center"/>
          </w:tcPr>
          <w:p>
            <w:pPr>
              <w:kinsoku/>
              <w:overflowPunct/>
              <w:topLinePunct w:val="0"/>
              <w:bidi w:val="0"/>
              <w:spacing w:line="300" w:lineRule="auto"/>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3"/>
          <w:wAfter w:w="425" w:type="dxa"/>
          <w:trHeight w:val="510" w:hRule="exact"/>
        </w:trPr>
        <w:tc>
          <w:tcPr>
            <w:tcW w:w="750" w:type="dxa"/>
            <w:gridSpan w:val="4"/>
            <w:noWrap w:val="0"/>
            <w:vAlign w:val="center"/>
          </w:tcPr>
          <w:p>
            <w:pPr>
              <w:kinsoku/>
              <w:overflowPunct/>
              <w:topLinePunct w:val="0"/>
              <w:bidi w:val="0"/>
              <w:spacing w:line="300" w:lineRule="auto"/>
              <w:jc w:val="center"/>
              <w:rPr>
                <w:szCs w:val="21"/>
              </w:rPr>
            </w:pPr>
            <w:r>
              <w:rPr>
                <w:szCs w:val="21"/>
              </w:rPr>
              <w:t>2</w:t>
            </w:r>
          </w:p>
        </w:tc>
        <w:tc>
          <w:tcPr>
            <w:tcW w:w="2619" w:type="dxa"/>
            <w:gridSpan w:val="3"/>
            <w:noWrap w:val="0"/>
            <w:vAlign w:val="center"/>
          </w:tcPr>
          <w:p>
            <w:pPr>
              <w:kinsoku/>
              <w:overflowPunct/>
              <w:topLinePunct w:val="0"/>
              <w:bidi w:val="0"/>
              <w:spacing w:line="300" w:lineRule="auto"/>
              <w:rPr>
                <w:szCs w:val="21"/>
              </w:rPr>
            </w:pPr>
            <w:r>
              <w:rPr>
                <w:rFonts w:hint="eastAsia"/>
                <w:szCs w:val="21"/>
              </w:rPr>
              <w:t>优质工程增加费</w:t>
            </w:r>
          </w:p>
        </w:tc>
        <w:tc>
          <w:tcPr>
            <w:tcW w:w="1842" w:type="dxa"/>
            <w:gridSpan w:val="4"/>
            <w:tcBorders>
              <w:right w:val="single" w:color="auto" w:sz="4" w:space="0"/>
            </w:tcBorders>
            <w:noWrap w:val="0"/>
            <w:vAlign w:val="center"/>
          </w:tcPr>
          <w:p>
            <w:pPr>
              <w:kinsoku/>
              <w:overflowPunct/>
              <w:topLinePunct w:val="0"/>
              <w:bidi w:val="0"/>
              <w:spacing w:line="300" w:lineRule="auto"/>
              <w:jc w:val="center"/>
              <w:rPr>
                <w:szCs w:val="21"/>
              </w:rPr>
            </w:pPr>
            <w:r>
              <w:rPr>
                <w:rFonts w:hint="eastAsia"/>
                <w:szCs w:val="21"/>
              </w:rPr>
              <w:t>项</w:t>
            </w:r>
          </w:p>
        </w:tc>
        <w:tc>
          <w:tcPr>
            <w:tcW w:w="1843" w:type="dxa"/>
            <w:gridSpan w:val="5"/>
            <w:tcBorders>
              <w:left w:val="single" w:color="auto" w:sz="4" w:space="0"/>
            </w:tcBorders>
            <w:noWrap w:val="0"/>
            <w:vAlign w:val="center"/>
          </w:tcPr>
          <w:p>
            <w:pPr>
              <w:kinsoku/>
              <w:overflowPunct/>
              <w:topLinePunct w:val="0"/>
              <w:bidi w:val="0"/>
              <w:spacing w:line="300" w:lineRule="auto"/>
              <w:jc w:val="right"/>
              <w:rPr>
                <w:szCs w:val="21"/>
              </w:rPr>
            </w:pPr>
          </w:p>
        </w:tc>
        <w:tc>
          <w:tcPr>
            <w:tcW w:w="1985" w:type="dxa"/>
            <w:gridSpan w:val="4"/>
            <w:noWrap w:val="0"/>
            <w:vAlign w:val="center"/>
          </w:tcPr>
          <w:p>
            <w:pPr>
              <w:kinsoku/>
              <w:overflowPunct/>
              <w:topLinePunct w:val="0"/>
              <w:bidi w:val="0"/>
              <w:spacing w:line="300" w:lineRule="auto"/>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3"/>
          <w:wAfter w:w="425" w:type="dxa"/>
          <w:trHeight w:val="510" w:hRule="exact"/>
        </w:trPr>
        <w:tc>
          <w:tcPr>
            <w:tcW w:w="750" w:type="dxa"/>
            <w:gridSpan w:val="4"/>
            <w:noWrap w:val="0"/>
            <w:vAlign w:val="center"/>
          </w:tcPr>
          <w:p>
            <w:pPr>
              <w:kinsoku/>
              <w:overflowPunct/>
              <w:topLinePunct w:val="0"/>
              <w:bidi w:val="0"/>
              <w:spacing w:line="300" w:lineRule="auto"/>
              <w:jc w:val="center"/>
              <w:rPr>
                <w:szCs w:val="21"/>
              </w:rPr>
            </w:pPr>
            <w:r>
              <w:rPr>
                <w:szCs w:val="21"/>
              </w:rPr>
              <w:t>3</w:t>
            </w:r>
          </w:p>
        </w:tc>
        <w:tc>
          <w:tcPr>
            <w:tcW w:w="2619" w:type="dxa"/>
            <w:gridSpan w:val="3"/>
            <w:noWrap w:val="0"/>
            <w:vAlign w:val="center"/>
          </w:tcPr>
          <w:p>
            <w:pPr>
              <w:kinsoku/>
              <w:overflowPunct/>
              <w:topLinePunct w:val="0"/>
              <w:bidi w:val="0"/>
              <w:spacing w:line="300" w:lineRule="auto"/>
              <w:rPr>
                <w:szCs w:val="21"/>
              </w:rPr>
            </w:pPr>
            <w:r>
              <w:rPr>
                <w:rFonts w:hint="eastAsia"/>
                <w:szCs w:val="21"/>
              </w:rPr>
              <w:t>其他暂列金额</w:t>
            </w:r>
          </w:p>
        </w:tc>
        <w:tc>
          <w:tcPr>
            <w:tcW w:w="1842" w:type="dxa"/>
            <w:gridSpan w:val="4"/>
            <w:tcBorders>
              <w:right w:val="single" w:color="auto" w:sz="4" w:space="0"/>
            </w:tcBorders>
            <w:noWrap w:val="0"/>
            <w:vAlign w:val="center"/>
          </w:tcPr>
          <w:p>
            <w:pPr>
              <w:kinsoku/>
              <w:overflowPunct/>
              <w:topLinePunct w:val="0"/>
              <w:bidi w:val="0"/>
              <w:spacing w:line="300" w:lineRule="auto"/>
              <w:jc w:val="center"/>
              <w:rPr>
                <w:szCs w:val="21"/>
              </w:rPr>
            </w:pPr>
            <w:r>
              <w:rPr>
                <w:rFonts w:hint="eastAsia"/>
                <w:szCs w:val="21"/>
              </w:rPr>
              <w:t>项</w:t>
            </w:r>
          </w:p>
        </w:tc>
        <w:tc>
          <w:tcPr>
            <w:tcW w:w="1843" w:type="dxa"/>
            <w:gridSpan w:val="5"/>
            <w:tcBorders>
              <w:left w:val="single" w:color="auto" w:sz="4" w:space="0"/>
            </w:tcBorders>
            <w:noWrap w:val="0"/>
            <w:vAlign w:val="center"/>
          </w:tcPr>
          <w:p>
            <w:pPr>
              <w:kinsoku/>
              <w:overflowPunct/>
              <w:topLinePunct w:val="0"/>
              <w:bidi w:val="0"/>
              <w:spacing w:line="300" w:lineRule="auto"/>
              <w:jc w:val="right"/>
              <w:rPr>
                <w:szCs w:val="21"/>
              </w:rPr>
            </w:pPr>
          </w:p>
        </w:tc>
        <w:tc>
          <w:tcPr>
            <w:tcW w:w="1985" w:type="dxa"/>
            <w:gridSpan w:val="4"/>
            <w:noWrap w:val="0"/>
            <w:vAlign w:val="center"/>
          </w:tcPr>
          <w:p>
            <w:pPr>
              <w:kinsoku/>
              <w:overflowPunct/>
              <w:topLinePunct w:val="0"/>
              <w:bidi w:val="0"/>
              <w:spacing w:line="300" w:lineRule="auto"/>
              <w:rPr>
                <w:szCs w:val="21"/>
              </w:rPr>
            </w:pPr>
            <w:r>
              <w:rPr>
                <w:rFonts w:hint="eastAsia"/>
                <w:szCs w:val="21"/>
              </w:rPr>
              <w:t>估算比例一般不高于</w:t>
            </w:r>
            <w:r>
              <w:rPr>
                <w:szCs w:val="21"/>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3"/>
          <w:wAfter w:w="425" w:type="dxa"/>
          <w:trHeight w:val="510" w:hRule="exact"/>
        </w:trPr>
        <w:tc>
          <w:tcPr>
            <w:tcW w:w="750" w:type="dxa"/>
            <w:gridSpan w:val="4"/>
            <w:noWrap w:val="0"/>
            <w:vAlign w:val="center"/>
          </w:tcPr>
          <w:p>
            <w:pPr>
              <w:kinsoku/>
              <w:overflowPunct/>
              <w:topLinePunct w:val="0"/>
              <w:bidi w:val="0"/>
              <w:spacing w:line="300" w:lineRule="auto"/>
              <w:jc w:val="center"/>
              <w:rPr>
                <w:szCs w:val="21"/>
              </w:rPr>
            </w:pPr>
            <w:r>
              <w:rPr>
                <w:szCs w:val="21"/>
              </w:rPr>
              <w:t>3.1</w:t>
            </w:r>
          </w:p>
        </w:tc>
        <w:tc>
          <w:tcPr>
            <w:tcW w:w="2619" w:type="dxa"/>
            <w:gridSpan w:val="3"/>
            <w:noWrap w:val="0"/>
            <w:vAlign w:val="center"/>
          </w:tcPr>
          <w:p>
            <w:pPr>
              <w:kinsoku/>
              <w:overflowPunct/>
              <w:topLinePunct w:val="0"/>
              <w:bidi w:val="0"/>
              <w:spacing w:line="300" w:lineRule="auto"/>
              <w:rPr>
                <w:szCs w:val="21"/>
              </w:rPr>
            </w:pPr>
            <w:r>
              <w:rPr>
                <w:rFonts w:hint="eastAsia"/>
                <w:szCs w:val="21"/>
              </w:rPr>
              <w:t>其他暂列金额</w:t>
            </w:r>
          </w:p>
        </w:tc>
        <w:tc>
          <w:tcPr>
            <w:tcW w:w="1842" w:type="dxa"/>
            <w:gridSpan w:val="4"/>
            <w:tcBorders>
              <w:right w:val="single" w:color="auto" w:sz="4" w:space="0"/>
            </w:tcBorders>
            <w:noWrap w:val="0"/>
            <w:vAlign w:val="center"/>
          </w:tcPr>
          <w:p>
            <w:pPr>
              <w:kinsoku/>
              <w:overflowPunct/>
              <w:topLinePunct w:val="0"/>
              <w:bidi w:val="0"/>
              <w:spacing w:line="300" w:lineRule="auto"/>
              <w:jc w:val="center"/>
              <w:rPr>
                <w:szCs w:val="21"/>
              </w:rPr>
            </w:pPr>
            <w:r>
              <w:rPr>
                <w:rFonts w:hint="eastAsia"/>
                <w:szCs w:val="21"/>
              </w:rPr>
              <w:t>项</w:t>
            </w:r>
          </w:p>
        </w:tc>
        <w:tc>
          <w:tcPr>
            <w:tcW w:w="1843" w:type="dxa"/>
            <w:gridSpan w:val="5"/>
            <w:tcBorders>
              <w:left w:val="single" w:color="auto" w:sz="4" w:space="0"/>
            </w:tcBorders>
            <w:noWrap w:val="0"/>
            <w:vAlign w:val="center"/>
          </w:tcPr>
          <w:p>
            <w:pPr>
              <w:kinsoku/>
              <w:overflowPunct/>
              <w:topLinePunct w:val="0"/>
              <w:bidi w:val="0"/>
              <w:spacing w:line="300" w:lineRule="auto"/>
              <w:jc w:val="right"/>
              <w:rPr>
                <w:szCs w:val="21"/>
              </w:rPr>
            </w:pPr>
          </w:p>
        </w:tc>
        <w:tc>
          <w:tcPr>
            <w:tcW w:w="1985" w:type="dxa"/>
            <w:gridSpan w:val="4"/>
            <w:noWrap w:val="0"/>
            <w:vAlign w:val="center"/>
          </w:tcPr>
          <w:p>
            <w:pPr>
              <w:kinsoku/>
              <w:overflowPunct/>
              <w:topLinePunct w:val="0"/>
              <w:bidi w:val="0"/>
              <w:spacing w:line="300" w:lineRule="auto"/>
              <w:rPr>
                <w:szCs w:val="21"/>
              </w:rPr>
            </w:pPr>
          </w:p>
        </w:tc>
      </w:tr>
      <w:tr>
        <w:tblPrEx>
          <w:tblCellMar>
            <w:top w:w="0" w:type="dxa"/>
            <w:left w:w="108" w:type="dxa"/>
            <w:bottom w:w="0" w:type="dxa"/>
            <w:right w:w="108" w:type="dxa"/>
          </w:tblCellMar>
        </w:tblPrEx>
        <w:trPr>
          <w:gridAfter w:val="3"/>
          <w:wAfter w:w="425" w:type="dxa"/>
          <w:trHeight w:val="510" w:hRule="exact"/>
        </w:trPr>
        <w:tc>
          <w:tcPr>
            <w:tcW w:w="750" w:type="dxa"/>
            <w:gridSpan w:val="4"/>
            <w:noWrap w:val="0"/>
            <w:vAlign w:val="center"/>
          </w:tcPr>
          <w:p>
            <w:pPr>
              <w:kinsoku/>
              <w:overflowPunct/>
              <w:topLinePunct w:val="0"/>
              <w:bidi w:val="0"/>
              <w:spacing w:line="300" w:lineRule="auto"/>
              <w:jc w:val="center"/>
              <w:rPr>
                <w:szCs w:val="21"/>
              </w:rPr>
            </w:pPr>
            <w:r>
              <w:rPr>
                <w:szCs w:val="21"/>
              </w:rPr>
              <w:t>1</w:t>
            </w:r>
          </w:p>
        </w:tc>
        <w:tc>
          <w:tcPr>
            <w:tcW w:w="2619" w:type="dxa"/>
            <w:gridSpan w:val="3"/>
            <w:noWrap w:val="0"/>
            <w:vAlign w:val="center"/>
          </w:tcPr>
          <w:p>
            <w:pPr>
              <w:kinsoku/>
              <w:overflowPunct/>
              <w:topLinePunct w:val="0"/>
              <w:bidi w:val="0"/>
              <w:spacing w:line="300" w:lineRule="auto"/>
              <w:rPr>
                <w:szCs w:val="21"/>
              </w:rPr>
            </w:pPr>
            <w:r>
              <w:rPr>
                <w:rFonts w:hint="eastAsia"/>
                <w:szCs w:val="21"/>
              </w:rPr>
              <w:t>标化工地增加费</w:t>
            </w:r>
          </w:p>
        </w:tc>
        <w:tc>
          <w:tcPr>
            <w:tcW w:w="1842" w:type="dxa"/>
            <w:gridSpan w:val="4"/>
            <w:tcBorders>
              <w:right w:val="single" w:color="auto" w:sz="4" w:space="0"/>
            </w:tcBorders>
            <w:noWrap w:val="0"/>
            <w:vAlign w:val="center"/>
          </w:tcPr>
          <w:p>
            <w:pPr>
              <w:kinsoku/>
              <w:overflowPunct/>
              <w:topLinePunct w:val="0"/>
              <w:bidi w:val="0"/>
              <w:spacing w:line="300" w:lineRule="auto"/>
              <w:jc w:val="center"/>
              <w:rPr>
                <w:szCs w:val="21"/>
              </w:rPr>
            </w:pPr>
            <w:r>
              <w:rPr>
                <w:rFonts w:hint="eastAsia"/>
                <w:szCs w:val="21"/>
              </w:rPr>
              <w:t>项</w:t>
            </w:r>
          </w:p>
        </w:tc>
        <w:tc>
          <w:tcPr>
            <w:tcW w:w="1843" w:type="dxa"/>
            <w:gridSpan w:val="5"/>
            <w:tcBorders>
              <w:left w:val="single" w:color="auto" w:sz="4" w:space="0"/>
            </w:tcBorders>
            <w:noWrap w:val="0"/>
            <w:vAlign w:val="center"/>
          </w:tcPr>
          <w:p>
            <w:pPr>
              <w:kinsoku/>
              <w:overflowPunct/>
              <w:topLinePunct w:val="0"/>
              <w:bidi w:val="0"/>
              <w:spacing w:line="300" w:lineRule="auto"/>
              <w:jc w:val="right"/>
              <w:rPr>
                <w:szCs w:val="21"/>
              </w:rPr>
            </w:pPr>
          </w:p>
        </w:tc>
        <w:tc>
          <w:tcPr>
            <w:tcW w:w="1985" w:type="dxa"/>
            <w:gridSpan w:val="4"/>
            <w:noWrap w:val="0"/>
            <w:vAlign w:val="center"/>
          </w:tcPr>
          <w:p>
            <w:pPr>
              <w:kinsoku/>
              <w:overflowPunct/>
              <w:topLinePunct w:val="0"/>
              <w:bidi w:val="0"/>
              <w:spacing w:line="300" w:lineRule="auto"/>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3"/>
          <w:wAfter w:w="425" w:type="dxa"/>
          <w:trHeight w:val="510" w:hRule="exact"/>
        </w:trPr>
        <w:tc>
          <w:tcPr>
            <w:tcW w:w="750" w:type="dxa"/>
            <w:gridSpan w:val="4"/>
            <w:noWrap w:val="0"/>
            <w:vAlign w:val="center"/>
          </w:tcPr>
          <w:p>
            <w:pPr>
              <w:kinsoku/>
              <w:overflowPunct/>
              <w:topLinePunct w:val="0"/>
              <w:bidi w:val="0"/>
              <w:spacing w:line="300" w:lineRule="auto"/>
              <w:jc w:val="center"/>
              <w:rPr>
                <w:szCs w:val="21"/>
              </w:rPr>
            </w:pPr>
          </w:p>
        </w:tc>
        <w:tc>
          <w:tcPr>
            <w:tcW w:w="2619" w:type="dxa"/>
            <w:gridSpan w:val="3"/>
            <w:noWrap w:val="0"/>
            <w:vAlign w:val="center"/>
          </w:tcPr>
          <w:p>
            <w:pPr>
              <w:kinsoku/>
              <w:overflowPunct/>
              <w:topLinePunct w:val="0"/>
              <w:bidi w:val="0"/>
              <w:spacing w:line="300" w:lineRule="auto"/>
              <w:jc w:val="center"/>
              <w:rPr>
                <w:szCs w:val="21"/>
              </w:rPr>
            </w:pPr>
          </w:p>
        </w:tc>
        <w:tc>
          <w:tcPr>
            <w:tcW w:w="1842" w:type="dxa"/>
            <w:gridSpan w:val="4"/>
            <w:tcBorders>
              <w:right w:val="single" w:color="auto" w:sz="4" w:space="0"/>
            </w:tcBorders>
            <w:noWrap w:val="0"/>
            <w:vAlign w:val="center"/>
          </w:tcPr>
          <w:p>
            <w:pPr>
              <w:kinsoku/>
              <w:overflowPunct/>
              <w:topLinePunct w:val="0"/>
              <w:bidi w:val="0"/>
              <w:spacing w:line="300" w:lineRule="auto"/>
              <w:jc w:val="center"/>
              <w:rPr>
                <w:szCs w:val="21"/>
              </w:rPr>
            </w:pPr>
          </w:p>
        </w:tc>
        <w:tc>
          <w:tcPr>
            <w:tcW w:w="1843" w:type="dxa"/>
            <w:gridSpan w:val="5"/>
            <w:tcBorders>
              <w:left w:val="single" w:color="auto" w:sz="4" w:space="0"/>
            </w:tcBorders>
            <w:noWrap w:val="0"/>
            <w:vAlign w:val="center"/>
          </w:tcPr>
          <w:p>
            <w:pPr>
              <w:kinsoku/>
              <w:overflowPunct/>
              <w:topLinePunct w:val="0"/>
              <w:bidi w:val="0"/>
              <w:spacing w:line="300" w:lineRule="auto"/>
              <w:jc w:val="center"/>
              <w:rPr>
                <w:szCs w:val="21"/>
              </w:rPr>
            </w:pPr>
          </w:p>
        </w:tc>
        <w:tc>
          <w:tcPr>
            <w:tcW w:w="1985" w:type="dxa"/>
            <w:gridSpan w:val="4"/>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3"/>
          <w:wAfter w:w="425" w:type="dxa"/>
          <w:trHeight w:val="510" w:hRule="exact"/>
        </w:trPr>
        <w:tc>
          <w:tcPr>
            <w:tcW w:w="750" w:type="dxa"/>
            <w:gridSpan w:val="4"/>
            <w:noWrap w:val="0"/>
            <w:vAlign w:val="center"/>
          </w:tcPr>
          <w:p>
            <w:pPr>
              <w:kinsoku/>
              <w:overflowPunct/>
              <w:topLinePunct w:val="0"/>
              <w:bidi w:val="0"/>
              <w:spacing w:line="300" w:lineRule="auto"/>
              <w:jc w:val="center"/>
              <w:rPr>
                <w:szCs w:val="21"/>
              </w:rPr>
            </w:pPr>
          </w:p>
        </w:tc>
        <w:tc>
          <w:tcPr>
            <w:tcW w:w="2619" w:type="dxa"/>
            <w:gridSpan w:val="3"/>
            <w:noWrap w:val="0"/>
            <w:vAlign w:val="center"/>
          </w:tcPr>
          <w:p>
            <w:pPr>
              <w:kinsoku/>
              <w:overflowPunct/>
              <w:topLinePunct w:val="0"/>
              <w:bidi w:val="0"/>
              <w:spacing w:line="300" w:lineRule="auto"/>
              <w:jc w:val="center"/>
              <w:rPr>
                <w:szCs w:val="21"/>
              </w:rPr>
            </w:pPr>
          </w:p>
        </w:tc>
        <w:tc>
          <w:tcPr>
            <w:tcW w:w="1842" w:type="dxa"/>
            <w:gridSpan w:val="4"/>
            <w:tcBorders>
              <w:right w:val="single" w:color="auto" w:sz="4" w:space="0"/>
            </w:tcBorders>
            <w:noWrap w:val="0"/>
            <w:vAlign w:val="center"/>
          </w:tcPr>
          <w:p>
            <w:pPr>
              <w:kinsoku/>
              <w:overflowPunct/>
              <w:topLinePunct w:val="0"/>
              <w:bidi w:val="0"/>
              <w:spacing w:line="300" w:lineRule="auto"/>
              <w:jc w:val="center"/>
              <w:rPr>
                <w:szCs w:val="21"/>
              </w:rPr>
            </w:pPr>
          </w:p>
        </w:tc>
        <w:tc>
          <w:tcPr>
            <w:tcW w:w="1843" w:type="dxa"/>
            <w:gridSpan w:val="5"/>
            <w:tcBorders>
              <w:left w:val="single" w:color="auto" w:sz="4" w:space="0"/>
            </w:tcBorders>
            <w:noWrap w:val="0"/>
            <w:vAlign w:val="center"/>
          </w:tcPr>
          <w:p>
            <w:pPr>
              <w:kinsoku/>
              <w:overflowPunct/>
              <w:topLinePunct w:val="0"/>
              <w:bidi w:val="0"/>
              <w:spacing w:line="300" w:lineRule="auto"/>
              <w:jc w:val="center"/>
              <w:rPr>
                <w:szCs w:val="21"/>
              </w:rPr>
            </w:pPr>
          </w:p>
        </w:tc>
        <w:tc>
          <w:tcPr>
            <w:tcW w:w="1985" w:type="dxa"/>
            <w:gridSpan w:val="4"/>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3"/>
          <w:wAfter w:w="425" w:type="dxa"/>
          <w:trHeight w:val="510" w:hRule="exact"/>
        </w:trPr>
        <w:tc>
          <w:tcPr>
            <w:tcW w:w="750" w:type="dxa"/>
            <w:gridSpan w:val="4"/>
            <w:noWrap w:val="0"/>
            <w:vAlign w:val="center"/>
          </w:tcPr>
          <w:p>
            <w:pPr>
              <w:kinsoku/>
              <w:overflowPunct/>
              <w:topLinePunct w:val="0"/>
              <w:bidi w:val="0"/>
              <w:spacing w:line="300" w:lineRule="auto"/>
              <w:jc w:val="center"/>
              <w:rPr>
                <w:szCs w:val="21"/>
              </w:rPr>
            </w:pPr>
          </w:p>
        </w:tc>
        <w:tc>
          <w:tcPr>
            <w:tcW w:w="2619" w:type="dxa"/>
            <w:gridSpan w:val="3"/>
            <w:noWrap w:val="0"/>
            <w:vAlign w:val="center"/>
          </w:tcPr>
          <w:p>
            <w:pPr>
              <w:kinsoku/>
              <w:overflowPunct/>
              <w:topLinePunct w:val="0"/>
              <w:bidi w:val="0"/>
              <w:spacing w:line="300" w:lineRule="auto"/>
              <w:jc w:val="center"/>
              <w:rPr>
                <w:szCs w:val="21"/>
              </w:rPr>
            </w:pPr>
          </w:p>
        </w:tc>
        <w:tc>
          <w:tcPr>
            <w:tcW w:w="1842" w:type="dxa"/>
            <w:gridSpan w:val="4"/>
            <w:tcBorders>
              <w:right w:val="single" w:color="auto" w:sz="4" w:space="0"/>
            </w:tcBorders>
            <w:noWrap w:val="0"/>
            <w:vAlign w:val="center"/>
          </w:tcPr>
          <w:p>
            <w:pPr>
              <w:kinsoku/>
              <w:overflowPunct/>
              <w:topLinePunct w:val="0"/>
              <w:bidi w:val="0"/>
              <w:spacing w:line="300" w:lineRule="auto"/>
              <w:jc w:val="center"/>
              <w:rPr>
                <w:szCs w:val="21"/>
              </w:rPr>
            </w:pPr>
          </w:p>
        </w:tc>
        <w:tc>
          <w:tcPr>
            <w:tcW w:w="1843" w:type="dxa"/>
            <w:gridSpan w:val="5"/>
            <w:tcBorders>
              <w:left w:val="single" w:color="auto" w:sz="4" w:space="0"/>
            </w:tcBorders>
            <w:noWrap w:val="0"/>
            <w:vAlign w:val="center"/>
          </w:tcPr>
          <w:p>
            <w:pPr>
              <w:kinsoku/>
              <w:overflowPunct/>
              <w:topLinePunct w:val="0"/>
              <w:bidi w:val="0"/>
              <w:spacing w:line="300" w:lineRule="auto"/>
              <w:jc w:val="center"/>
              <w:rPr>
                <w:szCs w:val="21"/>
              </w:rPr>
            </w:pPr>
          </w:p>
        </w:tc>
        <w:tc>
          <w:tcPr>
            <w:tcW w:w="1985" w:type="dxa"/>
            <w:gridSpan w:val="4"/>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3"/>
          <w:wAfter w:w="425" w:type="dxa"/>
          <w:trHeight w:val="510" w:hRule="exact"/>
        </w:trPr>
        <w:tc>
          <w:tcPr>
            <w:tcW w:w="750" w:type="dxa"/>
            <w:gridSpan w:val="4"/>
            <w:noWrap w:val="0"/>
            <w:vAlign w:val="center"/>
          </w:tcPr>
          <w:p>
            <w:pPr>
              <w:kinsoku/>
              <w:overflowPunct/>
              <w:topLinePunct w:val="0"/>
              <w:bidi w:val="0"/>
              <w:spacing w:line="300" w:lineRule="auto"/>
              <w:jc w:val="center"/>
              <w:rPr>
                <w:szCs w:val="21"/>
              </w:rPr>
            </w:pPr>
          </w:p>
        </w:tc>
        <w:tc>
          <w:tcPr>
            <w:tcW w:w="2619" w:type="dxa"/>
            <w:gridSpan w:val="3"/>
            <w:noWrap w:val="0"/>
            <w:vAlign w:val="center"/>
          </w:tcPr>
          <w:p>
            <w:pPr>
              <w:kinsoku/>
              <w:overflowPunct/>
              <w:topLinePunct w:val="0"/>
              <w:bidi w:val="0"/>
              <w:spacing w:line="300" w:lineRule="auto"/>
              <w:jc w:val="center"/>
              <w:rPr>
                <w:szCs w:val="21"/>
              </w:rPr>
            </w:pPr>
          </w:p>
        </w:tc>
        <w:tc>
          <w:tcPr>
            <w:tcW w:w="1842" w:type="dxa"/>
            <w:gridSpan w:val="4"/>
            <w:tcBorders>
              <w:right w:val="single" w:color="auto" w:sz="4" w:space="0"/>
            </w:tcBorders>
            <w:noWrap w:val="0"/>
            <w:vAlign w:val="center"/>
          </w:tcPr>
          <w:p>
            <w:pPr>
              <w:kinsoku/>
              <w:overflowPunct/>
              <w:topLinePunct w:val="0"/>
              <w:bidi w:val="0"/>
              <w:spacing w:line="300" w:lineRule="auto"/>
              <w:jc w:val="center"/>
              <w:rPr>
                <w:szCs w:val="21"/>
              </w:rPr>
            </w:pPr>
          </w:p>
        </w:tc>
        <w:tc>
          <w:tcPr>
            <w:tcW w:w="1843" w:type="dxa"/>
            <w:gridSpan w:val="5"/>
            <w:tcBorders>
              <w:left w:val="single" w:color="auto" w:sz="4" w:space="0"/>
            </w:tcBorders>
            <w:noWrap w:val="0"/>
            <w:vAlign w:val="center"/>
          </w:tcPr>
          <w:p>
            <w:pPr>
              <w:kinsoku/>
              <w:overflowPunct/>
              <w:topLinePunct w:val="0"/>
              <w:bidi w:val="0"/>
              <w:spacing w:line="300" w:lineRule="auto"/>
              <w:jc w:val="center"/>
              <w:rPr>
                <w:szCs w:val="21"/>
              </w:rPr>
            </w:pPr>
          </w:p>
        </w:tc>
        <w:tc>
          <w:tcPr>
            <w:tcW w:w="1985" w:type="dxa"/>
            <w:gridSpan w:val="4"/>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3"/>
          <w:wAfter w:w="425" w:type="dxa"/>
          <w:trHeight w:val="510" w:hRule="exact"/>
        </w:trPr>
        <w:tc>
          <w:tcPr>
            <w:tcW w:w="750" w:type="dxa"/>
            <w:gridSpan w:val="4"/>
            <w:noWrap w:val="0"/>
            <w:vAlign w:val="center"/>
          </w:tcPr>
          <w:p>
            <w:pPr>
              <w:kinsoku/>
              <w:overflowPunct/>
              <w:topLinePunct w:val="0"/>
              <w:bidi w:val="0"/>
              <w:spacing w:line="300" w:lineRule="auto"/>
              <w:jc w:val="center"/>
              <w:rPr>
                <w:szCs w:val="21"/>
              </w:rPr>
            </w:pPr>
          </w:p>
        </w:tc>
        <w:tc>
          <w:tcPr>
            <w:tcW w:w="2619" w:type="dxa"/>
            <w:gridSpan w:val="3"/>
            <w:noWrap w:val="0"/>
            <w:vAlign w:val="center"/>
          </w:tcPr>
          <w:p>
            <w:pPr>
              <w:kinsoku/>
              <w:overflowPunct/>
              <w:topLinePunct w:val="0"/>
              <w:bidi w:val="0"/>
              <w:spacing w:line="300" w:lineRule="auto"/>
              <w:jc w:val="center"/>
              <w:rPr>
                <w:szCs w:val="21"/>
              </w:rPr>
            </w:pPr>
          </w:p>
        </w:tc>
        <w:tc>
          <w:tcPr>
            <w:tcW w:w="1842" w:type="dxa"/>
            <w:gridSpan w:val="4"/>
            <w:tcBorders>
              <w:right w:val="single" w:color="auto" w:sz="4" w:space="0"/>
            </w:tcBorders>
            <w:noWrap w:val="0"/>
            <w:vAlign w:val="center"/>
          </w:tcPr>
          <w:p>
            <w:pPr>
              <w:kinsoku/>
              <w:overflowPunct/>
              <w:topLinePunct w:val="0"/>
              <w:bidi w:val="0"/>
              <w:spacing w:line="300" w:lineRule="auto"/>
              <w:jc w:val="center"/>
              <w:rPr>
                <w:szCs w:val="21"/>
              </w:rPr>
            </w:pPr>
          </w:p>
        </w:tc>
        <w:tc>
          <w:tcPr>
            <w:tcW w:w="1843" w:type="dxa"/>
            <w:gridSpan w:val="5"/>
            <w:tcBorders>
              <w:left w:val="single" w:color="auto" w:sz="4" w:space="0"/>
            </w:tcBorders>
            <w:noWrap w:val="0"/>
            <w:vAlign w:val="center"/>
          </w:tcPr>
          <w:p>
            <w:pPr>
              <w:kinsoku/>
              <w:overflowPunct/>
              <w:topLinePunct w:val="0"/>
              <w:bidi w:val="0"/>
              <w:spacing w:line="300" w:lineRule="auto"/>
              <w:jc w:val="center"/>
              <w:rPr>
                <w:szCs w:val="21"/>
              </w:rPr>
            </w:pPr>
          </w:p>
        </w:tc>
        <w:tc>
          <w:tcPr>
            <w:tcW w:w="1985" w:type="dxa"/>
            <w:gridSpan w:val="4"/>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3"/>
          <w:wAfter w:w="425" w:type="dxa"/>
          <w:trHeight w:val="510" w:hRule="exact"/>
        </w:trPr>
        <w:tc>
          <w:tcPr>
            <w:tcW w:w="750" w:type="dxa"/>
            <w:gridSpan w:val="4"/>
            <w:noWrap w:val="0"/>
            <w:vAlign w:val="center"/>
          </w:tcPr>
          <w:p>
            <w:pPr>
              <w:kinsoku/>
              <w:overflowPunct/>
              <w:topLinePunct w:val="0"/>
              <w:bidi w:val="0"/>
              <w:spacing w:line="300" w:lineRule="auto"/>
              <w:jc w:val="center"/>
              <w:rPr>
                <w:szCs w:val="21"/>
              </w:rPr>
            </w:pPr>
          </w:p>
        </w:tc>
        <w:tc>
          <w:tcPr>
            <w:tcW w:w="2619" w:type="dxa"/>
            <w:gridSpan w:val="3"/>
            <w:noWrap w:val="0"/>
            <w:vAlign w:val="center"/>
          </w:tcPr>
          <w:p>
            <w:pPr>
              <w:kinsoku/>
              <w:overflowPunct/>
              <w:topLinePunct w:val="0"/>
              <w:bidi w:val="0"/>
              <w:spacing w:line="300" w:lineRule="auto"/>
              <w:jc w:val="center"/>
              <w:rPr>
                <w:szCs w:val="21"/>
              </w:rPr>
            </w:pPr>
          </w:p>
        </w:tc>
        <w:tc>
          <w:tcPr>
            <w:tcW w:w="1842" w:type="dxa"/>
            <w:gridSpan w:val="4"/>
            <w:tcBorders>
              <w:right w:val="single" w:color="auto" w:sz="4" w:space="0"/>
            </w:tcBorders>
            <w:noWrap w:val="0"/>
            <w:vAlign w:val="center"/>
          </w:tcPr>
          <w:p>
            <w:pPr>
              <w:kinsoku/>
              <w:overflowPunct/>
              <w:topLinePunct w:val="0"/>
              <w:bidi w:val="0"/>
              <w:spacing w:line="300" w:lineRule="auto"/>
              <w:jc w:val="center"/>
              <w:rPr>
                <w:szCs w:val="21"/>
              </w:rPr>
            </w:pPr>
          </w:p>
        </w:tc>
        <w:tc>
          <w:tcPr>
            <w:tcW w:w="1843" w:type="dxa"/>
            <w:gridSpan w:val="5"/>
            <w:tcBorders>
              <w:left w:val="single" w:color="auto" w:sz="4" w:space="0"/>
            </w:tcBorders>
            <w:noWrap w:val="0"/>
            <w:vAlign w:val="center"/>
          </w:tcPr>
          <w:p>
            <w:pPr>
              <w:kinsoku/>
              <w:overflowPunct/>
              <w:topLinePunct w:val="0"/>
              <w:bidi w:val="0"/>
              <w:spacing w:line="300" w:lineRule="auto"/>
              <w:jc w:val="center"/>
              <w:rPr>
                <w:szCs w:val="21"/>
              </w:rPr>
            </w:pPr>
          </w:p>
        </w:tc>
        <w:tc>
          <w:tcPr>
            <w:tcW w:w="1985" w:type="dxa"/>
            <w:gridSpan w:val="4"/>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3"/>
          <w:wAfter w:w="425" w:type="dxa"/>
          <w:trHeight w:val="510" w:hRule="exact"/>
        </w:trPr>
        <w:tc>
          <w:tcPr>
            <w:tcW w:w="750" w:type="dxa"/>
            <w:gridSpan w:val="4"/>
            <w:noWrap w:val="0"/>
            <w:vAlign w:val="center"/>
          </w:tcPr>
          <w:p>
            <w:pPr>
              <w:kinsoku/>
              <w:overflowPunct/>
              <w:topLinePunct w:val="0"/>
              <w:bidi w:val="0"/>
              <w:spacing w:line="300" w:lineRule="auto"/>
              <w:jc w:val="center"/>
              <w:rPr>
                <w:szCs w:val="21"/>
              </w:rPr>
            </w:pPr>
          </w:p>
        </w:tc>
        <w:tc>
          <w:tcPr>
            <w:tcW w:w="2619" w:type="dxa"/>
            <w:gridSpan w:val="3"/>
            <w:noWrap w:val="0"/>
            <w:vAlign w:val="center"/>
          </w:tcPr>
          <w:p>
            <w:pPr>
              <w:kinsoku/>
              <w:overflowPunct/>
              <w:topLinePunct w:val="0"/>
              <w:bidi w:val="0"/>
              <w:spacing w:line="300" w:lineRule="auto"/>
              <w:jc w:val="center"/>
              <w:rPr>
                <w:szCs w:val="21"/>
              </w:rPr>
            </w:pPr>
          </w:p>
        </w:tc>
        <w:tc>
          <w:tcPr>
            <w:tcW w:w="1842" w:type="dxa"/>
            <w:gridSpan w:val="4"/>
            <w:tcBorders>
              <w:right w:val="single" w:color="auto" w:sz="4" w:space="0"/>
            </w:tcBorders>
            <w:noWrap w:val="0"/>
            <w:vAlign w:val="center"/>
          </w:tcPr>
          <w:p>
            <w:pPr>
              <w:kinsoku/>
              <w:overflowPunct/>
              <w:topLinePunct w:val="0"/>
              <w:bidi w:val="0"/>
              <w:spacing w:line="300" w:lineRule="auto"/>
              <w:jc w:val="center"/>
              <w:rPr>
                <w:szCs w:val="21"/>
              </w:rPr>
            </w:pPr>
          </w:p>
        </w:tc>
        <w:tc>
          <w:tcPr>
            <w:tcW w:w="1843" w:type="dxa"/>
            <w:gridSpan w:val="5"/>
            <w:tcBorders>
              <w:left w:val="single" w:color="auto" w:sz="4" w:space="0"/>
            </w:tcBorders>
            <w:noWrap w:val="0"/>
            <w:vAlign w:val="center"/>
          </w:tcPr>
          <w:p>
            <w:pPr>
              <w:kinsoku/>
              <w:overflowPunct/>
              <w:topLinePunct w:val="0"/>
              <w:bidi w:val="0"/>
              <w:spacing w:line="300" w:lineRule="auto"/>
              <w:jc w:val="center"/>
              <w:rPr>
                <w:szCs w:val="21"/>
              </w:rPr>
            </w:pPr>
          </w:p>
        </w:tc>
        <w:tc>
          <w:tcPr>
            <w:tcW w:w="1985" w:type="dxa"/>
            <w:gridSpan w:val="4"/>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3"/>
          <w:wAfter w:w="425" w:type="dxa"/>
          <w:trHeight w:val="510" w:hRule="exact"/>
        </w:trPr>
        <w:tc>
          <w:tcPr>
            <w:tcW w:w="750" w:type="dxa"/>
            <w:gridSpan w:val="4"/>
            <w:noWrap w:val="0"/>
            <w:vAlign w:val="center"/>
          </w:tcPr>
          <w:p>
            <w:pPr>
              <w:kinsoku/>
              <w:overflowPunct/>
              <w:topLinePunct w:val="0"/>
              <w:bidi w:val="0"/>
              <w:spacing w:line="300" w:lineRule="auto"/>
              <w:jc w:val="center"/>
              <w:rPr>
                <w:szCs w:val="21"/>
              </w:rPr>
            </w:pPr>
          </w:p>
        </w:tc>
        <w:tc>
          <w:tcPr>
            <w:tcW w:w="2619" w:type="dxa"/>
            <w:gridSpan w:val="3"/>
            <w:noWrap w:val="0"/>
            <w:vAlign w:val="center"/>
          </w:tcPr>
          <w:p>
            <w:pPr>
              <w:kinsoku/>
              <w:overflowPunct/>
              <w:topLinePunct w:val="0"/>
              <w:bidi w:val="0"/>
              <w:spacing w:line="300" w:lineRule="auto"/>
              <w:jc w:val="center"/>
              <w:rPr>
                <w:szCs w:val="21"/>
              </w:rPr>
            </w:pPr>
          </w:p>
        </w:tc>
        <w:tc>
          <w:tcPr>
            <w:tcW w:w="1842" w:type="dxa"/>
            <w:gridSpan w:val="4"/>
            <w:tcBorders>
              <w:right w:val="single" w:color="auto" w:sz="4" w:space="0"/>
            </w:tcBorders>
            <w:noWrap w:val="0"/>
            <w:vAlign w:val="center"/>
          </w:tcPr>
          <w:p>
            <w:pPr>
              <w:kinsoku/>
              <w:overflowPunct/>
              <w:topLinePunct w:val="0"/>
              <w:bidi w:val="0"/>
              <w:spacing w:line="300" w:lineRule="auto"/>
              <w:jc w:val="center"/>
              <w:rPr>
                <w:szCs w:val="21"/>
              </w:rPr>
            </w:pPr>
          </w:p>
        </w:tc>
        <w:tc>
          <w:tcPr>
            <w:tcW w:w="1843" w:type="dxa"/>
            <w:gridSpan w:val="5"/>
            <w:tcBorders>
              <w:left w:val="single" w:color="auto" w:sz="4" w:space="0"/>
            </w:tcBorders>
            <w:noWrap w:val="0"/>
            <w:vAlign w:val="center"/>
          </w:tcPr>
          <w:p>
            <w:pPr>
              <w:kinsoku/>
              <w:overflowPunct/>
              <w:topLinePunct w:val="0"/>
              <w:bidi w:val="0"/>
              <w:spacing w:line="300" w:lineRule="auto"/>
              <w:jc w:val="center"/>
              <w:rPr>
                <w:szCs w:val="21"/>
              </w:rPr>
            </w:pPr>
          </w:p>
        </w:tc>
        <w:tc>
          <w:tcPr>
            <w:tcW w:w="1985" w:type="dxa"/>
            <w:gridSpan w:val="4"/>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3"/>
          <w:wAfter w:w="425" w:type="dxa"/>
          <w:trHeight w:val="510" w:hRule="exact"/>
        </w:trPr>
        <w:tc>
          <w:tcPr>
            <w:tcW w:w="750" w:type="dxa"/>
            <w:gridSpan w:val="4"/>
            <w:noWrap w:val="0"/>
            <w:vAlign w:val="center"/>
          </w:tcPr>
          <w:p>
            <w:pPr>
              <w:kinsoku/>
              <w:overflowPunct/>
              <w:topLinePunct w:val="0"/>
              <w:bidi w:val="0"/>
              <w:spacing w:line="300" w:lineRule="auto"/>
              <w:jc w:val="center"/>
              <w:rPr>
                <w:szCs w:val="21"/>
              </w:rPr>
            </w:pPr>
          </w:p>
        </w:tc>
        <w:tc>
          <w:tcPr>
            <w:tcW w:w="2619" w:type="dxa"/>
            <w:gridSpan w:val="3"/>
            <w:noWrap w:val="0"/>
            <w:vAlign w:val="center"/>
          </w:tcPr>
          <w:p>
            <w:pPr>
              <w:kinsoku/>
              <w:overflowPunct/>
              <w:topLinePunct w:val="0"/>
              <w:bidi w:val="0"/>
              <w:spacing w:line="300" w:lineRule="auto"/>
              <w:jc w:val="center"/>
              <w:rPr>
                <w:szCs w:val="21"/>
              </w:rPr>
            </w:pPr>
          </w:p>
        </w:tc>
        <w:tc>
          <w:tcPr>
            <w:tcW w:w="1842" w:type="dxa"/>
            <w:gridSpan w:val="4"/>
            <w:tcBorders>
              <w:right w:val="single" w:color="auto" w:sz="4" w:space="0"/>
            </w:tcBorders>
            <w:noWrap w:val="0"/>
            <w:vAlign w:val="center"/>
          </w:tcPr>
          <w:p>
            <w:pPr>
              <w:kinsoku/>
              <w:overflowPunct/>
              <w:topLinePunct w:val="0"/>
              <w:bidi w:val="0"/>
              <w:spacing w:line="300" w:lineRule="auto"/>
              <w:jc w:val="center"/>
              <w:rPr>
                <w:szCs w:val="21"/>
              </w:rPr>
            </w:pPr>
          </w:p>
        </w:tc>
        <w:tc>
          <w:tcPr>
            <w:tcW w:w="1843" w:type="dxa"/>
            <w:gridSpan w:val="5"/>
            <w:tcBorders>
              <w:left w:val="single" w:color="auto" w:sz="4" w:space="0"/>
            </w:tcBorders>
            <w:noWrap w:val="0"/>
            <w:vAlign w:val="center"/>
          </w:tcPr>
          <w:p>
            <w:pPr>
              <w:kinsoku/>
              <w:overflowPunct/>
              <w:topLinePunct w:val="0"/>
              <w:bidi w:val="0"/>
              <w:spacing w:line="300" w:lineRule="auto"/>
              <w:jc w:val="center"/>
              <w:rPr>
                <w:szCs w:val="21"/>
              </w:rPr>
            </w:pPr>
          </w:p>
        </w:tc>
        <w:tc>
          <w:tcPr>
            <w:tcW w:w="1985" w:type="dxa"/>
            <w:gridSpan w:val="4"/>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3"/>
          <w:wAfter w:w="425" w:type="dxa"/>
          <w:trHeight w:val="510" w:hRule="exact"/>
        </w:trPr>
        <w:tc>
          <w:tcPr>
            <w:tcW w:w="750" w:type="dxa"/>
            <w:gridSpan w:val="4"/>
            <w:noWrap w:val="0"/>
            <w:vAlign w:val="center"/>
          </w:tcPr>
          <w:p>
            <w:pPr>
              <w:kinsoku/>
              <w:overflowPunct/>
              <w:topLinePunct w:val="0"/>
              <w:bidi w:val="0"/>
              <w:spacing w:line="300" w:lineRule="auto"/>
              <w:jc w:val="center"/>
              <w:rPr>
                <w:szCs w:val="21"/>
              </w:rPr>
            </w:pPr>
          </w:p>
        </w:tc>
        <w:tc>
          <w:tcPr>
            <w:tcW w:w="2619" w:type="dxa"/>
            <w:gridSpan w:val="3"/>
            <w:noWrap w:val="0"/>
            <w:vAlign w:val="center"/>
          </w:tcPr>
          <w:p>
            <w:pPr>
              <w:kinsoku/>
              <w:overflowPunct/>
              <w:topLinePunct w:val="0"/>
              <w:bidi w:val="0"/>
              <w:spacing w:line="300" w:lineRule="auto"/>
              <w:jc w:val="center"/>
              <w:rPr>
                <w:szCs w:val="21"/>
              </w:rPr>
            </w:pPr>
          </w:p>
        </w:tc>
        <w:tc>
          <w:tcPr>
            <w:tcW w:w="1842" w:type="dxa"/>
            <w:gridSpan w:val="4"/>
            <w:tcBorders>
              <w:right w:val="single" w:color="auto" w:sz="4" w:space="0"/>
            </w:tcBorders>
            <w:noWrap w:val="0"/>
            <w:vAlign w:val="center"/>
          </w:tcPr>
          <w:p>
            <w:pPr>
              <w:kinsoku/>
              <w:overflowPunct/>
              <w:topLinePunct w:val="0"/>
              <w:bidi w:val="0"/>
              <w:spacing w:line="300" w:lineRule="auto"/>
              <w:jc w:val="center"/>
              <w:rPr>
                <w:szCs w:val="21"/>
              </w:rPr>
            </w:pPr>
          </w:p>
        </w:tc>
        <w:tc>
          <w:tcPr>
            <w:tcW w:w="1843" w:type="dxa"/>
            <w:gridSpan w:val="5"/>
            <w:tcBorders>
              <w:left w:val="single" w:color="auto" w:sz="4" w:space="0"/>
            </w:tcBorders>
            <w:noWrap w:val="0"/>
            <w:vAlign w:val="center"/>
          </w:tcPr>
          <w:p>
            <w:pPr>
              <w:kinsoku/>
              <w:overflowPunct/>
              <w:topLinePunct w:val="0"/>
              <w:bidi w:val="0"/>
              <w:spacing w:line="300" w:lineRule="auto"/>
              <w:jc w:val="center"/>
              <w:rPr>
                <w:szCs w:val="21"/>
              </w:rPr>
            </w:pPr>
          </w:p>
        </w:tc>
        <w:tc>
          <w:tcPr>
            <w:tcW w:w="1985" w:type="dxa"/>
            <w:gridSpan w:val="4"/>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3"/>
          <w:wAfter w:w="425" w:type="dxa"/>
          <w:trHeight w:val="510" w:hRule="exact"/>
        </w:trPr>
        <w:tc>
          <w:tcPr>
            <w:tcW w:w="750" w:type="dxa"/>
            <w:gridSpan w:val="4"/>
            <w:noWrap w:val="0"/>
            <w:vAlign w:val="center"/>
          </w:tcPr>
          <w:p>
            <w:pPr>
              <w:kinsoku/>
              <w:overflowPunct/>
              <w:topLinePunct w:val="0"/>
              <w:bidi w:val="0"/>
              <w:spacing w:line="300" w:lineRule="auto"/>
              <w:jc w:val="center"/>
              <w:rPr>
                <w:szCs w:val="21"/>
              </w:rPr>
            </w:pPr>
          </w:p>
        </w:tc>
        <w:tc>
          <w:tcPr>
            <w:tcW w:w="2619" w:type="dxa"/>
            <w:gridSpan w:val="3"/>
            <w:noWrap w:val="0"/>
            <w:vAlign w:val="center"/>
          </w:tcPr>
          <w:p>
            <w:pPr>
              <w:kinsoku/>
              <w:overflowPunct/>
              <w:topLinePunct w:val="0"/>
              <w:bidi w:val="0"/>
              <w:spacing w:line="300" w:lineRule="auto"/>
              <w:jc w:val="center"/>
              <w:rPr>
                <w:szCs w:val="21"/>
              </w:rPr>
            </w:pPr>
          </w:p>
        </w:tc>
        <w:tc>
          <w:tcPr>
            <w:tcW w:w="1842" w:type="dxa"/>
            <w:gridSpan w:val="4"/>
            <w:tcBorders>
              <w:right w:val="single" w:color="auto" w:sz="4" w:space="0"/>
            </w:tcBorders>
            <w:noWrap w:val="0"/>
            <w:vAlign w:val="center"/>
          </w:tcPr>
          <w:p>
            <w:pPr>
              <w:kinsoku/>
              <w:overflowPunct/>
              <w:topLinePunct w:val="0"/>
              <w:bidi w:val="0"/>
              <w:spacing w:line="300" w:lineRule="auto"/>
              <w:jc w:val="center"/>
              <w:rPr>
                <w:szCs w:val="21"/>
              </w:rPr>
            </w:pPr>
          </w:p>
        </w:tc>
        <w:tc>
          <w:tcPr>
            <w:tcW w:w="1843" w:type="dxa"/>
            <w:gridSpan w:val="5"/>
            <w:tcBorders>
              <w:left w:val="single" w:color="auto" w:sz="4" w:space="0"/>
            </w:tcBorders>
            <w:noWrap w:val="0"/>
            <w:vAlign w:val="center"/>
          </w:tcPr>
          <w:p>
            <w:pPr>
              <w:kinsoku/>
              <w:overflowPunct/>
              <w:topLinePunct w:val="0"/>
              <w:bidi w:val="0"/>
              <w:spacing w:line="300" w:lineRule="auto"/>
              <w:jc w:val="center"/>
              <w:rPr>
                <w:szCs w:val="21"/>
              </w:rPr>
            </w:pPr>
          </w:p>
        </w:tc>
        <w:tc>
          <w:tcPr>
            <w:tcW w:w="1985" w:type="dxa"/>
            <w:gridSpan w:val="4"/>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3"/>
          <w:wAfter w:w="425" w:type="dxa"/>
          <w:trHeight w:val="510" w:hRule="exact"/>
        </w:trPr>
        <w:tc>
          <w:tcPr>
            <w:tcW w:w="750" w:type="dxa"/>
            <w:gridSpan w:val="4"/>
            <w:noWrap w:val="0"/>
            <w:vAlign w:val="center"/>
          </w:tcPr>
          <w:p>
            <w:pPr>
              <w:kinsoku/>
              <w:overflowPunct/>
              <w:topLinePunct w:val="0"/>
              <w:bidi w:val="0"/>
              <w:spacing w:line="300" w:lineRule="auto"/>
              <w:jc w:val="center"/>
              <w:rPr>
                <w:szCs w:val="21"/>
              </w:rPr>
            </w:pPr>
          </w:p>
        </w:tc>
        <w:tc>
          <w:tcPr>
            <w:tcW w:w="2619" w:type="dxa"/>
            <w:gridSpan w:val="3"/>
            <w:noWrap w:val="0"/>
            <w:vAlign w:val="center"/>
          </w:tcPr>
          <w:p>
            <w:pPr>
              <w:kinsoku/>
              <w:overflowPunct/>
              <w:topLinePunct w:val="0"/>
              <w:bidi w:val="0"/>
              <w:spacing w:line="300" w:lineRule="auto"/>
              <w:jc w:val="center"/>
              <w:rPr>
                <w:szCs w:val="21"/>
              </w:rPr>
            </w:pPr>
          </w:p>
        </w:tc>
        <w:tc>
          <w:tcPr>
            <w:tcW w:w="1842" w:type="dxa"/>
            <w:gridSpan w:val="4"/>
            <w:tcBorders>
              <w:right w:val="single" w:color="auto" w:sz="4" w:space="0"/>
            </w:tcBorders>
            <w:noWrap w:val="0"/>
            <w:vAlign w:val="center"/>
          </w:tcPr>
          <w:p>
            <w:pPr>
              <w:kinsoku/>
              <w:overflowPunct/>
              <w:topLinePunct w:val="0"/>
              <w:bidi w:val="0"/>
              <w:spacing w:line="300" w:lineRule="auto"/>
              <w:jc w:val="center"/>
              <w:rPr>
                <w:szCs w:val="21"/>
              </w:rPr>
            </w:pPr>
          </w:p>
        </w:tc>
        <w:tc>
          <w:tcPr>
            <w:tcW w:w="1843" w:type="dxa"/>
            <w:gridSpan w:val="5"/>
            <w:tcBorders>
              <w:left w:val="single" w:color="auto" w:sz="4" w:space="0"/>
            </w:tcBorders>
            <w:noWrap w:val="0"/>
            <w:vAlign w:val="center"/>
          </w:tcPr>
          <w:p>
            <w:pPr>
              <w:kinsoku/>
              <w:overflowPunct/>
              <w:topLinePunct w:val="0"/>
              <w:bidi w:val="0"/>
              <w:spacing w:line="300" w:lineRule="auto"/>
              <w:jc w:val="center"/>
              <w:rPr>
                <w:szCs w:val="21"/>
              </w:rPr>
            </w:pPr>
          </w:p>
        </w:tc>
        <w:tc>
          <w:tcPr>
            <w:tcW w:w="1985" w:type="dxa"/>
            <w:gridSpan w:val="4"/>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3"/>
          <w:wAfter w:w="425" w:type="dxa"/>
          <w:trHeight w:val="510" w:hRule="exact"/>
        </w:trPr>
        <w:tc>
          <w:tcPr>
            <w:tcW w:w="750" w:type="dxa"/>
            <w:gridSpan w:val="4"/>
            <w:noWrap w:val="0"/>
            <w:vAlign w:val="center"/>
          </w:tcPr>
          <w:p>
            <w:pPr>
              <w:kinsoku/>
              <w:overflowPunct/>
              <w:topLinePunct w:val="0"/>
              <w:bidi w:val="0"/>
              <w:spacing w:line="300" w:lineRule="auto"/>
              <w:jc w:val="center"/>
              <w:rPr>
                <w:szCs w:val="21"/>
              </w:rPr>
            </w:pPr>
          </w:p>
        </w:tc>
        <w:tc>
          <w:tcPr>
            <w:tcW w:w="2619" w:type="dxa"/>
            <w:gridSpan w:val="3"/>
            <w:noWrap w:val="0"/>
            <w:vAlign w:val="center"/>
          </w:tcPr>
          <w:p>
            <w:pPr>
              <w:kinsoku/>
              <w:overflowPunct/>
              <w:topLinePunct w:val="0"/>
              <w:bidi w:val="0"/>
              <w:spacing w:line="300" w:lineRule="auto"/>
              <w:jc w:val="center"/>
              <w:rPr>
                <w:szCs w:val="21"/>
              </w:rPr>
            </w:pPr>
          </w:p>
        </w:tc>
        <w:tc>
          <w:tcPr>
            <w:tcW w:w="1842" w:type="dxa"/>
            <w:gridSpan w:val="4"/>
            <w:tcBorders>
              <w:right w:val="single" w:color="auto" w:sz="4" w:space="0"/>
            </w:tcBorders>
            <w:noWrap w:val="0"/>
            <w:vAlign w:val="center"/>
          </w:tcPr>
          <w:p>
            <w:pPr>
              <w:kinsoku/>
              <w:overflowPunct/>
              <w:topLinePunct w:val="0"/>
              <w:bidi w:val="0"/>
              <w:spacing w:line="300" w:lineRule="auto"/>
              <w:jc w:val="center"/>
              <w:rPr>
                <w:szCs w:val="21"/>
              </w:rPr>
            </w:pPr>
          </w:p>
        </w:tc>
        <w:tc>
          <w:tcPr>
            <w:tcW w:w="1843" w:type="dxa"/>
            <w:gridSpan w:val="5"/>
            <w:tcBorders>
              <w:left w:val="single" w:color="auto" w:sz="4" w:space="0"/>
            </w:tcBorders>
            <w:noWrap w:val="0"/>
            <w:vAlign w:val="center"/>
          </w:tcPr>
          <w:p>
            <w:pPr>
              <w:kinsoku/>
              <w:overflowPunct/>
              <w:topLinePunct w:val="0"/>
              <w:bidi w:val="0"/>
              <w:spacing w:line="300" w:lineRule="auto"/>
              <w:jc w:val="center"/>
              <w:rPr>
                <w:szCs w:val="21"/>
              </w:rPr>
            </w:pPr>
          </w:p>
        </w:tc>
        <w:tc>
          <w:tcPr>
            <w:tcW w:w="1985" w:type="dxa"/>
            <w:gridSpan w:val="4"/>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3"/>
          <w:wAfter w:w="425" w:type="dxa"/>
          <w:trHeight w:val="510" w:hRule="exact"/>
        </w:trPr>
        <w:tc>
          <w:tcPr>
            <w:tcW w:w="750" w:type="dxa"/>
            <w:gridSpan w:val="4"/>
            <w:noWrap w:val="0"/>
            <w:vAlign w:val="center"/>
          </w:tcPr>
          <w:p>
            <w:pPr>
              <w:kinsoku/>
              <w:overflowPunct/>
              <w:topLinePunct w:val="0"/>
              <w:bidi w:val="0"/>
              <w:spacing w:line="300" w:lineRule="auto"/>
              <w:jc w:val="center"/>
              <w:rPr>
                <w:szCs w:val="21"/>
              </w:rPr>
            </w:pPr>
          </w:p>
        </w:tc>
        <w:tc>
          <w:tcPr>
            <w:tcW w:w="2619" w:type="dxa"/>
            <w:gridSpan w:val="3"/>
            <w:noWrap w:val="0"/>
            <w:vAlign w:val="center"/>
          </w:tcPr>
          <w:p>
            <w:pPr>
              <w:kinsoku/>
              <w:overflowPunct/>
              <w:topLinePunct w:val="0"/>
              <w:bidi w:val="0"/>
              <w:spacing w:line="300" w:lineRule="auto"/>
              <w:jc w:val="center"/>
              <w:rPr>
                <w:szCs w:val="21"/>
              </w:rPr>
            </w:pPr>
          </w:p>
        </w:tc>
        <w:tc>
          <w:tcPr>
            <w:tcW w:w="1842" w:type="dxa"/>
            <w:gridSpan w:val="4"/>
            <w:tcBorders>
              <w:right w:val="single" w:color="auto" w:sz="4" w:space="0"/>
            </w:tcBorders>
            <w:noWrap w:val="0"/>
            <w:vAlign w:val="center"/>
          </w:tcPr>
          <w:p>
            <w:pPr>
              <w:kinsoku/>
              <w:overflowPunct/>
              <w:topLinePunct w:val="0"/>
              <w:bidi w:val="0"/>
              <w:spacing w:line="300" w:lineRule="auto"/>
              <w:jc w:val="center"/>
              <w:rPr>
                <w:szCs w:val="21"/>
              </w:rPr>
            </w:pPr>
          </w:p>
        </w:tc>
        <w:tc>
          <w:tcPr>
            <w:tcW w:w="1843" w:type="dxa"/>
            <w:gridSpan w:val="5"/>
            <w:tcBorders>
              <w:left w:val="single" w:color="auto" w:sz="4" w:space="0"/>
            </w:tcBorders>
            <w:noWrap w:val="0"/>
            <w:vAlign w:val="center"/>
          </w:tcPr>
          <w:p>
            <w:pPr>
              <w:kinsoku/>
              <w:overflowPunct/>
              <w:topLinePunct w:val="0"/>
              <w:bidi w:val="0"/>
              <w:spacing w:line="300" w:lineRule="auto"/>
              <w:jc w:val="center"/>
              <w:rPr>
                <w:szCs w:val="21"/>
              </w:rPr>
            </w:pPr>
          </w:p>
        </w:tc>
        <w:tc>
          <w:tcPr>
            <w:tcW w:w="1985" w:type="dxa"/>
            <w:gridSpan w:val="4"/>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3"/>
          <w:wAfter w:w="425" w:type="dxa"/>
          <w:trHeight w:val="510" w:hRule="exact"/>
        </w:trPr>
        <w:tc>
          <w:tcPr>
            <w:tcW w:w="750" w:type="dxa"/>
            <w:gridSpan w:val="4"/>
            <w:noWrap w:val="0"/>
            <w:vAlign w:val="center"/>
          </w:tcPr>
          <w:p>
            <w:pPr>
              <w:kinsoku/>
              <w:overflowPunct/>
              <w:topLinePunct w:val="0"/>
              <w:bidi w:val="0"/>
              <w:spacing w:line="300" w:lineRule="auto"/>
              <w:jc w:val="center"/>
              <w:rPr>
                <w:szCs w:val="21"/>
              </w:rPr>
            </w:pPr>
          </w:p>
        </w:tc>
        <w:tc>
          <w:tcPr>
            <w:tcW w:w="2619" w:type="dxa"/>
            <w:gridSpan w:val="3"/>
            <w:noWrap w:val="0"/>
            <w:vAlign w:val="center"/>
          </w:tcPr>
          <w:p>
            <w:pPr>
              <w:kinsoku/>
              <w:overflowPunct/>
              <w:topLinePunct w:val="0"/>
              <w:bidi w:val="0"/>
              <w:spacing w:line="300" w:lineRule="auto"/>
              <w:jc w:val="center"/>
              <w:rPr>
                <w:szCs w:val="21"/>
              </w:rPr>
            </w:pPr>
          </w:p>
        </w:tc>
        <w:tc>
          <w:tcPr>
            <w:tcW w:w="1842" w:type="dxa"/>
            <w:gridSpan w:val="4"/>
            <w:tcBorders>
              <w:right w:val="single" w:color="auto" w:sz="4" w:space="0"/>
            </w:tcBorders>
            <w:noWrap w:val="0"/>
            <w:vAlign w:val="center"/>
          </w:tcPr>
          <w:p>
            <w:pPr>
              <w:kinsoku/>
              <w:overflowPunct/>
              <w:topLinePunct w:val="0"/>
              <w:bidi w:val="0"/>
              <w:spacing w:line="300" w:lineRule="auto"/>
              <w:jc w:val="center"/>
              <w:rPr>
                <w:szCs w:val="21"/>
              </w:rPr>
            </w:pPr>
          </w:p>
        </w:tc>
        <w:tc>
          <w:tcPr>
            <w:tcW w:w="1843" w:type="dxa"/>
            <w:gridSpan w:val="5"/>
            <w:tcBorders>
              <w:left w:val="single" w:color="auto" w:sz="4" w:space="0"/>
            </w:tcBorders>
            <w:noWrap w:val="0"/>
            <w:vAlign w:val="center"/>
          </w:tcPr>
          <w:p>
            <w:pPr>
              <w:kinsoku/>
              <w:overflowPunct/>
              <w:topLinePunct w:val="0"/>
              <w:bidi w:val="0"/>
              <w:spacing w:line="300" w:lineRule="auto"/>
              <w:jc w:val="center"/>
              <w:rPr>
                <w:szCs w:val="21"/>
              </w:rPr>
            </w:pPr>
          </w:p>
        </w:tc>
        <w:tc>
          <w:tcPr>
            <w:tcW w:w="1985" w:type="dxa"/>
            <w:gridSpan w:val="4"/>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3"/>
          <w:wAfter w:w="425" w:type="dxa"/>
          <w:trHeight w:val="510" w:hRule="exact"/>
        </w:trPr>
        <w:tc>
          <w:tcPr>
            <w:tcW w:w="750" w:type="dxa"/>
            <w:gridSpan w:val="4"/>
            <w:noWrap w:val="0"/>
            <w:vAlign w:val="center"/>
          </w:tcPr>
          <w:p>
            <w:pPr>
              <w:kinsoku/>
              <w:overflowPunct/>
              <w:topLinePunct w:val="0"/>
              <w:bidi w:val="0"/>
              <w:spacing w:line="300" w:lineRule="auto"/>
              <w:jc w:val="center"/>
              <w:rPr>
                <w:szCs w:val="21"/>
              </w:rPr>
            </w:pPr>
          </w:p>
        </w:tc>
        <w:tc>
          <w:tcPr>
            <w:tcW w:w="2619" w:type="dxa"/>
            <w:gridSpan w:val="3"/>
            <w:noWrap w:val="0"/>
            <w:vAlign w:val="center"/>
          </w:tcPr>
          <w:p>
            <w:pPr>
              <w:kinsoku/>
              <w:overflowPunct/>
              <w:topLinePunct w:val="0"/>
              <w:bidi w:val="0"/>
              <w:spacing w:line="300" w:lineRule="auto"/>
              <w:jc w:val="center"/>
              <w:rPr>
                <w:szCs w:val="21"/>
              </w:rPr>
            </w:pPr>
          </w:p>
        </w:tc>
        <w:tc>
          <w:tcPr>
            <w:tcW w:w="1842" w:type="dxa"/>
            <w:gridSpan w:val="4"/>
            <w:tcBorders>
              <w:right w:val="single" w:color="auto" w:sz="4" w:space="0"/>
            </w:tcBorders>
            <w:noWrap w:val="0"/>
            <w:vAlign w:val="center"/>
          </w:tcPr>
          <w:p>
            <w:pPr>
              <w:kinsoku/>
              <w:overflowPunct/>
              <w:topLinePunct w:val="0"/>
              <w:bidi w:val="0"/>
              <w:spacing w:line="300" w:lineRule="auto"/>
              <w:jc w:val="center"/>
              <w:rPr>
                <w:szCs w:val="21"/>
              </w:rPr>
            </w:pPr>
          </w:p>
        </w:tc>
        <w:tc>
          <w:tcPr>
            <w:tcW w:w="1843" w:type="dxa"/>
            <w:gridSpan w:val="5"/>
            <w:tcBorders>
              <w:left w:val="single" w:color="auto" w:sz="4" w:space="0"/>
            </w:tcBorders>
            <w:noWrap w:val="0"/>
            <w:vAlign w:val="center"/>
          </w:tcPr>
          <w:p>
            <w:pPr>
              <w:kinsoku/>
              <w:overflowPunct/>
              <w:topLinePunct w:val="0"/>
              <w:bidi w:val="0"/>
              <w:spacing w:line="300" w:lineRule="auto"/>
              <w:jc w:val="center"/>
              <w:rPr>
                <w:szCs w:val="21"/>
              </w:rPr>
            </w:pPr>
          </w:p>
        </w:tc>
        <w:tc>
          <w:tcPr>
            <w:tcW w:w="1985" w:type="dxa"/>
            <w:gridSpan w:val="4"/>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3"/>
          <w:wAfter w:w="425" w:type="dxa"/>
          <w:trHeight w:val="510" w:hRule="exact"/>
        </w:trPr>
        <w:tc>
          <w:tcPr>
            <w:tcW w:w="750" w:type="dxa"/>
            <w:gridSpan w:val="4"/>
            <w:noWrap w:val="0"/>
            <w:vAlign w:val="center"/>
          </w:tcPr>
          <w:p>
            <w:pPr>
              <w:kinsoku/>
              <w:overflowPunct/>
              <w:topLinePunct w:val="0"/>
              <w:bidi w:val="0"/>
              <w:spacing w:line="300" w:lineRule="auto"/>
              <w:jc w:val="center"/>
              <w:rPr>
                <w:szCs w:val="21"/>
              </w:rPr>
            </w:pPr>
          </w:p>
        </w:tc>
        <w:tc>
          <w:tcPr>
            <w:tcW w:w="2619" w:type="dxa"/>
            <w:gridSpan w:val="3"/>
            <w:noWrap w:val="0"/>
            <w:vAlign w:val="center"/>
          </w:tcPr>
          <w:p>
            <w:pPr>
              <w:kinsoku/>
              <w:overflowPunct/>
              <w:topLinePunct w:val="0"/>
              <w:bidi w:val="0"/>
              <w:spacing w:line="300" w:lineRule="auto"/>
              <w:jc w:val="center"/>
              <w:rPr>
                <w:szCs w:val="21"/>
              </w:rPr>
            </w:pPr>
          </w:p>
        </w:tc>
        <w:tc>
          <w:tcPr>
            <w:tcW w:w="1842" w:type="dxa"/>
            <w:gridSpan w:val="4"/>
            <w:tcBorders>
              <w:right w:val="single" w:color="auto" w:sz="4" w:space="0"/>
            </w:tcBorders>
            <w:noWrap w:val="0"/>
            <w:vAlign w:val="center"/>
          </w:tcPr>
          <w:p>
            <w:pPr>
              <w:kinsoku/>
              <w:overflowPunct/>
              <w:topLinePunct w:val="0"/>
              <w:bidi w:val="0"/>
              <w:spacing w:line="300" w:lineRule="auto"/>
              <w:jc w:val="center"/>
              <w:rPr>
                <w:szCs w:val="21"/>
              </w:rPr>
            </w:pPr>
          </w:p>
        </w:tc>
        <w:tc>
          <w:tcPr>
            <w:tcW w:w="1843" w:type="dxa"/>
            <w:gridSpan w:val="5"/>
            <w:tcBorders>
              <w:left w:val="single" w:color="auto" w:sz="4" w:space="0"/>
            </w:tcBorders>
            <w:noWrap w:val="0"/>
            <w:vAlign w:val="center"/>
          </w:tcPr>
          <w:p>
            <w:pPr>
              <w:kinsoku/>
              <w:overflowPunct/>
              <w:topLinePunct w:val="0"/>
              <w:bidi w:val="0"/>
              <w:spacing w:line="300" w:lineRule="auto"/>
              <w:jc w:val="center"/>
              <w:rPr>
                <w:szCs w:val="21"/>
              </w:rPr>
            </w:pPr>
          </w:p>
        </w:tc>
        <w:tc>
          <w:tcPr>
            <w:tcW w:w="1985" w:type="dxa"/>
            <w:gridSpan w:val="4"/>
            <w:noWrap w:val="0"/>
            <w:vAlign w:val="center"/>
          </w:tcPr>
          <w:p>
            <w:pPr>
              <w:kinsoku/>
              <w:overflowPunct/>
              <w:topLinePunct w:val="0"/>
              <w:bidi w:val="0"/>
              <w:spacing w:line="30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3"/>
          <w:wAfter w:w="425" w:type="dxa"/>
          <w:trHeight w:val="510" w:hRule="exact"/>
        </w:trPr>
        <w:tc>
          <w:tcPr>
            <w:tcW w:w="7054" w:type="dxa"/>
            <w:gridSpan w:val="16"/>
            <w:tcBorders>
              <w:bottom w:val="single" w:color="auto" w:sz="8" w:space="0"/>
            </w:tcBorders>
            <w:noWrap w:val="0"/>
            <w:vAlign w:val="center"/>
          </w:tcPr>
          <w:p>
            <w:pPr>
              <w:kinsoku/>
              <w:overflowPunct/>
              <w:topLinePunct w:val="0"/>
              <w:bidi w:val="0"/>
              <w:spacing w:line="300" w:lineRule="auto"/>
              <w:jc w:val="center"/>
              <w:rPr>
                <w:szCs w:val="21"/>
              </w:rPr>
            </w:pPr>
            <w:r>
              <w:rPr>
                <w:rFonts w:hint="eastAsia"/>
                <w:szCs w:val="21"/>
              </w:rPr>
              <w:t>合</w:t>
            </w:r>
            <w:r>
              <w:rPr>
                <w:szCs w:val="21"/>
              </w:rPr>
              <w:t xml:space="preserve">    </w:t>
            </w:r>
            <w:r>
              <w:rPr>
                <w:rFonts w:hint="eastAsia"/>
                <w:szCs w:val="21"/>
              </w:rPr>
              <w:t>计</w:t>
            </w:r>
          </w:p>
        </w:tc>
        <w:tc>
          <w:tcPr>
            <w:tcW w:w="1985" w:type="dxa"/>
            <w:gridSpan w:val="4"/>
            <w:tcBorders>
              <w:bottom w:val="single" w:color="auto" w:sz="8" w:space="0"/>
            </w:tcBorders>
            <w:noWrap w:val="0"/>
            <w:vAlign w:val="center"/>
          </w:tcPr>
          <w:p>
            <w:pPr>
              <w:kinsoku/>
              <w:overflowPunct/>
              <w:topLinePunct w:val="0"/>
              <w:bidi w:val="0"/>
              <w:spacing w:line="300" w:lineRule="auto"/>
              <w:jc w:val="center"/>
              <w:rPr>
                <w:szCs w:val="21"/>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900" w:hRule="atLeast"/>
        </w:trPr>
        <w:tc>
          <w:tcPr>
            <w:tcW w:w="9371" w:type="dxa"/>
            <w:gridSpan w:val="22"/>
            <w:shd w:val="clear" w:color="auto" w:fill="FFFFFF"/>
            <w:noWrap w:val="0"/>
            <w:vAlign w:val="center"/>
          </w:tcPr>
          <w:p>
            <w:pPr>
              <w:kinsoku/>
              <w:overflowPunct/>
              <w:topLinePunct w:val="0"/>
              <w:bidi w:val="0"/>
              <w:spacing w:line="300" w:lineRule="auto"/>
              <w:jc w:val="center"/>
              <w:rPr>
                <w:rFonts w:ascii="宋体" w:cs="Arial"/>
                <w:b/>
                <w:bCs/>
                <w:color w:val="000000"/>
                <w:sz w:val="40"/>
                <w:szCs w:val="40"/>
              </w:rPr>
            </w:pPr>
            <w:r>
              <w:rPr>
                <w:rFonts w:hint="eastAsia" w:ascii="宋体" w:hAnsi="宋体" w:cs="Arial"/>
                <w:b/>
                <w:bCs/>
                <w:color w:val="000000"/>
                <w:sz w:val="40"/>
                <w:szCs w:val="40"/>
              </w:rPr>
              <w:t>材料（工程设备）暂估单价表</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435" w:hRule="atLeast"/>
        </w:trPr>
        <w:tc>
          <w:tcPr>
            <w:tcW w:w="5430" w:type="dxa"/>
            <w:gridSpan w:val="11"/>
            <w:shd w:val="clear" w:color="auto" w:fill="FFFFFF"/>
            <w:noWrap w:val="0"/>
            <w:vAlign w:val="bottom"/>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工程名称</w:t>
            </w:r>
            <w:r>
              <w:rPr>
                <w:rFonts w:ascii="宋体" w:hAnsi="宋体" w:cs="Arial"/>
                <w:color w:val="000000"/>
                <w:sz w:val="18"/>
                <w:szCs w:val="18"/>
              </w:rPr>
              <w:t>:</w:t>
            </w:r>
          </w:p>
        </w:tc>
        <w:tc>
          <w:tcPr>
            <w:tcW w:w="1185" w:type="dxa"/>
            <w:gridSpan w:val="3"/>
            <w:shd w:val="clear" w:color="auto" w:fill="FFFFFF"/>
            <w:noWrap w:val="0"/>
            <w:vAlign w:val="bottom"/>
          </w:tcPr>
          <w:p>
            <w:pPr>
              <w:kinsoku/>
              <w:overflowPunct/>
              <w:topLinePunct w:val="0"/>
              <w:bidi w:val="0"/>
              <w:spacing w:line="300" w:lineRule="auto"/>
              <w:rPr>
                <w:rFonts w:ascii="宋体" w:cs="Arial"/>
                <w:color w:val="000000"/>
                <w:sz w:val="18"/>
                <w:szCs w:val="18"/>
              </w:rPr>
            </w:pPr>
          </w:p>
        </w:tc>
        <w:tc>
          <w:tcPr>
            <w:tcW w:w="2756" w:type="dxa"/>
            <w:gridSpan w:val="8"/>
            <w:shd w:val="clear" w:color="auto" w:fill="FFFFFF"/>
            <w:noWrap w:val="0"/>
            <w:vAlign w:val="bottom"/>
          </w:tcPr>
          <w:p>
            <w:pPr>
              <w:kinsoku/>
              <w:overflowPunct/>
              <w:topLinePunct w:val="0"/>
              <w:bidi w:val="0"/>
              <w:spacing w:line="300" w:lineRule="auto"/>
              <w:jc w:val="right"/>
              <w:rPr>
                <w:rFonts w:ascii="宋体" w:cs="Arial"/>
                <w:color w:val="000000"/>
                <w:sz w:val="18"/>
                <w:szCs w:val="18"/>
              </w:rPr>
            </w:pPr>
            <w:r>
              <w:rPr>
                <w:rFonts w:hint="eastAsia" w:ascii="宋体" w:hAnsi="宋体" w:cs="Arial"/>
                <w:color w:val="000000"/>
                <w:sz w:val="18"/>
                <w:szCs w:val="18"/>
              </w:rPr>
              <w:t>第</w:t>
            </w:r>
            <w:r>
              <w:rPr>
                <w:rFonts w:ascii="宋体" w:hAnsi="宋体" w:cs="Arial"/>
                <w:color w:val="000000"/>
                <w:sz w:val="18"/>
                <w:szCs w:val="18"/>
              </w:rPr>
              <w:t xml:space="preserve"> </w:t>
            </w:r>
            <w:r>
              <w:rPr>
                <w:rFonts w:hint="eastAsia" w:ascii="宋体" w:hAnsi="宋体" w:cs="Arial"/>
                <w:color w:val="000000"/>
                <w:sz w:val="18"/>
                <w:szCs w:val="18"/>
              </w:rPr>
              <w:t>页</w:t>
            </w:r>
            <w:r>
              <w:rPr>
                <w:rFonts w:ascii="宋体" w:hAnsi="宋体" w:cs="Arial"/>
                <w:color w:val="000000"/>
                <w:sz w:val="18"/>
                <w:szCs w:val="18"/>
              </w:rPr>
              <w:t xml:space="preserve"> </w:t>
            </w:r>
            <w:r>
              <w:rPr>
                <w:rFonts w:hint="eastAsia" w:ascii="宋体" w:hAnsi="宋体" w:cs="Arial"/>
                <w:color w:val="000000"/>
                <w:sz w:val="18"/>
                <w:szCs w:val="18"/>
              </w:rPr>
              <w:t>共</w:t>
            </w:r>
            <w:r>
              <w:rPr>
                <w:rFonts w:ascii="宋体" w:hAnsi="宋体" w:cs="Arial"/>
                <w:color w:val="000000"/>
                <w:sz w:val="18"/>
                <w:szCs w:val="18"/>
              </w:rPr>
              <w:t xml:space="preserve"> </w:t>
            </w:r>
            <w:r>
              <w:rPr>
                <w:rFonts w:hint="eastAsia" w:ascii="宋体" w:hAnsi="宋体" w:cs="Arial"/>
                <w:color w:val="000000"/>
                <w:sz w:val="18"/>
                <w:szCs w:val="18"/>
              </w:rPr>
              <w:t>页</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885" w:hRule="atLeast"/>
        </w:trPr>
        <w:tc>
          <w:tcPr>
            <w:tcW w:w="66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序号</w:t>
            </w:r>
          </w:p>
        </w:tc>
        <w:tc>
          <w:tcPr>
            <w:tcW w:w="253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材料（工程设备）名称、规格、型号</w:t>
            </w:r>
          </w:p>
        </w:tc>
        <w:tc>
          <w:tcPr>
            <w:tcW w:w="1035"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计量</w:t>
            </w:r>
            <w:r>
              <w:rPr>
                <w:rFonts w:ascii="宋体" w:cs="Arial"/>
                <w:color w:val="000000"/>
                <w:sz w:val="18"/>
                <w:szCs w:val="18"/>
              </w:rPr>
              <w:br w:type="textWrapping"/>
            </w:r>
            <w:r>
              <w:rPr>
                <w:rFonts w:hint="eastAsia" w:ascii="宋体" w:hAnsi="宋体" w:cs="Arial"/>
                <w:color w:val="000000"/>
                <w:sz w:val="18"/>
                <w:szCs w:val="18"/>
              </w:rPr>
              <w:t>单位</w:t>
            </w:r>
          </w:p>
        </w:tc>
        <w:tc>
          <w:tcPr>
            <w:tcW w:w="12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数量</w:t>
            </w:r>
          </w:p>
        </w:tc>
        <w:tc>
          <w:tcPr>
            <w:tcW w:w="118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单价</w:t>
            </w:r>
          </w:p>
        </w:tc>
        <w:tc>
          <w:tcPr>
            <w:tcW w:w="91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合价</w:t>
            </w:r>
          </w:p>
        </w:tc>
        <w:tc>
          <w:tcPr>
            <w:tcW w:w="1843" w:type="dxa"/>
            <w:gridSpan w:val="6"/>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备注</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435" w:hRule="atLeast"/>
        </w:trPr>
        <w:tc>
          <w:tcPr>
            <w:tcW w:w="66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53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35"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8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1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843" w:type="dxa"/>
            <w:gridSpan w:val="6"/>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435" w:hRule="atLeast"/>
        </w:trPr>
        <w:tc>
          <w:tcPr>
            <w:tcW w:w="66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53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35"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8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1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843" w:type="dxa"/>
            <w:gridSpan w:val="6"/>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435" w:hRule="atLeast"/>
        </w:trPr>
        <w:tc>
          <w:tcPr>
            <w:tcW w:w="66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53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35"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8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1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843" w:type="dxa"/>
            <w:gridSpan w:val="6"/>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435" w:hRule="atLeast"/>
        </w:trPr>
        <w:tc>
          <w:tcPr>
            <w:tcW w:w="66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53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35"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8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1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843" w:type="dxa"/>
            <w:gridSpan w:val="6"/>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435" w:hRule="atLeast"/>
        </w:trPr>
        <w:tc>
          <w:tcPr>
            <w:tcW w:w="66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53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35"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8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1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843" w:type="dxa"/>
            <w:gridSpan w:val="6"/>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435" w:hRule="atLeast"/>
        </w:trPr>
        <w:tc>
          <w:tcPr>
            <w:tcW w:w="66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53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35"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8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1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843" w:type="dxa"/>
            <w:gridSpan w:val="6"/>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435" w:hRule="atLeast"/>
        </w:trPr>
        <w:tc>
          <w:tcPr>
            <w:tcW w:w="66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53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35"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8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1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843" w:type="dxa"/>
            <w:gridSpan w:val="6"/>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435" w:hRule="atLeast"/>
        </w:trPr>
        <w:tc>
          <w:tcPr>
            <w:tcW w:w="66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53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35"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8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1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843" w:type="dxa"/>
            <w:gridSpan w:val="6"/>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435" w:hRule="atLeast"/>
        </w:trPr>
        <w:tc>
          <w:tcPr>
            <w:tcW w:w="66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53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35"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8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1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843" w:type="dxa"/>
            <w:gridSpan w:val="6"/>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1043" w:hRule="atLeast"/>
        </w:trPr>
        <w:tc>
          <w:tcPr>
            <w:tcW w:w="66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53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35"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8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1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843" w:type="dxa"/>
            <w:gridSpan w:val="6"/>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435" w:hRule="atLeast"/>
        </w:trPr>
        <w:tc>
          <w:tcPr>
            <w:tcW w:w="66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53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35"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8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1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843" w:type="dxa"/>
            <w:gridSpan w:val="6"/>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435" w:hRule="atLeast"/>
        </w:trPr>
        <w:tc>
          <w:tcPr>
            <w:tcW w:w="66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53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35"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8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1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843" w:type="dxa"/>
            <w:gridSpan w:val="6"/>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435" w:hRule="atLeast"/>
        </w:trPr>
        <w:tc>
          <w:tcPr>
            <w:tcW w:w="66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53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35"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8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1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843" w:type="dxa"/>
            <w:gridSpan w:val="6"/>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435" w:hRule="atLeast"/>
        </w:trPr>
        <w:tc>
          <w:tcPr>
            <w:tcW w:w="66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53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35"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8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1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843" w:type="dxa"/>
            <w:gridSpan w:val="6"/>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435" w:hRule="atLeast"/>
        </w:trPr>
        <w:tc>
          <w:tcPr>
            <w:tcW w:w="66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53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35"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8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1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843" w:type="dxa"/>
            <w:gridSpan w:val="6"/>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435" w:hRule="atLeast"/>
        </w:trPr>
        <w:tc>
          <w:tcPr>
            <w:tcW w:w="66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53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35"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8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1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843" w:type="dxa"/>
            <w:gridSpan w:val="6"/>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435" w:hRule="atLeast"/>
        </w:trPr>
        <w:tc>
          <w:tcPr>
            <w:tcW w:w="66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53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35"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8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1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843" w:type="dxa"/>
            <w:gridSpan w:val="6"/>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435" w:hRule="atLeast"/>
        </w:trPr>
        <w:tc>
          <w:tcPr>
            <w:tcW w:w="66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53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35"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8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1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843" w:type="dxa"/>
            <w:gridSpan w:val="6"/>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435" w:hRule="atLeast"/>
        </w:trPr>
        <w:tc>
          <w:tcPr>
            <w:tcW w:w="66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53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35"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8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1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843" w:type="dxa"/>
            <w:gridSpan w:val="6"/>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435" w:hRule="atLeast"/>
        </w:trPr>
        <w:tc>
          <w:tcPr>
            <w:tcW w:w="66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53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35"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8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1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843" w:type="dxa"/>
            <w:gridSpan w:val="6"/>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435" w:hRule="atLeast"/>
        </w:trPr>
        <w:tc>
          <w:tcPr>
            <w:tcW w:w="66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535"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35"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8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13"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843" w:type="dxa"/>
            <w:gridSpan w:val="6"/>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wBefore w:w="93" w:type="dxa"/>
          <w:trHeight w:val="450" w:hRule="atLeast"/>
        </w:trPr>
        <w:tc>
          <w:tcPr>
            <w:tcW w:w="4230" w:type="dxa"/>
            <w:gridSpan w:val="9"/>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合计</w:t>
            </w:r>
          </w:p>
        </w:tc>
        <w:tc>
          <w:tcPr>
            <w:tcW w:w="1200" w:type="dxa"/>
            <w:gridSpan w:val="2"/>
            <w:tcBorders>
              <w:top w:val="single" w:color="000000" w:sz="4" w:space="0"/>
              <w:left w:val="single" w:color="000000" w:sz="4" w:space="0"/>
              <w:bottom w:val="single" w:color="000000" w:sz="4" w:space="0"/>
            </w:tcBorders>
            <w:shd w:val="clear" w:color="auto" w:fill="FFFFFF"/>
            <w:noWrap w:val="0"/>
            <w:vAlign w:val="bottom"/>
          </w:tcPr>
          <w:p>
            <w:pPr>
              <w:kinsoku/>
              <w:overflowPunct/>
              <w:topLinePunct w:val="0"/>
              <w:bidi w:val="0"/>
              <w:spacing w:line="300" w:lineRule="auto"/>
              <w:rPr>
                <w:rFonts w:ascii="宋体" w:cs="Arial"/>
                <w:color w:val="000000"/>
                <w:sz w:val="18"/>
                <w:szCs w:val="18"/>
              </w:rPr>
            </w:pPr>
          </w:p>
        </w:tc>
        <w:tc>
          <w:tcPr>
            <w:tcW w:w="1185" w:type="dxa"/>
            <w:gridSpan w:val="3"/>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913" w:type="dxa"/>
            <w:gridSpan w:val="2"/>
            <w:tcBorders>
              <w:top w:val="single" w:color="000000" w:sz="4" w:space="0"/>
              <w:left w:val="single" w:color="000000" w:sz="4" w:space="0"/>
              <w:bottom w:val="single" w:color="000000" w:sz="4" w:space="0"/>
            </w:tcBorders>
            <w:shd w:val="clear" w:color="auto" w:fill="FFFFFF"/>
            <w:noWrap w:val="0"/>
            <w:vAlign w:val="bottom"/>
          </w:tcPr>
          <w:p>
            <w:pPr>
              <w:kinsoku/>
              <w:overflowPunct/>
              <w:topLinePunct w:val="0"/>
              <w:bidi w:val="0"/>
              <w:spacing w:line="300" w:lineRule="auto"/>
              <w:rPr>
                <w:rFonts w:ascii="宋体" w:cs="Arial"/>
                <w:color w:val="000000"/>
                <w:sz w:val="18"/>
                <w:szCs w:val="18"/>
              </w:rPr>
            </w:pPr>
          </w:p>
        </w:tc>
        <w:tc>
          <w:tcPr>
            <w:tcW w:w="1843"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2"/>
          <w:wBefore w:w="93" w:type="dxa"/>
          <w:wAfter w:w="131" w:type="dxa"/>
          <w:trHeight w:val="825" w:hRule="atLeast"/>
        </w:trPr>
        <w:tc>
          <w:tcPr>
            <w:tcW w:w="9240" w:type="dxa"/>
            <w:gridSpan w:val="20"/>
            <w:shd w:val="clear" w:color="auto" w:fill="FFFFFF"/>
            <w:noWrap w:val="0"/>
            <w:vAlign w:val="center"/>
          </w:tcPr>
          <w:p>
            <w:pPr>
              <w:kinsoku/>
              <w:overflowPunct/>
              <w:topLinePunct w:val="0"/>
              <w:bidi w:val="0"/>
              <w:spacing w:line="300" w:lineRule="auto"/>
              <w:jc w:val="center"/>
              <w:rPr>
                <w:rFonts w:ascii="宋体" w:cs="Arial"/>
                <w:b/>
                <w:bCs/>
                <w:color w:val="000000"/>
                <w:sz w:val="40"/>
                <w:szCs w:val="40"/>
              </w:rPr>
            </w:pPr>
            <w:r>
              <w:rPr>
                <w:rFonts w:hint="eastAsia" w:ascii="宋体" w:hAnsi="宋体" w:cs="Arial"/>
                <w:b/>
                <w:bCs/>
                <w:color w:val="000000"/>
                <w:sz w:val="40"/>
                <w:szCs w:val="40"/>
              </w:rPr>
              <w:t>专业工程暂估价表</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2"/>
          <w:wBefore w:w="93" w:type="dxa"/>
          <w:wAfter w:w="131" w:type="dxa"/>
          <w:trHeight w:val="435" w:hRule="atLeast"/>
        </w:trPr>
        <w:tc>
          <w:tcPr>
            <w:tcW w:w="3996" w:type="dxa"/>
            <w:gridSpan w:val="8"/>
            <w:shd w:val="clear" w:color="auto" w:fill="FFFFFF"/>
            <w:noWrap w:val="0"/>
            <w:vAlign w:val="bottom"/>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工程名称</w:t>
            </w:r>
            <w:r>
              <w:rPr>
                <w:rFonts w:ascii="宋体" w:hAnsi="宋体" w:cs="Arial"/>
                <w:color w:val="000000"/>
                <w:sz w:val="18"/>
                <w:szCs w:val="18"/>
              </w:rPr>
              <w:t>:</w:t>
            </w:r>
          </w:p>
        </w:tc>
        <w:tc>
          <w:tcPr>
            <w:tcW w:w="1820" w:type="dxa"/>
            <w:gridSpan w:val="4"/>
            <w:shd w:val="clear" w:color="auto" w:fill="FFFFFF"/>
            <w:noWrap w:val="0"/>
            <w:vAlign w:val="bottom"/>
          </w:tcPr>
          <w:p>
            <w:pPr>
              <w:kinsoku/>
              <w:overflowPunct/>
              <w:topLinePunct w:val="0"/>
              <w:bidi w:val="0"/>
              <w:spacing w:line="300" w:lineRule="auto"/>
              <w:rPr>
                <w:rFonts w:ascii="宋体" w:cs="Arial"/>
                <w:color w:val="000000"/>
                <w:sz w:val="18"/>
                <w:szCs w:val="18"/>
              </w:rPr>
            </w:pPr>
          </w:p>
        </w:tc>
        <w:tc>
          <w:tcPr>
            <w:tcW w:w="3424" w:type="dxa"/>
            <w:gridSpan w:val="8"/>
            <w:shd w:val="clear" w:color="auto" w:fill="FFFFFF"/>
            <w:noWrap w:val="0"/>
            <w:vAlign w:val="bottom"/>
          </w:tcPr>
          <w:p>
            <w:pPr>
              <w:kinsoku/>
              <w:overflowPunct/>
              <w:topLinePunct w:val="0"/>
              <w:bidi w:val="0"/>
              <w:spacing w:line="300" w:lineRule="auto"/>
              <w:jc w:val="right"/>
              <w:rPr>
                <w:rFonts w:ascii="宋体" w:cs="Arial"/>
                <w:color w:val="000000"/>
                <w:sz w:val="18"/>
                <w:szCs w:val="18"/>
              </w:rPr>
            </w:pPr>
            <w:r>
              <w:rPr>
                <w:rFonts w:hint="eastAsia" w:ascii="宋体" w:hAnsi="宋体" w:cs="Arial"/>
                <w:color w:val="000000"/>
                <w:sz w:val="18"/>
                <w:szCs w:val="18"/>
              </w:rPr>
              <w:t>第</w:t>
            </w:r>
            <w:r>
              <w:rPr>
                <w:rFonts w:ascii="宋体" w:hAnsi="宋体" w:cs="Arial"/>
                <w:color w:val="000000"/>
                <w:sz w:val="18"/>
                <w:szCs w:val="18"/>
              </w:rPr>
              <w:t xml:space="preserve">  </w:t>
            </w:r>
            <w:r>
              <w:rPr>
                <w:rFonts w:hint="eastAsia" w:ascii="宋体" w:hAnsi="宋体" w:cs="Arial"/>
                <w:color w:val="000000"/>
                <w:sz w:val="18"/>
                <w:szCs w:val="18"/>
              </w:rPr>
              <w:t>页</w:t>
            </w:r>
            <w:r>
              <w:rPr>
                <w:rFonts w:ascii="宋体" w:hAnsi="宋体" w:cs="Arial"/>
                <w:color w:val="000000"/>
                <w:sz w:val="18"/>
                <w:szCs w:val="18"/>
              </w:rPr>
              <w:t xml:space="preserve"> </w:t>
            </w:r>
            <w:r>
              <w:rPr>
                <w:rFonts w:hint="eastAsia" w:ascii="宋体" w:hAnsi="宋体" w:cs="Arial"/>
                <w:color w:val="000000"/>
                <w:sz w:val="18"/>
                <w:szCs w:val="18"/>
              </w:rPr>
              <w:t>共</w:t>
            </w:r>
            <w:r>
              <w:rPr>
                <w:rFonts w:ascii="宋体" w:hAnsi="宋体" w:cs="Arial"/>
                <w:color w:val="000000"/>
                <w:sz w:val="18"/>
                <w:szCs w:val="18"/>
              </w:rPr>
              <w:t xml:space="preserve">  </w:t>
            </w:r>
            <w:r>
              <w:rPr>
                <w:rFonts w:hint="eastAsia" w:ascii="宋体" w:hAnsi="宋体" w:cs="Arial"/>
                <w:color w:val="000000"/>
                <w:sz w:val="18"/>
                <w:szCs w:val="18"/>
              </w:rPr>
              <w:t>页</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2"/>
          <w:wBefore w:w="93" w:type="dxa"/>
          <w:wAfter w:w="131" w:type="dxa"/>
          <w:trHeight w:val="525" w:hRule="atLeast"/>
        </w:trPr>
        <w:tc>
          <w:tcPr>
            <w:tcW w:w="62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序号</w:t>
            </w:r>
          </w:p>
        </w:tc>
        <w:tc>
          <w:tcPr>
            <w:tcW w:w="3370"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工</w:t>
            </w:r>
            <w:r>
              <w:rPr>
                <w:rFonts w:ascii="宋体" w:hAnsi="宋体" w:cs="Arial"/>
                <w:color w:val="000000"/>
                <w:sz w:val="18"/>
                <w:szCs w:val="18"/>
              </w:rPr>
              <w:t xml:space="preserve"> </w:t>
            </w:r>
            <w:r>
              <w:rPr>
                <w:rFonts w:hint="eastAsia" w:ascii="宋体" w:hAnsi="宋体" w:cs="Arial"/>
                <w:color w:val="000000"/>
                <w:sz w:val="18"/>
                <w:szCs w:val="18"/>
              </w:rPr>
              <w:t>程</w:t>
            </w:r>
            <w:r>
              <w:rPr>
                <w:rFonts w:ascii="宋体" w:hAnsi="宋体" w:cs="Arial"/>
                <w:color w:val="000000"/>
                <w:sz w:val="18"/>
                <w:szCs w:val="18"/>
              </w:rPr>
              <w:t xml:space="preserve"> </w:t>
            </w:r>
            <w:r>
              <w:rPr>
                <w:rFonts w:hint="eastAsia" w:ascii="宋体" w:hAnsi="宋体" w:cs="Arial"/>
                <w:color w:val="000000"/>
                <w:sz w:val="18"/>
                <w:szCs w:val="18"/>
              </w:rPr>
              <w:t>名</w:t>
            </w:r>
            <w:r>
              <w:rPr>
                <w:rFonts w:ascii="宋体" w:hAnsi="宋体" w:cs="Arial"/>
                <w:color w:val="000000"/>
                <w:sz w:val="18"/>
                <w:szCs w:val="18"/>
              </w:rPr>
              <w:t xml:space="preserve"> </w:t>
            </w:r>
            <w:r>
              <w:rPr>
                <w:rFonts w:hint="eastAsia" w:ascii="宋体" w:hAnsi="宋体" w:cs="Arial"/>
                <w:color w:val="000000"/>
                <w:sz w:val="18"/>
                <w:szCs w:val="18"/>
              </w:rPr>
              <w:t>称</w:t>
            </w:r>
          </w:p>
        </w:tc>
        <w:tc>
          <w:tcPr>
            <w:tcW w:w="182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工程内容</w:t>
            </w:r>
          </w:p>
        </w:tc>
        <w:tc>
          <w:tcPr>
            <w:tcW w:w="1722"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暂估金额</w:t>
            </w:r>
            <w:r>
              <w:rPr>
                <w:rFonts w:ascii="宋体" w:hAnsi="宋体" w:cs="Arial"/>
                <w:color w:val="000000"/>
                <w:sz w:val="18"/>
                <w:szCs w:val="18"/>
              </w:rPr>
              <w:t>(</w:t>
            </w:r>
            <w:r>
              <w:rPr>
                <w:rFonts w:hint="eastAsia" w:ascii="宋体" w:hAnsi="宋体" w:cs="Arial"/>
                <w:color w:val="000000"/>
                <w:sz w:val="18"/>
                <w:szCs w:val="18"/>
              </w:rPr>
              <w:t>元</w:t>
            </w:r>
            <w:r>
              <w:rPr>
                <w:rFonts w:ascii="宋体" w:hAnsi="宋体" w:cs="Arial"/>
                <w:color w:val="000000"/>
                <w:sz w:val="18"/>
                <w:szCs w:val="18"/>
              </w:rPr>
              <w:t>)</w:t>
            </w:r>
          </w:p>
        </w:tc>
        <w:tc>
          <w:tcPr>
            <w:tcW w:w="170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备注</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2"/>
          <w:wBefore w:w="93" w:type="dxa"/>
          <w:wAfter w:w="131" w:type="dxa"/>
          <w:trHeight w:val="525" w:hRule="atLeast"/>
        </w:trPr>
        <w:tc>
          <w:tcPr>
            <w:tcW w:w="62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370"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82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722"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70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2"/>
          <w:wBefore w:w="93" w:type="dxa"/>
          <w:wAfter w:w="131" w:type="dxa"/>
          <w:trHeight w:val="525" w:hRule="atLeast"/>
        </w:trPr>
        <w:tc>
          <w:tcPr>
            <w:tcW w:w="62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370"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82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722"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70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2"/>
          <w:wBefore w:w="93" w:type="dxa"/>
          <w:wAfter w:w="131" w:type="dxa"/>
          <w:trHeight w:val="525" w:hRule="atLeast"/>
        </w:trPr>
        <w:tc>
          <w:tcPr>
            <w:tcW w:w="62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370"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82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722"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70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2"/>
          <w:wBefore w:w="93" w:type="dxa"/>
          <w:wAfter w:w="131" w:type="dxa"/>
          <w:trHeight w:val="525" w:hRule="atLeast"/>
        </w:trPr>
        <w:tc>
          <w:tcPr>
            <w:tcW w:w="62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370"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82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722"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70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2"/>
          <w:wBefore w:w="93" w:type="dxa"/>
          <w:wAfter w:w="131" w:type="dxa"/>
          <w:trHeight w:val="525" w:hRule="atLeast"/>
        </w:trPr>
        <w:tc>
          <w:tcPr>
            <w:tcW w:w="62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370"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82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722"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70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2"/>
          <w:wBefore w:w="93" w:type="dxa"/>
          <w:wAfter w:w="131" w:type="dxa"/>
          <w:trHeight w:val="525" w:hRule="atLeast"/>
        </w:trPr>
        <w:tc>
          <w:tcPr>
            <w:tcW w:w="62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370"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82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722"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70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2"/>
          <w:wBefore w:w="93" w:type="dxa"/>
          <w:wAfter w:w="131" w:type="dxa"/>
          <w:trHeight w:val="525" w:hRule="atLeast"/>
        </w:trPr>
        <w:tc>
          <w:tcPr>
            <w:tcW w:w="62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370"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82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722"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70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2"/>
          <w:wBefore w:w="93" w:type="dxa"/>
          <w:wAfter w:w="131" w:type="dxa"/>
          <w:trHeight w:val="525" w:hRule="atLeast"/>
        </w:trPr>
        <w:tc>
          <w:tcPr>
            <w:tcW w:w="62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370"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82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722"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70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2"/>
          <w:wBefore w:w="93" w:type="dxa"/>
          <w:wAfter w:w="131" w:type="dxa"/>
          <w:trHeight w:val="525" w:hRule="atLeast"/>
        </w:trPr>
        <w:tc>
          <w:tcPr>
            <w:tcW w:w="62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370"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82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722"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70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2"/>
          <w:wBefore w:w="93" w:type="dxa"/>
          <w:wAfter w:w="131" w:type="dxa"/>
          <w:trHeight w:val="525" w:hRule="atLeast"/>
        </w:trPr>
        <w:tc>
          <w:tcPr>
            <w:tcW w:w="62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370"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82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722"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70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2"/>
          <w:wBefore w:w="93" w:type="dxa"/>
          <w:wAfter w:w="131" w:type="dxa"/>
          <w:trHeight w:val="525" w:hRule="atLeast"/>
        </w:trPr>
        <w:tc>
          <w:tcPr>
            <w:tcW w:w="62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370"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82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722"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70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2"/>
          <w:wBefore w:w="93" w:type="dxa"/>
          <w:wAfter w:w="131" w:type="dxa"/>
          <w:trHeight w:val="525" w:hRule="atLeast"/>
        </w:trPr>
        <w:tc>
          <w:tcPr>
            <w:tcW w:w="62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370"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82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722"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70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2"/>
          <w:wBefore w:w="93" w:type="dxa"/>
          <w:wAfter w:w="131" w:type="dxa"/>
          <w:trHeight w:val="525" w:hRule="atLeast"/>
        </w:trPr>
        <w:tc>
          <w:tcPr>
            <w:tcW w:w="62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370"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82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722"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70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2"/>
          <w:wBefore w:w="93" w:type="dxa"/>
          <w:wAfter w:w="131" w:type="dxa"/>
          <w:trHeight w:val="525" w:hRule="atLeast"/>
        </w:trPr>
        <w:tc>
          <w:tcPr>
            <w:tcW w:w="62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370"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82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722"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70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2"/>
          <w:wBefore w:w="93" w:type="dxa"/>
          <w:wAfter w:w="131" w:type="dxa"/>
          <w:trHeight w:val="525" w:hRule="atLeast"/>
        </w:trPr>
        <w:tc>
          <w:tcPr>
            <w:tcW w:w="62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370"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82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722"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70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2"/>
          <w:wBefore w:w="93" w:type="dxa"/>
          <w:wAfter w:w="131" w:type="dxa"/>
          <w:trHeight w:val="525" w:hRule="atLeast"/>
        </w:trPr>
        <w:tc>
          <w:tcPr>
            <w:tcW w:w="62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370"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82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722"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70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2"/>
          <w:wBefore w:w="93" w:type="dxa"/>
          <w:wAfter w:w="131" w:type="dxa"/>
          <w:trHeight w:val="525" w:hRule="atLeast"/>
        </w:trPr>
        <w:tc>
          <w:tcPr>
            <w:tcW w:w="62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370"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82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722"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70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2"/>
          <w:wBefore w:w="93" w:type="dxa"/>
          <w:wAfter w:w="131" w:type="dxa"/>
          <w:trHeight w:val="525" w:hRule="atLeast"/>
        </w:trPr>
        <w:tc>
          <w:tcPr>
            <w:tcW w:w="62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370"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82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722"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70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2"/>
          <w:wBefore w:w="93" w:type="dxa"/>
          <w:wAfter w:w="131" w:type="dxa"/>
          <w:trHeight w:val="525" w:hRule="atLeast"/>
        </w:trPr>
        <w:tc>
          <w:tcPr>
            <w:tcW w:w="62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370"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820"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722"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70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2"/>
          <w:wBefore w:w="93" w:type="dxa"/>
          <w:wAfter w:w="131" w:type="dxa"/>
          <w:trHeight w:val="525" w:hRule="atLeast"/>
        </w:trPr>
        <w:tc>
          <w:tcPr>
            <w:tcW w:w="5816" w:type="dxa"/>
            <w:gridSpan w:val="12"/>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合计</w:t>
            </w:r>
          </w:p>
        </w:tc>
        <w:tc>
          <w:tcPr>
            <w:tcW w:w="1722" w:type="dxa"/>
            <w:gridSpan w:val="5"/>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702"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1"/>
          <w:wBefore w:w="93" w:type="dxa"/>
          <w:wAfter w:w="41" w:type="dxa"/>
          <w:trHeight w:val="900" w:hRule="atLeast"/>
        </w:trPr>
        <w:tc>
          <w:tcPr>
            <w:tcW w:w="9330" w:type="dxa"/>
            <w:gridSpan w:val="21"/>
            <w:shd w:val="clear" w:color="auto" w:fill="FFFFFF"/>
            <w:noWrap w:val="0"/>
            <w:vAlign w:val="center"/>
          </w:tcPr>
          <w:p>
            <w:pPr>
              <w:kinsoku/>
              <w:overflowPunct/>
              <w:topLinePunct w:val="0"/>
              <w:bidi w:val="0"/>
              <w:spacing w:line="300" w:lineRule="auto"/>
              <w:ind w:firstLine="945" w:firstLineChars="450"/>
              <w:rPr>
                <w:rFonts w:ascii="宋体" w:cs="Arial"/>
                <w:b/>
                <w:bCs/>
                <w:color w:val="000000"/>
                <w:sz w:val="40"/>
                <w:szCs w:val="40"/>
              </w:rPr>
            </w:pPr>
            <w:r>
              <w:rPr>
                <w:rFonts w:ascii="黑体" w:hAnsi="黑体" w:eastAsia="黑体"/>
                <w:bCs/>
              </w:rPr>
              <w:t xml:space="preserve">              </w:t>
            </w:r>
            <w:r>
              <w:rPr>
                <w:rFonts w:hint="eastAsia" w:ascii="宋体" w:hAnsi="宋体" w:cs="Arial"/>
                <w:b/>
                <w:bCs/>
                <w:color w:val="000000"/>
                <w:sz w:val="40"/>
                <w:szCs w:val="40"/>
              </w:rPr>
              <w:t>专项技术措施暂估价表</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1"/>
          <w:wBefore w:w="93" w:type="dxa"/>
          <w:wAfter w:w="41" w:type="dxa"/>
          <w:trHeight w:val="435" w:hRule="atLeast"/>
        </w:trPr>
        <w:tc>
          <w:tcPr>
            <w:tcW w:w="3671" w:type="dxa"/>
            <w:gridSpan w:val="7"/>
            <w:shd w:val="clear" w:color="auto" w:fill="FFFFFF"/>
            <w:noWrap w:val="0"/>
            <w:vAlign w:val="bottom"/>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工程名称</w:t>
            </w:r>
            <w:r>
              <w:rPr>
                <w:rFonts w:ascii="宋体" w:hAnsi="宋体" w:cs="Arial"/>
                <w:color w:val="000000"/>
                <w:sz w:val="18"/>
                <w:szCs w:val="18"/>
              </w:rPr>
              <w:t>:</w:t>
            </w:r>
          </w:p>
        </w:tc>
        <w:tc>
          <w:tcPr>
            <w:tcW w:w="2367" w:type="dxa"/>
            <w:gridSpan w:val="6"/>
            <w:shd w:val="clear" w:color="auto" w:fill="FFFFFF"/>
            <w:noWrap w:val="0"/>
            <w:vAlign w:val="bottom"/>
          </w:tcPr>
          <w:p>
            <w:pPr>
              <w:kinsoku/>
              <w:overflowPunct/>
              <w:topLinePunct w:val="0"/>
              <w:bidi w:val="0"/>
              <w:spacing w:line="300" w:lineRule="auto"/>
              <w:rPr>
                <w:rFonts w:ascii="宋体" w:cs="Arial"/>
                <w:color w:val="000000"/>
                <w:sz w:val="18"/>
                <w:szCs w:val="18"/>
              </w:rPr>
            </w:pPr>
          </w:p>
        </w:tc>
        <w:tc>
          <w:tcPr>
            <w:tcW w:w="3292" w:type="dxa"/>
            <w:gridSpan w:val="8"/>
            <w:shd w:val="clear" w:color="auto" w:fill="FFFFFF"/>
            <w:noWrap w:val="0"/>
            <w:vAlign w:val="bottom"/>
          </w:tcPr>
          <w:p>
            <w:pPr>
              <w:kinsoku/>
              <w:overflowPunct/>
              <w:topLinePunct w:val="0"/>
              <w:bidi w:val="0"/>
              <w:spacing w:line="300" w:lineRule="auto"/>
              <w:jc w:val="right"/>
              <w:rPr>
                <w:rFonts w:ascii="宋体" w:cs="Arial"/>
                <w:color w:val="000000"/>
                <w:sz w:val="18"/>
                <w:szCs w:val="18"/>
              </w:rPr>
            </w:pPr>
            <w:r>
              <w:rPr>
                <w:rFonts w:hint="eastAsia" w:ascii="宋体" w:hAnsi="宋体" w:cs="Arial"/>
                <w:color w:val="000000"/>
                <w:sz w:val="18"/>
                <w:szCs w:val="18"/>
              </w:rPr>
              <w:t>第</w:t>
            </w:r>
            <w:r>
              <w:rPr>
                <w:rFonts w:ascii="宋体" w:hAnsi="宋体" w:cs="Arial"/>
                <w:color w:val="000000"/>
                <w:sz w:val="18"/>
                <w:szCs w:val="18"/>
              </w:rPr>
              <w:t xml:space="preserve">  </w:t>
            </w:r>
            <w:r>
              <w:rPr>
                <w:rFonts w:hint="eastAsia" w:ascii="宋体" w:hAnsi="宋体" w:cs="Arial"/>
                <w:color w:val="000000"/>
                <w:sz w:val="18"/>
                <w:szCs w:val="18"/>
              </w:rPr>
              <w:t>页</w:t>
            </w:r>
            <w:r>
              <w:rPr>
                <w:rFonts w:ascii="宋体" w:hAnsi="宋体" w:cs="Arial"/>
                <w:color w:val="000000"/>
                <w:sz w:val="18"/>
                <w:szCs w:val="18"/>
              </w:rPr>
              <w:t xml:space="preserve"> </w:t>
            </w:r>
            <w:r>
              <w:rPr>
                <w:rFonts w:hint="eastAsia" w:ascii="宋体" w:hAnsi="宋体" w:cs="Arial"/>
                <w:color w:val="000000"/>
                <w:sz w:val="18"/>
                <w:szCs w:val="18"/>
              </w:rPr>
              <w:t>共</w:t>
            </w:r>
            <w:r>
              <w:rPr>
                <w:rFonts w:ascii="宋体" w:hAnsi="宋体" w:cs="Arial"/>
                <w:color w:val="000000"/>
                <w:sz w:val="18"/>
                <w:szCs w:val="18"/>
              </w:rPr>
              <w:t xml:space="preserve"> </w:t>
            </w:r>
            <w:r>
              <w:rPr>
                <w:rFonts w:hint="eastAsia" w:ascii="宋体" w:hAnsi="宋体" w:cs="Arial"/>
                <w:color w:val="000000"/>
                <w:sz w:val="18"/>
                <w:szCs w:val="18"/>
              </w:rPr>
              <w:t>页</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1"/>
          <w:wBefore w:w="93" w:type="dxa"/>
          <w:wAfter w:w="41" w:type="dxa"/>
          <w:trHeight w:val="525" w:hRule="atLeast"/>
        </w:trPr>
        <w:tc>
          <w:tcPr>
            <w:tcW w:w="61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序号</w:t>
            </w:r>
          </w:p>
        </w:tc>
        <w:tc>
          <w:tcPr>
            <w:tcW w:w="3052"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工</w:t>
            </w:r>
            <w:r>
              <w:rPr>
                <w:rFonts w:ascii="宋体" w:hAnsi="宋体" w:cs="Arial"/>
                <w:color w:val="000000"/>
                <w:sz w:val="18"/>
                <w:szCs w:val="18"/>
              </w:rPr>
              <w:t xml:space="preserve"> </w:t>
            </w:r>
            <w:r>
              <w:rPr>
                <w:rFonts w:hint="eastAsia" w:ascii="宋体" w:hAnsi="宋体" w:cs="Arial"/>
                <w:color w:val="000000"/>
                <w:sz w:val="18"/>
                <w:szCs w:val="18"/>
              </w:rPr>
              <w:t>程</w:t>
            </w:r>
            <w:r>
              <w:rPr>
                <w:rFonts w:ascii="宋体" w:hAnsi="宋体" w:cs="Arial"/>
                <w:color w:val="000000"/>
                <w:sz w:val="18"/>
                <w:szCs w:val="18"/>
              </w:rPr>
              <w:t xml:space="preserve"> </w:t>
            </w:r>
            <w:r>
              <w:rPr>
                <w:rFonts w:hint="eastAsia" w:ascii="宋体" w:hAnsi="宋体" w:cs="Arial"/>
                <w:color w:val="000000"/>
                <w:sz w:val="18"/>
                <w:szCs w:val="18"/>
              </w:rPr>
              <w:t>名</w:t>
            </w:r>
            <w:r>
              <w:rPr>
                <w:rFonts w:ascii="宋体" w:hAnsi="宋体" w:cs="Arial"/>
                <w:color w:val="000000"/>
                <w:sz w:val="18"/>
                <w:szCs w:val="18"/>
              </w:rPr>
              <w:t xml:space="preserve"> </w:t>
            </w:r>
            <w:r>
              <w:rPr>
                <w:rFonts w:hint="eastAsia" w:ascii="宋体" w:hAnsi="宋体" w:cs="Arial"/>
                <w:color w:val="000000"/>
                <w:sz w:val="18"/>
                <w:szCs w:val="18"/>
              </w:rPr>
              <w:t>称</w:t>
            </w:r>
          </w:p>
        </w:tc>
        <w:tc>
          <w:tcPr>
            <w:tcW w:w="2367"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工程内容</w:t>
            </w:r>
          </w:p>
        </w:tc>
        <w:tc>
          <w:tcPr>
            <w:tcW w:w="1655"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暂估金额</w:t>
            </w:r>
            <w:r>
              <w:rPr>
                <w:rFonts w:ascii="宋体" w:hAnsi="宋体" w:cs="Arial"/>
                <w:color w:val="000000"/>
                <w:sz w:val="18"/>
                <w:szCs w:val="18"/>
              </w:rPr>
              <w:t>(</w:t>
            </w:r>
            <w:r>
              <w:rPr>
                <w:rFonts w:hint="eastAsia" w:ascii="宋体" w:hAnsi="宋体" w:cs="Arial"/>
                <w:color w:val="000000"/>
                <w:sz w:val="18"/>
                <w:szCs w:val="18"/>
              </w:rPr>
              <w:t>元</w:t>
            </w:r>
            <w:r>
              <w:rPr>
                <w:rFonts w:ascii="宋体" w:hAnsi="宋体" w:cs="Arial"/>
                <w:color w:val="000000"/>
                <w:sz w:val="18"/>
                <w:szCs w:val="18"/>
              </w:rPr>
              <w:t>)</w:t>
            </w:r>
          </w:p>
        </w:tc>
        <w:tc>
          <w:tcPr>
            <w:tcW w:w="1637"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备注</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1"/>
          <w:wBefore w:w="93" w:type="dxa"/>
          <w:wAfter w:w="41" w:type="dxa"/>
          <w:trHeight w:val="525" w:hRule="atLeast"/>
        </w:trPr>
        <w:tc>
          <w:tcPr>
            <w:tcW w:w="61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052"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367"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655"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637"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1"/>
          <w:wBefore w:w="93" w:type="dxa"/>
          <w:wAfter w:w="41" w:type="dxa"/>
          <w:trHeight w:val="525" w:hRule="atLeast"/>
        </w:trPr>
        <w:tc>
          <w:tcPr>
            <w:tcW w:w="61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052"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367"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655"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637"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1"/>
          <w:wBefore w:w="93" w:type="dxa"/>
          <w:wAfter w:w="41" w:type="dxa"/>
          <w:trHeight w:val="525" w:hRule="atLeast"/>
        </w:trPr>
        <w:tc>
          <w:tcPr>
            <w:tcW w:w="61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052"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367"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655"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637"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1"/>
          <w:wBefore w:w="93" w:type="dxa"/>
          <w:wAfter w:w="41" w:type="dxa"/>
          <w:trHeight w:val="525" w:hRule="atLeast"/>
        </w:trPr>
        <w:tc>
          <w:tcPr>
            <w:tcW w:w="61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052"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367"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655"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637"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1"/>
          <w:wBefore w:w="93" w:type="dxa"/>
          <w:wAfter w:w="41" w:type="dxa"/>
          <w:trHeight w:val="525" w:hRule="atLeast"/>
        </w:trPr>
        <w:tc>
          <w:tcPr>
            <w:tcW w:w="61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052"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367"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655"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637"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1"/>
          <w:wBefore w:w="93" w:type="dxa"/>
          <w:wAfter w:w="41" w:type="dxa"/>
          <w:trHeight w:val="525" w:hRule="atLeast"/>
        </w:trPr>
        <w:tc>
          <w:tcPr>
            <w:tcW w:w="61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052"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367"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655"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637"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1"/>
          <w:wBefore w:w="93" w:type="dxa"/>
          <w:wAfter w:w="41" w:type="dxa"/>
          <w:trHeight w:val="525" w:hRule="atLeast"/>
        </w:trPr>
        <w:tc>
          <w:tcPr>
            <w:tcW w:w="61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052"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367"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655"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637"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1"/>
          <w:wBefore w:w="93" w:type="dxa"/>
          <w:wAfter w:w="41" w:type="dxa"/>
          <w:trHeight w:val="525" w:hRule="atLeast"/>
        </w:trPr>
        <w:tc>
          <w:tcPr>
            <w:tcW w:w="61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052"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367"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655"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637"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1"/>
          <w:wBefore w:w="93" w:type="dxa"/>
          <w:wAfter w:w="41" w:type="dxa"/>
          <w:trHeight w:val="525" w:hRule="atLeast"/>
        </w:trPr>
        <w:tc>
          <w:tcPr>
            <w:tcW w:w="61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052"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367"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655"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637"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1"/>
          <w:wBefore w:w="93" w:type="dxa"/>
          <w:wAfter w:w="41" w:type="dxa"/>
          <w:trHeight w:val="525" w:hRule="atLeast"/>
        </w:trPr>
        <w:tc>
          <w:tcPr>
            <w:tcW w:w="61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052"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367"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655"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637"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1"/>
          <w:wBefore w:w="93" w:type="dxa"/>
          <w:wAfter w:w="41" w:type="dxa"/>
          <w:trHeight w:val="525" w:hRule="atLeast"/>
        </w:trPr>
        <w:tc>
          <w:tcPr>
            <w:tcW w:w="61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052"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367"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655"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637"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1"/>
          <w:wBefore w:w="93" w:type="dxa"/>
          <w:wAfter w:w="41" w:type="dxa"/>
          <w:trHeight w:val="525" w:hRule="atLeast"/>
        </w:trPr>
        <w:tc>
          <w:tcPr>
            <w:tcW w:w="61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052"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367"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655"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637"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1"/>
          <w:wBefore w:w="93" w:type="dxa"/>
          <w:wAfter w:w="41" w:type="dxa"/>
          <w:trHeight w:val="525" w:hRule="atLeast"/>
        </w:trPr>
        <w:tc>
          <w:tcPr>
            <w:tcW w:w="61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052"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367"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655"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637"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1"/>
          <w:wBefore w:w="93" w:type="dxa"/>
          <w:wAfter w:w="41" w:type="dxa"/>
          <w:trHeight w:val="525" w:hRule="atLeast"/>
        </w:trPr>
        <w:tc>
          <w:tcPr>
            <w:tcW w:w="61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052"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367"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655"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637"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1"/>
          <w:wBefore w:w="93" w:type="dxa"/>
          <w:wAfter w:w="41" w:type="dxa"/>
          <w:trHeight w:val="525" w:hRule="atLeast"/>
        </w:trPr>
        <w:tc>
          <w:tcPr>
            <w:tcW w:w="61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052"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367"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655"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637"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1"/>
          <w:wBefore w:w="93" w:type="dxa"/>
          <w:wAfter w:w="41" w:type="dxa"/>
          <w:trHeight w:val="525" w:hRule="atLeast"/>
        </w:trPr>
        <w:tc>
          <w:tcPr>
            <w:tcW w:w="61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052"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367"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655"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637"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1"/>
          <w:wBefore w:w="93" w:type="dxa"/>
          <w:wAfter w:w="41" w:type="dxa"/>
          <w:trHeight w:val="525" w:hRule="atLeast"/>
        </w:trPr>
        <w:tc>
          <w:tcPr>
            <w:tcW w:w="61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052"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367"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655"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637"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1"/>
          <w:wBefore w:w="93" w:type="dxa"/>
          <w:wAfter w:w="41" w:type="dxa"/>
          <w:trHeight w:val="525" w:hRule="atLeast"/>
        </w:trPr>
        <w:tc>
          <w:tcPr>
            <w:tcW w:w="61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052"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367"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655"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637"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1"/>
          <w:wBefore w:w="93" w:type="dxa"/>
          <w:wAfter w:w="41" w:type="dxa"/>
          <w:trHeight w:val="525" w:hRule="atLeast"/>
        </w:trPr>
        <w:tc>
          <w:tcPr>
            <w:tcW w:w="61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052"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2367" w:type="dxa"/>
            <w:gridSpan w:val="6"/>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655"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637"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08" w:type="dxa"/>
            <w:bottom w:w="15" w:type="dxa"/>
            <w:right w:w="108" w:type="dxa"/>
          </w:tblCellMar>
        </w:tblPrEx>
        <w:trPr>
          <w:gridBefore w:val="1"/>
          <w:gridAfter w:val="1"/>
          <w:wBefore w:w="93" w:type="dxa"/>
          <w:wAfter w:w="41" w:type="dxa"/>
          <w:trHeight w:val="525" w:hRule="atLeast"/>
        </w:trPr>
        <w:tc>
          <w:tcPr>
            <w:tcW w:w="6038" w:type="dxa"/>
            <w:gridSpan w:val="13"/>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合计</w:t>
            </w:r>
          </w:p>
        </w:tc>
        <w:tc>
          <w:tcPr>
            <w:tcW w:w="1655" w:type="dxa"/>
            <w:gridSpan w:val="5"/>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bl>
    <w:p>
      <w:pPr>
        <w:kinsoku/>
        <w:overflowPunct/>
        <w:topLinePunct w:val="0"/>
        <w:bidi w:val="0"/>
        <w:spacing w:line="300" w:lineRule="auto"/>
        <w:rPr>
          <w:rFonts w:ascii="黑体" w:hAnsi="黑体" w:eastAsia="黑体"/>
          <w:bCs/>
        </w:rPr>
      </w:pPr>
    </w:p>
    <w:p>
      <w:pPr>
        <w:kinsoku/>
        <w:overflowPunct/>
        <w:topLinePunct w:val="0"/>
        <w:bidi w:val="0"/>
        <w:spacing w:line="300" w:lineRule="auto"/>
        <w:rPr>
          <w:rFonts w:ascii="黑体" w:hAnsi="黑体" w:eastAsia="黑体"/>
          <w:bCs/>
        </w:rPr>
      </w:pPr>
    </w:p>
    <w:tbl>
      <w:tblPr>
        <w:tblStyle w:val="53"/>
        <w:tblW w:w="0" w:type="auto"/>
        <w:tblInd w:w="93" w:type="dxa"/>
        <w:tblLayout w:type="fixed"/>
        <w:tblCellMar>
          <w:top w:w="15" w:type="dxa"/>
          <w:left w:w="108" w:type="dxa"/>
          <w:bottom w:w="15" w:type="dxa"/>
          <w:right w:w="108" w:type="dxa"/>
        </w:tblCellMar>
      </w:tblPr>
      <w:tblGrid>
        <w:gridCol w:w="1021"/>
        <w:gridCol w:w="3659"/>
        <w:gridCol w:w="1224"/>
        <w:gridCol w:w="1239"/>
        <w:gridCol w:w="1236"/>
        <w:gridCol w:w="1134"/>
      </w:tblGrid>
      <w:tr>
        <w:tblPrEx>
          <w:tblCellMar>
            <w:top w:w="15" w:type="dxa"/>
            <w:left w:w="108" w:type="dxa"/>
            <w:bottom w:w="15" w:type="dxa"/>
            <w:right w:w="108" w:type="dxa"/>
          </w:tblCellMar>
        </w:tblPrEx>
        <w:trPr>
          <w:wAfter w:w="42" w:type="dxa"/>
          <w:trHeight w:val="900" w:hRule="atLeast"/>
        </w:trPr>
        <w:tc>
          <w:tcPr>
            <w:tcW w:w="9513" w:type="dxa"/>
            <w:gridSpan w:val="6"/>
            <w:shd w:val="clear" w:color="auto" w:fill="FFFFFF"/>
            <w:noWrap w:val="0"/>
            <w:vAlign w:val="center"/>
          </w:tcPr>
          <w:p>
            <w:pPr>
              <w:kinsoku/>
              <w:overflowPunct/>
              <w:topLinePunct w:val="0"/>
              <w:bidi w:val="0"/>
              <w:spacing w:line="300" w:lineRule="auto"/>
              <w:jc w:val="center"/>
              <w:rPr>
                <w:rFonts w:ascii="宋体" w:cs="Arial"/>
                <w:b/>
                <w:bCs/>
                <w:color w:val="000000"/>
                <w:sz w:val="40"/>
                <w:szCs w:val="40"/>
              </w:rPr>
            </w:pPr>
            <w:r>
              <w:rPr>
                <w:rFonts w:hint="eastAsia" w:ascii="宋体" w:hAnsi="宋体" w:cs="Arial"/>
                <w:b/>
                <w:bCs/>
                <w:color w:val="000000"/>
                <w:sz w:val="40"/>
                <w:szCs w:val="40"/>
              </w:rPr>
              <w:t>计</w:t>
            </w:r>
            <w:r>
              <w:rPr>
                <w:rFonts w:ascii="宋体" w:hAnsi="宋体" w:cs="Arial"/>
                <w:b/>
                <w:bCs/>
                <w:color w:val="000000"/>
                <w:sz w:val="40"/>
                <w:szCs w:val="40"/>
              </w:rPr>
              <w:t xml:space="preserve"> </w:t>
            </w:r>
            <w:r>
              <w:rPr>
                <w:rFonts w:hint="eastAsia" w:ascii="宋体" w:hAnsi="宋体" w:cs="Arial"/>
                <w:b/>
                <w:bCs/>
                <w:color w:val="000000"/>
                <w:sz w:val="40"/>
                <w:szCs w:val="40"/>
              </w:rPr>
              <w:t>日</w:t>
            </w:r>
            <w:r>
              <w:rPr>
                <w:rFonts w:ascii="宋体" w:hAnsi="宋体" w:cs="Arial"/>
                <w:b/>
                <w:bCs/>
                <w:color w:val="000000"/>
                <w:sz w:val="40"/>
                <w:szCs w:val="40"/>
              </w:rPr>
              <w:t xml:space="preserve"> </w:t>
            </w:r>
            <w:r>
              <w:rPr>
                <w:rFonts w:hint="eastAsia" w:ascii="宋体" w:hAnsi="宋体" w:cs="Arial"/>
                <w:b/>
                <w:bCs/>
                <w:color w:val="000000"/>
                <w:sz w:val="40"/>
                <w:szCs w:val="40"/>
              </w:rPr>
              <w:t>工</w:t>
            </w:r>
            <w:r>
              <w:rPr>
                <w:rFonts w:ascii="宋体" w:hAnsi="宋体" w:cs="Arial"/>
                <w:b/>
                <w:bCs/>
                <w:color w:val="000000"/>
                <w:sz w:val="40"/>
                <w:szCs w:val="40"/>
              </w:rPr>
              <w:t xml:space="preserve"> </w:t>
            </w:r>
            <w:r>
              <w:rPr>
                <w:rFonts w:hint="eastAsia" w:ascii="宋体" w:hAnsi="宋体" w:cs="Arial"/>
                <w:b/>
                <w:bCs/>
                <w:color w:val="000000"/>
                <w:sz w:val="40"/>
                <w:szCs w:val="40"/>
              </w:rPr>
              <w:t>表</w:t>
            </w:r>
          </w:p>
        </w:tc>
      </w:tr>
      <w:tr>
        <w:tblPrEx>
          <w:tblCellMar>
            <w:top w:w="15" w:type="dxa"/>
            <w:left w:w="108" w:type="dxa"/>
            <w:bottom w:w="15" w:type="dxa"/>
            <w:right w:w="108" w:type="dxa"/>
          </w:tblCellMar>
        </w:tblPrEx>
        <w:trPr>
          <w:wAfter w:w="42" w:type="dxa"/>
          <w:trHeight w:val="360" w:hRule="atLeast"/>
        </w:trPr>
        <w:tc>
          <w:tcPr>
            <w:tcW w:w="4680" w:type="dxa"/>
            <w:gridSpan w:val="2"/>
            <w:shd w:val="clear" w:color="auto" w:fill="FFFFFF"/>
            <w:noWrap w:val="0"/>
            <w:vAlign w:val="bottom"/>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工程名称</w:t>
            </w:r>
            <w:r>
              <w:rPr>
                <w:rFonts w:ascii="宋体" w:hAnsi="宋体" w:cs="Arial"/>
                <w:color w:val="000000"/>
                <w:sz w:val="18"/>
                <w:szCs w:val="18"/>
              </w:rPr>
              <w:t>:</w:t>
            </w:r>
          </w:p>
        </w:tc>
        <w:tc>
          <w:tcPr>
            <w:tcW w:w="2463" w:type="dxa"/>
            <w:gridSpan w:val="2"/>
            <w:shd w:val="clear" w:color="auto" w:fill="FFFFFF"/>
            <w:noWrap w:val="0"/>
            <w:vAlign w:val="bottom"/>
          </w:tcPr>
          <w:p>
            <w:pPr>
              <w:kinsoku/>
              <w:overflowPunct/>
              <w:topLinePunct w:val="0"/>
              <w:bidi w:val="0"/>
              <w:spacing w:line="300" w:lineRule="auto"/>
              <w:rPr>
                <w:rFonts w:ascii="宋体" w:cs="Arial"/>
                <w:color w:val="000000"/>
                <w:sz w:val="18"/>
                <w:szCs w:val="18"/>
              </w:rPr>
            </w:pPr>
          </w:p>
        </w:tc>
        <w:tc>
          <w:tcPr>
            <w:tcW w:w="2370" w:type="dxa"/>
            <w:gridSpan w:val="2"/>
            <w:shd w:val="clear" w:color="auto" w:fill="FFFFFF"/>
            <w:noWrap w:val="0"/>
            <w:vAlign w:val="bottom"/>
          </w:tcPr>
          <w:p>
            <w:pPr>
              <w:kinsoku/>
              <w:overflowPunct/>
              <w:topLinePunct w:val="0"/>
              <w:bidi w:val="0"/>
              <w:spacing w:line="300" w:lineRule="auto"/>
              <w:jc w:val="right"/>
              <w:rPr>
                <w:rFonts w:ascii="宋体" w:cs="Arial"/>
                <w:color w:val="000000"/>
                <w:sz w:val="18"/>
                <w:szCs w:val="18"/>
              </w:rPr>
            </w:pPr>
            <w:r>
              <w:rPr>
                <w:rFonts w:hint="eastAsia" w:ascii="宋体" w:hAnsi="宋体" w:cs="Arial"/>
                <w:color w:val="000000"/>
                <w:sz w:val="18"/>
                <w:szCs w:val="18"/>
              </w:rPr>
              <w:t>第</w:t>
            </w:r>
            <w:r>
              <w:rPr>
                <w:rFonts w:ascii="宋体" w:hAnsi="宋体" w:cs="Arial"/>
                <w:color w:val="000000"/>
                <w:sz w:val="18"/>
                <w:szCs w:val="18"/>
              </w:rPr>
              <w:t xml:space="preserve">  </w:t>
            </w:r>
            <w:r>
              <w:rPr>
                <w:rFonts w:hint="eastAsia" w:ascii="宋体" w:hAnsi="宋体" w:cs="Arial"/>
                <w:color w:val="000000"/>
                <w:sz w:val="18"/>
                <w:szCs w:val="18"/>
              </w:rPr>
              <w:t>页</w:t>
            </w:r>
            <w:r>
              <w:rPr>
                <w:rFonts w:ascii="宋体" w:hAnsi="宋体" w:cs="Arial"/>
                <w:color w:val="000000"/>
                <w:sz w:val="18"/>
                <w:szCs w:val="18"/>
              </w:rPr>
              <w:t xml:space="preserve"> </w:t>
            </w:r>
            <w:r>
              <w:rPr>
                <w:rFonts w:hint="eastAsia" w:ascii="宋体" w:hAnsi="宋体" w:cs="Arial"/>
                <w:color w:val="000000"/>
                <w:sz w:val="18"/>
                <w:szCs w:val="18"/>
              </w:rPr>
              <w:t>共</w:t>
            </w:r>
            <w:r>
              <w:rPr>
                <w:rFonts w:ascii="宋体" w:hAnsi="宋体" w:cs="Arial"/>
                <w:color w:val="000000"/>
                <w:sz w:val="18"/>
                <w:szCs w:val="18"/>
              </w:rPr>
              <w:t xml:space="preserve">  </w:t>
            </w:r>
            <w:r>
              <w:rPr>
                <w:rFonts w:hint="eastAsia" w:ascii="宋体" w:hAnsi="宋体" w:cs="Arial"/>
                <w:color w:val="000000"/>
                <w:sz w:val="18"/>
                <w:szCs w:val="18"/>
              </w:rPr>
              <w:t>页</w:t>
            </w:r>
          </w:p>
        </w:tc>
      </w:tr>
      <w:tr>
        <w:tblPrEx>
          <w:tblCellMar>
            <w:top w:w="15" w:type="dxa"/>
            <w:left w:w="108" w:type="dxa"/>
            <w:bottom w:w="15" w:type="dxa"/>
            <w:right w:w="108" w:type="dxa"/>
          </w:tblCellMar>
        </w:tblPrEx>
        <w:trPr>
          <w:wAfter w:w="42" w:type="dxa"/>
          <w:trHeight w:val="390" w:hRule="atLeast"/>
        </w:trPr>
        <w:tc>
          <w:tcPr>
            <w:tcW w:w="1021"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编号</w:t>
            </w:r>
          </w:p>
        </w:tc>
        <w:tc>
          <w:tcPr>
            <w:tcW w:w="3659"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项</w:t>
            </w:r>
            <w:r>
              <w:rPr>
                <w:rFonts w:ascii="宋体" w:hAnsi="宋体" w:cs="Arial"/>
                <w:color w:val="000000"/>
                <w:sz w:val="18"/>
                <w:szCs w:val="18"/>
              </w:rPr>
              <w:t xml:space="preserve"> </w:t>
            </w:r>
            <w:r>
              <w:rPr>
                <w:rFonts w:hint="eastAsia" w:ascii="宋体" w:hAnsi="宋体" w:cs="Arial"/>
                <w:color w:val="000000"/>
                <w:sz w:val="18"/>
                <w:szCs w:val="18"/>
              </w:rPr>
              <w:t>目</w:t>
            </w:r>
            <w:r>
              <w:rPr>
                <w:rFonts w:ascii="宋体" w:hAnsi="宋体" w:cs="Arial"/>
                <w:color w:val="000000"/>
                <w:sz w:val="18"/>
                <w:szCs w:val="18"/>
              </w:rPr>
              <w:t xml:space="preserve"> </w:t>
            </w:r>
            <w:r>
              <w:rPr>
                <w:rFonts w:hint="eastAsia" w:ascii="宋体" w:hAnsi="宋体" w:cs="Arial"/>
                <w:color w:val="000000"/>
                <w:sz w:val="18"/>
                <w:szCs w:val="18"/>
              </w:rPr>
              <w:t>名</w:t>
            </w:r>
            <w:r>
              <w:rPr>
                <w:rFonts w:ascii="宋体" w:hAnsi="宋体" w:cs="Arial"/>
                <w:color w:val="000000"/>
                <w:sz w:val="18"/>
                <w:szCs w:val="18"/>
              </w:rPr>
              <w:t xml:space="preserve"> </w:t>
            </w:r>
            <w:r>
              <w:rPr>
                <w:rFonts w:hint="eastAsia" w:ascii="宋体" w:hAnsi="宋体" w:cs="Arial"/>
                <w:color w:val="000000"/>
                <w:sz w:val="18"/>
                <w:szCs w:val="18"/>
              </w:rPr>
              <w:t>称</w:t>
            </w:r>
          </w:p>
        </w:tc>
        <w:tc>
          <w:tcPr>
            <w:tcW w:w="1224"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单位</w:t>
            </w:r>
          </w:p>
        </w:tc>
        <w:tc>
          <w:tcPr>
            <w:tcW w:w="1239"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数量</w:t>
            </w:r>
          </w:p>
        </w:tc>
        <w:tc>
          <w:tcPr>
            <w:tcW w:w="1236" w:type="dxa"/>
            <w:vMerge w:val="restart"/>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综合单价</w:t>
            </w:r>
            <w:r>
              <w:rPr>
                <w:rFonts w:ascii="宋体" w:hAnsi="宋体" w:cs="Arial"/>
                <w:color w:val="000000"/>
                <w:sz w:val="18"/>
                <w:szCs w:val="18"/>
              </w:rPr>
              <w:t>(</w:t>
            </w:r>
            <w:r>
              <w:rPr>
                <w:rFonts w:hint="eastAsia" w:ascii="宋体" w:hAnsi="宋体" w:cs="Arial"/>
                <w:color w:val="000000"/>
                <w:sz w:val="18"/>
                <w:szCs w:val="18"/>
              </w:rPr>
              <w:t>元</w:t>
            </w:r>
            <w:r>
              <w:rPr>
                <w:rFonts w:ascii="宋体" w:hAnsi="宋体" w:cs="Arial"/>
                <w:color w:val="000000"/>
                <w:sz w:val="18"/>
                <w:szCs w:val="18"/>
              </w:rPr>
              <w:t>)</w:t>
            </w:r>
          </w:p>
        </w:tc>
        <w:tc>
          <w:tcPr>
            <w:tcW w:w="1134" w:type="dxa"/>
            <w:vMerge w:val="restart"/>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合价</w:t>
            </w:r>
            <w:r>
              <w:rPr>
                <w:rFonts w:ascii="宋体" w:hAnsi="宋体" w:cs="Arial"/>
                <w:color w:val="000000"/>
                <w:sz w:val="18"/>
                <w:szCs w:val="18"/>
              </w:rPr>
              <w:t>(</w:t>
            </w:r>
            <w:r>
              <w:rPr>
                <w:rFonts w:hint="eastAsia" w:ascii="宋体" w:hAnsi="宋体" w:cs="Arial"/>
                <w:color w:val="000000"/>
                <w:sz w:val="18"/>
                <w:szCs w:val="18"/>
              </w:rPr>
              <w:t>元</w:t>
            </w:r>
            <w:r>
              <w:rPr>
                <w:rFonts w:ascii="宋体" w:hAnsi="宋体" w:cs="Arial"/>
                <w:color w:val="000000"/>
                <w:sz w:val="18"/>
                <w:szCs w:val="18"/>
              </w:rPr>
              <w:t>)</w:t>
            </w:r>
          </w:p>
        </w:tc>
      </w:tr>
      <w:tr>
        <w:tblPrEx>
          <w:tblCellMar>
            <w:top w:w="15" w:type="dxa"/>
            <w:left w:w="108" w:type="dxa"/>
            <w:bottom w:w="15" w:type="dxa"/>
            <w:right w:w="108" w:type="dxa"/>
          </w:tblCellMar>
        </w:tblPrEx>
        <w:trPr>
          <w:wAfter w:w="42" w:type="dxa"/>
          <w:trHeight w:val="405" w:hRule="atLeast"/>
        </w:trPr>
        <w:tc>
          <w:tcPr>
            <w:tcW w:w="1021" w:type="dxa"/>
            <w:vMerge w:val="continue"/>
            <w:tcBorders>
              <w:top w:val="single" w:color="000000" w:sz="4" w:space="0"/>
              <w:left w:val="single" w:color="000000" w:sz="4" w:space="0"/>
            </w:tcBorders>
            <w:noWrap w:val="0"/>
            <w:vAlign w:val="center"/>
          </w:tcPr>
          <w:p>
            <w:pPr>
              <w:kinsoku/>
              <w:overflowPunct/>
              <w:topLinePunct w:val="0"/>
              <w:bidi w:val="0"/>
              <w:spacing w:line="300" w:lineRule="auto"/>
              <w:rPr>
                <w:rFonts w:ascii="宋体" w:cs="Arial"/>
                <w:color w:val="000000"/>
                <w:sz w:val="18"/>
                <w:szCs w:val="18"/>
              </w:rPr>
            </w:pPr>
          </w:p>
        </w:tc>
        <w:tc>
          <w:tcPr>
            <w:tcW w:w="3659" w:type="dxa"/>
            <w:vMerge w:val="continue"/>
            <w:tcBorders>
              <w:top w:val="single" w:color="000000" w:sz="4" w:space="0"/>
              <w:left w:val="single" w:color="000000" w:sz="4" w:space="0"/>
            </w:tcBorders>
            <w:noWrap w:val="0"/>
            <w:vAlign w:val="center"/>
          </w:tcPr>
          <w:p>
            <w:pPr>
              <w:kinsoku/>
              <w:overflowPunct/>
              <w:topLinePunct w:val="0"/>
              <w:bidi w:val="0"/>
              <w:spacing w:line="300" w:lineRule="auto"/>
              <w:rPr>
                <w:rFonts w:ascii="宋体" w:cs="Arial"/>
                <w:color w:val="000000"/>
                <w:sz w:val="18"/>
                <w:szCs w:val="18"/>
              </w:rPr>
            </w:pPr>
          </w:p>
        </w:tc>
        <w:tc>
          <w:tcPr>
            <w:tcW w:w="1224" w:type="dxa"/>
            <w:vMerge w:val="continue"/>
            <w:tcBorders>
              <w:top w:val="single" w:color="000000" w:sz="4" w:space="0"/>
              <w:left w:val="single" w:color="000000" w:sz="4" w:space="0"/>
            </w:tcBorders>
            <w:noWrap w:val="0"/>
            <w:vAlign w:val="center"/>
          </w:tcPr>
          <w:p>
            <w:pPr>
              <w:kinsoku/>
              <w:overflowPunct/>
              <w:topLinePunct w:val="0"/>
              <w:bidi w:val="0"/>
              <w:spacing w:line="300" w:lineRule="auto"/>
              <w:rPr>
                <w:rFonts w:ascii="宋体" w:cs="Arial"/>
                <w:color w:val="000000"/>
                <w:sz w:val="18"/>
                <w:szCs w:val="18"/>
              </w:rPr>
            </w:pPr>
          </w:p>
        </w:tc>
        <w:tc>
          <w:tcPr>
            <w:tcW w:w="1239" w:type="dxa"/>
            <w:vMerge w:val="continue"/>
            <w:tcBorders>
              <w:top w:val="single" w:color="000000" w:sz="4" w:space="0"/>
              <w:left w:val="single" w:color="000000" w:sz="4" w:space="0"/>
            </w:tcBorders>
            <w:noWrap w:val="0"/>
            <w:vAlign w:val="center"/>
          </w:tcPr>
          <w:p>
            <w:pPr>
              <w:kinsoku/>
              <w:overflowPunct/>
              <w:topLinePunct w:val="0"/>
              <w:bidi w:val="0"/>
              <w:spacing w:line="300" w:lineRule="auto"/>
              <w:rPr>
                <w:rFonts w:ascii="宋体" w:cs="Arial"/>
                <w:color w:val="000000"/>
                <w:sz w:val="18"/>
                <w:szCs w:val="18"/>
              </w:rPr>
            </w:pPr>
          </w:p>
        </w:tc>
        <w:tc>
          <w:tcPr>
            <w:tcW w:w="1236" w:type="dxa"/>
            <w:vMerge w:val="continue"/>
            <w:tcBorders>
              <w:top w:val="single" w:color="000000" w:sz="4" w:space="0"/>
              <w:left w:val="single" w:color="000000" w:sz="4" w:space="0"/>
            </w:tcBorders>
            <w:noWrap w:val="0"/>
            <w:vAlign w:val="center"/>
          </w:tcPr>
          <w:p>
            <w:pPr>
              <w:kinsoku/>
              <w:overflowPunct/>
              <w:topLinePunct w:val="0"/>
              <w:bidi w:val="0"/>
              <w:spacing w:line="300" w:lineRule="auto"/>
              <w:rPr>
                <w:rFonts w:ascii="宋体" w:cs="Arial"/>
                <w:color w:val="000000"/>
                <w:sz w:val="18"/>
                <w:szCs w:val="18"/>
              </w:rPr>
            </w:pPr>
          </w:p>
        </w:tc>
        <w:tc>
          <w:tcPr>
            <w:tcW w:w="1134" w:type="dxa"/>
            <w:vMerge w:val="continue"/>
            <w:tcBorders>
              <w:top w:val="single" w:color="000000" w:sz="4" w:space="0"/>
              <w:left w:val="single" w:color="000000" w:sz="4" w:space="0"/>
              <w:right w:val="single" w:color="000000" w:sz="4" w:space="0"/>
            </w:tcBorders>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wAfter w:w="42" w:type="dxa"/>
          <w:trHeight w:val="525" w:hRule="atLeast"/>
        </w:trPr>
        <w:tc>
          <w:tcPr>
            <w:tcW w:w="102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一</w:t>
            </w:r>
          </w:p>
        </w:tc>
        <w:tc>
          <w:tcPr>
            <w:tcW w:w="365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人</w:t>
            </w:r>
            <w:r>
              <w:rPr>
                <w:rFonts w:ascii="宋体" w:hAnsi="宋体" w:cs="Arial"/>
                <w:color w:val="000000"/>
                <w:sz w:val="18"/>
                <w:szCs w:val="18"/>
              </w:rPr>
              <w:t xml:space="preserve">     </w:t>
            </w:r>
            <w:r>
              <w:rPr>
                <w:rFonts w:hint="eastAsia" w:ascii="宋体" w:hAnsi="宋体" w:cs="Arial"/>
                <w:color w:val="000000"/>
                <w:sz w:val="18"/>
                <w:szCs w:val="18"/>
              </w:rPr>
              <w:t>工</w:t>
            </w:r>
          </w:p>
        </w:tc>
        <w:tc>
          <w:tcPr>
            <w:tcW w:w="122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元</w:t>
            </w: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36"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wAfter w:w="42" w:type="dxa"/>
          <w:trHeight w:val="525" w:hRule="atLeast"/>
        </w:trPr>
        <w:tc>
          <w:tcPr>
            <w:tcW w:w="102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1</w:t>
            </w:r>
          </w:p>
        </w:tc>
        <w:tc>
          <w:tcPr>
            <w:tcW w:w="365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22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36"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wAfter w:w="42" w:type="dxa"/>
          <w:trHeight w:val="525" w:hRule="atLeast"/>
        </w:trPr>
        <w:tc>
          <w:tcPr>
            <w:tcW w:w="102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2</w:t>
            </w:r>
          </w:p>
        </w:tc>
        <w:tc>
          <w:tcPr>
            <w:tcW w:w="365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22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36"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wAfter w:w="42" w:type="dxa"/>
          <w:trHeight w:val="525" w:hRule="atLeast"/>
        </w:trPr>
        <w:tc>
          <w:tcPr>
            <w:tcW w:w="102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3</w:t>
            </w:r>
          </w:p>
        </w:tc>
        <w:tc>
          <w:tcPr>
            <w:tcW w:w="365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22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36"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wAfter w:w="42" w:type="dxa"/>
          <w:trHeight w:val="525" w:hRule="atLeast"/>
        </w:trPr>
        <w:tc>
          <w:tcPr>
            <w:tcW w:w="837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人</w:t>
            </w:r>
            <w:r>
              <w:rPr>
                <w:rFonts w:ascii="宋体" w:hAnsi="宋体" w:cs="Arial"/>
                <w:color w:val="000000"/>
                <w:sz w:val="18"/>
                <w:szCs w:val="18"/>
              </w:rPr>
              <w:t xml:space="preserve"> </w:t>
            </w:r>
            <w:r>
              <w:rPr>
                <w:rFonts w:hint="eastAsia" w:ascii="宋体" w:hAnsi="宋体" w:cs="Arial"/>
                <w:color w:val="000000"/>
                <w:sz w:val="18"/>
                <w:szCs w:val="18"/>
              </w:rPr>
              <w:t>工</w:t>
            </w:r>
            <w:r>
              <w:rPr>
                <w:rFonts w:ascii="宋体" w:hAnsi="宋体" w:cs="Arial"/>
                <w:color w:val="000000"/>
                <w:sz w:val="18"/>
                <w:szCs w:val="18"/>
              </w:rPr>
              <w:t xml:space="preserve"> </w:t>
            </w:r>
            <w:r>
              <w:rPr>
                <w:rFonts w:hint="eastAsia" w:ascii="宋体" w:hAnsi="宋体" w:cs="Arial"/>
                <w:color w:val="000000"/>
                <w:sz w:val="18"/>
                <w:szCs w:val="18"/>
              </w:rPr>
              <w:t>小</w:t>
            </w:r>
            <w:r>
              <w:rPr>
                <w:rFonts w:ascii="宋体" w:hAnsi="宋体" w:cs="Arial"/>
                <w:color w:val="000000"/>
                <w:sz w:val="18"/>
                <w:szCs w:val="18"/>
              </w:rPr>
              <w:t xml:space="preserve"> </w:t>
            </w:r>
            <w:r>
              <w:rPr>
                <w:rFonts w:hint="eastAsia" w:ascii="宋体" w:hAnsi="宋体" w:cs="Arial"/>
                <w:color w:val="000000"/>
                <w:sz w:val="18"/>
                <w:szCs w:val="18"/>
              </w:rPr>
              <w:t>计</w:t>
            </w:r>
          </w:p>
        </w:tc>
        <w:tc>
          <w:tcPr>
            <w:tcW w:w="1134"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wAfter w:w="42" w:type="dxa"/>
          <w:trHeight w:val="525" w:hRule="atLeast"/>
        </w:trPr>
        <w:tc>
          <w:tcPr>
            <w:tcW w:w="102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二</w:t>
            </w:r>
          </w:p>
        </w:tc>
        <w:tc>
          <w:tcPr>
            <w:tcW w:w="365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材</w:t>
            </w:r>
            <w:r>
              <w:rPr>
                <w:rFonts w:ascii="宋体" w:hAnsi="宋体" w:cs="Arial"/>
                <w:color w:val="000000"/>
                <w:sz w:val="18"/>
                <w:szCs w:val="18"/>
              </w:rPr>
              <w:t xml:space="preserve">     </w:t>
            </w:r>
            <w:r>
              <w:rPr>
                <w:rFonts w:hint="eastAsia" w:ascii="宋体" w:hAnsi="宋体" w:cs="Arial"/>
                <w:color w:val="000000"/>
                <w:sz w:val="18"/>
                <w:szCs w:val="18"/>
              </w:rPr>
              <w:t>料</w:t>
            </w:r>
          </w:p>
        </w:tc>
        <w:tc>
          <w:tcPr>
            <w:tcW w:w="122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元</w:t>
            </w: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36"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wAfter w:w="42" w:type="dxa"/>
          <w:trHeight w:val="525" w:hRule="atLeast"/>
        </w:trPr>
        <w:tc>
          <w:tcPr>
            <w:tcW w:w="102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1</w:t>
            </w:r>
          </w:p>
        </w:tc>
        <w:tc>
          <w:tcPr>
            <w:tcW w:w="365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22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36"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wAfter w:w="42" w:type="dxa"/>
          <w:trHeight w:val="525" w:hRule="atLeast"/>
        </w:trPr>
        <w:tc>
          <w:tcPr>
            <w:tcW w:w="102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2</w:t>
            </w:r>
          </w:p>
        </w:tc>
        <w:tc>
          <w:tcPr>
            <w:tcW w:w="365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22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36"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wAfter w:w="42" w:type="dxa"/>
          <w:trHeight w:val="525" w:hRule="atLeast"/>
        </w:trPr>
        <w:tc>
          <w:tcPr>
            <w:tcW w:w="102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3</w:t>
            </w:r>
          </w:p>
        </w:tc>
        <w:tc>
          <w:tcPr>
            <w:tcW w:w="365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22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36"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wAfter w:w="42" w:type="dxa"/>
          <w:trHeight w:val="525" w:hRule="atLeast"/>
        </w:trPr>
        <w:tc>
          <w:tcPr>
            <w:tcW w:w="837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材</w:t>
            </w:r>
            <w:r>
              <w:rPr>
                <w:rFonts w:ascii="宋体" w:hAnsi="宋体" w:cs="Arial"/>
                <w:color w:val="000000"/>
                <w:sz w:val="18"/>
                <w:szCs w:val="18"/>
              </w:rPr>
              <w:t xml:space="preserve"> </w:t>
            </w:r>
            <w:r>
              <w:rPr>
                <w:rFonts w:hint="eastAsia" w:ascii="宋体" w:hAnsi="宋体" w:cs="Arial"/>
                <w:color w:val="000000"/>
                <w:sz w:val="18"/>
                <w:szCs w:val="18"/>
              </w:rPr>
              <w:t>料</w:t>
            </w:r>
            <w:r>
              <w:rPr>
                <w:rFonts w:ascii="宋体" w:hAnsi="宋体" w:cs="Arial"/>
                <w:color w:val="000000"/>
                <w:sz w:val="18"/>
                <w:szCs w:val="18"/>
              </w:rPr>
              <w:t xml:space="preserve"> </w:t>
            </w:r>
            <w:r>
              <w:rPr>
                <w:rFonts w:hint="eastAsia" w:ascii="宋体" w:hAnsi="宋体" w:cs="Arial"/>
                <w:color w:val="000000"/>
                <w:sz w:val="18"/>
                <w:szCs w:val="18"/>
              </w:rPr>
              <w:t>小</w:t>
            </w:r>
            <w:r>
              <w:rPr>
                <w:rFonts w:ascii="宋体" w:hAnsi="宋体" w:cs="Arial"/>
                <w:color w:val="000000"/>
                <w:sz w:val="18"/>
                <w:szCs w:val="18"/>
              </w:rPr>
              <w:t xml:space="preserve"> </w:t>
            </w:r>
            <w:r>
              <w:rPr>
                <w:rFonts w:hint="eastAsia" w:ascii="宋体" w:hAnsi="宋体" w:cs="Arial"/>
                <w:color w:val="000000"/>
                <w:sz w:val="18"/>
                <w:szCs w:val="18"/>
              </w:rPr>
              <w:t>计</w:t>
            </w:r>
          </w:p>
        </w:tc>
        <w:tc>
          <w:tcPr>
            <w:tcW w:w="1134"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wAfter w:w="42" w:type="dxa"/>
          <w:trHeight w:val="525" w:hRule="atLeast"/>
        </w:trPr>
        <w:tc>
          <w:tcPr>
            <w:tcW w:w="102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三</w:t>
            </w:r>
          </w:p>
        </w:tc>
        <w:tc>
          <w:tcPr>
            <w:tcW w:w="365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施</w:t>
            </w:r>
            <w:r>
              <w:rPr>
                <w:rFonts w:ascii="宋体" w:hAnsi="宋体" w:cs="Arial"/>
                <w:color w:val="000000"/>
                <w:sz w:val="18"/>
                <w:szCs w:val="18"/>
              </w:rPr>
              <w:t xml:space="preserve"> </w:t>
            </w:r>
            <w:r>
              <w:rPr>
                <w:rFonts w:hint="eastAsia" w:ascii="宋体" w:hAnsi="宋体" w:cs="Arial"/>
                <w:color w:val="000000"/>
                <w:sz w:val="18"/>
                <w:szCs w:val="18"/>
              </w:rPr>
              <w:t>工</w:t>
            </w:r>
            <w:r>
              <w:rPr>
                <w:rFonts w:ascii="宋体" w:hAnsi="宋体" w:cs="Arial"/>
                <w:color w:val="000000"/>
                <w:sz w:val="18"/>
                <w:szCs w:val="18"/>
              </w:rPr>
              <w:t xml:space="preserve"> </w:t>
            </w:r>
            <w:r>
              <w:rPr>
                <w:rFonts w:hint="eastAsia" w:ascii="宋体" w:hAnsi="宋体" w:cs="Arial"/>
                <w:color w:val="000000"/>
                <w:sz w:val="18"/>
                <w:szCs w:val="18"/>
              </w:rPr>
              <w:t>机</w:t>
            </w:r>
            <w:r>
              <w:rPr>
                <w:rFonts w:ascii="宋体" w:hAnsi="宋体" w:cs="Arial"/>
                <w:color w:val="000000"/>
                <w:sz w:val="18"/>
                <w:szCs w:val="18"/>
              </w:rPr>
              <w:t xml:space="preserve"> </w:t>
            </w:r>
            <w:r>
              <w:rPr>
                <w:rFonts w:hint="eastAsia" w:ascii="宋体" w:hAnsi="宋体" w:cs="Arial"/>
                <w:color w:val="000000"/>
                <w:sz w:val="18"/>
                <w:szCs w:val="18"/>
              </w:rPr>
              <w:t>械</w:t>
            </w:r>
          </w:p>
        </w:tc>
        <w:tc>
          <w:tcPr>
            <w:tcW w:w="122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元</w:t>
            </w: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36"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wAfter w:w="42" w:type="dxa"/>
          <w:trHeight w:val="525" w:hRule="atLeast"/>
        </w:trPr>
        <w:tc>
          <w:tcPr>
            <w:tcW w:w="102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1</w:t>
            </w:r>
          </w:p>
        </w:tc>
        <w:tc>
          <w:tcPr>
            <w:tcW w:w="365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22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36"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wAfter w:w="42" w:type="dxa"/>
          <w:trHeight w:val="525" w:hRule="atLeast"/>
        </w:trPr>
        <w:tc>
          <w:tcPr>
            <w:tcW w:w="102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2</w:t>
            </w:r>
          </w:p>
        </w:tc>
        <w:tc>
          <w:tcPr>
            <w:tcW w:w="365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22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36"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wAfter w:w="42" w:type="dxa"/>
          <w:trHeight w:val="525" w:hRule="atLeast"/>
        </w:trPr>
        <w:tc>
          <w:tcPr>
            <w:tcW w:w="102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3</w:t>
            </w:r>
          </w:p>
        </w:tc>
        <w:tc>
          <w:tcPr>
            <w:tcW w:w="365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22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36"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wAfter w:w="42" w:type="dxa"/>
          <w:trHeight w:val="525" w:hRule="atLeast"/>
        </w:trPr>
        <w:tc>
          <w:tcPr>
            <w:tcW w:w="102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4</w:t>
            </w:r>
          </w:p>
        </w:tc>
        <w:tc>
          <w:tcPr>
            <w:tcW w:w="365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22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36"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wAfter w:w="42" w:type="dxa"/>
          <w:trHeight w:val="525" w:hRule="atLeast"/>
        </w:trPr>
        <w:tc>
          <w:tcPr>
            <w:tcW w:w="102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5</w:t>
            </w:r>
          </w:p>
        </w:tc>
        <w:tc>
          <w:tcPr>
            <w:tcW w:w="365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22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3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36"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wAfter w:w="42" w:type="dxa"/>
          <w:trHeight w:val="525" w:hRule="atLeast"/>
        </w:trPr>
        <w:tc>
          <w:tcPr>
            <w:tcW w:w="8379" w:type="dxa"/>
            <w:gridSpan w:val="5"/>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施工机械小计</w:t>
            </w:r>
          </w:p>
        </w:tc>
        <w:tc>
          <w:tcPr>
            <w:tcW w:w="1134"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wAfter w:w="42" w:type="dxa"/>
          <w:trHeight w:val="525" w:hRule="atLeast"/>
        </w:trPr>
        <w:tc>
          <w:tcPr>
            <w:tcW w:w="8379" w:type="dxa"/>
            <w:gridSpan w:val="5"/>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总</w:t>
            </w:r>
            <w:r>
              <w:rPr>
                <w:rFonts w:ascii="宋体" w:hAnsi="宋体" w:cs="Arial"/>
                <w:color w:val="000000"/>
                <w:sz w:val="18"/>
                <w:szCs w:val="18"/>
              </w:rPr>
              <w:t xml:space="preserve">    </w:t>
            </w:r>
            <w:r>
              <w:rPr>
                <w:rFonts w:hint="eastAsia" w:ascii="宋体" w:hAnsi="宋体" w:cs="Arial"/>
                <w:color w:val="000000"/>
                <w:sz w:val="18"/>
                <w:szCs w:val="18"/>
              </w:rPr>
              <w:t>计</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bl>
    <w:p>
      <w:pPr>
        <w:kinsoku/>
        <w:overflowPunct/>
        <w:topLinePunct w:val="0"/>
        <w:bidi w:val="0"/>
        <w:spacing w:line="300" w:lineRule="auto"/>
        <w:rPr>
          <w:rFonts w:ascii="Arial" w:hAnsi="Arial" w:cs="Arial"/>
          <w:color w:val="000000"/>
          <w:sz w:val="16"/>
        </w:rPr>
      </w:pPr>
      <w:r>
        <w:rPr>
          <w:rFonts w:ascii="Arial" w:hAnsi="Arial" w:cs="Arial"/>
          <w:color w:val="000000"/>
          <w:sz w:val="16"/>
        </w:rPr>
        <w:br w:type="page"/>
      </w:r>
    </w:p>
    <w:tbl>
      <w:tblPr>
        <w:tblStyle w:val="53"/>
        <w:tblW w:w="0" w:type="auto"/>
        <w:tblInd w:w="93" w:type="dxa"/>
        <w:tblLayout w:type="fixed"/>
        <w:tblCellMar>
          <w:top w:w="15" w:type="dxa"/>
          <w:left w:w="108" w:type="dxa"/>
          <w:bottom w:w="15" w:type="dxa"/>
          <w:right w:w="108" w:type="dxa"/>
        </w:tblCellMar>
      </w:tblPr>
      <w:tblGrid>
        <w:gridCol w:w="584"/>
        <w:gridCol w:w="22"/>
        <w:gridCol w:w="2723"/>
        <w:gridCol w:w="135"/>
        <w:gridCol w:w="990"/>
        <w:gridCol w:w="866"/>
        <w:gridCol w:w="169"/>
        <w:gridCol w:w="1148"/>
        <w:gridCol w:w="352"/>
        <w:gridCol w:w="1104"/>
        <w:gridCol w:w="2"/>
        <w:gridCol w:w="1418"/>
        <w:gridCol w:w="42"/>
      </w:tblGrid>
      <w:tr>
        <w:tblPrEx>
          <w:tblCellMar>
            <w:top w:w="15" w:type="dxa"/>
            <w:left w:w="108" w:type="dxa"/>
            <w:bottom w:w="15" w:type="dxa"/>
            <w:right w:w="108" w:type="dxa"/>
          </w:tblCellMar>
        </w:tblPrEx>
        <w:trPr>
          <w:gridAfter w:val="1"/>
          <w:wAfter w:w="42" w:type="dxa"/>
          <w:trHeight w:val="286" w:hRule="atLeast"/>
        </w:trPr>
        <w:tc>
          <w:tcPr>
            <w:tcW w:w="9513" w:type="dxa"/>
            <w:gridSpan w:val="12"/>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286" w:hRule="atLeast"/>
        </w:trPr>
        <w:tc>
          <w:tcPr>
            <w:tcW w:w="9513" w:type="dxa"/>
            <w:gridSpan w:val="12"/>
            <w:shd w:val="clear" w:color="auto" w:fill="FFFFFF"/>
            <w:noWrap w:val="0"/>
            <w:vAlign w:val="center"/>
          </w:tcPr>
          <w:p>
            <w:pPr>
              <w:kinsoku/>
              <w:overflowPunct/>
              <w:topLinePunct w:val="0"/>
              <w:bidi w:val="0"/>
              <w:spacing w:line="300" w:lineRule="auto"/>
              <w:jc w:val="center"/>
              <w:rPr>
                <w:rFonts w:ascii="宋体" w:cs="Arial"/>
                <w:b/>
                <w:bCs/>
                <w:color w:val="000000"/>
                <w:sz w:val="40"/>
                <w:szCs w:val="40"/>
              </w:rPr>
            </w:pPr>
            <w:r>
              <w:rPr>
                <w:rFonts w:hint="eastAsia" w:ascii="宋体" w:hAnsi="宋体" w:cs="Arial"/>
                <w:b/>
                <w:bCs/>
                <w:color w:val="000000"/>
                <w:sz w:val="40"/>
                <w:szCs w:val="40"/>
              </w:rPr>
              <w:t>总承包服务费计价表</w:t>
            </w:r>
          </w:p>
        </w:tc>
      </w:tr>
      <w:tr>
        <w:tblPrEx>
          <w:tblCellMar>
            <w:top w:w="15" w:type="dxa"/>
            <w:left w:w="108" w:type="dxa"/>
            <w:bottom w:w="15" w:type="dxa"/>
            <w:right w:w="108" w:type="dxa"/>
          </w:tblCellMar>
        </w:tblPrEx>
        <w:trPr>
          <w:trHeight w:val="420" w:hRule="atLeast"/>
        </w:trPr>
        <w:tc>
          <w:tcPr>
            <w:tcW w:w="5320" w:type="dxa"/>
            <w:gridSpan w:val="6"/>
            <w:shd w:val="clear" w:color="auto" w:fill="FFFFFF"/>
            <w:noWrap w:val="0"/>
            <w:vAlign w:val="bottom"/>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单位</w:t>
            </w:r>
            <w:r>
              <w:rPr>
                <w:rFonts w:ascii="宋体" w:hAnsi="宋体" w:cs="Arial"/>
                <w:color w:val="000000"/>
                <w:sz w:val="18"/>
                <w:szCs w:val="18"/>
              </w:rPr>
              <w:t>(</w:t>
            </w:r>
            <w:r>
              <w:rPr>
                <w:rFonts w:hint="eastAsia" w:ascii="宋体" w:hAnsi="宋体" w:cs="Arial"/>
                <w:color w:val="000000"/>
                <w:sz w:val="18"/>
                <w:szCs w:val="18"/>
              </w:rPr>
              <w:t>专业</w:t>
            </w:r>
            <w:r>
              <w:rPr>
                <w:rFonts w:ascii="宋体" w:hAnsi="宋体" w:cs="Arial"/>
                <w:color w:val="000000"/>
                <w:sz w:val="18"/>
                <w:szCs w:val="18"/>
              </w:rPr>
              <w:t>)</w:t>
            </w:r>
            <w:r>
              <w:rPr>
                <w:rFonts w:hint="eastAsia" w:ascii="宋体" w:hAnsi="宋体" w:cs="Arial"/>
                <w:color w:val="000000"/>
                <w:sz w:val="18"/>
                <w:szCs w:val="18"/>
              </w:rPr>
              <w:t>工程名称</w:t>
            </w:r>
            <w:r>
              <w:rPr>
                <w:rFonts w:ascii="宋体" w:hAnsi="宋体" w:cs="Arial"/>
                <w:color w:val="000000"/>
                <w:sz w:val="18"/>
                <w:szCs w:val="18"/>
              </w:rPr>
              <w:t>:</w:t>
            </w:r>
          </w:p>
        </w:tc>
        <w:tc>
          <w:tcPr>
            <w:tcW w:w="1317" w:type="dxa"/>
            <w:gridSpan w:val="2"/>
            <w:shd w:val="clear" w:color="auto" w:fill="FFFFFF"/>
            <w:noWrap w:val="0"/>
            <w:vAlign w:val="bottom"/>
          </w:tcPr>
          <w:p>
            <w:pPr>
              <w:kinsoku/>
              <w:overflowPunct/>
              <w:topLinePunct w:val="0"/>
              <w:bidi w:val="0"/>
              <w:spacing w:line="300" w:lineRule="auto"/>
              <w:rPr>
                <w:rFonts w:ascii="宋体" w:cs="Arial"/>
                <w:color w:val="000000"/>
                <w:sz w:val="18"/>
                <w:szCs w:val="18"/>
              </w:rPr>
            </w:pPr>
          </w:p>
        </w:tc>
        <w:tc>
          <w:tcPr>
            <w:tcW w:w="2918" w:type="dxa"/>
            <w:gridSpan w:val="5"/>
            <w:shd w:val="clear" w:color="auto" w:fill="FFFFFF"/>
            <w:noWrap w:val="0"/>
            <w:vAlign w:val="bottom"/>
          </w:tcPr>
          <w:p>
            <w:pPr>
              <w:kinsoku/>
              <w:overflowPunct/>
              <w:topLinePunct w:val="0"/>
              <w:bidi w:val="0"/>
              <w:spacing w:line="300" w:lineRule="auto"/>
              <w:jc w:val="right"/>
              <w:rPr>
                <w:rFonts w:ascii="宋体" w:cs="Arial"/>
                <w:color w:val="000000"/>
                <w:sz w:val="18"/>
                <w:szCs w:val="18"/>
              </w:rPr>
            </w:pPr>
            <w:r>
              <w:rPr>
                <w:rFonts w:hint="eastAsia" w:ascii="宋体" w:hAnsi="宋体" w:cs="Arial"/>
                <w:color w:val="000000"/>
                <w:sz w:val="18"/>
                <w:szCs w:val="18"/>
              </w:rPr>
              <w:t>第</w:t>
            </w:r>
            <w:r>
              <w:rPr>
                <w:rFonts w:ascii="宋体" w:hAnsi="宋体" w:cs="Arial"/>
                <w:color w:val="000000"/>
                <w:sz w:val="18"/>
                <w:szCs w:val="18"/>
              </w:rPr>
              <w:t xml:space="preserve">  </w:t>
            </w:r>
            <w:r>
              <w:rPr>
                <w:rFonts w:hint="eastAsia" w:ascii="宋体" w:hAnsi="宋体" w:cs="Arial"/>
                <w:color w:val="000000"/>
                <w:sz w:val="18"/>
                <w:szCs w:val="18"/>
              </w:rPr>
              <w:t>页</w:t>
            </w:r>
            <w:r>
              <w:rPr>
                <w:rFonts w:ascii="宋体" w:hAnsi="宋体" w:cs="Arial"/>
                <w:color w:val="000000"/>
                <w:sz w:val="18"/>
                <w:szCs w:val="18"/>
              </w:rPr>
              <w:t xml:space="preserve"> </w:t>
            </w:r>
            <w:r>
              <w:rPr>
                <w:rFonts w:hint="eastAsia" w:ascii="宋体" w:hAnsi="宋体" w:cs="Arial"/>
                <w:color w:val="000000"/>
                <w:sz w:val="18"/>
                <w:szCs w:val="18"/>
              </w:rPr>
              <w:t>共</w:t>
            </w:r>
            <w:r>
              <w:rPr>
                <w:rFonts w:ascii="宋体" w:hAnsi="宋体" w:cs="Arial"/>
                <w:color w:val="000000"/>
                <w:sz w:val="18"/>
                <w:szCs w:val="18"/>
              </w:rPr>
              <w:t xml:space="preserve">  </w:t>
            </w:r>
            <w:r>
              <w:rPr>
                <w:rFonts w:hint="eastAsia" w:ascii="宋体" w:hAnsi="宋体" w:cs="Arial"/>
                <w:color w:val="000000"/>
                <w:sz w:val="18"/>
                <w:szCs w:val="18"/>
              </w:rPr>
              <w:t>页</w:t>
            </w:r>
          </w:p>
        </w:tc>
      </w:tr>
      <w:tr>
        <w:tblPrEx>
          <w:tblCellMar>
            <w:top w:w="15" w:type="dxa"/>
            <w:left w:w="108" w:type="dxa"/>
            <w:bottom w:w="15" w:type="dxa"/>
            <w:right w:w="108" w:type="dxa"/>
          </w:tblCellMar>
        </w:tblPrEx>
        <w:trPr>
          <w:trHeight w:val="525" w:hRule="atLeast"/>
        </w:trPr>
        <w:tc>
          <w:tcPr>
            <w:tcW w:w="6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序号</w:t>
            </w:r>
          </w:p>
        </w:tc>
        <w:tc>
          <w:tcPr>
            <w:tcW w:w="272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项目名称</w:t>
            </w:r>
          </w:p>
        </w:tc>
        <w:tc>
          <w:tcPr>
            <w:tcW w:w="199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项目价值</w:t>
            </w:r>
            <w:r>
              <w:rPr>
                <w:rFonts w:ascii="宋体" w:hAnsi="宋体" w:cs="Arial"/>
                <w:color w:val="000000"/>
                <w:sz w:val="18"/>
                <w:szCs w:val="18"/>
              </w:rPr>
              <w:t>(</w:t>
            </w:r>
            <w:r>
              <w:rPr>
                <w:rFonts w:hint="eastAsia" w:ascii="宋体" w:hAnsi="宋体" w:cs="Arial"/>
                <w:color w:val="000000"/>
                <w:sz w:val="18"/>
                <w:szCs w:val="18"/>
              </w:rPr>
              <w:t>元</w:t>
            </w:r>
            <w:r>
              <w:rPr>
                <w:rFonts w:ascii="宋体" w:hAnsi="宋体" w:cs="Arial"/>
                <w:color w:val="000000"/>
                <w:sz w:val="18"/>
                <w:szCs w:val="18"/>
              </w:rPr>
              <w:t>)</w:t>
            </w:r>
          </w:p>
        </w:tc>
        <w:tc>
          <w:tcPr>
            <w:tcW w:w="1317"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服务内容</w:t>
            </w:r>
          </w:p>
        </w:tc>
        <w:tc>
          <w:tcPr>
            <w:tcW w:w="145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费率</w:t>
            </w:r>
            <w:r>
              <w:rPr>
                <w:rFonts w:ascii="宋体" w:hAnsi="宋体" w:cs="Arial"/>
                <w:color w:val="000000"/>
                <w:sz w:val="18"/>
                <w:szCs w:val="18"/>
              </w:rPr>
              <w:t>(%)</w:t>
            </w:r>
          </w:p>
        </w:tc>
        <w:tc>
          <w:tcPr>
            <w:tcW w:w="146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金额</w:t>
            </w:r>
            <w:r>
              <w:rPr>
                <w:rFonts w:ascii="宋体" w:hAnsi="宋体" w:cs="Arial"/>
                <w:color w:val="000000"/>
                <w:sz w:val="18"/>
                <w:szCs w:val="18"/>
              </w:rPr>
              <w:t>(</w:t>
            </w:r>
            <w:r>
              <w:rPr>
                <w:rFonts w:hint="eastAsia" w:ascii="宋体" w:hAnsi="宋体" w:cs="Arial"/>
                <w:color w:val="000000"/>
                <w:sz w:val="18"/>
                <w:szCs w:val="18"/>
              </w:rPr>
              <w:t>元</w:t>
            </w:r>
            <w:r>
              <w:rPr>
                <w:rFonts w:ascii="宋体" w:hAnsi="宋体" w:cs="Arial"/>
                <w:color w:val="000000"/>
                <w:sz w:val="18"/>
                <w:szCs w:val="18"/>
              </w:rPr>
              <w:t>)</w:t>
            </w:r>
          </w:p>
        </w:tc>
      </w:tr>
      <w:tr>
        <w:tblPrEx>
          <w:tblCellMar>
            <w:top w:w="15" w:type="dxa"/>
            <w:left w:w="108" w:type="dxa"/>
            <w:bottom w:w="15" w:type="dxa"/>
            <w:right w:w="108" w:type="dxa"/>
          </w:tblCellMar>
        </w:tblPrEx>
        <w:trPr>
          <w:trHeight w:val="525" w:hRule="atLeast"/>
        </w:trPr>
        <w:tc>
          <w:tcPr>
            <w:tcW w:w="6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1</w:t>
            </w:r>
          </w:p>
        </w:tc>
        <w:tc>
          <w:tcPr>
            <w:tcW w:w="272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发包人单独发包的专业工程</w:t>
            </w:r>
          </w:p>
        </w:tc>
        <w:tc>
          <w:tcPr>
            <w:tcW w:w="199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317"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5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6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525" w:hRule="atLeast"/>
        </w:trPr>
        <w:tc>
          <w:tcPr>
            <w:tcW w:w="6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1.1</w:t>
            </w:r>
          </w:p>
        </w:tc>
        <w:tc>
          <w:tcPr>
            <w:tcW w:w="272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专业发包工程管理费</w:t>
            </w:r>
          </w:p>
        </w:tc>
        <w:tc>
          <w:tcPr>
            <w:tcW w:w="199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317"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5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6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525" w:hRule="atLeast"/>
        </w:trPr>
        <w:tc>
          <w:tcPr>
            <w:tcW w:w="6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2</w:t>
            </w:r>
          </w:p>
        </w:tc>
        <w:tc>
          <w:tcPr>
            <w:tcW w:w="272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发包人提供材料</w:t>
            </w:r>
            <w:r>
              <w:rPr>
                <w:rFonts w:ascii="宋体" w:hAnsi="宋体" w:cs="Arial"/>
                <w:color w:val="000000"/>
                <w:sz w:val="18"/>
                <w:szCs w:val="18"/>
              </w:rPr>
              <w:t>(</w:t>
            </w:r>
            <w:r>
              <w:rPr>
                <w:rFonts w:hint="eastAsia" w:ascii="宋体" w:hAnsi="宋体" w:cs="Arial"/>
                <w:color w:val="000000"/>
                <w:sz w:val="18"/>
                <w:szCs w:val="18"/>
              </w:rPr>
              <w:t>设备</w:t>
            </w:r>
            <w:r>
              <w:rPr>
                <w:rFonts w:ascii="宋体" w:hAnsi="宋体" w:cs="Arial"/>
                <w:color w:val="000000"/>
                <w:sz w:val="18"/>
                <w:szCs w:val="18"/>
              </w:rPr>
              <w:t>)</w:t>
            </w:r>
          </w:p>
        </w:tc>
        <w:tc>
          <w:tcPr>
            <w:tcW w:w="199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317"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5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6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525" w:hRule="atLeast"/>
        </w:trPr>
        <w:tc>
          <w:tcPr>
            <w:tcW w:w="6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2.1</w:t>
            </w:r>
          </w:p>
        </w:tc>
        <w:tc>
          <w:tcPr>
            <w:tcW w:w="272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甲供材料设备保管费</w:t>
            </w:r>
          </w:p>
        </w:tc>
        <w:tc>
          <w:tcPr>
            <w:tcW w:w="199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317"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5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6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525" w:hRule="atLeast"/>
        </w:trPr>
        <w:tc>
          <w:tcPr>
            <w:tcW w:w="6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72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99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317"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5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6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525" w:hRule="atLeast"/>
        </w:trPr>
        <w:tc>
          <w:tcPr>
            <w:tcW w:w="6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72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99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317"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5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6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525" w:hRule="atLeast"/>
        </w:trPr>
        <w:tc>
          <w:tcPr>
            <w:tcW w:w="6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72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99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317"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5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6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525" w:hRule="atLeast"/>
        </w:trPr>
        <w:tc>
          <w:tcPr>
            <w:tcW w:w="6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72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99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317"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5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6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525" w:hRule="atLeast"/>
        </w:trPr>
        <w:tc>
          <w:tcPr>
            <w:tcW w:w="6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72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99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317"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5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6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525" w:hRule="atLeast"/>
        </w:trPr>
        <w:tc>
          <w:tcPr>
            <w:tcW w:w="6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72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99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317"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5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6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525" w:hRule="atLeast"/>
        </w:trPr>
        <w:tc>
          <w:tcPr>
            <w:tcW w:w="6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72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99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317"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5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6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525" w:hRule="atLeast"/>
        </w:trPr>
        <w:tc>
          <w:tcPr>
            <w:tcW w:w="6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72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99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317"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5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6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525" w:hRule="atLeast"/>
        </w:trPr>
        <w:tc>
          <w:tcPr>
            <w:tcW w:w="6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72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99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317"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5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6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525" w:hRule="atLeast"/>
        </w:trPr>
        <w:tc>
          <w:tcPr>
            <w:tcW w:w="6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72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99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317"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5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6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525" w:hRule="atLeast"/>
        </w:trPr>
        <w:tc>
          <w:tcPr>
            <w:tcW w:w="6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72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99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317"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5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6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525" w:hRule="atLeast"/>
        </w:trPr>
        <w:tc>
          <w:tcPr>
            <w:tcW w:w="6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72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99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317"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5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6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525" w:hRule="atLeast"/>
        </w:trPr>
        <w:tc>
          <w:tcPr>
            <w:tcW w:w="6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72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99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317"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5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6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525" w:hRule="atLeast"/>
        </w:trPr>
        <w:tc>
          <w:tcPr>
            <w:tcW w:w="6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72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99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317"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5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6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525" w:hRule="atLeast"/>
        </w:trPr>
        <w:tc>
          <w:tcPr>
            <w:tcW w:w="6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723"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991"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317"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5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62"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trHeight w:val="525" w:hRule="atLeast"/>
        </w:trPr>
        <w:tc>
          <w:tcPr>
            <w:tcW w:w="606" w:type="dxa"/>
            <w:gridSpan w:val="2"/>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723" w:type="dxa"/>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合计</w:t>
            </w:r>
          </w:p>
        </w:tc>
        <w:tc>
          <w:tcPr>
            <w:tcW w:w="1991" w:type="dxa"/>
            <w:gridSpan w:val="3"/>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317" w:type="dxa"/>
            <w:gridSpan w:val="2"/>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56" w:type="dxa"/>
            <w:gridSpan w:val="2"/>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462"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900" w:hRule="atLeast"/>
        </w:trPr>
        <w:tc>
          <w:tcPr>
            <w:tcW w:w="9513" w:type="dxa"/>
            <w:gridSpan w:val="12"/>
            <w:shd w:val="clear" w:color="auto" w:fill="FFFFFF"/>
            <w:noWrap w:val="0"/>
            <w:vAlign w:val="center"/>
          </w:tcPr>
          <w:p>
            <w:pPr>
              <w:kinsoku/>
              <w:overflowPunct/>
              <w:topLinePunct w:val="0"/>
              <w:bidi w:val="0"/>
              <w:spacing w:line="300" w:lineRule="auto"/>
              <w:jc w:val="center"/>
              <w:rPr>
                <w:rFonts w:ascii="宋体" w:cs="Arial"/>
                <w:b/>
                <w:bCs/>
                <w:color w:val="000000"/>
                <w:sz w:val="40"/>
                <w:szCs w:val="40"/>
              </w:rPr>
            </w:pPr>
            <w:r>
              <w:rPr>
                <w:rFonts w:hint="eastAsia" w:ascii="宋体" w:hAnsi="宋体" w:cs="Arial"/>
                <w:b/>
                <w:bCs/>
                <w:color w:val="000000"/>
                <w:sz w:val="40"/>
                <w:szCs w:val="40"/>
              </w:rPr>
              <w:t>主要工日一览表</w:t>
            </w:r>
          </w:p>
        </w:tc>
      </w:tr>
      <w:tr>
        <w:tblPrEx>
          <w:tblCellMar>
            <w:top w:w="15" w:type="dxa"/>
            <w:left w:w="108" w:type="dxa"/>
            <w:bottom w:w="15" w:type="dxa"/>
            <w:right w:w="108" w:type="dxa"/>
          </w:tblCellMar>
        </w:tblPrEx>
        <w:trPr>
          <w:gridAfter w:val="1"/>
          <w:wAfter w:w="42" w:type="dxa"/>
          <w:trHeight w:val="450" w:hRule="atLeast"/>
        </w:trPr>
        <w:tc>
          <w:tcPr>
            <w:tcW w:w="4454" w:type="dxa"/>
            <w:gridSpan w:val="5"/>
            <w:shd w:val="clear" w:color="auto" w:fill="FFFFFF"/>
            <w:noWrap w:val="0"/>
            <w:vAlign w:val="bottom"/>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工程名称</w:t>
            </w:r>
            <w:r>
              <w:rPr>
                <w:rFonts w:ascii="宋体" w:hAnsi="宋体" w:cs="Arial"/>
                <w:color w:val="000000"/>
                <w:sz w:val="18"/>
                <w:szCs w:val="18"/>
              </w:rPr>
              <w:t>:</w:t>
            </w:r>
          </w:p>
        </w:tc>
        <w:tc>
          <w:tcPr>
            <w:tcW w:w="2535" w:type="dxa"/>
            <w:gridSpan w:val="4"/>
            <w:shd w:val="clear" w:color="auto" w:fill="FFFFFF"/>
            <w:noWrap w:val="0"/>
            <w:vAlign w:val="bottom"/>
          </w:tcPr>
          <w:p>
            <w:pPr>
              <w:kinsoku/>
              <w:overflowPunct/>
              <w:topLinePunct w:val="0"/>
              <w:bidi w:val="0"/>
              <w:spacing w:line="300" w:lineRule="auto"/>
              <w:rPr>
                <w:rFonts w:ascii="宋体" w:cs="Arial"/>
                <w:color w:val="000000"/>
                <w:sz w:val="18"/>
                <w:szCs w:val="18"/>
              </w:rPr>
            </w:pPr>
            <w:r>
              <w:rPr>
                <w:rFonts w:ascii="宋体" w:hAnsi="宋体" w:cs="Arial"/>
                <w:color w:val="000000"/>
                <w:sz w:val="18"/>
                <w:szCs w:val="18"/>
              </w:rPr>
              <w:t xml:space="preserve"> </w:t>
            </w:r>
          </w:p>
        </w:tc>
        <w:tc>
          <w:tcPr>
            <w:tcW w:w="2524" w:type="dxa"/>
            <w:gridSpan w:val="3"/>
            <w:shd w:val="clear" w:color="auto" w:fill="FFFFFF"/>
            <w:noWrap w:val="0"/>
            <w:vAlign w:val="bottom"/>
          </w:tcPr>
          <w:p>
            <w:pPr>
              <w:kinsoku/>
              <w:overflowPunct/>
              <w:topLinePunct w:val="0"/>
              <w:bidi w:val="0"/>
              <w:spacing w:line="300" w:lineRule="auto"/>
              <w:jc w:val="right"/>
              <w:rPr>
                <w:rFonts w:ascii="宋体" w:cs="Arial"/>
                <w:color w:val="000000"/>
                <w:sz w:val="18"/>
                <w:szCs w:val="18"/>
              </w:rPr>
            </w:pPr>
            <w:r>
              <w:rPr>
                <w:rFonts w:hint="eastAsia" w:ascii="宋体" w:hAnsi="宋体" w:cs="Arial"/>
                <w:color w:val="000000"/>
                <w:sz w:val="18"/>
                <w:szCs w:val="18"/>
              </w:rPr>
              <w:t>第</w:t>
            </w:r>
            <w:r>
              <w:rPr>
                <w:rFonts w:ascii="宋体" w:hAnsi="宋体" w:cs="Arial"/>
                <w:color w:val="000000"/>
                <w:sz w:val="18"/>
                <w:szCs w:val="18"/>
              </w:rPr>
              <w:t xml:space="preserve"> </w:t>
            </w:r>
            <w:r>
              <w:rPr>
                <w:rFonts w:hint="eastAsia" w:ascii="宋体" w:hAnsi="宋体" w:cs="Arial"/>
                <w:color w:val="000000"/>
                <w:sz w:val="18"/>
                <w:szCs w:val="18"/>
              </w:rPr>
              <w:t>页</w:t>
            </w:r>
            <w:r>
              <w:rPr>
                <w:rFonts w:ascii="宋体" w:hAnsi="宋体" w:cs="Arial"/>
                <w:color w:val="000000"/>
                <w:sz w:val="18"/>
                <w:szCs w:val="18"/>
              </w:rPr>
              <w:t xml:space="preserve"> </w:t>
            </w:r>
            <w:r>
              <w:rPr>
                <w:rFonts w:hint="eastAsia" w:ascii="宋体" w:hAnsi="宋体" w:cs="Arial"/>
                <w:color w:val="000000"/>
                <w:sz w:val="18"/>
                <w:szCs w:val="18"/>
              </w:rPr>
              <w:t>共</w:t>
            </w:r>
            <w:r>
              <w:rPr>
                <w:rFonts w:ascii="宋体" w:hAnsi="宋体" w:cs="Arial"/>
                <w:color w:val="000000"/>
                <w:sz w:val="18"/>
                <w:szCs w:val="18"/>
              </w:rPr>
              <w:t xml:space="preserve"> </w:t>
            </w:r>
            <w:r>
              <w:rPr>
                <w:rFonts w:hint="eastAsia" w:ascii="宋体" w:hAnsi="宋体" w:cs="Arial"/>
                <w:color w:val="000000"/>
                <w:sz w:val="18"/>
                <w:szCs w:val="18"/>
              </w:rPr>
              <w:t>页</w:t>
            </w:r>
          </w:p>
        </w:tc>
      </w:tr>
      <w:tr>
        <w:tblPrEx>
          <w:tblCellMar>
            <w:top w:w="15" w:type="dxa"/>
            <w:left w:w="108" w:type="dxa"/>
            <w:bottom w:w="15" w:type="dxa"/>
            <w:right w:w="108" w:type="dxa"/>
          </w:tblCellMar>
        </w:tblPrEx>
        <w:trPr>
          <w:gridAfter w:val="1"/>
          <w:wAfter w:w="42" w:type="dxa"/>
          <w:trHeight w:val="45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序号</w:t>
            </w: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工日名称（类别）</w:t>
            </w: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单位</w:t>
            </w: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数量</w:t>
            </w: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单价</w:t>
            </w:r>
            <w:r>
              <w:rPr>
                <w:rFonts w:ascii="宋体" w:hAnsi="宋体" w:cs="Arial"/>
                <w:color w:val="000000"/>
                <w:sz w:val="18"/>
                <w:szCs w:val="18"/>
              </w:rPr>
              <w:t>(</w:t>
            </w:r>
            <w:r>
              <w:rPr>
                <w:rFonts w:hint="eastAsia" w:ascii="宋体" w:hAnsi="宋体" w:cs="Arial"/>
                <w:color w:val="000000"/>
                <w:sz w:val="18"/>
                <w:szCs w:val="18"/>
              </w:rPr>
              <w:t>元</w:t>
            </w:r>
            <w:r>
              <w:rPr>
                <w:rFonts w:ascii="宋体" w:hAnsi="宋体" w:cs="Arial"/>
                <w:color w:val="000000"/>
                <w:sz w:val="18"/>
                <w:szCs w:val="18"/>
              </w:rPr>
              <w:t>)</w:t>
            </w: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合价（元）</w:t>
            </w: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备注</w:t>
            </w: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1</w:t>
            </w: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二类人工</w:t>
            </w: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工日</w:t>
            </w: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ascii="宋体" w:hAnsi="宋体" w:cs="Arial"/>
                <w:color w:val="000000"/>
                <w:sz w:val="18"/>
                <w:szCs w:val="18"/>
              </w:rPr>
              <w:t>2</w:t>
            </w: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三类人工</w:t>
            </w: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工日</w:t>
            </w: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88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90"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880" w:type="dxa"/>
            <w:gridSpan w:val="3"/>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90" w:type="dxa"/>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2"/>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After w:w="42" w:type="dxa"/>
          <w:trHeight w:val="390" w:hRule="atLeast"/>
        </w:trPr>
        <w:tc>
          <w:tcPr>
            <w:tcW w:w="584"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880" w:type="dxa"/>
            <w:gridSpan w:val="3"/>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90"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2"/>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00" w:type="dxa"/>
            <w:gridSpan w:val="2"/>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06" w:type="dxa"/>
            <w:gridSpan w:val="2"/>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bl>
    <w:p>
      <w:pPr>
        <w:kinsoku/>
        <w:overflowPunct/>
        <w:topLinePunct w:val="0"/>
        <w:bidi w:val="0"/>
        <w:spacing w:before="156" w:beforeLines="50" w:line="300" w:lineRule="auto"/>
        <w:rPr>
          <w:rFonts w:ascii="黑体" w:hAnsi="黑体" w:eastAsia="黑体"/>
          <w:bCs/>
        </w:rPr>
      </w:pPr>
    </w:p>
    <w:tbl>
      <w:tblPr>
        <w:tblStyle w:val="53"/>
        <w:tblW w:w="0" w:type="auto"/>
        <w:tblInd w:w="93" w:type="dxa"/>
        <w:tblLayout w:type="fixed"/>
        <w:tblCellMar>
          <w:top w:w="15" w:type="dxa"/>
          <w:left w:w="108" w:type="dxa"/>
          <w:bottom w:w="15" w:type="dxa"/>
          <w:right w:w="108" w:type="dxa"/>
        </w:tblCellMar>
      </w:tblPr>
      <w:tblGrid>
        <w:gridCol w:w="451"/>
        <w:gridCol w:w="210"/>
        <w:gridCol w:w="2489"/>
        <w:gridCol w:w="437"/>
        <w:gridCol w:w="179"/>
        <w:gridCol w:w="479"/>
        <w:gridCol w:w="64"/>
        <w:gridCol w:w="149"/>
        <w:gridCol w:w="822"/>
        <w:gridCol w:w="269"/>
        <w:gridCol w:w="53"/>
        <w:gridCol w:w="1133"/>
        <w:gridCol w:w="17"/>
        <w:gridCol w:w="368"/>
        <w:gridCol w:w="762"/>
        <w:gridCol w:w="71"/>
        <w:gridCol w:w="426"/>
        <w:gridCol w:w="443"/>
        <w:gridCol w:w="549"/>
        <w:gridCol w:w="142"/>
        <w:gridCol w:w="250"/>
      </w:tblGrid>
      <w:tr>
        <w:tblPrEx>
          <w:tblCellMar>
            <w:top w:w="15" w:type="dxa"/>
            <w:left w:w="108" w:type="dxa"/>
            <w:bottom w:w="15" w:type="dxa"/>
            <w:right w:w="108" w:type="dxa"/>
          </w:tblCellMar>
        </w:tblPrEx>
        <w:trPr>
          <w:wBefore w:w="0" w:type="dxa"/>
          <w:wAfter w:w="0" w:type="dxa"/>
          <w:trHeight w:val="900" w:hRule="atLeast"/>
        </w:trPr>
        <w:tc>
          <w:tcPr>
            <w:tcW w:w="9763" w:type="dxa"/>
            <w:gridSpan w:val="21"/>
            <w:shd w:val="clear" w:color="auto" w:fill="FFFFFF"/>
            <w:noWrap w:val="0"/>
            <w:vAlign w:val="center"/>
          </w:tcPr>
          <w:p>
            <w:pPr>
              <w:kinsoku/>
              <w:overflowPunct/>
              <w:topLinePunct w:val="0"/>
              <w:bidi w:val="0"/>
              <w:spacing w:line="300" w:lineRule="auto"/>
              <w:jc w:val="center"/>
              <w:rPr>
                <w:rFonts w:ascii="宋体" w:cs="Arial"/>
                <w:b/>
                <w:bCs/>
                <w:color w:val="000000"/>
                <w:sz w:val="40"/>
                <w:szCs w:val="40"/>
              </w:rPr>
            </w:pPr>
            <w:r>
              <w:rPr>
                <w:rFonts w:hint="eastAsia" w:ascii="宋体" w:hAnsi="宋体" w:cs="Arial"/>
                <w:b/>
                <w:bCs/>
                <w:color w:val="000000"/>
                <w:sz w:val="40"/>
                <w:szCs w:val="40"/>
              </w:rPr>
              <w:t>发包人提供材料和设备一览表</w:t>
            </w:r>
          </w:p>
        </w:tc>
      </w:tr>
      <w:tr>
        <w:tblPrEx>
          <w:tblCellMar>
            <w:top w:w="15" w:type="dxa"/>
            <w:left w:w="108" w:type="dxa"/>
            <w:bottom w:w="15" w:type="dxa"/>
            <w:right w:w="108" w:type="dxa"/>
          </w:tblCellMar>
        </w:tblPrEx>
        <w:trPr>
          <w:wBefore w:w="0" w:type="dxa"/>
          <w:wAfter w:w="0" w:type="dxa"/>
          <w:trHeight w:val="450" w:hRule="atLeast"/>
        </w:trPr>
        <w:tc>
          <w:tcPr>
            <w:tcW w:w="4458" w:type="dxa"/>
            <w:gridSpan w:val="8"/>
            <w:shd w:val="clear" w:color="auto" w:fill="FFFFFF"/>
            <w:noWrap w:val="0"/>
            <w:vAlign w:val="bottom"/>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工程名称</w:t>
            </w:r>
            <w:r>
              <w:rPr>
                <w:rFonts w:ascii="宋体" w:hAnsi="宋体" w:cs="Arial"/>
                <w:color w:val="000000"/>
                <w:sz w:val="18"/>
                <w:szCs w:val="18"/>
              </w:rPr>
              <w:t>:</w:t>
            </w:r>
          </w:p>
        </w:tc>
        <w:tc>
          <w:tcPr>
            <w:tcW w:w="2294" w:type="dxa"/>
            <w:gridSpan w:val="5"/>
            <w:shd w:val="clear" w:color="auto" w:fill="FFFFFF"/>
            <w:noWrap w:val="0"/>
            <w:vAlign w:val="bottom"/>
          </w:tcPr>
          <w:p>
            <w:pPr>
              <w:kinsoku/>
              <w:overflowPunct/>
              <w:topLinePunct w:val="0"/>
              <w:bidi w:val="0"/>
              <w:spacing w:line="300" w:lineRule="auto"/>
              <w:rPr>
                <w:rFonts w:ascii="宋体" w:cs="Arial"/>
                <w:color w:val="000000"/>
                <w:sz w:val="18"/>
                <w:szCs w:val="18"/>
              </w:rPr>
            </w:pPr>
          </w:p>
        </w:tc>
        <w:tc>
          <w:tcPr>
            <w:tcW w:w="1130" w:type="dxa"/>
            <w:gridSpan w:val="2"/>
            <w:shd w:val="clear" w:color="auto" w:fill="FFFFFF"/>
            <w:noWrap w:val="0"/>
            <w:vAlign w:val="bottom"/>
          </w:tcPr>
          <w:p>
            <w:pPr>
              <w:kinsoku/>
              <w:overflowPunct/>
              <w:topLinePunct w:val="0"/>
              <w:bidi w:val="0"/>
              <w:spacing w:line="300" w:lineRule="auto"/>
              <w:jc w:val="right"/>
              <w:rPr>
                <w:rFonts w:ascii="宋体" w:cs="Arial"/>
                <w:color w:val="000000"/>
                <w:sz w:val="18"/>
                <w:szCs w:val="18"/>
              </w:rPr>
            </w:pPr>
          </w:p>
        </w:tc>
        <w:tc>
          <w:tcPr>
            <w:tcW w:w="1881" w:type="dxa"/>
            <w:gridSpan w:val="6"/>
            <w:shd w:val="clear" w:color="auto" w:fill="FFFFFF"/>
            <w:noWrap w:val="0"/>
            <w:vAlign w:val="bottom"/>
          </w:tcPr>
          <w:p>
            <w:pPr>
              <w:kinsoku/>
              <w:wordWrap w:val="0"/>
              <w:overflowPunct/>
              <w:topLinePunct w:val="0"/>
              <w:bidi w:val="0"/>
              <w:spacing w:line="300" w:lineRule="auto"/>
              <w:jc w:val="right"/>
              <w:rPr>
                <w:rFonts w:ascii="宋体" w:cs="Arial"/>
                <w:color w:val="000000"/>
                <w:sz w:val="18"/>
                <w:szCs w:val="18"/>
              </w:rPr>
            </w:pPr>
            <w:r>
              <w:rPr>
                <w:rFonts w:hint="eastAsia" w:ascii="宋体" w:hAnsi="宋体" w:cs="Arial"/>
                <w:color w:val="000000"/>
                <w:sz w:val="18"/>
                <w:szCs w:val="18"/>
              </w:rPr>
              <w:t>第</w:t>
            </w:r>
            <w:r>
              <w:rPr>
                <w:rFonts w:ascii="宋体" w:hAnsi="宋体" w:cs="Arial"/>
                <w:color w:val="000000"/>
                <w:sz w:val="18"/>
                <w:szCs w:val="18"/>
              </w:rPr>
              <w:t xml:space="preserve">  </w:t>
            </w:r>
            <w:r>
              <w:rPr>
                <w:rFonts w:hint="eastAsia" w:ascii="宋体" w:hAnsi="宋体" w:cs="Arial"/>
                <w:color w:val="000000"/>
                <w:sz w:val="18"/>
                <w:szCs w:val="18"/>
              </w:rPr>
              <w:t>页</w:t>
            </w:r>
            <w:r>
              <w:rPr>
                <w:rFonts w:ascii="宋体" w:hAnsi="宋体" w:cs="Arial"/>
                <w:color w:val="000000"/>
                <w:sz w:val="18"/>
                <w:szCs w:val="18"/>
              </w:rPr>
              <w:t xml:space="preserve"> </w:t>
            </w:r>
            <w:r>
              <w:rPr>
                <w:rFonts w:hint="eastAsia" w:ascii="宋体" w:hAnsi="宋体" w:cs="Arial"/>
                <w:color w:val="000000"/>
                <w:sz w:val="18"/>
                <w:szCs w:val="18"/>
              </w:rPr>
              <w:t>共</w:t>
            </w:r>
            <w:r>
              <w:rPr>
                <w:rFonts w:ascii="宋体" w:hAnsi="宋体" w:cs="Arial"/>
                <w:color w:val="000000"/>
                <w:sz w:val="18"/>
                <w:szCs w:val="18"/>
              </w:rPr>
              <w:t xml:space="preserve">  </w:t>
            </w:r>
            <w:r>
              <w:rPr>
                <w:rFonts w:hint="eastAsia" w:ascii="宋体" w:hAnsi="宋体" w:cs="Arial"/>
                <w:color w:val="000000"/>
                <w:sz w:val="18"/>
                <w:szCs w:val="18"/>
              </w:rPr>
              <w:t>页</w:t>
            </w:r>
          </w:p>
        </w:tc>
      </w:tr>
      <w:tr>
        <w:tblPrEx>
          <w:tblCellMar>
            <w:top w:w="15" w:type="dxa"/>
            <w:left w:w="108" w:type="dxa"/>
            <w:bottom w:w="15" w:type="dxa"/>
            <w:right w:w="108" w:type="dxa"/>
          </w:tblCellMar>
        </w:tblPrEx>
        <w:trPr>
          <w:wBefore w:w="0" w:type="dxa"/>
          <w:wAfter w:w="0" w:type="dxa"/>
          <w:trHeight w:val="48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序号</w:t>
            </w:r>
          </w:p>
        </w:tc>
        <w:tc>
          <w:tcPr>
            <w:tcW w:w="310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材料</w:t>
            </w:r>
            <w:r>
              <w:rPr>
                <w:rFonts w:ascii="宋体" w:hAnsi="宋体" w:cs="Arial"/>
                <w:color w:val="000000"/>
                <w:sz w:val="18"/>
                <w:szCs w:val="18"/>
              </w:rPr>
              <w:t>(</w:t>
            </w:r>
            <w:r>
              <w:rPr>
                <w:rFonts w:hint="eastAsia" w:ascii="宋体" w:hAnsi="宋体" w:cs="Arial"/>
                <w:color w:val="000000"/>
                <w:sz w:val="18"/>
                <w:szCs w:val="18"/>
              </w:rPr>
              <w:t>设备</w:t>
            </w:r>
            <w:r>
              <w:rPr>
                <w:rFonts w:ascii="宋体" w:hAnsi="宋体" w:cs="Arial"/>
                <w:color w:val="000000"/>
                <w:sz w:val="18"/>
                <w:szCs w:val="18"/>
              </w:rPr>
              <w:t>)</w:t>
            </w:r>
            <w:r>
              <w:rPr>
                <w:rFonts w:hint="eastAsia" w:ascii="宋体" w:hAnsi="宋体" w:cs="Arial"/>
                <w:color w:val="000000"/>
                <w:sz w:val="18"/>
                <w:szCs w:val="18"/>
              </w:rPr>
              <w:t>名称、规格、型号</w:t>
            </w:r>
          </w:p>
        </w:tc>
        <w:tc>
          <w:tcPr>
            <w:tcW w:w="69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单位</w:t>
            </w:r>
          </w:p>
        </w:tc>
        <w:tc>
          <w:tcPr>
            <w:tcW w:w="114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数量</w:t>
            </w:r>
          </w:p>
        </w:tc>
        <w:tc>
          <w:tcPr>
            <w:tcW w:w="115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单价</w:t>
            </w:r>
            <w:r>
              <w:rPr>
                <w:rFonts w:ascii="宋体" w:cs="Arial"/>
                <w:color w:val="000000"/>
                <w:sz w:val="18"/>
                <w:szCs w:val="18"/>
              </w:rPr>
              <w:br w:type="textWrapping"/>
            </w:r>
            <w:r>
              <w:rPr>
                <w:rFonts w:ascii="宋体" w:hAnsi="宋体" w:cs="Arial"/>
                <w:color w:val="000000"/>
                <w:sz w:val="18"/>
                <w:szCs w:val="18"/>
              </w:rPr>
              <w:t>(</w:t>
            </w:r>
            <w:r>
              <w:rPr>
                <w:rFonts w:hint="eastAsia" w:ascii="宋体" w:hAnsi="宋体" w:cs="Arial"/>
                <w:color w:val="000000"/>
                <w:sz w:val="18"/>
                <w:szCs w:val="18"/>
              </w:rPr>
              <w:t>元</w:t>
            </w:r>
            <w:r>
              <w:rPr>
                <w:rFonts w:ascii="宋体" w:hAnsi="宋体" w:cs="Arial"/>
                <w:color w:val="000000"/>
                <w:sz w:val="18"/>
                <w:szCs w:val="18"/>
              </w:rPr>
              <w:t>)</w:t>
            </w:r>
          </w:p>
        </w:tc>
        <w:tc>
          <w:tcPr>
            <w:tcW w:w="113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交货</w:t>
            </w:r>
            <w:r>
              <w:rPr>
                <w:rFonts w:ascii="宋体" w:cs="Arial"/>
                <w:color w:val="000000"/>
                <w:sz w:val="18"/>
                <w:szCs w:val="18"/>
              </w:rPr>
              <w:br w:type="textWrapping"/>
            </w:r>
            <w:r>
              <w:rPr>
                <w:rFonts w:hint="eastAsia" w:ascii="宋体" w:hAnsi="宋体" w:cs="Arial"/>
                <w:color w:val="000000"/>
                <w:sz w:val="18"/>
                <w:szCs w:val="18"/>
              </w:rPr>
              <w:t>方式</w:t>
            </w:r>
          </w:p>
        </w:tc>
        <w:tc>
          <w:tcPr>
            <w:tcW w:w="9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送达</w:t>
            </w:r>
            <w:r>
              <w:rPr>
                <w:rFonts w:ascii="宋体" w:cs="Arial"/>
                <w:color w:val="000000"/>
                <w:sz w:val="18"/>
                <w:szCs w:val="18"/>
              </w:rPr>
              <w:br w:type="textWrapping"/>
            </w:r>
            <w:r>
              <w:rPr>
                <w:rFonts w:hint="eastAsia" w:ascii="宋体" w:hAnsi="宋体" w:cs="Arial"/>
                <w:color w:val="000000"/>
                <w:sz w:val="18"/>
                <w:szCs w:val="18"/>
              </w:rPr>
              <w:t>地点</w:t>
            </w:r>
          </w:p>
        </w:tc>
        <w:tc>
          <w:tcPr>
            <w:tcW w:w="941"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备注</w:t>
            </w:r>
          </w:p>
        </w:tc>
      </w:tr>
      <w:tr>
        <w:tblPrEx>
          <w:tblCellMar>
            <w:top w:w="15" w:type="dxa"/>
            <w:left w:w="108" w:type="dxa"/>
            <w:bottom w:w="15" w:type="dxa"/>
            <w:right w:w="108" w:type="dxa"/>
          </w:tblCellMar>
        </w:tblPrEx>
        <w:trPr>
          <w:wBefore w:w="0" w:type="dxa"/>
          <w:wAfter w:w="0" w:type="dxa"/>
          <w:trHeight w:val="48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0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69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14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5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1"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wBefore w:w="0" w:type="dxa"/>
          <w:wAfter w:w="0" w:type="dxa"/>
          <w:trHeight w:val="48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0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69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14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5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1"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wBefore w:w="0" w:type="dxa"/>
          <w:wAfter w:w="0" w:type="dxa"/>
          <w:trHeight w:val="48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0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69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14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5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1"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wBefore w:w="0" w:type="dxa"/>
          <w:wAfter w:w="0" w:type="dxa"/>
          <w:trHeight w:val="48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0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69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14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5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1"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wBefore w:w="0" w:type="dxa"/>
          <w:wAfter w:w="0" w:type="dxa"/>
          <w:trHeight w:val="48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0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69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14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5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1"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wBefore w:w="0" w:type="dxa"/>
          <w:wAfter w:w="0" w:type="dxa"/>
          <w:trHeight w:val="48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0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69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14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5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1"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wBefore w:w="0" w:type="dxa"/>
          <w:wAfter w:w="0" w:type="dxa"/>
          <w:trHeight w:val="48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0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69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14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5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1"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wBefore w:w="0" w:type="dxa"/>
          <w:wAfter w:w="0" w:type="dxa"/>
          <w:trHeight w:val="48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0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69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14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5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1"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wBefore w:w="0" w:type="dxa"/>
          <w:wAfter w:w="0" w:type="dxa"/>
          <w:trHeight w:val="48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0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69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14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5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1"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wBefore w:w="0" w:type="dxa"/>
          <w:wAfter w:w="0" w:type="dxa"/>
          <w:trHeight w:val="48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0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69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14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5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1"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wBefore w:w="0" w:type="dxa"/>
          <w:wAfter w:w="0" w:type="dxa"/>
          <w:trHeight w:val="48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0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69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14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5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1"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wBefore w:w="0" w:type="dxa"/>
          <w:wAfter w:w="0" w:type="dxa"/>
          <w:trHeight w:val="48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0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69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14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5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1"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wBefore w:w="0" w:type="dxa"/>
          <w:wAfter w:w="0" w:type="dxa"/>
          <w:trHeight w:val="48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0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69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14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5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1"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wBefore w:w="0" w:type="dxa"/>
          <w:wAfter w:w="0" w:type="dxa"/>
          <w:trHeight w:val="48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0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69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14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5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1"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wBefore w:w="0" w:type="dxa"/>
          <w:wAfter w:w="0" w:type="dxa"/>
          <w:trHeight w:val="48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0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69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14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5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1"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wBefore w:w="0" w:type="dxa"/>
          <w:wAfter w:w="0" w:type="dxa"/>
          <w:trHeight w:val="48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0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69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14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5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1"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wBefore w:w="0" w:type="dxa"/>
          <w:wAfter w:w="0" w:type="dxa"/>
          <w:trHeight w:val="48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0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69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14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5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1"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wBefore w:w="0" w:type="dxa"/>
          <w:wAfter w:w="0" w:type="dxa"/>
          <w:trHeight w:val="48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0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69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14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5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1"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wBefore w:w="0" w:type="dxa"/>
          <w:wAfter w:w="0" w:type="dxa"/>
          <w:trHeight w:val="48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0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69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14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5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1"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wBefore w:w="0" w:type="dxa"/>
          <w:wAfter w:w="0" w:type="dxa"/>
          <w:trHeight w:val="48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0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69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144"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5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0"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1"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wBefore w:w="0" w:type="dxa"/>
          <w:wAfter w:w="0" w:type="dxa"/>
          <w:trHeight w:val="480" w:hRule="atLeast"/>
        </w:trPr>
        <w:tc>
          <w:tcPr>
            <w:tcW w:w="661" w:type="dxa"/>
            <w:gridSpan w:val="2"/>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05" w:type="dxa"/>
            <w:gridSpan w:val="3"/>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692" w:type="dxa"/>
            <w:gridSpan w:val="3"/>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144" w:type="dxa"/>
            <w:gridSpan w:val="3"/>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50" w:type="dxa"/>
            <w:gridSpan w:val="2"/>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0" w:type="dxa"/>
            <w:gridSpan w:val="2"/>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0" w:type="dxa"/>
            <w:gridSpan w:val="3"/>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941"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2"/>
          <w:wBefore w:w="0" w:type="dxa"/>
          <w:wAfter w:w="392" w:type="dxa"/>
          <w:trHeight w:val="900" w:hRule="atLeast"/>
        </w:trPr>
        <w:tc>
          <w:tcPr>
            <w:tcW w:w="9371" w:type="dxa"/>
            <w:gridSpan w:val="19"/>
            <w:shd w:val="clear" w:color="auto" w:fill="FFFFFF"/>
            <w:noWrap w:val="0"/>
            <w:vAlign w:val="center"/>
          </w:tcPr>
          <w:p>
            <w:pPr>
              <w:kinsoku/>
              <w:overflowPunct/>
              <w:topLinePunct w:val="0"/>
              <w:bidi w:val="0"/>
              <w:spacing w:line="300" w:lineRule="auto"/>
              <w:jc w:val="center"/>
              <w:rPr>
                <w:rFonts w:ascii="宋体" w:cs="Arial"/>
                <w:b/>
                <w:bCs/>
                <w:color w:val="000000"/>
                <w:sz w:val="40"/>
                <w:szCs w:val="40"/>
              </w:rPr>
            </w:pPr>
            <w:r>
              <w:rPr>
                <w:rFonts w:hint="eastAsia" w:ascii="宋体" w:hAnsi="宋体" w:cs="Arial"/>
                <w:b/>
                <w:bCs/>
                <w:color w:val="000000"/>
                <w:sz w:val="40"/>
                <w:szCs w:val="40"/>
              </w:rPr>
              <w:t>主要材料和工程设备一览表</w:t>
            </w:r>
          </w:p>
        </w:tc>
      </w:tr>
      <w:tr>
        <w:tblPrEx>
          <w:tblCellMar>
            <w:top w:w="15" w:type="dxa"/>
            <w:left w:w="108" w:type="dxa"/>
            <w:bottom w:w="15" w:type="dxa"/>
            <w:right w:w="108" w:type="dxa"/>
          </w:tblCellMar>
        </w:tblPrEx>
        <w:trPr>
          <w:gridAfter w:val="2"/>
          <w:wBefore w:w="0" w:type="dxa"/>
          <w:wAfter w:w="392" w:type="dxa"/>
          <w:trHeight w:val="570" w:hRule="atLeast"/>
        </w:trPr>
        <w:tc>
          <w:tcPr>
            <w:tcW w:w="5280" w:type="dxa"/>
            <w:gridSpan w:val="9"/>
            <w:shd w:val="clear" w:color="auto" w:fill="FFFFFF"/>
            <w:noWrap w:val="0"/>
            <w:vAlign w:val="bottom"/>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工程名称</w:t>
            </w:r>
            <w:r>
              <w:rPr>
                <w:rFonts w:ascii="宋体" w:hAnsi="宋体" w:cs="Arial"/>
                <w:color w:val="000000"/>
                <w:sz w:val="18"/>
                <w:szCs w:val="18"/>
              </w:rPr>
              <w:t>:</w:t>
            </w:r>
          </w:p>
        </w:tc>
        <w:tc>
          <w:tcPr>
            <w:tcW w:w="1455" w:type="dxa"/>
            <w:gridSpan w:val="3"/>
            <w:shd w:val="clear" w:color="auto" w:fill="FFFFFF"/>
            <w:noWrap w:val="0"/>
            <w:vAlign w:val="bottom"/>
          </w:tcPr>
          <w:p>
            <w:pPr>
              <w:kinsoku/>
              <w:overflowPunct/>
              <w:topLinePunct w:val="0"/>
              <w:bidi w:val="0"/>
              <w:spacing w:line="300" w:lineRule="auto"/>
              <w:rPr>
                <w:rFonts w:ascii="宋体" w:cs="Arial"/>
                <w:color w:val="000000"/>
                <w:sz w:val="18"/>
                <w:szCs w:val="18"/>
              </w:rPr>
            </w:pPr>
          </w:p>
        </w:tc>
        <w:tc>
          <w:tcPr>
            <w:tcW w:w="1218" w:type="dxa"/>
            <w:gridSpan w:val="4"/>
            <w:shd w:val="clear" w:color="auto" w:fill="FFFFFF"/>
            <w:noWrap w:val="0"/>
            <w:vAlign w:val="bottom"/>
          </w:tcPr>
          <w:p>
            <w:pPr>
              <w:kinsoku/>
              <w:overflowPunct/>
              <w:topLinePunct w:val="0"/>
              <w:bidi w:val="0"/>
              <w:spacing w:line="300" w:lineRule="auto"/>
              <w:jc w:val="right"/>
              <w:rPr>
                <w:rFonts w:ascii="宋体" w:cs="Arial"/>
                <w:color w:val="000000"/>
                <w:sz w:val="18"/>
                <w:szCs w:val="18"/>
              </w:rPr>
            </w:pPr>
          </w:p>
        </w:tc>
        <w:tc>
          <w:tcPr>
            <w:tcW w:w="1418" w:type="dxa"/>
            <w:gridSpan w:val="3"/>
            <w:shd w:val="clear" w:color="auto" w:fill="FFFFFF"/>
            <w:noWrap w:val="0"/>
            <w:vAlign w:val="bottom"/>
          </w:tcPr>
          <w:p>
            <w:pPr>
              <w:kinsoku/>
              <w:overflowPunct/>
              <w:topLinePunct w:val="0"/>
              <w:bidi w:val="0"/>
              <w:spacing w:line="300" w:lineRule="auto"/>
              <w:jc w:val="right"/>
              <w:rPr>
                <w:rFonts w:ascii="宋体" w:cs="Arial"/>
                <w:color w:val="000000"/>
                <w:sz w:val="18"/>
                <w:szCs w:val="18"/>
              </w:rPr>
            </w:pPr>
            <w:r>
              <w:rPr>
                <w:rFonts w:hint="eastAsia" w:ascii="宋体" w:hAnsi="宋体" w:cs="Arial"/>
                <w:color w:val="000000"/>
                <w:sz w:val="18"/>
                <w:szCs w:val="18"/>
              </w:rPr>
              <w:t>第</w:t>
            </w:r>
            <w:r>
              <w:rPr>
                <w:rFonts w:ascii="宋体" w:hAnsi="宋体" w:cs="Arial"/>
                <w:color w:val="000000"/>
                <w:sz w:val="18"/>
                <w:szCs w:val="18"/>
              </w:rPr>
              <w:t>1</w:t>
            </w:r>
            <w:r>
              <w:rPr>
                <w:rFonts w:hint="eastAsia" w:ascii="宋体" w:hAnsi="宋体" w:cs="Arial"/>
                <w:color w:val="000000"/>
                <w:sz w:val="18"/>
                <w:szCs w:val="18"/>
              </w:rPr>
              <w:t>页</w:t>
            </w:r>
            <w:r>
              <w:rPr>
                <w:rFonts w:ascii="宋体" w:hAnsi="宋体" w:cs="Arial"/>
                <w:color w:val="000000"/>
                <w:sz w:val="18"/>
                <w:szCs w:val="18"/>
              </w:rPr>
              <w:t xml:space="preserve"> </w:t>
            </w:r>
            <w:r>
              <w:rPr>
                <w:rFonts w:hint="eastAsia" w:ascii="宋体" w:hAnsi="宋体" w:cs="Arial"/>
                <w:color w:val="000000"/>
                <w:sz w:val="18"/>
                <w:szCs w:val="18"/>
              </w:rPr>
              <w:t>共</w:t>
            </w:r>
            <w:r>
              <w:rPr>
                <w:rFonts w:ascii="宋体" w:hAnsi="宋体" w:cs="Arial"/>
                <w:color w:val="000000"/>
                <w:sz w:val="18"/>
                <w:szCs w:val="18"/>
              </w:rPr>
              <w:t>3</w:t>
            </w:r>
            <w:r>
              <w:rPr>
                <w:rFonts w:hint="eastAsia" w:ascii="宋体" w:hAnsi="宋体" w:cs="Arial"/>
                <w:color w:val="000000"/>
                <w:sz w:val="18"/>
                <w:szCs w:val="18"/>
              </w:rPr>
              <w:t>页</w:t>
            </w:r>
          </w:p>
        </w:tc>
      </w:tr>
      <w:tr>
        <w:tblPrEx>
          <w:tblCellMar>
            <w:top w:w="15" w:type="dxa"/>
            <w:left w:w="108" w:type="dxa"/>
            <w:bottom w:w="15" w:type="dxa"/>
            <w:right w:w="108" w:type="dxa"/>
          </w:tblCellMar>
        </w:tblPrEx>
        <w:trPr>
          <w:gridAfter w:val="2"/>
          <w:wBefore w:w="0" w:type="dxa"/>
          <w:wAfter w:w="392" w:type="dxa"/>
          <w:trHeight w:val="45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序号</w:t>
            </w:r>
          </w:p>
        </w:tc>
        <w:tc>
          <w:tcPr>
            <w:tcW w:w="248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名称、规格、型号</w:t>
            </w:r>
          </w:p>
        </w:tc>
        <w:tc>
          <w:tcPr>
            <w:tcW w:w="109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单位</w:t>
            </w:r>
          </w:p>
        </w:tc>
        <w:tc>
          <w:tcPr>
            <w:tcW w:w="103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数量</w:t>
            </w:r>
          </w:p>
        </w:tc>
        <w:tc>
          <w:tcPr>
            <w:tcW w:w="145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单价</w:t>
            </w:r>
            <w:r>
              <w:rPr>
                <w:rFonts w:ascii="宋体" w:hAnsi="宋体" w:cs="Arial"/>
                <w:color w:val="000000"/>
                <w:sz w:val="18"/>
                <w:szCs w:val="18"/>
              </w:rPr>
              <w:t>(</w:t>
            </w:r>
            <w:r>
              <w:rPr>
                <w:rFonts w:hint="eastAsia" w:ascii="宋体" w:hAnsi="宋体" w:cs="Arial"/>
                <w:color w:val="000000"/>
                <w:sz w:val="18"/>
                <w:szCs w:val="18"/>
              </w:rPr>
              <w:t>元</w:t>
            </w:r>
            <w:r>
              <w:rPr>
                <w:rFonts w:ascii="宋体" w:hAnsi="宋体" w:cs="Arial"/>
                <w:color w:val="000000"/>
                <w:sz w:val="18"/>
                <w:szCs w:val="18"/>
              </w:rPr>
              <w:t>)</w:t>
            </w:r>
          </w:p>
        </w:tc>
        <w:tc>
          <w:tcPr>
            <w:tcW w:w="1218"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合价（元）</w:t>
            </w: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备注</w:t>
            </w:r>
          </w:p>
        </w:tc>
      </w:tr>
      <w:tr>
        <w:tblPrEx>
          <w:tblCellMar>
            <w:top w:w="15" w:type="dxa"/>
            <w:left w:w="108" w:type="dxa"/>
            <w:bottom w:w="15" w:type="dxa"/>
            <w:right w:w="108" w:type="dxa"/>
          </w:tblCellMar>
        </w:tblPrEx>
        <w:trPr>
          <w:gridAfter w:val="2"/>
          <w:wBefore w:w="0" w:type="dxa"/>
          <w:wAfter w:w="392" w:type="dxa"/>
          <w:trHeight w:val="45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48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9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5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18"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2"/>
          <w:wBefore w:w="0" w:type="dxa"/>
          <w:wAfter w:w="392" w:type="dxa"/>
          <w:trHeight w:val="45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48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9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5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18"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2"/>
          <w:wBefore w:w="0" w:type="dxa"/>
          <w:wAfter w:w="392" w:type="dxa"/>
          <w:trHeight w:val="45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48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9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5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18"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2"/>
          <w:wBefore w:w="0" w:type="dxa"/>
          <w:wAfter w:w="392" w:type="dxa"/>
          <w:trHeight w:val="45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48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9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5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18"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2"/>
          <w:wBefore w:w="0" w:type="dxa"/>
          <w:wAfter w:w="392" w:type="dxa"/>
          <w:trHeight w:val="45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48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9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5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18"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2"/>
          <w:wBefore w:w="0" w:type="dxa"/>
          <w:wAfter w:w="392" w:type="dxa"/>
          <w:trHeight w:val="45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48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9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5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18"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2"/>
          <w:wBefore w:w="0" w:type="dxa"/>
          <w:wAfter w:w="392" w:type="dxa"/>
          <w:trHeight w:val="45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48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9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5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18"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2"/>
          <w:wBefore w:w="0" w:type="dxa"/>
          <w:wAfter w:w="392" w:type="dxa"/>
          <w:trHeight w:val="45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48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9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5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18"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2"/>
          <w:wBefore w:w="0" w:type="dxa"/>
          <w:wAfter w:w="392" w:type="dxa"/>
          <w:trHeight w:val="57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48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9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5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18"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2"/>
          <w:wBefore w:w="0" w:type="dxa"/>
          <w:wAfter w:w="392" w:type="dxa"/>
          <w:trHeight w:val="57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48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9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5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18"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2"/>
          <w:wBefore w:w="0" w:type="dxa"/>
          <w:wAfter w:w="392" w:type="dxa"/>
          <w:trHeight w:val="45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48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9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5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18"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2"/>
          <w:wBefore w:w="0" w:type="dxa"/>
          <w:wAfter w:w="392" w:type="dxa"/>
          <w:trHeight w:val="45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48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9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5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18"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2"/>
          <w:wBefore w:w="0" w:type="dxa"/>
          <w:wAfter w:w="392" w:type="dxa"/>
          <w:trHeight w:val="45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48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9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5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18"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2"/>
          <w:wBefore w:w="0" w:type="dxa"/>
          <w:wAfter w:w="392" w:type="dxa"/>
          <w:trHeight w:val="45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48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9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5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18"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2"/>
          <w:wBefore w:w="0" w:type="dxa"/>
          <w:wAfter w:w="392" w:type="dxa"/>
          <w:trHeight w:val="45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48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9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5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18"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2"/>
          <w:wBefore w:w="0" w:type="dxa"/>
          <w:wAfter w:w="392" w:type="dxa"/>
          <w:trHeight w:val="45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48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9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5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18"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2"/>
          <w:wBefore w:w="0" w:type="dxa"/>
          <w:wAfter w:w="392" w:type="dxa"/>
          <w:trHeight w:val="45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48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9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5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18"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2"/>
          <w:wBefore w:w="0" w:type="dxa"/>
          <w:wAfter w:w="392" w:type="dxa"/>
          <w:trHeight w:val="45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48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9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5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18"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2"/>
          <w:wBefore w:w="0" w:type="dxa"/>
          <w:wAfter w:w="392" w:type="dxa"/>
          <w:trHeight w:val="45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48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9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5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18"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2"/>
          <w:wBefore w:w="0" w:type="dxa"/>
          <w:wAfter w:w="392" w:type="dxa"/>
          <w:trHeight w:val="45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48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9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5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18"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2"/>
          <w:wBefore w:w="0" w:type="dxa"/>
          <w:wAfter w:w="392" w:type="dxa"/>
          <w:trHeight w:val="450" w:hRule="atLeast"/>
        </w:trPr>
        <w:tc>
          <w:tcPr>
            <w:tcW w:w="661" w:type="dxa"/>
            <w:gridSpan w:val="2"/>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489"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9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55"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18"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2"/>
          <w:wBefore w:w="0" w:type="dxa"/>
          <w:wAfter w:w="392" w:type="dxa"/>
          <w:trHeight w:val="450" w:hRule="atLeast"/>
        </w:trPr>
        <w:tc>
          <w:tcPr>
            <w:tcW w:w="661" w:type="dxa"/>
            <w:gridSpan w:val="2"/>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2489" w:type="dxa"/>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1095" w:type="dxa"/>
            <w:gridSpan w:val="3"/>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035" w:type="dxa"/>
            <w:gridSpan w:val="3"/>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55" w:type="dxa"/>
            <w:gridSpan w:val="3"/>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18" w:type="dxa"/>
            <w:gridSpan w:val="4"/>
            <w:tcBorders>
              <w:top w:val="single" w:color="000000" w:sz="4" w:space="0"/>
              <w:left w:val="single" w:color="000000" w:sz="4" w:space="0"/>
              <w:bottom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4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r>
      <w:tr>
        <w:tblPrEx>
          <w:tblCellMar>
            <w:top w:w="15" w:type="dxa"/>
            <w:left w:w="108" w:type="dxa"/>
            <w:bottom w:w="15" w:type="dxa"/>
            <w:right w:w="108" w:type="dxa"/>
          </w:tblCellMar>
        </w:tblPrEx>
        <w:trPr>
          <w:gridAfter w:val="1"/>
          <w:wBefore w:w="0" w:type="dxa"/>
          <w:wAfter w:w="250" w:type="dxa"/>
          <w:trHeight w:val="840" w:hRule="atLeast"/>
        </w:trPr>
        <w:tc>
          <w:tcPr>
            <w:tcW w:w="9513" w:type="dxa"/>
            <w:gridSpan w:val="20"/>
            <w:shd w:val="clear" w:color="auto" w:fill="FFFFFF"/>
            <w:noWrap w:val="0"/>
            <w:vAlign w:val="center"/>
          </w:tcPr>
          <w:p>
            <w:pPr>
              <w:kinsoku/>
              <w:overflowPunct/>
              <w:topLinePunct w:val="0"/>
              <w:bidi w:val="0"/>
              <w:spacing w:line="300" w:lineRule="auto"/>
              <w:jc w:val="center"/>
              <w:rPr>
                <w:rFonts w:ascii="宋体" w:cs="Arial"/>
                <w:b/>
                <w:bCs/>
                <w:color w:val="000000"/>
                <w:sz w:val="40"/>
                <w:szCs w:val="40"/>
              </w:rPr>
            </w:pPr>
            <w:r>
              <w:rPr>
                <w:rFonts w:hint="eastAsia" w:ascii="宋体" w:hAnsi="宋体" w:cs="Arial"/>
                <w:b/>
                <w:bCs/>
                <w:color w:val="000000"/>
                <w:sz w:val="40"/>
                <w:szCs w:val="40"/>
              </w:rPr>
              <w:br w:type="textWrapping"/>
            </w:r>
            <w:r>
              <w:rPr>
                <w:rFonts w:hint="eastAsia" w:ascii="宋体" w:hAnsi="宋体" w:cs="Arial"/>
                <w:b/>
                <w:bCs/>
                <w:color w:val="000000"/>
                <w:sz w:val="40"/>
                <w:szCs w:val="40"/>
              </w:rPr>
              <w:t>主要机械台班一览表</w:t>
            </w:r>
          </w:p>
        </w:tc>
      </w:tr>
      <w:tr>
        <w:tblPrEx>
          <w:tblCellMar>
            <w:top w:w="15" w:type="dxa"/>
            <w:left w:w="108" w:type="dxa"/>
            <w:bottom w:w="15" w:type="dxa"/>
            <w:right w:w="108" w:type="dxa"/>
          </w:tblCellMar>
        </w:tblPrEx>
        <w:trPr>
          <w:gridAfter w:val="1"/>
          <w:wBefore w:w="0" w:type="dxa"/>
          <w:wAfter w:w="250" w:type="dxa"/>
          <w:trHeight w:val="450" w:hRule="atLeast"/>
        </w:trPr>
        <w:tc>
          <w:tcPr>
            <w:tcW w:w="4309" w:type="dxa"/>
            <w:gridSpan w:val="7"/>
            <w:shd w:val="clear" w:color="auto" w:fill="FFFFFF"/>
            <w:noWrap w:val="0"/>
            <w:vAlign w:val="bottom"/>
          </w:tcPr>
          <w:p>
            <w:pPr>
              <w:kinsoku/>
              <w:overflowPunct/>
              <w:topLinePunct w:val="0"/>
              <w:bidi w:val="0"/>
              <w:spacing w:line="300" w:lineRule="auto"/>
              <w:rPr>
                <w:rFonts w:ascii="宋体" w:cs="Arial"/>
                <w:color w:val="000000"/>
                <w:sz w:val="18"/>
                <w:szCs w:val="18"/>
              </w:rPr>
            </w:pPr>
            <w:r>
              <w:rPr>
                <w:rFonts w:hint="eastAsia" w:ascii="宋体" w:hAnsi="宋体" w:cs="Arial"/>
                <w:color w:val="000000"/>
                <w:sz w:val="18"/>
                <w:szCs w:val="18"/>
              </w:rPr>
              <w:t>工程名称</w:t>
            </w:r>
            <w:r>
              <w:rPr>
                <w:rFonts w:ascii="宋体" w:hAnsi="宋体" w:cs="Arial"/>
                <w:color w:val="000000"/>
                <w:sz w:val="18"/>
                <w:szCs w:val="18"/>
              </w:rPr>
              <w:t xml:space="preserve">: </w:t>
            </w:r>
          </w:p>
        </w:tc>
        <w:tc>
          <w:tcPr>
            <w:tcW w:w="1240" w:type="dxa"/>
            <w:gridSpan w:val="3"/>
            <w:shd w:val="clear" w:color="auto" w:fill="FFFFFF"/>
            <w:noWrap w:val="0"/>
            <w:vAlign w:val="bottom"/>
          </w:tcPr>
          <w:p>
            <w:pPr>
              <w:kinsoku/>
              <w:overflowPunct/>
              <w:topLinePunct w:val="0"/>
              <w:bidi w:val="0"/>
              <w:spacing w:line="300" w:lineRule="auto"/>
              <w:rPr>
                <w:rFonts w:ascii="宋体" w:cs="Arial"/>
                <w:color w:val="000000"/>
                <w:sz w:val="18"/>
                <w:szCs w:val="18"/>
              </w:rPr>
            </w:pPr>
          </w:p>
        </w:tc>
        <w:tc>
          <w:tcPr>
            <w:tcW w:w="1571" w:type="dxa"/>
            <w:gridSpan w:val="4"/>
            <w:shd w:val="clear" w:color="auto" w:fill="FFFFFF"/>
            <w:noWrap w:val="0"/>
            <w:vAlign w:val="bottom"/>
          </w:tcPr>
          <w:p>
            <w:pPr>
              <w:kinsoku/>
              <w:overflowPunct/>
              <w:topLinePunct w:val="0"/>
              <w:bidi w:val="0"/>
              <w:spacing w:line="300" w:lineRule="auto"/>
              <w:jc w:val="right"/>
              <w:rPr>
                <w:rFonts w:ascii="Arial" w:hAnsi="Arial" w:cs="Arial"/>
                <w:color w:val="000000"/>
                <w:sz w:val="18"/>
                <w:szCs w:val="18"/>
              </w:rPr>
            </w:pPr>
          </w:p>
        </w:tc>
        <w:tc>
          <w:tcPr>
            <w:tcW w:w="2393" w:type="dxa"/>
            <w:gridSpan w:val="6"/>
            <w:shd w:val="clear" w:color="auto" w:fill="FFFFFF"/>
            <w:noWrap w:val="0"/>
            <w:vAlign w:val="bottom"/>
          </w:tcPr>
          <w:p>
            <w:pPr>
              <w:kinsoku/>
              <w:overflowPunct/>
              <w:topLinePunct w:val="0"/>
              <w:bidi w:val="0"/>
              <w:spacing w:line="300" w:lineRule="auto"/>
              <w:jc w:val="right"/>
              <w:rPr>
                <w:rFonts w:ascii="宋体" w:cs="Arial"/>
                <w:color w:val="000000"/>
                <w:sz w:val="18"/>
                <w:szCs w:val="18"/>
              </w:rPr>
            </w:pPr>
            <w:r>
              <w:rPr>
                <w:rFonts w:hint="eastAsia" w:ascii="宋体" w:hAnsi="宋体" w:cs="Arial"/>
                <w:color w:val="000000"/>
                <w:sz w:val="18"/>
                <w:szCs w:val="18"/>
              </w:rPr>
              <w:t>第</w:t>
            </w:r>
            <w:r>
              <w:rPr>
                <w:rFonts w:ascii="宋体" w:hAnsi="宋体" w:cs="Arial"/>
                <w:color w:val="000000"/>
                <w:sz w:val="18"/>
                <w:szCs w:val="18"/>
              </w:rPr>
              <w:t xml:space="preserve"> </w:t>
            </w:r>
            <w:r>
              <w:rPr>
                <w:rFonts w:hint="eastAsia" w:ascii="宋体" w:hAnsi="宋体" w:cs="Arial"/>
                <w:color w:val="000000"/>
                <w:sz w:val="18"/>
                <w:szCs w:val="18"/>
              </w:rPr>
              <w:t>页</w:t>
            </w:r>
            <w:r>
              <w:rPr>
                <w:rFonts w:ascii="宋体" w:hAnsi="宋体" w:cs="Arial"/>
                <w:color w:val="000000"/>
                <w:sz w:val="18"/>
                <w:szCs w:val="18"/>
              </w:rPr>
              <w:t xml:space="preserve"> </w:t>
            </w:r>
            <w:r>
              <w:rPr>
                <w:rFonts w:hint="eastAsia" w:ascii="宋体" w:hAnsi="宋体" w:cs="Arial"/>
                <w:color w:val="000000"/>
                <w:sz w:val="18"/>
                <w:szCs w:val="18"/>
              </w:rPr>
              <w:t>共</w:t>
            </w:r>
            <w:r>
              <w:rPr>
                <w:rFonts w:ascii="宋体" w:hAnsi="宋体" w:cs="Arial"/>
                <w:color w:val="000000"/>
                <w:sz w:val="18"/>
                <w:szCs w:val="18"/>
              </w:rPr>
              <w:t xml:space="preserve"> </w:t>
            </w:r>
            <w:r>
              <w:rPr>
                <w:rFonts w:hint="eastAsia" w:ascii="宋体" w:hAnsi="宋体" w:cs="Arial"/>
                <w:color w:val="000000"/>
                <w:sz w:val="18"/>
                <w:szCs w:val="18"/>
              </w:rPr>
              <w:t>页</w:t>
            </w:r>
          </w:p>
        </w:tc>
      </w:tr>
      <w:tr>
        <w:tblPrEx>
          <w:tblCellMar>
            <w:top w:w="15" w:type="dxa"/>
            <w:left w:w="108" w:type="dxa"/>
            <w:bottom w:w="15" w:type="dxa"/>
            <w:right w:w="108" w:type="dxa"/>
          </w:tblCellMar>
        </w:tblPrEx>
        <w:trPr>
          <w:gridAfter w:val="1"/>
          <w:wBefore w:w="0" w:type="dxa"/>
          <w:wAfter w:w="250" w:type="dxa"/>
          <w:trHeight w:val="450" w:hRule="atLeast"/>
        </w:trPr>
        <w:tc>
          <w:tcPr>
            <w:tcW w:w="45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序号</w:t>
            </w:r>
          </w:p>
        </w:tc>
        <w:tc>
          <w:tcPr>
            <w:tcW w:w="313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机械名称、规格、型号</w:t>
            </w:r>
          </w:p>
        </w:tc>
        <w:tc>
          <w:tcPr>
            <w:tcW w:w="72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单位</w:t>
            </w:r>
          </w:p>
        </w:tc>
        <w:tc>
          <w:tcPr>
            <w:tcW w:w="12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数</w:t>
            </w:r>
            <w:r>
              <w:rPr>
                <w:rFonts w:ascii="宋体" w:hAnsi="宋体" w:cs="Arial"/>
                <w:color w:val="000000"/>
                <w:sz w:val="18"/>
                <w:szCs w:val="18"/>
              </w:rPr>
              <w:t xml:space="preserve"> </w:t>
            </w:r>
            <w:r>
              <w:rPr>
                <w:rFonts w:hint="eastAsia" w:ascii="宋体" w:hAnsi="宋体" w:cs="Arial"/>
                <w:color w:val="000000"/>
                <w:sz w:val="18"/>
                <w:szCs w:val="18"/>
              </w:rPr>
              <w:t>量</w:t>
            </w:r>
          </w:p>
        </w:tc>
        <w:tc>
          <w:tcPr>
            <w:tcW w:w="1571"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单价</w:t>
            </w:r>
            <w:r>
              <w:rPr>
                <w:rFonts w:ascii="宋体" w:hAnsi="宋体" w:cs="Arial"/>
                <w:color w:val="000000"/>
                <w:sz w:val="18"/>
                <w:szCs w:val="18"/>
              </w:rPr>
              <w:t>(</w:t>
            </w:r>
            <w:r>
              <w:rPr>
                <w:rFonts w:hint="eastAsia" w:ascii="宋体" w:hAnsi="宋体" w:cs="Arial"/>
                <w:color w:val="000000"/>
                <w:sz w:val="18"/>
                <w:szCs w:val="18"/>
              </w:rPr>
              <w:t>元</w:t>
            </w:r>
            <w:r>
              <w:rPr>
                <w:rFonts w:ascii="宋体" w:hAnsi="宋体" w:cs="Arial"/>
                <w:color w:val="000000"/>
                <w:sz w:val="18"/>
                <w:szCs w:val="18"/>
              </w:rPr>
              <w:t>)</w:t>
            </w:r>
          </w:p>
        </w:tc>
        <w:tc>
          <w:tcPr>
            <w:tcW w:w="12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合价（元）</w:t>
            </w:r>
          </w:p>
        </w:tc>
        <w:tc>
          <w:tcPr>
            <w:tcW w:w="1134"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r>
              <w:rPr>
                <w:rFonts w:hint="eastAsia" w:ascii="宋体" w:hAnsi="宋体" w:cs="Arial"/>
                <w:color w:val="000000"/>
                <w:sz w:val="18"/>
                <w:szCs w:val="18"/>
              </w:rPr>
              <w:t>备注</w:t>
            </w:r>
          </w:p>
        </w:tc>
      </w:tr>
      <w:tr>
        <w:tblPrEx>
          <w:tblCellMar>
            <w:top w:w="15" w:type="dxa"/>
            <w:left w:w="108" w:type="dxa"/>
            <w:bottom w:w="15" w:type="dxa"/>
            <w:right w:w="108" w:type="dxa"/>
          </w:tblCellMar>
        </w:tblPrEx>
        <w:trPr>
          <w:gridAfter w:val="1"/>
          <w:wBefore w:w="0" w:type="dxa"/>
          <w:wAfter w:w="250" w:type="dxa"/>
          <w:trHeight w:val="450" w:hRule="atLeast"/>
        </w:trPr>
        <w:tc>
          <w:tcPr>
            <w:tcW w:w="45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3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2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71"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gridAfter w:val="1"/>
          <w:wBefore w:w="0" w:type="dxa"/>
          <w:wAfter w:w="250" w:type="dxa"/>
          <w:trHeight w:val="450" w:hRule="atLeast"/>
        </w:trPr>
        <w:tc>
          <w:tcPr>
            <w:tcW w:w="45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3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2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71"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gridAfter w:val="1"/>
          <w:wBefore w:w="0" w:type="dxa"/>
          <w:wAfter w:w="250" w:type="dxa"/>
          <w:trHeight w:val="450" w:hRule="atLeast"/>
        </w:trPr>
        <w:tc>
          <w:tcPr>
            <w:tcW w:w="45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3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2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71"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gridAfter w:val="1"/>
          <w:wBefore w:w="0" w:type="dxa"/>
          <w:wAfter w:w="250" w:type="dxa"/>
          <w:trHeight w:val="450" w:hRule="atLeast"/>
        </w:trPr>
        <w:tc>
          <w:tcPr>
            <w:tcW w:w="45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3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2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71"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gridAfter w:val="1"/>
          <w:wBefore w:w="0" w:type="dxa"/>
          <w:wAfter w:w="250" w:type="dxa"/>
          <w:trHeight w:val="450" w:hRule="atLeast"/>
        </w:trPr>
        <w:tc>
          <w:tcPr>
            <w:tcW w:w="45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3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2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71"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gridAfter w:val="1"/>
          <w:wBefore w:w="0" w:type="dxa"/>
          <w:wAfter w:w="250" w:type="dxa"/>
          <w:trHeight w:val="450" w:hRule="atLeast"/>
        </w:trPr>
        <w:tc>
          <w:tcPr>
            <w:tcW w:w="45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3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2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71"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gridAfter w:val="1"/>
          <w:wBefore w:w="0" w:type="dxa"/>
          <w:wAfter w:w="250" w:type="dxa"/>
          <w:trHeight w:val="450" w:hRule="atLeast"/>
        </w:trPr>
        <w:tc>
          <w:tcPr>
            <w:tcW w:w="45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3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2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71"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gridAfter w:val="1"/>
          <w:wBefore w:w="0" w:type="dxa"/>
          <w:wAfter w:w="250" w:type="dxa"/>
          <w:trHeight w:val="450" w:hRule="atLeast"/>
        </w:trPr>
        <w:tc>
          <w:tcPr>
            <w:tcW w:w="45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3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2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71"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gridAfter w:val="1"/>
          <w:wBefore w:w="0" w:type="dxa"/>
          <w:wAfter w:w="250" w:type="dxa"/>
          <w:trHeight w:val="450" w:hRule="atLeast"/>
        </w:trPr>
        <w:tc>
          <w:tcPr>
            <w:tcW w:w="45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3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2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71"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gridAfter w:val="1"/>
          <w:wBefore w:w="0" w:type="dxa"/>
          <w:wAfter w:w="250" w:type="dxa"/>
          <w:trHeight w:val="450" w:hRule="atLeast"/>
        </w:trPr>
        <w:tc>
          <w:tcPr>
            <w:tcW w:w="45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3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2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71"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gridAfter w:val="1"/>
          <w:wBefore w:w="0" w:type="dxa"/>
          <w:wAfter w:w="250" w:type="dxa"/>
          <w:trHeight w:val="450" w:hRule="atLeast"/>
        </w:trPr>
        <w:tc>
          <w:tcPr>
            <w:tcW w:w="45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3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2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71"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gridAfter w:val="1"/>
          <w:wBefore w:w="0" w:type="dxa"/>
          <w:wAfter w:w="250" w:type="dxa"/>
          <w:trHeight w:val="450" w:hRule="atLeast"/>
        </w:trPr>
        <w:tc>
          <w:tcPr>
            <w:tcW w:w="45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3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2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71"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gridAfter w:val="1"/>
          <w:wBefore w:w="0" w:type="dxa"/>
          <w:wAfter w:w="250" w:type="dxa"/>
          <w:trHeight w:val="450" w:hRule="atLeast"/>
        </w:trPr>
        <w:tc>
          <w:tcPr>
            <w:tcW w:w="45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3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2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71"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gridAfter w:val="1"/>
          <w:wBefore w:w="0" w:type="dxa"/>
          <w:wAfter w:w="250" w:type="dxa"/>
          <w:trHeight w:val="450" w:hRule="atLeast"/>
        </w:trPr>
        <w:tc>
          <w:tcPr>
            <w:tcW w:w="45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3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2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71"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gridAfter w:val="1"/>
          <w:wBefore w:w="0" w:type="dxa"/>
          <w:wAfter w:w="250" w:type="dxa"/>
          <w:trHeight w:val="450" w:hRule="atLeast"/>
        </w:trPr>
        <w:tc>
          <w:tcPr>
            <w:tcW w:w="45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3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2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71"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gridAfter w:val="1"/>
          <w:wBefore w:w="0" w:type="dxa"/>
          <w:wAfter w:w="250" w:type="dxa"/>
          <w:trHeight w:val="450" w:hRule="atLeast"/>
        </w:trPr>
        <w:tc>
          <w:tcPr>
            <w:tcW w:w="45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3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2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71"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gridAfter w:val="1"/>
          <w:wBefore w:w="0" w:type="dxa"/>
          <w:wAfter w:w="250" w:type="dxa"/>
          <w:trHeight w:val="450" w:hRule="atLeast"/>
        </w:trPr>
        <w:tc>
          <w:tcPr>
            <w:tcW w:w="45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3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2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71"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gridAfter w:val="1"/>
          <w:wBefore w:w="0" w:type="dxa"/>
          <w:wAfter w:w="250" w:type="dxa"/>
          <w:trHeight w:val="450" w:hRule="atLeast"/>
        </w:trPr>
        <w:tc>
          <w:tcPr>
            <w:tcW w:w="45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3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2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71"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gridAfter w:val="1"/>
          <w:wBefore w:w="0" w:type="dxa"/>
          <w:wAfter w:w="250" w:type="dxa"/>
          <w:trHeight w:val="450" w:hRule="atLeast"/>
        </w:trPr>
        <w:tc>
          <w:tcPr>
            <w:tcW w:w="45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3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2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71"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gridAfter w:val="1"/>
          <w:wBefore w:w="0" w:type="dxa"/>
          <w:wAfter w:w="250" w:type="dxa"/>
          <w:trHeight w:val="450" w:hRule="atLeast"/>
        </w:trPr>
        <w:tc>
          <w:tcPr>
            <w:tcW w:w="451" w:type="dxa"/>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36"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22"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40"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71" w:type="dxa"/>
            <w:gridSpan w:val="4"/>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59" w:type="dxa"/>
            <w:gridSpan w:val="3"/>
            <w:tcBorders>
              <w:top w:val="single" w:color="000000" w:sz="4" w:space="0"/>
              <w:left w:val="single" w:color="000000"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3"/>
            <w:tcBorders>
              <w:top w:val="single" w:color="000000" w:sz="4" w:space="0"/>
              <w:left w:val="single" w:color="000000"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r>
        <w:tblPrEx>
          <w:tblCellMar>
            <w:top w:w="15" w:type="dxa"/>
            <w:left w:w="108" w:type="dxa"/>
            <w:bottom w:w="15" w:type="dxa"/>
            <w:right w:w="108" w:type="dxa"/>
          </w:tblCellMar>
        </w:tblPrEx>
        <w:trPr>
          <w:gridAfter w:val="1"/>
          <w:wBefore w:w="0" w:type="dxa"/>
          <w:wAfter w:w="250" w:type="dxa"/>
          <w:trHeight w:val="450" w:hRule="atLeast"/>
        </w:trPr>
        <w:tc>
          <w:tcPr>
            <w:tcW w:w="451" w:type="dxa"/>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3136" w:type="dxa"/>
            <w:gridSpan w:val="3"/>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rPr>
                <w:rFonts w:ascii="宋体" w:cs="Arial"/>
                <w:color w:val="000000"/>
                <w:sz w:val="18"/>
                <w:szCs w:val="18"/>
              </w:rPr>
            </w:pPr>
          </w:p>
        </w:tc>
        <w:tc>
          <w:tcPr>
            <w:tcW w:w="722" w:type="dxa"/>
            <w:gridSpan w:val="3"/>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c>
          <w:tcPr>
            <w:tcW w:w="1240" w:type="dxa"/>
            <w:gridSpan w:val="3"/>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571" w:type="dxa"/>
            <w:gridSpan w:val="4"/>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259" w:type="dxa"/>
            <w:gridSpan w:val="3"/>
            <w:tcBorders>
              <w:top w:val="single" w:color="000000" w:sz="4" w:space="0"/>
              <w:left w:val="single" w:color="000000" w:sz="4" w:space="0"/>
              <w:bottom w:val="single" w:color="auto" w:sz="4" w:space="0"/>
            </w:tcBorders>
            <w:shd w:val="clear" w:color="auto" w:fill="FFFFFF"/>
            <w:noWrap w:val="0"/>
            <w:vAlign w:val="center"/>
          </w:tcPr>
          <w:p>
            <w:pPr>
              <w:kinsoku/>
              <w:overflowPunct/>
              <w:topLinePunct w:val="0"/>
              <w:bidi w:val="0"/>
              <w:spacing w:line="300" w:lineRule="auto"/>
              <w:jc w:val="right"/>
              <w:rPr>
                <w:rFonts w:ascii="宋体" w:cs="Arial"/>
                <w:color w:val="000000"/>
                <w:sz w:val="18"/>
                <w:szCs w:val="18"/>
              </w:rPr>
            </w:pPr>
          </w:p>
        </w:tc>
        <w:tc>
          <w:tcPr>
            <w:tcW w:w="1134" w:type="dxa"/>
            <w:gridSpan w:val="3"/>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insoku/>
              <w:overflowPunct/>
              <w:topLinePunct w:val="0"/>
              <w:bidi w:val="0"/>
              <w:spacing w:line="300" w:lineRule="auto"/>
              <w:jc w:val="center"/>
              <w:rPr>
                <w:rFonts w:ascii="宋体" w:cs="Arial"/>
                <w:color w:val="000000"/>
                <w:sz w:val="18"/>
                <w:szCs w:val="18"/>
              </w:rPr>
            </w:pPr>
          </w:p>
        </w:tc>
      </w:tr>
    </w:tbl>
    <w:p>
      <w:pPr>
        <w:pStyle w:val="5"/>
        <w:kinsoku/>
        <w:overflowPunct/>
        <w:topLinePunct w:val="0"/>
        <w:bidi w:val="0"/>
        <w:spacing w:line="300" w:lineRule="auto"/>
        <w:jc w:val="center"/>
        <w:rPr>
          <w:rFonts w:hAnsi="宋体"/>
          <w:sz w:val="28"/>
          <w:szCs w:val="36"/>
        </w:rPr>
      </w:pPr>
    </w:p>
    <w:p>
      <w:pPr>
        <w:pStyle w:val="5"/>
        <w:kinsoku/>
        <w:overflowPunct/>
        <w:topLinePunct w:val="0"/>
        <w:bidi w:val="0"/>
        <w:spacing w:line="300" w:lineRule="auto"/>
        <w:jc w:val="center"/>
        <w:rPr>
          <w:rFonts w:hAnsi="宋体"/>
          <w:sz w:val="28"/>
          <w:szCs w:val="36"/>
        </w:rPr>
      </w:pPr>
      <w:r>
        <w:rPr>
          <w:rFonts w:hAnsi="宋体"/>
          <w:sz w:val="28"/>
          <w:szCs w:val="36"/>
        </w:rPr>
        <w:br w:type="page"/>
      </w:r>
      <w:bookmarkStart w:id="1954" w:name="_Toc3903997"/>
      <w:bookmarkStart w:id="1955" w:name="_Toc5279"/>
      <w:bookmarkStart w:id="1956" w:name="_Toc8455"/>
      <w:r>
        <w:rPr>
          <w:rFonts w:hint="eastAsia" w:hAnsi="宋体"/>
          <w:sz w:val="28"/>
          <w:szCs w:val="36"/>
        </w:rPr>
        <w:t>附件五   资格审查申请函</w:t>
      </w:r>
      <w:bookmarkEnd w:id="1944"/>
      <w:bookmarkEnd w:id="1945"/>
      <w:bookmarkEnd w:id="1946"/>
      <w:bookmarkEnd w:id="1947"/>
      <w:bookmarkEnd w:id="1948"/>
      <w:bookmarkEnd w:id="1949"/>
      <w:bookmarkEnd w:id="1950"/>
      <w:bookmarkEnd w:id="1954"/>
      <w:bookmarkEnd w:id="1955"/>
      <w:bookmarkEnd w:id="1956"/>
    </w:p>
    <w:p>
      <w:pPr>
        <w:kinsoku/>
        <w:overflowPunct/>
        <w:topLinePunct w:val="0"/>
        <w:bidi w:val="0"/>
        <w:spacing w:line="300" w:lineRule="auto"/>
        <w:ind w:firstLine="420"/>
        <w:rPr>
          <w:rFonts w:ascii="Cambria" w:hAnsi="宋体"/>
          <w:b/>
          <w:bCs/>
          <w:sz w:val="28"/>
          <w:szCs w:val="36"/>
        </w:rPr>
      </w:pPr>
    </w:p>
    <w:p>
      <w:pPr>
        <w:kinsoku/>
        <w:overflowPunct/>
        <w:topLinePunct w:val="0"/>
        <w:bidi w:val="0"/>
        <w:spacing w:line="300" w:lineRule="auto"/>
      </w:pPr>
      <w:r>
        <w:rPr>
          <w:u w:val="single"/>
        </w:rPr>
        <w:t xml:space="preserve">         </w:t>
      </w:r>
      <w:r>
        <w:rPr>
          <w:rFonts w:hint="eastAsia"/>
          <w:u w:val="single"/>
        </w:rPr>
        <w:t>（</w:t>
      </w:r>
      <w:r>
        <w:rPr>
          <w:rFonts w:hint="eastAsia"/>
          <w:u w:val="single"/>
          <w:lang w:eastAsia="zh-CN"/>
        </w:rPr>
        <w:t>采购人</w:t>
      </w:r>
      <w:r>
        <w:rPr>
          <w:rFonts w:hint="eastAsia"/>
          <w:u w:val="single"/>
        </w:rPr>
        <w:t>名称）</w:t>
      </w:r>
      <w:r>
        <w:rPr>
          <w:u w:val="single"/>
        </w:rPr>
        <w:t xml:space="preserve">         </w:t>
      </w:r>
      <w:r>
        <w:rPr>
          <w:rFonts w:hint="eastAsia"/>
        </w:rPr>
        <w:t>：</w:t>
      </w:r>
    </w:p>
    <w:p>
      <w:pPr>
        <w:kinsoku/>
        <w:overflowPunct/>
        <w:topLinePunct w:val="0"/>
        <w:bidi w:val="0"/>
        <w:spacing w:line="300" w:lineRule="auto"/>
        <w:ind w:firstLine="420"/>
      </w:pPr>
      <w:r>
        <w:t>1</w:t>
      </w:r>
      <w:r>
        <w:rPr>
          <w:rFonts w:hint="eastAsia"/>
        </w:rPr>
        <w:t>、按照磋商文件要求，我方（磋商供应商）递交的技术商务标及有关资料用于你方（</w:t>
      </w:r>
      <w:r>
        <w:rPr>
          <w:rFonts w:hint="eastAsia"/>
          <w:lang w:eastAsia="zh-CN"/>
        </w:rPr>
        <w:t>采购人</w:t>
      </w:r>
      <w:r>
        <w:rPr>
          <w:rFonts w:hint="eastAsia"/>
        </w:rPr>
        <w:t>）审查我方参加</w:t>
      </w:r>
      <w:r>
        <w:rPr>
          <w:u w:val="single"/>
        </w:rPr>
        <w:t xml:space="preserve">      </w:t>
      </w:r>
      <w:r>
        <w:rPr>
          <w:rFonts w:hint="eastAsia"/>
          <w:u w:val="single"/>
        </w:rPr>
        <w:t>（项目名称）</w:t>
      </w:r>
      <w:r>
        <w:rPr>
          <w:u w:val="single"/>
        </w:rPr>
        <w:t xml:space="preserve">    </w:t>
      </w:r>
      <w:r>
        <w:rPr>
          <w:rFonts w:hint="eastAsia"/>
        </w:rPr>
        <w:t>施工招标的投标资格。</w:t>
      </w:r>
    </w:p>
    <w:p>
      <w:pPr>
        <w:kinsoku/>
        <w:overflowPunct/>
        <w:topLinePunct w:val="0"/>
        <w:bidi w:val="0"/>
        <w:spacing w:line="300" w:lineRule="auto"/>
        <w:ind w:firstLine="420"/>
      </w:pPr>
      <w:r>
        <w:t>2</w:t>
      </w:r>
      <w:r>
        <w:rPr>
          <w:rFonts w:hint="eastAsia"/>
        </w:rPr>
        <w:t>、我方在此声明，所递交的技术商务标已包含了磋商文件第二章“磋商供应商须知”第</w:t>
      </w:r>
      <w:r>
        <w:t>13.1</w:t>
      </w:r>
      <w:r>
        <w:rPr>
          <w:rFonts w:hint="eastAsia"/>
        </w:rPr>
        <w:t>项规定的技术商务标全部内容。</w:t>
      </w:r>
    </w:p>
    <w:p>
      <w:pPr>
        <w:kinsoku/>
        <w:overflowPunct/>
        <w:topLinePunct w:val="0"/>
        <w:bidi w:val="0"/>
        <w:spacing w:line="300" w:lineRule="auto"/>
        <w:ind w:firstLine="420"/>
      </w:pPr>
      <w:r>
        <w:t>3</w:t>
      </w:r>
      <w:r>
        <w:rPr>
          <w:rFonts w:hint="eastAsia"/>
        </w:rPr>
        <w:t>、我方接受你方授权代表进行调查，以审核我方递交的文件和资料，并通过我方的开户银行和客户，澄清申请书中有关财务和技术方面的问题。</w:t>
      </w:r>
    </w:p>
    <w:p>
      <w:pPr>
        <w:kinsoku/>
        <w:overflowPunct/>
        <w:topLinePunct w:val="0"/>
        <w:bidi w:val="0"/>
        <w:spacing w:line="300" w:lineRule="auto"/>
        <w:ind w:firstLine="420"/>
      </w:pPr>
      <w:r>
        <w:t>4</w:t>
      </w:r>
      <w:r>
        <w:rPr>
          <w:rFonts w:hint="eastAsia"/>
        </w:rPr>
        <w:t>、你方授权代表可通过下列人员得到进一步的资料：</w:t>
      </w:r>
    </w:p>
    <w:tbl>
      <w:tblPr>
        <w:tblStyle w:val="53"/>
        <w:tblW w:w="0" w:type="auto"/>
        <w:tblInd w:w="288" w:type="dxa"/>
        <w:tblLayout w:type="fixed"/>
        <w:tblCellMar>
          <w:top w:w="0" w:type="dxa"/>
          <w:left w:w="108" w:type="dxa"/>
          <w:bottom w:w="0" w:type="dxa"/>
          <w:right w:w="108" w:type="dxa"/>
        </w:tblCellMar>
      </w:tblPr>
      <w:tblGrid>
        <w:gridCol w:w="4261"/>
        <w:gridCol w:w="4487"/>
      </w:tblGrid>
      <w:tr>
        <w:tblPrEx>
          <w:tblCellMar>
            <w:top w:w="0" w:type="dxa"/>
            <w:left w:w="108" w:type="dxa"/>
            <w:bottom w:w="0" w:type="dxa"/>
            <w:right w:w="108" w:type="dxa"/>
          </w:tblCellMar>
        </w:tblPrEx>
        <w:tc>
          <w:tcPr>
            <w:tcW w:w="8748" w:type="dxa"/>
            <w:gridSpan w:val="2"/>
            <w:noWrap w:val="0"/>
            <w:vAlign w:val="top"/>
          </w:tcPr>
          <w:p>
            <w:pPr>
              <w:kinsoku/>
              <w:overflowPunct/>
              <w:topLinePunct w:val="0"/>
              <w:bidi w:val="0"/>
              <w:spacing w:line="300" w:lineRule="auto"/>
              <w:ind w:firstLine="420"/>
            </w:pPr>
            <w:r>
              <w:rPr>
                <w:rFonts w:hint="eastAsia"/>
              </w:rPr>
              <w:t>一般质询和管理方面的质询</w:t>
            </w:r>
          </w:p>
        </w:tc>
      </w:tr>
      <w:tr>
        <w:tblPrEx>
          <w:tblCellMar>
            <w:top w:w="0" w:type="dxa"/>
            <w:left w:w="108" w:type="dxa"/>
            <w:bottom w:w="0" w:type="dxa"/>
            <w:right w:w="108" w:type="dxa"/>
          </w:tblCellMar>
        </w:tblPrEx>
        <w:tc>
          <w:tcPr>
            <w:tcW w:w="4261" w:type="dxa"/>
            <w:noWrap w:val="0"/>
            <w:vAlign w:val="top"/>
          </w:tcPr>
          <w:p>
            <w:pPr>
              <w:kinsoku/>
              <w:overflowPunct/>
              <w:topLinePunct w:val="0"/>
              <w:bidi w:val="0"/>
              <w:spacing w:line="300" w:lineRule="auto"/>
              <w:ind w:firstLine="420"/>
            </w:pPr>
            <w:r>
              <w:rPr>
                <w:rFonts w:hint="eastAsia"/>
              </w:rPr>
              <w:t>联系人：</w:t>
            </w:r>
          </w:p>
        </w:tc>
        <w:tc>
          <w:tcPr>
            <w:tcW w:w="4487" w:type="dxa"/>
            <w:noWrap w:val="0"/>
            <w:vAlign w:val="top"/>
          </w:tcPr>
          <w:p>
            <w:pPr>
              <w:kinsoku/>
              <w:overflowPunct/>
              <w:topLinePunct w:val="0"/>
              <w:bidi w:val="0"/>
              <w:spacing w:line="300" w:lineRule="auto"/>
              <w:ind w:firstLine="420"/>
            </w:pPr>
            <w:r>
              <w:rPr>
                <w:rFonts w:hint="eastAsia"/>
              </w:rPr>
              <w:t>联系方式：</w:t>
            </w:r>
          </w:p>
        </w:tc>
      </w:tr>
      <w:tr>
        <w:tblPrEx>
          <w:tblCellMar>
            <w:top w:w="0" w:type="dxa"/>
            <w:left w:w="108" w:type="dxa"/>
            <w:bottom w:w="0" w:type="dxa"/>
            <w:right w:w="108" w:type="dxa"/>
          </w:tblCellMar>
        </w:tblPrEx>
        <w:tc>
          <w:tcPr>
            <w:tcW w:w="8748" w:type="dxa"/>
            <w:gridSpan w:val="2"/>
            <w:noWrap w:val="0"/>
            <w:vAlign w:val="top"/>
          </w:tcPr>
          <w:p>
            <w:pPr>
              <w:kinsoku/>
              <w:overflowPunct/>
              <w:topLinePunct w:val="0"/>
              <w:bidi w:val="0"/>
              <w:spacing w:line="300" w:lineRule="auto"/>
              <w:ind w:firstLine="420"/>
            </w:pPr>
            <w:r>
              <w:rPr>
                <w:rFonts w:hint="eastAsia"/>
              </w:rPr>
              <w:t>有关人员方面的质询</w:t>
            </w:r>
          </w:p>
        </w:tc>
      </w:tr>
      <w:tr>
        <w:tblPrEx>
          <w:tblCellMar>
            <w:top w:w="0" w:type="dxa"/>
            <w:left w:w="108" w:type="dxa"/>
            <w:bottom w:w="0" w:type="dxa"/>
            <w:right w:w="108" w:type="dxa"/>
          </w:tblCellMar>
        </w:tblPrEx>
        <w:tc>
          <w:tcPr>
            <w:tcW w:w="4261" w:type="dxa"/>
            <w:noWrap w:val="0"/>
            <w:vAlign w:val="top"/>
          </w:tcPr>
          <w:p>
            <w:pPr>
              <w:kinsoku/>
              <w:overflowPunct/>
              <w:topLinePunct w:val="0"/>
              <w:bidi w:val="0"/>
              <w:spacing w:line="300" w:lineRule="auto"/>
              <w:ind w:firstLine="420"/>
            </w:pPr>
            <w:r>
              <w:rPr>
                <w:rFonts w:hint="eastAsia"/>
              </w:rPr>
              <w:t>联系人：</w:t>
            </w:r>
          </w:p>
        </w:tc>
        <w:tc>
          <w:tcPr>
            <w:tcW w:w="4487" w:type="dxa"/>
            <w:noWrap w:val="0"/>
            <w:vAlign w:val="top"/>
          </w:tcPr>
          <w:p>
            <w:pPr>
              <w:kinsoku/>
              <w:overflowPunct/>
              <w:topLinePunct w:val="0"/>
              <w:bidi w:val="0"/>
              <w:spacing w:line="300" w:lineRule="auto"/>
              <w:ind w:firstLine="420"/>
            </w:pPr>
            <w:r>
              <w:rPr>
                <w:rFonts w:hint="eastAsia"/>
              </w:rPr>
              <w:t>联系方式：</w:t>
            </w:r>
          </w:p>
        </w:tc>
      </w:tr>
      <w:tr>
        <w:tblPrEx>
          <w:tblCellMar>
            <w:top w:w="0" w:type="dxa"/>
            <w:left w:w="108" w:type="dxa"/>
            <w:bottom w:w="0" w:type="dxa"/>
            <w:right w:w="108" w:type="dxa"/>
          </w:tblCellMar>
        </w:tblPrEx>
        <w:tc>
          <w:tcPr>
            <w:tcW w:w="8748" w:type="dxa"/>
            <w:gridSpan w:val="2"/>
            <w:noWrap w:val="0"/>
            <w:vAlign w:val="top"/>
          </w:tcPr>
          <w:p>
            <w:pPr>
              <w:kinsoku/>
              <w:overflowPunct/>
              <w:topLinePunct w:val="0"/>
              <w:bidi w:val="0"/>
              <w:spacing w:line="300" w:lineRule="auto"/>
              <w:ind w:firstLine="420"/>
            </w:pPr>
            <w:r>
              <w:rPr>
                <w:rFonts w:hint="eastAsia"/>
              </w:rPr>
              <w:t>有关技术方面的质询</w:t>
            </w:r>
          </w:p>
        </w:tc>
      </w:tr>
      <w:tr>
        <w:tblPrEx>
          <w:tblCellMar>
            <w:top w:w="0" w:type="dxa"/>
            <w:left w:w="108" w:type="dxa"/>
            <w:bottom w:w="0" w:type="dxa"/>
            <w:right w:w="108" w:type="dxa"/>
          </w:tblCellMar>
        </w:tblPrEx>
        <w:tc>
          <w:tcPr>
            <w:tcW w:w="4261" w:type="dxa"/>
            <w:noWrap w:val="0"/>
            <w:vAlign w:val="top"/>
          </w:tcPr>
          <w:p>
            <w:pPr>
              <w:kinsoku/>
              <w:overflowPunct/>
              <w:topLinePunct w:val="0"/>
              <w:bidi w:val="0"/>
              <w:spacing w:line="300" w:lineRule="auto"/>
              <w:ind w:firstLine="420"/>
            </w:pPr>
            <w:r>
              <w:rPr>
                <w:rFonts w:hint="eastAsia"/>
              </w:rPr>
              <w:t>联系人：</w:t>
            </w:r>
          </w:p>
        </w:tc>
        <w:tc>
          <w:tcPr>
            <w:tcW w:w="4487" w:type="dxa"/>
            <w:noWrap w:val="0"/>
            <w:vAlign w:val="top"/>
          </w:tcPr>
          <w:p>
            <w:pPr>
              <w:kinsoku/>
              <w:overflowPunct/>
              <w:topLinePunct w:val="0"/>
              <w:bidi w:val="0"/>
              <w:spacing w:line="300" w:lineRule="auto"/>
              <w:ind w:firstLine="420"/>
            </w:pPr>
            <w:r>
              <w:rPr>
                <w:rFonts w:hint="eastAsia"/>
              </w:rPr>
              <w:t>联系方式：</w:t>
            </w:r>
          </w:p>
        </w:tc>
      </w:tr>
      <w:tr>
        <w:tblPrEx>
          <w:tblCellMar>
            <w:top w:w="0" w:type="dxa"/>
            <w:left w:w="108" w:type="dxa"/>
            <w:bottom w:w="0" w:type="dxa"/>
            <w:right w:w="108" w:type="dxa"/>
          </w:tblCellMar>
        </w:tblPrEx>
        <w:tc>
          <w:tcPr>
            <w:tcW w:w="8748" w:type="dxa"/>
            <w:gridSpan w:val="2"/>
            <w:noWrap w:val="0"/>
            <w:vAlign w:val="top"/>
          </w:tcPr>
          <w:p>
            <w:pPr>
              <w:kinsoku/>
              <w:overflowPunct/>
              <w:topLinePunct w:val="0"/>
              <w:bidi w:val="0"/>
              <w:spacing w:line="300" w:lineRule="auto"/>
              <w:ind w:firstLine="420"/>
            </w:pPr>
            <w:r>
              <w:rPr>
                <w:rFonts w:hint="eastAsia"/>
              </w:rPr>
              <w:t>有关财务方面的质询</w:t>
            </w:r>
          </w:p>
        </w:tc>
      </w:tr>
      <w:tr>
        <w:tblPrEx>
          <w:tblCellMar>
            <w:top w:w="0" w:type="dxa"/>
            <w:left w:w="108" w:type="dxa"/>
            <w:bottom w:w="0" w:type="dxa"/>
            <w:right w:w="108" w:type="dxa"/>
          </w:tblCellMar>
        </w:tblPrEx>
        <w:tc>
          <w:tcPr>
            <w:tcW w:w="4261" w:type="dxa"/>
            <w:noWrap w:val="0"/>
            <w:vAlign w:val="top"/>
          </w:tcPr>
          <w:p>
            <w:pPr>
              <w:kinsoku/>
              <w:overflowPunct/>
              <w:topLinePunct w:val="0"/>
              <w:bidi w:val="0"/>
              <w:spacing w:line="300" w:lineRule="auto"/>
              <w:ind w:firstLine="420"/>
            </w:pPr>
            <w:r>
              <w:rPr>
                <w:rFonts w:hint="eastAsia"/>
              </w:rPr>
              <w:t>联系人：</w:t>
            </w:r>
          </w:p>
        </w:tc>
        <w:tc>
          <w:tcPr>
            <w:tcW w:w="4487" w:type="dxa"/>
            <w:noWrap w:val="0"/>
            <w:vAlign w:val="top"/>
          </w:tcPr>
          <w:p>
            <w:pPr>
              <w:kinsoku/>
              <w:overflowPunct/>
              <w:topLinePunct w:val="0"/>
              <w:bidi w:val="0"/>
              <w:spacing w:line="300" w:lineRule="auto"/>
              <w:ind w:firstLine="420"/>
            </w:pPr>
            <w:r>
              <w:rPr>
                <w:rFonts w:hint="eastAsia"/>
              </w:rPr>
              <w:t>联系方式：</w:t>
            </w:r>
          </w:p>
        </w:tc>
      </w:tr>
    </w:tbl>
    <w:p>
      <w:pPr>
        <w:kinsoku/>
        <w:overflowPunct/>
        <w:topLinePunct w:val="0"/>
        <w:bidi w:val="0"/>
        <w:spacing w:line="300" w:lineRule="auto"/>
        <w:ind w:firstLine="5527" w:firstLineChars="2632"/>
      </w:pPr>
      <w:r>
        <w:rPr>
          <w:rFonts w:hint="eastAsia"/>
        </w:rPr>
        <w:t>磋商供应商（盖章）：</w:t>
      </w:r>
      <w:r>
        <w:t xml:space="preserve"> </w:t>
      </w:r>
    </w:p>
    <w:p>
      <w:pPr>
        <w:kinsoku/>
        <w:overflowPunct/>
        <w:topLinePunct w:val="0"/>
        <w:bidi w:val="0"/>
        <w:spacing w:line="300" w:lineRule="auto"/>
        <w:ind w:firstLine="5527" w:firstLineChars="2632"/>
        <w:rPr>
          <w:u w:val="single"/>
        </w:rPr>
      </w:pPr>
      <w:r>
        <w:rPr>
          <w:rFonts w:hint="eastAsia"/>
        </w:rPr>
        <w:t>法定代表人（签字或盖章）：</w:t>
      </w:r>
    </w:p>
    <w:p>
      <w:pPr>
        <w:kinsoku/>
        <w:overflowPunct/>
        <w:topLinePunct w:val="0"/>
        <w:bidi w:val="0"/>
        <w:spacing w:line="300" w:lineRule="auto"/>
        <w:ind w:firstLine="5527" w:firstLineChars="2632"/>
        <w:rPr>
          <w:rFonts w:hint="eastAsia"/>
        </w:rPr>
      </w:pPr>
      <w:r>
        <w:rPr>
          <w:rFonts w:hint="eastAsia"/>
        </w:rPr>
        <w:t>日期：     年   月   日</w:t>
      </w:r>
    </w:p>
    <w:p>
      <w:pPr>
        <w:pStyle w:val="5"/>
        <w:kinsoku/>
        <w:overflowPunct/>
        <w:topLinePunct w:val="0"/>
        <w:bidi w:val="0"/>
        <w:spacing w:line="300" w:lineRule="auto"/>
        <w:jc w:val="center"/>
        <w:rPr>
          <w:u w:val="single"/>
        </w:rPr>
      </w:pPr>
      <w:r>
        <w:rPr>
          <w:rFonts w:ascii="Arial" w:hAnsi="Arial"/>
          <w:sz w:val="21"/>
        </w:rPr>
        <w:br w:type="page"/>
      </w:r>
      <w:bookmarkStart w:id="1957" w:name="_Toc6463"/>
      <w:bookmarkStart w:id="1958" w:name="_Toc480985302"/>
      <w:bookmarkStart w:id="1959" w:name="_Toc514918860"/>
      <w:bookmarkStart w:id="1960" w:name="_Toc3903998"/>
      <w:bookmarkStart w:id="1961" w:name="_Toc13972"/>
      <w:bookmarkStart w:id="1962" w:name="_Toc476734069"/>
      <w:bookmarkStart w:id="1963" w:name="_Toc18344"/>
      <w:bookmarkStart w:id="1964" w:name="_Toc3791"/>
      <w:bookmarkStart w:id="1965" w:name="_Toc14305"/>
      <w:bookmarkStart w:id="1966" w:name="_Toc28008"/>
      <w:r>
        <w:rPr>
          <w:rFonts w:hint="eastAsia" w:hAnsi="宋体"/>
          <w:sz w:val="28"/>
          <w:szCs w:val="36"/>
        </w:rPr>
        <w:t>附件六   承诺书</w:t>
      </w:r>
      <w:bookmarkEnd w:id="1957"/>
      <w:bookmarkEnd w:id="1958"/>
      <w:bookmarkEnd w:id="1959"/>
      <w:bookmarkEnd w:id="1960"/>
      <w:bookmarkEnd w:id="1961"/>
      <w:bookmarkEnd w:id="1962"/>
      <w:bookmarkEnd w:id="1963"/>
      <w:bookmarkEnd w:id="1964"/>
      <w:bookmarkEnd w:id="1965"/>
      <w:bookmarkEnd w:id="1966"/>
    </w:p>
    <w:p>
      <w:pPr>
        <w:kinsoku/>
        <w:overflowPunct/>
        <w:topLinePunct w:val="0"/>
        <w:bidi w:val="0"/>
        <w:spacing w:line="300" w:lineRule="auto"/>
      </w:pPr>
      <w:r>
        <w:rPr>
          <w:u w:val="single"/>
        </w:rPr>
        <w:t xml:space="preserve">         </w:t>
      </w:r>
      <w:r>
        <w:rPr>
          <w:rFonts w:hint="eastAsia"/>
          <w:u w:val="single"/>
        </w:rPr>
        <w:t>（</w:t>
      </w:r>
      <w:r>
        <w:rPr>
          <w:rFonts w:hint="eastAsia"/>
          <w:u w:val="single"/>
          <w:lang w:eastAsia="zh-CN"/>
        </w:rPr>
        <w:t>采购人</w:t>
      </w:r>
      <w:r>
        <w:rPr>
          <w:rFonts w:hint="eastAsia"/>
          <w:u w:val="single"/>
        </w:rPr>
        <w:t>名称）</w:t>
      </w:r>
      <w:r>
        <w:rPr>
          <w:u w:val="single"/>
        </w:rPr>
        <w:t xml:space="preserve">           </w:t>
      </w:r>
      <w:r>
        <w:rPr>
          <w:rFonts w:hint="eastAsia"/>
        </w:rPr>
        <w:t>：</w:t>
      </w:r>
    </w:p>
    <w:p>
      <w:pPr>
        <w:kinsoku/>
        <w:overflowPunct/>
        <w:topLinePunct w:val="0"/>
        <w:bidi w:val="0"/>
        <w:spacing w:line="300" w:lineRule="auto"/>
        <w:ind w:firstLine="472" w:firstLineChars="225"/>
      </w:pPr>
      <w:r>
        <w:rPr>
          <w:rFonts w:hint="eastAsia"/>
        </w:rPr>
        <w:t>我方在此声明：</w:t>
      </w:r>
    </w:p>
    <w:p>
      <w:pPr>
        <w:kinsoku/>
        <w:overflowPunct/>
        <w:topLinePunct w:val="0"/>
        <w:bidi w:val="0"/>
        <w:spacing w:line="300" w:lineRule="auto"/>
        <w:ind w:firstLine="472" w:firstLineChars="225"/>
      </w:pPr>
      <w:r>
        <w:t>1</w:t>
      </w:r>
      <w:r>
        <w:rPr>
          <w:rFonts w:hint="eastAsia"/>
        </w:rPr>
        <w:t>、我方在</w:t>
      </w:r>
      <w:r>
        <w:rPr>
          <w:u w:val="single"/>
        </w:rPr>
        <w:t xml:space="preserve">     </w:t>
      </w:r>
      <w:r>
        <w:rPr>
          <w:rFonts w:hint="eastAsia"/>
          <w:u w:val="single"/>
        </w:rPr>
        <w:t>（项目名称）</w:t>
      </w:r>
      <w:r>
        <w:rPr>
          <w:u w:val="single"/>
        </w:rPr>
        <w:t xml:space="preserve">          </w:t>
      </w:r>
      <w:r>
        <w:rPr>
          <w:rFonts w:hint="eastAsia"/>
        </w:rPr>
        <w:t>递交的</w:t>
      </w:r>
      <w:r>
        <w:rPr>
          <w:rFonts w:hint="eastAsia"/>
          <w:lang w:eastAsia="zh-CN"/>
        </w:rPr>
        <w:t>磋商响应文件</w:t>
      </w:r>
      <w:r>
        <w:rPr>
          <w:rFonts w:hint="eastAsia"/>
        </w:rPr>
        <w:t>（包括原件、复印件、扫描件）内容完整、真实、准确和一致，在投标活动中不存在磋商文件第二章“磋商供应商须知”第</w:t>
      </w:r>
      <w:r>
        <w:t>1</w:t>
      </w:r>
      <w:r>
        <w:rPr>
          <w:rFonts w:hint="eastAsia"/>
        </w:rPr>
        <w:t>7</w:t>
      </w:r>
      <w:r>
        <w:t>.8</w:t>
      </w:r>
      <w:r>
        <w:rPr>
          <w:rFonts w:hint="eastAsia"/>
        </w:rPr>
        <w:t>项规定的任一情形，不存在弄虚作假、行贿、相互串通投标、挂靠的任一行为。</w:t>
      </w:r>
    </w:p>
    <w:p>
      <w:pPr>
        <w:kinsoku/>
        <w:overflowPunct/>
        <w:topLinePunct w:val="0"/>
        <w:bidi w:val="0"/>
        <w:spacing w:line="300" w:lineRule="auto"/>
        <w:ind w:firstLine="472" w:firstLineChars="225"/>
      </w:pPr>
      <w:r>
        <w:t>2</w:t>
      </w:r>
      <w:r>
        <w:rPr>
          <w:rFonts w:hint="eastAsia"/>
        </w:rPr>
        <w:t>、我方拟派项目建造师现阶段项目承接实际情况如下：</w:t>
      </w:r>
    </w:p>
    <w:tbl>
      <w:tblPr>
        <w:tblStyle w:val="53"/>
        <w:tblW w:w="0" w:type="auto"/>
        <w:tblInd w:w="0" w:type="dxa"/>
        <w:tblBorders>
          <w:top w:val="single" w:color="auto" w:sz="6" w:space="0"/>
          <w:left w:val="single" w:color="auto" w:sz="6" w:space="0"/>
          <w:bottom w:val="single" w:color="auto" w:sz="4"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66"/>
        <w:gridCol w:w="4509"/>
        <w:gridCol w:w="3998"/>
      </w:tblGrid>
      <w:tr>
        <w:tblPrEx>
          <w:tblBorders>
            <w:top w:val="single" w:color="auto" w:sz="6" w:space="0"/>
            <w:left w:val="single" w:color="auto" w:sz="6"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666" w:type="dxa"/>
            <w:tcBorders>
              <w:top w:val="single" w:color="auto" w:sz="6" w:space="0"/>
            </w:tcBorders>
            <w:noWrap w:val="0"/>
            <w:vAlign w:val="top"/>
          </w:tcPr>
          <w:p>
            <w:pPr>
              <w:kinsoku/>
              <w:overflowPunct/>
              <w:topLinePunct w:val="0"/>
              <w:bidi w:val="0"/>
              <w:spacing w:line="300" w:lineRule="auto"/>
              <w:jc w:val="center"/>
            </w:pPr>
            <w:r>
              <w:rPr>
                <w:rFonts w:hint="eastAsia"/>
              </w:rPr>
              <w:t>序号</w:t>
            </w:r>
          </w:p>
        </w:tc>
        <w:tc>
          <w:tcPr>
            <w:tcW w:w="4509" w:type="dxa"/>
            <w:tcBorders>
              <w:top w:val="single" w:color="auto" w:sz="6" w:space="0"/>
            </w:tcBorders>
            <w:noWrap w:val="0"/>
            <w:vAlign w:val="top"/>
          </w:tcPr>
          <w:p>
            <w:pPr>
              <w:kinsoku/>
              <w:overflowPunct/>
              <w:topLinePunct w:val="0"/>
              <w:bidi w:val="0"/>
              <w:spacing w:line="300" w:lineRule="auto"/>
              <w:jc w:val="center"/>
              <w:rPr>
                <w:spacing w:val="-6"/>
              </w:rPr>
            </w:pPr>
            <w:r>
              <w:rPr>
                <w:rFonts w:hint="eastAsia"/>
                <w:spacing w:val="-6"/>
              </w:rPr>
              <w:t>在建和已承接工程名称、规模及施工进度情况</w:t>
            </w:r>
          </w:p>
        </w:tc>
        <w:tc>
          <w:tcPr>
            <w:tcW w:w="3998" w:type="dxa"/>
            <w:tcBorders>
              <w:top w:val="single" w:color="auto" w:sz="6" w:space="0"/>
            </w:tcBorders>
            <w:noWrap w:val="0"/>
            <w:vAlign w:val="top"/>
          </w:tcPr>
          <w:p>
            <w:pPr>
              <w:kinsoku/>
              <w:overflowPunct/>
              <w:topLinePunct w:val="0"/>
              <w:bidi w:val="0"/>
              <w:spacing w:line="300" w:lineRule="auto"/>
              <w:jc w:val="center"/>
            </w:pPr>
            <w:r>
              <w:rPr>
                <w:rFonts w:hint="eastAsia"/>
              </w:rPr>
              <w:t>正在参加投标工程（不含本工程）情况</w:t>
            </w:r>
          </w:p>
        </w:tc>
      </w:tr>
      <w:tr>
        <w:tblPrEx>
          <w:tblBorders>
            <w:top w:val="single" w:color="auto" w:sz="6" w:space="0"/>
            <w:left w:val="single" w:color="auto" w:sz="6"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top"/>
          </w:tcPr>
          <w:p>
            <w:pPr>
              <w:kinsoku/>
              <w:overflowPunct/>
              <w:topLinePunct w:val="0"/>
              <w:bidi w:val="0"/>
              <w:spacing w:line="300" w:lineRule="auto"/>
              <w:jc w:val="center"/>
            </w:pPr>
            <w:r>
              <w:t>1</w:t>
            </w:r>
          </w:p>
        </w:tc>
        <w:tc>
          <w:tcPr>
            <w:tcW w:w="4509" w:type="dxa"/>
            <w:noWrap w:val="0"/>
            <w:vAlign w:val="top"/>
          </w:tcPr>
          <w:p>
            <w:pPr>
              <w:kinsoku/>
              <w:overflowPunct/>
              <w:topLinePunct w:val="0"/>
              <w:bidi w:val="0"/>
              <w:spacing w:line="300" w:lineRule="auto"/>
              <w:jc w:val="center"/>
            </w:pPr>
          </w:p>
        </w:tc>
        <w:tc>
          <w:tcPr>
            <w:tcW w:w="3998" w:type="dxa"/>
            <w:noWrap w:val="0"/>
            <w:vAlign w:val="top"/>
          </w:tcPr>
          <w:p>
            <w:pPr>
              <w:kinsoku/>
              <w:overflowPunct/>
              <w:topLinePunct w:val="0"/>
              <w:bidi w:val="0"/>
              <w:spacing w:line="300" w:lineRule="auto"/>
              <w:jc w:val="center"/>
            </w:pPr>
          </w:p>
        </w:tc>
      </w:tr>
      <w:tr>
        <w:tblPrEx>
          <w:tblBorders>
            <w:top w:val="single" w:color="auto" w:sz="6" w:space="0"/>
            <w:left w:val="single" w:color="auto" w:sz="6"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top"/>
          </w:tcPr>
          <w:p>
            <w:pPr>
              <w:kinsoku/>
              <w:overflowPunct/>
              <w:topLinePunct w:val="0"/>
              <w:bidi w:val="0"/>
              <w:spacing w:line="300" w:lineRule="auto"/>
              <w:jc w:val="center"/>
            </w:pPr>
            <w:r>
              <w:t>2</w:t>
            </w:r>
          </w:p>
        </w:tc>
        <w:tc>
          <w:tcPr>
            <w:tcW w:w="4509" w:type="dxa"/>
            <w:noWrap w:val="0"/>
            <w:vAlign w:val="top"/>
          </w:tcPr>
          <w:p>
            <w:pPr>
              <w:kinsoku/>
              <w:overflowPunct/>
              <w:topLinePunct w:val="0"/>
              <w:bidi w:val="0"/>
              <w:spacing w:line="300" w:lineRule="auto"/>
              <w:jc w:val="center"/>
            </w:pPr>
          </w:p>
        </w:tc>
        <w:tc>
          <w:tcPr>
            <w:tcW w:w="3998" w:type="dxa"/>
            <w:noWrap w:val="0"/>
            <w:vAlign w:val="top"/>
          </w:tcPr>
          <w:p>
            <w:pPr>
              <w:kinsoku/>
              <w:overflowPunct/>
              <w:topLinePunct w:val="0"/>
              <w:bidi w:val="0"/>
              <w:spacing w:line="300" w:lineRule="auto"/>
              <w:jc w:val="center"/>
            </w:pPr>
          </w:p>
        </w:tc>
      </w:tr>
      <w:tr>
        <w:tblPrEx>
          <w:tblBorders>
            <w:top w:val="single" w:color="auto" w:sz="6" w:space="0"/>
            <w:left w:val="single" w:color="auto" w:sz="6"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top"/>
          </w:tcPr>
          <w:p>
            <w:pPr>
              <w:kinsoku/>
              <w:overflowPunct/>
              <w:topLinePunct w:val="0"/>
              <w:bidi w:val="0"/>
              <w:spacing w:line="300" w:lineRule="auto"/>
              <w:jc w:val="center"/>
            </w:pPr>
            <w:r>
              <w:t>3</w:t>
            </w:r>
          </w:p>
        </w:tc>
        <w:tc>
          <w:tcPr>
            <w:tcW w:w="4509" w:type="dxa"/>
            <w:noWrap w:val="0"/>
            <w:vAlign w:val="top"/>
          </w:tcPr>
          <w:p>
            <w:pPr>
              <w:kinsoku/>
              <w:overflowPunct/>
              <w:topLinePunct w:val="0"/>
              <w:bidi w:val="0"/>
              <w:spacing w:line="300" w:lineRule="auto"/>
              <w:jc w:val="center"/>
            </w:pPr>
          </w:p>
        </w:tc>
        <w:tc>
          <w:tcPr>
            <w:tcW w:w="3998" w:type="dxa"/>
            <w:noWrap w:val="0"/>
            <w:vAlign w:val="top"/>
          </w:tcPr>
          <w:p>
            <w:pPr>
              <w:kinsoku/>
              <w:overflowPunct/>
              <w:topLinePunct w:val="0"/>
              <w:bidi w:val="0"/>
              <w:spacing w:line="300" w:lineRule="auto"/>
              <w:jc w:val="center"/>
            </w:pPr>
          </w:p>
        </w:tc>
      </w:tr>
    </w:tbl>
    <w:p>
      <w:pPr>
        <w:kinsoku/>
        <w:overflowPunct/>
        <w:topLinePunct w:val="0"/>
        <w:bidi w:val="0"/>
        <w:spacing w:line="300" w:lineRule="auto"/>
        <w:ind w:firstLine="472" w:firstLineChars="225"/>
      </w:pPr>
      <w:r>
        <w:rPr>
          <w:rFonts w:hint="eastAsia"/>
        </w:rPr>
        <w:t>注：在建和已承接工程包括目前正在施工工程和已经中标未开始施工等工程。正在参加投标工程包括目前正在参与投标或资格预审活动的工程。</w:t>
      </w:r>
      <w:r>
        <w:t xml:space="preserve">      </w:t>
      </w:r>
    </w:p>
    <w:p>
      <w:pPr>
        <w:kinsoku/>
        <w:overflowPunct/>
        <w:topLinePunct w:val="0"/>
        <w:bidi w:val="0"/>
        <w:spacing w:line="300" w:lineRule="auto"/>
        <w:ind w:firstLine="405" w:firstLineChars="225"/>
        <w:rPr>
          <w:sz w:val="18"/>
          <w:szCs w:val="18"/>
        </w:rPr>
      </w:pPr>
      <w:r>
        <w:rPr>
          <w:rFonts w:hint="eastAsia"/>
          <w:sz w:val="18"/>
          <w:szCs w:val="18"/>
        </w:rPr>
        <w:t>3、在</w:t>
      </w:r>
      <w:r>
        <w:rPr>
          <w:rFonts w:hint="eastAsia"/>
          <w:sz w:val="18"/>
          <w:szCs w:val="18"/>
          <w:lang w:eastAsia="zh-CN"/>
        </w:rPr>
        <w:t>磋商</w:t>
      </w:r>
      <w:r>
        <w:rPr>
          <w:rFonts w:hint="eastAsia"/>
          <w:sz w:val="18"/>
          <w:szCs w:val="18"/>
        </w:rPr>
        <w:t>截止时间当日我方信誉方面情况如下：</w:t>
      </w:r>
    </w:p>
    <w:tbl>
      <w:tblPr>
        <w:tblStyle w:val="53"/>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00"/>
        <w:gridCol w:w="3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5400" w:type="dxa"/>
            <w:noWrap w:val="0"/>
            <w:vAlign w:val="center"/>
          </w:tcPr>
          <w:p>
            <w:pPr>
              <w:kinsoku/>
              <w:overflowPunct/>
              <w:topLinePunct w:val="0"/>
              <w:bidi w:val="0"/>
              <w:spacing w:line="300" w:lineRule="auto"/>
              <w:ind w:firstLine="360"/>
              <w:rPr>
                <w:rFonts w:ascii="Arial" w:hAnsi="Arial" w:cs="Arial"/>
                <w:b/>
                <w:bCs/>
                <w:sz w:val="21"/>
                <w:szCs w:val="21"/>
              </w:rPr>
            </w:pPr>
            <w:r>
              <w:rPr>
                <w:rFonts w:hint="eastAsia"/>
                <w:sz w:val="21"/>
                <w:szCs w:val="21"/>
              </w:rPr>
              <w:t>磋商</w:t>
            </w:r>
            <w:r>
              <w:rPr>
                <w:sz w:val="21"/>
                <w:szCs w:val="21"/>
              </w:rPr>
              <w:t>供应商被</w:t>
            </w:r>
            <w:r>
              <w:rPr>
                <w:rFonts w:hint="eastAsia"/>
                <w:sz w:val="21"/>
                <w:szCs w:val="21"/>
              </w:rPr>
              <w:t>瑞安市住建局或</w:t>
            </w:r>
            <w:r>
              <w:rPr>
                <w:sz w:val="21"/>
                <w:szCs w:val="21"/>
              </w:rPr>
              <w:t>温州市住建委或浙江省住建</w:t>
            </w:r>
            <w:r>
              <w:rPr>
                <w:rFonts w:hint="eastAsia"/>
                <w:sz w:val="21"/>
                <w:szCs w:val="21"/>
              </w:rPr>
              <w:t>厅</w:t>
            </w:r>
            <w:r>
              <w:rPr>
                <w:sz w:val="21"/>
                <w:szCs w:val="21"/>
              </w:rPr>
              <w:t>（含浙江省建筑业管理局）或住建部限制参加投标</w:t>
            </w:r>
            <w:r>
              <w:rPr>
                <w:rFonts w:hint="eastAsia"/>
                <w:sz w:val="21"/>
                <w:szCs w:val="21"/>
              </w:rPr>
              <w:t>或有不良行为记录公示未满期限的</w:t>
            </w:r>
          </w:p>
        </w:tc>
        <w:tc>
          <w:tcPr>
            <w:tcW w:w="3780" w:type="dxa"/>
            <w:noWrap w:val="0"/>
            <w:vAlign w:val="top"/>
          </w:tcPr>
          <w:p>
            <w:pPr>
              <w:kinsoku/>
              <w:overflowPunct/>
              <w:topLinePunct w:val="0"/>
              <w:bidi w:val="0"/>
              <w:spacing w:line="300" w:lineRule="auto"/>
              <w:ind w:firstLine="361"/>
              <w:jc w:val="center"/>
              <w:rPr>
                <w:rFonts w:ascii="Arial" w:hAnsi="Arial" w:cs="Arial"/>
                <w:b/>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5400" w:type="dxa"/>
            <w:noWrap w:val="0"/>
            <w:vAlign w:val="center"/>
          </w:tcPr>
          <w:p>
            <w:pPr>
              <w:kinsoku/>
              <w:overflowPunct/>
              <w:topLinePunct w:val="0"/>
              <w:bidi w:val="0"/>
              <w:spacing w:line="300" w:lineRule="auto"/>
              <w:ind w:firstLine="360"/>
              <w:rPr>
                <w:rFonts w:ascii="Arial" w:hAnsi="Arial" w:cs="Arial"/>
                <w:b/>
                <w:bCs/>
                <w:sz w:val="21"/>
                <w:szCs w:val="21"/>
              </w:rPr>
            </w:pPr>
            <w:r>
              <w:rPr>
                <w:rFonts w:hint="eastAsia"/>
                <w:sz w:val="21"/>
                <w:szCs w:val="21"/>
              </w:rPr>
              <w:t>磋商</w:t>
            </w:r>
            <w:r>
              <w:rPr>
                <w:sz w:val="21"/>
                <w:szCs w:val="21"/>
              </w:rPr>
              <w:t>供应商被</w:t>
            </w:r>
            <w:r>
              <w:rPr>
                <w:rFonts w:hint="eastAsia"/>
                <w:sz w:val="21"/>
                <w:szCs w:val="21"/>
              </w:rPr>
              <w:t>安监部门列入安全生产不良记录黑名单或人社部门列入拖欠农民工工资黑名单或法院部门列入失信黑名单或工商部门列入严重违法失信黑名单或住建部门列入住房城乡建设领域失信黑名单或发改部门列入重点建设工程招标投标失信黑名单或水利部门列入水利建设市场主体不良行为记录公告</w:t>
            </w:r>
          </w:p>
        </w:tc>
        <w:tc>
          <w:tcPr>
            <w:tcW w:w="3780" w:type="dxa"/>
            <w:noWrap w:val="0"/>
            <w:vAlign w:val="top"/>
          </w:tcPr>
          <w:p>
            <w:pPr>
              <w:kinsoku/>
              <w:overflowPunct/>
              <w:topLinePunct w:val="0"/>
              <w:bidi w:val="0"/>
              <w:spacing w:line="300" w:lineRule="auto"/>
              <w:ind w:firstLine="361"/>
              <w:jc w:val="center"/>
              <w:rPr>
                <w:rFonts w:ascii="Arial" w:hAnsi="Arial" w:cs="Arial"/>
                <w:b/>
                <w:bCs/>
                <w:sz w:val="21"/>
                <w:szCs w:val="21"/>
              </w:rPr>
            </w:pPr>
          </w:p>
        </w:tc>
      </w:tr>
    </w:tbl>
    <w:p>
      <w:pPr>
        <w:kinsoku/>
        <w:overflowPunct/>
        <w:topLinePunct w:val="0"/>
        <w:bidi w:val="0"/>
        <w:spacing w:line="300" w:lineRule="auto"/>
        <w:ind w:firstLine="405" w:firstLineChars="225"/>
      </w:pPr>
      <w:r>
        <w:rPr>
          <w:rFonts w:hint="eastAsia" w:ascii="Arial" w:cs="Arial"/>
          <w:sz w:val="18"/>
          <w:szCs w:val="18"/>
        </w:rPr>
        <w:t>注：</w:t>
      </w:r>
      <w:r>
        <w:rPr>
          <w:rFonts w:ascii="Arial" w:cs="Arial"/>
          <w:sz w:val="18"/>
          <w:szCs w:val="18"/>
        </w:rPr>
        <w:t>请</w:t>
      </w:r>
      <w:r>
        <w:rPr>
          <w:rFonts w:hint="eastAsia" w:ascii="Arial" w:cs="Arial"/>
          <w:sz w:val="18"/>
          <w:szCs w:val="18"/>
        </w:rPr>
        <w:t>磋商供应商</w:t>
      </w:r>
      <w:r>
        <w:rPr>
          <w:rFonts w:ascii="Arial" w:cs="Arial"/>
          <w:sz w:val="18"/>
          <w:szCs w:val="18"/>
        </w:rPr>
        <w:t>按实填写</w:t>
      </w:r>
      <w:r>
        <w:rPr>
          <w:rFonts w:ascii="Arial" w:hAnsi="Arial" w:cs="Arial"/>
          <w:sz w:val="18"/>
          <w:szCs w:val="18"/>
        </w:rPr>
        <w:t>“</w:t>
      </w:r>
      <w:r>
        <w:rPr>
          <w:rFonts w:ascii="Arial" w:cs="Arial"/>
          <w:sz w:val="18"/>
          <w:szCs w:val="18"/>
        </w:rPr>
        <w:t>有</w:t>
      </w:r>
      <w:r>
        <w:rPr>
          <w:rFonts w:ascii="Arial" w:hAnsi="Arial" w:cs="Arial"/>
          <w:sz w:val="18"/>
          <w:szCs w:val="18"/>
        </w:rPr>
        <w:t>”</w:t>
      </w:r>
      <w:r>
        <w:rPr>
          <w:rFonts w:ascii="Arial" w:cs="Arial"/>
          <w:sz w:val="18"/>
          <w:szCs w:val="18"/>
        </w:rPr>
        <w:t>或</w:t>
      </w:r>
      <w:r>
        <w:rPr>
          <w:rFonts w:ascii="Arial" w:hAnsi="Arial" w:cs="Arial"/>
          <w:sz w:val="18"/>
          <w:szCs w:val="18"/>
        </w:rPr>
        <w:t>“</w:t>
      </w:r>
      <w:r>
        <w:rPr>
          <w:rFonts w:ascii="Arial" w:cs="Arial"/>
          <w:sz w:val="18"/>
          <w:szCs w:val="18"/>
        </w:rPr>
        <w:t>无</w:t>
      </w:r>
      <w:r>
        <w:rPr>
          <w:rFonts w:ascii="Arial" w:hAnsi="Arial" w:cs="Arial"/>
          <w:sz w:val="18"/>
          <w:szCs w:val="18"/>
        </w:rPr>
        <w:t>”</w:t>
      </w:r>
      <w:r>
        <w:rPr>
          <w:rFonts w:ascii="Arial" w:cs="Arial"/>
          <w:sz w:val="18"/>
          <w:szCs w:val="18"/>
        </w:rPr>
        <w:t>。若有，需填写具体事项。</w:t>
      </w:r>
      <w:r>
        <w:t xml:space="preserve">  </w:t>
      </w:r>
    </w:p>
    <w:p>
      <w:pPr>
        <w:kinsoku/>
        <w:overflowPunct/>
        <w:topLinePunct w:val="0"/>
        <w:bidi w:val="0"/>
        <w:spacing w:line="300" w:lineRule="auto"/>
        <w:ind w:firstLine="472" w:firstLineChars="225"/>
      </w:pPr>
      <w:r>
        <w:rPr>
          <w:rFonts w:hint="eastAsia"/>
        </w:rPr>
        <w:t>以上内容如有虚假或隐瞒，我方自愿放弃投标和中标资格，接受瑞安市建设行政主管部门的处罚，并承担因此引起的一切法律后果。若我方提供的证书资料经有关部门文印鉴定有假，我方自愿承担所有的文印鉴定费用及其他有关费用。</w:t>
      </w:r>
    </w:p>
    <w:p>
      <w:pPr>
        <w:kinsoku/>
        <w:overflowPunct/>
        <w:topLinePunct w:val="0"/>
        <w:bidi w:val="0"/>
        <w:spacing w:line="300" w:lineRule="auto"/>
        <w:ind w:firstLine="4672" w:firstLineChars="2225"/>
      </w:pPr>
      <w:r>
        <w:rPr>
          <w:rFonts w:hint="eastAsia"/>
        </w:rPr>
        <w:t>磋商供应商（公章）：</w:t>
      </w:r>
    </w:p>
    <w:p>
      <w:pPr>
        <w:kinsoku/>
        <w:overflowPunct/>
        <w:topLinePunct w:val="0"/>
        <w:bidi w:val="0"/>
        <w:spacing w:line="300" w:lineRule="auto"/>
        <w:ind w:firstLine="4672" w:firstLineChars="2225"/>
      </w:pPr>
      <w:r>
        <w:rPr>
          <w:rFonts w:hint="eastAsia"/>
        </w:rPr>
        <w:t>法定代表人（签字或盖章）：</w:t>
      </w:r>
    </w:p>
    <w:p>
      <w:pPr>
        <w:kinsoku/>
        <w:overflowPunct/>
        <w:topLinePunct w:val="0"/>
        <w:bidi w:val="0"/>
        <w:spacing w:line="300" w:lineRule="auto"/>
        <w:ind w:firstLine="4672" w:firstLineChars="2225"/>
        <w:rPr>
          <w:rFonts w:hint="eastAsia" w:ascii="新宋体" w:hAnsi="新宋体" w:eastAsia="新宋体"/>
          <w:szCs w:val="21"/>
        </w:rPr>
      </w:pP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p>
      <w:pPr>
        <w:pStyle w:val="5"/>
        <w:keepNext w:val="0"/>
        <w:keepLines w:val="0"/>
        <w:pageBreakBefore/>
        <w:numPr>
          <w:ilvl w:val="0"/>
          <w:numId w:val="0"/>
        </w:numPr>
        <w:tabs>
          <w:tab w:val="left" w:pos="840"/>
        </w:tabs>
        <w:kinsoku/>
        <w:overflowPunct/>
        <w:topLinePunct w:val="0"/>
        <w:bidi w:val="0"/>
        <w:adjustRightInd w:val="0"/>
        <w:snapToGrid w:val="0"/>
        <w:spacing w:before="312" w:beforeLines="100" w:after="312" w:afterLines="100" w:line="300" w:lineRule="auto"/>
        <w:ind w:left="710"/>
        <w:jc w:val="center"/>
        <w:rPr>
          <w:rFonts w:hAnsi="宋体"/>
          <w:sz w:val="28"/>
          <w:szCs w:val="36"/>
        </w:rPr>
      </w:pPr>
      <w:bookmarkStart w:id="1967" w:name="_Toc13099"/>
      <w:bookmarkStart w:id="1968" w:name="_Toc27616"/>
      <w:bookmarkStart w:id="1969" w:name="_Toc6091"/>
      <w:bookmarkStart w:id="1970" w:name="_Toc3903999"/>
      <w:bookmarkStart w:id="1971" w:name="_Toc15142"/>
      <w:bookmarkStart w:id="1972" w:name="_Toc31664"/>
      <w:bookmarkStart w:id="1973" w:name="_Toc476734071"/>
      <w:bookmarkStart w:id="1974" w:name="_Toc14538"/>
      <w:bookmarkStart w:id="1975" w:name="_Toc514918862"/>
      <w:bookmarkStart w:id="1976" w:name="_Toc480985304"/>
      <w:r>
        <w:rPr>
          <w:rFonts w:hint="eastAsia" w:hAnsi="宋体"/>
          <w:sz w:val="28"/>
          <w:szCs w:val="36"/>
        </w:rPr>
        <w:t>附件七   技术响应表</w:t>
      </w:r>
      <w:bookmarkEnd w:id="1967"/>
      <w:bookmarkEnd w:id="1968"/>
    </w:p>
    <w:p>
      <w:pPr>
        <w:kinsoku/>
        <w:overflowPunct/>
        <w:topLinePunct w:val="0"/>
        <w:bidi w:val="0"/>
        <w:spacing w:before="156" w:beforeLines="50" w:after="156" w:afterLines="50" w:line="300" w:lineRule="auto"/>
        <w:rPr>
          <w:b/>
          <w:bCs/>
          <w:sz w:val="30"/>
        </w:rPr>
      </w:pPr>
      <w:r>
        <w:rPr>
          <w:rFonts w:hint="eastAsia"/>
        </w:rPr>
        <w:t>项目名称：</w:t>
      </w:r>
    </w:p>
    <w:tbl>
      <w:tblPr>
        <w:tblStyle w:val="5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5"/>
        <w:gridCol w:w="2846"/>
        <w:gridCol w:w="54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28" w:hRule="atLeast"/>
        </w:trPr>
        <w:tc>
          <w:tcPr>
            <w:tcW w:w="925" w:type="dxa"/>
            <w:tcBorders>
              <w:top w:val="single" w:color="auto" w:sz="12" w:space="0"/>
              <w:bottom w:val="single" w:color="auto" w:sz="12" w:space="0"/>
            </w:tcBorders>
            <w:noWrap w:val="0"/>
            <w:vAlign w:val="center"/>
          </w:tcPr>
          <w:p>
            <w:pPr>
              <w:kinsoku/>
              <w:overflowPunct/>
              <w:topLinePunct w:val="0"/>
              <w:bidi w:val="0"/>
              <w:spacing w:line="300" w:lineRule="auto"/>
              <w:jc w:val="center"/>
              <w:rPr>
                <w:rFonts w:ascii="Arial" w:hAnsi="Arial" w:cs="Arial"/>
                <w:sz w:val="24"/>
              </w:rPr>
            </w:pPr>
            <w:r>
              <w:rPr>
                <w:rFonts w:hint="eastAsia" w:ascii="Arial" w:hAnsi="宋体" w:cs="Arial"/>
                <w:sz w:val="24"/>
              </w:rPr>
              <w:t>序号</w:t>
            </w:r>
          </w:p>
        </w:tc>
        <w:tc>
          <w:tcPr>
            <w:tcW w:w="2846" w:type="dxa"/>
            <w:tcBorders>
              <w:top w:val="single" w:color="auto" w:sz="12" w:space="0"/>
              <w:bottom w:val="single" w:color="auto" w:sz="12" w:space="0"/>
            </w:tcBorders>
            <w:noWrap w:val="0"/>
            <w:vAlign w:val="center"/>
          </w:tcPr>
          <w:p>
            <w:pPr>
              <w:kinsoku/>
              <w:overflowPunct/>
              <w:topLinePunct w:val="0"/>
              <w:bidi w:val="0"/>
              <w:spacing w:line="300" w:lineRule="auto"/>
              <w:jc w:val="center"/>
              <w:rPr>
                <w:rFonts w:ascii="Arial" w:hAnsi="Arial" w:cs="Arial"/>
                <w:sz w:val="24"/>
              </w:rPr>
            </w:pPr>
            <w:r>
              <w:rPr>
                <w:rFonts w:hint="eastAsia" w:ascii="Arial" w:hAnsi="宋体" w:cs="Arial"/>
                <w:sz w:val="24"/>
              </w:rPr>
              <w:t>设备名称</w:t>
            </w:r>
          </w:p>
        </w:tc>
        <w:tc>
          <w:tcPr>
            <w:tcW w:w="5472" w:type="dxa"/>
            <w:tcBorders>
              <w:top w:val="single" w:color="auto" w:sz="12" w:space="0"/>
              <w:bottom w:val="single" w:color="auto" w:sz="12" w:space="0"/>
            </w:tcBorders>
            <w:noWrap w:val="0"/>
            <w:vAlign w:val="center"/>
          </w:tcPr>
          <w:p>
            <w:pPr>
              <w:kinsoku/>
              <w:overflowPunct/>
              <w:topLinePunct w:val="0"/>
              <w:bidi w:val="0"/>
              <w:spacing w:line="300" w:lineRule="auto"/>
              <w:jc w:val="center"/>
              <w:rPr>
                <w:rFonts w:ascii="Arial" w:hAnsi="Arial" w:cs="Arial"/>
                <w:sz w:val="24"/>
              </w:rPr>
            </w:pPr>
            <w:r>
              <w:rPr>
                <w:rFonts w:ascii="Arial" w:hAnsi="宋体" w:cs="Arial"/>
                <w:bCs/>
                <w:sz w:val="24"/>
              </w:rPr>
              <w:t>参数或技术描述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5" w:hRule="atLeast"/>
        </w:trPr>
        <w:tc>
          <w:tcPr>
            <w:tcW w:w="925" w:type="dxa"/>
            <w:tcBorders>
              <w:top w:val="single" w:color="auto" w:sz="12" w:space="0"/>
            </w:tcBorders>
            <w:noWrap w:val="0"/>
            <w:vAlign w:val="center"/>
          </w:tcPr>
          <w:p>
            <w:pPr>
              <w:kinsoku/>
              <w:overflowPunct/>
              <w:topLinePunct w:val="0"/>
              <w:bidi w:val="0"/>
              <w:spacing w:line="300" w:lineRule="auto"/>
              <w:jc w:val="center"/>
              <w:rPr>
                <w:rFonts w:ascii="宋体"/>
                <w:szCs w:val="21"/>
              </w:rPr>
            </w:pPr>
            <w:r>
              <w:rPr>
                <w:rFonts w:ascii="宋体" w:hAnsi="宋体"/>
                <w:szCs w:val="21"/>
              </w:rPr>
              <w:t>1</w:t>
            </w:r>
          </w:p>
        </w:tc>
        <w:tc>
          <w:tcPr>
            <w:tcW w:w="2846" w:type="dxa"/>
            <w:tcBorders>
              <w:top w:val="single" w:color="auto" w:sz="12" w:space="0"/>
            </w:tcBorders>
            <w:noWrap w:val="0"/>
            <w:vAlign w:val="center"/>
          </w:tcPr>
          <w:p>
            <w:pPr>
              <w:kinsoku/>
              <w:overflowPunct/>
              <w:topLinePunct w:val="0"/>
              <w:bidi w:val="0"/>
              <w:spacing w:line="300" w:lineRule="auto"/>
              <w:jc w:val="center"/>
              <w:rPr>
                <w:rFonts w:ascii="宋体" w:cs="宋体"/>
                <w:szCs w:val="21"/>
              </w:rPr>
            </w:pPr>
          </w:p>
        </w:tc>
        <w:tc>
          <w:tcPr>
            <w:tcW w:w="5472" w:type="dxa"/>
            <w:tcBorders>
              <w:top w:val="single" w:color="auto" w:sz="12" w:space="0"/>
            </w:tcBorders>
            <w:noWrap w:val="0"/>
            <w:vAlign w:val="center"/>
          </w:tcPr>
          <w:p>
            <w:pPr>
              <w:kinsoku/>
              <w:overflowPunct/>
              <w:topLinePunct w:val="0"/>
              <w:bidi w:val="0"/>
              <w:spacing w:line="300" w:lineRule="auto"/>
              <w:ind w:firstLine="592"/>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5" w:hRule="atLeast"/>
        </w:trPr>
        <w:tc>
          <w:tcPr>
            <w:tcW w:w="925" w:type="dxa"/>
            <w:noWrap w:val="0"/>
            <w:vAlign w:val="center"/>
          </w:tcPr>
          <w:p>
            <w:pPr>
              <w:kinsoku/>
              <w:overflowPunct/>
              <w:topLinePunct w:val="0"/>
              <w:bidi w:val="0"/>
              <w:spacing w:line="300" w:lineRule="auto"/>
              <w:jc w:val="center"/>
              <w:rPr>
                <w:rFonts w:ascii="宋体"/>
                <w:szCs w:val="21"/>
              </w:rPr>
            </w:pPr>
            <w:r>
              <w:rPr>
                <w:rFonts w:ascii="宋体" w:hAnsi="宋体"/>
                <w:szCs w:val="21"/>
              </w:rPr>
              <w:t>2</w:t>
            </w:r>
          </w:p>
        </w:tc>
        <w:tc>
          <w:tcPr>
            <w:tcW w:w="2846" w:type="dxa"/>
            <w:noWrap w:val="0"/>
            <w:vAlign w:val="center"/>
          </w:tcPr>
          <w:p>
            <w:pPr>
              <w:kinsoku/>
              <w:overflowPunct/>
              <w:topLinePunct w:val="0"/>
              <w:bidi w:val="0"/>
              <w:spacing w:line="300" w:lineRule="auto"/>
              <w:jc w:val="center"/>
              <w:rPr>
                <w:rFonts w:ascii="宋体" w:cs="宋体"/>
                <w:szCs w:val="21"/>
              </w:rPr>
            </w:pPr>
          </w:p>
        </w:tc>
        <w:tc>
          <w:tcPr>
            <w:tcW w:w="5472" w:type="dxa"/>
            <w:noWrap w:val="0"/>
            <w:vAlign w:val="center"/>
          </w:tcPr>
          <w:p>
            <w:pPr>
              <w:kinsoku/>
              <w:overflowPunct/>
              <w:topLinePunct w:val="0"/>
              <w:bidi w:val="0"/>
              <w:spacing w:line="300" w:lineRule="auto"/>
              <w:ind w:firstLine="592"/>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5" w:hRule="atLeast"/>
        </w:trPr>
        <w:tc>
          <w:tcPr>
            <w:tcW w:w="925" w:type="dxa"/>
            <w:noWrap w:val="0"/>
            <w:vAlign w:val="center"/>
          </w:tcPr>
          <w:p>
            <w:pPr>
              <w:kinsoku/>
              <w:overflowPunct/>
              <w:topLinePunct w:val="0"/>
              <w:bidi w:val="0"/>
              <w:spacing w:line="300" w:lineRule="auto"/>
              <w:jc w:val="center"/>
              <w:rPr>
                <w:rFonts w:ascii="宋体"/>
                <w:szCs w:val="21"/>
              </w:rPr>
            </w:pPr>
            <w:r>
              <w:rPr>
                <w:rFonts w:ascii="宋体" w:hAnsi="宋体"/>
                <w:szCs w:val="21"/>
              </w:rPr>
              <w:t>3</w:t>
            </w:r>
          </w:p>
        </w:tc>
        <w:tc>
          <w:tcPr>
            <w:tcW w:w="2846" w:type="dxa"/>
            <w:noWrap w:val="0"/>
            <w:vAlign w:val="center"/>
          </w:tcPr>
          <w:p>
            <w:pPr>
              <w:kinsoku/>
              <w:overflowPunct/>
              <w:topLinePunct w:val="0"/>
              <w:bidi w:val="0"/>
              <w:spacing w:line="300" w:lineRule="auto"/>
              <w:jc w:val="center"/>
              <w:rPr>
                <w:rFonts w:ascii="宋体" w:cs="宋体"/>
                <w:szCs w:val="21"/>
              </w:rPr>
            </w:pPr>
          </w:p>
        </w:tc>
        <w:tc>
          <w:tcPr>
            <w:tcW w:w="5472" w:type="dxa"/>
            <w:noWrap w:val="0"/>
            <w:vAlign w:val="center"/>
          </w:tcPr>
          <w:p>
            <w:pPr>
              <w:kinsoku/>
              <w:overflowPunct/>
              <w:topLinePunct w:val="0"/>
              <w:bidi w:val="0"/>
              <w:spacing w:line="300" w:lineRule="auto"/>
              <w:ind w:firstLine="592"/>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5" w:hRule="atLeast"/>
        </w:trPr>
        <w:tc>
          <w:tcPr>
            <w:tcW w:w="925" w:type="dxa"/>
            <w:noWrap w:val="0"/>
            <w:vAlign w:val="center"/>
          </w:tcPr>
          <w:p>
            <w:pPr>
              <w:kinsoku/>
              <w:overflowPunct/>
              <w:topLinePunct w:val="0"/>
              <w:bidi w:val="0"/>
              <w:spacing w:line="300" w:lineRule="auto"/>
              <w:jc w:val="center"/>
              <w:rPr>
                <w:rFonts w:ascii="宋体"/>
                <w:szCs w:val="21"/>
              </w:rPr>
            </w:pPr>
            <w:r>
              <w:rPr>
                <w:rFonts w:ascii="宋体" w:hAnsi="宋体"/>
                <w:szCs w:val="21"/>
              </w:rPr>
              <w:t>4</w:t>
            </w:r>
          </w:p>
        </w:tc>
        <w:tc>
          <w:tcPr>
            <w:tcW w:w="2846" w:type="dxa"/>
            <w:noWrap w:val="0"/>
            <w:vAlign w:val="center"/>
          </w:tcPr>
          <w:p>
            <w:pPr>
              <w:kinsoku/>
              <w:overflowPunct/>
              <w:topLinePunct w:val="0"/>
              <w:bidi w:val="0"/>
              <w:spacing w:line="300" w:lineRule="auto"/>
              <w:jc w:val="center"/>
              <w:rPr>
                <w:rFonts w:ascii="宋体" w:cs="宋体"/>
                <w:szCs w:val="21"/>
              </w:rPr>
            </w:pPr>
          </w:p>
        </w:tc>
        <w:tc>
          <w:tcPr>
            <w:tcW w:w="5472" w:type="dxa"/>
            <w:noWrap w:val="0"/>
            <w:vAlign w:val="center"/>
          </w:tcPr>
          <w:p>
            <w:pPr>
              <w:kinsoku/>
              <w:overflowPunct/>
              <w:topLinePunct w:val="0"/>
              <w:bidi w:val="0"/>
              <w:spacing w:line="300" w:lineRule="auto"/>
              <w:ind w:firstLine="592"/>
              <w:jc w:val="center"/>
              <w:rPr>
                <w:rStyle w:val="6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5" w:hRule="atLeast"/>
        </w:trPr>
        <w:tc>
          <w:tcPr>
            <w:tcW w:w="925" w:type="dxa"/>
            <w:noWrap w:val="0"/>
            <w:vAlign w:val="center"/>
          </w:tcPr>
          <w:p>
            <w:pPr>
              <w:kinsoku/>
              <w:overflowPunct/>
              <w:topLinePunct w:val="0"/>
              <w:bidi w:val="0"/>
              <w:spacing w:line="300" w:lineRule="auto"/>
              <w:jc w:val="center"/>
              <w:rPr>
                <w:rFonts w:ascii="宋体"/>
                <w:szCs w:val="21"/>
              </w:rPr>
            </w:pPr>
            <w:r>
              <w:rPr>
                <w:rFonts w:ascii="宋体" w:hAnsi="宋体"/>
                <w:szCs w:val="21"/>
              </w:rPr>
              <w:t>5</w:t>
            </w:r>
          </w:p>
        </w:tc>
        <w:tc>
          <w:tcPr>
            <w:tcW w:w="2846" w:type="dxa"/>
            <w:noWrap w:val="0"/>
            <w:vAlign w:val="center"/>
          </w:tcPr>
          <w:p>
            <w:pPr>
              <w:kinsoku/>
              <w:overflowPunct/>
              <w:topLinePunct w:val="0"/>
              <w:bidi w:val="0"/>
              <w:spacing w:line="300" w:lineRule="auto"/>
              <w:jc w:val="center"/>
              <w:rPr>
                <w:rFonts w:ascii="宋体" w:cs="宋体"/>
                <w:szCs w:val="21"/>
              </w:rPr>
            </w:pPr>
          </w:p>
        </w:tc>
        <w:tc>
          <w:tcPr>
            <w:tcW w:w="5472" w:type="dxa"/>
            <w:noWrap w:val="0"/>
            <w:vAlign w:val="center"/>
          </w:tcPr>
          <w:p>
            <w:pPr>
              <w:kinsoku/>
              <w:overflowPunct/>
              <w:topLinePunct w:val="0"/>
              <w:bidi w:val="0"/>
              <w:spacing w:line="300" w:lineRule="auto"/>
              <w:ind w:firstLine="592"/>
              <w:jc w:val="center"/>
              <w:rPr>
                <w:rStyle w:val="6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5" w:hRule="atLeast"/>
        </w:trPr>
        <w:tc>
          <w:tcPr>
            <w:tcW w:w="925" w:type="dxa"/>
            <w:noWrap w:val="0"/>
            <w:vAlign w:val="center"/>
          </w:tcPr>
          <w:p>
            <w:pPr>
              <w:kinsoku/>
              <w:overflowPunct/>
              <w:topLinePunct w:val="0"/>
              <w:bidi w:val="0"/>
              <w:spacing w:line="300" w:lineRule="auto"/>
              <w:jc w:val="center"/>
              <w:rPr>
                <w:rFonts w:ascii="宋体"/>
                <w:szCs w:val="21"/>
              </w:rPr>
            </w:pPr>
            <w:r>
              <w:rPr>
                <w:rFonts w:ascii="宋体" w:hAnsi="宋体"/>
                <w:szCs w:val="21"/>
              </w:rPr>
              <w:t>6</w:t>
            </w:r>
          </w:p>
        </w:tc>
        <w:tc>
          <w:tcPr>
            <w:tcW w:w="2846" w:type="dxa"/>
            <w:noWrap w:val="0"/>
            <w:vAlign w:val="center"/>
          </w:tcPr>
          <w:p>
            <w:pPr>
              <w:kinsoku/>
              <w:overflowPunct/>
              <w:topLinePunct w:val="0"/>
              <w:bidi w:val="0"/>
              <w:spacing w:line="300" w:lineRule="auto"/>
              <w:jc w:val="center"/>
              <w:rPr>
                <w:rFonts w:ascii="宋体" w:cs="宋体"/>
                <w:szCs w:val="21"/>
              </w:rPr>
            </w:pPr>
          </w:p>
        </w:tc>
        <w:tc>
          <w:tcPr>
            <w:tcW w:w="5472" w:type="dxa"/>
            <w:noWrap w:val="0"/>
            <w:vAlign w:val="center"/>
          </w:tcPr>
          <w:p>
            <w:pPr>
              <w:kinsoku/>
              <w:overflowPunct/>
              <w:topLinePunct w:val="0"/>
              <w:bidi w:val="0"/>
              <w:spacing w:line="300" w:lineRule="auto"/>
              <w:ind w:firstLine="592"/>
              <w:jc w:val="center"/>
              <w:rPr>
                <w:rStyle w:val="6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5" w:hRule="atLeast"/>
        </w:trPr>
        <w:tc>
          <w:tcPr>
            <w:tcW w:w="925" w:type="dxa"/>
            <w:noWrap w:val="0"/>
            <w:vAlign w:val="center"/>
          </w:tcPr>
          <w:p>
            <w:pPr>
              <w:kinsoku/>
              <w:overflowPunct/>
              <w:topLinePunct w:val="0"/>
              <w:bidi w:val="0"/>
              <w:spacing w:line="300" w:lineRule="auto"/>
              <w:jc w:val="center"/>
              <w:rPr>
                <w:rFonts w:ascii="宋体"/>
                <w:szCs w:val="21"/>
              </w:rPr>
            </w:pPr>
            <w:r>
              <w:rPr>
                <w:rFonts w:ascii="宋体" w:hAnsi="宋体"/>
                <w:szCs w:val="21"/>
              </w:rPr>
              <w:t>7</w:t>
            </w:r>
          </w:p>
        </w:tc>
        <w:tc>
          <w:tcPr>
            <w:tcW w:w="2846" w:type="dxa"/>
            <w:noWrap w:val="0"/>
            <w:vAlign w:val="center"/>
          </w:tcPr>
          <w:p>
            <w:pPr>
              <w:kinsoku/>
              <w:overflowPunct/>
              <w:topLinePunct w:val="0"/>
              <w:bidi w:val="0"/>
              <w:spacing w:line="300" w:lineRule="auto"/>
              <w:jc w:val="center"/>
              <w:rPr>
                <w:rFonts w:ascii="宋体" w:cs="宋体"/>
                <w:szCs w:val="21"/>
              </w:rPr>
            </w:pPr>
          </w:p>
        </w:tc>
        <w:tc>
          <w:tcPr>
            <w:tcW w:w="5472" w:type="dxa"/>
            <w:noWrap w:val="0"/>
            <w:vAlign w:val="center"/>
          </w:tcPr>
          <w:p>
            <w:pPr>
              <w:kinsoku/>
              <w:overflowPunct/>
              <w:topLinePunct w:val="0"/>
              <w:bidi w:val="0"/>
              <w:spacing w:line="300" w:lineRule="auto"/>
              <w:ind w:firstLine="592"/>
              <w:jc w:val="center"/>
              <w:rPr>
                <w:rStyle w:val="6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5" w:hRule="atLeast"/>
        </w:trPr>
        <w:tc>
          <w:tcPr>
            <w:tcW w:w="925" w:type="dxa"/>
            <w:noWrap w:val="0"/>
            <w:vAlign w:val="center"/>
          </w:tcPr>
          <w:p>
            <w:pPr>
              <w:kinsoku/>
              <w:overflowPunct/>
              <w:topLinePunct w:val="0"/>
              <w:bidi w:val="0"/>
              <w:spacing w:line="300" w:lineRule="auto"/>
              <w:jc w:val="center"/>
              <w:rPr>
                <w:rFonts w:ascii="宋体"/>
                <w:szCs w:val="21"/>
              </w:rPr>
            </w:pPr>
            <w:r>
              <w:rPr>
                <w:rFonts w:ascii="宋体" w:hAnsi="宋体"/>
                <w:szCs w:val="21"/>
              </w:rPr>
              <w:t>8</w:t>
            </w:r>
          </w:p>
        </w:tc>
        <w:tc>
          <w:tcPr>
            <w:tcW w:w="2846" w:type="dxa"/>
            <w:noWrap w:val="0"/>
            <w:vAlign w:val="center"/>
          </w:tcPr>
          <w:p>
            <w:pPr>
              <w:kinsoku/>
              <w:overflowPunct/>
              <w:topLinePunct w:val="0"/>
              <w:bidi w:val="0"/>
              <w:spacing w:line="300" w:lineRule="auto"/>
              <w:jc w:val="center"/>
              <w:rPr>
                <w:rFonts w:ascii="宋体" w:cs="宋体"/>
                <w:szCs w:val="21"/>
              </w:rPr>
            </w:pPr>
          </w:p>
        </w:tc>
        <w:tc>
          <w:tcPr>
            <w:tcW w:w="5472" w:type="dxa"/>
            <w:noWrap w:val="0"/>
            <w:vAlign w:val="center"/>
          </w:tcPr>
          <w:p>
            <w:pPr>
              <w:kinsoku/>
              <w:overflowPunct/>
              <w:topLinePunct w:val="0"/>
              <w:bidi w:val="0"/>
              <w:spacing w:line="300" w:lineRule="auto"/>
              <w:ind w:firstLine="592"/>
              <w:jc w:val="center"/>
              <w:rPr>
                <w:rStyle w:val="6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5" w:hRule="atLeast"/>
        </w:trPr>
        <w:tc>
          <w:tcPr>
            <w:tcW w:w="925" w:type="dxa"/>
            <w:noWrap w:val="0"/>
            <w:vAlign w:val="center"/>
          </w:tcPr>
          <w:p>
            <w:pPr>
              <w:kinsoku/>
              <w:overflowPunct/>
              <w:topLinePunct w:val="0"/>
              <w:bidi w:val="0"/>
              <w:spacing w:line="300" w:lineRule="auto"/>
              <w:jc w:val="center"/>
              <w:rPr>
                <w:rFonts w:ascii="宋体"/>
                <w:szCs w:val="21"/>
              </w:rPr>
            </w:pPr>
            <w:r>
              <w:rPr>
                <w:rFonts w:ascii="宋体" w:hAnsi="宋体"/>
                <w:szCs w:val="21"/>
              </w:rPr>
              <w:t>9</w:t>
            </w:r>
          </w:p>
        </w:tc>
        <w:tc>
          <w:tcPr>
            <w:tcW w:w="2846" w:type="dxa"/>
            <w:noWrap w:val="0"/>
            <w:vAlign w:val="center"/>
          </w:tcPr>
          <w:p>
            <w:pPr>
              <w:kinsoku/>
              <w:overflowPunct/>
              <w:topLinePunct w:val="0"/>
              <w:bidi w:val="0"/>
              <w:spacing w:line="300" w:lineRule="auto"/>
              <w:jc w:val="center"/>
              <w:rPr>
                <w:rFonts w:ascii="宋体" w:cs="宋体"/>
                <w:szCs w:val="21"/>
              </w:rPr>
            </w:pPr>
          </w:p>
        </w:tc>
        <w:tc>
          <w:tcPr>
            <w:tcW w:w="5472" w:type="dxa"/>
            <w:noWrap w:val="0"/>
            <w:vAlign w:val="center"/>
          </w:tcPr>
          <w:p>
            <w:pPr>
              <w:kinsoku/>
              <w:overflowPunct/>
              <w:topLinePunct w:val="0"/>
              <w:bidi w:val="0"/>
              <w:spacing w:line="300" w:lineRule="auto"/>
              <w:ind w:firstLine="592"/>
              <w:jc w:val="center"/>
              <w:rPr>
                <w:rStyle w:val="6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5" w:hRule="atLeast"/>
        </w:trPr>
        <w:tc>
          <w:tcPr>
            <w:tcW w:w="925" w:type="dxa"/>
            <w:noWrap w:val="0"/>
            <w:vAlign w:val="center"/>
          </w:tcPr>
          <w:p>
            <w:pPr>
              <w:kinsoku/>
              <w:overflowPunct/>
              <w:topLinePunct w:val="0"/>
              <w:bidi w:val="0"/>
              <w:spacing w:line="300" w:lineRule="auto"/>
              <w:jc w:val="center"/>
              <w:rPr>
                <w:rFonts w:ascii="宋体"/>
                <w:szCs w:val="21"/>
              </w:rPr>
            </w:pPr>
            <w:r>
              <w:rPr>
                <w:rFonts w:ascii="宋体" w:hAnsi="宋体"/>
                <w:szCs w:val="21"/>
              </w:rPr>
              <w:t>10</w:t>
            </w:r>
          </w:p>
        </w:tc>
        <w:tc>
          <w:tcPr>
            <w:tcW w:w="2846" w:type="dxa"/>
            <w:noWrap w:val="0"/>
            <w:vAlign w:val="center"/>
          </w:tcPr>
          <w:p>
            <w:pPr>
              <w:kinsoku/>
              <w:overflowPunct/>
              <w:topLinePunct w:val="0"/>
              <w:bidi w:val="0"/>
              <w:spacing w:line="300" w:lineRule="auto"/>
              <w:jc w:val="center"/>
              <w:rPr>
                <w:rFonts w:ascii="宋体" w:cs="宋体"/>
                <w:szCs w:val="21"/>
              </w:rPr>
            </w:pPr>
          </w:p>
        </w:tc>
        <w:tc>
          <w:tcPr>
            <w:tcW w:w="5472" w:type="dxa"/>
            <w:noWrap w:val="0"/>
            <w:vAlign w:val="center"/>
          </w:tcPr>
          <w:p>
            <w:pPr>
              <w:kinsoku/>
              <w:overflowPunct/>
              <w:topLinePunct w:val="0"/>
              <w:bidi w:val="0"/>
              <w:spacing w:line="300" w:lineRule="auto"/>
              <w:ind w:firstLine="592"/>
              <w:jc w:val="center"/>
              <w:rPr>
                <w:rStyle w:val="6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5" w:hRule="atLeast"/>
        </w:trPr>
        <w:tc>
          <w:tcPr>
            <w:tcW w:w="925" w:type="dxa"/>
            <w:noWrap w:val="0"/>
            <w:vAlign w:val="center"/>
          </w:tcPr>
          <w:p>
            <w:pPr>
              <w:kinsoku/>
              <w:overflowPunct/>
              <w:topLinePunct w:val="0"/>
              <w:bidi w:val="0"/>
              <w:spacing w:line="300" w:lineRule="auto"/>
              <w:jc w:val="center"/>
              <w:rPr>
                <w:rFonts w:ascii="宋体"/>
                <w:szCs w:val="21"/>
              </w:rPr>
            </w:pPr>
            <w:r>
              <w:rPr>
                <w:rFonts w:ascii="宋体" w:hAnsi="宋体"/>
                <w:szCs w:val="21"/>
              </w:rPr>
              <w:t>11</w:t>
            </w:r>
          </w:p>
        </w:tc>
        <w:tc>
          <w:tcPr>
            <w:tcW w:w="2846" w:type="dxa"/>
            <w:noWrap w:val="0"/>
            <w:vAlign w:val="center"/>
          </w:tcPr>
          <w:p>
            <w:pPr>
              <w:kinsoku/>
              <w:overflowPunct/>
              <w:topLinePunct w:val="0"/>
              <w:bidi w:val="0"/>
              <w:spacing w:line="300" w:lineRule="auto"/>
              <w:jc w:val="center"/>
              <w:rPr>
                <w:rFonts w:ascii="宋体" w:cs="宋体"/>
                <w:szCs w:val="21"/>
              </w:rPr>
            </w:pPr>
          </w:p>
        </w:tc>
        <w:tc>
          <w:tcPr>
            <w:tcW w:w="5472" w:type="dxa"/>
            <w:noWrap w:val="0"/>
            <w:vAlign w:val="center"/>
          </w:tcPr>
          <w:p>
            <w:pPr>
              <w:kinsoku/>
              <w:overflowPunct/>
              <w:topLinePunct w:val="0"/>
              <w:bidi w:val="0"/>
              <w:spacing w:line="300" w:lineRule="auto"/>
              <w:ind w:firstLine="592"/>
              <w:jc w:val="center"/>
              <w:rPr>
                <w:rStyle w:val="62"/>
                <w:szCs w:val="21"/>
              </w:rPr>
            </w:pPr>
          </w:p>
        </w:tc>
      </w:tr>
    </w:tbl>
    <w:p>
      <w:pPr>
        <w:kinsoku/>
        <w:overflowPunct/>
        <w:topLinePunct w:val="0"/>
        <w:bidi w:val="0"/>
        <w:spacing w:line="300" w:lineRule="auto"/>
        <w:rPr>
          <w:rFonts w:ascii="宋体"/>
          <w:color w:val="000000"/>
        </w:rPr>
      </w:pPr>
      <w:r>
        <w:rPr>
          <w:rFonts w:hint="eastAsia"/>
          <w:b/>
          <w:color w:val="000000"/>
        </w:rPr>
        <w:t>注：</w:t>
      </w:r>
      <w:r>
        <w:rPr>
          <w:rFonts w:ascii="宋体" w:hAnsi="宋体"/>
          <w:color w:val="000000"/>
        </w:rPr>
        <w:t>1</w:t>
      </w:r>
      <w:r>
        <w:rPr>
          <w:rFonts w:hint="eastAsia" w:ascii="宋体" w:hAnsi="宋体"/>
          <w:color w:val="000000"/>
        </w:rPr>
        <w:t>、必须按照投标产品实际参数详细填写</w:t>
      </w:r>
      <w:r>
        <w:rPr>
          <w:rFonts w:ascii="宋体"/>
          <w:color w:val="000000"/>
        </w:rPr>
        <w:t>,</w:t>
      </w:r>
      <w:r>
        <w:rPr>
          <w:rFonts w:hint="eastAsia" w:ascii="宋体" w:hAnsi="宋体"/>
          <w:color w:val="000000"/>
        </w:rPr>
        <w:t>照抄</w:t>
      </w:r>
      <w:r>
        <w:rPr>
          <w:rFonts w:hint="eastAsia" w:ascii="宋体" w:hAnsi="宋体"/>
          <w:color w:val="000000"/>
          <w:lang w:eastAsia="zh-CN"/>
        </w:rPr>
        <w:t>磋商文件</w:t>
      </w:r>
      <w:r>
        <w:rPr>
          <w:rFonts w:hint="eastAsia" w:ascii="宋体" w:hAnsi="宋体"/>
          <w:color w:val="000000"/>
        </w:rPr>
        <w:t>或不如实填写</w:t>
      </w:r>
      <w:r>
        <w:rPr>
          <w:rFonts w:ascii="宋体"/>
          <w:color w:val="000000"/>
        </w:rPr>
        <w:t>,</w:t>
      </w:r>
      <w:r>
        <w:rPr>
          <w:rFonts w:hint="eastAsia" w:ascii="宋体" w:hAnsi="宋体"/>
          <w:color w:val="000000"/>
          <w:lang w:eastAsia="zh-CN"/>
        </w:rPr>
        <w:t>磋商小组</w:t>
      </w:r>
      <w:r>
        <w:rPr>
          <w:rFonts w:hint="eastAsia" w:ascii="宋体" w:hAnsi="宋体"/>
          <w:color w:val="000000"/>
        </w:rPr>
        <w:t>有可能做出不利于</w:t>
      </w:r>
      <w:r>
        <w:rPr>
          <w:rFonts w:hint="eastAsia" w:ascii="宋体" w:hAnsi="宋体"/>
          <w:color w:val="000000"/>
          <w:lang w:eastAsia="zh-CN"/>
        </w:rPr>
        <w:t>磋商供应商</w:t>
      </w:r>
      <w:r>
        <w:rPr>
          <w:rFonts w:hint="eastAsia" w:ascii="宋体" w:hAnsi="宋体"/>
          <w:color w:val="000000"/>
        </w:rPr>
        <w:t>的评定。</w:t>
      </w:r>
    </w:p>
    <w:p>
      <w:pPr>
        <w:kinsoku/>
        <w:overflowPunct/>
        <w:topLinePunct w:val="0"/>
        <w:bidi w:val="0"/>
        <w:spacing w:line="300" w:lineRule="auto"/>
        <w:rPr>
          <w:rFonts w:ascii="宋体"/>
          <w:color w:val="000000"/>
        </w:rPr>
      </w:pPr>
      <w:r>
        <w:rPr>
          <w:rFonts w:ascii="宋体" w:hAnsi="宋体"/>
          <w:color w:val="000000"/>
        </w:rPr>
        <w:t>2</w:t>
      </w:r>
      <w:r>
        <w:rPr>
          <w:rFonts w:hint="eastAsia" w:ascii="宋体" w:hAnsi="宋体"/>
          <w:color w:val="000000"/>
        </w:rPr>
        <w:t>、</w:t>
      </w:r>
      <w:r>
        <w:rPr>
          <w:rFonts w:hint="eastAsia" w:ascii="宋体" w:hAnsi="宋体"/>
          <w:color w:val="000000"/>
          <w:lang w:eastAsia="zh-CN"/>
        </w:rPr>
        <w:t>磋商</w:t>
      </w:r>
      <w:r>
        <w:rPr>
          <w:rFonts w:hint="eastAsia" w:ascii="宋体" w:hAnsi="宋体"/>
          <w:color w:val="000000"/>
        </w:rPr>
        <w:t>产品的技术指标应提供相应文字说明、图片、相关证明文件。</w:t>
      </w:r>
    </w:p>
    <w:p>
      <w:pPr>
        <w:kinsoku/>
        <w:overflowPunct/>
        <w:topLinePunct w:val="0"/>
        <w:bidi w:val="0"/>
        <w:spacing w:line="300" w:lineRule="auto"/>
        <w:rPr>
          <w:rFonts w:ascii="宋体"/>
          <w:color w:val="000000"/>
        </w:rPr>
      </w:pPr>
      <w:r>
        <w:rPr>
          <w:rFonts w:hint="eastAsia" w:ascii="宋体" w:hAnsi="宋体"/>
          <w:color w:val="000000"/>
          <w:lang w:val="en-US" w:eastAsia="zh-CN"/>
        </w:rPr>
        <w:t>3</w:t>
      </w:r>
      <w:r>
        <w:rPr>
          <w:rFonts w:hint="eastAsia" w:ascii="宋体" w:hAnsi="宋体"/>
          <w:color w:val="000000"/>
        </w:rPr>
        <w:t>、本表必须提供，不提供此表格将被视为没有实质性响应</w:t>
      </w:r>
      <w:r>
        <w:rPr>
          <w:rFonts w:hint="eastAsia" w:ascii="宋体" w:hAnsi="宋体"/>
          <w:color w:val="000000"/>
          <w:lang w:eastAsia="zh-CN"/>
        </w:rPr>
        <w:t>磋商文件</w:t>
      </w:r>
      <w:r>
        <w:rPr>
          <w:rFonts w:hint="eastAsia" w:ascii="宋体" w:hAnsi="宋体"/>
          <w:color w:val="000000"/>
        </w:rPr>
        <w:t>。</w:t>
      </w:r>
    </w:p>
    <w:p>
      <w:pPr>
        <w:kinsoku/>
        <w:overflowPunct/>
        <w:topLinePunct w:val="0"/>
        <w:bidi w:val="0"/>
        <w:spacing w:after="156" w:afterLines="50" w:line="300" w:lineRule="auto"/>
        <w:ind w:firstLine="3780" w:firstLineChars="1800"/>
        <w:rPr>
          <w:rFonts w:ascii="宋体"/>
          <w:szCs w:val="21"/>
        </w:rPr>
      </w:pPr>
    </w:p>
    <w:p>
      <w:pPr>
        <w:kinsoku/>
        <w:overflowPunct/>
        <w:topLinePunct w:val="0"/>
        <w:bidi w:val="0"/>
        <w:spacing w:after="156" w:afterLines="50" w:line="300" w:lineRule="auto"/>
        <w:ind w:firstLine="3780" w:firstLineChars="1800"/>
        <w:rPr>
          <w:rFonts w:ascii="宋体"/>
          <w:szCs w:val="21"/>
        </w:rPr>
      </w:pPr>
      <w:r>
        <w:rPr>
          <w:rFonts w:hint="eastAsia" w:ascii="宋体" w:hAnsi="宋体"/>
          <w:szCs w:val="21"/>
          <w:lang w:eastAsia="zh-CN"/>
        </w:rPr>
        <w:t>磋商供应商</w:t>
      </w:r>
      <w:r>
        <w:rPr>
          <w:rFonts w:hint="eastAsia" w:ascii="宋体" w:hAnsi="宋体"/>
          <w:szCs w:val="21"/>
        </w:rPr>
        <w:t>全称（公章）：</w:t>
      </w:r>
    </w:p>
    <w:p>
      <w:pPr>
        <w:kinsoku/>
        <w:overflowPunct/>
        <w:topLinePunct w:val="0"/>
        <w:bidi w:val="0"/>
        <w:spacing w:after="156" w:afterLines="50" w:line="300" w:lineRule="auto"/>
        <w:ind w:firstLine="3780" w:firstLineChars="1800"/>
        <w:rPr>
          <w:rFonts w:ascii="宋体"/>
          <w:szCs w:val="21"/>
        </w:rPr>
      </w:pPr>
      <w:r>
        <w:rPr>
          <w:rFonts w:hint="eastAsia" w:ascii="宋体" w:hAnsi="宋体"/>
          <w:szCs w:val="21"/>
        </w:rPr>
        <w:t>法定代表人或分公司负责人或授权代表（签字或盖章）：</w:t>
      </w:r>
    </w:p>
    <w:p>
      <w:pPr>
        <w:pStyle w:val="4"/>
        <w:numPr>
          <w:ilvl w:val="0"/>
          <w:numId w:val="0"/>
        </w:numPr>
        <w:kinsoku/>
        <w:overflowPunct/>
        <w:topLinePunct w:val="0"/>
        <w:bidi w:val="0"/>
        <w:spacing w:line="300" w:lineRule="auto"/>
        <w:jc w:val="center"/>
        <w:rPr>
          <w:rFonts w:hint="eastAsia" w:hAnsi="宋体" w:eastAsia="宋体"/>
          <w:sz w:val="28"/>
          <w:szCs w:val="36"/>
          <w:lang w:eastAsia="zh-CN"/>
        </w:rPr>
      </w:pPr>
      <w:bookmarkStart w:id="1977" w:name="_Toc531608087"/>
      <w:bookmarkStart w:id="1978" w:name="_Toc531787471"/>
      <w:bookmarkStart w:id="1979" w:name="_Toc531073345"/>
      <w:r>
        <w:rPr>
          <w:rFonts w:hint="eastAsia" w:hAnsi="宋体"/>
          <w:b w:val="0"/>
          <w:kern w:val="2"/>
          <w:sz w:val="21"/>
          <w:szCs w:val="21"/>
          <w:lang w:val="en-US" w:eastAsia="zh-CN"/>
        </w:rPr>
        <w:t xml:space="preserve">             </w:t>
      </w:r>
      <w:bookmarkStart w:id="1980" w:name="_Toc10505"/>
      <w:bookmarkStart w:id="1981" w:name="_Toc19086"/>
      <w:bookmarkStart w:id="1982" w:name="_Toc8953"/>
      <w:r>
        <w:rPr>
          <w:rFonts w:hint="eastAsia" w:ascii="宋体" w:hAnsi="宋体"/>
          <w:b w:val="0"/>
          <w:kern w:val="2"/>
          <w:sz w:val="21"/>
          <w:szCs w:val="21"/>
        </w:rPr>
        <w:t>日</w:t>
      </w:r>
      <w:r>
        <w:rPr>
          <w:rFonts w:ascii="宋体" w:hAnsi="宋体"/>
          <w:b w:val="0"/>
          <w:kern w:val="2"/>
          <w:sz w:val="21"/>
          <w:szCs w:val="21"/>
        </w:rPr>
        <w:t xml:space="preserve">    </w:t>
      </w:r>
      <w:r>
        <w:rPr>
          <w:rFonts w:hint="eastAsia" w:ascii="宋体" w:hAnsi="宋体"/>
          <w:b w:val="0"/>
          <w:kern w:val="2"/>
          <w:sz w:val="21"/>
          <w:szCs w:val="21"/>
        </w:rPr>
        <w:t>期：</w:t>
      </w:r>
      <w:r>
        <w:rPr>
          <w:rFonts w:ascii="宋体" w:hAnsi="宋体"/>
          <w:b w:val="0"/>
          <w:kern w:val="2"/>
          <w:sz w:val="21"/>
          <w:szCs w:val="21"/>
        </w:rPr>
        <w:t xml:space="preserve">    </w:t>
      </w:r>
      <w:r>
        <w:rPr>
          <w:rFonts w:hint="eastAsia" w:ascii="宋体" w:hAnsi="宋体"/>
          <w:b w:val="0"/>
          <w:kern w:val="2"/>
          <w:sz w:val="21"/>
          <w:szCs w:val="21"/>
        </w:rPr>
        <w:t>年</w:t>
      </w:r>
      <w:r>
        <w:rPr>
          <w:rFonts w:ascii="宋体" w:hAnsi="宋体"/>
          <w:b w:val="0"/>
          <w:kern w:val="2"/>
          <w:sz w:val="21"/>
          <w:szCs w:val="21"/>
        </w:rPr>
        <w:t xml:space="preserve">   </w:t>
      </w:r>
      <w:r>
        <w:rPr>
          <w:rFonts w:hint="eastAsia" w:ascii="宋体" w:hAnsi="宋体"/>
          <w:b w:val="0"/>
          <w:kern w:val="2"/>
          <w:sz w:val="21"/>
          <w:szCs w:val="21"/>
        </w:rPr>
        <w:t>月</w:t>
      </w:r>
      <w:r>
        <w:rPr>
          <w:rFonts w:ascii="宋体" w:hAnsi="宋体"/>
          <w:b w:val="0"/>
          <w:kern w:val="2"/>
          <w:sz w:val="21"/>
          <w:szCs w:val="21"/>
        </w:rPr>
        <w:t xml:space="preserve">    </w:t>
      </w:r>
      <w:r>
        <w:rPr>
          <w:rFonts w:hint="eastAsia" w:ascii="宋体" w:hAnsi="宋体"/>
          <w:b w:val="0"/>
          <w:kern w:val="2"/>
          <w:sz w:val="21"/>
          <w:szCs w:val="21"/>
        </w:rPr>
        <w:t>日</w:t>
      </w:r>
      <w:bookmarkEnd w:id="1977"/>
      <w:bookmarkEnd w:id="1978"/>
      <w:bookmarkEnd w:id="1979"/>
      <w:r>
        <w:rPr>
          <w:rFonts w:hint="eastAsia" w:hAnsi="宋体" w:eastAsia="宋体"/>
          <w:sz w:val="28"/>
          <w:szCs w:val="36"/>
          <w:lang w:eastAsia="zh-CN"/>
        </w:rPr>
        <w:br w:type="textWrapping"/>
      </w:r>
      <w:bookmarkEnd w:id="1980"/>
      <w:bookmarkEnd w:id="1981"/>
      <w:bookmarkEnd w:id="1982"/>
      <w:bookmarkStart w:id="1983" w:name="_Toc509297853"/>
      <w:bookmarkStart w:id="1984" w:name="_Toc419811117"/>
    </w:p>
    <w:p>
      <w:pPr>
        <w:pStyle w:val="4"/>
        <w:numPr>
          <w:ilvl w:val="0"/>
          <w:numId w:val="0"/>
        </w:numPr>
        <w:kinsoku/>
        <w:overflowPunct/>
        <w:topLinePunct w:val="0"/>
        <w:bidi w:val="0"/>
        <w:spacing w:line="300" w:lineRule="auto"/>
        <w:jc w:val="center"/>
        <w:rPr>
          <w:rFonts w:hint="eastAsia" w:ascii="Cambria" w:hAnsi="宋体" w:eastAsia="宋体" w:cs="Times New Roman"/>
          <w:b/>
          <w:bCs/>
          <w:kern w:val="0"/>
          <w:sz w:val="28"/>
          <w:szCs w:val="36"/>
          <w:lang w:val="en-US" w:eastAsia="zh-CN" w:bidi="ar-SA"/>
        </w:rPr>
      </w:pPr>
      <w:r>
        <w:rPr>
          <w:rFonts w:hint="eastAsia" w:hAnsi="宋体" w:eastAsia="宋体"/>
          <w:sz w:val="28"/>
          <w:szCs w:val="36"/>
          <w:lang w:eastAsia="zh-CN"/>
        </w:rPr>
        <w:br w:type="page"/>
      </w:r>
      <w:bookmarkStart w:id="1985" w:name="_Toc15354"/>
      <w:bookmarkStart w:id="1986" w:name="_Toc18114"/>
      <w:r>
        <w:rPr>
          <w:rFonts w:hint="eastAsia" w:ascii="Cambria" w:hAnsi="宋体" w:eastAsia="宋体" w:cs="Times New Roman"/>
          <w:b/>
          <w:bCs/>
          <w:kern w:val="0"/>
          <w:sz w:val="28"/>
          <w:szCs w:val="36"/>
          <w:lang w:val="en-US" w:eastAsia="zh-CN" w:bidi="ar-SA"/>
        </w:rPr>
        <w:t>附件八    建议与少量偏离表</w:t>
      </w:r>
      <w:bookmarkEnd w:id="1983"/>
      <w:bookmarkEnd w:id="1984"/>
      <w:bookmarkEnd w:id="1985"/>
      <w:bookmarkEnd w:id="1986"/>
    </w:p>
    <w:p>
      <w:pPr>
        <w:pStyle w:val="8"/>
        <w:kinsoku/>
        <w:overflowPunct/>
        <w:topLinePunct w:val="0"/>
        <w:bidi w:val="0"/>
        <w:spacing w:line="300" w:lineRule="auto"/>
        <w:rPr>
          <w:rFonts w:hint="eastAsia"/>
          <w:szCs w:val="21"/>
        </w:rPr>
      </w:pPr>
    </w:p>
    <w:tbl>
      <w:tblPr>
        <w:tblStyle w:val="53"/>
        <w:tblW w:w="0" w:type="auto"/>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181"/>
        <w:gridCol w:w="41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466" w:hRule="atLeast"/>
        </w:trPr>
        <w:tc>
          <w:tcPr>
            <w:tcW w:w="993" w:type="dxa"/>
            <w:tcBorders>
              <w:top w:val="single" w:color="auto" w:sz="12" w:space="0"/>
              <w:bottom w:val="single" w:color="auto" w:sz="12" w:space="0"/>
            </w:tcBorders>
            <w:noWrap w:val="0"/>
            <w:vAlign w:val="center"/>
          </w:tcPr>
          <w:p>
            <w:pPr>
              <w:kinsoku/>
              <w:overflowPunct/>
              <w:topLinePunct w:val="0"/>
              <w:bidi w:val="0"/>
              <w:spacing w:line="300" w:lineRule="auto"/>
              <w:jc w:val="center"/>
              <w:rPr>
                <w:rFonts w:ascii="宋体" w:hAnsi="宋体"/>
                <w:b/>
                <w:bCs/>
                <w:szCs w:val="21"/>
              </w:rPr>
            </w:pPr>
            <w:r>
              <w:rPr>
                <w:rFonts w:hint="eastAsia" w:ascii="宋体" w:hAnsi="宋体"/>
                <w:b/>
                <w:bCs/>
                <w:szCs w:val="21"/>
              </w:rPr>
              <w:t>序号</w:t>
            </w:r>
          </w:p>
        </w:tc>
        <w:tc>
          <w:tcPr>
            <w:tcW w:w="4181" w:type="dxa"/>
            <w:tcBorders>
              <w:top w:val="single" w:color="auto" w:sz="12" w:space="0"/>
              <w:bottom w:val="single" w:color="auto" w:sz="12" w:space="0"/>
            </w:tcBorders>
            <w:noWrap w:val="0"/>
            <w:vAlign w:val="center"/>
          </w:tcPr>
          <w:p>
            <w:pPr>
              <w:kinsoku/>
              <w:overflowPunct/>
              <w:topLinePunct w:val="0"/>
              <w:bidi w:val="0"/>
              <w:spacing w:line="300" w:lineRule="auto"/>
              <w:jc w:val="center"/>
              <w:rPr>
                <w:rFonts w:ascii="宋体" w:hAnsi="宋体"/>
                <w:b/>
                <w:bCs/>
                <w:szCs w:val="21"/>
              </w:rPr>
            </w:pPr>
            <w:r>
              <w:rPr>
                <w:rFonts w:hint="eastAsia" w:ascii="宋体" w:hAnsi="宋体"/>
                <w:b/>
                <w:bCs/>
                <w:szCs w:val="21"/>
                <w:lang w:eastAsia="zh-CN"/>
              </w:rPr>
              <w:t>磋商</w:t>
            </w:r>
            <w:r>
              <w:rPr>
                <w:rFonts w:hint="eastAsia" w:ascii="宋体" w:hAnsi="宋体"/>
                <w:b/>
                <w:bCs/>
                <w:szCs w:val="21"/>
              </w:rPr>
              <w:t>文件重述</w:t>
            </w:r>
          </w:p>
        </w:tc>
        <w:tc>
          <w:tcPr>
            <w:tcW w:w="4182" w:type="dxa"/>
            <w:tcBorders>
              <w:top w:val="single" w:color="auto" w:sz="12" w:space="0"/>
              <w:bottom w:val="single" w:color="auto" w:sz="12" w:space="0"/>
            </w:tcBorders>
            <w:noWrap w:val="0"/>
            <w:vAlign w:val="center"/>
          </w:tcPr>
          <w:p>
            <w:pPr>
              <w:kinsoku/>
              <w:overflowPunct/>
              <w:topLinePunct w:val="0"/>
              <w:bidi w:val="0"/>
              <w:spacing w:line="300" w:lineRule="auto"/>
              <w:jc w:val="center"/>
              <w:rPr>
                <w:rFonts w:ascii="宋体" w:hAnsi="宋体"/>
                <w:b/>
                <w:bCs/>
                <w:szCs w:val="21"/>
              </w:rPr>
            </w:pPr>
            <w:r>
              <w:rPr>
                <w:rFonts w:hint="eastAsia" w:ascii="宋体" w:hAnsi="宋体"/>
                <w:b/>
                <w:bCs/>
                <w:szCs w:val="21"/>
                <w:lang w:eastAsia="zh-CN"/>
              </w:rPr>
              <w:t>磋商响应文件</w:t>
            </w:r>
            <w:r>
              <w:rPr>
                <w:rFonts w:hint="eastAsia" w:ascii="宋体" w:hAnsi="宋体"/>
                <w:b/>
                <w:bCs/>
                <w:szCs w:val="21"/>
              </w:rPr>
              <w:t>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7627" w:hRule="atLeast"/>
        </w:trPr>
        <w:tc>
          <w:tcPr>
            <w:tcW w:w="993" w:type="dxa"/>
            <w:tcBorders>
              <w:top w:val="single" w:color="auto" w:sz="12" w:space="0"/>
            </w:tcBorders>
            <w:noWrap w:val="0"/>
            <w:vAlign w:val="top"/>
          </w:tcPr>
          <w:p>
            <w:pPr>
              <w:kinsoku/>
              <w:overflowPunct/>
              <w:topLinePunct w:val="0"/>
              <w:bidi w:val="0"/>
              <w:spacing w:line="300" w:lineRule="auto"/>
              <w:ind w:firstLine="592"/>
              <w:rPr>
                <w:rFonts w:ascii="宋体" w:hAnsi="宋体"/>
                <w:szCs w:val="21"/>
              </w:rPr>
            </w:pPr>
          </w:p>
        </w:tc>
        <w:tc>
          <w:tcPr>
            <w:tcW w:w="4181" w:type="dxa"/>
            <w:tcBorders>
              <w:top w:val="single" w:color="auto" w:sz="12" w:space="0"/>
            </w:tcBorders>
            <w:noWrap w:val="0"/>
            <w:vAlign w:val="top"/>
          </w:tcPr>
          <w:p>
            <w:pPr>
              <w:kinsoku/>
              <w:overflowPunct/>
              <w:topLinePunct w:val="0"/>
              <w:bidi w:val="0"/>
              <w:spacing w:line="300" w:lineRule="auto"/>
              <w:ind w:firstLine="592"/>
              <w:rPr>
                <w:rFonts w:ascii="宋体" w:hAnsi="宋体"/>
                <w:szCs w:val="21"/>
              </w:rPr>
            </w:pPr>
          </w:p>
        </w:tc>
        <w:tc>
          <w:tcPr>
            <w:tcW w:w="4182" w:type="dxa"/>
            <w:tcBorders>
              <w:top w:val="single" w:color="auto" w:sz="12" w:space="0"/>
            </w:tcBorders>
            <w:noWrap w:val="0"/>
            <w:vAlign w:val="top"/>
          </w:tcPr>
          <w:p>
            <w:pPr>
              <w:kinsoku/>
              <w:overflowPunct/>
              <w:topLinePunct w:val="0"/>
              <w:bidi w:val="0"/>
              <w:spacing w:line="300" w:lineRule="auto"/>
              <w:ind w:firstLine="592"/>
              <w:rPr>
                <w:rFonts w:ascii="宋体" w:hAnsi="宋体"/>
                <w:szCs w:val="21"/>
              </w:rPr>
            </w:pPr>
          </w:p>
        </w:tc>
      </w:tr>
    </w:tbl>
    <w:p>
      <w:pPr>
        <w:pStyle w:val="37"/>
        <w:tabs>
          <w:tab w:val="left" w:pos="525"/>
        </w:tabs>
        <w:kinsoku/>
        <w:overflowPunct/>
        <w:topLinePunct w:val="0"/>
        <w:bidi w:val="0"/>
        <w:spacing w:line="300" w:lineRule="auto"/>
        <w:rPr>
          <w:rFonts w:hint="eastAsia"/>
        </w:rPr>
      </w:pPr>
      <w:r>
        <w:rPr>
          <w:rFonts w:hint="eastAsia"/>
        </w:rPr>
        <w:t>注：如不填写，则视为完全响应</w:t>
      </w:r>
      <w:r>
        <w:rPr>
          <w:rFonts w:hint="eastAsia"/>
          <w:lang w:eastAsia="zh-CN"/>
        </w:rPr>
        <w:t>磋商文件</w:t>
      </w:r>
      <w:r>
        <w:rPr>
          <w:rFonts w:hint="eastAsia"/>
        </w:rPr>
        <w:t>的技术及商务要求。</w:t>
      </w:r>
    </w:p>
    <w:p>
      <w:pPr>
        <w:kinsoku/>
        <w:overflowPunct/>
        <w:topLinePunct w:val="0"/>
        <w:bidi w:val="0"/>
        <w:spacing w:line="300" w:lineRule="auto"/>
        <w:ind w:firstLine="4605"/>
        <w:rPr>
          <w:rFonts w:hint="eastAsia" w:ascii="宋体" w:hAnsi="宋体"/>
          <w:szCs w:val="21"/>
        </w:rPr>
      </w:pPr>
    </w:p>
    <w:p>
      <w:pPr>
        <w:kinsoku/>
        <w:overflowPunct/>
        <w:topLinePunct w:val="0"/>
        <w:bidi w:val="0"/>
        <w:spacing w:after="156" w:afterLines="50" w:line="300" w:lineRule="auto"/>
        <w:ind w:firstLine="4412" w:firstLineChars="2101"/>
        <w:jc w:val="both"/>
        <w:rPr>
          <w:rFonts w:hint="eastAsia" w:ascii="Arial" w:hAnsi="宋体" w:cs="Arial"/>
          <w:szCs w:val="21"/>
        </w:rPr>
      </w:pPr>
    </w:p>
    <w:p>
      <w:pPr>
        <w:kinsoku/>
        <w:overflowPunct/>
        <w:topLinePunct w:val="0"/>
        <w:bidi w:val="0"/>
        <w:spacing w:after="156" w:afterLines="50" w:line="300" w:lineRule="auto"/>
        <w:ind w:firstLine="4412" w:firstLineChars="2101"/>
        <w:jc w:val="both"/>
        <w:rPr>
          <w:rFonts w:hint="eastAsia" w:ascii="Arial" w:hAnsi="宋体" w:cs="Arial"/>
          <w:szCs w:val="21"/>
        </w:rPr>
      </w:pPr>
    </w:p>
    <w:p>
      <w:pPr>
        <w:kinsoku/>
        <w:overflowPunct/>
        <w:topLinePunct w:val="0"/>
        <w:bidi w:val="0"/>
        <w:spacing w:before="312" w:beforeLines="100" w:after="312" w:afterLines="100" w:line="300" w:lineRule="auto"/>
        <w:ind w:left="4620" w:leftChars="2200"/>
        <w:rPr>
          <w:rFonts w:hint="eastAsia" w:ascii="宋体" w:hAnsi="宋体"/>
          <w:szCs w:val="21"/>
        </w:rPr>
      </w:pPr>
      <w:r>
        <w:rPr>
          <w:rFonts w:hint="eastAsia" w:ascii="宋体" w:hAnsi="宋体"/>
          <w:szCs w:val="21"/>
          <w:lang w:eastAsia="zh-CN"/>
        </w:rPr>
        <w:t>磋商供应商</w:t>
      </w:r>
      <w:r>
        <w:rPr>
          <w:rFonts w:hint="eastAsia" w:ascii="宋体" w:hAnsi="宋体"/>
          <w:szCs w:val="21"/>
        </w:rPr>
        <w:t>全称（盖章）：</w:t>
      </w:r>
    </w:p>
    <w:p>
      <w:pPr>
        <w:kinsoku/>
        <w:overflowPunct/>
        <w:topLinePunct w:val="0"/>
        <w:bidi w:val="0"/>
        <w:spacing w:before="312" w:beforeLines="100" w:after="312" w:afterLines="100" w:line="300" w:lineRule="auto"/>
        <w:ind w:left="4620" w:leftChars="2200"/>
        <w:rPr>
          <w:rFonts w:hint="eastAsia" w:ascii="宋体" w:hAnsi="宋体"/>
          <w:szCs w:val="21"/>
        </w:rPr>
      </w:pPr>
      <w:r>
        <w:rPr>
          <w:rFonts w:hint="eastAsia" w:ascii="宋体" w:hAnsi="宋体"/>
          <w:szCs w:val="21"/>
        </w:rPr>
        <w:t>法定代表人或授权代表（签字或盖章）：</w:t>
      </w:r>
    </w:p>
    <w:p>
      <w:pPr>
        <w:pStyle w:val="5"/>
        <w:kinsoku/>
        <w:overflowPunct/>
        <w:topLinePunct w:val="0"/>
        <w:bidi w:val="0"/>
        <w:spacing w:line="300" w:lineRule="auto"/>
        <w:jc w:val="center"/>
        <w:rPr>
          <w:rFonts w:hint="eastAsia" w:ascii="宋体" w:hAnsi="宋体" w:eastAsia="宋体" w:cs="Times New Roman"/>
          <w:b w:val="0"/>
          <w:bCs w:val="0"/>
          <w:kern w:val="0"/>
          <w:sz w:val="21"/>
          <w:szCs w:val="21"/>
          <w:lang w:val="en-US" w:eastAsia="zh-CN" w:bidi="ar-SA"/>
        </w:rPr>
      </w:pPr>
      <w:r>
        <w:rPr>
          <w:rFonts w:hint="eastAsia" w:ascii="宋体" w:hAnsi="宋体" w:cs="Times New Roman"/>
          <w:b w:val="0"/>
          <w:bCs w:val="0"/>
          <w:kern w:val="0"/>
          <w:sz w:val="21"/>
          <w:szCs w:val="21"/>
          <w:lang w:val="en-US" w:eastAsia="zh-CN" w:bidi="ar-SA"/>
        </w:rPr>
        <w:t xml:space="preserve">        </w:t>
      </w:r>
      <w:bookmarkStart w:id="1987" w:name="_Toc29863"/>
      <w:bookmarkStart w:id="1988" w:name="_Toc7270"/>
      <w:bookmarkStart w:id="1989" w:name="_Toc29929"/>
      <w:r>
        <w:rPr>
          <w:rFonts w:hint="eastAsia" w:ascii="宋体" w:hAnsi="宋体" w:eastAsia="宋体" w:cs="Times New Roman"/>
          <w:b w:val="0"/>
          <w:bCs w:val="0"/>
          <w:kern w:val="0"/>
          <w:sz w:val="21"/>
          <w:szCs w:val="21"/>
          <w:lang w:val="en-US" w:eastAsia="zh-CN" w:bidi="ar-SA"/>
        </w:rPr>
        <w:t>日期：</w:t>
      </w:r>
      <w:bookmarkEnd w:id="1987"/>
      <w:bookmarkEnd w:id="1988"/>
      <w:bookmarkEnd w:id="1989"/>
      <w:r>
        <w:rPr>
          <w:rFonts w:hint="eastAsia" w:ascii="宋体" w:hAnsi="宋体" w:eastAsia="宋体" w:cs="Times New Roman"/>
          <w:b w:val="0"/>
          <w:bCs w:val="0"/>
          <w:kern w:val="0"/>
          <w:sz w:val="21"/>
          <w:szCs w:val="21"/>
          <w:lang w:val="en-US" w:eastAsia="zh-CN" w:bidi="ar-SA"/>
        </w:rPr>
        <w:t xml:space="preserve"> </w:t>
      </w:r>
    </w:p>
    <w:p>
      <w:pPr>
        <w:pStyle w:val="5"/>
        <w:kinsoku/>
        <w:overflowPunct/>
        <w:topLinePunct w:val="0"/>
        <w:bidi w:val="0"/>
        <w:spacing w:line="300" w:lineRule="auto"/>
        <w:jc w:val="center"/>
        <w:rPr>
          <w:rFonts w:hAnsi="宋体"/>
          <w:sz w:val="28"/>
          <w:szCs w:val="36"/>
        </w:rPr>
      </w:pPr>
      <w:r>
        <w:rPr>
          <w:rFonts w:hint="eastAsia" w:hAnsi="宋体"/>
          <w:sz w:val="28"/>
          <w:szCs w:val="36"/>
        </w:rPr>
        <w:br w:type="page"/>
      </w:r>
      <w:bookmarkStart w:id="1990" w:name="_Toc32689"/>
      <w:bookmarkStart w:id="1991" w:name="_Toc18623"/>
      <w:r>
        <w:rPr>
          <w:rFonts w:hint="eastAsia" w:ascii="Cambria" w:hAnsi="宋体" w:eastAsia="宋体" w:cs="Times New Roman"/>
          <w:b/>
          <w:bCs/>
          <w:kern w:val="0"/>
          <w:sz w:val="28"/>
          <w:szCs w:val="36"/>
          <w:lang w:val="en-US" w:eastAsia="zh-CN" w:bidi="ar-SA"/>
        </w:rPr>
        <w:t>附件</w:t>
      </w:r>
      <w:r>
        <w:rPr>
          <w:rFonts w:hint="eastAsia" w:hAnsi="宋体" w:cs="Times New Roman"/>
          <w:b/>
          <w:bCs/>
          <w:kern w:val="0"/>
          <w:sz w:val="28"/>
          <w:szCs w:val="36"/>
          <w:lang w:val="en-US" w:eastAsia="zh-CN" w:bidi="ar-SA"/>
        </w:rPr>
        <w:t xml:space="preserve">九  </w:t>
      </w:r>
      <w:r>
        <w:rPr>
          <w:rFonts w:hint="eastAsia" w:ascii="Cambria" w:hAnsi="宋体" w:eastAsia="宋体" w:cs="Times New Roman"/>
          <w:b/>
          <w:bCs/>
          <w:kern w:val="0"/>
          <w:sz w:val="28"/>
          <w:szCs w:val="36"/>
          <w:lang w:val="en-US" w:eastAsia="zh-CN" w:bidi="ar-SA"/>
        </w:rPr>
        <w:t xml:space="preserve"> </w:t>
      </w:r>
      <w:r>
        <w:rPr>
          <w:rFonts w:hint="eastAsia" w:hAnsi="宋体"/>
          <w:sz w:val="28"/>
          <w:szCs w:val="36"/>
        </w:rPr>
        <w:t>磋商供应商基本情况表</w:t>
      </w:r>
      <w:bookmarkEnd w:id="1969"/>
      <w:bookmarkEnd w:id="1970"/>
      <w:bookmarkEnd w:id="1971"/>
      <w:bookmarkEnd w:id="1972"/>
      <w:bookmarkEnd w:id="1990"/>
      <w:bookmarkEnd w:id="1991"/>
    </w:p>
    <w:tbl>
      <w:tblPr>
        <w:tblStyle w:val="53"/>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55"/>
        <w:gridCol w:w="4550"/>
        <w:gridCol w:w="39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9" w:hRule="atLeast"/>
        </w:trPr>
        <w:tc>
          <w:tcPr>
            <w:tcW w:w="655" w:type="dxa"/>
            <w:noWrap w:val="0"/>
            <w:vAlign w:val="center"/>
          </w:tcPr>
          <w:p>
            <w:pPr>
              <w:kinsoku/>
              <w:overflowPunct/>
              <w:topLinePunct w:val="0"/>
              <w:bidi w:val="0"/>
              <w:spacing w:line="300" w:lineRule="auto"/>
              <w:jc w:val="center"/>
              <w:rPr>
                <w:b/>
                <w:szCs w:val="21"/>
              </w:rPr>
            </w:pPr>
            <w:r>
              <w:rPr>
                <w:b/>
                <w:szCs w:val="21"/>
              </w:rPr>
              <w:t>1</w:t>
            </w:r>
          </w:p>
        </w:tc>
        <w:tc>
          <w:tcPr>
            <w:tcW w:w="8518" w:type="dxa"/>
            <w:gridSpan w:val="2"/>
            <w:noWrap w:val="0"/>
            <w:vAlign w:val="center"/>
          </w:tcPr>
          <w:p>
            <w:pPr>
              <w:kinsoku/>
              <w:overflowPunct/>
              <w:topLinePunct w:val="0"/>
              <w:bidi w:val="0"/>
              <w:spacing w:line="300" w:lineRule="auto"/>
              <w:rPr>
                <w:szCs w:val="21"/>
              </w:rPr>
            </w:pPr>
            <w:r>
              <w:rPr>
                <w:rFonts w:hint="eastAsia"/>
                <w:szCs w:val="21"/>
              </w:rPr>
              <w:t>企业名称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1" w:hRule="atLeast"/>
        </w:trPr>
        <w:tc>
          <w:tcPr>
            <w:tcW w:w="655" w:type="dxa"/>
            <w:noWrap w:val="0"/>
            <w:vAlign w:val="center"/>
          </w:tcPr>
          <w:p>
            <w:pPr>
              <w:kinsoku/>
              <w:overflowPunct/>
              <w:topLinePunct w:val="0"/>
              <w:bidi w:val="0"/>
              <w:spacing w:line="300" w:lineRule="auto"/>
              <w:jc w:val="center"/>
              <w:rPr>
                <w:b/>
                <w:szCs w:val="21"/>
              </w:rPr>
            </w:pPr>
            <w:r>
              <w:rPr>
                <w:b/>
                <w:szCs w:val="21"/>
              </w:rPr>
              <w:t>2</w:t>
            </w:r>
          </w:p>
        </w:tc>
        <w:tc>
          <w:tcPr>
            <w:tcW w:w="8518" w:type="dxa"/>
            <w:gridSpan w:val="2"/>
            <w:noWrap w:val="0"/>
            <w:vAlign w:val="center"/>
          </w:tcPr>
          <w:p>
            <w:pPr>
              <w:kinsoku/>
              <w:overflowPunct/>
              <w:topLinePunct w:val="0"/>
              <w:bidi w:val="0"/>
              <w:spacing w:line="300" w:lineRule="auto"/>
              <w:rPr>
                <w:szCs w:val="21"/>
              </w:rPr>
            </w:pPr>
            <w:r>
              <w:rPr>
                <w:rFonts w:hint="eastAsia"/>
                <w:szCs w:val="21"/>
              </w:rPr>
              <w:t>企业地址：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40" w:hRule="atLeast"/>
        </w:trPr>
        <w:tc>
          <w:tcPr>
            <w:tcW w:w="655" w:type="dxa"/>
            <w:noWrap w:val="0"/>
            <w:vAlign w:val="center"/>
          </w:tcPr>
          <w:p>
            <w:pPr>
              <w:kinsoku/>
              <w:overflowPunct/>
              <w:topLinePunct w:val="0"/>
              <w:bidi w:val="0"/>
              <w:spacing w:line="300" w:lineRule="auto"/>
              <w:jc w:val="center"/>
              <w:rPr>
                <w:b/>
                <w:szCs w:val="21"/>
              </w:rPr>
            </w:pPr>
            <w:r>
              <w:rPr>
                <w:b/>
                <w:szCs w:val="21"/>
              </w:rPr>
              <w:t>3</w:t>
            </w:r>
          </w:p>
        </w:tc>
        <w:tc>
          <w:tcPr>
            <w:tcW w:w="8518" w:type="dxa"/>
            <w:gridSpan w:val="2"/>
            <w:noWrap w:val="0"/>
            <w:vAlign w:val="center"/>
          </w:tcPr>
          <w:p>
            <w:pPr>
              <w:kinsoku/>
              <w:overflowPunct/>
              <w:topLinePunct w:val="0"/>
              <w:bidi w:val="0"/>
              <w:spacing w:line="300" w:lineRule="auto"/>
              <w:rPr>
                <w:szCs w:val="21"/>
              </w:rPr>
            </w:pPr>
            <w:r>
              <w:rPr>
                <w:rFonts w:hint="eastAsia"/>
                <w:szCs w:val="21"/>
              </w:rPr>
              <w:t>代表处地址：</w:t>
            </w:r>
          </w:p>
          <w:p>
            <w:pPr>
              <w:kinsoku/>
              <w:overflowPunct/>
              <w:topLinePunct w:val="0"/>
              <w:bidi w:val="0"/>
              <w:spacing w:line="300" w:lineRule="auto"/>
              <w:rPr>
                <w:szCs w:val="21"/>
              </w:rPr>
            </w:pPr>
            <w:r>
              <w:rPr>
                <w:rFonts w:hint="eastAsia"/>
                <w:szCs w:val="21"/>
              </w:rPr>
              <w:t>（适用进温企业）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48" w:hRule="atLeast"/>
        </w:trPr>
        <w:tc>
          <w:tcPr>
            <w:tcW w:w="655" w:type="dxa"/>
            <w:noWrap w:val="0"/>
            <w:vAlign w:val="center"/>
          </w:tcPr>
          <w:p>
            <w:pPr>
              <w:kinsoku/>
              <w:overflowPunct/>
              <w:topLinePunct w:val="0"/>
              <w:bidi w:val="0"/>
              <w:spacing w:line="300" w:lineRule="auto"/>
              <w:jc w:val="center"/>
              <w:rPr>
                <w:b/>
                <w:szCs w:val="21"/>
              </w:rPr>
            </w:pPr>
            <w:r>
              <w:rPr>
                <w:b/>
                <w:szCs w:val="21"/>
              </w:rPr>
              <w:t>4</w:t>
            </w:r>
          </w:p>
        </w:tc>
        <w:tc>
          <w:tcPr>
            <w:tcW w:w="4550" w:type="dxa"/>
            <w:noWrap w:val="0"/>
            <w:vAlign w:val="center"/>
          </w:tcPr>
          <w:p>
            <w:pPr>
              <w:kinsoku/>
              <w:overflowPunct/>
              <w:topLinePunct w:val="0"/>
              <w:bidi w:val="0"/>
              <w:spacing w:line="300" w:lineRule="auto"/>
              <w:rPr>
                <w:szCs w:val="21"/>
              </w:rPr>
            </w:pPr>
            <w:r>
              <w:rPr>
                <w:rFonts w:hint="eastAsia"/>
                <w:szCs w:val="21"/>
              </w:rPr>
              <w:t>电话：</w:t>
            </w:r>
          </w:p>
          <w:p>
            <w:pPr>
              <w:kinsoku/>
              <w:overflowPunct/>
              <w:topLinePunct w:val="0"/>
              <w:bidi w:val="0"/>
              <w:spacing w:line="300" w:lineRule="auto"/>
              <w:rPr>
                <w:szCs w:val="21"/>
              </w:rPr>
            </w:pPr>
            <w:r>
              <w:rPr>
                <w:rFonts w:hint="eastAsia"/>
                <w:szCs w:val="21"/>
              </w:rPr>
              <w:t>传真：</w:t>
            </w:r>
          </w:p>
        </w:tc>
        <w:tc>
          <w:tcPr>
            <w:tcW w:w="3968" w:type="dxa"/>
            <w:noWrap w:val="0"/>
            <w:vAlign w:val="center"/>
          </w:tcPr>
          <w:p>
            <w:pPr>
              <w:kinsoku/>
              <w:overflowPunct/>
              <w:topLinePunct w:val="0"/>
              <w:bidi w:val="0"/>
              <w:spacing w:line="300" w:lineRule="auto"/>
              <w:rPr>
                <w:szCs w:val="21"/>
              </w:rPr>
            </w:pPr>
            <w:r>
              <w:rPr>
                <w:rFonts w:hint="eastAsia"/>
                <w:szCs w:val="21"/>
              </w:rPr>
              <w:t>联系人：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5" w:hRule="atLeast"/>
        </w:trPr>
        <w:tc>
          <w:tcPr>
            <w:tcW w:w="655" w:type="dxa"/>
            <w:noWrap w:val="0"/>
            <w:vAlign w:val="center"/>
          </w:tcPr>
          <w:p>
            <w:pPr>
              <w:kinsoku/>
              <w:overflowPunct/>
              <w:topLinePunct w:val="0"/>
              <w:bidi w:val="0"/>
              <w:spacing w:line="300" w:lineRule="auto"/>
              <w:jc w:val="center"/>
              <w:rPr>
                <w:b/>
                <w:szCs w:val="21"/>
              </w:rPr>
            </w:pPr>
            <w:r>
              <w:rPr>
                <w:b/>
                <w:szCs w:val="21"/>
              </w:rPr>
              <w:t>5</w:t>
            </w:r>
          </w:p>
        </w:tc>
        <w:tc>
          <w:tcPr>
            <w:tcW w:w="8518" w:type="dxa"/>
            <w:gridSpan w:val="2"/>
            <w:noWrap w:val="0"/>
            <w:vAlign w:val="center"/>
          </w:tcPr>
          <w:p>
            <w:pPr>
              <w:kinsoku/>
              <w:overflowPunct/>
              <w:topLinePunct w:val="0"/>
              <w:bidi w:val="0"/>
              <w:spacing w:line="300" w:lineRule="auto"/>
              <w:rPr>
                <w:szCs w:val="21"/>
              </w:rPr>
            </w:pPr>
            <w:r>
              <w:rPr>
                <w:rFonts w:hint="eastAsia"/>
                <w:szCs w:val="21"/>
              </w:rPr>
              <w:t>注册地、注册年份：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81" w:hRule="atLeast"/>
        </w:trPr>
        <w:tc>
          <w:tcPr>
            <w:tcW w:w="655" w:type="dxa"/>
            <w:noWrap w:val="0"/>
            <w:vAlign w:val="center"/>
          </w:tcPr>
          <w:p>
            <w:pPr>
              <w:kinsoku/>
              <w:overflowPunct/>
              <w:topLinePunct w:val="0"/>
              <w:bidi w:val="0"/>
              <w:spacing w:line="300" w:lineRule="auto"/>
              <w:jc w:val="center"/>
              <w:rPr>
                <w:b/>
                <w:szCs w:val="21"/>
              </w:rPr>
            </w:pPr>
            <w:r>
              <w:rPr>
                <w:b/>
                <w:szCs w:val="21"/>
              </w:rPr>
              <w:t>6</w:t>
            </w:r>
          </w:p>
        </w:tc>
        <w:tc>
          <w:tcPr>
            <w:tcW w:w="8518" w:type="dxa"/>
            <w:gridSpan w:val="2"/>
            <w:noWrap w:val="0"/>
            <w:vAlign w:val="center"/>
          </w:tcPr>
          <w:p>
            <w:pPr>
              <w:kinsoku/>
              <w:overflowPunct/>
              <w:topLinePunct w:val="0"/>
              <w:bidi w:val="0"/>
              <w:spacing w:line="300" w:lineRule="auto"/>
              <w:rPr>
                <w:szCs w:val="21"/>
              </w:rPr>
            </w:pPr>
            <w:r>
              <w:rPr>
                <w:rFonts w:hint="eastAsia"/>
                <w:szCs w:val="21"/>
              </w:rPr>
              <w:t>主营范围：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40" w:hRule="atLeast"/>
        </w:trPr>
        <w:tc>
          <w:tcPr>
            <w:tcW w:w="655" w:type="dxa"/>
            <w:noWrap w:val="0"/>
            <w:vAlign w:val="center"/>
          </w:tcPr>
          <w:p>
            <w:pPr>
              <w:kinsoku/>
              <w:overflowPunct/>
              <w:topLinePunct w:val="0"/>
              <w:bidi w:val="0"/>
              <w:spacing w:line="300" w:lineRule="auto"/>
              <w:jc w:val="center"/>
              <w:rPr>
                <w:b/>
                <w:szCs w:val="21"/>
              </w:rPr>
            </w:pPr>
            <w:r>
              <w:rPr>
                <w:b/>
                <w:szCs w:val="21"/>
              </w:rPr>
              <w:t>7</w:t>
            </w:r>
          </w:p>
        </w:tc>
        <w:tc>
          <w:tcPr>
            <w:tcW w:w="8518" w:type="dxa"/>
            <w:gridSpan w:val="2"/>
            <w:noWrap w:val="0"/>
            <w:vAlign w:val="center"/>
          </w:tcPr>
          <w:p>
            <w:pPr>
              <w:kinsoku/>
              <w:overflowPunct/>
              <w:topLinePunct w:val="0"/>
              <w:bidi w:val="0"/>
              <w:spacing w:line="300" w:lineRule="auto"/>
              <w:rPr>
                <w:szCs w:val="21"/>
              </w:rPr>
            </w:pPr>
            <w:r>
              <w:rPr>
                <w:rFonts w:hint="eastAsia"/>
                <w:szCs w:val="21"/>
              </w:rPr>
              <w:t>企业资质证书编号及等级：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40" w:hRule="atLeast"/>
        </w:trPr>
        <w:tc>
          <w:tcPr>
            <w:tcW w:w="655" w:type="dxa"/>
            <w:noWrap w:val="0"/>
            <w:vAlign w:val="center"/>
          </w:tcPr>
          <w:p>
            <w:pPr>
              <w:kinsoku/>
              <w:overflowPunct/>
              <w:topLinePunct w:val="0"/>
              <w:bidi w:val="0"/>
              <w:spacing w:line="300" w:lineRule="auto"/>
              <w:jc w:val="center"/>
              <w:rPr>
                <w:b/>
                <w:szCs w:val="21"/>
              </w:rPr>
            </w:pPr>
            <w:r>
              <w:rPr>
                <w:b/>
                <w:szCs w:val="21"/>
              </w:rPr>
              <w:t>8</w:t>
            </w:r>
          </w:p>
        </w:tc>
        <w:tc>
          <w:tcPr>
            <w:tcW w:w="8518" w:type="dxa"/>
            <w:gridSpan w:val="2"/>
            <w:noWrap w:val="0"/>
            <w:vAlign w:val="center"/>
          </w:tcPr>
          <w:p>
            <w:pPr>
              <w:kinsoku/>
              <w:overflowPunct/>
              <w:topLinePunct w:val="0"/>
              <w:bidi w:val="0"/>
              <w:spacing w:line="300" w:lineRule="auto"/>
            </w:pPr>
            <w:r>
              <w:rPr>
                <w:rFonts w:hint="eastAsia"/>
              </w:rPr>
              <w:t>安全生产许可证编号及有效期：</w:t>
            </w:r>
          </w:p>
          <w:p>
            <w:pPr>
              <w:kinsoku/>
              <w:overflowPunct/>
              <w:topLinePunct w:val="0"/>
              <w:bidi w:val="0"/>
              <w:spacing w:line="300" w:lineRule="auto"/>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47" w:hRule="atLeast"/>
        </w:trPr>
        <w:tc>
          <w:tcPr>
            <w:tcW w:w="655" w:type="dxa"/>
            <w:noWrap w:val="0"/>
            <w:vAlign w:val="top"/>
          </w:tcPr>
          <w:p>
            <w:pPr>
              <w:kinsoku/>
              <w:overflowPunct/>
              <w:topLinePunct w:val="0"/>
              <w:bidi w:val="0"/>
              <w:spacing w:line="300" w:lineRule="auto"/>
              <w:jc w:val="center"/>
              <w:rPr>
                <w:b/>
                <w:sz w:val="21"/>
                <w:szCs w:val="21"/>
              </w:rPr>
            </w:pPr>
            <w:r>
              <w:rPr>
                <w:b/>
                <w:sz w:val="21"/>
                <w:szCs w:val="21"/>
              </w:rPr>
              <w:t>9</w:t>
            </w:r>
          </w:p>
        </w:tc>
        <w:tc>
          <w:tcPr>
            <w:tcW w:w="8518" w:type="dxa"/>
            <w:gridSpan w:val="2"/>
            <w:noWrap w:val="0"/>
            <w:vAlign w:val="top"/>
          </w:tcPr>
          <w:p>
            <w:pPr>
              <w:kinsoku/>
              <w:overflowPunct/>
              <w:topLinePunct w:val="0"/>
              <w:bidi w:val="0"/>
              <w:spacing w:line="300" w:lineRule="auto"/>
              <w:rPr>
                <w:sz w:val="21"/>
                <w:szCs w:val="21"/>
              </w:rPr>
            </w:pPr>
            <w:r>
              <w:rPr>
                <w:rFonts w:hint="eastAsia"/>
                <w:sz w:val="21"/>
                <w:szCs w:val="21"/>
              </w:rPr>
              <w:t>其他需要说明的情况：</w:t>
            </w:r>
          </w:p>
        </w:tc>
      </w:tr>
    </w:tbl>
    <w:p>
      <w:pPr>
        <w:kinsoku/>
        <w:overflowPunct/>
        <w:topLinePunct w:val="0"/>
        <w:bidi w:val="0"/>
        <w:spacing w:line="300" w:lineRule="auto"/>
        <w:rPr>
          <w:sz w:val="21"/>
          <w:szCs w:val="21"/>
        </w:rPr>
      </w:pPr>
      <w:r>
        <w:rPr>
          <w:rFonts w:hint="eastAsia"/>
          <w:sz w:val="21"/>
          <w:szCs w:val="21"/>
        </w:rPr>
        <w:t>注：</w:t>
      </w:r>
      <w:r>
        <w:rPr>
          <w:sz w:val="21"/>
          <w:szCs w:val="21"/>
        </w:rPr>
        <w:t>1.</w:t>
      </w:r>
      <w:r>
        <w:rPr>
          <w:rFonts w:hint="eastAsia"/>
          <w:sz w:val="21"/>
          <w:szCs w:val="21"/>
        </w:rPr>
        <w:t>本表后附营业执照副本、企业资质证书副本、安全生产许可证复印件加盖磋商供应商公章。</w:t>
      </w:r>
    </w:p>
    <w:p>
      <w:pPr>
        <w:kinsoku/>
        <w:overflowPunct/>
        <w:topLinePunct w:val="0"/>
        <w:bidi w:val="0"/>
        <w:spacing w:line="300" w:lineRule="auto"/>
        <w:rPr>
          <w:rFonts w:hint="eastAsia"/>
          <w:sz w:val="21"/>
          <w:szCs w:val="21"/>
        </w:rPr>
      </w:pPr>
      <w:r>
        <w:rPr>
          <w:sz w:val="21"/>
          <w:szCs w:val="21"/>
        </w:rPr>
        <w:t>2.</w:t>
      </w:r>
      <w:r>
        <w:rPr>
          <w:rFonts w:hint="eastAsia"/>
          <w:sz w:val="21"/>
          <w:szCs w:val="21"/>
        </w:rPr>
        <w:t>所有独立磋商供应商都须填写此表。</w:t>
      </w:r>
      <w:r>
        <w:rPr>
          <w:sz w:val="21"/>
          <w:szCs w:val="21"/>
        </w:rPr>
        <w:t>3.</w:t>
      </w:r>
      <w:r>
        <w:rPr>
          <w:rFonts w:hint="eastAsia"/>
          <w:sz w:val="21"/>
          <w:szCs w:val="21"/>
        </w:rPr>
        <w:t>主体工程和关键部分不得分包，如果磋商供应商拟分包，则这些专业分包人或劳务分包人也须填写此表。</w:t>
      </w:r>
      <w:bookmarkEnd w:id="1973"/>
      <w:bookmarkEnd w:id="1974"/>
      <w:bookmarkEnd w:id="1975"/>
      <w:bookmarkEnd w:id="1976"/>
    </w:p>
    <w:p>
      <w:pPr>
        <w:kinsoku/>
        <w:overflowPunct/>
        <w:topLinePunct w:val="0"/>
        <w:bidi w:val="0"/>
        <w:spacing w:line="300" w:lineRule="auto"/>
        <w:rPr>
          <w:rFonts w:hint="eastAsia"/>
          <w:sz w:val="20"/>
          <w:szCs w:val="21"/>
        </w:rPr>
      </w:pPr>
    </w:p>
    <w:p>
      <w:pPr>
        <w:pStyle w:val="5"/>
        <w:kinsoku/>
        <w:overflowPunct/>
        <w:topLinePunct w:val="0"/>
        <w:bidi w:val="0"/>
        <w:spacing w:line="300" w:lineRule="auto"/>
        <w:jc w:val="center"/>
        <w:rPr>
          <w:sz w:val="20"/>
          <w:szCs w:val="21"/>
        </w:rPr>
      </w:pPr>
      <w:bookmarkStart w:id="1992" w:name="_Toc22430"/>
      <w:bookmarkStart w:id="1993" w:name="_Toc3904000"/>
      <w:bookmarkStart w:id="1994" w:name="_Toc30349"/>
      <w:bookmarkStart w:id="1995" w:name="_Toc5924"/>
      <w:bookmarkStart w:id="1996" w:name="_Toc24083"/>
      <w:r>
        <w:rPr>
          <w:rFonts w:hint="eastAsia" w:ascii="黑体" w:hAnsi="黑体" w:eastAsia="黑体"/>
          <w:sz w:val="28"/>
        </w:rPr>
        <w:t>附件</w:t>
      </w:r>
      <w:r>
        <w:rPr>
          <w:rFonts w:hint="eastAsia" w:ascii="黑体" w:hAnsi="黑体" w:eastAsia="黑体"/>
          <w:sz w:val="28"/>
          <w:lang w:eastAsia="zh-CN"/>
        </w:rPr>
        <w:t>十</w:t>
      </w:r>
      <w:r>
        <w:rPr>
          <w:rFonts w:hint="eastAsia" w:ascii="黑体" w:hAnsi="黑体" w:eastAsia="黑体"/>
          <w:sz w:val="28"/>
        </w:rPr>
        <w:t xml:space="preserve">   企业安全生产管理机构情况表</w:t>
      </w:r>
      <w:bookmarkEnd w:id="1992"/>
      <w:bookmarkEnd w:id="1993"/>
      <w:bookmarkEnd w:id="1994"/>
      <w:bookmarkEnd w:id="1995"/>
      <w:bookmarkEnd w:id="1996"/>
    </w:p>
    <w:tbl>
      <w:tblPr>
        <w:tblStyle w:val="53"/>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83"/>
        <w:gridCol w:w="2146"/>
        <w:gridCol w:w="1535"/>
        <w:gridCol w:w="665"/>
        <w:gridCol w:w="1273"/>
        <w:gridCol w:w="826"/>
        <w:gridCol w:w="143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2" w:hRule="atLeast"/>
        </w:trPr>
        <w:tc>
          <w:tcPr>
            <w:tcW w:w="1283" w:type="dxa"/>
            <w:vMerge w:val="restart"/>
            <w:noWrap w:val="0"/>
            <w:vAlign w:val="center"/>
          </w:tcPr>
          <w:p>
            <w:pPr>
              <w:tabs>
                <w:tab w:val="left" w:pos="540"/>
              </w:tabs>
              <w:kinsoku/>
              <w:overflowPunct/>
              <w:topLinePunct w:val="0"/>
              <w:bidi w:val="0"/>
              <w:spacing w:line="300" w:lineRule="auto"/>
              <w:jc w:val="center"/>
            </w:pPr>
            <w:r>
              <w:rPr>
                <w:rFonts w:hint="eastAsia"/>
              </w:rPr>
              <w:t>企业概况</w:t>
            </w:r>
          </w:p>
        </w:tc>
        <w:tc>
          <w:tcPr>
            <w:tcW w:w="2146" w:type="dxa"/>
            <w:noWrap w:val="0"/>
            <w:vAlign w:val="center"/>
          </w:tcPr>
          <w:p>
            <w:pPr>
              <w:tabs>
                <w:tab w:val="left" w:pos="540"/>
              </w:tabs>
              <w:kinsoku/>
              <w:overflowPunct/>
              <w:topLinePunct w:val="0"/>
              <w:bidi w:val="0"/>
              <w:spacing w:line="300" w:lineRule="auto"/>
              <w:jc w:val="center"/>
            </w:pPr>
            <w:r>
              <w:rPr>
                <w:rFonts w:hint="eastAsia"/>
              </w:rPr>
              <w:t>企业名称</w:t>
            </w:r>
          </w:p>
        </w:tc>
        <w:tc>
          <w:tcPr>
            <w:tcW w:w="5731" w:type="dxa"/>
            <w:gridSpan w:val="5"/>
            <w:noWrap w:val="0"/>
            <w:vAlign w:val="center"/>
          </w:tcPr>
          <w:p>
            <w:pPr>
              <w:tabs>
                <w:tab w:val="left" w:pos="540"/>
              </w:tabs>
              <w:kinsoku/>
              <w:overflowPunct/>
              <w:topLinePunct w:val="0"/>
              <w:bidi w:val="0"/>
              <w:spacing w:line="300" w:lineRule="auto"/>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2" w:hRule="atLeast"/>
        </w:trPr>
        <w:tc>
          <w:tcPr>
            <w:tcW w:w="1283" w:type="dxa"/>
            <w:vMerge w:val="continue"/>
            <w:noWrap w:val="0"/>
            <w:vAlign w:val="center"/>
          </w:tcPr>
          <w:p>
            <w:pPr>
              <w:kinsoku/>
              <w:overflowPunct/>
              <w:topLinePunct w:val="0"/>
              <w:bidi w:val="0"/>
              <w:spacing w:line="300" w:lineRule="auto"/>
              <w:jc w:val="center"/>
            </w:pPr>
          </w:p>
        </w:tc>
        <w:tc>
          <w:tcPr>
            <w:tcW w:w="2146" w:type="dxa"/>
            <w:noWrap w:val="0"/>
            <w:vAlign w:val="center"/>
          </w:tcPr>
          <w:p>
            <w:pPr>
              <w:tabs>
                <w:tab w:val="left" w:pos="540"/>
              </w:tabs>
              <w:kinsoku/>
              <w:overflowPunct/>
              <w:topLinePunct w:val="0"/>
              <w:bidi w:val="0"/>
              <w:spacing w:line="300" w:lineRule="auto"/>
              <w:jc w:val="center"/>
            </w:pPr>
            <w:r>
              <w:rPr>
                <w:rFonts w:hint="eastAsia"/>
              </w:rPr>
              <w:t>企业地址</w:t>
            </w:r>
          </w:p>
        </w:tc>
        <w:tc>
          <w:tcPr>
            <w:tcW w:w="5731" w:type="dxa"/>
            <w:gridSpan w:val="5"/>
            <w:noWrap w:val="0"/>
            <w:vAlign w:val="center"/>
          </w:tcPr>
          <w:p>
            <w:pPr>
              <w:tabs>
                <w:tab w:val="left" w:pos="540"/>
              </w:tabs>
              <w:kinsoku/>
              <w:overflowPunct/>
              <w:topLinePunct w:val="0"/>
              <w:bidi w:val="0"/>
              <w:spacing w:line="300" w:lineRule="auto"/>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2" w:hRule="atLeast"/>
        </w:trPr>
        <w:tc>
          <w:tcPr>
            <w:tcW w:w="1283" w:type="dxa"/>
            <w:vMerge w:val="continue"/>
            <w:noWrap w:val="0"/>
            <w:vAlign w:val="center"/>
          </w:tcPr>
          <w:p>
            <w:pPr>
              <w:kinsoku/>
              <w:overflowPunct/>
              <w:topLinePunct w:val="0"/>
              <w:bidi w:val="0"/>
              <w:spacing w:line="300" w:lineRule="auto"/>
              <w:jc w:val="center"/>
            </w:pPr>
          </w:p>
        </w:tc>
        <w:tc>
          <w:tcPr>
            <w:tcW w:w="2146" w:type="dxa"/>
            <w:noWrap w:val="0"/>
            <w:vAlign w:val="center"/>
          </w:tcPr>
          <w:p>
            <w:pPr>
              <w:tabs>
                <w:tab w:val="left" w:pos="540"/>
              </w:tabs>
              <w:kinsoku/>
              <w:overflowPunct/>
              <w:topLinePunct w:val="0"/>
              <w:bidi w:val="0"/>
              <w:spacing w:line="300" w:lineRule="auto"/>
              <w:jc w:val="center"/>
            </w:pPr>
            <w:r>
              <w:rPr>
                <w:rFonts w:hint="eastAsia"/>
              </w:rPr>
              <w:t>联系人</w:t>
            </w:r>
          </w:p>
        </w:tc>
        <w:tc>
          <w:tcPr>
            <w:tcW w:w="2200" w:type="dxa"/>
            <w:gridSpan w:val="2"/>
            <w:noWrap w:val="0"/>
            <w:vAlign w:val="center"/>
          </w:tcPr>
          <w:p>
            <w:pPr>
              <w:tabs>
                <w:tab w:val="left" w:pos="540"/>
              </w:tabs>
              <w:kinsoku/>
              <w:overflowPunct/>
              <w:topLinePunct w:val="0"/>
              <w:bidi w:val="0"/>
              <w:spacing w:line="300" w:lineRule="auto"/>
              <w:jc w:val="center"/>
            </w:pPr>
          </w:p>
        </w:tc>
        <w:tc>
          <w:tcPr>
            <w:tcW w:w="1273" w:type="dxa"/>
            <w:noWrap w:val="0"/>
            <w:vAlign w:val="center"/>
          </w:tcPr>
          <w:p>
            <w:pPr>
              <w:tabs>
                <w:tab w:val="left" w:pos="540"/>
              </w:tabs>
              <w:kinsoku/>
              <w:overflowPunct/>
              <w:topLinePunct w:val="0"/>
              <w:bidi w:val="0"/>
              <w:spacing w:line="300" w:lineRule="auto"/>
              <w:jc w:val="center"/>
            </w:pPr>
            <w:r>
              <w:rPr>
                <w:rFonts w:hint="eastAsia"/>
              </w:rPr>
              <w:t>联系电话</w:t>
            </w:r>
          </w:p>
        </w:tc>
        <w:tc>
          <w:tcPr>
            <w:tcW w:w="2258" w:type="dxa"/>
            <w:gridSpan w:val="2"/>
            <w:noWrap w:val="0"/>
            <w:vAlign w:val="center"/>
          </w:tcPr>
          <w:p>
            <w:pPr>
              <w:tabs>
                <w:tab w:val="left" w:pos="540"/>
              </w:tabs>
              <w:kinsoku/>
              <w:overflowPunct/>
              <w:topLinePunct w:val="0"/>
              <w:bidi w:val="0"/>
              <w:spacing w:line="300" w:lineRule="auto"/>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2" w:hRule="atLeast"/>
        </w:trPr>
        <w:tc>
          <w:tcPr>
            <w:tcW w:w="1283" w:type="dxa"/>
            <w:vMerge w:val="restart"/>
            <w:noWrap w:val="0"/>
            <w:vAlign w:val="center"/>
          </w:tcPr>
          <w:p>
            <w:pPr>
              <w:tabs>
                <w:tab w:val="left" w:pos="540"/>
              </w:tabs>
              <w:kinsoku/>
              <w:overflowPunct/>
              <w:topLinePunct w:val="0"/>
              <w:bidi w:val="0"/>
              <w:spacing w:line="300" w:lineRule="auto"/>
              <w:jc w:val="center"/>
            </w:pPr>
            <w:r>
              <w:rPr>
                <w:rFonts w:hint="eastAsia"/>
              </w:rPr>
              <w:t>工程投</w:t>
            </w:r>
          </w:p>
          <w:p>
            <w:pPr>
              <w:tabs>
                <w:tab w:val="left" w:pos="540"/>
              </w:tabs>
              <w:kinsoku/>
              <w:overflowPunct/>
              <w:topLinePunct w:val="0"/>
              <w:bidi w:val="0"/>
              <w:spacing w:line="300" w:lineRule="auto"/>
              <w:jc w:val="center"/>
            </w:pPr>
            <w:r>
              <w:rPr>
                <w:rFonts w:hint="eastAsia"/>
              </w:rPr>
              <w:t>标情况</w:t>
            </w:r>
          </w:p>
        </w:tc>
        <w:tc>
          <w:tcPr>
            <w:tcW w:w="2146" w:type="dxa"/>
            <w:noWrap w:val="0"/>
            <w:vAlign w:val="center"/>
          </w:tcPr>
          <w:p>
            <w:pPr>
              <w:tabs>
                <w:tab w:val="left" w:pos="540"/>
              </w:tabs>
              <w:kinsoku/>
              <w:overflowPunct/>
              <w:topLinePunct w:val="0"/>
              <w:bidi w:val="0"/>
              <w:spacing w:line="300" w:lineRule="auto"/>
              <w:jc w:val="center"/>
            </w:pPr>
            <w:r>
              <w:rPr>
                <w:rFonts w:hint="eastAsia"/>
              </w:rPr>
              <w:t>建设单位</w:t>
            </w:r>
          </w:p>
        </w:tc>
        <w:tc>
          <w:tcPr>
            <w:tcW w:w="5731" w:type="dxa"/>
            <w:gridSpan w:val="5"/>
            <w:noWrap w:val="0"/>
            <w:vAlign w:val="center"/>
          </w:tcPr>
          <w:p>
            <w:pPr>
              <w:tabs>
                <w:tab w:val="left" w:pos="540"/>
              </w:tabs>
              <w:kinsoku/>
              <w:overflowPunct/>
              <w:topLinePunct w:val="0"/>
              <w:bidi w:val="0"/>
              <w:spacing w:line="300" w:lineRule="auto"/>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2" w:hRule="atLeast"/>
        </w:trPr>
        <w:tc>
          <w:tcPr>
            <w:tcW w:w="1283" w:type="dxa"/>
            <w:vMerge w:val="continue"/>
            <w:noWrap w:val="0"/>
            <w:vAlign w:val="center"/>
          </w:tcPr>
          <w:p>
            <w:pPr>
              <w:kinsoku/>
              <w:overflowPunct/>
              <w:topLinePunct w:val="0"/>
              <w:bidi w:val="0"/>
              <w:spacing w:line="300" w:lineRule="auto"/>
              <w:jc w:val="center"/>
            </w:pPr>
          </w:p>
        </w:tc>
        <w:tc>
          <w:tcPr>
            <w:tcW w:w="2146" w:type="dxa"/>
            <w:noWrap w:val="0"/>
            <w:vAlign w:val="center"/>
          </w:tcPr>
          <w:p>
            <w:pPr>
              <w:tabs>
                <w:tab w:val="left" w:pos="540"/>
              </w:tabs>
              <w:kinsoku/>
              <w:overflowPunct/>
              <w:topLinePunct w:val="0"/>
              <w:bidi w:val="0"/>
              <w:spacing w:line="300" w:lineRule="auto"/>
              <w:jc w:val="center"/>
            </w:pPr>
            <w:r>
              <w:rPr>
                <w:rFonts w:hint="eastAsia"/>
              </w:rPr>
              <w:t>工程名称</w:t>
            </w:r>
          </w:p>
        </w:tc>
        <w:tc>
          <w:tcPr>
            <w:tcW w:w="5731" w:type="dxa"/>
            <w:gridSpan w:val="5"/>
            <w:noWrap w:val="0"/>
            <w:vAlign w:val="center"/>
          </w:tcPr>
          <w:p>
            <w:pPr>
              <w:tabs>
                <w:tab w:val="left" w:pos="540"/>
              </w:tabs>
              <w:kinsoku/>
              <w:overflowPunct/>
              <w:topLinePunct w:val="0"/>
              <w:bidi w:val="0"/>
              <w:spacing w:line="300" w:lineRule="auto"/>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2" w:hRule="atLeast"/>
        </w:trPr>
        <w:tc>
          <w:tcPr>
            <w:tcW w:w="1283" w:type="dxa"/>
            <w:vMerge w:val="continue"/>
            <w:noWrap w:val="0"/>
            <w:vAlign w:val="center"/>
          </w:tcPr>
          <w:p>
            <w:pPr>
              <w:kinsoku/>
              <w:overflowPunct/>
              <w:topLinePunct w:val="0"/>
              <w:bidi w:val="0"/>
              <w:spacing w:line="300" w:lineRule="auto"/>
              <w:jc w:val="center"/>
            </w:pPr>
          </w:p>
        </w:tc>
        <w:tc>
          <w:tcPr>
            <w:tcW w:w="2146" w:type="dxa"/>
            <w:noWrap w:val="0"/>
            <w:vAlign w:val="center"/>
          </w:tcPr>
          <w:p>
            <w:pPr>
              <w:tabs>
                <w:tab w:val="left" w:pos="540"/>
              </w:tabs>
              <w:kinsoku/>
              <w:overflowPunct/>
              <w:topLinePunct w:val="0"/>
              <w:bidi w:val="0"/>
              <w:spacing w:line="300" w:lineRule="auto"/>
              <w:jc w:val="center"/>
            </w:pPr>
            <w:r>
              <w:rPr>
                <w:rFonts w:hint="eastAsia"/>
              </w:rPr>
              <w:t>工程概况</w:t>
            </w:r>
          </w:p>
        </w:tc>
        <w:tc>
          <w:tcPr>
            <w:tcW w:w="5731" w:type="dxa"/>
            <w:gridSpan w:val="5"/>
            <w:noWrap w:val="0"/>
            <w:vAlign w:val="center"/>
          </w:tcPr>
          <w:p>
            <w:pPr>
              <w:tabs>
                <w:tab w:val="left" w:pos="540"/>
              </w:tabs>
              <w:kinsoku/>
              <w:overflowPunct/>
              <w:topLinePunct w:val="0"/>
              <w:bidi w:val="0"/>
              <w:spacing w:line="300" w:lineRule="auto"/>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2" w:hRule="atLeast"/>
        </w:trPr>
        <w:tc>
          <w:tcPr>
            <w:tcW w:w="1283" w:type="dxa"/>
            <w:vMerge w:val="restart"/>
            <w:noWrap w:val="0"/>
            <w:vAlign w:val="center"/>
          </w:tcPr>
          <w:p>
            <w:pPr>
              <w:tabs>
                <w:tab w:val="left" w:pos="540"/>
              </w:tabs>
              <w:kinsoku/>
              <w:overflowPunct/>
              <w:topLinePunct w:val="0"/>
              <w:bidi w:val="0"/>
              <w:spacing w:line="300" w:lineRule="auto"/>
              <w:jc w:val="center"/>
            </w:pPr>
            <w:r>
              <w:rPr>
                <w:rFonts w:hint="eastAsia"/>
              </w:rPr>
              <w:t>企业主要负责人安全生产任职资格</w:t>
            </w:r>
          </w:p>
        </w:tc>
        <w:tc>
          <w:tcPr>
            <w:tcW w:w="2146" w:type="dxa"/>
            <w:noWrap w:val="0"/>
            <w:vAlign w:val="center"/>
          </w:tcPr>
          <w:p>
            <w:pPr>
              <w:tabs>
                <w:tab w:val="left" w:pos="540"/>
              </w:tabs>
              <w:kinsoku/>
              <w:overflowPunct/>
              <w:topLinePunct w:val="0"/>
              <w:bidi w:val="0"/>
              <w:spacing w:line="300" w:lineRule="auto"/>
              <w:jc w:val="center"/>
            </w:pPr>
            <w:r>
              <w:rPr>
                <w:rFonts w:hint="eastAsia"/>
              </w:rPr>
              <w:t>名称</w:t>
            </w:r>
          </w:p>
        </w:tc>
        <w:tc>
          <w:tcPr>
            <w:tcW w:w="1535" w:type="dxa"/>
            <w:noWrap w:val="0"/>
            <w:vAlign w:val="center"/>
          </w:tcPr>
          <w:p>
            <w:pPr>
              <w:tabs>
                <w:tab w:val="left" w:pos="540"/>
              </w:tabs>
              <w:kinsoku/>
              <w:overflowPunct/>
              <w:topLinePunct w:val="0"/>
              <w:bidi w:val="0"/>
              <w:spacing w:line="300" w:lineRule="auto"/>
              <w:jc w:val="center"/>
            </w:pPr>
            <w:r>
              <w:rPr>
                <w:rFonts w:hint="eastAsia"/>
              </w:rPr>
              <w:t>姓名</w:t>
            </w:r>
          </w:p>
        </w:tc>
        <w:tc>
          <w:tcPr>
            <w:tcW w:w="2764" w:type="dxa"/>
            <w:gridSpan w:val="3"/>
            <w:noWrap w:val="0"/>
            <w:vAlign w:val="center"/>
          </w:tcPr>
          <w:p>
            <w:pPr>
              <w:tabs>
                <w:tab w:val="left" w:pos="540"/>
              </w:tabs>
              <w:kinsoku/>
              <w:overflowPunct/>
              <w:topLinePunct w:val="0"/>
              <w:bidi w:val="0"/>
              <w:spacing w:line="300" w:lineRule="auto"/>
              <w:jc w:val="center"/>
            </w:pPr>
            <w:r>
              <w:rPr>
                <w:rFonts w:hint="eastAsia"/>
              </w:rPr>
              <w:t>证号</w:t>
            </w:r>
          </w:p>
        </w:tc>
        <w:tc>
          <w:tcPr>
            <w:tcW w:w="1432" w:type="dxa"/>
            <w:noWrap w:val="0"/>
            <w:vAlign w:val="center"/>
          </w:tcPr>
          <w:p>
            <w:pPr>
              <w:tabs>
                <w:tab w:val="left" w:pos="540"/>
              </w:tabs>
              <w:kinsoku/>
              <w:overflowPunct/>
              <w:topLinePunct w:val="0"/>
              <w:bidi w:val="0"/>
              <w:spacing w:line="300" w:lineRule="auto"/>
              <w:jc w:val="center"/>
            </w:pPr>
            <w:r>
              <w:rPr>
                <w:rFonts w:hint="eastAsia"/>
              </w:rPr>
              <w:t>职称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2" w:hRule="atLeast"/>
        </w:trPr>
        <w:tc>
          <w:tcPr>
            <w:tcW w:w="1283" w:type="dxa"/>
            <w:vMerge w:val="continue"/>
            <w:noWrap w:val="0"/>
            <w:vAlign w:val="center"/>
          </w:tcPr>
          <w:p>
            <w:pPr>
              <w:kinsoku/>
              <w:overflowPunct/>
              <w:topLinePunct w:val="0"/>
              <w:bidi w:val="0"/>
              <w:spacing w:line="300" w:lineRule="auto"/>
              <w:jc w:val="center"/>
            </w:pPr>
          </w:p>
        </w:tc>
        <w:tc>
          <w:tcPr>
            <w:tcW w:w="2146" w:type="dxa"/>
            <w:noWrap w:val="0"/>
            <w:vAlign w:val="center"/>
          </w:tcPr>
          <w:p>
            <w:pPr>
              <w:tabs>
                <w:tab w:val="left" w:pos="540"/>
              </w:tabs>
              <w:kinsoku/>
              <w:overflowPunct/>
              <w:topLinePunct w:val="0"/>
              <w:bidi w:val="0"/>
              <w:spacing w:line="300" w:lineRule="auto"/>
              <w:jc w:val="center"/>
            </w:pPr>
            <w:r>
              <w:rPr>
                <w:rFonts w:hint="eastAsia"/>
              </w:rPr>
              <w:t>法定代表人</w:t>
            </w:r>
          </w:p>
        </w:tc>
        <w:tc>
          <w:tcPr>
            <w:tcW w:w="1535" w:type="dxa"/>
            <w:noWrap w:val="0"/>
            <w:vAlign w:val="center"/>
          </w:tcPr>
          <w:p>
            <w:pPr>
              <w:kinsoku/>
              <w:overflowPunct/>
              <w:topLinePunct w:val="0"/>
              <w:bidi w:val="0"/>
              <w:spacing w:line="300" w:lineRule="auto"/>
              <w:jc w:val="center"/>
            </w:pPr>
          </w:p>
        </w:tc>
        <w:tc>
          <w:tcPr>
            <w:tcW w:w="2764" w:type="dxa"/>
            <w:gridSpan w:val="3"/>
            <w:noWrap w:val="0"/>
            <w:vAlign w:val="center"/>
          </w:tcPr>
          <w:p>
            <w:pPr>
              <w:tabs>
                <w:tab w:val="left" w:pos="540"/>
              </w:tabs>
              <w:kinsoku/>
              <w:overflowPunct/>
              <w:topLinePunct w:val="0"/>
              <w:bidi w:val="0"/>
              <w:spacing w:line="300" w:lineRule="auto"/>
              <w:jc w:val="center"/>
            </w:pPr>
          </w:p>
        </w:tc>
        <w:tc>
          <w:tcPr>
            <w:tcW w:w="1432" w:type="dxa"/>
            <w:noWrap w:val="0"/>
            <w:vAlign w:val="center"/>
          </w:tcPr>
          <w:p>
            <w:pPr>
              <w:tabs>
                <w:tab w:val="left" w:pos="540"/>
              </w:tabs>
              <w:kinsoku/>
              <w:overflowPunct/>
              <w:topLinePunct w:val="0"/>
              <w:bidi w:val="0"/>
              <w:spacing w:line="300" w:lineRule="auto"/>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17" w:hRule="atLeast"/>
        </w:trPr>
        <w:tc>
          <w:tcPr>
            <w:tcW w:w="1283" w:type="dxa"/>
            <w:vMerge w:val="continue"/>
            <w:noWrap w:val="0"/>
            <w:vAlign w:val="center"/>
          </w:tcPr>
          <w:p>
            <w:pPr>
              <w:kinsoku/>
              <w:overflowPunct/>
              <w:topLinePunct w:val="0"/>
              <w:bidi w:val="0"/>
              <w:spacing w:line="300" w:lineRule="auto"/>
              <w:jc w:val="center"/>
            </w:pPr>
          </w:p>
        </w:tc>
        <w:tc>
          <w:tcPr>
            <w:tcW w:w="2146" w:type="dxa"/>
            <w:noWrap w:val="0"/>
            <w:vAlign w:val="center"/>
          </w:tcPr>
          <w:p>
            <w:pPr>
              <w:tabs>
                <w:tab w:val="left" w:pos="540"/>
              </w:tabs>
              <w:kinsoku/>
              <w:overflowPunct/>
              <w:topLinePunct w:val="0"/>
              <w:bidi w:val="0"/>
              <w:spacing w:line="300" w:lineRule="auto"/>
              <w:jc w:val="center"/>
            </w:pPr>
            <w:r>
              <w:rPr>
                <w:rFonts w:hint="eastAsia"/>
              </w:rPr>
              <w:t>企业分管安全生产副经理</w:t>
            </w:r>
          </w:p>
        </w:tc>
        <w:tc>
          <w:tcPr>
            <w:tcW w:w="1535" w:type="dxa"/>
            <w:noWrap w:val="0"/>
            <w:vAlign w:val="center"/>
          </w:tcPr>
          <w:p>
            <w:pPr>
              <w:tabs>
                <w:tab w:val="left" w:pos="540"/>
              </w:tabs>
              <w:kinsoku/>
              <w:overflowPunct/>
              <w:topLinePunct w:val="0"/>
              <w:bidi w:val="0"/>
              <w:spacing w:line="300" w:lineRule="auto"/>
              <w:jc w:val="center"/>
            </w:pPr>
          </w:p>
        </w:tc>
        <w:tc>
          <w:tcPr>
            <w:tcW w:w="2764" w:type="dxa"/>
            <w:gridSpan w:val="3"/>
            <w:noWrap w:val="0"/>
            <w:vAlign w:val="center"/>
          </w:tcPr>
          <w:p>
            <w:pPr>
              <w:tabs>
                <w:tab w:val="left" w:pos="540"/>
              </w:tabs>
              <w:kinsoku/>
              <w:overflowPunct/>
              <w:topLinePunct w:val="0"/>
              <w:bidi w:val="0"/>
              <w:spacing w:line="300" w:lineRule="auto"/>
              <w:jc w:val="center"/>
            </w:pPr>
          </w:p>
        </w:tc>
        <w:tc>
          <w:tcPr>
            <w:tcW w:w="1432" w:type="dxa"/>
            <w:noWrap w:val="0"/>
            <w:vAlign w:val="center"/>
          </w:tcPr>
          <w:p>
            <w:pPr>
              <w:tabs>
                <w:tab w:val="left" w:pos="540"/>
              </w:tabs>
              <w:kinsoku/>
              <w:overflowPunct/>
              <w:topLinePunct w:val="0"/>
              <w:bidi w:val="0"/>
              <w:spacing w:line="300" w:lineRule="auto"/>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6" w:hRule="atLeast"/>
        </w:trPr>
        <w:tc>
          <w:tcPr>
            <w:tcW w:w="1283" w:type="dxa"/>
            <w:vMerge w:val="restart"/>
            <w:noWrap w:val="0"/>
            <w:vAlign w:val="center"/>
          </w:tcPr>
          <w:p>
            <w:pPr>
              <w:tabs>
                <w:tab w:val="left" w:pos="540"/>
              </w:tabs>
              <w:kinsoku/>
              <w:overflowPunct/>
              <w:topLinePunct w:val="0"/>
              <w:bidi w:val="0"/>
              <w:spacing w:line="300" w:lineRule="auto"/>
              <w:jc w:val="center"/>
              <w:rPr>
                <w:sz w:val="21"/>
                <w:szCs w:val="21"/>
              </w:rPr>
            </w:pPr>
            <w:r>
              <w:rPr>
                <w:rFonts w:hint="eastAsia"/>
                <w:sz w:val="21"/>
                <w:szCs w:val="21"/>
              </w:rPr>
              <w:t>拟投入项目建造师及专职安全员</w:t>
            </w:r>
          </w:p>
        </w:tc>
        <w:tc>
          <w:tcPr>
            <w:tcW w:w="2146" w:type="dxa"/>
            <w:vMerge w:val="restart"/>
            <w:noWrap w:val="0"/>
            <w:vAlign w:val="center"/>
          </w:tcPr>
          <w:p>
            <w:pPr>
              <w:tabs>
                <w:tab w:val="left" w:pos="540"/>
              </w:tabs>
              <w:kinsoku/>
              <w:overflowPunct/>
              <w:topLinePunct w:val="0"/>
              <w:bidi w:val="0"/>
              <w:spacing w:line="300" w:lineRule="auto"/>
              <w:ind w:leftChars="-4" w:hanging="8" w:hangingChars="4"/>
              <w:jc w:val="center"/>
              <w:rPr>
                <w:sz w:val="21"/>
                <w:szCs w:val="21"/>
              </w:rPr>
            </w:pPr>
            <w:r>
              <w:rPr>
                <w:rFonts w:hint="eastAsia"/>
                <w:sz w:val="21"/>
                <w:szCs w:val="21"/>
              </w:rPr>
              <w:t>安全生产专职管理人员</w:t>
            </w:r>
          </w:p>
        </w:tc>
        <w:tc>
          <w:tcPr>
            <w:tcW w:w="1535" w:type="dxa"/>
            <w:noWrap w:val="0"/>
            <w:vAlign w:val="center"/>
          </w:tcPr>
          <w:p>
            <w:pPr>
              <w:tabs>
                <w:tab w:val="left" w:pos="540"/>
              </w:tabs>
              <w:kinsoku/>
              <w:overflowPunct/>
              <w:topLinePunct w:val="0"/>
              <w:bidi w:val="0"/>
              <w:spacing w:line="300" w:lineRule="auto"/>
              <w:jc w:val="center"/>
              <w:rPr>
                <w:sz w:val="21"/>
                <w:szCs w:val="21"/>
              </w:rPr>
            </w:pPr>
          </w:p>
        </w:tc>
        <w:tc>
          <w:tcPr>
            <w:tcW w:w="2764" w:type="dxa"/>
            <w:gridSpan w:val="3"/>
            <w:noWrap w:val="0"/>
            <w:vAlign w:val="center"/>
          </w:tcPr>
          <w:p>
            <w:pPr>
              <w:tabs>
                <w:tab w:val="left" w:pos="540"/>
              </w:tabs>
              <w:kinsoku/>
              <w:overflowPunct/>
              <w:topLinePunct w:val="0"/>
              <w:bidi w:val="0"/>
              <w:spacing w:line="300" w:lineRule="auto"/>
              <w:jc w:val="center"/>
              <w:rPr>
                <w:sz w:val="21"/>
                <w:szCs w:val="21"/>
              </w:rPr>
            </w:pPr>
          </w:p>
        </w:tc>
        <w:tc>
          <w:tcPr>
            <w:tcW w:w="1432" w:type="dxa"/>
            <w:noWrap w:val="0"/>
            <w:vAlign w:val="center"/>
          </w:tcPr>
          <w:p>
            <w:pPr>
              <w:tabs>
                <w:tab w:val="left" w:pos="540"/>
              </w:tabs>
              <w:kinsoku/>
              <w:overflowPunct/>
              <w:topLinePunct w:val="0"/>
              <w:bidi w:val="0"/>
              <w:spacing w:line="300" w:lineRule="auto"/>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2" w:hRule="atLeast"/>
        </w:trPr>
        <w:tc>
          <w:tcPr>
            <w:tcW w:w="1283" w:type="dxa"/>
            <w:vMerge w:val="continue"/>
            <w:noWrap w:val="0"/>
            <w:vAlign w:val="center"/>
          </w:tcPr>
          <w:p>
            <w:pPr>
              <w:kinsoku/>
              <w:overflowPunct/>
              <w:topLinePunct w:val="0"/>
              <w:bidi w:val="0"/>
              <w:spacing w:line="300" w:lineRule="auto"/>
              <w:ind w:firstLine="420"/>
              <w:rPr>
                <w:sz w:val="21"/>
                <w:szCs w:val="21"/>
              </w:rPr>
            </w:pPr>
          </w:p>
        </w:tc>
        <w:tc>
          <w:tcPr>
            <w:tcW w:w="2146" w:type="dxa"/>
            <w:vMerge w:val="continue"/>
            <w:noWrap w:val="0"/>
            <w:vAlign w:val="center"/>
          </w:tcPr>
          <w:p>
            <w:pPr>
              <w:tabs>
                <w:tab w:val="left" w:pos="540"/>
              </w:tabs>
              <w:kinsoku/>
              <w:overflowPunct/>
              <w:topLinePunct w:val="0"/>
              <w:bidi w:val="0"/>
              <w:spacing w:line="300" w:lineRule="auto"/>
              <w:jc w:val="center"/>
              <w:rPr>
                <w:sz w:val="21"/>
                <w:szCs w:val="21"/>
              </w:rPr>
            </w:pPr>
          </w:p>
        </w:tc>
        <w:tc>
          <w:tcPr>
            <w:tcW w:w="1535" w:type="dxa"/>
            <w:noWrap w:val="0"/>
            <w:vAlign w:val="center"/>
          </w:tcPr>
          <w:p>
            <w:pPr>
              <w:tabs>
                <w:tab w:val="left" w:pos="540"/>
              </w:tabs>
              <w:kinsoku/>
              <w:overflowPunct/>
              <w:topLinePunct w:val="0"/>
              <w:bidi w:val="0"/>
              <w:spacing w:line="300" w:lineRule="auto"/>
              <w:jc w:val="center"/>
              <w:rPr>
                <w:sz w:val="21"/>
                <w:szCs w:val="21"/>
              </w:rPr>
            </w:pPr>
            <w:r>
              <w:rPr>
                <w:rFonts w:hint="eastAsia"/>
                <w:sz w:val="21"/>
                <w:szCs w:val="21"/>
              </w:rPr>
              <w:t>…</w:t>
            </w:r>
          </w:p>
        </w:tc>
        <w:tc>
          <w:tcPr>
            <w:tcW w:w="2764" w:type="dxa"/>
            <w:gridSpan w:val="3"/>
            <w:noWrap w:val="0"/>
            <w:vAlign w:val="center"/>
          </w:tcPr>
          <w:p>
            <w:pPr>
              <w:tabs>
                <w:tab w:val="left" w:pos="540"/>
              </w:tabs>
              <w:kinsoku/>
              <w:overflowPunct/>
              <w:topLinePunct w:val="0"/>
              <w:bidi w:val="0"/>
              <w:spacing w:line="300" w:lineRule="auto"/>
              <w:jc w:val="center"/>
              <w:rPr>
                <w:sz w:val="21"/>
                <w:szCs w:val="21"/>
              </w:rPr>
            </w:pPr>
            <w:r>
              <w:rPr>
                <w:rFonts w:hint="eastAsia"/>
                <w:sz w:val="21"/>
                <w:szCs w:val="21"/>
              </w:rPr>
              <w:t>…</w:t>
            </w:r>
          </w:p>
        </w:tc>
        <w:tc>
          <w:tcPr>
            <w:tcW w:w="1432" w:type="dxa"/>
            <w:noWrap w:val="0"/>
            <w:vAlign w:val="center"/>
          </w:tcPr>
          <w:p>
            <w:pPr>
              <w:tabs>
                <w:tab w:val="left" w:pos="540"/>
              </w:tabs>
              <w:kinsoku/>
              <w:overflowPunct/>
              <w:topLinePunct w:val="0"/>
              <w:bidi w:val="0"/>
              <w:spacing w:line="300" w:lineRule="auto"/>
              <w:jc w:val="center"/>
              <w:rPr>
                <w:sz w:val="21"/>
                <w:szCs w:val="21"/>
              </w:rPr>
            </w:pPr>
            <w:r>
              <w:rPr>
                <w:rFonts w:hint="eastAsia"/>
                <w:sz w:val="21"/>
                <w:szCs w:val="21"/>
              </w:rPr>
              <w:t>…</w:t>
            </w:r>
          </w:p>
        </w:tc>
      </w:tr>
    </w:tbl>
    <w:p>
      <w:pPr>
        <w:kinsoku/>
        <w:overflowPunct/>
        <w:topLinePunct w:val="0"/>
        <w:bidi w:val="0"/>
        <w:spacing w:line="300" w:lineRule="auto"/>
        <w:rPr>
          <w:rFonts w:hint="eastAsia"/>
          <w:sz w:val="21"/>
          <w:szCs w:val="21"/>
        </w:rPr>
      </w:pPr>
      <w:r>
        <w:rPr>
          <w:rFonts w:hint="eastAsia" w:ascii="黑体" w:hAnsi="黑体" w:eastAsia="黑体"/>
          <w:sz w:val="21"/>
          <w:szCs w:val="21"/>
        </w:rPr>
        <w:t>注：</w:t>
      </w:r>
      <w:r>
        <w:rPr>
          <w:sz w:val="21"/>
          <w:szCs w:val="21"/>
        </w:rPr>
        <w:t>1.</w:t>
      </w:r>
      <w:r>
        <w:rPr>
          <w:rFonts w:hint="eastAsia"/>
          <w:sz w:val="21"/>
          <w:szCs w:val="21"/>
        </w:rPr>
        <w:t>企业主要负责人指《建筑业企业资质证书》上列明的法定代表人和企业任命分管安全生产的副经理。</w:t>
      </w:r>
    </w:p>
    <w:p>
      <w:pPr>
        <w:kinsoku/>
        <w:overflowPunct/>
        <w:topLinePunct w:val="0"/>
        <w:bidi w:val="0"/>
        <w:spacing w:line="300" w:lineRule="auto"/>
        <w:jc w:val="both"/>
        <w:rPr>
          <w:rFonts w:hint="eastAsia"/>
          <w:sz w:val="21"/>
          <w:szCs w:val="21"/>
        </w:rPr>
      </w:pPr>
      <w:r>
        <w:rPr>
          <w:rFonts w:hint="eastAsia"/>
          <w:sz w:val="21"/>
          <w:szCs w:val="21"/>
        </w:rPr>
        <w:t>2.本表后附企业主要负责人的A类证书复印件加盖磋商供应商公章(企业主要负责人包括企业法定代表人和企业分管安全生产的副经理，担任这两个岗位的相关人员应当提供“三类人员”A类证书。前一个岗位必须和《建筑业企业资质等级证书》副本上载明的情况一致)；企业分管安全生产副经理任职文件（复印件加盖磋商供应商公章）。3</w:t>
      </w:r>
      <w:r>
        <w:rPr>
          <w:sz w:val="21"/>
          <w:szCs w:val="21"/>
        </w:rPr>
        <w:t>.</w:t>
      </w:r>
      <w:r>
        <w:rPr>
          <w:rFonts w:hint="eastAsia"/>
          <w:sz w:val="21"/>
          <w:szCs w:val="21"/>
        </w:rPr>
        <w:t>所有独立磋商供应商都须填写此表</w:t>
      </w:r>
    </w:p>
    <w:p>
      <w:pPr>
        <w:pStyle w:val="5"/>
        <w:keepNext w:val="0"/>
        <w:keepLines w:val="0"/>
        <w:pageBreakBefore/>
        <w:widowControl w:val="0"/>
        <w:tabs>
          <w:tab w:val="left" w:pos="840"/>
        </w:tabs>
        <w:kinsoku/>
        <w:overflowPunct/>
        <w:topLinePunct w:val="0"/>
        <w:bidi w:val="0"/>
        <w:adjustRightInd w:val="0"/>
        <w:snapToGrid w:val="0"/>
        <w:spacing w:before="312" w:beforeLines="100" w:after="312" w:afterLines="100" w:line="300" w:lineRule="auto"/>
        <w:jc w:val="center"/>
        <w:rPr>
          <w:rFonts w:hint="eastAsia" w:hAnsi="宋体"/>
          <w:sz w:val="28"/>
          <w:szCs w:val="36"/>
        </w:rPr>
      </w:pPr>
      <w:bookmarkStart w:id="1997" w:name="_Toc3904001"/>
      <w:bookmarkStart w:id="1998" w:name="_Toc19311"/>
      <w:bookmarkStart w:id="1999" w:name="_Toc22392"/>
      <w:bookmarkStart w:id="2000" w:name="_Toc13906"/>
      <w:bookmarkStart w:id="2001" w:name="_Toc16789"/>
      <w:r>
        <w:rPr>
          <w:rFonts w:hint="eastAsia" w:hAnsi="宋体"/>
          <w:sz w:val="28"/>
          <w:szCs w:val="36"/>
        </w:rPr>
        <w:t>附件</w:t>
      </w:r>
      <w:r>
        <w:rPr>
          <w:rFonts w:hint="eastAsia" w:hAnsi="宋体"/>
          <w:sz w:val="28"/>
          <w:szCs w:val="36"/>
          <w:lang w:eastAsia="zh-CN"/>
        </w:rPr>
        <w:t>十一</w:t>
      </w:r>
      <w:r>
        <w:rPr>
          <w:rFonts w:hint="eastAsia" w:hAnsi="宋体"/>
          <w:sz w:val="28"/>
          <w:szCs w:val="36"/>
        </w:rPr>
        <w:t xml:space="preserve">   拟任项目建造师简历表</w:t>
      </w:r>
      <w:bookmarkEnd w:id="1997"/>
      <w:bookmarkEnd w:id="1998"/>
      <w:bookmarkEnd w:id="1999"/>
      <w:bookmarkEnd w:id="2000"/>
      <w:bookmarkEnd w:id="2001"/>
    </w:p>
    <w:tbl>
      <w:tblPr>
        <w:tblStyle w:val="53"/>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55"/>
        <w:gridCol w:w="85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45" w:hRule="atLeast"/>
        </w:trPr>
        <w:tc>
          <w:tcPr>
            <w:tcW w:w="655" w:type="dxa"/>
            <w:noWrap w:val="0"/>
            <w:vAlign w:val="center"/>
          </w:tcPr>
          <w:p>
            <w:pPr>
              <w:kinsoku/>
              <w:overflowPunct/>
              <w:topLinePunct w:val="0"/>
              <w:bidi w:val="0"/>
              <w:spacing w:line="300" w:lineRule="auto"/>
              <w:jc w:val="center"/>
              <w:rPr>
                <w:b/>
              </w:rPr>
            </w:pPr>
            <w:r>
              <w:rPr>
                <w:b/>
              </w:rPr>
              <w:t>1</w:t>
            </w:r>
          </w:p>
        </w:tc>
        <w:tc>
          <w:tcPr>
            <w:tcW w:w="8518" w:type="dxa"/>
            <w:noWrap w:val="0"/>
            <w:vAlign w:val="center"/>
          </w:tcPr>
          <w:p>
            <w:pPr>
              <w:kinsoku/>
              <w:overflowPunct/>
              <w:topLinePunct w:val="0"/>
              <w:bidi w:val="0"/>
              <w:spacing w:line="300" w:lineRule="auto"/>
            </w:pPr>
            <w:r>
              <w:rPr>
                <w:rFonts w:hint="eastAsia"/>
              </w:rPr>
              <w:t>姓名：</w:t>
            </w:r>
          </w:p>
          <w:p>
            <w:pPr>
              <w:kinsoku/>
              <w:overflowPunct/>
              <w:topLinePunct w:val="0"/>
              <w:bidi w:val="0"/>
              <w:spacing w:line="300" w:lineRule="auto"/>
            </w:pPr>
            <w:r>
              <w:rPr>
                <w:rFonts w:hint="eastAsia"/>
              </w:rPr>
              <w:t>身份证号码：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40" w:hRule="atLeast"/>
        </w:trPr>
        <w:tc>
          <w:tcPr>
            <w:tcW w:w="655" w:type="dxa"/>
            <w:noWrap w:val="0"/>
            <w:vAlign w:val="center"/>
          </w:tcPr>
          <w:p>
            <w:pPr>
              <w:kinsoku/>
              <w:overflowPunct/>
              <w:topLinePunct w:val="0"/>
              <w:bidi w:val="0"/>
              <w:spacing w:line="300" w:lineRule="auto"/>
              <w:jc w:val="center"/>
              <w:rPr>
                <w:b/>
              </w:rPr>
            </w:pPr>
            <w:r>
              <w:rPr>
                <w:b/>
              </w:rPr>
              <w:t>2</w:t>
            </w:r>
          </w:p>
        </w:tc>
        <w:tc>
          <w:tcPr>
            <w:tcW w:w="8518" w:type="dxa"/>
            <w:noWrap w:val="0"/>
            <w:vAlign w:val="center"/>
          </w:tcPr>
          <w:p>
            <w:pPr>
              <w:kinsoku/>
              <w:overflowPunct/>
              <w:topLinePunct w:val="0"/>
              <w:bidi w:val="0"/>
              <w:spacing w:line="300" w:lineRule="auto"/>
            </w:pPr>
            <w:r>
              <w:rPr>
                <w:rFonts w:hint="eastAsia"/>
              </w:rPr>
              <w:t>性别：</w:t>
            </w:r>
          </w:p>
          <w:p>
            <w:pPr>
              <w:kinsoku/>
              <w:overflowPunct/>
              <w:topLinePunct w:val="0"/>
              <w:bidi w:val="0"/>
              <w:spacing w:line="300" w:lineRule="auto"/>
            </w:pPr>
            <w:r>
              <w:rPr>
                <w:rFonts w:hint="eastAsia"/>
              </w:rPr>
              <w:t>年龄：</w:t>
            </w:r>
          </w:p>
          <w:p>
            <w:pPr>
              <w:kinsoku/>
              <w:overflowPunct/>
              <w:topLinePunct w:val="0"/>
              <w:bidi w:val="0"/>
              <w:spacing w:line="300" w:lineRule="auto"/>
            </w:pPr>
            <w:r>
              <w:rPr>
                <w:rFonts w:hint="eastAsia"/>
              </w:rPr>
              <w:t>职称：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40" w:hRule="atLeast"/>
        </w:trPr>
        <w:tc>
          <w:tcPr>
            <w:tcW w:w="655" w:type="dxa"/>
            <w:noWrap w:val="0"/>
            <w:vAlign w:val="center"/>
          </w:tcPr>
          <w:p>
            <w:pPr>
              <w:kinsoku/>
              <w:overflowPunct/>
              <w:topLinePunct w:val="0"/>
              <w:bidi w:val="0"/>
              <w:spacing w:line="300" w:lineRule="auto"/>
              <w:jc w:val="center"/>
              <w:rPr>
                <w:b/>
              </w:rPr>
            </w:pPr>
            <w:r>
              <w:rPr>
                <w:b/>
              </w:rPr>
              <w:t>3</w:t>
            </w:r>
          </w:p>
        </w:tc>
        <w:tc>
          <w:tcPr>
            <w:tcW w:w="8518" w:type="dxa"/>
            <w:noWrap w:val="0"/>
            <w:vAlign w:val="center"/>
          </w:tcPr>
          <w:p>
            <w:pPr>
              <w:kinsoku/>
              <w:overflowPunct/>
              <w:topLinePunct w:val="0"/>
              <w:bidi w:val="0"/>
              <w:spacing w:line="300" w:lineRule="auto"/>
            </w:pPr>
            <w:r>
              <w:rPr>
                <w:rFonts w:hint="eastAsia"/>
              </w:rPr>
              <w:t>注册建造师执业资格及等级：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40" w:hRule="atLeast"/>
        </w:trPr>
        <w:tc>
          <w:tcPr>
            <w:tcW w:w="655" w:type="dxa"/>
            <w:noWrap w:val="0"/>
            <w:vAlign w:val="center"/>
          </w:tcPr>
          <w:p>
            <w:pPr>
              <w:kinsoku/>
              <w:overflowPunct/>
              <w:topLinePunct w:val="0"/>
              <w:bidi w:val="0"/>
              <w:spacing w:line="300" w:lineRule="auto"/>
              <w:jc w:val="center"/>
              <w:rPr>
                <w:b/>
              </w:rPr>
            </w:pPr>
            <w:r>
              <w:rPr>
                <w:b/>
              </w:rPr>
              <w:t>4</w:t>
            </w:r>
          </w:p>
        </w:tc>
        <w:tc>
          <w:tcPr>
            <w:tcW w:w="8518" w:type="dxa"/>
            <w:noWrap w:val="0"/>
            <w:vAlign w:val="center"/>
          </w:tcPr>
          <w:p>
            <w:pPr>
              <w:kinsoku/>
              <w:overflowPunct/>
              <w:topLinePunct w:val="0"/>
              <w:bidi w:val="0"/>
              <w:spacing w:line="300" w:lineRule="auto"/>
            </w:pPr>
            <w:r>
              <w:rPr>
                <w:rFonts w:hint="eastAsia"/>
              </w:rPr>
              <w:t>安全考核合格证编号及有效期：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5" w:hRule="atLeast"/>
        </w:trPr>
        <w:tc>
          <w:tcPr>
            <w:tcW w:w="655" w:type="dxa"/>
            <w:noWrap w:val="0"/>
            <w:vAlign w:val="center"/>
          </w:tcPr>
          <w:p>
            <w:pPr>
              <w:kinsoku/>
              <w:overflowPunct/>
              <w:topLinePunct w:val="0"/>
              <w:bidi w:val="0"/>
              <w:spacing w:line="300" w:lineRule="auto"/>
              <w:jc w:val="center"/>
              <w:rPr>
                <w:b/>
              </w:rPr>
            </w:pPr>
            <w:r>
              <w:rPr>
                <w:b/>
              </w:rPr>
              <w:t>5</w:t>
            </w:r>
          </w:p>
        </w:tc>
        <w:tc>
          <w:tcPr>
            <w:tcW w:w="8518" w:type="dxa"/>
            <w:noWrap w:val="0"/>
            <w:vAlign w:val="center"/>
          </w:tcPr>
          <w:p>
            <w:pPr>
              <w:kinsoku/>
              <w:overflowPunct/>
              <w:topLinePunct w:val="0"/>
              <w:bidi w:val="0"/>
              <w:spacing w:line="300" w:lineRule="auto"/>
            </w:pPr>
            <w:r>
              <w:rPr>
                <w:rFonts w:hint="eastAsia"/>
              </w:rPr>
              <w:t>原受聘单位：</w:t>
            </w:r>
          </w:p>
          <w:p>
            <w:pPr>
              <w:kinsoku/>
              <w:overflowPunct/>
              <w:topLinePunct w:val="0"/>
              <w:bidi w:val="0"/>
              <w:spacing w:line="300" w:lineRule="auto"/>
            </w:pPr>
            <w:r>
              <w:rPr>
                <w:rFonts w:hint="eastAsia"/>
              </w:rPr>
              <w:t>现工作单位：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40" w:hRule="atLeast"/>
        </w:trPr>
        <w:tc>
          <w:tcPr>
            <w:tcW w:w="655" w:type="dxa"/>
            <w:noWrap w:val="0"/>
            <w:vAlign w:val="center"/>
          </w:tcPr>
          <w:p>
            <w:pPr>
              <w:kinsoku/>
              <w:overflowPunct/>
              <w:topLinePunct w:val="0"/>
              <w:bidi w:val="0"/>
              <w:spacing w:line="300" w:lineRule="auto"/>
              <w:jc w:val="center"/>
              <w:rPr>
                <w:b/>
              </w:rPr>
            </w:pPr>
            <w:r>
              <w:rPr>
                <w:b/>
              </w:rPr>
              <w:t>6</w:t>
            </w:r>
          </w:p>
        </w:tc>
        <w:tc>
          <w:tcPr>
            <w:tcW w:w="8518" w:type="dxa"/>
            <w:noWrap w:val="0"/>
            <w:vAlign w:val="center"/>
          </w:tcPr>
          <w:p>
            <w:pPr>
              <w:kinsoku/>
              <w:overflowPunct/>
              <w:topLinePunct w:val="0"/>
              <w:bidi w:val="0"/>
              <w:spacing w:line="300" w:lineRule="auto"/>
            </w:pPr>
            <w:r>
              <w:rPr>
                <w:rFonts w:hint="eastAsia"/>
              </w:rPr>
              <w:t>上二年度是否获优秀称号：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48" w:hRule="atLeast"/>
        </w:trPr>
        <w:tc>
          <w:tcPr>
            <w:tcW w:w="655" w:type="dxa"/>
            <w:noWrap w:val="0"/>
            <w:vAlign w:val="center"/>
          </w:tcPr>
          <w:p>
            <w:pPr>
              <w:kinsoku/>
              <w:overflowPunct/>
              <w:topLinePunct w:val="0"/>
              <w:bidi w:val="0"/>
              <w:spacing w:line="300" w:lineRule="auto"/>
              <w:jc w:val="center"/>
              <w:rPr>
                <w:b/>
              </w:rPr>
            </w:pPr>
            <w:r>
              <w:rPr>
                <w:b/>
              </w:rPr>
              <w:t>7</w:t>
            </w:r>
          </w:p>
        </w:tc>
        <w:tc>
          <w:tcPr>
            <w:tcW w:w="8518" w:type="dxa"/>
            <w:noWrap w:val="0"/>
            <w:vAlign w:val="top"/>
          </w:tcPr>
          <w:p>
            <w:pPr>
              <w:kinsoku/>
              <w:overflowPunct/>
              <w:topLinePunct w:val="0"/>
              <w:bidi w:val="0"/>
              <w:spacing w:line="300" w:lineRule="auto"/>
              <w:jc w:val="both"/>
            </w:pPr>
            <w:r>
              <w:rPr>
                <w:rFonts w:hint="eastAsia"/>
              </w:rPr>
              <w:t>主要工作经历及类似项目业绩：</w:t>
            </w:r>
          </w:p>
          <w:p>
            <w:pPr>
              <w:kinsoku/>
              <w:overflowPunct/>
              <w:topLinePunct w:val="0"/>
              <w:bidi w:val="0"/>
              <w:spacing w:line="300" w:lineRule="auto"/>
              <w:jc w:val="both"/>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6" w:hRule="atLeast"/>
        </w:trPr>
        <w:tc>
          <w:tcPr>
            <w:tcW w:w="655" w:type="dxa"/>
            <w:noWrap w:val="0"/>
            <w:vAlign w:val="top"/>
          </w:tcPr>
          <w:p>
            <w:pPr>
              <w:kinsoku/>
              <w:overflowPunct/>
              <w:topLinePunct w:val="0"/>
              <w:bidi w:val="0"/>
              <w:spacing w:line="300" w:lineRule="auto"/>
              <w:jc w:val="center"/>
              <w:rPr>
                <w:b/>
              </w:rPr>
            </w:pPr>
            <w:r>
              <w:rPr>
                <w:b/>
              </w:rPr>
              <w:t>8</w:t>
            </w:r>
          </w:p>
        </w:tc>
        <w:tc>
          <w:tcPr>
            <w:tcW w:w="8518" w:type="dxa"/>
            <w:noWrap w:val="0"/>
            <w:vAlign w:val="top"/>
          </w:tcPr>
          <w:p>
            <w:pPr>
              <w:kinsoku/>
              <w:overflowPunct/>
              <w:topLinePunct w:val="0"/>
              <w:bidi w:val="0"/>
              <w:spacing w:line="300" w:lineRule="auto"/>
            </w:pPr>
            <w:r>
              <w:rPr>
                <w:rFonts w:hint="eastAsia"/>
              </w:rPr>
              <w:t>其他需要说明的情况：</w:t>
            </w:r>
          </w:p>
        </w:tc>
      </w:tr>
    </w:tbl>
    <w:p>
      <w:pPr>
        <w:kinsoku/>
        <w:overflowPunct/>
        <w:topLinePunct w:val="0"/>
        <w:bidi w:val="0"/>
        <w:spacing w:line="300" w:lineRule="auto"/>
        <w:rPr>
          <w:sz w:val="21"/>
          <w:szCs w:val="21"/>
        </w:rPr>
      </w:pPr>
      <w:r>
        <w:rPr>
          <w:rFonts w:hint="eastAsia" w:ascii="黑体" w:hAnsi="黑体" w:eastAsia="黑体"/>
          <w:sz w:val="21"/>
          <w:szCs w:val="21"/>
        </w:rPr>
        <w:t>注：</w:t>
      </w:r>
      <w:r>
        <w:rPr>
          <w:sz w:val="21"/>
          <w:szCs w:val="21"/>
        </w:rPr>
        <w:t>1.</w:t>
      </w:r>
      <w:r>
        <w:rPr>
          <w:rFonts w:hint="eastAsia"/>
          <w:sz w:val="21"/>
          <w:szCs w:val="21"/>
        </w:rPr>
        <w:t>本表后附项目建造师注册证书。</w:t>
      </w:r>
    </w:p>
    <w:p>
      <w:pPr>
        <w:kinsoku/>
        <w:overflowPunct/>
        <w:topLinePunct w:val="0"/>
        <w:bidi w:val="0"/>
        <w:spacing w:line="300" w:lineRule="auto"/>
        <w:rPr>
          <w:sz w:val="21"/>
          <w:szCs w:val="21"/>
        </w:rPr>
      </w:pPr>
      <w:r>
        <w:rPr>
          <w:sz w:val="21"/>
          <w:szCs w:val="21"/>
        </w:rPr>
        <w:t>2.</w:t>
      </w:r>
      <w:r>
        <w:rPr>
          <w:rFonts w:hint="eastAsia"/>
          <w:sz w:val="21"/>
          <w:szCs w:val="21"/>
        </w:rPr>
        <w:t>项目建造师附安全生产考核合格证。</w:t>
      </w:r>
    </w:p>
    <w:p>
      <w:pPr>
        <w:kinsoku/>
        <w:overflowPunct/>
        <w:topLinePunct w:val="0"/>
        <w:bidi w:val="0"/>
        <w:spacing w:line="300" w:lineRule="auto"/>
        <w:rPr>
          <w:sz w:val="21"/>
          <w:szCs w:val="21"/>
        </w:rPr>
      </w:pPr>
      <w:r>
        <w:rPr>
          <w:sz w:val="21"/>
          <w:szCs w:val="21"/>
        </w:rPr>
        <w:t>3.</w:t>
      </w:r>
      <w:r>
        <w:rPr>
          <w:rFonts w:hint="eastAsia"/>
          <w:sz w:val="21"/>
          <w:szCs w:val="21"/>
        </w:rPr>
        <w:t>所有独立磋商供应商都须填写此表。</w:t>
      </w:r>
    </w:p>
    <w:p>
      <w:pPr>
        <w:kinsoku/>
        <w:overflowPunct/>
        <w:topLinePunct w:val="0"/>
        <w:bidi w:val="0"/>
        <w:spacing w:line="300" w:lineRule="auto"/>
        <w:ind w:left="4599" w:leftChars="2190"/>
        <w:rPr>
          <w:rFonts w:hint="eastAsia" w:ascii="Arial" w:hAnsi="Arial"/>
          <w:bCs/>
          <w:sz w:val="21"/>
          <w:szCs w:val="21"/>
        </w:rPr>
      </w:pPr>
    </w:p>
    <w:p>
      <w:pPr>
        <w:kinsoku/>
        <w:overflowPunct/>
        <w:topLinePunct w:val="0"/>
        <w:bidi w:val="0"/>
        <w:spacing w:line="300" w:lineRule="auto"/>
        <w:ind w:left="4599" w:leftChars="2190"/>
        <w:rPr>
          <w:rFonts w:hint="eastAsia" w:ascii="Arial" w:hAnsi="Arial"/>
          <w:bCs/>
          <w:sz w:val="21"/>
          <w:szCs w:val="21"/>
        </w:rPr>
      </w:pPr>
      <w:r>
        <w:rPr>
          <w:rFonts w:hint="eastAsia" w:ascii="Arial" w:hAnsi="Arial"/>
          <w:bCs/>
          <w:sz w:val="21"/>
          <w:szCs w:val="21"/>
        </w:rPr>
        <w:t>磋商供应商（公章）</w:t>
      </w:r>
    </w:p>
    <w:p>
      <w:pPr>
        <w:kinsoku/>
        <w:overflowPunct/>
        <w:topLinePunct w:val="0"/>
        <w:bidi w:val="0"/>
        <w:spacing w:line="300" w:lineRule="auto"/>
        <w:ind w:firstLine="4605"/>
        <w:rPr>
          <w:rFonts w:hint="eastAsia" w:ascii="Arial" w:hAnsi="Arial"/>
          <w:bCs/>
          <w:sz w:val="21"/>
          <w:szCs w:val="21"/>
        </w:rPr>
      </w:pPr>
      <w:r>
        <w:rPr>
          <w:rFonts w:hint="eastAsia" w:ascii="Arial" w:hAnsi="Arial"/>
          <w:bCs/>
          <w:sz w:val="21"/>
          <w:szCs w:val="21"/>
        </w:rPr>
        <w:t>法定代表人或其授权代表（签字或盖章）：</w:t>
      </w:r>
    </w:p>
    <w:p>
      <w:pPr>
        <w:kinsoku/>
        <w:overflowPunct/>
        <w:topLinePunct w:val="0"/>
        <w:bidi w:val="0"/>
        <w:spacing w:line="300" w:lineRule="auto"/>
        <w:ind w:firstLine="4605"/>
        <w:rPr>
          <w:rFonts w:hint="eastAsia"/>
          <w:sz w:val="21"/>
          <w:szCs w:val="21"/>
        </w:rPr>
      </w:pPr>
      <w:r>
        <w:rPr>
          <w:rFonts w:hint="eastAsia" w:ascii="Arial" w:hAnsi="Arial"/>
          <w:bCs/>
          <w:sz w:val="21"/>
          <w:szCs w:val="21"/>
        </w:rPr>
        <w:t xml:space="preserve">日    期： </w:t>
      </w:r>
    </w:p>
    <w:p>
      <w:pPr>
        <w:pStyle w:val="5"/>
        <w:keepNext w:val="0"/>
        <w:keepLines w:val="0"/>
        <w:pageBreakBefore/>
        <w:widowControl w:val="0"/>
        <w:tabs>
          <w:tab w:val="left" w:pos="840"/>
        </w:tabs>
        <w:kinsoku/>
        <w:overflowPunct/>
        <w:topLinePunct w:val="0"/>
        <w:bidi w:val="0"/>
        <w:adjustRightInd w:val="0"/>
        <w:snapToGrid w:val="0"/>
        <w:spacing w:before="312" w:beforeLines="100" w:after="312" w:afterLines="100" w:line="300" w:lineRule="auto"/>
        <w:jc w:val="center"/>
        <w:rPr>
          <w:rFonts w:hint="eastAsia" w:hAnsi="宋体"/>
          <w:sz w:val="28"/>
          <w:szCs w:val="36"/>
        </w:rPr>
      </w:pPr>
      <w:bookmarkStart w:id="2002" w:name="_Toc3904002"/>
      <w:bookmarkStart w:id="2003" w:name="_Toc7103"/>
      <w:bookmarkStart w:id="2004" w:name="_Toc9536"/>
      <w:bookmarkStart w:id="2005" w:name="_Toc29741"/>
      <w:bookmarkStart w:id="2006" w:name="_Toc11032"/>
      <w:r>
        <w:rPr>
          <w:rFonts w:hint="eastAsia" w:hAnsi="宋体"/>
          <w:sz w:val="28"/>
          <w:szCs w:val="36"/>
        </w:rPr>
        <w:t>附件十</w:t>
      </w:r>
      <w:r>
        <w:rPr>
          <w:rFonts w:hint="eastAsia" w:hAnsi="宋体"/>
          <w:sz w:val="28"/>
          <w:szCs w:val="36"/>
          <w:lang w:eastAsia="zh-CN"/>
        </w:rPr>
        <w:t>二</w:t>
      </w:r>
      <w:r>
        <w:rPr>
          <w:rFonts w:hint="eastAsia" w:hAnsi="宋体"/>
          <w:sz w:val="28"/>
          <w:szCs w:val="36"/>
        </w:rPr>
        <w:t xml:space="preserve">   拟投入项目管理人员一览表</w:t>
      </w:r>
      <w:bookmarkEnd w:id="2002"/>
      <w:bookmarkEnd w:id="2003"/>
      <w:bookmarkEnd w:id="2004"/>
      <w:bookmarkEnd w:id="2005"/>
      <w:bookmarkEnd w:id="2006"/>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471"/>
        <w:gridCol w:w="966"/>
        <w:gridCol w:w="1146"/>
        <w:gridCol w:w="1146"/>
        <w:gridCol w:w="1105"/>
        <w:gridCol w:w="1188"/>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005" w:type="dxa"/>
            <w:noWrap w:val="0"/>
            <w:vAlign w:val="center"/>
          </w:tcPr>
          <w:p>
            <w:pPr>
              <w:kinsoku/>
              <w:overflowPunct/>
              <w:topLinePunct w:val="0"/>
              <w:bidi w:val="0"/>
              <w:spacing w:line="300" w:lineRule="auto"/>
              <w:jc w:val="center"/>
            </w:pPr>
            <w:r>
              <w:rPr>
                <w:rFonts w:hint="eastAsia"/>
              </w:rPr>
              <w:t>姓名</w:t>
            </w:r>
          </w:p>
        </w:tc>
        <w:tc>
          <w:tcPr>
            <w:tcW w:w="1471" w:type="dxa"/>
            <w:noWrap w:val="0"/>
            <w:vAlign w:val="center"/>
          </w:tcPr>
          <w:p>
            <w:pPr>
              <w:kinsoku/>
              <w:overflowPunct/>
              <w:topLinePunct w:val="0"/>
              <w:bidi w:val="0"/>
              <w:spacing w:line="300" w:lineRule="auto"/>
              <w:jc w:val="center"/>
            </w:pPr>
            <w:r>
              <w:rPr>
                <w:rFonts w:hint="eastAsia"/>
              </w:rPr>
              <w:t>本工程</w:t>
            </w:r>
          </w:p>
          <w:p>
            <w:pPr>
              <w:kinsoku/>
              <w:overflowPunct/>
              <w:topLinePunct w:val="0"/>
              <w:bidi w:val="0"/>
              <w:spacing w:line="300" w:lineRule="auto"/>
              <w:jc w:val="center"/>
            </w:pPr>
            <w:r>
              <w:rPr>
                <w:rFonts w:hint="eastAsia"/>
              </w:rPr>
              <w:t>拟任岗位</w:t>
            </w:r>
          </w:p>
        </w:tc>
        <w:tc>
          <w:tcPr>
            <w:tcW w:w="966" w:type="dxa"/>
            <w:noWrap w:val="0"/>
            <w:vAlign w:val="center"/>
          </w:tcPr>
          <w:p>
            <w:pPr>
              <w:kinsoku/>
              <w:overflowPunct/>
              <w:topLinePunct w:val="0"/>
              <w:bidi w:val="0"/>
              <w:spacing w:line="300" w:lineRule="auto"/>
              <w:jc w:val="center"/>
            </w:pPr>
            <w:r>
              <w:rPr>
                <w:rFonts w:hint="eastAsia"/>
              </w:rPr>
              <w:t>年龄</w:t>
            </w:r>
          </w:p>
        </w:tc>
        <w:tc>
          <w:tcPr>
            <w:tcW w:w="1146" w:type="dxa"/>
            <w:noWrap w:val="0"/>
            <w:vAlign w:val="center"/>
          </w:tcPr>
          <w:p>
            <w:pPr>
              <w:kinsoku/>
              <w:overflowPunct/>
              <w:topLinePunct w:val="0"/>
              <w:bidi w:val="0"/>
              <w:spacing w:line="300" w:lineRule="auto"/>
              <w:jc w:val="center"/>
            </w:pPr>
            <w:r>
              <w:rPr>
                <w:rFonts w:hint="eastAsia"/>
              </w:rPr>
              <w:t>性别</w:t>
            </w:r>
          </w:p>
        </w:tc>
        <w:tc>
          <w:tcPr>
            <w:tcW w:w="1146" w:type="dxa"/>
            <w:noWrap w:val="0"/>
            <w:vAlign w:val="center"/>
          </w:tcPr>
          <w:p>
            <w:pPr>
              <w:kinsoku/>
              <w:overflowPunct/>
              <w:topLinePunct w:val="0"/>
              <w:bidi w:val="0"/>
              <w:spacing w:line="300" w:lineRule="auto"/>
              <w:jc w:val="center"/>
            </w:pPr>
            <w:r>
              <w:rPr>
                <w:rFonts w:hint="eastAsia"/>
              </w:rPr>
              <w:t>专业</w:t>
            </w:r>
          </w:p>
          <w:p>
            <w:pPr>
              <w:kinsoku/>
              <w:overflowPunct/>
              <w:topLinePunct w:val="0"/>
              <w:bidi w:val="0"/>
              <w:spacing w:line="300" w:lineRule="auto"/>
              <w:jc w:val="center"/>
            </w:pPr>
            <w:r>
              <w:rPr>
                <w:rFonts w:hint="eastAsia"/>
              </w:rPr>
              <w:t>学历</w:t>
            </w:r>
          </w:p>
        </w:tc>
        <w:tc>
          <w:tcPr>
            <w:tcW w:w="1105" w:type="dxa"/>
            <w:noWrap w:val="0"/>
            <w:vAlign w:val="center"/>
          </w:tcPr>
          <w:p>
            <w:pPr>
              <w:kinsoku/>
              <w:overflowPunct/>
              <w:topLinePunct w:val="0"/>
              <w:bidi w:val="0"/>
              <w:spacing w:line="300" w:lineRule="auto"/>
              <w:jc w:val="center"/>
            </w:pPr>
            <w:r>
              <w:rPr>
                <w:rFonts w:hint="eastAsia"/>
              </w:rPr>
              <w:t>专业</w:t>
            </w:r>
          </w:p>
          <w:p>
            <w:pPr>
              <w:kinsoku/>
              <w:overflowPunct/>
              <w:topLinePunct w:val="0"/>
              <w:bidi w:val="0"/>
              <w:spacing w:line="300" w:lineRule="auto"/>
              <w:jc w:val="center"/>
            </w:pPr>
            <w:r>
              <w:rPr>
                <w:rFonts w:hint="eastAsia"/>
              </w:rPr>
              <w:t>年限</w:t>
            </w:r>
          </w:p>
        </w:tc>
        <w:tc>
          <w:tcPr>
            <w:tcW w:w="1188" w:type="dxa"/>
            <w:noWrap w:val="0"/>
            <w:vAlign w:val="center"/>
          </w:tcPr>
          <w:p>
            <w:pPr>
              <w:kinsoku/>
              <w:overflowPunct/>
              <w:topLinePunct w:val="0"/>
              <w:bidi w:val="0"/>
              <w:spacing w:line="300" w:lineRule="auto"/>
              <w:jc w:val="center"/>
            </w:pPr>
            <w:r>
              <w:rPr>
                <w:rFonts w:hint="eastAsia"/>
              </w:rPr>
              <w:t>职称</w:t>
            </w:r>
          </w:p>
        </w:tc>
        <w:tc>
          <w:tcPr>
            <w:tcW w:w="1146" w:type="dxa"/>
            <w:noWrap w:val="0"/>
            <w:vAlign w:val="center"/>
          </w:tcPr>
          <w:p>
            <w:pPr>
              <w:kinsoku/>
              <w:overflowPunct/>
              <w:topLinePunct w:val="0"/>
              <w:bidi w:val="0"/>
              <w:spacing w:line="300" w:lineRule="auto"/>
              <w:jc w:val="center"/>
            </w:pPr>
            <w:r>
              <w:rPr>
                <w:rFonts w:hint="eastAsia"/>
              </w:rPr>
              <w:t>安排上岗的起止时间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005" w:type="dxa"/>
            <w:noWrap w:val="0"/>
            <w:vAlign w:val="center"/>
          </w:tcPr>
          <w:p>
            <w:pPr>
              <w:kinsoku/>
              <w:overflowPunct/>
              <w:topLinePunct w:val="0"/>
              <w:bidi w:val="0"/>
              <w:spacing w:line="300" w:lineRule="auto"/>
              <w:ind w:right="288"/>
              <w:jc w:val="center"/>
              <w:rPr>
                <w:b/>
              </w:rPr>
            </w:pPr>
          </w:p>
        </w:tc>
        <w:tc>
          <w:tcPr>
            <w:tcW w:w="1471" w:type="dxa"/>
            <w:noWrap w:val="0"/>
            <w:vAlign w:val="center"/>
          </w:tcPr>
          <w:p>
            <w:pPr>
              <w:kinsoku/>
              <w:overflowPunct/>
              <w:topLinePunct w:val="0"/>
              <w:bidi w:val="0"/>
              <w:spacing w:line="300" w:lineRule="auto"/>
              <w:ind w:right="288"/>
              <w:jc w:val="center"/>
              <w:rPr>
                <w:b/>
              </w:rPr>
            </w:pPr>
          </w:p>
        </w:tc>
        <w:tc>
          <w:tcPr>
            <w:tcW w:w="96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05" w:type="dxa"/>
            <w:noWrap w:val="0"/>
            <w:vAlign w:val="center"/>
          </w:tcPr>
          <w:p>
            <w:pPr>
              <w:kinsoku/>
              <w:overflowPunct/>
              <w:topLinePunct w:val="0"/>
              <w:bidi w:val="0"/>
              <w:spacing w:line="300" w:lineRule="auto"/>
              <w:ind w:right="288"/>
              <w:jc w:val="center"/>
              <w:rPr>
                <w:b/>
              </w:rPr>
            </w:pPr>
          </w:p>
        </w:tc>
        <w:tc>
          <w:tcPr>
            <w:tcW w:w="1188"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10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5" w:type="dxa"/>
            <w:noWrap w:val="0"/>
            <w:vAlign w:val="center"/>
          </w:tcPr>
          <w:p>
            <w:pPr>
              <w:kinsoku/>
              <w:overflowPunct/>
              <w:topLinePunct w:val="0"/>
              <w:bidi w:val="0"/>
              <w:spacing w:line="300" w:lineRule="auto"/>
              <w:ind w:right="288"/>
              <w:jc w:val="center"/>
              <w:rPr>
                <w:b/>
              </w:rPr>
            </w:pPr>
          </w:p>
        </w:tc>
        <w:tc>
          <w:tcPr>
            <w:tcW w:w="1471" w:type="dxa"/>
            <w:noWrap w:val="0"/>
            <w:vAlign w:val="center"/>
          </w:tcPr>
          <w:p>
            <w:pPr>
              <w:kinsoku/>
              <w:overflowPunct/>
              <w:topLinePunct w:val="0"/>
              <w:bidi w:val="0"/>
              <w:spacing w:line="300" w:lineRule="auto"/>
              <w:ind w:right="288"/>
              <w:jc w:val="center"/>
              <w:rPr>
                <w:b/>
              </w:rPr>
            </w:pPr>
          </w:p>
        </w:tc>
        <w:tc>
          <w:tcPr>
            <w:tcW w:w="96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05" w:type="dxa"/>
            <w:noWrap w:val="0"/>
            <w:vAlign w:val="center"/>
          </w:tcPr>
          <w:p>
            <w:pPr>
              <w:kinsoku/>
              <w:overflowPunct/>
              <w:topLinePunct w:val="0"/>
              <w:bidi w:val="0"/>
              <w:spacing w:line="300" w:lineRule="auto"/>
              <w:ind w:right="288"/>
              <w:jc w:val="center"/>
              <w:rPr>
                <w:b/>
              </w:rPr>
            </w:pPr>
          </w:p>
        </w:tc>
        <w:tc>
          <w:tcPr>
            <w:tcW w:w="1188"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5" w:type="dxa"/>
            <w:noWrap w:val="0"/>
            <w:vAlign w:val="center"/>
          </w:tcPr>
          <w:p>
            <w:pPr>
              <w:kinsoku/>
              <w:overflowPunct/>
              <w:topLinePunct w:val="0"/>
              <w:bidi w:val="0"/>
              <w:spacing w:line="300" w:lineRule="auto"/>
              <w:ind w:right="288"/>
              <w:jc w:val="center"/>
              <w:rPr>
                <w:b/>
              </w:rPr>
            </w:pPr>
          </w:p>
        </w:tc>
        <w:tc>
          <w:tcPr>
            <w:tcW w:w="1471" w:type="dxa"/>
            <w:noWrap w:val="0"/>
            <w:vAlign w:val="center"/>
          </w:tcPr>
          <w:p>
            <w:pPr>
              <w:kinsoku/>
              <w:overflowPunct/>
              <w:topLinePunct w:val="0"/>
              <w:bidi w:val="0"/>
              <w:spacing w:line="300" w:lineRule="auto"/>
              <w:ind w:right="288"/>
              <w:jc w:val="center"/>
              <w:rPr>
                <w:b/>
              </w:rPr>
            </w:pPr>
          </w:p>
        </w:tc>
        <w:tc>
          <w:tcPr>
            <w:tcW w:w="96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05" w:type="dxa"/>
            <w:noWrap w:val="0"/>
            <w:vAlign w:val="center"/>
          </w:tcPr>
          <w:p>
            <w:pPr>
              <w:kinsoku/>
              <w:overflowPunct/>
              <w:topLinePunct w:val="0"/>
              <w:bidi w:val="0"/>
              <w:spacing w:line="300" w:lineRule="auto"/>
              <w:ind w:right="288"/>
              <w:jc w:val="center"/>
              <w:rPr>
                <w:b/>
              </w:rPr>
            </w:pPr>
          </w:p>
        </w:tc>
        <w:tc>
          <w:tcPr>
            <w:tcW w:w="1188"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5" w:type="dxa"/>
            <w:noWrap w:val="0"/>
            <w:vAlign w:val="center"/>
          </w:tcPr>
          <w:p>
            <w:pPr>
              <w:kinsoku/>
              <w:overflowPunct/>
              <w:topLinePunct w:val="0"/>
              <w:bidi w:val="0"/>
              <w:spacing w:line="300" w:lineRule="auto"/>
              <w:ind w:right="288"/>
              <w:jc w:val="center"/>
              <w:rPr>
                <w:b/>
              </w:rPr>
            </w:pPr>
          </w:p>
        </w:tc>
        <w:tc>
          <w:tcPr>
            <w:tcW w:w="1471" w:type="dxa"/>
            <w:noWrap w:val="0"/>
            <w:vAlign w:val="center"/>
          </w:tcPr>
          <w:p>
            <w:pPr>
              <w:kinsoku/>
              <w:overflowPunct/>
              <w:topLinePunct w:val="0"/>
              <w:bidi w:val="0"/>
              <w:spacing w:line="300" w:lineRule="auto"/>
              <w:ind w:right="288"/>
              <w:jc w:val="center"/>
              <w:rPr>
                <w:b/>
              </w:rPr>
            </w:pPr>
          </w:p>
        </w:tc>
        <w:tc>
          <w:tcPr>
            <w:tcW w:w="96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05" w:type="dxa"/>
            <w:noWrap w:val="0"/>
            <w:vAlign w:val="center"/>
          </w:tcPr>
          <w:p>
            <w:pPr>
              <w:kinsoku/>
              <w:overflowPunct/>
              <w:topLinePunct w:val="0"/>
              <w:bidi w:val="0"/>
              <w:spacing w:line="300" w:lineRule="auto"/>
              <w:ind w:right="288"/>
              <w:jc w:val="center"/>
              <w:rPr>
                <w:b/>
              </w:rPr>
            </w:pPr>
          </w:p>
        </w:tc>
        <w:tc>
          <w:tcPr>
            <w:tcW w:w="1188"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5" w:type="dxa"/>
            <w:noWrap w:val="0"/>
            <w:vAlign w:val="center"/>
          </w:tcPr>
          <w:p>
            <w:pPr>
              <w:kinsoku/>
              <w:overflowPunct/>
              <w:topLinePunct w:val="0"/>
              <w:bidi w:val="0"/>
              <w:spacing w:line="300" w:lineRule="auto"/>
              <w:ind w:right="288"/>
              <w:jc w:val="center"/>
              <w:rPr>
                <w:b/>
              </w:rPr>
            </w:pPr>
          </w:p>
        </w:tc>
        <w:tc>
          <w:tcPr>
            <w:tcW w:w="1471" w:type="dxa"/>
            <w:noWrap w:val="0"/>
            <w:vAlign w:val="center"/>
          </w:tcPr>
          <w:p>
            <w:pPr>
              <w:kinsoku/>
              <w:overflowPunct/>
              <w:topLinePunct w:val="0"/>
              <w:bidi w:val="0"/>
              <w:spacing w:line="300" w:lineRule="auto"/>
              <w:ind w:right="288"/>
              <w:jc w:val="center"/>
              <w:rPr>
                <w:b/>
              </w:rPr>
            </w:pPr>
          </w:p>
        </w:tc>
        <w:tc>
          <w:tcPr>
            <w:tcW w:w="96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05" w:type="dxa"/>
            <w:noWrap w:val="0"/>
            <w:vAlign w:val="center"/>
          </w:tcPr>
          <w:p>
            <w:pPr>
              <w:kinsoku/>
              <w:overflowPunct/>
              <w:topLinePunct w:val="0"/>
              <w:bidi w:val="0"/>
              <w:spacing w:line="300" w:lineRule="auto"/>
              <w:ind w:right="288"/>
              <w:jc w:val="center"/>
              <w:rPr>
                <w:b/>
              </w:rPr>
            </w:pPr>
          </w:p>
        </w:tc>
        <w:tc>
          <w:tcPr>
            <w:tcW w:w="1188"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5" w:type="dxa"/>
            <w:noWrap w:val="0"/>
            <w:vAlign w:val="center"/>
          </w:tcPr>
          <w:p>
            <w:pPr>
              <w:kinsoku/>
              <w:overflowPunct/>
              <w:topLinePunct w:val="0"/>
              <w:bidi w:val="0"/>
              <w:spacing w:line="300" w:lineRule="auto"/>
              <w:ind w:right="288"/>
              <w:jc w:val="center"/>
              <w:rPr>
                <w:b/>
              </w:rPr>
            </w:pPr>
          </w:p>
        </w:tc>
        <w:tc>
          <w:tcPr>
            <w:tcW w:w="1471" w:type="dxa"/>
            <w:noWrap w:val="0"/>
            <w:vAlign w:val="center"/>
          </w:tcPr>
          <w:p>
            <w:pPr>
              <w:kinsoku/>
              <w:overflowPunct/>
              <w:topLinePunct w:val="0"/>
              <w:bidi w:val="0"/>
              <w:spacing w:line="300" w:lineRule="auto"/>
              <w:ind w:right="288"/>
              <w:jc w:val="center"/>
              <w:rPr>
                <w:b/>
              </w:rPr>
            </w:pPr>
          </w:p>
        </w:tc>
        <w:tc>
          <w:tcPr>
            <w:tcW w:w="96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05" w:type="dxa"/>
            <w:noWrap w:val="0"/>
            <w:vAlign w:val="center"/>
          </w:tcPr>
          <w:p>
            <w:pPr>
              <w:kinsoku/>
              <w:overflowPunct/>
              <w:topLinePunct w:val="0"/>
              <w:bidi w:val="0"/>
              <w:spacing w:line="300" w:lineRule="auto"/>
              <w:ind w:right="288"/>
              <w:jc w:val="center"/>
              <w:rPr>
                <w:b/>
              </w:rPr>
            </w:pPr>
          </w:p>
        </w:tc>
        <w:tc>
          <w:tcPr>
            <w:tcW w:w="1188"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5" w:type="dxa"/>
            <w:noWrap w:val="0"/>
            <w:vAlign w:val="center"/>
          </w:tcPr>
          <w:p>
            <w:pPr>
              <w:kinsoku/>
              <w:overflowPunct/>
              <w:topLinePunct w:val="0"/>
              <w:bidi w:val="0"/>
              <w:spacing w:line="300" w:lineRule="auto"/>
              <w:ind w:right="288"/>
              <w:jc w:val="center"/>
              <w:rPr>
                <w:b/>
              </w:rPr>
            </w:pPr>
          </w:p>
        </w:tc>
        <w:tc>
          <w:tcPr>
            <w:tcW w:w="1471" w:type="dxa"/>
            <w:noWrap w:val="0"/>
            <w:vAlign w:val="center"/>
          </w:tcPr>
          <w:p>
            <w:pPr>
              <w:kinsoku/>
              <w:overflowPunct/>
              <w:topLinePunct w:val="0"/>
              <w:bidi w:val="0"/>
              <w:spacing w:line="300" w:lineRule="auto"/>
              <w:ind w:right="288"/>
              <w:jc w:val="center"/>
              <w:rPr>
                <w:b/>
              </w:rPr>
            </w:pPr>
          </w:p>
        </w:tc>
        <w:tc>
          <w:tcPr>
            <w:tcW w:w="96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05" w:type="dxa"/>
            <w:noWrap w:val="0"/>
            <w:vAlign w:val="center"/>
          </w:tcPr>
          <w:p>
            <w:pPr>
              <w:kinsoku/>
              <w:overflowPunct/>
              <w:topLinePunct w:val="0"/>
              <w:bidi w:val="0"/>
              <w:spacing w:line="300" w:lineRule="auto"/>
              <w:ind w:right="288"/>
              <w:jc w:val="center"/>
              <w:rPr>
                <w:b/>
              </w:rPr>
            </w:pPr>
          </w:p>
        </w:tc>
        <w:tc>
          <w:tcPr>
            <w:tcW w:w="1188"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5" w:type="dxa"/>
            <w:noWrap w:val="0"/>
            <w:vAlign w:val="center"/>
          </w:tcPr>
          <w:p>
            <w:pPr>
              <w:kinsoku/>
              <w:overflowPunct/>
              <w:topLinePunct w:val="0"/>
              <w:bidi w:val="0"/>
              <w:spacing w:line="300" w:lineRule="auto"/>
              <w:ind w:right="288"/>
              <w:jc w:val="center"/>
              <w:rPr>
                <w:b/>
              </w:rPr>
            </w:pPr>
          </w:p>
        </w:tc>
        <w:tc>
          <w:tcPr>
            <w:tcW w:w="1471" w:type="dxa"/>
            <w:noWrap w:val="0"/>
            <w:vAlign w:val="center"/>
          </w:tcPr>
          <w:p>
            <w:pPr>
              <w:kinsoku/>
              <w:overflowPunct/>
              <w:topLinePunct w:val="0"/>
              <w:bidi w:val="0"/>
              <w:spacing w:line="300" w:lineRule="auto"/>
              <w:ind w:right="288"/>
              <w:jc w:val="center"/>
              <w:rPr>
                <w:b/>
              </w:rPr>
            </w:pPr>
          </w:p>
        </w:tc>
        <w:tc>
          <w:tcPr>
            <w:tcW w:w="96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05" w:type="dxa"/>
            <w:noWrap w:val="0"/>
            <w:vAlign w:val="center"/>
          </w:tcPr>
          <w:p>
            <w:pPr>
              <w:kinsoku/>
              <w:overflowPunct/>
              <w:topLinePunct w:val="0"/>
              <w:bidi w:val="0"/>
              <w:spacing w:line="300" w:lineRule="auto"/>
              <w:ind w:right="288"/>
              <w:jc w:val="center"/>
              <w:rPr>
                <w:b/>
              </w:rPr>
            </w:pPr>
          </w:p>
        </w:tc>
        <w:tc>
          <w:tcPr>
            <w:tcW w:w="1188"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5" w:type="dxa"/>
            <w:noWrap w:val="0"/>
            <w:vAlign w:val="center"/>
          </w:tcPr>
          <w:p>
            <w:pPr>
              <w:kinsoku/>
              <w:overflowPunct/>
              <w:topLinePunct w:val="0"/>
              <w:bidi w:val="0"/>
              <w:spacing w:line="300" w:lineRule="auto"/>
              <w:ind w:right="288"/>
              <w:jc w:val="center"/>
              <w:rPr>
                <w:b/>
              </w:rPr>
            </w:pPr>
          </w:p>
        </w:tc>
        <w:tc>
          <w:tcPr>
            <w:tcW w:w="1471" w:type="dxa"/>
            <w:noWrap w:val="0"/>
            <w:vAlign w:val="center"/>
          </w:tcPr>
          <w:p>
            <w:pPr>
              <w:kinsoku/>
              <w:overflowPunct/>
              <w:topLinePunct w:val="0"/>
              <w:bidi w:val="0"/>
              <w:spacing w:line="300" w:lineRule="auto"/>
              <w:ind w:right="288"/>
              <w:jc w:val="center"/>
              <w:rPr>
                <w:b/>
              </w:rPr>
            </w:pPr>
          </w:p>
        </w:tc>
        <w:tc>
          <w:tcPr>
            <w:tcW w:w="96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05" w:type="dxa"/>
            <w:noWrap w:val="0"/>
            <w:vAlign w:val="center"/>
          </w:tcPr>
          <w:p>
            <w:pPr>
              <w:kinsoku/>
              <w:overflowPunct/>
              <w:topLinePunct w:val="0"/>
              <w:bidi w:val="0"/>
              <w:spacing w:line="300" w:lineRule="auto"/>
              <w:ind w:right="288"/>
              <w:jc w:val="center"/>
              <w:rPr>
                <w:b/>
              </w:rPr>
            </w:pPr>
          </w:p>
        </w:tc>
        <w:tc>
          <w:tcPr>
            <w:tcW w:w="1188"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5" w:type="dxa"/>
            <w:noWrap w:val="0"/>
            <w:vAlign w:val="center"/>
          </w:tcPr>
          <w:p>
            <w:pPr>
              <w:kinsoku/>
              <w:overflowPunct/>
              <w:topLinePunct w:val="0"/>
              <w:bidi w:val="0"/>
              <w:spacing w:line="300" w:lineRule="auto"/>
              <w:ind w:right="288"/>
              <w:jc w:val="center"/>
              <w:rPr>
                <w:b/>
              </w:rPr>
            </w:pPr>
          </w:p>
        </w:tc>
        <w:tc>
          <w:tcPr>
            <w:tcW w:w="1471" w:type="dxa"/>
            <w:noWrap w:val="0"/>
            <w:vAlign w:val="center"/>
          </w:tcPr>
          <w:p>
            <w:pPr>
              <w:kinsoku/>
              <w:overflowPunct/>
              <w:topLinePunct w:val="0"/>
              <w:bidi w:val="0"/>
              <w:spacing w:line="300" w:lineRule="auto"/>
              <w:ind w:right="288"/>
              <w:jc w:val="center"/>
              <w:rPr>
                <w:b/>
              </w:rPr>
            </w:pPr>
          </w:p>
        </w:tc>
        <w:tc>
          <w:tcPr>
            <w:tcW w:w="96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05" w:type="dxa"/>
            <w:noWrap w:val="0"/>
            <w:vAlign w:val="center"/>
          </w:tcPr>
          <w:p>
            <w:pPr>
              <w:kinsoku/>
              <w:overflowPunct/>
              <w:topLinePunct w:val="0"/>
              <w:bidi w:val="0"/>
              <w:spacing w:line="300" w:lineRule="auto"/>
              <w:ind w:right="288"/>
              <w:jc w:val="center"/>
              <w:rPr>
                <w:b/>
              </w:rPr>
            </w:pPr>
          </w:p>
        </w:tc>
        <w:tc>
          <w:tcPr>
            <w:tcW w:w="1188"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5" w:type="dxa"/>
            <w:noWrap w:val="0"/>
            <w:vAlign w:val="center"/>
          </w:tcPr>
          <w:p>
            <w:pPr>
              <w:kinsoku/>
              <w:overflowPunct/>
              <w:topLinePunct w:val="0"/>
              <w:bidi w:val="0"/>
              <w:spacing w:line="300" w:lineRule="auto"/>
              <w:ind w:right="288"/>
              <w:jc w:val="center"/>
              <w:rPr>
                <w:b/>
              </w:rPr>
            </w:pPr>
          </w:p>
        </w:tc>
        <w:tc>
          <w:tcPr>
            <w:tcW w:w="1471" w:type="dxa"/>
            <w:noWrap w:val="0"/>
            <w:vAlign w:val="center"/>
          </w:tcPr>
          <w:p>
            <w:pPr>
              <w:kinsoku/>
              <w:overflowPunct/>
              <w:topLinePunct w:val="0"/>
              <w:bidi w:val="0"/>
              <w:spacing w:line="300" w:lineRule="auto"/>
              <w:ind w:right="288"/>
              <w:jc w:val="center"/>
              <w:rPr>
                <w:b/>
              </w:rPr>
            </w:pPr>
          </w:p>
        </w:tc>
        <w:tc>
          <w:tcPr>
            <w:tcW w:w="96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05" w:type="dxa"/>
            <w:noWrap w:val="0"/>
            <w:vAlign w:val="center"/>
          </w:tcPr>
          <w:p>
            <w:pPr>
              <w:kinsoku/>
              <w:overflowPunct/>
              <w:topLinePunct w:val="0"/>
              <w:bidi w:val="0"/>
              <w:spacing w:line="300" w:lineRule="auto"/>
              <w:ind w:right="288"/>
              <w:jc w:val="center"/>
              <w:rPr>
                <w:b/>
              </w:rPr>
            </w:pPr>
          </w:p>
        </w:tc>
        <w:tc>
          <w:tcPr>
            <w:tcW w:w="1188"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5" w:type="dxa"/>
            <w:noWrap w:val="0"/>
            <w:vAlign w:val="center"/>
          </w:tcPr>
          <w:p>
            <w:pPr>
              <w:kinsoku/>
              <w:overflowPunct/>
              <w:topLinePunct w:val="0"/>
              <w:bidi w:val="0"/>
              <w:spacing w:line="300" w:lineRule="auto"/>
              <w:ind w:right="288"/>
              <w:jc w:val="center"/>
              <w:rPr>
                <w:b/>
              </w:rPr>
            </w:pPr>
          </w:p>
        </w:tc>
        <w:tc>
          <w:tcPr>
            <w:tcW w:w="1471" w:type="dxa"/>
            <w:noWrap w:val="0"/>
            <w:vAlign w:val="center"/>
          </w:tcPr>
          <w:p>
            <w:pPr>
              <w:kinsoku/>
              <w:overflowPunct/>
              <w:topLinePunct w:val="0"/>
              <w:bidi w:val="0"/>
              <w:spacing w:line="300" w:lineRule="auto"/>
              <w:ind w:right="288"/>
              <w:jc w:val="center"/>
              <w:rPr>
                <w:b/>
              </w:rPr>
            </w:pPr>
          </w:p>
        </w:tc>
        <w:tc>
          <w:tcPr>
            <w:tcW w:w="96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05" w:type="dxa"/>
            <w:noWrap w:val="0"/>
            <w:vAlign w:val="center"/>
          </w:tcPr>
          <w:p>
            <w:pPr>
              <w:kinsoku/>
              <w:overflowPunct/>
              <w:topLinePunct w:val="0"/>
              <w:bidi w:val="0"/>
              <w:spacing w:line="300" w:lineRule="auto"/>
              <w:ind w:right="288"/>
              <w:jc w:val="center"/>
              <w:rPr>
                <w:b/>
              </w:rPr>
            </w:pPr>
          </w:p>
        </w:tc>
        <w:tc>
          <w:tcPr>
            <w:tcW w:w="1188"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5" w:type="dxa"/>
            <w:noWrap w:val="0"/>
            <w:vAlign w:val="center"/>
          </w:tcPr>
          <w:p>
            <w:pPr>
              <w:kinsoku/>
              <w:overflowPunct/>
              <w:topLinePunct w:val="0"/>
              <w:bidi w:val="0"/>
              <w:spacing w:line="300" w:lineRule="auto"/>
              <w:ind w:right="288"/>
              <w:jc w:val="center"/>
              <w:rPr>
                <w:b/>
              </w:rPr>
            </w:pPr>
          </w:p>
        </w:tc>
        <w:tc>
          <w:tcPr>
            <w:tcW w:w="1471" w:type="dxa"/>
            <w:noWrap w:val="0"/>
            <w:vAlign w:val="center"/>
          </w:tcPr>
          <w:p>
            <w:pPr>
              <w:kinsoku/>
              <w:overflowPunct/>
              <w:topLinePunct w:val="0"/>
              <w:bidi w:val="0"/>
              <w:spacing w:line="300" w:lineRule="auto"/>
              <w:ind w:right="288"/>
              <w:jc w:val="center"/>
              <w:rPr>
                <w:b/>
              </w:rPr>
            </w:pPr>
          </w:p>
        </w:tc>
        <w:tc>
          <w:tcPr>
            <w:tcW w:w="96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c>
          <w:tcPr>
            <w:tcW w:w="1105" w:type="dxa"/>
            <w:noWrap w:val="0"/>
            <w:vAlign w:val="center"/>
          </w:tcPr>
          <w:p>
            <w:pPr>
              <w:kinsoku/>
              <w:overflowPunct/>
              <w:topLinePunct w:val="0"/>
              <w:bidi w:val="0"/>
              <w:spacing w:line="300" w:lineRule="auto"/>
              <w:ind w:right="288"/>
              <w:jc w:val="center"/>
              <w:rPr>
                <w:b/>
              </w:rPr>
            </w:pPr>
          </w:p>
        </w:tc>
        <w:tc>
          <w:tcPr>
            <w:tcW w:w="1188" w:type="dxa"/>
            <w:noWrap w:val="0"/>
            <w:vAlign w:val="center"/>
          </w:tcPr>
          <w:p>
            <w:pPr>
              <w:kinsoku/>
              <w:overflowPunct/>
              <w:topLinePunct w:val="0"/>
              <w:bidi w:val="0"/>
              <w:spacing w:line="300" w:lineRule="auto"/>
              <w:ind w:right="288"/>
              <w:jc w:val="center"/>
              <w:rPr>
                <w:b/>
              </w:rPr>
            </w:pPr>
          </w:p>
        </w:tc>
        <w:tc>
          <w:tcPr>
            <w:tcW w:w="1146" w:type="dxa"/>
            <w:noWrap w:val="0"/>
            <w:vAlign w:val="center"/>
          </w:tcPr>
          <w:p>
            <w:pPr>
              <w:kinsoku/>
              <w:overflowPunct/>
              <w:topLinePunct w:val="0"/>
              <w:bidi w:val="0"/>
              <w:spacing w:line="300" w:lineRule="auto"/>
              <w:ind w:right="288"/>
              <w:jc w:val="center"/>
              <w:rPr>
                <w:b/>
              </w:rPr>
            </w:pPr>
          </w:p>
        </w:tc>
      </w:tr>
    </w:tbl>
    <w:p>
      <w:pPr>
        <w:kinsoku/>
        <w:overflowPunct/>
        <w:topLinePunct w:val="0"/>
        <w:bidi w:val="0"/>
        <w:spacing w:line="300" w:lineRule="auto"/>
        <w:rPr>
          <w:rFonts w:hint="eastAsia" w:ascii="宋体" w:hAnsi="宋体"/>
          <w:b/>
          <w:bCs/>
        </w:rPr>
      </w:pPr>
      <w:r>
        <w:rPr>
          <w:rFonts w:hint="eastAsia" w:ascii="宋体" w:hAnsi="宋体"/>
          <w:b/>
          <w:bCs/>
        </w:rPr>
        <w:t>注：1.我方拟派该工程现场所有项目管理人员（技术负责人、施工员、安全员、材料员、质检员、资料员等）均已列入。</w:t>
      </w:r>
    </w:p>
    <w:p>
      <w:pPr>
        <w:kinsoku/>
        <w:overflowPunct/>
        <w:topLinePunct w:val="0"/>
        <w:bidi w:val="0"/>
        <w:spacing w:line="300" w:lineRule="auto"/>
        <w:rPr>
          <w:rFonts w:hint="eastAsia" w:ascii="宋体" w:hAnsi="宋体"/>
          <w:b/>
          <w:bCs/>
        </w:rPr>
      </w:pPr>
      <w:r>
        <w:rPr>
          <w:rFonts w:hint="eastAsia" w:ascii="宋体" w:hAnsi="宋体"/>
          <w:b/>
          <w:bCs/>
        </w:rPr>
        <w:t>2. 此表</w:t>
      </w:r>
      <w:r>
        <w:rPr>
          <w:rFonts w:hint="eastAsia" w:ascii="宋体" w:hAnsi="宋体"/>
          <w:b/>
          <w:bCs/>
          <w:lang w:eastAsia="zh-CN"/>
        </w:rPr>
        <w:t>磋商</w:t>
      </w:r>
      <w:r>
        <w:rPr>
          <w:rFonts w:hint="eastAsia" w:ascii="宋体" w:hAnsi="宋体"/>
          <w:b/>
          <w:bCs/>
        </w:rPr>
        <w:t>时不用提供；表格内人员必须满足行业主管部门备案要求，且需在合同签订时提供给业主方。</w:t>
      </w:r>
    </w:p>
    <w:p>
      <w:pPr>
        <w:kinsoku/>
        <w:overflowPunct/>
        <w:topLinePunct w:val="0"/>
        <w:bidi w:val="0"/>
        <w:spacing w:line="300" w:lineRule="auto"/>
        <w:rPr>
          <w:rFonts w:hint="eastAsia" w:ascii="宋体" w:hAnsi="宋体"/>
          <w:b/>
          <w:bCs/>
        </w:rPr>
      </w:pPr>
    </w:p>
    <w:p>
      <w:pPr>
        <w:kinsoku/>
        <w:overflowPunct/>
        <w:topLinePunct w:val="0"/>
        <w:bidi w:val="0"/>
        <w:spacing w:line="300" w:lineRule="auto"/>
        <w:ind w:left="4599" w:leftChars="2190"/>
        <w:rPr>
          <w:rFonts w:hint="eastAsia" w:ascii="Arial" w:hAnsi="Arial"/>
          <w:b/>
        </w:rPr>
      </w:pPr>
    </w:p>
    <w:p>
      <w:pPr>
        <w:kinsoku/>
        <w:overflowPunct/>
        <w:topLinePunct w:val="0"/>
        <w:bidi w:val="0"/>
        <w:spacing w:line="300" w:lineRule="auto"/>
        <w:ind w:left="4599" w:leftChars="2190"/>
        <w:rPr>
          <w:rFonts w:hint="eastAsia" w:ascii="Arial" w:hAnsi="Arial"/>
          <w:b/>
        </w:rPr>
      </w:pPr>
      <w:r>
        <w:rPr>
          <w:rFonts w:hint="eastAsia" w:ascii="Arial" w:hAnsi="Arial"/>
          <w:b/>
        </w:rPr>
        <w:t>磋商供应商（公章）</w:t>
      </w:r>
    </w:p>
    <w:p>
      <w:pPr>
        <w:kinsoku/>
        <w:overflowPunct/>
        <w:topLinePunct w:val="0"/>
        <w:bidi w:val="0"/>
        <w:spacing w:line="300" w:lineRule="auto"/>
        <w:ind w:firstLine="4605"/>
        <w:rPr>
          <w:rFonts w:hint="eastAsia" w:ascii="Arial" w:hAnsi="Arial"/>
          <w:b/>
        </w:rPr>
      </w:pPr>
      <w:r>
        <w:rPr>
          <w:rFonts w:hint="eastAsia" w:ascii="Arial" w:hAnsi="Arial"/>
          <w:b/>
        </w:rPr>
        <w:t>法定代表人或授权代表（签字或盖章）：</w:t>
      </w:r>
    </w:p>
    <w:p>
      <w:pPr>
        <w:kinsoku/>
        <w:overflowPunct/>
        <w:topLinePunct w:val="0"/>
        <w:bidi w:val="0"/>
        <w:spacing w:line="300" w:lineRule="auto"/>
        <w:ind w:firstLine="4605"/>
        <w:rPr>
          <w:rFonts w:hint="eastAsia"/>
        </w:rPr>
      </w:pPr>
      <w:r>
        <w:rPr>
          <w:rFonts w:hint="eastAsia" w:ascii="Arial" w:hAnsi="Arial"/>
          <w:b/>
        </w:rPr>
        <w:t xml:space="preserve">日    期：   </w:t>
      </w:r>
      <w:r>
        <w:rPr>
          <w:rFonts w:hint="eastAsia"/>
        </w:rPr>
        <w:t xml:space="preserve">     </w:t>
      </w:r>
    </w:p>
    <w:p>
      <w:pPr>
        <w:pStyle w:val="5"/>
        <w:kinsoku/>
        <w:overflowPunct/>
        <w:topLinePunct w:val="0"/>
        <w:bidi w:val="0"/>
        <w:spacing w:before="156" w:beforeLines="50" w:after="156" w:afterLines="50" w:line="300" w:lineRule="auto"/>
        <w:jc w:val="center"/>
      </w:pPr>
      <w:bookmarkStart w:id="2007" w:name="_Toc12718"/>
      <w:bookmarkStart w:id="2008" w:name="_Toc11408"/>
      <w:bookmarkStart w:id="2009" w:name="_Toc22629"/>
      <w:bookmarkStart w:id="2010" w:name="_Toc3904003"/>
      <w:bookmarkStart w:id="2011" w:name="_Toc3026"/>
      <w:bookmarkStart w:id="2012" w:name="_Toc30443"/>
      <w:r>
        <w:rPr>
          <w:rFonts w:hint="eastAsia"/>
        </w:rPr>
        <w:t>附件十</w:t>
      </w:r>
      <w:r>
        <w:rPr>
          <w:rFonts w:hint="eastAsia"/>
          <w:lang w:eastAsia="zh-CN"/>
        </w:rPr>
        <w:t>三</w:t>
      </w:r>
      <w:r>
        <w:rPr>
          <w:rFonts w:hint="eastAsia"/>
        </w:rPr>
        <w:t xml:space="preserve"> 《省外企业进浙承接业务备案证明》</w:t>
      </w:r>
      <w:bookmarkEnd w:id="2007"/>
      <w:bookmarkEnd w:id="2008"/>
      <w:bookmarkEnd w:id="2009"/>
      <w:bookmarkEnd w:id="2010"/>
      <w:bookmarkEnd w:id="2011"/>
      <w:bookmarkEnd w:id="2012"/>
    </w:p>
    <w:p>
      <w:pPr>
        <w:kinsoku/>
        <w:overflowPunct/>
        <w:topLinePunct w:val="0"/>
        <w:bidi w:val="0"/>
        <w:spacing w:line="300" w:lineRule="auto"/>
        <w:ind w:firstLine="420"/>
        <w:jc w:val="center"/>
        <w:rPr>
          <w:rFonts w:hint="eastAsia"/>
        </w:rPr>
      </w:pPr>
    </w:p>
    <w:p>
      <w:pPr>
        <w:kinsoku/>
        <w:overflowPunct/>
        <w:topLinePunct w:val="0"/>
        <w:bidi w:val="0"/>
        <w:spacing w:line="300" w:lineRule="auto"/>
        <w:ind w:firstLine="420"/>
        <w:jc w:val="center"/>
        <w:rPr>
          <w:rFonts w:hint="eastAsia"/>
        </w:rPr>
      </w:pPr>
      <w:r>
        <w:rPr>
          <w:rFonts w:hint="eastAsia"/>
        </w:rPr>
        <w:t>提供有效的《省外企业进浙承接业务备案证明》复印件加盖磋商供应商公章。</w:t>
      </w:r>
    </w:p>
    <w:p>
      <w:pPr>
        <w:kinsoku/>
        <w:overflowPunct/>
        <w:topLinePunct w:val="0"/>
        <w:bidi w:val="0"/>
        <w:spacing w:before="312" w:beforeLines="100" w:after="312" w:afterLines="100" w:line="300" w:lineRule="auto"/>
        <w:rPr>
          <w:rFonts w:hint="eastAsia" w:ascii="宋体" w:hAnsi="宋体"/>
          <w:szCs w:val="21"/>
        </w:rPr>
      </w:pPr>
    </w:p>
    <w:p>
      <w:pPr>
        <w:pStyle w:val="5"/>
        <w:kinsoku/>
        <w:overflowPunct/>
        <w:topLinePunct w:val="0"/>
        <w:bidi w:val="0"/>
        <w:spacing w:before="156" w:beforeLines="50" w:after="156" w:afterLines="50" w:line="300" w:lineRule="auto"/>
        <w:jc w:val="center"/>
        <w:rPr>
          <w:rFonts w:hint="eastAsia"/>
        </w:rPr>
      </w:pPr>
      <w:r>
        <w:rPr>
          <w:rFonts w:hint="eastAsia" w:ascii="宋体"/>
          <w:szCs w:val="21"/>
        </w:rPr>
        <w:br w:type="page"/>
      </w:r>
      <w:bookmarkStart w:id="2013" w:name="_Toc23046"/>
      <w:bookmarkStart w:id="2014" w:name="_Toc465"/>
      <w:bookmarkStart w:id="2015" w:name="_Toc3904004"/>
      <w:bookmarkStart w:id="2016" w:name="_Toc480985313"/>
      <w:bookmarkStart w:id="2017" w:name="_Toc18"/>
      <w:r>
        <w:rPr>
          <w:rFonts w:hint="eastAsia" w:ascii="黑体" w:hAnsi="黑体" w:eastAsia="黑体"/>
          <w:sz w:val="28"/>
          <w:szCs w:val="28"/>
        </w:rPr>
        <w:t>附件十</w:t>
      </w:r>
      <w:r>
        <w:rPr>
          <w:rFonts w:hint="eastAsia" w:ascii="黑体" w:hAnsi="黑体" w:eastAsia="黑体"/>
          <w:sz w:val="28"/>
          <w:szCs w:val="28"/>
          <w:lang w:eastAsia="zh-CN"/>
        </w:rPr>
        <w:t>四</w:t>
      </w:r>
      <w:r>
        <w:rPr>
          <w:rFonts w:hint="eastAsia" w:ascii="黑体" w:hAnsi="黑体" w:eastAsia="黑体"/>
          <w:sz w:val="28"/>
          <w:szCs w:val="28"/>
        </w:rPr>
        <w:t xml:space="preserve">    参加政府采购活动前3年内在经营活动中有/无重大违法记录（包括行贿犯罪记录）的书面声明</w:t>
      </w:r>
      <w:bookmarkEnd w:id="2013"/>
      <w:bookmarkEnd w:id="2014"/>
      <w:bookmarkEnd w:id="2015"/>
    </w:p>
    <w:p>
      <w:pPr>
        <w:kinsoku/>
        <w:overflowPunct/>
        <w:topLinePunct w:val="0"/>
        <w:bidi w:val="0"/>
        <w:spacing w:line="300" w:lineRule="auto"/>
        <w:rPr>
          <w:rFonts w:hint="eastAsia" w:ascii="宋体" w:eastAsia="宋体"/>
          <w:color w:val="000000"/>
          <w:szCs w:val="21"/>
          <w:lang w:eastAsia="zh-CN"/>
        </w:rPr>
      </w:pPr>
      <w:r>
        <w:rPr>
          <w:rFonts w:hint="eastAsia" w:ascii="宋体" w:hAnsi="宋体"/>
          <w:b/>
          <w:color w:val="000000"/>
          <w:szCs w:val="21"/>
        </w:rPr>
        <w:t>项目名称：</w:t>
      </w:r>
      <w:r>
        <w:rPr>
          <w:rFonts w:ascii="宋体" w:hAnsi="宋体"/>
          <w:b/>
          <w:color w:val="000000"/>
          <w:szCs w:val="21"/>
        </w:rPr>
        <w:t xml:space="preserve">                                     </w:t>
      </w:r>
      <w:r>
        <w:rPr>
          <w:rFonts w:hint="eastAsia" w:ascii="宋体" w:hAnsi="宋体"/>
          <w:b/>
          <w:color w:val="000000"/>
          <w:szCs w:val="21"/>
        </w:rPr>
        <w:t>项目编号：</w:t>
      </w:r>
      <w:r>
        <w:rPr>
          <w:rFonts w:hint="eastAsia" w:ascii="宋体" w:hAnsi="宋体"/>
          <w:b/>
          <w:color w:val="000000"/>
          <w:szCs w:val="21"/>
          <w:lang w:eastAsia="zh-CN"/>
        </w:rPr>
        <w:t>RACG201905028</w:t>
      </w:r>
    </w:p>
    <w:tbl>
      <w:tblPr>
        <w:tblStyle w:val="5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080" w:hRule="atLeast"/>
        </w:trPr>
        <w:tc>
          <w:tcPr>
            <w:tcW w:w="1418" w:type="dxa"/>
            <w:noWrap w:val="0"/>
            <w:vAlign w:val="center"/>
          </w:tcPr>
          <w:p>
            <w:pPr>
              <w:tabs>
                <w:tab w:val="left" w:pos="9180"/>
              </w:tabs>
              <w:kinsoku/>
              <w:overflowPunct/>
              <w:topLinePunct w:val="0"/>
              <w:bidi w:val="0"/>
              <w:spacing w:line="300" w:lineRule="auto"/>
              <w:jc w:val="center"/>
              <w:rPr>
                <w:rFonts w:ascii="Arial" w:hAnsi="宋体" w:cs="Arial"/>
                <w:snapToGrid w:val="0"/>
                <w:color w:val="000000"/>
                <w:szCs w:val="21"/>
              </w:rPr>
            </w:pPr>
            <w:r>
              <w:rPr>
                <w:rFonts w:hint="eastAsia" w:ascii="Arial" w:hAnsi="宋体" w:cs="Arial"/>
                <w:snapToGrid w:val="0"/>
                <w:color w:val="000000"/>
                <w:szCs w:val="21"/>
              </w:rPr>
              <w:t>参加政府采购活动前</w:t>
            </w:r>
            <w:r>
              <w:rPr>
                <w:rFonts w:ascii="Arial" w:hAnsi="宋体" w:cs="Arial"/>
                <w:snapToGrid w:val="0"/>
                <w:color w:val="000000"/>
                <w:szCs w:val="21"/>
              </w:rPr>
              <w:t>3</w:t>
            </w:r>
            <w:r>
              <w:rPr>
                <w:rFonts w:hint="eastAsia" w:ascii="Arial" w:hAnsi="宋体" w:cs="Arial"/>
                <w:snapToGrid w:val="0"/>
                <w:color w:val="000000"/>
                <w:szCs w:val="21"/>
              </w:rPr>
              <w:t>年内重大违法记录</w:t>
            </w:r>
          </w:p>
        </w:tc>
        <w:tc>
          <w:tcPr>
            <w:tcW w:w="7654" w:type="dxa"/>
            <w:noWrap w:val="0"/>
            <w:vAlign w:val="center"/>
          </w:tcPr>
          <w:p>
            <w:pPr>
              <w:pStyle w:val="4"/>
              <w:keepNext w:val="0"/>
              <w:keepLines w:val="0"/>
              <w:pageBreakBefore/>
              <w:kinsoku/>
              <w:overflowPunct/>
              <w:topLinePunct w:val="0"/>
              <w:bidi w:val="0"/>
              <w:spacing w:before="312" w:beforeLines="100" w:after="312" w:afterLines="100" w:line="300" w:lineRule="auto"/>
              <w:rPr>
                <w:rFonts w:ascii="Arial" w:hAnsi="宋体" w:cs="Arial"/>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73" w:hRule="atLeast"/>
        </w:trPr>
        <w:tc>
          <w:tcPr>
            <w:tcW w:w="1418" w:type="dxa"/>
            <w:noWrap w:val="0"/>
            <w:vAlign w:val="center"/>
          </w:tcPr>
          <w:p>
            <w:pPr>
              <w:tabs>
                <w:tab w:val="left" w:pos="9180"/>
              </w:tabs>
              <w:kinsoku/>
              <w:overflowPunct/>
              <w:topLinePunct w:val="0"/>
              <w:bidi w:val="0"/>
              <w:spacing w:line="300" w:lineRule="auto"/>
              <w:jc w:val="center"/>
              <w:rPr>
                <w:rFonts w:ascii="Arial" w:hAnsi="宋体" w:cs="Arial"/>
                <w:snapToGrid w:val="0"/>
                <w:color w:val="000000"/>
                <w:szCs w:val="21"/>
              </w:rPr>
            </w:pPr>
            <w:r>
              <w:rPr>
                <w:rFonts w:hint="eastAsia" w:ascii="Arial" w:hAnsi="宋体" w:cs="Arial"/>
                <w:snapToGrid w:val="0"/>
                <w:color w:val="000000"/>
                <w:szCs w:val="21"/>
              </w:rPr>
              <w:t>参加政府采购活动前</w:t>
            </w:r>
            <w:r>
              <w:rPr>
                <w:rFonts w:ascii="Arial" w:hAnsi="宋体" w:cs="Arial"/>
                <w:snapToGrid w:val="0"/>
                <w:color w:val="000000"/>
                <w:szCs w:val="21"/>
              </w:rPr>
              <w:t>3</w:t>
            </w:r>
            <w:r>
              <w:rPr>
                <w:rFonts w:hint="eastAsia" w:ascii="Arial" w:hAnsi="宋体" w:cs="Arial"/>
                <w:snapToGrid w:val="0"/>
                <w:color w:val="000000"/>
                <w:szCs w:val="21"/>
              </w:rPr>
              <w:t>年内行贿犯罪记录</w:t>
            </w:r>
          </w:p>
        </w:tc>
        <w:tc>
          <w:tcPr>
            <w:tcW w:w="7654" w:type="dxa"/>
            <w:noWrap w:val="0"/>
            <w:vAlign w:val="center"/>
          </w:tcPr>
          <w:p>
            <w:pPr>
              <w:pStyle w:val="23"/>
              <w:kinsoku/>
              <w:overflowPunct/>
              <w:topLinePunct w:val="0"/>
              <w:bidi w:val="0"/>
              <w:spacing w:after="50" w:line="300" w:lineRule="auto"/>
              <w:jc w:val="center"/>
              <w:outlineLvl w:val="0"/>
              <w:rPr>
                <w:rFonts w:ascii="Arial" w:hAnsi="宋体" w:cs="Arial"/>
                <w:bCs/>
                <w:color w:val="000000"/>
                <w:szCs w:val="21"/>
              </w:rPr>
            </w:pPr>
          </w:p>
        </w:tc>
      </w:tr>
    </w:tbl>
    <w:p>
      <w:pPr>
        <w:tabs>
          <w:tab w:val="left" w:pos="9180"/>
        </w:tabs>
        <w:kinsoku/>
        <w:overflowPunct/>
        <w:topLinePunct w:val="0"/>
        <w:bidi w:val="0"/>
        <w:spacing w:line="300" w:lineRule="auto"/>
        <w:rPr>
          <w:rFonts w:ascii="Arial" w:hAnsi="宋体" w:cs="Arial"/>
          <w:snapToGrid w:val="0"/>
          <w:color w:val="000000"/>
          <w:szCs w:val="21"/>
        </w:rPr>
      </w:pPr>
      <w:r>
        <w:rPr>
          <w:rFonts w:hint="eastAsia" w:ascii="Arial" w:hAnsi="宋体" w:cs="Arial"/>
          <w:snapToGrid w:val="0"/>
          <w:color w:val="000000"/>
          <w:szCs w:val="21"/>
        </w:rPr>
        <w:t>备注：</w:t>
      </w:r>
      <w:r>
        <w:rPr>
          <w:rFonts w:ascii="Arial" w:hAnsi="宋体" w:cs="Arial"/>
          <w:snapToGrid w:val="0"/>
          <w:color w:val="000000"/>
          <w:szCs w:val="21"/>
        </w:rPr>
        <w:t>1</w:t>
      </w:r>
      <w:r>
        <w:rPr>
          <w:rFonts w:hint="eastAsia" w:ascii="Arial" w:hAnsi="宋体" w:cs="Arial"/>
          <w:snapToGrid w:val="0"/>
          <w:color w:val="000000"/>
          <w:szCs w:val="21"/>
        </w:rPr>
        <w:t>、参加政府采购活动的时间是指供应商参加本项目的政府采购活动时间为准（具体以</w:t>
      </w:r>
      <w:r>
        <w:rPr>
          <w:rFonts w:hint="eastAsia" w:ascii="Arial" w:hAnsi="宋体" w:cs="Arial"/>
          <w:snapToGrid w:val="0"/>
          <w:color w:val="000000"/>
          <w:szCs w:val="21"/>
          <w:lang w:eastAsia="zh-CN"/>
        </w:rPr>
        <w:t>磋商</w:t>
      </w:r>
      <w:r>
        <w:rPr>
          <w:rFonts w:hint="eastAsia" w:ascii="Arial" w:hAnsi="宋体" w:cs="Arial"/>
          <w:snapToGrid w:val="0"/>
          <w:color w:val="000000"/>
          <w:szCs w:val="21"/>
        </w:rPr>
        <w:t>截止时间为准）。</w:t>
      </w:r>
    </w:p>
    <w:p>
      <w:pPr>
        <w:tabs>
          <w:tab w:val="left" w:pos="9180"/>
        </w:tabs>
        <w:kinsoku/>
        <w:overflowPunct/>
        <w:topLinePunct w:val="0"/>
        <w:bidi w:val="0"/>
        <w:spacing w:line="300" w:lineRule="auto"/>
        <w:ind w:firstLine="525" w:firstLineChars="250"/>
        <w:rPr>
          <w:rFonts w:ascii="Arial" w:hAnsi="宋体" w:cs="Arial"/>
          <w:snapToGrid w:val="0"/>
          <w:color w:val="000000"/>
          <w:szCs w:val="21"/>
        </w:rPr>
      </w:pPr>
      <w:r>
        <w:rPr>
          <w:rFonts w:ascii="Arial" w:hAnsi="宋体" w:cs="Arial"/>
          <w:snapToGrid w:val="0"/>
          <w:color w:val="000000"/>
          <w:szCs w:val="21"/>
        </w:rPr>
        <w:t>2</w:t>
      </w:r>
      <w:r>
        <w:rPr>
          <w:rFonts w:hint="eastAsia" w:ascii="Arial" w:hAnsi="宋体" w:cs="Arial"/>
          <w:snapToGrid w:val="0"/>
          <w:color w:val="000000"/>
          <w:szCs w:val="21"/>
        </w:rPr>
        <w:t>、本表必须提供。</w:t>
      </w:r>
    </w:p>
    <w:p>
      <w:pPr>
        <w:kinsoku/>
        <w:overflowPunct/>
        <w:topLinePunct w:val="0"/>
        <w:bidi w:val="0"/>
        <w:spacing w:before="312" w:beforeLines="100" w:after="312" w:afterLines="100" w:line="300" w:lineRule="auto"/>
        <w:ind w:left="4620" w:leftChars="2200"/>
        <w:rPr>
          <w:rFonts w:hint="eastAsia" w:ascii="宋体" w:hAnsi="宋体"/>
          <w:color w:val="000000"/>
          <w:szCs w:val="21"/>
        </w:rPr>
      </w:pPr>
      <w:bookmarkStart w:id="2018" w:name="_Toc18868"/>
      <w:bookmarkStart w:id="2019" w:name="_Toc499802203"/>
      <w:bookmarkStart w:id="2020" w:name="_Toc433808006"/>
      <w:bookmarkStart w:id="2021" w:name="_Toc453158716"/>
      <w:bookmarkStart w:id="2022" w:name="_Toc486931334"/>
      <w:bookmarkStart w:id="2023" w:name="_Toc384303168"/>
      <w:r>
        <w:rPr>
          <w:rFonts w:hint="eastAsia" w:ascii="宋体" w:hAnsi="宋体"/>
          <w:color w:val="000000"/>
          <w:szCs w:val="21"/>
        </w:rPr>
        <w:t>磋商供应商（盖章）：</w:t>
      </w:r>
    </w:p>
    <w:p>
      <w:pPr>
        <w:kinsoku/>
        <w:overflowPunct/>
        <w:topLinePunct w:val="0"/>
        <w:bidi w:val="0"/>
        <w:spacing w:before="312" w:beforeLines="100" w:after="312" w:afterLines="100" w:line="300" w:lineRule="auto"/>
        <w:ind w:left="4620" w:leftChars="2200"/>
        <w:rPr>
          <w:rFonts w:hint="eastAsia" w:ascii="宋体" w:hAnsi="宋体"/>
          <w:color w:val="000000"/>
          <w:szCs w:val="21"/>
        </w:rPr>
      </w:pPr>
      <w:r>
        <w:rPr>
          <w:rFonts w:hint="eastAsia" w:ascii="宋体" w:hAnsi="宋体"/>
          <w:color w:val="000000"/>
          <w:szCs w:val="21"/>
        </w:rPr>
        <w:t>法定代表人或授权代表（签字或盖章）：</w:t>
      </w:r>
    </w:p>
    <w:p>
      <w:pPr>
        <w:kinsoku/>
        <w:overflowPunct/>
        <w:topLinePunct w:val="0"/>
        <w:bidi w:val="0"/>
        <w:spacing w:before="312" w:beforeLines="100" w:after="312" w:afterLines="100" w:line="300" w:lineRule="auto"/>
        <w:ind w:left="4620" w:leftChars="2200"/>
        <w:rPr>
          <w:rFonts w:hint="eastAsia" w:ascii="宋体" w:hAnsi="宋体"/>
          <w:color w:val="000000"/>
          <w:szCs w:val="21"/>
        </w:rPr>
      </w:pPr>
      <w:r>
        <w:rPr>
          <w:rFonts w:hint="eastAsia" w:ascii="宋体" w:hAnsi="宋体"/>
          <w:color w:val="000000"/>
          <w:szCs w:val="21"/>
        </w:rPr>
        <w:t>日      期：    年   月     日</w:t>
      </w:r>
    </w:p>
    <w:p>
      <w:pPr>
        <w:pStyle w:val="5"/>
        <w:keepNext w:val="0"/>
        <w:keepLines w:val="0"/>
        <w:pageBreakBefore/>
        <w:widowControl w:val="0"/>
        <w:kinsoku/>
        <w:overflowPunct/>
        <w:topLinePunct w:val="0"/>
        <w:bidi w:val="0"/>
        <w:adjustRightInd w:val="0"/>
        <w:snapToGrid w:val="0"/>
        <w:spacing w:before="312" w:beforeLines="100" w:after="312" w:afterLines="100" w:line="300" w:lineRule="auto"/>
        <w:jc w:val="center"/>
        <w:rPr>
          <w:rFonts w:hint="eastAsia" w:hAnsi="宋体"/>
          <w:color w:val="000000"/>
          <w:sz w:val="28"/>
          <w:szCs w:val="36"/>
        </w:rPr>
      </w:pPr>
      <w:bookmarkStart w:id="2024" w:name="_Toc532889188"/>
      <w:bookmarkStart w:id="2025" w:name="_Toc3904005"/>
      <w:bookmarkStart w:id="2026" w:name="_Toc16306"/>
      <w:bookmarkStart w:id="2027" w:name="_Toc4056"/>
      <w:r>
        <w:rPr>
          <w:rFonts w:hint="eastAsia" w:hAnsi="宋体"/>
          <w:color w:val="000000"/>
          <w:sz w:val="28"/>
          <w:szCs w:val="36"/>
        </w:rPr>
        <w:t>附件十</w:t>
      </w:r>
      <w:r>
        <w:rPr>
          <w:rFonts w:hint="eastAsia" w:hAnsi="宋体"/>
          <w:color w:val="000000"/>
          <w:sz w:val="28"/>
          <w:szCs w:val="36"/>
          <w:lang w:eastAsia="zh-CN"/>
        </w:rPr>
        <w:t>五</w:t>
      </w:r>
      <w:r>
        <w:rPr>
          <w:rFonts w:hint="eastAsia" w:hAnsi="宋体"/>
          <w:color w:val="000000"/>
          <w:sz w:val="28"/>
          <w:szCs w:val="36"/>
        </w:rPr>
        <w:t xml:space="preserve">   中小企业声明函</w:t>
      </w:r>
      <w:bookmarkEnd w:id="2018"/>
      <w:bookmarkEnd w:id="2024"/>
      <w:bookmarkEnd w:id="2025"/>
      <w:bookmarkEnd w:id="2026"/>
      <w:bookmarkEnd w:id="2027"/>
    </w:p>
    <w:p>
      <w:pPr>
        <w:kinsoku/>
        <w:overflowPunct/>
        <w:topLinePunct w:val="0"/>
        <w:bidi w:val="0"/>
        <w:spacing w:before="100" w:beforeAutospacing="1" w:after="100" w:afterAutospacing="1" w:line="300" w:lineRule="auto"/>
        <w:jc w:val="center"/>
        <w:rPr>
          <w:rFonts w:ascii="宋体" w:cs="宋体"/>
          <w:color w:val="000000"/>
          <w:szCs w:val="21"/>
        </w:rPr>
      </w:pPr>
    </w:p>
    <w:p>
      <w:pPr>
        <w:kinsoku/>
        <w:overflowPunct/>
        <w:topLinePunct w:val="0"/>
        <w:bidi w:val="0"/>
        <w:spacing w:line="300" w:lineRule="auto"/>
        <w:ind w:right="6" w:firstLine="420" w:firstLineChars="200"/>
        <w:rPr>
          <w:rFonts w:ascii="宋体"/>
          <w:color w:val="000000"/>
        </w:rPr>
      </w:pPr>
      <w:r>
        <w:rPr>
          <w:rFonts w:hint="eastAsia" w:ascii="宋体" w:hAnsi="宋体"/>
          <w:color w:val="000000"/>
        </w:rPr>
        <w:t>本公司郑重声明，根据《政府采购促进中小企业发展暂行办法》（财库〔</w:t>
      </w:r>
      <w:r>
        <w:rPr>
          <w:rFonts w:ascii="宋体" w:hAnsi="宋体"/>
          <w:color w:val="000000"/>
        </w:rPr>
        <w:t>2011</w:t>
      </w:r>
      <w:r>
        <w:rPr>
          <w:rFonts w:hint="eastAsia" w:ascii="宋体" w:hAnsi="宋体"/>
          <w:color w:val="000000"/>
        </w:rPr>
        <w:t>〕</w:t>
      </w:r>
      <w:r>
        <w:rPr>
          <w:rFonts w:ascii="宋体" w:hAnsi="宋体"/>
          <w:color w:val="000000"/>
        </w:rPr>
        <w:t>181</w:t>
      </w:r>
      <w:r>
        <w:rPr>
          <w:rFonts w:hint="eastAsia" w:ascii="宋体" w:hAnsi="宋体"/>
          <w:color w:val="000000"/>
        </w:rPr>
        <w:t>号）的规定，本公司为</w:t>
      </w:r>
      <w:r>
        <w:rPr>
          <w:rFonts w:ascii="宋体" w:hAnsi="宋体"/>
          <w:color w:val="000000"/>
        </w:rPr>
        <w:t>______</w:t>
      </w:r>
      <w:r>
        <w:rPr>
          <w:rFonts w:hint="eastAsia" w:ascii="宋体" w:hAnsi="宋体"/>
          <w:color w:val="000000"/>
        </w:rPr>
        <w:t>（请填写：中型、小型、微型）企业。即，本公司同时满足以下条件：</w:t>
      </w:r>
      <w:r>
        <w:rPr>
          <w:rFonts w:ascii="宋体"/>
          <w:color w:val="000000"/>
        </w:rPr>
        <w:br w:type="textWrapping"/>
      </w:r>
      <w:r>
        <w:rPr>
          <w:rFonts w:ascii="宋体" w:hAnsi="宋体"/>
          <w:color w:val="000000"/>
        </w:rPr>
        <w:t xml:space="preserve">   1.</w:t>
      </w:r>
      <w:r>
        <w:rPr>
          <w:rFonts w:hint="eastAsia" w:ascii="宋体" w:hAnsi="宋体"/>
          <w:color w:val="000000"/>
        </w:rPr>
        <w:t>根据《工业和信息化部、国家统计局、国家发展和改革委员会、财政部关于印发中小企业划型标准规定的通知》（工信部联企业〔</w:t>
      </w:r>
      <w:r>
        <w:rPr>
          <w:rFonts w:ascii="宋体" w:hAnsi="宋体"/>
          <w:color w:val="000000"/>
        </w:rPr>
        <w:t>2011</w:t>
      </w:r>
      <w:r>
        <w:rPr>
          <w:rFonts w:hint="eastAsia" w:ascii="宋体" w:hAnsi="宋体"/>
          <w:color w:val="000000"/>
        </w:rPr>
        <w:t>〕</w:t>
      </w:r>
      <w:r>
        <w:rPr>
          <w:rFonts w:ascii="宋体" w:hAnsi="宋体"/>
          <w:color w:val="000000"/>
        </w:rPr>
        <w:t>300</w:t>
      </w:r>
      <w:r>
        <w:rPr>
          <w:rFonts w:hint="eastAsia" w:ascii="宋体" w:hAnsi="宋体"/>
          <w:color w:val="000000"/>
        </w:rPr>
        <w:t>号）规定的划分标准，本公司为</w:t>
      </w:r>
      <w:r>
        <w:rPr>
          <w:rFonts w:ascii="宋体" w:hAnsi="宋体"/>
          <w:color w:val="000000"/>
        </w:rPr>
        <w:t>______</w:t>
      </w:r>
      <w:r>
        <w:rPr>
          <w:rFonts w:hint="eastAsia" w:ascii="宋体" w:hAnsi="宋体"/>
          <w:color w:val="000000"/>
        </w:rPr>
        <w:t>（请填写：中型、小型、微型）企业。</w:t>
      </w:r>
      <w:r>
        <w:rPr>
          <w:rFonts w:ascii="宋体"/>
          <w:color w:val="000000"/>
        </w:rPr>
        <w:br w:type="textWrapping"/>
      </w:r>
      <w:r>
        <w:rPr>
          <w:rFonts w:ascii="宋体" w:hAnsi="宋体"/>
          <w:color w:val="000000"/>
        </w:rPr>
        <w:t xml:space="preserve">   2.</w:t>
      </w:r>
      <w:r>
        <w:rPr>
          <w:rFonts w:hint="eastAsia" w:ascii="宋体" w:hAnsi="宋体"/>
          <w:color w:val="000000"/>
        </w:rPr>
        <w:t>本公司参加</w:t>
      </w:r>
      <w:r>
        <w:rPr>
          <w:rFonts w:ascii="宋体" w:hAnsi="宋体"/>
          <w:color w:val="000000"/>
        </w:rPr>
        <w:t>______</w:t>
      </w:r>
      <w:r>
        <w:rPr>
          <w:rFonts w:hint="eastAsia" w:ascii="宋体" w:hAnsi="宋体"/>
          <w:color w:val="000000"/>
        </w:rPr>
        <w:t>单位的</w:t>
      </w:r>
      <w:r>
        <w:rPr>
          <w:rFonts w:ascii="宋体" w:hAnsi="宋体"/>
          <w:color w:val="000000"/>
        </w:rPr>
        <w:t>______</w:t>
      </w:r>
      <w:r>
        <w:rPr>
          <w:rFonts w:hint="eastAsia" w:ascii="宋体" w:hAnsi="宋体"/>
          <w:color w:val="000000"/>
        </w:rPr>
        <w:t>项目采购活动提供本企业制造的货物，由本企业承担工程、提供服务，或者提供其他</w:t>
      </w:r>
      <w:r>
        <w:rPr>
          <w:rFonts w:ascii="宋体" w:hAnsi="宋体"/>
          <w:color w:val="000000"/>
        </w:rPr>
        <w:t>______</w:t>
      </w:r>
      <w:r>
        <w:rPr>
          <w:rFonts w:hint="eastAsia" w:ascii="宋体" w:hAnsi="宋体"/>
          <w:color w:val="000000"/>
        </w:rPr>
        <w:t>（请填写：中型、小型、微型）企业制造的货物。本条所称货物不包括使用大型企业注册商标的货物。</w:t>
      </w:r>
    </w:p>
    <w:p>
      <w:pPr>
        <w:kinsoku/>
        <w:overflowPunct/>
        <w:topLinePunct w:val="0"/>
        <w:bidi w:val="0"/>
        <w:spacing w:line="300" w:lineRule="auto"/>
        <w:ind w:right="6" w:firstLine="211" w:firstLineChars="100"/>
        <w:rPr>
          <w:rFonts w:ascii="宋体"/>
          <w:b/>
          <w:color w:val="000000"/>
        </w:rPr>
      </w:pPr>
      <w:r>
        <w:rPr>
          <w:rFonts w:hint="eastAsia" w:ascii="宋体" w:hAnsi="宋体"/>
          <w:b/>
          <w:color w:val="000000"/>
        </w:rPr>
        <w:t>本公司对上述声明的真实性负责。如有虚假，将依法承担相应责任。</w:t>
      </w:r>
    </w:p>
    <w:p>
      <w:pPr>
        <w:kinsoku/>
        <w:overflowPunct/>
        <w:topLinePunct w:val="0"/>
        <w:bidi w:val="0"/>
        <w:spacing w:line="300" w:lineRule="auto"/>
        <w:ind w:right="6" w:firstLine="211" w:firstLineChars="100"/>
        <w:rPr>
          <w:rFonts w:ascii="宋体"/>
          <w:b/>
          <w:color w:val="000000"/>
        </w:rPr>
      </w:pPr>
    </w:p>
    <w:p>
      <w:pPr>
        <w:kinsoku/>
        <w:overflowPunct/>
        <w:topLinePunct w:val="0"/>
        <w:bidi w:val="0"/>
        <w:spacing w:line="300" w:lineRule="auto"/>
        <w:rPr>
          <w:color w:val="000000"/>
        </w:rPr>
      </w:pPr>
      <w:r>
        <w:rPr>
          <w:rFonts w:ascii="宋体" w:hAnsi="宋体"/>
          <w:color w:val="000000"/>
          <w:szCs w:val="21"/>
        </w:rPr>
        <w:t xml:space="preserve">                                  </w:t>
      </w:r>
    </w:p>
    <w:p>
      <w:pPr>
        <w:kinsoku/>
        <w:overflowPunct/>
        <w:topLinePunct w:val="0"/>
        <w:bidi w:val="0"/>
        <w:spacing w:line="300" w:lineRule="auto"/>
        <w:ind w:firstLine="4830" w:firstLineChars="2300"/>
        <w:rPr>
          <w:rFonts w:ascii="Arial" w:hAnsi="Arial"/>
          <w:color w:val="000000"/>
        </w:rPr>
      </w:pPr>
      <w:r>
        <w:rPr>
          <w:rFonts w:hint="eastAsia" w:ascii="Arial" w:hAnsi="Arial"/>
          <w:color w:val="000000"/>
        </w:rPr>
        <w:t>磋商供应商（公章）：</w:t>
      </w:r>
    </w:p>
    <w:p>
      <w:pPr>
        <w:kinsoku/>
        <w:overflowPunct/>
        <w:topLinePunct w:val="0"/>
        <w:bidi w:val="0"/>
        <w:spacing w:before="312" w:beforeLines="100" w:after="312" w:afterLines="100" w:line="300" w:lineRule="auto"/>
        <w:ind w:left="4620" w:leftChars="2200" w:firstLine="210" w:firstLineChars="100"/>
        <w:rPr>
          <w:rFonts w:ascii="宋体"/>
          <w:color w:val="000000"/>
        </w:rPr>
      </w:pPr>
      <w:r>
        <w:rPr>
          <w:rFonts w:hint="eastAsia" w:ascii="宋体" w:hAnsi="宋体"/>
          <w:color w:val="000000"/>
          <w:szCs w:val="21"/>
        </w:rPr>
        <w:t>日期：</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p>
      <w:pPr>
        <w:numPr>
          <w:ilvl w:val="1"/>
          <w:numId w:val="28"/>
        </w:numPr>
        <w:tabs>
          <w:tab w:val="left" w:pos="420"/>
          <w:tab w:val="clear" w:pos="1244"/>
        </w:tabs>
        <w:kinsoku/>
        <w:overflowPunct/>
        <w:topLinePunct w:val="0"/>
        <w:bidi w:val="0"/>
        <w:spacing w:before="100" w:beforeAutospacing="1" w:after="100" w:afterAutospacing="1" w:line="300" w:lineRule="auto"/>
        <w:ind w:left="420"/>
        <w:rPr>
          <w:rFonts w:hAnsi="宋体"/>
          <w:b/>
          <w:color w:val="000000"/>
          <w:szCs w:val="21"/>
        </w:rPr>
      </w:pPr>
      <w:r>
        <w:rPr>
          <w:rFonts w:hint="eastAsia" w:hAnsi="宋体"/>
          <w:b/>
          <w:color w:val="000000"/>
          <w:szCs w:val="21"/>
        </w:rPr>
        <w:t>如为小微企业投标，需提供中小企业声明函并符合《工业和信息化部、国家统计局、国家发展和改革委员会、财政部关于印发中小企业划型标准规定的通知》（工信部联企业〔</w:t>
      </w:r>
      <w:r>
        <w:rPr>
          <w:b/>
          <w:color w:val="000000"/>
          <w:szCs w:val="21"/>
        </w:rPr>
        <w:t>2011</w:t>
      </w:r>
      <w:r>
        <w:rPr>
          <w:rFonts w:hint="eastAsia" w:hAnsi="宋体"/>
          <w:b/>
          <w:color w:val="000000"/>
          <w:szCs w:val="21"/>
        </w:rPr>
        <w:t>〕</w:t>
      </w:r>
      <w:r>
        <w:rPr>
          <w:b/>
          <w:color w:val="000000"/>
          <w:szCs w:val="21"/>
        </w:rPr>
        <w:t>300</w:t>
      </w:r>
      <w:r>
        <w:rPr>
          <w:rFonts w:hint="eastAsia" w:hAnsi="宋体"/>
          <w:b/>
          <w:color w:val="000000"/>
          <w:szCs w:val="21"/>
        </w:rPr>
        <w:t>号）规定的小、微企业的划型标准规定。</w:t>
      </w:r>
    </w:p>
    <w:p>
      <w:pPr>
        <w:numPr>
          <w:ilvl w:val="1"/>
          <w:numId w:val="28"/>
        </w:numPr>
        <w:tabs>
          <w:tab w:val="left" w:pos="420"/>
          <w:tab w:val="clear" w:pos="1244"/>
        </w:tabs>
        <w:kinsoku/>
        <w:overflowPunct/>
        <w:topLinePunct w:val="0"/>
        <w:bidi w:val="0"/>
        <w:spacing w:before="100" w:beforeAutospacing="1" w:after="100" w:afterAutospacing="1" w:line="300" w:lineRule="auto"/>
        <w:ind w:left="420"/>
        <w:rPr>
          <w:rFonts w:hAnsi="宋体"/>
          <w:b/>
          <w:color w:val="000000"/>
          <w:szCs w:val="21"/>
        </w:rPr>
      </w:pPr>
      <w:r>
        <w:rPr>
          <w:rFonts w:hint="eastAsia" w:hAnsi="宋体"/>
          <w:b/>
          <w:color w:val="000000"/>
          <w:szCs w:val="21"/>
        </w:rPr>
        <w:t>小型、微型企业提供中型企业制造的货物的，视同为中型企业。</w:t>
      </w:r>
    </w:p>
    <w:p>
      <w:pPr>
        <w:numPr>
          <w:ilvl w:val="1"/>
          <w:numId w:val="28"/>
        </w:numPr>
        <w:tabs>
          <w:tab w:val="left" w:pos="420"/>
          <w:tab w:val="clear" w:pos="1244"/>
        </w:tabs>
        <w:kinsoku/>
        <w:overflowPunct/>
        <w:topLinePunct w:val="0"/>
        <w:bidi w:val="0"/>
        <w:spacing w:before="100" w:beforeAutospacing="1" w:after="100" w:afterAutospacing="1" w:line="300" w:lineRule="auto"/>
        <w:ind w:left="420"/>
        <w:rPr>
          <w:rFonts w:hint="eastAsia" w:hAnsi="宋体"/>
          <w:b/>
          <w:color w:val="000000"/>
          <w:szCs w:val="21"/>
        </w:rPr>
      </w:pPr>
      <w:r>
        <w:rPr>
          <w:rFonts w:hint="eastAsia" w:hAnsi="宋体"/>
          <w:b/>
          <w:color w:val="000000"/>
          <w:szCs w:val="21"/>
        </w:rPr>
        <w:t>如中标人声明为小微企业，本声明函将随中标结果同时公告，接受社会监督。</w:t>
      </w:r>
      <w:bookmarkEnd w:id="2019"/>
      <w:bookmarkEnd w:id="2020"/>
      <w:bookmarkEnd w:id="2021"/>
      <w:bookmarkEnd w:id="2022"/>
      <w:bookmarkEnd w:id="2023"/>
    </w:p>
    <w:p>
      <w:pPr>
        <w:kinsoku/>
        <w:overflowPunct/>
        <w:topLinePunct w:val="0"/>
        <w:bidi w:val="0"/>
        <w:spacing w:line="300" w:lineRule="auto"/>
        <w:jc w:val="center"/>
        <w:outlineLvl w:val="1"/>
        <w:rPr>
          <w:color w:val="000000"/>
        </w:rPr>
      </w:pPr>
      <w:r>
        <w:rPr>
          <w:color w:val="000000"/>
        </w:rPr>
        <w:br w:type="page"/>
      </w:r>
      <w:bookmarkStart w:id="2028" w:name="_Toc23045"/>
      <w:bookmarkStart w:id="2029" w:name="_Toc518546796"/>
      <w:bookmarkStart w:id="2030" w:name="_Toc11586"/>
      <w:bookmarkStart w:id="2031" w:name="_Toc532889189"/>
      <w:bookmarkStart w:id="2032" w:name="_Toc3904006"/>
      <w:r>
        <w:rPr>
          <w:rFonts w:hint="eastAsia" w:ascii="Cambria" w:hAnsi="宋体"/>
          <w:b/>
          <w:bCs/>
          <w:color w:val="000000"/>
          <w:kern w:val="44"/>
          <w:sz w:val="28"/>
          <w:szCs w:val="36"/>
        </w:rPr>
        <w:t>附件</w:t>
      </w:r>
      <w:bookmarkStart w:id="2033" w:name="OLE_LINK13"/>
      <w:r>
        <w:rPr>
          <w:rFonts w:hint="eastAsia" w:ascii="Cambria" w:hAnsi="宋体"/>
          <w:b/>
          <w:bCs/>
          <w:color w:val="000000"/>
          <w:kern w:val="44"/>
          <w:sz w:val="28"/>
          <w:szCs w:val="36"/>
        </w:rPr>
        <w:t>十</w:t>
      </w:r>
      <w:r>
        <w:rPr>
          <w:rFonts w:hint="eastAsia" w:ascii="Cambria" w:hAnsi="宋体"/>
          <w:b/>
          <w:bCs/>
          <w:color w:val="000000"/>
          <w:kern w:val="44"/>
          <w:sz w:val="28"/>
          <w:szCs w:val="36"/>
          <w:lang w:eastAsia="zh-CN"/>
        </w:rPr>
        <w:t>六</w:t>
      </w:r>
      <w:r>
        <w:rPr>
          <w:rFonts w:hint="eastAsia" w:ascii="Cambria" w:hAnsi="宋体"/>
          <w:b/>
          <w:bCs/>
          <w:color w:val="000000"/>
          <w:kern w:val="44"/>
          <w:sz w:val="28"/>
          <w:szCs w:val="36"/>
        </w:rPr>
        <w:t xml:space="preserve">    残疾人福利性单位声明函</w:t>
      </w:r>
      <w:bookmarkEnd w:id="2028"/>
      <w:bookmarkEnd w:id="2029"/>
      <w:bookmarkEnd w:id="2030"/>
      <w:bookmarkEnd w:id="2031"/>
      <w:bookmarkEnd w:id="2032"/>
    </w:p>
    <w:bookmarkEnd w:id="2033"/>
    <w:p>
      <w:pPr>
        <w:kinsoku/>
        <w:overflowPunct/>
        <w:topLinePunct w:val="0"/>
        <w:bidi w:val="0"/>
        <w:spacing w:line="300" w:lineRule="auto"/>
        <w:rPr>
          <w:rFonts w:ascii="仿宋_GB2312" w:eastAsia="仿宋_GB2312"/>
          <w:b/>
          <w:color w:val="000000"/>
          <w:spacing w:val="6"/>
          <w:sz w:val="30"/>
          <w:szCs w:val="30"/>
        </w:rPr>
      </w:pPr>
    </w:p>
    <w:p>
      <w:pPr>
        <w:kinsoku/>
        <w:overflowPunct/>
        <w:topLinePunct w:val="0"/>
        <w:bidi w:val="0"/>
        <w:spacing w:line="300" w:lineRule="auto"/>
        <w:ind w:firstLine="420" w:firstLineChars="200"/>
        <w:rPr>
          <w:rFonts w:ascii="宋体"/>
          <w:color w:val="000000"/>
        </w:rPr>
      </w:pPr>
      <w:r>
        <w:rPr>
          <w:rFonts w:hint="eastAsia" w:ascii="宋体" w:hAnsi="宋体"/>
          <w:color w:val="000000"/>
        </w:rPr>
        <w:t>本单位郑重声明，根据《财政部</w:t>
      </w:r>
      <w:r>
        <w:rPr>
          <w:rFonts w:ascii="宋体" w:hAnsi="宋体"/>
          <w:color w:val="000000"/>
        </w:rPr>
        <w:t xml:space="preserve"> </w:t>
      </w:r>
      <w:r>
        <w:rPr>
          <w:rFonts w:hint="eastAsia" w:ascii="宋体" w:hAnsi="宋体"/>
          <w:color w:val="000000"/>
        </w:rPr>
        <w:t>民政部</w:t>
      </w:r>
      <w:r>
        <w:rPr>
          <w:rFonts w:ascii="宋体" w:hAnsi="宋体"/>
          <w:color w:val="000000"/>
        </w:rPr>
        <w:t xml:space="preserve"> </w:t>
      </w:r>
      <w:r>
        <w:rPr>
          <w:rFonts w:hint="eastAsia" w:ascii="宋体" w:hAnsi="宋体"/>
          <w:color w:val="000000"/>
        </w:rPr>
        <w:t>中国残疾人联合会关于促进残疾人就业政府采购政策的通知》（财库〔</w:t>
      </w:r>
      <w:r>
        <w:rPr>
          <w:rFonts w:ascii="宋体" w:hAnsi="宋体"/>
          <w:color w:val="000000"/>
        </w:rPr>
        <w:t>2017</w:t>
      </w:r>
      <w:r>
        <w:rPr>
          <w:rFonts w:hint="eastAsia" w:ascii="宋体" w:hAnsi="宋体"/>
          <w:color w:val="000000"/>
        </w:rPr>
        <w:t>〕</w:t>
      </w:r>
      <w:r>
        <w:rPr>
          <w:rFonts w:ascii="宋体" w:hAnsi="宋体"/>
          <w:color w:val="000000"/>
        </w:rPr>
        <w:t xml:space="preserve"> 141</w:t>
      </w:r>
      <w:r>
        <w:rPr>
          <w:rFonts w:hint="eastAsia" w:ascii="宋体" w:hAnsi="宋体"/>
          <w:color w:val="000000"/>
        </w:rPr>
        <w:t>号）的规定，本单位为符合条件的残疾人福利性单位，且本单位参加</w:t>
      </w:r>
      <w:r>
        <w:rPr>
          <w:rFonts w:ascii="宋体" w:hAnsi="宋体"/>
          <w:color w:val="000000"/>
        </w:rPr>
        <w:t>______</w:t>
      </w:r>
      <w:r>
        <w:rPr>
          <w:rFonts w:hint="eastAsia" w:ascii="宋体" w:hAnsi="宋体"/>
          <w:color w:val="000000"/>
        </w:rPr>
        <w:t>单位的</w:t>
      </w:r>
      <w:r>
        <w:rPr>
          <w:rFonts w:ascii="宋体" w:hAnsi="宋体"/>
          <w:color w:val="000000"/>
        </w:rPr>
        <w:t>______</w:t>
      </w:r>
      <w:r>
        <w:rPr>
          <w:rFonts w:hint="eastAsia" w:ascii="宋体" w:hAnsi="宋体"/>
          <w:color w:val="000000"/>
        </w:rPr>
        <w:t>项目采购活动提供本单位制造的货物（由本单位承担工程</w:t>
      </w:r>
      <w:r>
        <w:rPr>
          <w:rFonts w:ascii="宋体" w:hAnsi="宋体"/>
          <w:color w:val="000000"/>
        </w:rPr>
        <w:t>/</w:t>
      </w:r>
      <w:r>
        <w:rPr>
          <w:rFonts w:hint="eastAsia" w:ascii="宋体" w:hAnsi="宋体"/>
          <w:color w:val="000000"/>
        </w:rPr>
        <w:t>提供服务），或者提供其他残疾人福利性单位制造的货物（不包括使用非残疾人福利性单位注册商标的货物）。</w:t>
      </w:r>
    </w:p>
    <w:p>
      <w:pPr>
        <w:kinsoku/>
        <w:overflowPunct/>
        <w:topLinePunct w:val="0"/>
        <w:bidi w:val="0"/>
        <w:spacing w:line="300" w:lineRule="auto"/>
        <w:ind w:firstLine="420" w:firstLineChars="200"/>
        <w:rPr>
          <w:rFonts w:ascii="宋体"/>
          <w:color w:val="000000"/>
        </w:rPr>
      </w:pPr>
      <w:r>
        <w:rPr>
          <w:rFonts w:hint="eastAsia" w:ascii="宋体" w:hAnsi="宋体"/>
          <w:color w:val="000000"/>
        </w:rPr>
        <w:t>本单位对上述声明的真实性负责。如有虚假，将依法承担相应责任。</w:t>
      </w:r>
    </w:p>
    <w:p>
      <w:pPr>
        <w:kinsoku/>
        <w:overflowPunct/>
        <w:topLinePunct w:val="0"/>
        <w:bidi w:val="0"/>
        <w:spacing w:line="300" w:lineRule="auto"/>
        <w:ind w:firstLine="624" w:firstLineChars="200"/>
        <w:rPr>
          <w:rFonts w:ascii="仿宋_GB2312" w:eastAsia="仿宋_GB2312"/>
          <w:color w:val="000000"/>
          <w:spacing w:val="6"/>
          <w:sz w:val="30"/>
          <w:szCs w:val="30"/>
        </w:rPr>
      </w:pPr>
    </w:p>
    <w:p>
      <w:pPr>
        <w:kinsoku/>
        <w:overflowPunct/>
        <w:topLinePunct w:val="0"/>
        <w:bidi w:val="0"/>
        <w:spacing w:line="300" w:lineRule="auto"/>
        <w:ind w:firstLine="624" w:firstLineChars="200"/>
        <w:rPr>
          <w:rFonts w:ascii="仿宋_GB2312" w:eastAsia="仿宋_GB2312"/>
          <w:color w:val="000000"/>
          <w:spacing w:val="6"/>
          <w:sz w:val="30"/>
          <w:szCs w:val="30"/>
        </w:rPr>
      </w:pPr>
    </w:p>
    <w:p>
      <w:pPr>
        <w:kinsoku/>
        <w:overflowPunct/>
        <w:topLinePunct w:val="0"/>
        <w:bidi w:val="0"/>
        <w:spacing w:line="300" w:lineRule="auto"/>
        <w:rPr>
          <w:color w:val="000000"/>
        </w:rPr>
      </w:pPr>
      <w:r>
        <w:rPr>
          <w:rFonts w:ascii="仿宋_GB2312" w:eastAsia="仿宋_GB2312"/>
          <w:color w:val="000000"/>
          <w:spacing w:val="6"/>
          <w:sz w:val="30"/>
          <w:szCs w:val="30"/>
        </w:rPr>
        <w:t xml:space="preserve">                        </w:t>
      </w:r>
    </w:p>
    <w:p>
      <w:pPr>
        <w:kinsoku/>
        <w:overflowPunct/>
        <w:topLinePunct w:val="0"/>
        <w:bidi w:val="0"/>
        <w:spacing w:line="300" w:lineRule="auto"/>
        <w:ind w:firstLine="4830" w:firstLineChars="2300"/>
        <w:rPr>
          <w:rFonts w:ascii="Arial" w:hAnsi="Arial"/>
          <w:color w:val="000000"/>
        </w:rPr>
      </w:pPr>
      <w:r>
        <w:rPr>
          <w:rFonts w:hint="eastAsia" w:ascii="Arial" w:hAnsi="Arial"/>
          <w:color w:val="000000"/>
        </w:rPr>
        <w:t>磋商供应商（公章）：</w:t>
      </w:r>
    </w:p>
    <w:p>
      <w:pPr>
        <w:kinsoku/>
        <w:overflowPunct/>
        <w:topLinePunct w:val="0"/>
        <w:bidi w:val="0"/>
        <w:spacing w:before="312" w:beforeLines="100" w:after="312" w:afterLines="100" w:line="300" w:lineRule="auto"/>
        <w:ind w:left="4620" w:leftChars="2200" w:firstLine="210" w:firstLineChars="100"/>
        <w:rPr>
          <w:rFonts w:ascii="宋体"/>
          <w:color w:val="000000"/>
          <w:szCs w:val="21"/>
        </w:rPr>
      </w:pPr>
      <w:r>
        <w:rPr>
          <w:rFonts w:hint="eastAsia" w:ascii="宋体" w:hAnsi="宋体"/>
          <w:color w:val="000000"/>
          <w:szCs w:val="21"/>
        </w:rPr>
        <w:t>日期：</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p>
      <w:pPr>
        <w:kinsoku/>
        <w:overflowPunct/>
        <w:topLinePunct w:val="0"/>
        <w:bidi w:val="0"/>
        <w:spacing w:line="300" w:lineRule="auto"/>
        <w:rPr>
          <w:rFonts w:ascii="宋体"/>
          <w:color w:val="000000"/>
        </w:rPr>
      </w:pPr>
    </w:p>
    <w:p>
      <w:pPr>
        <w:kinsoku/>
        <w:overflowPunct/>
        <w:topLinePunct w:val="0"/>
        <w:bidi w:val="0"/>
        <w:spacing w:line="300" w:lineRule="auto"/>
        <w:rPr>
          <w:rFonts w:ascii="宋体"/>
          <w:color w:val="000000"/>
        </w:rPr>
      </w:pPr>
    </w:p>
    <w:p>
      <w:pPr>
        <w:kinsoku/>
        <w:overflowPunct/>
        <w:topLinePunct w:val="0"/>
        <w:bidi w:val="0"/>
        <w:spacing w:line="300" w:lineRule="auto"/>
        <w:rPr>
          <w:rFonts w:ascii="宋体"/>
          <w:color w:val="000000"/>
        </w:rPr>
      </w:pPr>
    </w:p>
    <w:p>
      <w:pPr>
        <w:numPr>
          <w:ilvl w:val="0"/>
          <w:numId w:val="29"/>
        </w:numPr>
        <w:tabs>
          <w:tab w:val="left" w:pos="420"/>
          <w:tab w:val="clear" w:pos="1244"/>
        </w:tabs>
        <w:kinsoku/>
        <w:overflowPunct/>
        <w:topLinePunct w:val="0"/>
        <w:bidi w:val="0"/>
        <w:spacing w:before="100" w:beforeAutospacing="1" w:after="100" w:afterAutospacing="1" w:line="300" w:lineRule="auto"/>
        <w:ind w:hanging="1244"/>
        <w:rPr>
          <w:rFonts w:hAnsi="宋体"/>
          <w:b/>
          <w:color w:val="000000"/>
          <w:szCs w:val="21"/>
        </w:rPr>
      </w:pPr>
      <w:r>
        <w:rPr>
          <w:rFonts w:hint="eastAsia" w:hAnsi="宋体"/>
          <w:b/>
          <w:color w:val="000000"/>
          <w:szCs w:val="21"/>
        </w:rPr>
        <w:t>残疾人福利性单位视同小型、微型企业，享受价格扣除。</w:t>
      </w:r>
    </w:p>
    <w:p>
      <w:pPr>
        <w:numPr>
          <w:ilvl w:val="0"/>
          <w:numId w:val="29"/>
        </w:numPr>
        <w:tabs>
          <w:tab w:val="left" w:pos="420"/>
          <w:tab w:val="clear" w:pos="1244"/>
        </w:tabs>
        <w:kinsoku/>
        <w:overflowPunct/>
        <w:topLinePunct w:val="0"/>
        <w:bidi w:val="0"/>
        <w:spacing w:before="100" w:beforeAutospacing="1" w:after="100" w:afterAutospacing="1" w:line="300" w:lineRule="auto"/>
        <w:ind w:hanging="1244"/>
        <w:rPr>
          <w:rFonts w:hAnsi="宋体"/>
          <w:b/>
          <w:color w:val="000000"/>
          <w:szCs w:val="21"/>
        </w:rPr>
      </w:pPr>
      <w:r>
        <w:rPr>
          <w:rFonts w:hint="eastAsia" w:hAnsi="宋体"/>
          <w:b/>
          <w:color w:val="000000"/>
          <w:szCs w:val="21"/>
        </w:rPr>
        <w:t>残疾人福利性单位属于小型、微型企业的，不重复享受政策。</w:t>
      </w:r>
    </w:p>
    <w:p>
      <w:pPr>
        <w:kinsoku/>
        <w:overflowPunct/>
        <w:topLinePunct w:val="0"/>
        <w:bidi w:val="0"/>
        <w:spacing w:after="312" w:afterLines="100" w:line="300" w:lineRule="auto"/>
        <w:ind w:firstLine="420"/>
        <w:jc w:val="both"/>
        <w:outlineLvl w:val="1"/>
        <w:rPr>
          <w:rFonts w:hAnsi="宋体"/>
          <w:b/>
          <w:color w:val="000000"/>
          <w:szCs w:val="21"/>
        </w:rPr>
      </w:pPr>
      <w:bookmarkStart w:id="2034" w:name="_Toc4545"/>
      <w:bookmarkStart w:id="2035" w:name="_Toc3904007"/>
      <w:bookmarkStart w:id="2036" w:name="_Toc26150"/>
      <w:r>
        <w:rPr>
          <w:rFonts w:hint="eastAsia" w:hAnsi="宋体"/>
          <w:b/>
          <w:color w:val="000000"/>
          <w:szCs w:val="21"/>
        </w:rPr>
        <w:t>如中标人声明为残疾人福利性单位，本声明函将随中标结果同时公告，接受社会监督。</w:t>
      </w:r>
      <w:bookmarkEnd w:id="2034"/>
      <w:bookmarkEnd w:id="2035"/>
      <w:bookmarkEnd w:id="2036"/>
    </w:p>
    <w:p>
      <w:pPr>
        <w:pStyle w:val="29"/>
        <w:kinsoku/>
        <w:overflowPunct/>
        <w:topLinePunct w:val="0"/>
        <w:bidi w:val="0"/>
        <w:spacing w:line="300" w:lineRule="auto"/>
        <w:jc w:val="center"/>
        <w:rPr>
          <w:rFonts w:hint="eastAsia" w:hAnsi="宋体"/>
          <w:b/>
          <w:color w:val="000000"/>
          <w:szCs w:val="21"/>
        </w:rPr>
      </w:pPr>
      <w:r>
        <w:rPr>
          <w:rFonts w:hAnsi="宋体"/>
          <w:b/>
          <w:color w:val="000000"/>
          <w:szCs w:val="21"/>
        </w:rPr>
        <w:br w:type="page"/>
      </w:r>
      <w:r>
        <w:rPr>
          <w:rFonts w:hint="eastAsia" w:ascii="Cambria" w:hAnsi="宋体" w:eastAsia="宋体" w:cs="Times New Roman"/>
          <w:b/>
          <w:bCs/>
          <w:color w:val="000000"/>
          <w:kern w:val="44"/>
          <w:sz w:val="28"/>
          <w:szCs w:val="36"/>
          <w:lang w:val="en-US" w:eastAsia="zh-CN" w:bidi="ar-SA"/>
        </w:rPr>
        <w:t>附件十</w:t>
      </w:r>
      <w:r>
        <w:rPr>
          <w:rFonts w:hint="eastAsia" w:ascii="Cambria" w:hAnsi="宋体" w:cs="Times New Roman"/>
          <w:b/>
          <w:bCs/>
          <w:color w:val="000000"/>
          <w:kern w:val="44"/>
          <w:sz w:val="28"/>
          <w:szCs w:val="36"/>
          <w:lang w:val="en-US" w:eastAsia="zh-CN" w:bidi="ar-SA"/>
        </w:rPr>
        <w:t>七</w:t>
      </w:r>
      <w:r>
        <w:rPr>
          <w:rFonts w:hint="eastAsia" w:ascii="Cambria" w:hAnsi="宋体" w:eastAsia="宋体" w:cs="Times New Roman"/>
          <w:b/>
          <w:bCs/>
          <w:color w:val="000000"/>
          <w:kern w:val="44"/>
          <w:sz w:val="28"/>
          <w:szCs w:val="36"/>
          <w:lang w:val="en-US" w:eastAsia="zh-CN" w:bidi="ar-SA"/>
        </w:rPr>
        <w:t xml:space="preserve">    政府采购政策情况表</w:t>
      </w:r>
    </w:p>
    <w:p>
      <w:pPr>
        <w:pStyle w:val="29"/>
        <w:kinsoku/>
        <w:overflowPunct/>
        <w:topLinePunct w:val="0"/>
        <w:bidi w:val="0"/>
        <w:spacing w:line="300" w:lineRule="auto"/>
        <w:rPr>
          <w:rFonts w:ascii="Times New Roman" w:hAnsi="Times New Roman"/>
          <w:b/>
          <w:sz w:val="28"/>
          <w:szCs w:val="28"/>
        </w:rPr>
      </w:pPr>
      <w:r>
        <w:rPr>
          <w:rFonts w:hAnsi="宋体"/>
          <w:b/>
          <w:kern w:val="0"/>
          <w:szCs w:val="21"/>
        </w:rPr>
        <w:t>项目</w:t>
      </w:r>
      <w:r>
        <w:rPr>
          <w:rFonts w:hint="eastAsia" w:hAnsi="宋体"/>
          <w:b/>
          <w:kern w:val="0"/>
          <w:szCs w:val="21"/>
        </w:rPr>
        <w:t>编号</w:t>
      </w:r>
      <w:r>
        <w:rPr>
          <w:rFonts w:hAnsi="宋体"/>
          <w:b/>
          <w:kern w:val="0"/>
          <w:szCs w:val="21"/>
        </w:rPr>
        <w:t>：</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146"/>
        <w:gridCol w:w="1425"/>
        <w:gridCol w:w="1487"/>
        <w:gridCol w:w="1537"/>
        <w:gridCol w:w="1477"/>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9" w:type="dxa"/>
            <w:vMerge w:val="restart"/>
            <w:noWrap w:val="0"/>
            <w:vAlign w:val="center"/>
          </w:tcPr>
          <w:p>
            <w:pPr>
              <w:pStyle w:val="472"/>
              <w:tabs>
                <w:tab w:val="left" w:pos="1260"/>
              </w:tabs>
              <w:kinsoku/>
              <w:overflowPunct/>
              <w:topLinePunct w:val="0"/>
              <w:bidi w:val="0"/>
              <w:snapToGrid w:val="0"/>
              <w:spacing w:line="300" w:lineRule="auto"/>
              <w:jc w:val="center"/>
              <w:rPr>
                <w:szCs w:val="21"/>
                <w:lang w:val="en-GB"/>
              </w:rPr>
            </w:pPr>
            <w:r>
              <w:rPr>
                <w:rFonts w:hAnsi="宋体"/>
                <w:szCs w:val="21"/>
                <w:lang w:val="en-GB"/>
              </w:rPr>
              <w:t>中小企业</w:t>
            </w:r>
            <w:r>
              <w:rPr>
                <w:rFonts w:hint="eastAsia" w:hAnsi="宋体"/>
                <w:szCs w:val="21"/>
                <w:lang w:val="en-GB"/>
              </w:rPr>
              <w:t>、监狱企业及残疾人福利性单位</w:t>
            </w:r>
            <w:r>
              <w:rPr>
                <w:rFonts w:hAnsi="宋体"/>
                <w:szCs w:val="21"/>
                <w:lang w:val="en-GB"/>
              </w:rPr>
              <w:t>扶持政策</w:t>
            </w:r>
          </w:p>
        </w:tc>
        <w:tc>
          <w:tcPr>
            <w:tcW w:w="8700" w:type="dxa"/>
            <w:gridSpan w:val="6"/>
            <w:noWrap w:val="0"/>
            <w:vAlign w:val="center"/>
          </w:tcPr>
          <w:p>
            <w:pPr>
              <w:pStyle w:val="472"/>
              <w:tabs>
                <w:tab w:val="left" w:pos="1260"/>
              </w:tabs>
              <w:kinsoku/>
              <w:overflowPunct/>
              <w:topLinePunct w:val="0"/>
              <w:bidi w:val="0"/>
              <w:snapToGrid w:val="0"/>
              <w:spacing w:line="300" w:lineRule="auto"/>
              <w:rPr>
                <w:szCs w:val="21"/>
                <w:lang w:val="en-GB"/>
              </w:rPr>
            </w:pPr>
            <w:r>
              <w:rPr>
                <w:rFonts w:hAnsi="宋体"/>
                <w:szCs w:val="21"/>
                <w:lang w:val="en-GB"/>
              </w:rPr>
              <w:t>如属所列情形的，请在括号内打</w:t>
            </w:r>
            <w:r>
              <w:rPr>
                <w:szCs w:val="21"/>
                <w:lang w:val="en-GB"/>
              </w:rPr>
              <w:t>“√”</w:t>
            </w:r>
            <w:r>
              <w:rPr>
                <w:rFonts w:hint="eastAsia"/>
                <w:szCs w:val="21"/>
                <w:lang w:val="en-GB"/>
              </w:rPr>
              <w:t>，并</w:t>
            </w:r>
            <w:r>
              <w:rPr>
                <w:rFonts w:hAnsi="宋体"/>
                <w:szCs w:val="21"/>
              </w:rPr>
              <w:t>请填写下表内容：</w:t>
            </w:r>
            <w:r>
              <w:rPr>
                <w:rFonts w:hAnsi="宋体"/>
                <w:szCs w:val="21"/>
                <w:lang w:val="en-GB"/>
              </w:rPr>
              <w:t>：</w:t>
            </w:r>
          </w:p>
          <w:p>
            <w:pPr>
              <w:pStyle w:val="472"/>
              <w:tabs>
                <w:tab w:val="left" w:pos="1260"/>
              </w:tabs>
              <w:kinsoku/>
              <w:overflowPunct/>
              <w:topLinePunct w:val="0"/>
              <w:bidi w:val="0"/>
              <w:snapToGrid w:val="0"/>
              <w:spacing w:line="300" w:lineRule="auto"/>
              <w:rPr>
                <w:rFonts w:hint="eastAsia" w:hAnsi="宋体"/>
                <w:szCs w:val="21"/>
              </w:rPr>
            </w:pPr>
            <w:r>
              <w:rPr>
                <w:rFonts w:hAnsi="宋体"/>
                <w:szCs w:val="21"/>
              </w:rPr>
              <w:t>（</w:t>
            </w:r>
            <w:r>
              <w:rPr>
                <w:szCs w:val="21"/>
              </w:rPr>
              <w:t xml:space="preserve">  </w:t>
            </w:r>
            <w:r>
              <w:rPr>
                <w:rFonts w:hAnsi="宋体"/>
                <w:szCs w:val="21"/>
              </w:rPr>
              <w:t>）小型、微型企业投标且提供本企业制造的产品。</w:t>
            </w:r>
          </w:p>
          <w:p>
            <w:pPr>
              <w:pStyle w:val="472"/>
              <w:tabs>
                <w:tab w:val="left" w:pos="1260"/>
              </w:tabs>
              <w:kinsoku/>
              <w:overflowPunct/>
              <w:topLinePunct w:val="0"/>
              <w:bidi w:val="0"/>
              <w:snapToGrid w:val="0"/>
              <w:spacing w:line="300" w:lineRule="auto"/>
              <w:rPr>
                <w:rFonts w:hint="eastAsia"/>
                <w:szCs w:val="21"/>
              </w:rPr>
            </w:pPr>
            <w:r>
              <w:rPr>
                <w:rFonts w:hint="eastAsia" w:hAnsi="宋体"/>
                <w:szCs w:val="21"/>
              </w:rPr>
              <w:t>（  ）监狱企业投标</w:t>
            </w:r>
            <w:r>
              <w:rPr>
                <w:rFonts w:hAnsi="宋体"/>
                <w:szCs w:val="21"/>
              </w:rPr>
              <w:t>且提供本企业制造的产品。</w:t>
            </w:r>
          </w:p>
          <w:p>
            <w:pPr>
              <w:pStyle w:val="472"/>
              <w:tabs>
                <w:tab w:val="left" w:pos="1260"/>
              </w:tabs>
              <w:kinsoku/>
              <w:overflowPunct/>
              <w:topLinePunct w:val="0"/>
              <w:bidi w:val="0"/>
              <w:snapToGrid w:val="0"/>
              <w:spacing w:line="300" w:lineRule="auto"/>
              <w:rPr>
                <w:rFonts w:hint="eastAsia" w:hAnsi="宋体"/>
                <w:szCs w:val="21"/>
              </w:rPr>
            </w:pPr>
            <w:r>
              <w:rPr>
                <w:rFonts w:hAnsi="宋体"/>
                <w:szCs w:val="21"/>
              </w:rPr>
              <w:t>（</w:t>
            </w:r>
            <w:r>
              <w:rPr>
                <w:szCs w:val="21"/>
              </w:rPr>
              <w:t xml:space="preserve">  </w:t>
            </w:r>
            <w:r>
              <w:rPr>
                <w:rFonts w:hAnsi="宋体"/>
                <w:szCs w:val="21"/>
              </w:rPr>
              <w:t>）小微企业投标且提供其它小型、微型企业产品</w:t>
            </w:r>
            <w:r>
              <w:rPr>
                <w:rFonts w:hint="eastAsia" w:hAnsi="宋体"/>
                <w:szCs w:val="21"/>
              </w:rPr>
              <w:t>。</w:t>
            </w:r>
          </w:p>
          <w:p>
            <w:pPr>
              <w:pStyle w:val="472"/>
              <w:tabs>
                <w:tab w:val="left" w:pos="1260"/>
              </w:tabs>
              <w:kinsoku/>
              <w:overflowPunct/>
              <w:topLinePunct w:val="0"/>
              <w:bidi w:val="0"/>
              <w:snapToGrid w:val="0"/>
              <w:spacing w:line="300" w:lineRule="auto"/>
              <w:rPr>
                <w:rFonts w:hint="eastAsia" w:hAnsi="宋体"/>
                <w:szCs w:val="21"/>
              </w:rPr>
            </w:pPr>
            <w:r>
              <w:rPr>
                <w:rFonts w:hAnsi="宋体"/>
                <w:szCs w:val="21"/>
              </w:rPr>
              <w:t>（</w:t>
            </w:r>
            <w:r>
              <w:rPr>
                <w:szCs w:val="21"/>
              </w:rPr>
              <w:t xml:space="preserve">  </w:t>
            </w:r>
            <w:r>
              <w:rPr>
                <w:rFonts w:hAnsi="宋体"/>
                <w:szCs w:val="21"/>
              </w:rPr>
              <w:t>）</w:t>
            </w:r>
            <w:r>
              <w:rPr>
                <w:rFonts w:hint="eastAsia" w:ascii="宋体" w:hAnsi="宋体"/>
                <w:color w:val="000000"/>
                <w:szCs w:val="20"/>
              </w:rPr>
              <w:t>残疾人福利性单位投标</w:t>
            </w:r>
            <w:r>
              <w:rPr>
                <w:rFonts w:hAnsi="宋体"/>
                <w:szCs w:val="21"/>
              </w:rPr>
              <w:t>且提供本企业制造的产品</w:t>
            </w:r>
            <w:r>
              <w:rPr>
                <w:rFonts w:hint="eastAsia" w:hAnsi="宋体"/>
                <w:szCs w:val="21"/>
              </w:rPr>
              <w:t>。</w:t>
            </w:r>
          </w:p>
          <w:p>
            <w:pPr>
              <w:pStyle w:val="472"/>
              <w:tabs>
                <w:tab w:val="left" w:pos="1260"/>
              </w:tabs>
              <w:kinsoku/>
              <w:overflowPunct/>
              <w:topLinePunct w:val="0"/>
              <w:bidi w:val="0"/>
              <w:snapToGrid w:val="0"/>
              <w:spacing w:line="300" w:lineRule="auto"/>
              <w:rPr>
                <w:rFonts w:hint="eastAsia" w:hAnsi="宋体"/>
                <w:szCs w:val="21"/>
              </w:rPr>
            </w:pPr>
            <w:r>
              <w:rPr>
                <w:rFonts w:hAnsi="宋体"/>
                <w:szCs w:val="21"/>
              </w:rPr>
              <w:t>（</w:t>
            </w:r>
            <w:r>
              <w:rPr>
                <w:szCs w:val="21"/>
              </w:rPr>
              <w:t xml:space="preserve">  </w:t>
            </w:r>
            <w:r>
              <w:rPr>
                <w:rFonts w:hAnsi="宋体"/>
                <w:szCs w:val="21"/>
              </w:rPr>
              <w:t>）</w:t>
            </w:r>
            <w:r>
              <w:rPr>
                <w:rFonts w:hint="eastAsia" w:ascii="宋体" w:hAnsi="宋体"/>
                <w:color w:val="000000"/>
                <w:szCs w:val="20"/>
              </w:rPr>
              <w:t>残疾人福利性单位投标</w:t>
            </w:r>
            <w:r>
              <w:rPr>
                <w:rFonts w:hAnsi="宋体"/>
                <w:szCs w:val="21"/>
              </w:rPr>
              <w:t>且提供其它</w:t>
            </w:r>
            <w:r>
              <w:rPr>
                <w:rFonts w:hint="eastAsia" w:ascii="宋体" w:hAnsi="宋体"/>
                <w:color w:val="000000"/>
                <w:szCs w:val="20"/>
              </w:rPr>
              <w:t>残疾人福利性单位制造的</w:t>
            </w:r>
            <w:r>
              <w:rPr>
                <w:rFonts w:hint="eastAsia" w:hAnsi="宋体"/>
                <w:szCs w:val="21"/>
              </w:rPr>
              <w:t>货物</w:t>
            </w:r>
            <w:r>
              <w:rPr>
                <w:rFonts w:hint="eastAsia" w:ascii="宋体" w:hAnsi="宋体"/>
                <w:color w:val="000000"/>
                <w:szCs w:val="20"/>
              </w:rPr>
              <w:t>（不包括使用非残疾人福利性单位注册商标的货物）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1019" w:type="dxa"/>
            <w:vMerge w:val="continue"/>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146" w:type="dxa"/>
            <w:noWrap w:val="0"/>
            <w:vAlign w:val="center"/>
          </w:tcPr>
          <w:p>
            <w:pPr>
              <w:pStyle w:val="472"/>
              <w:tabs>
                <w:tab w:val="left" w:pos="1260"/>
              </w:tabs>
              <w:kinsoku/>
              <w:overflowPunct/>
              <w:topLinePunct w:val="0"/>
              <w:bidi w:val="0"/>
              <w:snapToGrid w:val="0"/>
              <w:spacing w:line="300" w:lineRule="auto"/>
              <w:jc w:val="center"/>
              <w:rPr>
                <w:szCs w:val="21"/>
                <w:lang w:val="en-GB"/>
              </w:rPr>
            </w:pPr>
            <w:r>
              <w:rPr>
                <w:rFonts w:hAnsi="宋体"/>
                <w:szCs w:val="21"/>
                <w:lang w:val="en-GB"/>
              </w:rPr>
              <w:t>产品名称</w:t>
            </w:r>
          </w:p>
        </w:tc>
        <w:tc>
          <w:tcPr>
            <w:tcW w:w="1425" w:type="dxa"/>
            <w:noWrap w:val="0"/>
            <w:vAlign w:val="center"/>
          </w:tcPr>
          <w:p>
            <w:pPr>
              <w:pStyle w:val="472"/>
              <w:tabs>
                <w:tab w:val="left" w:pos="1260"/>
              </w:tabs>
              <w:kinsoku/>
              <w:overflowPunct/>
              <w:topLinePunct w:val="0"/>
              <w:bidi w:val="0"/>
              <w:snapToGrid w:val="0"/>
              <w:spacing w:line="300" w:lineRule="auto"/>
              <w:jc w:val="center"/>
              <w:rPr>
                <w:szCs w:val="21"/>
                <w:lang w:val="en-GB"/>
              </w:rPr>
            </w:pPr>
            <w:r>
              <w:rPr>
                <w:rFonts w:hAnsi="宋体"/>
                <w:szCs w:val="21"/>
                <w:lang w:val="en-GB"/>
              </w:rPr>
              <w:t>品牌</w:t>
            </w:r>
          </w:p>
        </w:tc>
        <w:tc>
          <w:tcPr>
            <w:tcW w:w="1487" w:type="dxa"/>
            <w:noWrap w:val="0"/>
            <w:vAlign w:val="center"/>
          </w:tcPr>
          <w:p>
            <w:pPr>
              <w:pStyle w:val="472"/>
              <w:tabs>
                <w:tab w:val="left" w:pos="1260"/>
              </w:tabs>
              <w:kinsoku/>
              <w:overflowPunct/>
              <w:topLinePunct w:val="0"/>
              <w:bidi w:val="0"/>
              <w:snapToGrid w:val="0"/>
              <w:spacing w:line="300" w:lineRule="auto"/>
              <w:jc w:val="center"/>
              <w:rPr>
                <w:szCs w:val="21"/>
                <w:lang w:val="en-GB"/>
              </w:rPr>
            </w:pPr>
            <w:r>
              <w:rPr>
                <w:rFonts w:hint="eastAsia" w:ascii="宋体" w:hAnsi="宋体"/>
                <w:color w:val="000000"/>
                <w:szCs w:val="21"/>
              </w:rPr>
              <w:t>型号、规格</w:t>
            </w:r>
          </w:p>
        </w:tc>
        <w:tc>
          <w:tcPr>
            <w:tcW w:w="1537" w:type="dxa"/>
            <w:noWrap w:val="0"/>
            <w:vAlign w:val="center"/>
          </w:tcPr>
          <w:p>
            <w:pPr>
              <w:pStyle w:val="472"/>
              <w:tabs>
                <w:tab w:val="left" w:pos="1260"/>
              </w:tabs>
              <w:kinsoku/>
              <w:overflowPunct/>
              <w:topLinePunct w:val="0"/>
              <w:bidi w:val="0"/>
              <w:snapToGrid w:val="0"/>
              <w:spacing w:line="300" w:lineRule="auto"/>
              <w:jc w:val="center"/>
              <w:rPr>
                <w:szCs w:val="21"/>
                <w:lang w:val="en-GB"/>
              </w:rPr>
            </w:pPr>
            <w:r>
              <w:rPr>
                <w:rFonts w:hAnsi="宋体"/>
                <w:szCs w:val="21"/>
                <w:lang w:val="en-GB"/>
              </w:rPr>
              <w:t>制造商</w:t>
            </w:r>
          </w:p>
        </w:tc>
        <w:tc>
          <w:tcPr>
            <w:tcW w:w="1477" w:type="dxa"/>
            <w:noWrap w:val="0"/>
            <w:vAlign w:val="center"/>
          </w:tcPr>
          <w:p>
            <w:pPr>
              <w:pStyle w:val="472"/>
              <w:tabs>
                <w:tab w:val="left" w:pos="1260"/>
              </w:tabs>
              <w:kinsoku/>
              <w:overflowPunct/>
              <w:topLinePunct w:val="0"/>
              <w:bidi w:val="0"/>
              <w:snapToGrid w:val="0"/>
              <w:spacing w:line="300" w:lineRule="auto"/>
              <w:jc w:val="center"/>
              <w:rPr>
                <w:szCs w:val="21"/>
                <w:lang w:val="en-GB"/>
              </w:rPr>
            </w:pPr>
            <w:r>
              <w:rPr>
                <w:rFonts w:hAnsi="宋体"/>
                <w:szCs w:val="21"/>
                <w:lang w:val="en-GB"/>
              </w:rPr>
              <w:t>制造商</w:t>
            </w:r>
          </w:p>
          <w:p>
            <w:pPr>
              <w:pStyle w:val="472"/>
              <w:tabs>
                <w:tab w:val="left" w:pos="1260"/>
              </w:tabs>
              <w:kinsoku/>
              <w:overflowPunct/>
              <w:topLinePunct w:val="0"/>
              <w:bidi w:val="0"/>
              <w:snapToGrid w:val="0"/>
              <w:spacing w:line="300" w:lineRule="auto"/>
              <w:jc w:val="center"/>
              <w:rPr>
                <w:szCs w:val="21"/>
                <w:lang w:val="en-GB"/>
              </w:rPr>
            </w:pPr>
            <w:r>
              <w:rPr>
                <w:rFonts w:hAnsi="宋体"/>
                <w:szCs w:val="21"/>
                <w:lang w:val="en-GB"/>
              </w:rPr>
              <w:t>企业类型</w:t>
            </w:r>
          </w:p>
        </w:tc>
        <w:tc>
          <w:tcPr>
            <w:tcW w:w="1628" w:type="dxa"/>
            <w:noWrap w:val="0"/>
            <w:vAlign w:val="center"/>
          </w:tcPr>
          <w:p>
            <w:pPr>
              <w:pStyle w:val="472"/>
              <w:tabs>
                <w:tab w:val="left" w:pos="1260"/>
              </w:tabs>
              <w:kinsoku/>
              <w:overflowPunct/>
              <w:topLinePunct w:val="0"/>
              <w:bidi w:val="0"/>
              <w:snapToGrid w:val="0"/>
              <w:spacing w:line="300" w:lineRule="auto"/>
              <w:jc w:val="center"/>
              <w:rPr>
                <w:szCs w:val="21"/>
                <w:lang w:val="en-GB"/>
              </w:rPr>
            </w:pPr>
            <w:r>
              <w:rPr>
                <w:rFonts w:hAnsi="宋体"/>
                <w:szCs w:val="21"/>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19" w:type="dxa"/>
            <w:vMerge w:val="continue"/>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146"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425"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487"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537"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477"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628"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019" w:type="dxa"/>
            <w:vMerge w:val="continue"/>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146"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425"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487"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537"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477"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628"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19" w:type="dxa"/>
            <w:vMerge w:val="continue"/>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146"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425"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487"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537"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477"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628"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1019" w:type="dxa"/>
            <w:vMerge w:val="continue"/>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146"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425"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487"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537"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477"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1628"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19" w:type="dxa"/>
            <w:vMerge w:val="continue"/>
            <w:noWrap w:val="0"/>
            <w:vAlign w:val="center"/>
          </w:tcPr>
          <w:p>
            <w:pPr>
              <w:pStyle w:val="472"/>
              <w:tabs>
                <w:tab w:val="left" w:pos="1260"/>
              </w:tabs>
              <w:kinsoku/>
              <w:overflowPunct/>
              <w:topLinePunct w:val="0"/>
              <w:bidi w:val="0"/>
              <w:snapToGrid w:val="0"/>
              <w:spacing w:line="300" w:lineRule="auto"/>
              <w:jc w:val="center"/>
              <w:rPr>
                <w:szCs w:val="21"/>
                <w:lang w:val="en-GB"/>
              </w:rPr>
            </w:pPr>
          </w:p>
        </w:tc>
        <w:tc>
          <w:tcPr>
            <w:tcW w:w="7072" w:type="dxa"/>
            <w:gridSpan w:val="5"/>
            <w:noWrap w:val="0"/>
            <w:vAlign w:val="center"/>
          </w:tcPr>
          <w:p>
            <w:pPr>
              <w:pStyle w:val="472"/>
              <w:tabs>
                <w:tab w:val="left" w:pos="1260"/>
              </w:tabs>
              <w:kinsoku/>
              <w:overflowPunct/>
              <w:topLinePunct w:val="0"/>
              <w:bidi w:val="0"/>
              <w:snapToGrid w:val="0"/>
              <w:spacing w:line="300" w:lineRule="auto"/>
              <w:jc w:val="center"/>
              <w:rPr>
                <w:szCs w:val="21"/>
                <w:lang w:val="en-GB"/>
              </w:rPr>
            </w:pPr>
            <w:r>
              <w:rPr>
                <w:rFonts w:hAnsi="宋体"/>
                <w:szCs w:val="21"/>
              </w:rPr>
              <w:t>小型、微型企业产品</w:t>
            </w:r>
            <w:r>
              <w:rPr>
                <w:rFonts w:hAnsi="宋体"/>
                <w:szCs w:val="21"/>
                <w:lang w:val="en-GB"/>
              </w:rPr>
              <w:t>金额合计</w:t>
            </w:r>
          </w:p>
        </w:tc>
        <w:tc>
          <w:tcPr>
            <w:tcW w:w="1628" w:type="dxa"/>
            <w:noWrap w:val="0"/>
            <w:vAlign w:val="center"/>
          </w:tcPr>
          <w:p>
            <w:pPr>
              <w:pStyle w:val="472"/>
              <w:tabs>
                <w:tab w:val="left" w:pos="1260"/>
              </w:tabs>
              <w:kinsoku/>
              <w:overflowPunct/>
              <w:topLinePunct w:val="0"/>
              <w:bidi w:val="0"/>
              <w:snapToGrid w:val="0"/>
              <w:spacing w:line="300" w:lineRule="auto"/>
              <w:jc w:val="center"/>
              <w:rPr>
                <w:szCs w:val="21"/>
                <w:lang w:val="en-GB"/>
              </w:rPr>
            </w:pPr>
          </w:p>
        </w:tc>
      </w:tr>
    </w:tbl>
    <w:p>
      <w:pPr>
        <w:pStyle w:val="29"/>
        <w:kinsoku/>
        <w:overflowPunct/>
        <w:topLinePunct w:val="0"/>
        <w:bidi w:val="0"/>
        <w:spacing w:line="300" w:lineRule="auto"/>
        <w:rPr>
          <w:rFonts w:ascii="Times New Roman" w:hAnsi="Times New Roman"/>
          <w:b/>
          <w:szCs w:val="21"/>
        </w:rPr>
      </w:pPr>
    </w:p>
    <w:p>
      <w:pPr>
        <w:kinsoku/>
        <w:overflowPunct/>
        <w:topLinePunct w:val="0"/>
        <w:bidi w:val="0"/>
        <w:spacing w:line="300" w:lineRule="auto"/>
        <w:ind w:firstLine="420" w:firstLineChars="200"/>
        <w:rPr>
          <w:szCs w:val="21"/>
        </w:rPr>
      </w:pPr>
      <w:bookmarkStart w:id="2037" w:name="_Toc508709359"/>
      <w:bookmarkStart w:id="2038" w:name="_Toc514337540"/>
      <w:bookmarkStart w:id="2039" w:name="_Toc509218976"/>
      <w:bookmarkStart w:id="2040" w:name="_Toc513560346"/>
      <w:bookmarkStart w:id="2041" w:name="_Toc515011118"/>
      <w:bookmarkStart w:id="2042" w:name="_Toc514420711"/>
      <w:bookmarkStart w:id="2043" w:name="_Toc518546798"/>
      <w:bookmarkStart w:id="2044" w:name="_Toc515011017"/>
      <w:r>
        <w:rPr>
          <w:rFonts w:hAnsi="宋体"/>
          <w:szCs w:val="21"/>
        </w:rPr>
        <w:t>填报要求：</w:t>
      </w:r>
      <w:bookmarkEnd w:id="2037"/>
      <w:bookmarkEnd w:id="2038"/>
      <w:bookmarkEnd w:id="2039"/>
      <w:bookmarkEnd w:id="2040"/>
      <w:bookmarkEnd w:id="2041"/>
      <w:bookmarkEnd w:id="2042"/>
      <w:bookmarkEnd w:id="2043"/>
      <w:bookmarkEnd w:id="2044"/>
    </w:p>
    <w:p>
      <w:pPr>
        <w:kinsoku/>
        <w:overflowPunct/>
        <w:topLinePunct w:val="0"/>
        <w:bidi w:val="0"/>
        <w:spacing w:line="300" w:lineRule="auto"/>
        <w:ind w:firstLine="420" w:firstLineChars="200"/>
        <w:rPr>
          <w:rFonts w:hint="eastAsia"/>
          <w:szCs w:val="21"/>
        </w:rPr>
      </w:pPr>
      <w:bookmarkStart w:id="2045" w:name="_Toc515011119"/>
      <w:bookmarkStart w:id="2046" w:name="_Toc509218977"/>
      <w:bookmarkStart w:id="2047" w:name="_Toc518546799"/>
      <w:bookmarkStart w:id="2048" w:name="_Toc514420712"/>
      <w:bookmarkStart w:id="2049" w:name="_Toc513560347"/>
      <w:bookmarkStart w:id="2050" w:name="_Toc515011018"/>
      <w:bookmarkStart w:id="2051" w:name="_Toc508709360"/>
      <w:bookmarkStart w:id="2052" w:name="_Toc514337541"/>
      <w:r>
        <w:rPr>
          <w:szCs w:val="21"/>
        </w:rPr>
        <w:t xml:space="preserve">1. </w:t>
      </w:r>
      <w:r>
        <w:rPr>
          <w:rFonts w:hAnsi="宋体"/>
          <w:szCs w:val="21"/>
        </w:rPr>
        <w:t>本表的</w:t>
      </w:r>
      <w:r>
        <w:rPr>
          <w:rFonts w:hint="eastAsia" w:hAnsi="宋体"/>
          <w:szCs w:val="21"/>
        </w:rPr>
        <w:t>“</w:t>
      </w:r>
      <w:r>
        <w:rPr>
          <w:rFonts w:hAnsi="宋体"/>
          <w:szCs w:val="21"/>
        </w:rPr>
        <w:t>产品名称</w:t>
      </w:r>
      <w:r>
        <w:rPr>
          <w:rFonts w:hint="eastAsia" w:hAnsi="宋体"/>
          <w:szCs w:val="21"/>
        </w:rPr>
        <w:t>”</w:t>
      </w:r>
      <w:r>
        <w:rPr>
          <w:rFonts w:hAnsi="宋体"/>
          <w:szCs w:val="21"/>
        </w:rPr>
        <w:t>、</w:t>
      </w:r>
      <w:r>
        <w:rPr>
          <w:rFonts w:hint="eastAsia" w:hAnsi="宋体"/>
          <w:szCs w:val="21"/>
        </w:rPr>
        <w:t>“品牌”、“</w:t>
      </w:r>
      <w:r>
        <w:rPr>
          <w:rFonts w:hint="eastAsia" w:ascii="宋体" w:hAnsi="宋体"/>
          <w:color w:val="000000"/>
          <w:szCs w:val="21"/>
        </w:rPr>
        <w:t>型号、规格</w:t>
      </w:r>
      <w:r>
        <w:rPr>
          <w:rFonts w:hint="eastAsia" w:hAnsi="宋体"/>
          <w:szCs w:val="21"/>
        </w:rPr>
        <w:t>”</w:t>
      </w:r>
      <w:r>
        <w:rPr>
          <w:rFonts w:hAnsi="宋体"/>
          <w:szCs w:val="21"/>
        </w:rPr>
        <w:t>、金额应与《</w:t>
      </w:r>
      <w:r>
        <w:rPr>
          <w:rFonts w:hint="eastAsia" w:hAnsi="宋体"/>
          <w:szCs w:val="21"/>
        </w:rPr>
        <w:t>报价明细表</w:t>
      </w:r>
      <w:r>
        <w:rPr>
          <w:rFonts w:hAnsi="宋体"/>
          <w:szCs w:val="21"/>
        </w:rPr>
        <w:t>》</w:t>
      </w:r>
      <w:r>
        <w:rPr>
          <w:rFonts w:hint="eastAsia" w:hAnsi="宋体"/>
          <w:szCs w:val="21"/>
        </w:rPr>
        <w:t>的“</w:t>
      </w:r>
      <w:r>
        <w:rPr>
          <w:rFonts w:hint="eastAsia" w:hAnsi="宋体"/>
          <w:szCs w:val="21"/>
          <w:lang w:eastAsia="zh-CN"/>
        </w:rPr>
        <w:t>设备</w:t>
      </w:r>
      <w:r>
        <w:rPr>
          <w:rFonts w:hAnsi="宋体"/>
          <w:szCs w:val="21"/>
        </w:rPr>
        <w:t>名称</w:t>
      </w:r>
      <w:r>
        <w:rPr>
          <w:rFonts w:hint="eastAsia" w:hAnsi="宋体"/>
          <w:szCs w:val="21"/>
        </w:rPr>
        <w:t>”、“</w:t>
      </w:r>
      <w:r>
        <w:rPr>
          <w:rFonts w:hAnsi="宋体"/>
          <w:szCs w:val="21"/>
        </w:rPr>
        <w:t>品牌</w:t>
      </w:r>
      <w:r>
        <w:rPr>
          <w:rFonts w:hint="eastAsia" w:hAnsi="宋体"/>
          <w:szCs w:val="21"/>
          <w:lang w:eastAsia="zh-CN"/>
        </w:rPr>
        <w:t>、产地</w:t>
      </w:r>
      <w:r>
        <w:rPr>
          <w:rFonts w:hint="eastAsia" w:hAnsi="宋体"/>
          <w:szCs w:val="21"/>
        </w:rPr>
        <w:t>”、“</w:t>
      </w:r>
      <w:r>
        <w:rPr>
          <w:rFonts w:hint="eastAsia" w:ascii="宋体" w:hAnsi="宋体"/>
          <w:color w:val="000000"/>
          <w:szCs w:val="21"/>
        </w:rPr>
        <w:t>规格、型号</w:t>
      </w:r>
      <w:r>
        <w:rPr>
          <w:rFonts w:hint="eastAsia" w:hAnsi="宋体"/>
          <w:szCs w:val="21"/>
        </w:rPr>
        <w:t>”、“</w:t>
      </w:r>
      <w:r>
        <w:rPr>
          <w:rFonts w:hint="eastAsia" w:ascii="宋体" w:hAnsi="宋体"/>
          <w:color w:val="000000"/>
          <w:szCs w:val="21"/>
          <w:lang w:eastAsia="zh-CN"/>
        </w:rPr>
        <w:t>出厂单价（含税）</w:t>
      </w:r>
      <w:r>
        <w:rPr>
          <w:rFonts w:hint="eastAsia" w:hAnsi="宋体"/>
          <w:szCs w:val="21"/>
        </w:rPr>
        <w:t>”</w:t>
      </w:r>
      <w:r>
        <w:rPr>
          <w:rFonts w:hAnsi="宋体"/>
          <w:szCs w:val="21"/>
        </w:rPr>
        <w:t>一致</w:t>
      </w:r>
      <w:r>
        <w:rPr>
          <w:rFonts w:hint="eastAsia" w:hAnsi="宋体"/>
          <w:szCs w:val="21"/>
        </w:rPr>
        <w:t>。</w:t>
      </w:r>
      <w:bookmarkEnd w:id="2045"/>
      <w:bookmarkEnd w:id="2046"/>
      <w:bookmarkEnd w:id="2047"/>
      <w:bookmarkEnd w:id="2048"/>
      <w:bookmarkEnd w:id="2049"/>
      <w:bookmarkEnd w:id="2050"/>
      <w:bookmarkEnd w:id="2051"/>
      <w:bookmarkEnd w:id="2052"/>
    </w:p>
    <w:p>
      <w:pPr>
        <w:kinsoku/>
        <w:overflowPunct/>
        <w:topLinePunct w:val="0"/>
        <w:bidi w:val="0"/>
        <w:spacing w:line="300" w:lineRule="auto"/>
        <w:ind w:firstLine="420" w:firstLineChars="200"/>
        <w:rPr>
          <w:rFonts w:hint="eastAsia" w:hAnsi="宋体"/>
          <w:szCs w:val="21"/>
        </w:rPr>
      </w:pPr>
      <w:bookmarkStart w:id="2053" w:name="_Toc508709361"/>
      <w:bookmarkStart w:id="2054" w:name="_Toc513560348"/>
      <w:bookmarkStart w:id="2055" w:name="_Toc515011120"/>
      <w:bookmarkStart w:id="2056" w:name="_Toc518546800"/>
      <w:bookmarkStart w:id="2057" w:name="_Toc515011019"/>
      <w:bookmarkStart w:id="2058" w:name="_Toc514337542"/>
      <w:bookmarkStart w:id="2059" w:name="_Toc514420713"/>
      <w:bookmarkStart w:id="2060" w:name="_Toc509218978"/>
      <w:r>
        <w:rPr>
          <w:szCs w:val="21"/>
        </w:rPr>
        <w:t>2. “</w:t>
      </w:r>
      <w:r>
        <w:rPr>
          <w:rFonts w:hAnsi="宋体"/>
          <w:szCs w:val="21"/>
        </w:rPr>
        <w:t>制造商企业类型</w:t>
      </w:r>
      <w:r>
        <w:rPr>
          <w:szCs w:val="21"/>
        </w:rPr>
        <w:t>”</w:t>
      </w:r>
      <w:r>
        <w:rPr>
          <w:rFonts w:hAnsi="宋体"/>
          <w:szCs w:val="21"/>
        </w:rPr>
        <w:t>栏填写内容</w:t>
      </w:r>
      <w:r>
        <w:rPr>
          <w:rFonts w:hint="eastAsia" w:hAnsi="宋体"/>
          <w:szCs w:val="21"/>
        </w:rPr>
        <w:t>应</w:t>
      </w:r>
      <w:r>
        <w:rPr>
          <w:rFonts w:hAnsi="宋体"/>
          <w:szCs w:val="21"/>
        </w:rPr>
        <w:t>为</w:t>
      </w:r>
      <w:r>
        <w:rPr>
          <w:szCs w:val="21"/>
        </w:rPr>
        <w:t>“</w:t>
      </w:r>
      <w:r>
        <w:rPr>
          <w:rFonts w:hAnsi="宋体"/>
          <w:szCs w:val="21"/>
        </w:rPr>
        <w:t>小型</w:t>
      </w:r>
      <w:r>
        <w:rPr>
          <w:szCs w:val="21"/>
        </w:rPr>
        <w:t>”</w:t>
      </w:r>
      <w:r>
        <w:rPr>
          <w:rFonts w:hint="eastAsia" w:hAnsi="宋体"/>
          <w:szCs w:val="21"/>
        </w:rPr>
        <w:t>、</w:t>
      </w:r>
      <w:r>
        <w:rPr>
          <w:szCs w:val="21"/>
        </w:rPr>
        <w:t>“</w:t>
      </w:r>
      <w:r>
        <w:rPr>
          <w:rFonts w:hAnsi="宋体"/>
          <w:szCs w:val="21"/>
        </w:rPr>
        <w:t>微型</w:t>
      </w:r>
      <w:r>
        <w:rPr>
          <w:szCs w:val="21"/>
        </w:rPr>
        <w:t>”</w:t>
      </w:r>
      <w:r>
        <w:rPr>
          <w:rFonts w:hint="eastAsia"/>
          <w:szCs w:val="21"/>
        </w:rPr>
        <w:t>、“监狱企业”或“</w:t>
      </w:r>
      <w:r>
        <w:rPr>
          <w:rFonts w:hint="eastAsia" w:ascii="宋体" w:hAnsi="宋体"/>
          <w:color w:val="000000"/>
        </w:rPr>
        <w:t>残疾人福利性单位</w:t>
      </w:r>
      <w:r>
        <w:rPr>
          <w:rFonts w:hint="eastAsia"/>
          <w:szCs w:val="21"/>
        </w:rPr>
        <w:t>”</w:t>
      </w:r>
      <w:r>
        <w:rPr>
          <w:rFonts w:hAnsi="宋体"/>
          <w:szCs w:val="21"/>
        </w:rPr>
        <w:t>。</w:t>
      </w:r>
      <w:bookmarkEnd w:id="2053"/>
      <w:bookmarkEnd w:id="2054"/>
      <w:bookmarkEnd w:id="2055"/>
      <w:bookmarkEnd w:id="2056"/>
      <w:bookmarkEnd w:id="2057"/>
      <w:bookmarkEnd w:id="2058"/>
      <w:bookmarkEnd w:id="2059"/>
      <w:bookmarkEnd w:id="2060"/>
    </w:p>
    <w:p>
      <w:pPr>
        <w:kinsoku/>
        <w:overflowPunct/>
        <w:topLinePunct w:val="0"/>
        <w:bidi w:val="0"/>
        <w:spacing w:line="300" w:lineRule="auto"/>
        <w:ind w:firstLine="420" w:firstLineChars="200"/>
        <w:rPr>
          <w:rFonts w:hint="eastAsia"/>
        </w:rPr>
      </w:pPr>
      <w:bookmarkStart w:id="2061" w:name="_Toc509218979"/>
      <w:bookmarkStart w:id="2062" w:name="_Toc515011020"/>
      <w:bookmarkStart w:id="2063" w:name="_Toc518546801"/>
      <w:bookmarkStart w:id="2064" w:name="_Toc515011121"/>
      <w:bookmarkStart w:id="2065" w:name="_Toc513560349"/>
      <w:bookmarkStart w:id="2066" w:name="_Toc514420714"/>
      <w:bookmarkStart w:id="2067" w:name="_Toc508709362"/>
      <w:bookmarkStart w:id="2068" w:name="_Toc514337543"/>
      <w:r>
        <w:rPr>
          <w:rFonts w:hint="eastAsia"/>
        </w:rPr>
        <w:t>3</w:t>
      </w:r>
      <w:r>
        <w:t>. 请投标人正确填写本表，所填内容将作为</w:t>
      </w:r>
      <w:r>
        <w:rPr>
          <w:rFonts w:hint="eastAsia"/>
        </w:rPr>
        <w:t>报价的</w:t>
      </w:r>
      <w:r>
        <w:t>评分依据。如果填写不完整或有误，不再享受上述政策优惠。</w:t>
      </w:r>
      <w:bookmarkEnd w:id="2061"/>
      <w:bookmarkEnd w:id="2062"/>
      <w:bookmarkEnd w:id="2063"/>
      <w:bookmarkEnd w:id="2064"/>
      <w:bookmarkEnd w:id="2065"/>
      <w:bookmarkEnd w:id="2066"/>
      <w:bookmarkEnd w:id="2067"/>
      <w:bookmarkEnd w:id="2068"/>
    </w:p>
    <w:p>
      <w:pPr>
        <w:kinsoku/>
        <w:overflowPunct/>
        <w:topLinePunct w:val="0"/>
        <w:bidi w:val="0"/>
        <w:spacing w:line="300" w:lineRule="auto"/>
        <w:rPr>
          <w:rFonts w:hint="eastAsia"/>
        </w:rPr>
      </w:pPr>
    </w:p>
    <w:p>
      <w:pPr>
        <w:kinsoku/>
        <w:overflowPunct/>
        <w:topLinePunct w:val="0"/>
        <w:bidi w:val="0"/>
        <w:spacing w:line="300" w:lineRule="auto"/>
        <w:ind w:firstLine="4830" w:firstLineChars="2300"/>
        <w:rPr>
          <w:rFonts w:hint="eastAsia" w:ascii="Arial" w:hAnsi="Arial" w:cs="Times New Roman"/>
        </w:rPr>
      </w:pPr>
      <w:r>
        <w:rPr>
          <w:rFonts w:hint="eastAsia" w:ascii="Arial" w:hAnsi="Arial" w:cs="Times New Roman"/>
        </w:rPr>
        <w:t>磋商供应商（公章）：</w:t>
      </w:r>
    </w:p>
    <w:p>
      <w:pPr>
        <w:kinsoku/>
        <w:overflowPunct/>
        <w:topLinePunct w:val="0"/>
        <w:bidi w:val="0"/>
        <w:spacing w:line="300" w:lineRule="auto"/>
        <w:ind w:firstLine="4830" w:firstLineChars="2300"/>
        <w:rPr>
          <w:rFonts w:hint="eastAsia" w:ascii="Arial" w:hAnsi="Arial" w:cs="Times New Roman"/>
        </w:rPr>
      </w:pPr>
      <w:r>
        <w:rPr>
          <w:rFonts w:hint="eastAsia" w:ascii="Arial" w:hAnsi="Arial" w:cs="Times New Roman"/>
        </w:rPr>
        <w:t>法定代表人或授权代表（签字或盖章）：</w:t>
      </w:r>
    </w:p>
    <w:p>
      <w:pPr>
        <w:kinsoku/>
        <w:overflowPunct/>
        <w:topLinePunct w:val="0"/>
        <w:bidi w:val="0"/>
        <w:spacing w:line="300" w:lineRule="auto"/>
        <w:ind w:firstLine="4830" w:firstLineChars="2300"/>
        <w:jc w:val="center"/>
        <w:rPr>
          <w:rFonts w:hint="eastAsia" w:ascii="Cambria" w:hAnsi="宋体"/>
          <w:b/>
          <w:bCs/>
          <w:sz w:val="28"/>
          <w:szCs w:val="36"/>
        </w:rPr>
      </w:pPr>
      <w:r>
        <w:rPr>
          <w:rFonts w:hint="eastAsia" w:ascii="Arial" w:hAnsi="Arial" w:cs="Times New Roman"/>
        </w:rPr>
        <w:t>日期：    年   月    日</w:t>
      </w:r>
      <w:r>
        <w:rPr>
          <w:rFonts w:hAnsi="宋体"/>
          <w:b/>
          <w:color w:val="000000"/>
          <w:szCs w:val="21"/>
        </w:rPr>
        <w:br w:type="page"/>
      </w:r>
      <w:bookmarkStart w:id="2069" w:name="_Toc3904008"/>
      <w:bookmarkStart w:id="2070" w:name="_Toc23604"/>
      <w:bookmarkStart w:id="2071" w:name="_Toc4400"/>
      <w:r>
        <w:rPr>
          <w:rFonts w:hint="eastAsia" w:ascii="Cambria" w:hAnsi="宋体"/>
          <w:b/>
          <w:bCs/>
          <w:sz w:val="28"/>
          <w:szCs w:val="36"/>
        </w:rPr>
        <w:t>附件</w:t>
      </w:r>
      <w:bookmarkEnd w:id="2016"/>
      <w:r>
        <w:rPr>
          <w:rFonts w:hint="eastAsia" w:ascii="Cambria" w:hAnsi="宋体"/>
          <w:b/>
          <w:bCs/>
          <w:sz w:val="28"/>
          <w:szCs w:val="36"/>
        </w:rPr>
        <w:t>十</w:t>
      </w:r>
      <w:r>
        <w:rPr>
          <w:rFonts w:hint="eastAsia" w:ascii="Cambria" w:hAnsi="宋体"/>
          <w:b/>
          <w:bCs/>
          <w:sz w:val="28"/>
          <w:szCs w:val="36"/>
          <w:lang w:eastAsia="zh-CN"/>
        </w:rPr>
        <w:t>八</w:t>
      </w:r>
      <w:r>
        <w:rPr>
          <w:rFonts w:hint="eastAsia" w:ascii="Cambria" w:hAnsi="宋体"/>
          <w:b/>
          <w:bCs/>
          <w:sz w:val="28"/>
          <w:szCs w:val="36"/>
        </w:rPr>
        <w:t xml:space="preserve">  </w:t>
      </w:r>
      <w:bookmarkEnd w:id="2017"/>
      <w:bookmarkEnd w:id="2069"/>
      <w:r>
        <w:rPr>
          <w:rFonts w:hint="eastAsia" w:ascii="Cambria" w:hAnsi="宋体"/>
          <w:b/>
          <w:bCs/>
          <w:sz w:val="28"/>
          <w:szCs w:val="36"/>
        </w:rPr>
        <w:t>2016年1月1日以来企业</w:t>
      </w:r>
      <w:r>
        <w:rPr>
          <w:rFonts w:hint="eastAsia" w:ascii="Cambria" w:hAnsi="宋体"/>
          <w:b/>
          <w:bCs/>
          <w:sz w:val="28"/>
          <w:szCs w:val="36"/>
          <w:lang w:eastAsia="zh-CN"/>
        </w:rPr>
        <w:t>同</w:t>
      </w:r>
      <w:r>
        <w:rPr>
          <w:rFonts w:hint="eastAsia" w:ascii="Cambria" w:hAnsi="宋体"/>
          <w:b/>
          <w:bCs/>
          <w:sz w:val="28"/>
          <w:szCs w:val="36"/>
        </w:rPr>
        <w:t>类项目业绩一览表</w:t>
      </w:r>
      <w:bookmarkEnd w:id="2070"/>
      <w:bookmarkEnd w:id="2071"/>
    </w:p>
    <w:p>
      <w:pPr>
        <w:kinsoku/>
        <w:overflowPunct/>
        <w:topLinePunct w:val="0"/>
        <w:bidi w:val="0"/>
        <w:spacing w:line="300" w:lineRule="auto"/>
        <w:rPr>
          <w:rFonts w:hint="eastAsia" w:eastAsia="宋体"/>
          <w:lang w:eastAsia="zh-CN"/>
        </w:rPr>
      </w:pPr>
      <w:r>
        <w:rPr>
          <w:rFonts w:hint="eastAsia"/>
        </w:rPr>
        <w:t>项目编号：</w:t>
      </w:r>
      <w:r>
        <w:rPr>
          <w:rFonts w:hint="eastAsia"/>
          <w:lang w:eastAsia="zh-CN"/>
        </w:rPr>
        <w:t>RACG201905028</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469"/>
        <w:gridCol w:w="1469"/>
        <w:gridCol w:w="1469"/>
        <w:gridCol w:w="1311"/>
        <w:gridCol w:w="1050"/>
        <w:gridCol w:w="737"/>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3" w:hRule="atLeast"/>
          <w:jc w:val="center"/>
        </w:trPr>
        <w:tc>
          <w:tcPr>
            <w:tcW w:w="703" w:type="dxa"/>
            <w:noWrap w:val="0"/>
            <w:vAlign w:val="center"/>
          </w:tcPr>
          <w:p>
            <w:pPr>
              <w:kinsoku/>
              <w:overflowPunct/>
              <w:topLinePunct w:val="0"/>
              <w:bidi w:val="0"/>
              <w:spacing w:line="300" w:lineRule="auto"/>
              <w:rPr>
                <w:rFonts w:hint="eastAsia"/>
              </w:rPr>
            </w:pPr>
            <w:r>
              <w:rPr>
                <w:rFonts w:hint="eastAsia"/>
              </w:rPr>
              <w:t>序号</w:t>
            </w:r>
          </w:p>
        </w:tc>
        <w:tc>
          <w:tcPr>
            <w:tcW w:w="1469" w:type="dxa"/>
            <w:noWrap w:val="0"/>
            <w:vAlign w:val="center"/>
          </w:tcPr>
          <w:p>
            <w:pPr>
              <w:kinsoku/>
              <w:overflowPunct/>
              <w:topLinePunct w:val="0"/>
              <w:bidi w:val="0"/>
              <w:spacing w:line="300" w:lineRule="auto"/>
              <w:jc w:val="center"/>
              <w:rPr>
                <w:rFonts w:hint="eastAsia"/>
              </w:rPr>
            </w:pPr>
            <w:r>
              <w:rPr>
                <w:rFonts w:hint="eastAsia"/>
              </w:rPr>
              <w:t>建设单位</w:t>
            </w:r>
          </w:p>
        </w:tc>
        <w:tc>
          <w:tcPr>
            <w:tcW w:w="1469" w:type="dxa"/>
            <w:noWrap w:val="0"/>
            <w:vAlign w:val="center"/>
          </w:tcPr>
          <w:p>
            <w:pPr>
              <w:kinsoku/>
              <w:overflowPunct/>
              <w:topLinePunct w:val="0"/>
              <w:bidi w:val="0"/>
              <w:spacing w:line="300" w:lineRule="auto"/>
              <w:jc w:val="center"/>
              <w:rPr>
                <w:rFonts w:hint="eastAsia"/>
              </w:rPr>
            </w:pPr>
            <w:r>
              <w:rPr>
                <w:rFonts w:hint="eastAsia"/>
              </w:rPr>
              <w:t>项目负责人姓名</w:t>
            </w:r>
          </w:p>
        </w:tc>
        <w:tc>
          <w:tcPr>
            <w:tcW w:w="1469" w:type="dxa"/>
            <w:noWrap w:val="0"/>
            <w:vAlign w:val="center"/>
          </w:tcPr>
          <w:p>
            <w:pPr>
              <w:kinsoku/>
              <w:overflowPunct/>
              <w:topLinePunct w:val="0"/>
              <w:bidi w:val="0"/>
              <w:spacing w:line="300" w:lineRule="auto"/>
              <w:jc w:val="center"/>
              <w:rPr>
                <w:rFonts w:hint="eastAsia"/>
              </w:rPr>
            </w:pPr>
            <w:r>
              <w:rPr>
                <w:rFonts w:hint="eastAsia"/>
              </w:rPr>
              <w:t>工程名称</w:t>
            </w:r>
          </w:p>
        </w:tc>
        <w:tc>
          <w:tcPr>
            <w:tcW w:w="1311" w:type="dxa"/>
            <w:noWrap w:val="0"/>
            <w:vAlign w:val="center"/>
          </w:tcPr>
          <w:p>
            <w:pPr>
              <w:kinsoku/>
              <w:overflowPunct/>
              <w:topLinePunct w:val="0"/>
              <w:bidi w:val="0"/>
              <w:spacing w:line="300" w:lineRule="auto"/>
              <w:jc w:val="center"/>
              <w:rPr>
                <w:rFonts w:hint="eastAsia"/>
              </w:rPr>
            </w:pPr>
            <w:r>
              <w:rPr>
                <w:rFonts w:hint="eastAsia"/>
              </w:rPr>
              <w:t>建设规模、合同范围</w:t>
            </w:r>
          </w:p>
        </w:tc>
        <w:tc>
          <w:tcPr>
            <w:tcW w:w="1050" w:type="dxa"/>
            <w:noWrap w:val="0"/>
            <w:vAlign w:val="center"/>
          </w:tcPr>
          <w:p>
            <w:pPr>
              <w:kinsoku/>
              <w:overflowPunct/>
              <w:topLinePunct w:val="0"/>
              <w:bidi w:val="0"/>
              <w:spacing w:line="300" w:lineRule="auto"/>
              <w:jc w:val="center"/>
              <w:rPr>
                <w:rFonts w:hint="eastAsia"/>
              </w:rPr>
            </w:pPr>
            <w:r>
              <w:rPr>
                <w:rFonts w:hint="eastAsia"/>
              </w:rPr>
              <w:t>开工、竣工日期</w:t>
            </w:r>
          </w:p>
        </w:tc>
        <w:tc>
          <w:tcPr>
            <w:tcW w:w="737" w:type="dxa"/>
            <w:noWrap w:val="0"/>
            <w:vAlign w:val="center"/>
          </w:tcPr>
          <w:p>
            <w:pPr>
              <w:kinsoku/>
              <w:overflowPunct/>
              <w:topLinePunct w:val="0"/>
              <w:bidi w:val="0"/>
              <w:spacing w:line="300" w:lineRule="auto"/>
              <w:jc w:val="center"/>
              <w:rPr>
                <w:rFonts w:hint="eastAsia"/>
              </w:rPr>
            </w:pPr>
            <w:r>
              <w:rPr>
                <w:rFonts w:hint="eastAsia"/>
              </w:rPr>
              <w:t>合同价格</w:t>
            </w:r>
          </w:p>
        </w:tc>
        <w:tc>
          <w:tcPr>
            <w:tcW w:w="783" w:type="dxa"/>
            <w:noWrap w:val="0"/>
            <w:vAlign w:val="center"/>
          </w:tcPr>
          <w:p>
            <w:pPr>
              <w:kinsoku/>
              <w:overflowPunct/>
              <w:topLinePunct w:val="0"/>
              <w:bidi w:val="0"/>
              <w:spacing w:line="300" w:lineRule="auto"/>
              <w:jc w:val="center"/>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3" w:hRule="atLeast"/>
          <w:jc w:val="center"/>
        </w:trPr>
        <w:tc>
          <w:tcPr>
            <w:tcW w:w="703" w:type="dxa"/>
            <w:noWrap w:val="0"/>
            <w:vAlign w:val="center"/>
          </w:tcPr>
          <w:p>
            <w:pPr>
              <w:kinsoku/>
              <w:overflowPunct/>
              <w:topLinePunct w:val="0"/>
              <w:bidi w:val="0"/>
              <w:spacing w:line="300" w:lineRule="auto"/>
              <w:jc w:val="center"/>
              <w:rPr>
                <w:rFonts w:hint="eastAsia"/>
              </w:rPr>
            </w:pPr>
          </w:p>
        </w:tc>
        <w:tc>
          <w:tcPr>
            <w:tcW w:w="1469" w:type="dxa"/>
            <w:noWrap w:val="0"/>
            <w:vAlign w:val="center"/>
          </w:tcPr>
          <w:p>
            <w:pPr>
              <w:kinsoku/>
              <w:overflowPunct/>
              <w:topLinePunct w:val="0"/>
              <w:bidi w:val="0"/>
              <w:spacing w:line="300" w:lineRule="auto"/>
              <w:jc w:val="center"/>
              <w:rPr>
                <w:rFonts w:hint="eastAsia"/>
              </w:rPr>
            </w:pPr>
          </w:p>
        </w:tc>
        <w:tc>
          <w:tcPr>
            <w:tcW w:w="1469" w:type="dxa"/>
            <w:noWrap w:val="0"/>
            <w:vAlign w:val="center"/>
          </w:tcPr>
          <w:p>
            <w:pPr>
              <w:kinsoku/>
              <w:overflowPunct/>
              <w:topLinePunct w:val="0"/>
              <w:bidi w:val="0"/>
              <w:spacing w:line="300" w:lineRule="auto"/>
              <w:jc w:val="center"/>
              <w:rPr>
                <w:rFonts w:hint="eastAsia"/>
              </w:rPr>
            </w:pPr>
          </w:p>
        </w:tc>
        <w:tc>
          <w:tcPr>
            <w:tcW w:w="1469" w:type="dxa"/>
            <w:noWrap w:val="0"/>
            <w:vAlign w:val="center"/>
          </w:tcPr>
          <w:p>
            <w:pPr>
              <w:kinsoku/>
              <w:overflowPunct/>
              <w:topLinePunct w:val="0"/>
              <w:bidi w:val="0"/>
              <w:spacing w:line="300" w:lineRule="auto"/>
              <w:jc w:val="center"/>
              <w:rPr>
                <w:rFonts w:hint="eastAsia"/>
              </w:rPr>
            </w:pPr>
          </w:p>
        </w:tc>
        <w:tc>
          <w:tcPr>
            <w:tcW w:w="1311" w:type="dxa"/>
            <w:noWrap w:val="0"/>
            <w:vAlign w:val="center"/>
          </w:tcPr>
          <w:p>
            <w:pPr>
              <w:kinsoku/>
              <w:overflowPunct/>
              <w:topLinePunct w:val="0"/>
              <w:bidi w:val="0"/>
              <w:spacing w:line="300" w:lineRule="auto"/>
              <w:jc w:val="center"/>
              <w:rPr>
                <w:rFonts w:hint="eastAsia"/>
              </w:rPr>
            </w:pPr>
          </w:p>
        </w:tc>
        <w:tc>
          <w:tcPr>
            <w:tcW w:w="1050" w:type="dxa"/>
            <w:noWrap w:val="0"/>
            <w:vAlign w:val="center"/>
          </w:tcPr>
          <w:p>
            <w:pPr>
              <w:kinsoku/>
              <w:overflowPunct/>
              <w:topLinePunct w:val="0"/>
              <w:bidi w:val="0"/>
              <w:spacing w:line="300" w:lineRule="auto"/>
              <w:jc w:val="center"/>
              <w:rPr>
                <w:rFonts w:hint="eastAsia"/>
              </w:rPr>
            </w:pPr>
          </w:p>
        </w:tc>
        <w:tc>
          <w:tcPr>
            <w:tcW w:w="737" w:type="dxa"/>
            <w:noWrap w:val="0"/>
            <w:vAlign w:val="center"/>
          </w:tcPr>
          <w:p>
            <w:pPr>
              <w:kinsoku/>
              <w:overflowPunct/>
              <w:topLinePunct w:val="0"/>
              <w:bidi w:val="0"/>
              <w:spacing w:line="300" w:lineRule="auto"/>
              <w:jc w:val="center"/>
              <w:rPr>
                <w:rFonts w:hint="eastAsia"/>
              </w:rPr>
            </w:pPr>
          </w:p>
        </w:tc>
        <w:tc>
          <w:tcPr>
            <w:tcW w:w="783" w:type="dxa"/>
            <w:noWrap w:val="0"/>
            <w:vAlign w:val="center"/>
          </w:tcPr>
          <w:p>
            <w:pPr>
              <w:kinsoku/>
              <w:overflowPunct/>
              <w:topLinePunct w:val="0"/>
              <w:bidi w:val="0"/>
              <w:spacing w:line="30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3" w:hRule="atLeast"/>
          <w:jc w:val="center"/>
        </w:trPr>
        <w:tc>
          <w:tcPr>
            <w:tcW w:w="703" w:type="dxa"/>
            <w:noWrap w:val="0"/>
            <w:vAlign w:val="center"/>
          </w:tcPr>
          <w:p>
            <w:pPr>
              <w:kinsoku/>
              <w:overflowPunct/>
              <w:topLinePunct w:val="0"/>
              <w:bidi w:val="0"/>
              <w:spacing w:line="300" w:lineRule="auto"/>
              <w:jc w:val="center"/>
              <w:rPr>
                <w:rFonts w:hint="eastAsia"/>
              </w:rPr>
            </w:pPr>
          </w:p>
        </w:tc>
        <w:tc>
          <w:tcPr>
            <w:tcW w:w="1469" w:type="dxa"/>
            <w:noWrap w:val="0"/>
            <w:vAlign w:val="center"/>
          </w:tcPr>
          <w:p>
            <w:pPr>
              <w:kinsoku/>
              <w:overflowPunct/>
              <w:topLinePunct w:val="0"/>
              <w:bidi w:val="0"/>
              <w:spacing w:line="300" w:lineRule="auto"/>
              <w:jc w:val="center"/>
              <w:rPr>
                <w:rFonts w:hint="eastAsia"/>
              </w:rPr>
            </w:pPr>
          </w:p>
        </w:tc>
        <w:tc>
          <w:tcPr>
            <w:tcW w:w="1469" w:type="dxa"/>
            <w:noWrap w:val="0"/>
            <w:vAlign w:val="center"/>
          </w:tcPr>
          <w:p>
            <w:pPr>
              <w:kinsoku/>
              <w:overflowPunct/>
              <w:topLinePunct w:val="0"/>
              <w:bidi w:val="0"/>
              <w:spacing w:line="300" w:lineRule="auto"/>
              <w:jc w:val="center"/>
              <w:rPr>
                <w:rFonts w:hint="eastAsia"/>
              </w:rPr>
            </w:pPr>
          </w:p>
        </w:tc>
        <w:tc>
          <w:tcPr>
            <w:tcW w:w="1469" w:type="dxa"/>
            <w:noWrap w:val="0"/>
            <w:vAlign w:val="center"/>
          </w:tcPr>
          <w:p>
            <w:pPr>
              <w:kinsoku/>
              <w:overflowPunct/>
              <w:topLinePunct w:val="0"/>
              <w:bidi w:val="0"/>
              <w:spacing w:line="300" w:lineRule="auto"/>
              <w:jc w:val="center"/>
              <w:rPr>
                <w:rFonts w:hint="eastAsia"/>
              </w:rPr>
            </w:pPr>
          </w:p>
        </w:tc>
        <w:tc>
          <w:tcPr>
            <w:tcW w:w="1311" w:type="dxa"/>
            <w:noWrap w:val="0"/>
            <w:vAlign w:val="center"/>
          </w:tcPr>
          <w:p>
            <w:pPr>
              <w:kinsoku/>
              <w:overflowPunct/>
              <w:topLinePunct w:val="0"/>
              <w:bidi w:val="0"/>
              <w:spacing w:line="300" w:lineRule="auto"/>
              <w:jc w:val="center"/>
              <w:rPr>
                <w:rFonts w:hint="eastAsia"/>
              </w:rPr>
            </w:pPr>
          </w:p>
        </w:tc>
        <w:tc>
          <w:tcPr>
            <w:tcW w:w="1050" w:type="dxa"/>
            <w:noWrap w:val="0"/>
            <w:vAlign w:val="center"/>
          </w:tcPr>
          <w:p>
            <w:pPr>
              <w:kinsoku/>
              <w:overflowPunct/>
              <w:topLinePunct w:val="0"/>
              <w:bidi w:val="0"/>
              <w:spacing w:line="300" w:lineRule="auto"/>
              <w:jc w:val="center"/>
              <w:rPr>
                <w:rFonts w:hint="eastAsia"/>
              </w:rPr>
            </w:pPr>
          </w:p>
        </w:tc>
        <w:tc>
          <w:tcPr>
            <w:tcW w:w="737" w:type="dxa"/>
            <w:noWrap w:val="0"/>
            <w:vAlign w:val="center"/>
          </w:tcPr>
          <w:p>
            <w:pPr>
              <w:kinsoku/>
              <w:overflowPunct/>
              <w:topLinePunct w:val="0"/>
              <w:bidi w:val="0"/>
              <w:spacing w:line="300" w:lineRule="auto"/>
              <w:jc w:val="center"/>
              <w:rPr>
                <w:rFonts w:hint="eastAsia"/>
              </w:rPr>
            </w:pPr>
          </w:p>
        </w:tc>
        <w:tc>
          <w:tcPr>
            <w:tcW w:w="783" w:type="dxa"/>
            <w:noWrap w:val="0"/>
            <w:vAlign w:val="center"/>
          </w:tcPr>
          <w:p>
            <w:pPr>
              <w:kinsoku/>
              <w:overflowPunct/>
              <w:topLinePunct w:val="0"/>
              <w:bidi w:val="0"/>
              <w:spacing w:line="30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3" w:hRule="atLeast"/>
          <w:jc w:val="center"/>
        </w:trPr>
        <w:tc>
          <w:tcPr>
            <w:tcW w:w="703" w:type="dxa"/>
            <w:noWrap w:val="0"/>
            <w:vAlign w:val="center"/>
          </w:tcPr>
          <w:p>
            <w:pPr>
              <w:kinsoku/>
              <w:overflowPunct/>
              <w:topLinePunct w:val="0"/>
              <w:bidi w:val="0"/>
              <w:spacing w:line="300" w:lineRule="auto"/>
              <w:jc w:val="center"/>
              <w:rPr>
                <w:rFonts w:hint="eastAsia"/>
              </w:rPr>
            </w:pPr>
          </w:p>
        </w:tc>
        <w:tc>
          <w:tcPr>
            <w:tcW w:w="1469" w:type="dxa"/>
            <w:noWrap w:val="0"/>
            <w:vAlign w:val="center"/>
          </w:tcPr>
          <w:p>
            <w:pPr>
              <w:kinsoku/>
              <w:overflowPunct/>
              <w:topLinePunct w:val="0"/>
              <w:bidi w:val="0"/>
              <w:spacing w:line="300" w:lineRule="auto"/>
              <w:jc w:val="center"/>
              <w:rPr>
                <w:rFonts w:hint="eastAsia"/>
              </w:rPr>
            </w:pPr>
          </w:p>
        </w:tc>
        <w:tc>
          <w:tcPr>
            <w:tcW w:w="1469" w:type="dxa"/>
            <w:noWrap w:val="0"/>
            <w:vAlign w:val="center"/>
          </w:tcPr>
          <w:p>
            <w:pPr>
              <w:kinsoku/>
              <w:overflowPunct/>
              <w:topLinePunct w:val="0"/>
              <w:bidi w:val="0"/>
              <w:spacing w:line="300" w:lineRule="auto"/>
              <w:jc w:val="center"/>
              <w:rPr>
                <w:rFonts w:hint="eastAsia"/>
              </w:rPr>
            </w:pPr>
          </w:p>
        </w:tc>
        <w:tc>
          <w:tcPr>
            <w:tcW w:w="1469" w:type="dxa"/>
            <w:noWrap w:val="0"/>
            <w:vAlign w:val="center"/>
          </w:tcPr>
          <w:p>
            <w:pPr>
              <w:kinsoku/>
              <w:overflowPunct/>
              <w:topLinePunct w:val="0"/>
              <w:bidi w:val="0"/>
              <w:spacing w:line="300" w:lineRule="auto"/>
              <w:jc w:val="center"/>
              <w:rPr>
                <w:rFonts w:hint="eastAsia"/>
              </w:rPr>
            </w:pPr>
          </w:p>
        </w:tc>
        <w:tc>
          <w:tcPr>
            <w:tcW w:w="1311" w:type="dxa"/>
            <w:noWrap w:val="0"/>
            <w:vAlign w:val="center"/>
          </w:tcPr>
          <w:p>
            <w:pPr>
              <w:kinsoku/>
              <w:overflowPunct/>
              <w:topLinePunct w:val="0"/>
              <w:bidi w:val="0"/>
              <w:spacing w:line="300" w:lineRule="auto"/>
              <w:jc w:val="center"/>
              <w:rPr>
                <w:rFonts w:hint="eastAsia"/>
              </w:rPr>
            </w:pPr>
          </w:p>
        </w:tc>
        <w:tc>
          <w:tcPr>
            <w:tcW w:w="1050" w:type="dxa"/>
            <w:noWrap w:val="0"/>
            <w:vAlign w:val="center"/>
          </w:tcPr>
          <w:p>
            <w:pPr>
              <w:kinsoku/>
              <w:overflowPunct/>
              <w:topLinePunct w:val="0"/>
              <w:bidi w:val="0"/>
              <w:spacing w:line="300" w:lineRule="auto"/>
              <w:jc w:val="center"/>
              <w:rPr>
                <w:rFonts w:hint="eastAsia"/>
              </w:rPr>
            </w:pPr>
          </w:p>
        </w:tc>
        <w:tc>
          <w:tcPr>
            <w:tcW w:w="737" w:type="dxa"/>
            <w:noWrap w:val="0"/>
            <w:vAlign w:val="center"/>
          </w:tcPr>
          <w:p>
            <w:pPr>
              <w:kinsoku/>
              <w:overflowPunct/>
              <w:topLinePunct w:val="0"/>
              <w:bidi w:val="0"/>
              <w:spacing w:line="300" w:lineRule="auto"/>
              <w:jc w:val="center"/>
              <w:rPr>
                <w:rFonts w:hint="eastAsia"/>
              </w:rPr>
            </w:pPr>
          </w:p>
        </w:tc>
        <w:tc>
          <w:tcPr>
            <w:tcW w:w="783" w:type="dxa"/>
            <w:noWrap w:val="0"/>
            <w:vAlign w:val="center"/>
          </w:tcPr>
          <w:p>
            <w:pPr>
              <w:kinsoku/>
              <w:overflowPunct/>
              <w:topLinePunct w:val="0"/>
              <w:bidi w:val="0"/>
              <w:spacing w:line="30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3" w:hRule="atLeast"/>
          <w:jc w:val="center"/>
        </w:trPr>
        <w:tc>
          <w:tcPr>
            <w:tcW w:w="703" w:type="dxa"/>
            <w:noWrap w:val="0"/>
            <w:vAlign w:val="center"/>
          </w:tcPr>
          <w:p>
            <w:pPr>
              <w:kinsoku/>
              <w:overflowPunct/>
              <w:topLinePunct w:val="0"/>
              <w:bidi w:val="0"/>
              <w:spacing w:line="300" w:lineRule="auto"/>
              <w:jc w:val="center"/>
              <w:rPr>
                <w:rFonts w:hint="eastAsia"/>
              </w:rPr>
            </w:pPr>
          </w:p>
        </w:tc>
        <w:tc>
          <w:tcPr>
            <w:tcW w:w="1469" w:type="dxa"/>
            <w:noWrap w:val="0"/>
            <w:vAlign w:val="center"/>
          </w:tcPr>
          <w:p>
            <w:pPr>
              <w:kinsoku/>
              <w:overflowPunct/>
              <w:topLinePunct w:val="0"/>
              <w:bidi w:val="0"/>
              <w:spacing w:line="300" w:lineRule="auto"/>
              <w:jc w:val="center"/>
              <w:rPr>
                <w:rFonts w:hint="eastAsia"/>
              </w:rPr>
            </w:pPr>
          </w:p>
        </w:tc>
        <w:tc>
          <w:tcPr>
            <w:tcW w:w="1469" w:type="dxa"/>
            <w:noWrap w:val="0"/>
            <w:vAlign w:val="center"/>
          </w:tcPr>
          <w:p>
            <w:pPr>
              <w:kinsoku/>
              <w:overflowPunct/>
              <w:topLinePunct w:val="0"/>
              <w:bidi w:val="0"/>
              <w:spacing w:line="300" w:lineRule="auto"/>
              <w:jc w:val="center"/>
              <w:rPr>
                <w:rFonts w:hint="eastAsia"/>
              </w:rPr>
            </w:pPr>
          </w:p>
        </w:tc>
        <w:tc>
          <w:tcPr>
            <w:tcW w:w="1469" w:type="dxa"/>
            <w:noWrap w:val="0"/>
            <w:vAlign w:val="center"/>
          </w:tcPr>
          <w:p>
            <w:pPr>
              <w:kinsoku/>
              <w:overflowPunct/>
              <w:topLinePunct w:val="0"/>
              <w:bidi w:val="0"/>
              <w:spacing w:line="300" w:lineRule="auto"/>
              <w:jc w:val="center"/>
              <w:rPr>
                <w:rFonts w:hint="eastAsia"/>
              </w:rPr>
            </w:pPr>
          </w:p>
        </w:tc>
        <w:tc>
          <w:tcPr>
            <w:tcW w:w="1311" w:type="dxa"/>
            <w:noWrap w:val="0"/>
            <w:vAlign w:val="center"/>
          </w:tcPr>
          <w:p>
            <w:pPr>
              <w:kinsoku/>
              <w:overflowPunct/>
              <w:topLinePunct w:val="0"/>
              <w:bidi w:val="0"/>
              <w:spacing w:line="300" w:lineRule="auto"/>
              <w:jc w:val="center"/>
              <w:rPr>
                <w:rFonts w:hint="eastAsia"/>
              </w:rPr>
            </w:pPr>
          </w:p>
        </w:tc>
        <w:tc>
          <w:tcPr>
            <w:tcW w:w="1050" w:type="dxa"/>
            <w:noWrap w:val="0"/>
            <w:vAlign w:val="center"/>
          </w:tcPr>
          <w:p>
            <w:pPr>
              <w:kinsoku/>
              <w:overflowPunct/>
              <w:topLinePunct w:val="0"/>
              <w:bidi w:val="0"/>
              <w:spacing w:line="300" w:lineRule="auto"/>
              <w:jc w:val="center"/>
              <w:rPr>
                <w:rFonts w:hint="eastAsia"/>
              </w:rPr>
            </w:pPr>
          </w:p>
        </w:tc>
        <w:tc>
          <w:tcPr>
            <w:tcW w:w="737" w:type="dxa"/>
            <w:noWrap w:val="0"/>
            <w:vAlign w:val="center"/>
          </w:tcPr>
          <w:p>
            <w:pPr>
              <w:kinsoku/>
              <w:overflowPunct/>
              <w:topLinePunct w:val="0"/>
              <w:bidi w:val="0"/>
              <w:spacing w:line="300" w:lineRule="auto"/>
              <w:jc w:val="center"/>
              <w:rPr>
                <w:rFonts w:hint="eastAsia"/>
              </w:rPr>
            </w:pPr>
          </w:p>
        </w:tc>
        <w:tc>
          <w:tcPr>
            <w:tcW w:w="783" w:type="dxa"/>
            <w:noWrap w:val="0"/>
            <w:vAlign w:val="center"/>
          </w:tcPr>
          <w:p>
            <w:pPr>
              <w:kinsoku/>
              <w:overflowPunct/>
              <w:topLinePunct w:val="0"/>
              <w:bidi w:val="0"/>
              <w:spacing w:line="30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3" w:hRule="atLeast"/>
          <w:jc w:val="center"/>
        </w:trPr>
        <w:tc>
          <w:tcPr>
            <w:tcW w:w="703" w:type="dxa"/>
            <w:noWrap w:val="0"/>
            <w:vAlign w:val="center"/>
          </w:tcPr>
          <w:p>
            <w:pPr>
              <w:kinsoku/>
              <w:overflowPunct/>
              <w:topLinePunct w:val="0"/>
              <w:bidi w:val="0"/>
              <w:spacing w:line="300" w:lineRule="auto"/>
              <w:jc w:val="center"/>
              <w:rPr>
                <w:rFonts w:hint="eastAsia"/>
              </w:rPr>
            </w:pPr>
          </w:p>
        </w:tc>
        <w:tc>
          <w:tcPr>
            <w:tcW w:w="1469" w:type="dxa"/>
            <w:noWrap w:val="0"/>
            <w:vAlign w:val="center"/>
          </w:tcPr>
          <w:p>
            <w:pPr>
              <w:kinsoku/>
              <w:overflowPunct/>
              <w:topLinePunct w:val="0"/>
              <w:bidi w:val="0"/>
              <w:spacing w:line="300" w:lineRule="auto"/>
              <w:jc w:val="center"/>
              <w:rPr>
                <w:rFonts w:hint="eastAsia"/>
              </w:rPr>
            </w:pPr>
          </w:p>
        </w:tc>
        <w:tc>
          <w:tcPr>
            <w:tcW w:w="1469" w:type="dxa"/>
            <w:noWrap w:val="0"/>
            <w:vAlign w:val="center"/>
          </w:tcPr>
          <w:p>
            <w:pPr>
              <w:kinsoku/>
              <w:overflowPunct/>
              <w:topLinePunct w:val="0"/>
              <w:bidi w:val="0"/>
              <w:spacing w:line="300" w:lineRule="auto"/>
              <w:jc w:val="center"/>
              <w:rPr>
                <w:rFonts w:hint="eastAsia"/>
              </w:rPr>
            </w:pPr>
          </w:p>
        </w:tc>
        <w:tc>
          <w:tcPr>
            <w:tcW w:w="1469" w:type="dxa"/>
            <w:noWrap w:val="0"/>
            <w:vAlign w:val="center"/>
          </w:tcPr>
          <w:p>
            <w:pPr>
              <w:kinsoku/>
              <w:overflowPunct/>
              <w:topLinePunct w:val="0"/>
              <w:bidi w:val="0"/>
              <w:spacing w:line="300" w:lineRule="auto"/>
              <w:jc w:val="center"/>
              <w:rPr>
                <w:rFonts w:hint="eastAsia"/>
              </w:rPr>
            </w:pPr>
          </w:p>
        </w:tc>
        <w:tc>
          <w:tcPr>
            <w:tcW w:w="1311" w:type="dxa"/>
            <w:noWrap w:val="0"/>
            <w:vAlign w:val="center"/>
          </w:tcPr>
          <w:p>
            <w:pPr>
              <w:kinsoku/>
              <w:overflowPunct/>
              <w:topLinePunct w:val="0"/>
              <w:bidi w:val="0"/>
              <w:spacing w:line="300" w:lineRule="auto"/>
              <w:jc w:val="center"/>
              <w:rPr>
                <w:rFonts w:hint="eastAsia"/>
              </w:rPr>
            </w:pPr>
          </w:p>
        </w:tc>
        <w:tc>
          <w:tcPr>
            <w:tcW w:w="1050" w:type="dxa"/>
            <w:noWrap w:val="0"/>
            <w:vAlign w:val="center"/>
          </w:tcPr>
          <w:p>
            <w:pPr>
              <w:kinsoku/>
              <w:overflowPunct/>
              <w:topLinePunct w:val="0"/>
              <w:bidi w:val="0"/>
              <w:spacing w:line="300" w:lineRule="auto"/>
              <w:jc w:val="center"/>
              <w:rPr>
                <w:rFonts w:hint="eastAsia"/>
              </w:rPr>
            </w:pPr>
          </w:p>
        </w:tc>
        <w:tc>
          <w:tcPr>
            <w:tcW w:w="737" w:type="dxa"/>
            <w:noWrap w:val="0"/>
            <w:vAlign w:val="center"/>
          </w:tcPr>
          <w:p>
            <w:pPr>
              <w:kinsoku/>
              <w:overflowPunct/>
              <w:topLinePunct w:val="0"/>
              <w:bidi w:val="0"/>
              <w:spacing w:line="300" w:lineRule="auto"/>
              <w:jc w:val="center"/>
              <w:rPr>
                <w:rFonts w:hint="eastAsia"/>
              </w:rPr>
            </w:pPr>
          </w:p>
        </w:tc>
        <w:tc>
          <w:tcPr>
            <w:tcW w:w="783" w:type="dxa"/>
            <w:noWrap w:val="0"/>
            <w:vAlign w:val="center"/>
          </w:tcPr>
          <w:p>
            <w:pPr>
              <w:kinsoku/>
              <w:overflowPunct/>
              <w:topLinePunct w:val="0"/>
              <w:bidi w:val="0"/>
              <w:spacing w:line="300" w:lineRule="auto"/>
              <w:jc w:val="center"/>
              <w:rPr>
                <w:rFonts w:hint="eastAsia"/>
              </w:rPr>
            </w:pPr>
          </w:p>
        </w:tc>
      </w:tr>
    </w:tbl>
    <w:p>
      <w:pPr>
        <w:tabs>
          <w:tab w:val="left" w:pos="1134"/>
          <w:tab w:val="left" w:pos="1276"/>
          <w:tab w:val="left" w:pos="1418"/>
        </w:tabs>
        <w:kinsoku/>
        <w:overflowPunct/>
        <w:topLinePunct w:val="0"/>
        <w:bidi w:val="0"/>
        <w:spacing w:line="300" w:lineRule="auto"/>
        <w:rPr>
          <w:rFonts w:hint="eastAsia"/>
        </w:rPr>
      </w:pPr>
      <w:r>
        <w:rPr>
          <w:rFonts w:hint="eastAsia"/>
        </w:rPr>
        <w:t>注：</w:t>
      </w:r>
      <w:r>
        <w:rPr>
          <w:rFonts w:hint="eastAsia" w:ascii="宋体" w:hAnsi="宋体"/>
          <w:snapToGrid w:val="0"/>
          <w:szCs w:val="21"/>
        </w:rPr>
        <w:t>业绩有效性认定，需提供证明材料，包括合同和验收记录(纪要或报告)，或者合同和发票，或者合同和中标通知书，复印件加盖公章。业绩认定时间以合同签订时间为准。</w:t>
      </w:r>
      <w:r>
        <w:rPr>
          <w:rFonts w:hint="eastAsia" w:ascii="Arial" w:hAnsi="宋体" w:cs="Arial"/>
        </w:rPr>
        <w:t xml:space="preserve">                            </w:t>
      </w:r>
    </w:p>
    <w:p>
      <w:pPr>
        <w:tabs>
          <w:tab w:val="left" w:pos="1134"/>
          <w:tab w:val="left" w:pos="1276"/>
          <w:tab w:val="left" w:pos="1418"/>
        </w:tabs>
        <w:kinsoku/>
        <w:overflowPunct/>
        <w:topLinePunct w:val="0"/>
        <w:bidi w:val="0"/>
        <w:spacing w:line="300" w:lineRule="auto"/>
        <w:rPr>
          <w:rFonts w:hint="eastAsia" w:ascii="宋体" w:hAnsi="宋体"/>
          <w:szCs w:val="21"/>
        </w:rPr>
      </w:pPr>
      <w:r>
        <w:rPr>
          <w:rFonts w:hint="eastAsia" w:ascii="宋体" w:hAnsi="宋体"/>
          <w:szCs w:val="21"/>
        </w:rPr>
        <w:t xml:space="preserve">                                          </w:t>
      </w:r>
    </w:p>
    <w:p>
      <w:pPr>
        <w:tabs>
          <w:tab w:val="left" w:pos="1134"/>
          <w:tab w:val="left" w:pos="1276"/>
          <w:tab w:val="left" w:pos="1418"/>
        </w:tabs>
        <w:kinsoku/>
        <w:overflowPunct/>
        <w:topLinePunct w:val="0"/>
        <w:bidi w:val="0"/>
        <w:spacing w:line="300" w:lineRule="auto"/>
        <w:jc w:val="center"/>
        <w:rPr>
          <w:rFonts w:ascii="宋体" w:hAnsi="宋体"/>
          <w:szCs w:val="21"/>
        </w:rPr>
      </w:pPr>
      <w:r>
        <w:rPr>
          <w:rFonts w:hint="eastAsia" w:ascii="宋体" w:hAnsi="宋体"/>
          <w:szCs w:val="21"/>
          <w:lang w:val="en-US" w:eastAsia="zh-CN"/>
        </w:rPr>
        <w:t xml:space="preserve">                      </w:t>
      </w:r>
      <w:r>
        <w:rPr>
          <w:rFonts w:hint="eastAsia" w:ascii="宋体" w:hAnsi="宋体"/>
          <w:szCs w:val="21"/>
        </w:rPr>
        <w:t>磋商供应商（盖章）：</w:t>
      </w:r>
    </w:p>
    <w:p>
      <w:pPr>
        <w:kinsoku/>
        <w:overflowPunct/>
        <w:topLinePunct w:val="0"/>
        <w:bidi w:val="0"/>
        <w:spacing w:before="312" w:beforeLines="100" w:after="312" w:afterLines="100" w:line="300" w:lineRule="auto"/>
        <w:rPr>
          <w:rFonts w:ascii="宋体" w:hAnsi="宋体"/>
          <w:szCs w:val="21"/>
        </w:rPr>
      </w:pPr>
      <w:r>
        <w:rPr>
          <w:rFonts w:hint="eastAsia" w:ascii="宋体" w:hAnsi="宋体"/>
          <w:szCs w:val="21"/>
        </w:rPr>
        <w:t xml:space="preserve">                                            法定代表人或授权代表（签字或盖章）：</w:t>
      </w:r>
    </w:p>
    <w:p>
      <w:pPr>
        <w:kinsoku/>
        <w:overflowPunct/>
        <w:topLinePunct w:val="0"/>
        <w:bidi w:val="0"/>
        <w:spacing w:before="312" w:beforeLines="100" w:after="312" w:afterLines="100" w:line="300" w:lineRule="auto"/>
        <w:ind w:left="4620" w:leftChars="2200"/>
      </w:pPr>
      <w:r>
        <w:rPr>
          <w:rFonts w:hint="eastAsia" w:ascii="宋体" w:hAnsi="宋体"/>
          <w:szCs w:val="21"/>
        </w:rPr>
        <w:t>日期：    年   月    日</w:t>
      </w:r>
    </w:p>
    <w:bookmarkEnd w:id="1940"/>
    <w:bookmarkEnd w:id="1941"/>
    <w:bookmarkEnd w:id="1942"/>
    <w:bookmarkEnd w:id="1943"/>
    <w:bookmarkEnd w:id="1951"/>
    <w:bookmarkEnd w:id="1952"/>
    <w:bookmarkEnd w:id="1953"/>
    <w:p>
      <w:pPr>
        <w:pStyle w:val="4"/>
        <w:keepNext w:val="0"/>
        <w:keepLines w:val="0"/>
        <w:pageBreakBefore/>
        <w:kinsoku/>
        <w:overflowPunct/>
        <w:topLinePunct w:val="0"/>
        <w:bidi w:val="0"/>
        <w:spacing w:before="312" w:beforeLines="100" w:after="312" w:afterLines="100" w:line="300" w:lineRule="auto"/>
        <w:jc w:val="center"/>
        <w:rPr>
          <w:rFonts w:hAnsi="宋体"/>
          <w:sz w:val="28"/>
          <w:szCs w:val="36"/>
        </w:rPr>
      </w:pPr>
      <w:bookmarkStart w:id="2072" w:name="_Toc19088"/>
      <w:r>
        <w:rPr>
          <w:rFonts w:hint="eastAsia" w:hAnsi="宋体"/>
          <w:sz w:val="28"/>
          <w:szCs w:val="36"/>
        </w:rPr>
        <w:t>第六部分  评定办法</w:t>
      </w:r>
      <w:bookmarkEnd w:id="2072"/>
    </w:p>
    <w:p>
      <w:pPr>
        <w:kinsoku/>
        <w:overflowPunct/>
        <w:topLinePunct w:val="0"/>
        <w:bidi w:val="0"/>
        <w:spacing w:line="300" w:lineRule="auto"/>
        <w:ind w:firstLine="420" w:firstLineChars="200"/>
        <w:rPr>
          <w:rFonts w:ascii="宋体" w:hAnsi="宋体" w:cs="Arial"/>
          <w:bCs/>
          <w:kern w:val="28"/>
        </w:rPr>
      </w:pPr>
      <w:r>
        <w:rPr>
          <w:rFonts w:hint="eastAsia" w:ascii="宋体" w:hAnsi="宋体" w:cs="Arial"/>
          <w:bCs/>
          <w:kern w:val="28"/>
        </w:rPr>
        <w:t>根据《中华人民共和国政府采购法》、《</w:t>
      </w:r>
      <w:r>
        <w:rPr>
          <w:rFonts w:ascii="宋体" w:hAnsi="宋体" w:cs="Arial"/>
          <w:bCs/>
          <w:kern w:val="28"/>
        </w:rPr>
        <w:t>政府采购竞争性磋商采购方式管理暂行办法</w:t>
      </w:r>
      <w:r>
        <w:rPr>
          <w:rFonts w:hint="eastAsia" w:ascii="宋体" w:hAnsi="宋体" w:cs="Arial"/>
          <w:bCs/>
          <w:kern w:val="28"/>
        </w:rPr>
        <w:t>》、</w:t>
      </w:r>
      <w:r>
        <w:rPr>
          <w:rFonts w:hint="eastAsia" w:ascii="仿宋_GB2312"/>
          <w:szCs w:val="21"/>
        </w:rPr>
        <w:t>《中华人民共和国招标投标法》</w:t>
      </w:r>
      <w:r>
        <w:rPr>
          <w:rFonts w:hint="eastAsia" w:ascii="宋体" w:hAnsi="宋体" w:cs="Arial"/>
          <w:bCs/>
          <w:kern w:val="28"/>
        </w:rPr>
        <w:t>和浙江省及项目所在地的有关招投标规定、本项目采购文件，按照公平、公正、科学、择优的原则选择成交单位，特制定本办法。</w:t>
      </w:r>
    </w:p>
    <w:p>
      <w:pPr>
        <w:kinsoku/>
        <w:overflowPunct/>
        <w:topLinePunct w:val="0"/>
        <w:bidi w:val="0"/>
        <w:spacing w:line="300" w:lineRule="auto"/>
        <w:ind w:firstLine="422" w:firstLineChars="200"/>
        <w:rPr>
          <w:rFonts w:ascii="宋体" w:hAnsi="宋体" w:cs="Arial"/>
          <w:b/>
          <w:bCs/>
          <w:kern w:val="28"/>
        </w:rPr>
      </w:pPr>
      <w:r>
        <w:rPr>
          <w:rFonts w:hint="eastAsia" w:ascii="宋体" w:hAnsi="宋体" w:cs="Arial"/>
          <w:b/>
          <w:bCs/>
          <w:kern w:val="28"/>
        </w:rPr>
        <w:t>一、 评定原则</w:t>
      </w:r>
    </w:p>
    <w:p>
      <w:pPr>
        <w:kinsoku/>
        <w:overflowPunct/>
        <w:topLinePunct w:val="0"/>
        <w:bidi w:val="0"/>
        <w:spacing w:line="300" w:lineRule="auto"/>
        <w:ind w:firstLine="420" w:firstLineChars="200"/>
        <w:rPr>
          <w:rFonts w:ascii="宋体" w:hAnsi="宋体" w:cs="Arial"/>
          <w:bCs/>
          <w:kern w:val="28"/>
        </w:rPr>
      </w:pPr>
      <w:r>
        <w:rPr>
          <w:rFonts w:hint="eastAsia" w:ascii="宋体" w:hAnsi="宋体" w:cs="Arial"/>
          <w:bCs/>
          <w:kern w:val="28"/>
        </w:rPr>
        <w:t>为最大限度地保护当事人的权益，磋商小组应严格按照磋商文件的技术、商务要求，对磋商响应文件进行综合分析、对比、评价，编制磋商报告。磋商人员必须严格遵守保密规定，不得泄漏评审的有关情况，不得索贿受贿，不得接受吃请和礼品，不得参加影响公正磋商的有关活动。</w:t>
      </w:r>
      <w:r>
        <w:rPr>
          <w:rFonts w:hint="eastAsia" w:ascii="宋体" w:hAnsi="宋体" w:cs="Arial"/>
          <w:bCs/>
          <w:kern w:val="28"/>
          <w:lang w:eastAsia="zh-CN"/>
        </w:rPr>
        <w:t>磋商供应商</w:t>
      </w:r>
      <w:r>
        <w:rPr>
          <w:rFonts w:hint="eastAsia" w:ascii="宋体" w:hAnsi="宋体" w:cs="Arial"/>
          <w:bCs/>
          <w:kern w:val="28"/>
        </w:rPr>
        <w:t>不得以任何方式干扰招投标工作的进行，一经发现其磋商文件将被拒绝。对落标单位，磋商小组不作任何落标解释。</w:t>
      </w:r>
    </w:p>
    <w:p>
      <w:pPr>
        <w:kinsoku/>
        <w:overflowPunct/>
        <w:topLinePunct w:val="0"/>
        <w:bidi w:val="0"/>
        <w:spacing w:line="300" w:lineRule="auto"/>
        <w:ind w:firstLine="420" w:firstLineChars="200"/>
        <w:rPr>
          <w:rFonts w:ascii="宋体" w:hAnsi="宋体" w:cs="Arial"/>
          <w:bCs/>
          <w:kern w:val="28"/>
        </w:rPr>
      </w:pPr>
      <w:r>
        <w:rPr>
          <w:rFonts w:hint="eastAsia" w:ascii="宋体" w:hAnsi="宋体" w:cs="Arial"/>
          <w:bCs/>
          <w:kern w:val="28"/>
        </w:rPr>
        <w:t>本次评审采取百分制综合评分的方法。评审应遵循公平、公正、科学、择优的原则推荐备选中标人。</w:t>
      </w:r>
    </w:p>
    <w:p>
      <w:pPr>
        <w:kinsoku/>
        <w:overflowPunct/>
        <w:topLinePunct w:val="0"/>
        <w:bidi w:val="0"/>
        <w:spacing w:line="300" w:lineRule="auto"/>
        <w:ind w:firstLine="422" w:firstLineChars="200"/>
        <w:rPr>
          <w:rFonts w:ascii="宋体" w:hAnsi="宋体" w:cs="Arial"/>
          <w:b/>
          <w:bCs/>
          <w:kern w:val="28"/>
        </w:rPr>
      </w:pPr>
      <w:r>
        <w:rPr>
          <w:rFonts w:hint="eastAsia" w:ascii="宋体" w:hAnsi="宋体" w:cs="Arial"/>
          <w:b/>
          <w:bCs/>
          <w:kern w:val="28"/>
        </w:rPr>
        <w:t>二、评审组织</w:t>
      </w:r>
    </w:p>
    <w:p>
      <w:pPr>
        <w:kinsoku/>
        <w:overflowPunct/>
        <w:topLinePunct w:val="0"/>
        <w:bidi w:val="0"/>
        <w:spacing w:line="300" w:lineRule="auto"/>
        <w:ind w:firstLine="420" w:firstLineChars="200"/>
        <w:rPr>
          <w:rFonts w:ascii="宋体" w:hAnsi="宋体" w:cs="Arial"/>
          <w:bCs/>
          <w:kern w:val="28"/>
        </w:rPr>
      </w:pPr>
      <w:r>
        <w:rPr>
          <w:rFonts w:hint="eastAsia" w:ascii="宋体" w:hAnsi="宋体" w:cs="Arial"/>
          <w:bCs/>
          <w:kern w:val="28"/>
        </w:rPr>
        <w:t>评审工作由采购代理机构组建的磋商小组负责，评审过程由有关部门负责指导监督。磋商小组由</w:t>
      </w:r>
      <w:r>
        <w:rPr>
          <w:rFonts w:hint="eastAsia" w:ascii="宋体" w:hAnsi="宋体" w:cs="宋体"/>
          <w:snapToGrid w:val="0"/>
          <w:szCs w:val="21"/>
        </w:rPr>
        <w:t>采购人代表和</w:t>
      </w:r>
      <w:r>
        <w:rPr>
          <w:rFonts w:hint="eastAsia" w:ascii="宋体" w:hAnsi="宋体" w:cs="Arial"/>
          <w:bCs/>
          <w:kern w:val="28"/>
        </w:rPr>
        <w:t>有关专家组成，成员人数为五人以上单数，其中技术方面的专家将不少于总数的三分之二。</w:t>
      </w:r>
    </w:p>
    <w:p>
      <w:pPr>
        <w:kinsoku/>
        <w:overflowPunct/>
        <w:topLinePunct w:val="0"/>
        <w:bidi w:val="0"/>
        <w:spacing w:line="300" w:lineRule="auto"/>
        <w:ind w:firstLine="422" w:firstLineChars="200"/>
        <w:rPr>
          <w:rFonts w:ascii="宋体" w:hAnsi="宋体" w:cs="Arial"/>
          <w:b/>
          <w:bCs/>
          <w:kern w:val="28"/>
        </w:rPr>
      </w:pPr>
      <w:r>
        <w:rPr>
          <w:rFonts w:hint="eastAsia" w:ascii="宋体" w:hAnsi="宋体" w:cs="Arial"/>
          <w:b/>
          <w:bCs/>
          <w:kern w:val="28"/>
        </w:rPr>
        <w:t>三、评审程序</w:t>
      </w:r>
    </w:p>
    <w:p>
      <w:pPr>
        <w:kinsoku/>
        <w:overflowPunct/>
        <w:topLinePunct w:val="0"/>
        <w:bidi w:val="0"/>
        <w:spacing w:line="300" w:lineRule="auto"/>
        <w:ind w:firstLine="420" w:firstLineChars="200"/>
        <w:rPr>
          <w:rFonts w:ascii="Arial" w:hAnsi="Arial" w:cs="Arial"/>
          <w:bCs/>
          <w:kern w:val="28"/>
        </w:rPr>
      </w:pPr>
      <w:r>
        <w:rPr>
          <w:rFonts w:ascii="Arial" w:hAnsi="Arial" w:cs="Arial"/>
          <w:bCs/>
          <w:kern w:val="28"/>
        </w:rPr>
        <w:t>1</w:t>
      </w:r>
      <w:r>
        <w:rPr>
          <w:rFonts w:ascii="Arial" w:hAnsi="宋体" w:cs="Arial"/>
          <w:bCs/>
          <w:kern w:val="28"/>
        </w:rPr>
        <w:t>、</w:t>
      </w:r>
      <w:r>
        <w:rPr>
          <w:rFonts w:hint="eastAsia" w:ascii="Arial" w:hAnsi="宋体" w:cs="Arial"/>
          <w:bCs/>
          <w:kern w:val="28"/>
          <w:lang w:eastAsia="zh-CN"/>
        </w:rPr>
        <w:t>磋商供应商</w:t>
      </w:r>
      <w:r>
        <w:rPr>
          <w:rFonts w:hint="eastAsia" w:ascii="宋体" w:hAnsi="宋体" w:cs="Arial"/>
          <w:bCs/>
          <w:kern w:val="28"/>
        </w:rPr>
        <w:t>技术、商务</w:t>
      </w:r>
      <w:r>
        <w:rPr>
          <w:rFonts w:ascii="Arial" w:hAnsi="宋体" w:cs="Arial"/>
          <w:bCs/>
          <w:kern w:val="28"/>
        </w:rPr>
        <w:t>评分：由各</w:t>
      </w:r>
      <w:r>
        <w:rPr>
          <w:rFonts w:hint="eastAsia"/>
        </w:rPr>
        <w:t>评审专家</w:t>
      </w:r>
      <w:r>
        <w:rPr>
          <w:rFonts w:ascii="Arial" w:hAnsi="宋体" w:cs="Arial"/>
          <w:bCs/>
          <w:kern w:val="28"/>
        </w:rPr>
        <w:t>按评标细则，采用记名方式各自评分，此项评分为全部有效评分</w:t>
      </w:r>
      <w:r>
        <w:rPr>
          <w:rFonts w:hint="eastAsia" w:ascii="Arial" w:hAnsi="宋体" w:cs="Arial"/>
          <w:bCs/>
          <w:kern w:val="28"/>
        </w:rPr>
        <w:t>的</w:t>
      </w:r>
      <w:r>
        <w:rPr>
          <w:rFonts w:ascii="Arial" w:hAnsi="宋体" w:cs="Arial"/>
          <w:bCs/>
          <w:kern w:val="28"/>
        </w:rPr>
        <w:t>算术平均值。如果一份评分表中某一项评分，超过评分细则所规定的分值范围，则该张打分表无效。</w:t>
      </w:r>
    </w:p>
    <w:p>
      <w:pPr>
        <w:kinsoku/>
        <w:overflowPunct/>
        <w:topLinePunct w:val="0"/>
        <w:bidi w:val="0"/>
        <w:spacing w:line="300" w:lineRule="auto"/>
        <w:ind w:firstLine="420" w:firstLineChars="200"/>
        <w:rPr>
          <w:rFonts w:ascii="Arial" w:hAnsi="宋体" w:cs="Arial"/>
          <w:bCs/>
          <w:kern w:val="28"/>
        </w:rPr>
      </w:pPr>
      <w:r>
        <w:rPr>
          <w:rFonts w:ascii="Arial" w:hAnsi="Arial" w:cs="Arial"/>
          <w:bCs/>
          <w:kern w:val="28"/>
        </w:rPr>
        <w:t>2</w:t>
      </w:r>
      <w:r>
        <w:rPr>
          <w:rFonts w:ascii="Arial" w:hAnsi="宋体" w:cs="Arial"/>
          <w:bCs/>
          <w:kern w:val="28"/>
        </w:rPr>
        <w:t>、报价评分：评分应在报价口径一致的评标价基础上进行。评标价应在最终报价的基础上，按照</w:t>
      </w:r>
      <w:r>
        <w:rPr>
          <w:rFonts w:hint="eastAsia" w:ascii="宋体" w:hAnsi="宋体" w:cs="Arial"/>
          <w:bCs/>
          <w:kern w:val="28"/>
        </w:rPr>
        <w:t>磋商</w:t>
      </w:r>
      <w:r>
        <w:rPr>
          <w:rFonts w:ascii="Arial" w:hAnsi="宋体" w:cs="Arial"/>
          <w:bCs/>
          <w:kern w:val="28"/>
        </w:rPr>
        <w:t>文件约定的因素和方法进行计算。凡属</w:t>
      </w:r>
      <w:r>
        <w:rPr>
          <w:rFonts w:hint="eastAsia" w:ascii="宋体" w:hAnsi="宋体" w:cs="Arial"/>
          <w:bCs/>
          <w:kern w:val="28"/>
        </w:rPr>
        <w:t>磋商</w:t>
      </w:r>
      <w:r>
        <w:rPr>
          <w:rFonts w:ascii="Arial" w:hAnsi="宋体" w:cs="Arial"/>
          <w:bCs/>
          <w:kern w:val="28"/>
        </w:rPr>
        <w:t>文件原因造成</w:t>
      </w:r>
      <w:r>
        <w:rPr>
          <w:rFonts w:hint="eastAsia" w:ascii="Arial" w:hAnsi="宋体" w:cs="Arial"/>
          <w:bCs/>
          <w:kern w:val="28"/>
        </w:rPr>
        <w:t>报价</w:t>
      </w:r>
      <w:r>
        <w:rPr>
          <w:rFonts w:ascii="Arial" w:hAnsi="宋体" w:cs="Arial"/>
          <w:bCs/>
          <w:kern w:val="28"/>
        </w:rPr>
        <w:t>范围或报价口径不一致的，应予以扣除。但因</w:t>
      </w:r>
      <w:r>
        <w:rPr>
          <w:rFonts w:hint="eastAsia" w:ascii="Arial" w:hAnsi="宋体" w:cs="Arial"/>
          <w:bCs/>
          <w:kern w:val="28"/>
          <w:lang w:eastAsia="zh-CN"/>
        </w:rPr>
        <w:t>磋商供应商</w:t>
      </w:r>
      <w:r>
        <w:rPr>
          <w:rFonts w:ascii="Arial" w:hAnsi="宋体" w:cs="Arial"/>
          <w:bCs/>
          <w:kern w:val="28"/>
        </w:rPr>
        <w:t>自身失误造成多算，少算或漏算，不得调整。评分由</w:t>
      </w:r>
      <w:r>
        <w:rPr>
          <w:rFonts w:hint="eastAsia" w:ascii="宋体" w:hAnsi="宋体" w:cs="Arial"/>
          <w:bCs/>
          <w:kern w:val="28"/>
        </w:rPr>
        <w:t>磋商</w:t>
      </w:r>
      <w:r>
        <w:rPr>
          <w:rFonts w:hint="eastAsia" w:ascii="Arial" w:hAnsi="宋体" w:cs="Arial"/>
          <w:bCs/>
          <w:kern w:val="28"/>
        </w:rPr>
        <w:t>小组</w:t>
      </w:r>
      <w:r>
        <w:rPr>
          <w:rFonts w:ascii="Arial" w:hAnsi="宋体" w:cs="Arial"/>
          <w:bCs/>
          <w:kern w:val="28"/>
        </w:rPr>
        <w:t>对</w:t>
      </w:r>
      <w:r>
        <w:rPr>
          <w:rFonts w:hint="eastAsia" w:ascii="宋体" w:hAnsi="宋体" w:cs="Arial"/>
          <w:bCs/>
          <w:kern w:val="28"/>
        </w:rPr>
        <w:t>磋商响应</w:t>
      </w:r>
      <w:r>
        <w:rPr>
          <w:rFonts w:ascii="Arial" w:hAnsi="宋体" w:cs="Arial"/>
          <w:bCs/>
          <w:kern w:val="28"/>
        </w:rPr>
        <w:t>文件的商务报价进行仔细查阅、分析与计算，并指定专人复核。</w:t>
      </w:r>
    </w:p>
    <w:p>
      <w:pPr>
        <w:kinsoku/>
        <w:overflowPunct/>
        <w:topLinePunct w:val="0"/>
        <w:bidi w:val="0"/>
        <w:spacing w:line="300" w:lineRule="auto"/>
        <w:ind w:firstLine="420" w:firstLineChars="200"/>
        <w:rPr>
          <w:rFonts w:hint="eastAsia"/>
        </w:rPr>
      </w:pPr>
      <w:r>
        <w:rPr>
          <w:rFonts w:hint="eastAsia" w:ascii="Arial" w:hAnsi="Arial" w:cs="Arial"/>
          <w:bCs/>
          <w:kern w:val="28"/>
        </w:rPr>
        <w:t>3</w:t>
      </w:r>
      <w:r>
        <w:rPr>
          <w:rFonts w:ascii="Arial" w:hAnsi="宋体" w:cs="Arial"/>
          <w:bCs/>
          <w:kern w:val="28"/>
        </w:rPr>
        <w:t>、</w:t>
      </w:r>
      <w:r>
        <w:rPr>
          <w:rFonts w:hint="eastAsia" w:ascii="Arial" w:hAnsi="宋体" w:cs="Arial"/>
          <w:bCs/>
          <w:kern w:val="28"/>
        </w:rPr>
        <w:t>推荐成交候选人：</w:t>
      </w:r>
      <w:r>
        <w:rPr>
          <w:rFonts w:hint="eastAsia" w:ascii="宋体" w:hAnsi="宋体" w:cs="宋体"/>
          <w:snapToGrid w:val="0"/>
          <w:szCs w:val="21"/>
        </w:rPr>
        <w:t>磋商小组根据综合评分情况，按照评审总得分由高到低顺序推荐成交候选供应商，并编写评审报告。</w:t>
      </w:r>
      <w:r>
        <w:rPr>
          <w:rFonts w:hint="eastAsia" w:ascii="Arial" w:hAnsi="宋体" w:cs="Arial"/>
          <w:bCs/>
          <w:kern w:val="28"/>
        </w:rPr>
        <w:t>评审总</w:t>
      </w:r>
      <w:r>
        <w:rPr>
          <w:rFonts w:hint="eastAsia" w:ascii="Arial" w:hAnsi="Arial"/>
        </w:rPr>
        <w:t>得分相同的，按照最终报价由低到高顺序排列；评审总得分且最终报价</w:t>
      </w:r>
      <w:r>
        <w:t>相同</w:t>
      </w:r>
      <w:r>
        <w:rPr>
          <w:rFonts w:hint="eastAsia"/>
        </w:rPr>
        <w:t>的</w:t>
      </w:r>
      <w:r>
        <w:t>，由</w:t>
      </w:r>
      <w:r>
        <w:rPr>
          <w:rFonts w:hint="eastAsia"/>
        </w:rPr>
        <w:t>磋商小组按照资信、技术得分由高到低顺序推荐；评审总得分、最终报价及资信、技术得分均相同时，由采购人随机抽取决定。</w:t>
      </w:r>
    </w:p>
    <w:p>
      <w:pPr>
        <w:kinsoku/>
        <w:overflowPunct/>
        <w:topLinePunct w:val="0"/>
        <w:bidi w:val="0"/>
        <w:spacing w:line="300" w:lineRule="auto"/>
        <w:ind w:firstLine="420" w:firstLineChars="200"/>
        <w:rPr>
          <w:rFonts w:hint="eastAsia"/>
          <w:lang w:val="en-US" w:eastAsia="zh-CN"/>
        </w:rPr>
      </w:pPr>
      <w:r>
        <w:rPr>
          <w:rFonts w:hint="eastAsia" w:ascii="Arial" w:hAnsi="Arial" w:cs="Arial"/>
          <w:bCs/>
          <w:kern w:val="28"/>
          <w:lang w:val="en-US" w:eastAsia="zh-CN"/>
        </w:rPr>
        <w:t>4</w:t>
      </w:r>
      <w:r>
        <w:rPr>
          <w:rFonts w:ascii="Arial" w:hAnsi="宋体" w:cs="Arial"/>
          <w:bCs/>
          <w:kern w:val="28"/>
        </w:rPr>
        <w:t>、</w:t>
      </w:r>
      <w:r>
        <w:rPr>
          <w:rFonts w:hint="eastAsia"/>
          <w:lang w:val="en-US" w:eastAsia="zh-CN"/>
        </w:rPr>
        <w:t>在采购过程中或评审过程中符合要求的磋商供应商小于3家的，按《政府采购竞争性磋商采购方式管理办法》（财库[2014]214号）文件以及财政部（《关于政府采购竞争性磋商采购方式管理暂行办法有关问题的补充通知》（财库[2015]124号））文件规定执行。</w:t>
      </w:r>
    </w:p>
    <w:p>
      <w:pPr>
        <w:kinsoku/>
        <w:overflowPunct/>
        <w:topLinePunct w:val="0"/>
        <w:bidi w:val="0"/>
        <w:spacing w:line="300" w:lineRule="auto"/>
        <w:ind w:firstLine="422" w:firstLineChars="200"/>
      </w:pPr>
      <w:r>
        <w:rPr>
          <w:rFonts w:hint="eastAsia"/>
          <w:b/>
        </w:rPr>
        <w:t>四、</w:t>
      </w:r>
      <w:r>
        <w:rPr>
          <w:rFonts w:hint="eastAsia" w:ascii="宋体" w:hAnsi="宋体" w:cs="Arial"/>
          <w:b/>
          <w:bCs/>
          <w:kern w:val="28"/>
        </w:rPr>
        <w:t>评定办法</w:t>
      </w:r>
    </w:p>
    <w:p>
      <w:pPr>
        <w:kinsoku/>
        <w:overflowPunct/>
        <w:topLinePunct w:val="0"/>
        <w:bidi w:val="0"/>
        <w:spacing w:line="300" w:lineRule="auto"/>
        <w:rPr>
          <w:rFonts w:ascii="宋体" w:hAnsi="宋体" w:cs="Arial"/>
          <w:bCs/>
          <w:kern w:val="28"/>
        </w:rPr>
      </w:pPr>
      <w:r>
        <w:rPr>
          <w:rFonts w:hint="eastAsia" w:ascii="宋体" w:hAnsi="宋体" w:cs="Arial"/>
          <w:bCs/>
          <w:kern w:val="28"/>
        </w:rPr>
        <w:t xml:space="preserve">    1、本次评标采用综合评分法，</w:t>
      </w:r>
      <w:r>
        <w:rPr>
          <w:rFonts w:hint="eastAsia" w:ascii="宋体" w:hAnsi="宋体" w:cs="Arial"/>
          <w:b/>
          <w:kern w:val="28"/>
        </w:rPr>
        <w:t>总分为100分，其中报价得分</w:t>
      </w:r>
      <w:r>
        <w:rPr>
          <w:rFonts w:hint="eastAsia" w:ascii="宋体" w:hAnsi="宋体" w:cs="Arial"/>
          <w:b/>
          <w:kern w:val="28"/>
          <w:lang w:val="en-US" w:eastAsia="zh-CN"/>
        </w:rPr>
        <w:t>3</w:t>
      </w:r>
      <w:r>
        <w:rPr>
          <w:rFonts w:hint="eastAsia" w:ascii="宋体" w:hAnsi="宋体" w:cs="Arial"/>
          <w:b/>
          <w:kern w:val="28"/>
          <w:lang w:val="en-US" w:eastAsia="zh-CN"/>
        </w:rPr>
        <w:t>0</w:t>
      </w:r>
      <w:r>
        <w:rPr>
          <w:rFonts w:hint="eastAsia" w:ascii="宋体" w:hAnsi="宋体" w:cs="Arial"/>
          <w:b/>
          <w:kern w:val="28"/>
        </w:rPr>
        <w:t>分、技术商务得分</w:t>
      </w:r>
      <w:r>
        <w:rPr>
          <w:rFonts w:hint="eastAsia" w:ascii="宋体" w:hAnsi="宋体" w:cs="Arial"/>
          <w:b/>
          <w:kern w:val="28"/>
          <w:lang w:val="en-US" w:eastAsia="zh-CN"/>
        </w:rPr>
        <w:t>7</w:t>
      </w:r>
      <w:r>
        <w:rPr>
          <w:rFonts w:hint="eastAsia" w:ascii="宋体" w:hAnsi="宋体" w:cs="Arial"/>
          <w:b/>
          <w:kern w:val="28"/>
        </w:rPr>
        <w:t>0分</w:t>
      </w:r>
      <w:r>
        <w:rPr>
          <w:rFonts w:hint="eastAsia" w:ascii="宋体" w:hAnsi="宋体" w:cs="Arial"/>
          <w:bCs/>
          <w:kern w:val="28"/>
        </w:rPr>
        <w:t>。合格供应商的评标得分为各项目汇总得分。评分过程中数值计算采用四舍五入法，并保留小数2位。</w:t>
      </w:r>
    </w:p>
    <w:p>
      <w:pPr>
        <w:numPr>
          <w:ilvl w:val="0"/>
          <w:numId w:val="30"/>
        </w:numPr>
        <w:kinsoku/>
        <w:overflowPunct/>
        <w:topLinePunct w:val="0"/>
        <w:bidi w:val="0"/>
        <w:spacing w:line="300" w:lineRule="auto"/>
        <w:ind w:firstLine="420" w:firstLineChars="200"/>
        <w:rPr>
          <w:rFonts w:ascii="宋体" w:hAnsi="宋体" w:cs="Arial"/>
          <w:bCs/>
          <w:kern w:val="28"/>
        </w:rPr>
      </w:pPr>
      <w:r>
        <w:rPr>
          <w:rFonts w:hint="eastAsia" w:ascii="宋体" w:hAnsi="宋体" w:cs="Arial"/>
          <w:bCs/>
          <w:kern w:val="28"/>
        </w:rPr>
        <w:t>开标后，磋商小组首先对磋商响应文件进行资格性检查和符合性检查，凡磋商供应商资格不符合磋商文件要求、磋商响应文件实质性内容和格式严重不符合有关规定或不响应磋商文件要求者，经磋商小组认定作为无效投标，不再进入后续评审。对磋商响应文件中的疑问，由磋商小组对磋商供应商进行询标，磋商供应商做出书面答复作为磋商响应文件的补充文件，除对投标的算术错误按有关规定处理外，不得在询标过程中修改磋商响应文件的实质性条款内容。</w:t>
      </w:r>
    </w:p>
    <w:p>
      <w:pPr>
        <w:numPr>
          <w:ilvl w:val="0"/>
          <w:numId w:val="30"/>
        </w:numPr>
        <w:kinsoku/>
        <w:overflowPunct/>
        <w:topLinePunct w:val="0"/>
        <w:bidi w:val="0"/>
        <w:spacing w:line="300" w:lineRule="auto"/>
        <w:ind w:firstLine="422" w:firstLineChars="200"/>
        <w:rPr>
          <w:rFonts w:ascii="宋体" w:hAnsi="宋体"/>
          <w:szCs w:val="21"/>
        </w:rPr>
      </w:pPr>
      <w:r>
        <w:rPr>
          <w:rFonts w:hint="eastAsia" w:ascii="仿宋_GB2312"/>
          <w:b/>
          <w:szCs w:val="21"/>
        </w:rPr>
        <w:t>符合性检查与资格性检查</w:t>
      </w:r>
    </w:p>
    <w:tbl>
      <w:tblPr>
        <w:tblStyle w:val="5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975"/>
        <w:gridCol w:w="3022"/>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8" w:type="dxa"/>
            <w:noWrap w:val="0"/>
            <w:vAlign w:val="center"/>
          </w:tcPr>
          <w:p>
            <w:pPr>
              <w:keepNext w:val="0"/>
              <w:keepLines w:val="0"/>
              <w:pageBreakBefore w:val="0"/>
              <w:widowControl/>
              <w:kinsoku/>
              <w:wordWrap/>
              <w:overflowPunct/>
              <w:topLinePunct w:val="0"/>
              <w:autoSpaceDE/>
              <w:autoSpaceDN/>
              <w:bidi w:val="0"/>
              <w:adjustRightInd/>
              <w:spacing w:line="300" w:lineRule="auto"/>
              <w:ind w:right="3"/>
              <w:jc w:val="center"/>
              <w:textAlignment w:val="auto"/>
              <w:rPr>
                <w:rFonts w:ascii="宋体" w:hAnsi="宋体"/>
                <w:szCs w:val="21"/>
              </w:rPr>
            </w:pPr>
            <w:r>
              <w:rPr>
                <w:rFonts w:hint="eastAsia" w:ascii="宋体" w:hAnsi="宋体"/>
                <w:szCs w:val="21"/>
              </w:rPr>
              <w:t>项号</w:t>
            </w:r>
          </w:p>
        </w:tc>
        <w:tc>
          <w:tcPr>
            <w:tcW w:w="975" w:type="dxa"/>
            <w:noWrap w:val="0"/>
            <w:vAlign w:val="center"/>
          </w:tcPr>
          <w:p>
            <w:pPr>
              <w:keepNext w:val="0"/>
              <w:keepLines w:val="0"/>
              <w:pageBreakBefore w:val="0"/>
              <w:widowControl/>
              <w:kinsoku/>
              <w:wordWrap/>
              <w:overflowPunct/>
              <w:topLinePunct w:val="0"/>
              <w:autoSpaceDE/>
              <w:autoSpaceDN/>
              <w:bidi w:val="0"/>
              <w:adjustRightInd/>
              <w:spacing w:line="300" w:lineRule="auto"/>
              <w:ind w:right="3"/>
              <w:jc w:val="center"/>
              <w:textAlignment w:val="auto"/>
              <w:rPr>
                <w:rFonts w:hint="eastAsia" w:ascii="宋体" w:hAnsi="宋体"/>
              </w:rPr>
            </w:pPr>
            <w:r>
              <w:rPr>
                <w:rFonts w:hint="eastAsia" w:ascii="宋体" w:hAnsi="宋体"/>
              </w:rPr>
              <w:t>评审</w:t>
            </w:r>
          </w:p>
          <w:p>
            <w:pPr>
              <w:keepNext w:val="0"/>
              <w:keepLines w:val="0"/>
              <w:pageBreakBefore w:val="0"/>
              <w:widowControl/>
              <w:kinsoku/>
              <w:wordWrap/>
              <w:overflowPunct/>
              <w:topLinePunct w:val="0"/>
              <w:autoSpaceDE/>
              <w:autoSpaceDN/>
              <w:bidi w:val="0"/>
              <w:adjustRightInd/>
              <w:spacing w:line="300" w:lineRule="auto"/>
              <w:ind w:right="3"/>
              <w:jc w:val="center"/>
              <w:textAlignment w:val="auto"/>
              <w:rPr>
                <w:rFonts w:ascii="宋体" w:hAnsi="宋体"/>
                <w:szCs w:val="21"/>
              </w:rPr>
            </w:pPr>
            <w:r>
              <w:rPr>
                <w:rFonts w:hint="eastAsia" w:ascii="宋体" w:hAnsi="宋体"/>
              </w:rPr>
              <w:t>类型</w:t>
            </w:r>
          </w:p>
        </w:tc>
        <w:tc>
          <w:tcPr>
            <w:tcW w:w="3022" w:type="dxa"/>
            <w:noWrap w:val="0"/>
            <w:vAlign w:val="center"/>
          </w:tcPr>
          <w:p>
            <w:pPr>
              <w:pStyle w:val="8"/>
              <w:keepNext w:val="0"/>
              <w:keepLines w:val="0"/>
              <w:pageBreakBefore w:val="0"/>
              <w:widowControl/>
              <w:kinsoku/>
              <w:wordWrap/>
              <w:overflowPunct/>
              <w:topLinePunct w:val="0"/>
              <w:autoSpaceDE/>
              <w:autoSpaceDN/>
              <w:bidi w:val="0"/>
              <w:adjustRightInd/>
              <w:spacing w:line="300" w:lineRule="auto"/>
              <w:ind w:left="0" w:leftChars="0" w:firstLine="0" w:firstLineChars="0"/>
              <w:jc w:val="center"/>
              <w:textAlignment w:val="auto"/>
            </w:pPr>
            <w:r>
              <w:rPr>
                <w:rFonts w:hint="eastAsia"/>
              </w:rPr>
              <w:t>评审内容</w:t>
            </w:r>
          </w:p>
        </w:tc>
        <w:tc>
          <w:tcPr>
            <w:tcW w:w="4649" w:type="dxa"/>
            <w:noWrap w:val="0"/>
            <w:vAlign w:val="center"/>
          </w:tcPr>
          <w:p>
            <w:pPr>
              <w:pStyle w:val="8"/>
              <w:keepNext w:val="0"/>
              <w:keepLines w:val="0"/>
              <w:pageBreakBefore w:val="0"/>
              <w:widowControl/>
              <w:kinsoku/>
              <w:wordWrap/>
              <w:overflowPunct/>
              <w:topLinePunct w:val="0"/>
              <w:autoSpaceDE/>
              <w:autoSpaceDN/>
              <w:bidi w:val="0"/>
              <w:adjustRightInd/>
              <w:spacing w:line="300" w:lineRule="auto"/>
              <w:ind w:firstLine="412"/>
              <w:jc w:val="center"/>
              <w:textAlignment w:val="auto"/>
            </w:pPr>
            <w:r>
              <w:rPr>
                <w:rFonts w:hint="eastAsi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68" w:type="dxa"/>
            <w:vMerge w:val="restart"/>
            <w:noWrap w:val="0"/>
            <w:vAlign w:val="center"/>
          </w:tcPr>
          <w:p>
            <w:pPr>
              <w:keepNext w:val="0"/>
              <w:keepLines w:val="0"/>
              <w:pageBreakBefore w:val="0"/>
              <w:widowControl/>
              <w:kinsoku/>
              <w:wordWrap/>
              <w:overflowPunct/>
              <w:topLinePunct w:val="0"/>
              <w:autoSpaceDE/>
              <w:autoSpaceDN/>
              <w:bidi w:val="0"/>
              <w:adjustRightInd/>
              <w:spacing w:line="300" w:lineRule="auto"/>
              <w:ind w:right="3"/>
              <w:jc w:val="center"/>
              <w:textAlignment w:val="auto"/>
              <w:rPr>
                <w:rFonts w:ascii="宋体" w:hAnsi="宋体"/>
                <w:spacing w:val="4"/>
                <w:szCs w:val="21"/>
              </w:rPr>
            </w:pPr>
            <w:r>
              <w:rPr>
                <w:rFonts w:hint="eastAsia" w:ascii="宋体" w:hAnsi="宋体"/>
                <w:spacing w:val="4"/>
                <w:szCs w:val="21"/>
              </w:rPr>
              <w:t>1</w:t>
            </w:r>
          </w:p>
        </w:tc>
        <w:tc>
          <w:tcPr>
            <w:tcW w:w="975" w:type="dxa"/>
            <w:vMerge w:val="restart"/>
            <w:noWrap w:val="0"/>
            <w:vAlign w:val="center"/>
          </w:tcPr>
          <w:p>
            <w:pPr>
              <w:keepNext w:val="0"/>
              <w:keepLines w:val="0"/>
              <w:pageBreakBefore w:val="0"/>
              <w:widowControl/>
              <w:kinsoku/>
              <w:wordWrap/>
              <w:overflowPunct/>
              <w:topLinePunct w:val="0"/>
              <w:autoSpaceDE/>
              <w:autoSpaceDN/>
              <w:bidi w:val="0"/>
              <w:adjustRightInd/>
              <w:spacing w:line="300" w:lineRule="auto"/>
              <w:ind w:right="3"/>
              <w:jc w:val="center"/>
              <w:textAlignment w:val="auto"/>
              <w:rPr>
                <w:rFonts w:ascii="宋体" w:hAnsi="宋体"/>
                <w:b/>
                <w:spacing w:val="4"/>
                <w:szCs w:val="21"/>
              </w:rPr>
            </w:pPr>
            <w:r>
              <w:rPr>
                <w:rFonts w:hint="eastAsia" w:ascii="宋体" w:hAnsi="宋体" w:cs="Arial"/>
                <w:b/>
                <w:bCs/>
                <w:kern w:val="28"/>
              </w:rPr>
              <w:t>符合性检查</w:t>
            </w:r>
          </w:p>
        </w:tc>
        <w:tc>
          <w:tcPr>
            <w:tcW w:w="3022" w:type="dxa"/>
            <w:noWrap w:val="0"/>
            <w:vAlign w:val="center"/>
          </w:tcPr>
          <w:p>
            <w:pPr>
              <w:pStyle w:val="8"/>
              <w:keepNext w:val="0"/>
              <w:keepLines w:val="0"/>
              <w:pageBreakBefore w:val="0"/>
              <w:widowControl/>
              <w:kinsoku/>
              <w:wordWrap/>
              <w:overflowPunct/>
              <w:topLinePunct w:val="0"/>
              <w:autoSpaceDE/>
              <w:autoSpaceDN/>
              <w:bidi w:val="0"/>
              <w:adjustRightInd/>
              <w:spacing w:line="300" w:lineRule="auto"/>
              <w:ind w:firstLine="0"/>
              <w:jc w:val="center"/>
              <w:textAlignment w:val="auto"/>
              <w:rPr>
                <w:rFonts w:ascii="Arial" w:hAnsi="Arial" w:eastAsia="新宋体" w:cs="Arial"/>
                <w:szCs w:val="21"/>
              </w:rPr>
            </w:pPr>
            <w:r>
              <w:rPr>
                <w:rFonts w:hint="eastAsia" w:ascii="Arial" w:hAnsi="Arial" w:eastAsia="新宋体" w:cs="Arial"/>
                <w:szCs w:val="21"/>
              </w:rPr>
              <w:t>磋商供应商名称</w:t>
            </w:r>
          </w:p>
        </w:tc>
        <w:tc>
          <w:tcPr>
            <w:tcW w:w="4649" w:type="dxa"/>
            <w:noWrap w:val="0"/>
            <w:vAlign w:val="center"/>
          </w:tcPr>
          <w:p>
            <w:pPr>
              <w:pStyle w:val="8"/>
              <w:keepNext w:val="0"/>
              <w:keepLines w:val="0"/>
              <w:pageBreakBefore w:val="0"/>
              <w:widowControl/>
              <w:kinsoku/>
              <w:wordWrap/>
              <w:overflowPunct/>
              <w:topLinePunct w:val="0"/>
              <w:autoSpaceDE/>
              <w:autoSpaceDN/>
              <w:bidi w:val="0"/>
              <w:adjustRightInd/>
              <w:spacing w:line="300" w:lineRule="auto"/>
              <w:ind w:firstLine="0"/>
              <w:jc w:val="center"/>
              <w:textAlignment w:val="auto"/>
              <w:rPr>
                <w:rFonts w:ascii="Arial" w:hAnsi="Arial" w:eastAsia="新宋体" w:cs="Arial"/>
                <w:szCs w:val="21"/>
              </w:rPr>
            </w:pPr>
            <w:r>
              <w:rPr>
                <w:rFonts w:hint="eastAsia" w:ascii="Arial" w:hAnsi="Arial" w:eastAsia="新宋体" w:cs="Arial"/>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68" w:type="dxa"/>
            <w:vMerge w:val="continue"/>
            <w:noWrap w:val="0"/>
            <w:vAlign w:val="center"/>
          </w:tcPr>
          <w:p>
            <w:pPr>
              <w:keepNext w:val="0"/>
              <w:keepLines w:val="0"/>
              <w:pageBreakBefore w:val="0"/>
              <w:widowControl/>
              <w:kinsoku/>
              <w:wordWrap/>
              <w:overflowPunct/>
              <w:topLinePunct w:val="0"/>
              <w:autoSpaceDE/>
              <w:autoSpaceDN/>
              <w:bidi w:val="0"/>
              <w:adjustRightInd/>
              <w:spacing w:line="300" w:lineRule="auto"/>
              <w:ind w:right="3"/>
              <w:jc w:val="center"/>
              <w:textAlignment w:val="auto"/>
              <w:rPr>
                <w:rFonts w:ascii="宋体" w:hAnsi="宋体" w:cs="宋体"/>
                <w:szCs w:val="21"/>
              </w:rPr>
            </w:pPr>
          </w:p>
        </w:tc>
        <w:tc>
          <w:tcPr>
            <w:tcW w:w="975" w:type="dxa"/>
            <w:vMerge w:val="continue"/>
            <w:noWrap w:val="0"/>
            <w:vAlign w:val="center"/>
          </w:tcPr>
          <w:p>
            <w:pPr>
              <w:keepNext w:val="0"/>
              <w:keepLines w:val="0"/>
              <w:pageBreakBefore w:val="0"/>
              <w:widowControl/>
              <w:kinsoku/>
              <w:wordWrap/>
              <w:overflowPunct/>
              <w:topLinePunct w:val="0"/>
              <w:autoSpaceDE/>
              <w:autoSpaceDN/>
              <w:bidi w:val="0"/>
              <w:adjustRightInd/>
              <w:spacing w:line="300" w:lineRule="auto"/>
              <w:ind w:right="3"/>
              <w:jc w:val="center"/>
              <w:textAlignment w:val="auto"/>
              <w:rPr>
                <w:rFonts w:ascii="宋体" w:hAnsi="宋体" w:cs="宋体"/>
                <w:szCs w:val="21"/>
              </w:rPr>
            </w:pPr>
          </w:p>
        </w:tc>
        <w:tc>
          <w:tcPr>
            <w:tcW w:w="3022" w:type="dxa"/>
            <w:noWrap w:val="0"/>
            <w:vAlign w:val="center"/>
          </w:tcPr>
          <w:p>
            <w:pPr>
              <w:pStyle w:val="8"/>
              <w:keepNext w:val="0"/>
              <w:keepLines w:val="0"/>
              <w:pageBreakBefore w:val="0"/>
              <w:widowControl/>
              <w:kinsoku/>
              <w:wordWrap/>
              <w:overflowPunct/>
              <w:topLinePunct w:val="0"/>
              <w:autoSpaceDE/>
              <w:autoSpaceDN/>
              <w:bidi w:val="0"/>
              <w:adjustRightInd/>
              <w:spacing w:line="300" w:lineRule="auto"/>
              <w:ind w:firstLine="0"/>
              <w:jc w:val="center"/>
              <w:textAlignment w:val="auto"/>
              <w:rPr>
                <w:rFonts w:ascii="Arial" w:hAnsi="Arial" w:eastAsia="新宋体" w:cs="Arial"/>
                <w:szCs w:val="21"/>
              </w:rPr>
            </w:pPr>
            <w:r>
              <w:rPr>
                <w:rFonts w:hint="eastAsia" w:ascii="Arial" w:hAnsi="Arial" w:eastAsia="新宋体" w:cs="Arial"/>
                <w:szCs w:val="21"/>
              </w:rPr>
              <w:t>磋商函签字盖章</w:t>
            </w:r>
          </w:p>
        </w:tc>
        <w:tc>
          <w:tcPr>
            <w:tcW w:w="4649" w:type="dxa"/>
            <w:noWrap w:val="0"/>
            <w:vAlign w:val="center"/>
          </w:tcPr>
          <w:p>
            <w:pPr>
              <w:pStyle w:val="8"/>
              <w:keepNext w:val="0"/>
              <w:keepLines w:val="0"/>
              <w:pageBreakBefore w:val="0"/>
              <w:widowControl/>
              <w:kinsoku/>
              <w:wordWrap/>
              <w:overflowPunct/>
              <w:topLinePunct w:val="0"/>
              <w:autoSpaceDE/>
              <w:autoSpaceDN/>
              <w:bidi w:val="0"/>
              <w:adjustRightInd/>
              <w:spacing w:line="300" w:lineRule="auto"/>
              <w:ind w:firstLine="0"/>
              <w:jc w:val="center"/>
              <w:textAlignment w:val="auto"/>
              <w:rPr>
                <w:rFonts w:ascii="Arial" w:hAnsi="Arial" w:eastAsia="新宋体" w:cs="Arial"/>
                <w:szCs w:val="21"/>
              </w:rPr>
            </w:pPr>
            <w:r>
              <w:rPr>
                <w:rFonts w:hint="eastAsia" w:ascii="Arial" w:hAnsi="Arial" w:eastAsia="新宋体" w:cs="Arial"/>
                <w:szCs w:val="21"/>
              </w:rPr>
              <w:t>有法定代表人或其委托代理人签字或盖章并加盖磋商供应商公章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68" w:type="dxa"/>
            <w:vMerge w:val="continue"/>
            <w:noWrap w:val="0"/>
            <w:vAlign w:val="center"/>
          </w:tcPr>
          <w:p>
            <w:pPr>
              <w:keepNext w:val="0"/>
              <w:keepLines w:val="0"/>
              <w:pageBreakBefore w:val="0"/>
              <w:widowControl/>
              <w:kinsoku/>
              <w:wordWrap/>
              <w:overflowPunct/>
              <w:topLinePunct w:val="0"/>
              <w:autoSpaceDE/>
              <w:autoSpaceDN/>
              <w:bidi w:val="0"/>
              <w:adjustRightInd/>
              <w:spacing w:line="300" w:lineRule="auto"/>
              <w:ind w:right="3"/>
              <w:jc w:val="center"/>
              <w:textAlignment w:val="auto"/>
              <w:rPr>
                <w:rFonts w:ascii="宋体" w:hAnsi="宋体" w:cs="宋体"/>
                <w:szCs w:val="21"/>
              </w:rPr>
            </w:pPr>
          </w:p>
        </w:tc>
        <w:tc>
          <w:tcPr>
            <w:tcW w:w="975" w:type="dxa"/>
            <w:vMerge w:val="continue"/>
            <w:noWrap w:val="0"/>
            <w:vAlign w:val="center"/>
          </w:tcPr>
          <w:p>
            <w:pPr>
              <w:keepNext w:val="0"/>
              <w:keepLines w:val="0"/>
              <w:pageBreakBefore w:val="0"/>
              <w:widowControl/>
              <w:kinsoku/>
              <w:wordWrap/>
              <w:overflowPunct/>
              <w:topLinePunct w:val="0"/>
              <w:autoSpaceDE/>
              <w:autoSpaceDN/>
              <w:bidi w:val="0"/>
              <w:adjustRightInd/>
              <w:spacing w:line="300" w:lineRule="auto"/>
              <w:ind w:right="3"/>
              <w:jc w:val="center"/>
              <w:textAlignment w:val="auto"/>
              <w:rPr>
                <w:rFonts w:ascii="宋体" w:hAnsi="宋体" w:cs="宋体"/>
                <w:szCs w:val="21"/>
              </w:rPr>
            </w:pPr>
          </w:p>
        </w:tc>
        <w:tc>
          <w:tcPr>
            <w:tcW w:w="3022" w:type="dxa"/>
            <w:noWrap w:val="0"/>
            <w:vAlign w:val="center"/>
          </w:tcPr>
          <w:p>
            <w:pPr>
              <w:pStyle w:val="8"/>
              <w:keepNext w:val="0"/>
              <w:keepLines w:val="0"/>
              <w:pageBreakBefore w:val="0"/>
              <w:widowControl/>
              <w:kinsoku/>
              <w:wordWrap/>
              <w:overflowPunct/>
              <w:topLinePunct w:val="0"/>
              <w:autoSpaceDE/>
              <w:autoSpaceDN/>
              <w:bidi w:val="0"/>
              <w:adjustRightInd/>
              <w:spacing w:line="300" w:lineRule="auto"/>
              <w:ind w:firstLine="0"/>
              <w:jc w:val="center"/>
              <w:textAlignment w:val="auto"/>
              <w:rPr>
                <w:rFonts w:ascii="Arial" w:hAnsi="Arial" w:eastAsia="新宋体" w:cs="Arial"/>
                <w:szCs w:val="21"/>
              </w:rPr>
            </w:pPr>
            <w:r>
              <w:rPr>
                <w:rFonts w:hint="eastAsia" w:ascii="Arial" w:hAnsi="Arial" w:eastAsia="新宋体" w:cs="Arial"/>
                <w:szCs w:val="21"/>
                <w:lang w:eastAsia="zh-CN"/>
              </w:rPr>
              <w:t>磋商响应文件</w:t>
            </w:r>
            <w:r>
              <w:rPr>
                <w:rFonts w:hint="eastAsia" w:ascii="Arial" w:hAnsi="Arial" w:eastAsia="新宋体" w:cs="Arial"/>
                <w:szCs w:val="21"/>
              </w:rPr>
              <w:t>编制</w:t>
            </w:r>
          </w:p>
        </w:tc>
        <w:tc>
          <w:tcPr>
            <w:tcW w:w="4649" w:type="dxa"/>
            <w:noWrap w:val="0"/>
            <w:vAlign w:val="center"/>
          </w:tcPr>
          <w:p>
            <w:pPr>
              <w:pStyle w:val="8"/>
              <w:keepNext w:val="0"/>
              <w:keepLines w:val="0"/>
              <w:pageBreakBefore w:val="0"/>
              <w:widowControl/>
              <w:kinsoku/>
              <w:wordWrap/>
              <w:overflowPunct/>
              <w:topLinePunct w:val="0"/>
              <w:autoSpaceDE/>
              <w:autoSpaceDN/>
              <w:bidi w:val="0"/>
              <w:adjustRightInd/>
              <w:spacing w:line="300" w:lineRule="auto"/>
              <w:ind w:firstLine="0"/>
              <w:jc w:val="center"/>
              <w:textAlignment w:val="auto"/>
              <w:rPr>
                <w:rFonts w:ascii="Arial" w:hAnsi="Arial" w:eastAsia="新宋体" w:cs="Arial"/>
                <w:szCs w:val="21"/>
              </w:rPr>
            </w:pPr>
            <w:r>
              <w:rPr>
                <w:rFonts w:hint="eastAsia" w:ascii="Arial" w:hAnsi="Arial" w:eastAsia="新宋体" w:cs="Arial"/>
                <w:szCs w:val="21"/>
              </w:rPr>
              <w:t>符合磋商文件的编制要求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68" w:type="dxa"/>
            <w:vMerge w:val="continue"/>
            <w:noWrap w:val="0"/>
            <w:vAlign w:val="center"/>
          </w:tcPr>
          <w:p>
            <w:pPr>
              <w:keepNext w:val="0"/>
              <w:keepLines w:val="0"/>
              <w:pageBreakBefore w:val="0"/>
              <w:widowControl/>
              <w:kinsoku/>
              <w:wordWrap/>
              <w:overflowPunct/>
              <w:topLinePunct w:val="0"/>
              <w:autoSpaceDE/>
              <w:autoSpaceDN/>
              <w:bidi w:val="0"/>
              <w:adjustRightInd/>
              <w:spacing w:line="300" w:lineRule="auto"/>
              <w:ind w:right="3"/>
              <w:jc w:val="center"/>
              <w:textAlignment w:val="auto"/>
              <w:rPr>
                <w:rFonts w:ascii="宋体" w:hAnsi="宋体" w:cs="宋体"/>
                <w:szCs w:val="21"/>
              </w:rPr>
            </w:pPr>
          </w:p>
        </w:tc>
        <w:tc>
          <w:tcPr>
            <w:tcW w:w="975" w:type="dxa"/>
            <w:vMerge w:val="continue"/>
            <w:noWrap w:val="0"/>
            <w:vAlign w:val="center"/>
          </w:tcPr>
          <w:p>
            <w:pPr>
              <w:keepNext w:val="0"/>
              <w:keepLines w:val="0"/>
              <w:pageBreakBefore w:val="0"/>
              <w:widowControl/>
              <w:kinsoku/>
              <w:wordWrap/>
              <w:overflowPunct/>
              <w:topLinePunct w:val="0"/>
              <w:autoSpaceDE/>
              <w:autoSpaceDN/>
              <w:bidi w:val="0"/>
              <w:adjustRightInd/>
              <w:spacing w:line="300" w:lineRule="auto"/>
              <w:ind w:right="3"/>
              <w:jc w:val="center"/>
              <w:textAlignment w:val="auto"/>
              <w:rPr>
                <w:rFonts w:ascii="宋体" w:hAnsi="宋体" w:cs="宋体"/>
                <w:szCs w:val="21"/>
              </w:rPr>
            </w:pPr>
          </w:p>
        </w:tc>
        <w:tc>
          <w:tcPr>
            <w:tcW w:w="3022" w:type="dxa"/>
            <w:noWrap w:val="0"/>
            <w:vAlign w:val="center"/>
          </w:tcPr>
          <w:p>
            <w:pPr>
              <w:pStyle w:val="8"/>
              <w:keepNext w:val="0"/>
              <w:keepLines w:val="0"/>
              <w:pageBreakBefore w:val="0"/>
              <w:widowControl/>
              <w:kinsoku/>
              <w:wordWrap/>
              <w:overflowPunct/>
              <w:topLinePunct w:val="0"/>
              <w:autoSpaceDE/>
              <w:autoSpaceDN/>
              <w:bidi w:val="0"/>
              <w:adjustRightInd/>
              <w:spacing w:line="300" w:lineRule="auto"/>
              <w:ind w:firstLine="0"/>
              <w:jc w:val="center"/>
              <w:textAlignment w:val="auto"/>
              <w:rPr>
                <w:rFonts w:ascii="Arial" w:hAnsi="Arial" w:eastAsia="新宋体" w:cs="Arial"/>
                <w:szCs w:val="21"/>
              </w:rPr>
            </w:pPr>
            <w:r>
              <w:rPr>
                <w:rFonts w:hint="eastAsia" w:ascii="Arial" w:hAnsi="Arial" w:eastAsia="新宋体" w:cs="Arial"/>
                <w:szCs w:val="21"/>
                <w:lang w:eastAsia="zh-CN"/>
              </w:rPr>
              <w:t>磋商</w:t>
            </w:r>
            <w:r>
              <w:rPr>
                <w:rFonts w:hint="eastAsia" w:ascii="Arial" w:hAnsi="Arial" w:eastAsia="新宋体" w:cs="Arial"/>
                <w:szCs w:val="21"/>
              </w:rPr>
              <w:t>有效期</w:t>
            </w:r>
          </w:p>
        </w:tc>
        <w:tc>
          <w:tcPr>
            <w:tcW w:w="4649" w:type="dxa"/>
            <w:noWrap w:val="0"/>
            <w:vAlign w:val="center"/>
          </w:tcPr>
          <w:p>
            <w:pPr>
              <w:pStyle w:val="8"/>
              <w:keepNext w:val="0"/>
              <w:keepLines w:val="0"/>
              <w:pageBreakBefore w:val="0"/>
              <w:widowControl/>
              <w:kinsoku/>
              <w:wordWrap/>
              <w:overflowPunct/>
              <w:topLinePunct w:val="0"/>
              <w:autoSpaceDE/>
              <w:autoSpaceDN/>
              <w:bidi w:val="0"/>
              <w:adjustRightInd/>
              <w:spacing w:line="300" w:lineRule="auto"/>
              <w:ind w:firstLine="0"/>
              <w:jc w:val="center"/>
              <w:textAlignment w:val="auto"/>
              <w:rPr>
                <w:rFonts w:ascii="Arial" w:hAnsi="Arial" w:eastAsia="新宋体" w:cs="Arial"/>
                <w:szCs w:val="21"/>
              </w:rPr>
            </w:pPr>
            <w:r>
              <w:rPr>
                <w:rFonts w:hint="eastAsia" w:ascii="Arial" w:hAnsi="Arial" w:eastAsia="新宋体" w:cs="Arial"/>
                <w:szCs w:val="21"/>
              </w:rPr>
              <w:t>不少于90天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68" w:type="dxa"/>
            <w:vMerge w:val="continue"/>
            <w:noWrap w:val="0"/>
            <w:vAlign w:val="center"/>
          </w:tcPr>
          <w:p>
            <w:pPr>
              <w:keepNext w:val="0"/>
              <w:keepLines w:val="0"/>
              <w:pageBreakBefore w:val="0"/>
              <w:widowControl/>
              <w:kinsoku/>
              <w:wordWrap/>
              <w:overflowPunct/>
              <w:topLinePunct w:val="0"/>
              <w:autoSpaceDE/>
              <w:autoSpaceDN/>
              <w:bidi w:val="0"/>
              <w:adjustRightInd/>
              <w:spacing w:line="300" w:lineRule="auto"/>
              <w:ind w:right="3"/>
              <w:jc w:val="center"/>
              <w:textAlignment w:val="auto"/>
              <w:rPr>
                <w:rFonts w:ascii="宋体" w:hAnsi="宋体" w:cs="宋体"/>
                <w:szCs w:val="21"/>
              </w:rPr>
            </w:pPr>
          </w:p>
        </w:tc>
        <w:tc>
          <w:tcPr>
            <w:tcW w:w="975" w:type="dxa"/>
            <w:vMerge w:val="continue"/>
            <w:noWrap w:val="0"/>
            <w:vAlign w:val="center"/>
          </w:tcPr>
          <w:p>
            <w:pPr>
              <w:keepNext w:val="0"/>
              <w:keepLines w:val="0"/>
              <w:pageBreakBefore w:val="0"/>
              <w:widowControl/>
              <w:kinsoku/>
              <w:wordWrap/>
              <w:overflowPunct/>
              <w:topLinePunct w:val="0"/>
              <w:autoSpaceDE/>
              <w:autoSpaceDN/>
              <w:bidi w:val="0"/>
              <w:adjustRightInd/>
              <w:spacing w:line="300" w:lineRule="auto"/>
              <w:ind w:right="3"/>
              <w:jc w:val="center"/>
              <w:textAlignment w:val="auto"/>
              <w:rPr>
                <w:rFonts w:ascii="宋体" w:hAnsi="宋体" w:cs="宋体"/>
                <w:szCs w:val="21"/>
              </w:rPr>
            </w:pPr>
          </w:p>
        </w:tc>
        <w:tc>
          <w:tcPr>
            <w:tcW w:w="3022" w:type="dxa"/>
            <w:noWrap w:val="0"/>
            <w:vAlign w:val="center"/>
          </w:tcPr>
          <w:p>
            <w:pPr>
              <w:pStyle w:val="8"/>
              <w:keepNext w:val="0"/>
              <w:keepLines w:val="0"/>
              <w:pageBreakBefore w:val="0"/>
              <w:widowControl/>
              <w:kinsoku/>
              <w:wordWrap/>
              <w:overflowPunct/>
              <w:topLinePunct w:val="0"/>
              <w:autoSpaceDE/>
              <w:autoSpaceDN/>
              <w:bidi w:val="0"/>
              <w:adjustRightInd/>
              <w:spacing w:line="300" w:lineRule="auto"/>
              <w:ind w:firstLine="0"/>
              <w:jc w:val="center"/>
              <w:textAlignment w:val="auto"/>
              <w:rPr>
                <w:rFonts w:ascii="Arial" w:hAnsi="Arial" w:eastAsia="新宋体" w:cs="Arial"/>
                <w:szCs w:val="21"/>
              </w:rPr>
            </w:pPr>
            <w:r>
              <w:rPr>
                <w:rFonts w:hint="eastAsia" w:ascii="Arial" w:hAnsi="Arial" w:eastAsia="新宋体" w:cs="Arial"/>
                <w:szCs w:val="21"/>
              </w:rPr>
              <w:t>工期</w:t>
            </w:r>
          </w:p>
        </w:tc>
        <w:tc>
          <w:tcPr>
            <w:tcW w:w="4649" w:type="dxa"/>
            <w:noWrap w:val="0"/>
            <w:vAlign w:val="center"/>
          </w:tcPr>
          <w:p>
            <w:pPr>
              <w:pStyle w:val="8"/>
              <w:keepNext w:val="0"/>
              <w:keepLines w:val="0"/>
              <w:pageBreakBefore w:val="0"/>
              <w:widowControl/>
              <w:kinsoku/>
              <w:wordWrap/>
              <w:overflowPunct/>
              <w:topLinePunct w:val="0"/>
              <w:autoSpaceDE/>
              <w:autoSpaceDN/>
              <w:bidi w:val="0"/>
              <w:adjustRightInd/>
              <w:spacing w:line="300" w:lineRule="auto"/>
              <w:ind w:firstLine="0"/>
              <w:jc w:val="center"/>
              <w:textAlignment w:val="auto"/>
              <w:rPr>
                <w:rFonts w:ascii="Arial" w:hAnsi="Arial" w:eastAsia="新宋体" w:cs="Arial"/>
                <w:szCs w:val="21"/>
              </w:rPr>
            </w:pPr>
            <w:r>
              <w:rPr>
                <w:rFonts w:hint="eastAsia" w:ascii="Arial" w:hAnsi="Arial" w:eastAsia="新宋体" w:cs="Arial"/>
                <w:szCs w:val="21"/>
              </w:rPr>
              <w:t>符合磋商文件的要求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68" w:type="dxa"/>
            <w:vMerge w:val="continue"/>
            <w:noWrap w:val="0"/>
            <w:vAlign w:val="center"/>
          </w:tcPr>
          <w:p>
            <w:pPr>
              <w:keepNext w:val="0"/>
              <w:keepLines w:val="0"/>
              <w:pageBreakBefore w:val="0"/>
              <w:widowControl/>
              <w:kinsoku/>
              <w:wordWrap/>
              <w:overflowPunct/>
              <w:topLinePunct w:val="0"/>
              <w:autoSpaceDE/>
              <w:autoSpaceDN/>
              <w:bidi w:val="0"/>
              <w:adjustRightInd/>
              <w:spacing w:line="300" w:lineRule="auto"/>
              <w:ind w:right="3"/>
              <w:jc w:val="center"/>
              <w:textAlignment w:val="auto"/>
              <w:rPr>
                <w:rFonts w:ascii="宋体" w:hAnsi="宋体" w:cs="宋体"/>
                <w:szCs w:val="21"/>
              </w:rPr>
            </w:pPr>
          </w:p>
        </w:tc>
        <w:tc>
          <w:tcPr>
            <w:tcW w:w="975" w:type="dxa"/>
            <w:vMerge w:val="continue"/>
            <w:noWrap w:val="0"/>
            <w:vAlign w:val="center"/>
          </w:tcPr>
          <w:p>
            <w:pPr>
              <w:keepNext w:val="0"/>
              <w:keepLines w:val="0"/>
              <w:pageBreakBefore w:val="0"/>
              <w:widowControl/>
              <w:kinsoku/>
              <w:wordWrap/>
              <w:overflowPunct/>
              <w:topLinePunct w:val="0"/>
              <w:autoSpaceDE/>
              <w:autoSpaceDN/>
              <w:bidi w:val="0"/>
              <w:adjustRightInd/>
              <w:spacing w:line="300" w:lineRule="auto"/>
              <w:ind w:right="3"/>
              <w:jc w:val="center"/>
              <w:textAlignment w:val="auto"/>
              <w:rPr>
                <w:rFonts w:ascii="宋体" w:hAnsi="宋体" w:cs="宋体"/>
                <w:szCs w:val="21"/>
              </w:rPr>
            </w:pPr>
          </w:p>
        </w:tc>
        <w:tc>
          <w:tcPr>
            <w:tcW w:w="3022" w:type="dxa"/>
            <w:noWrap w:val="0"/>
            <w:vAlign w:val="center"/>
          </w:tcPr>
          <w:p>
            <w:pPr>
              <w:pStyle w:val="8"/>
              <w:keepNext w:val="0"/>
              <w:keepLines w:val="0"/>
              <w:pageBreakBefore w:val="0"/>
              <w:widowControl/>
              <w:kinsoku/>
              <w:wordWrap/>
              <w:overflowPunct/>
              <w:topLinePunct w:val="0"/>
              <w:autoSpaceDE/>
              <w:autoSpaceDN/>
              <w:bidi w:val="0"/>
              <w:adjustRightInd/>
              <w:spacing w:line="300" w:lineRule="auto"/>
              <w:ind w:firstLine="0"/>
              <w:jc w:val="center"/>
              <w:textAlignment w:val="auto"/>
              <w:rPr>
                <w:rFonts w:ascii="Arial" w:hAnsi="Arial" w:eastAsia="新宋体" w:cs="Arial"/>
                <w:szCs w:val="21"/>
              </w:rPr>
            </w:pPr>
            <w:r>
              <w:rPr>
                <w:rFonts w:hint="eastAsia" w:ascii="Arial" w:hAnsi="Arial" w:eastAsia="新宋体" w:cs="Arial"/>
                <w:szCs w:val="21"/>
              </w:rPr>
              <w:t>工程质量</w:t>
            </w:r>
          </w:p>
        </w:tc>
        <w:tc>
          <w:tcPr>
            <w:tcW w:w="4649" w:type="dxa"/>
            <w:noWrap w:val="0"/>
            <w:vAlign w:val="center"/>
          </w:tcPr>
          <w:p>
            <w:pPr>
              <w:keepNext w:val="0"/>
              <w:keepLines w:val="0"/>
              <w:pageBreakBefore w:val="0"/>
              <w:widowControl/>
              <w:kinsoku/>
              <w:wordWrap/>
              <w:overflowPunct/>
              <w:topLinePunct w:val="0"/>
              <w:autoSpaceDE/>
              <w:autoSpaceDN/>
              <w:bidi w:val="0"/>
              <w:adjustRightInd/>
              <w:spacing w:line="300" w:lineRule="auto"/>
              <w:jc w:val="center"/>
              <w:textAlignment w:val="auto"/>
              <w:rPr>
                <w:rFonts w:ascii="Arial" w:hAnsi="Arial" w:eastAsia="新宋体" w:cs="Arial"/>
                <w:kern w:val="2"/>
                <w:szCs w:val="21"/>
              </w:rPr>
            </w:pPr>
            <w:r>
              <w:rPr>
                <w:rFonts w:hint="eastAsia" w:ascii="Arial" w:hAnsi="Arial" w:eastAsia="新宋体" w:cs="Arial"/>
                <w:kern w:val="2"/>
                <w:szCs w:val="21"/>
              </w:rPr>
              <w:t>符合磋商文件的要求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68" w:type="dxa"/>
            <w:vMerge w:val="continue"/>
            <w:noWrap w:val="0"/>
            <w:vAlign w:val="center"/>
          </w:tcPr>
          <w:p>
            <w:pPr>
              <w:keepNext w:val="0"/>
              <w:keepLines w:val="0"/>
              <w:pageBreakBefore w:val="0"/>
              <w:widowControl/>
              <w:kinsoku/>
              <w:wordWrap/>
              <w:overflowPunct/>
              <w:topLinePunct w:val="0"/>
              <w:autoSpaceDE/>
              <w:autoSpaceDN/>
              <w:bidi w:val="0"/>
              <w:adjustRightInd/>
              <w:spacing w:line="300" w:lineRule="auto"/>
              <w:ind w:right="3"/>
              <w:jc w:val="center"/>
              <w:textAlignment w:val="auto"/>
              <w:rPr>
                <w:rFonts w:ascii="宋体" w:hAnsi="宋体" w:cs="宋体"/>
                <w:szCs w:val="21"/>
              </w:rPr>
            </w:pPr>
          </w:p>
        </w:tc>
        <w:tc>
          <w:tcPr>
            <w:tcW w:w="975" w:type="dxa"/>
            <w:vMerge w:val="continue"/>
            <w:noWrap w:val="0"/>
            <w:vAlign w:val="center"/>
          </w:tcPr>
          <w:p>
            <w:pPr>
              <w:keepNext w:val="0"/>
              <w:keepLines w:val="0"/>
              <w:pageBreakBefore w:val="0"/>
              <w:widowControl/>
              <w:kinsoku/>
              <w:wordWrap/>
              <w:overflowPunct/>
              <w:topLinePunct w:val="0"/>
              <w:autoSpaceDE/>
              <w:autoSpaceDN/>
              <w:bidi w:val="0"/>
              <w:adjustRightInd/>
              <w:spacing w:line="300" w:lineRule="auto"/>
              <w:ind w:right="3"/>
              <w:jc w:val="center"/>
              <w:textAlignment w:val="auto"/>
              <w:rPr>
                <w:rFonts w:ascii="宋体" w:hAnsi="宋体" w:cs="宋体"/>
                <w:szCs w:val="21"/>
              </w:rPr>
            </w:pPr>
          </w:p>
        </w:tc>
        <w:tc>
          <w:tcPr>
            <w:tcW w:w="3022" w:type="dxa"/>
            <w:noWrap w:val="0"/>
            <w:vAlign w:val="center"/>
          </w:tcPr>
          <w:p>
            <w:pPr>
              <w:pStyle w:val="8"/>
              <w:keepNext w:val="0"/>
              <w:keepLines w:val="0"/>
              <w:pageBreakBefore w:val="0"/>
              <w:widowControl/>
              <w:kinsoku/>
              <w:wordWrap/>
              <w:overflowPunct/>
              <w:topLinePunct w:val="0"/>
              <w:autoSpaceDE/>
              <w:autoSpaceDN/>
              <w:bidi w:val="0"/>
              <w:adjustRightInd/>
              <w:spacing w:line="300" w:lineRule="auto"/>
              <w:ind w:firstLine="0"/>
              <w:jc w:val="center"/>
              <w:textAlignment w:val="auto"/>
              <w:rPr>
                <w:rFonts w:ascii="Arial" w:hAnsi="Arial" w:eastAsia="新宋体" w:cs="Arial"/>
                <w:szCs w:val="21"/>
              </w:rPr>
            </w:pPr>
            <w:r>
              <w:rPr>
                <w:rFonts w:hint="eastAsia" w:ascii="Arial" w:hAnsi="Arial" w:eastAsia="新宋体" w:cs="Arial"/>
                <w:szCs w:val="21"/>
              </w:rPr>
              <w:t>己标价工程量清单</w:t>
            </w:r>
          </w:p>
        </w:tc>
        <w:tc>
          <w:tcPr>
            <w:tcW w:w="4649" w:type="dxa"/>
            <w:noWrap w:val="0"/>
            <w:vAlign w:val="center"/>
          </w:tcPr>
          <w:p>
            <w:pPr>
              <w:keepNext w:val="0"/>
              <w:keepLines w:val="0"/>
              <w:pageBreakBefore w:val="0"/>
              <w:widowControl/>
              <w:kinsoku/>
              <w:wordWrap/>
              <w:overflowPunct/>
              <w:topLinePunct w:val="0"/>
              <w:autoSpaceDE/>
              <w:autoSpaceDN/>
              <w:bidi w:val="0"/>
              <w:adjustRightInd/>
              <w:spacing w:line="300" w:lineRule="auto"/>
              <w:jc w:val="center"/>
              <w:textAlignment w:val="auto"/>
              <w:rPr>
                <w:rFonts w:ascii="Arial" w:hAnsi="Arial" w:eastAsia="新宋体" w:cs="Arial"/>
                <w:szCs w:val="21"/>
              </w:rPr>
            </w:pPr>
            <w:r>
              <w:rPr>
                <w:rFonts w:hint="eastAsia"/>
                <w:szCs w:val="21"/>
              </w:rPr>
              <w:t>符合磋商文件第三章</w:t>
            </w:r>
            <w:r>
              <w:rPr>
                <w:rFonts w:hint="eastAsia" w:ascii="Arial" w:hAnsi="Arial" w:eastAsia="新宋体" w:cs="Arial"/>
                <w:szCs w:val="21"/>
              </w:rPr>
              <w:t>“工程量清单”给出的子目编码、子目名称、子目特征、计量单位和工程量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68" w:type="dxa"/>
            <w:vMerge w:val="continue"/>
            <w:noWrap w:val="0"/>
            <w:vAlign w:val="center"/>
          </w:tcPr>
          <w:p>
            <w:pPr>
              <w:keepNext w:val="0"/>
              <w:keepLines w:val="0"/>
              <w:pageBreakBefore w:val="0"/>
              <w:widowControl/>
              <w:kinsoku/>
              <w:wordWrap/>
              <w:overflowPunct/>
              <w:topLinePunct w:val="0"/>
              <w:autoSpaceDE/>
              <w:autoSpaceDN/>
              <w:bidi w:val="0"/>
              <w:adjustRightInd/>
              <w:spacing w:line="300" w:lineRule="auto"/>
              <w:ind w:right="3"/>
              <w:jc w:val="center"/>
              <w:textAlignment w:val="auto"/>
              <w:rPr>
                <w:rFonts w:ascii="宋体" w:hAnsi="宋体" w:cs="宋体"/>
                <w:szCs w:val="21"/>
              </w:rPr>
            </w:pPr>
          </w:p>
        </w:tc>
        <w:tc>
          <w:tcPr>
            <w:tcW w:w="975" w:type="dxa"/>
            <w:vMerge w:val="continue"/>
            <w:noWrap w:val="0"/>
            <w:vAlign w:val="center"/>
          </w:tcPr>
          <w:p>
            <w:pPr>
              <w:keepNext w:val="0"/>
              <w:keepLines w:val="0"/>
              <w:pageBreakBefore w:val="0"/>
              <w:widowControl/>
              <w:kinsoku/>
              <w:wordWrap/>
              <w:overflowPunct/>
              <w:topLinePunct w:val="0"/>
              <w:autoSpaceDE/>
              <w:autoSpaceDN/>
              <w:bidi w:val="0"/>
              <w:adjustRightInd/>
              <w:spacing w:line="300" w:lineRule="auto"/>
              <w:ind w:right="3"/>
              <w:jc w:val="center"/>
              <w:textAlignment w:val="auto"/>
              <w:rPr>
                <w:rFonts w:ascii="宋体" w:hAnsi="宋体" w:cs="宋体"/>
                <w:szCs w:val="21"/>
              </w:rPr>
            </w:pPr>
          </w:p>
        </w:tc>
        <w:tc>
          <w:tcPr>
            <w:tcW w:w="3022" w:type="dxa"/>
            <w:noWrap w:val="0"/>
            <w:vAlign w:val="center"/>
          </w:tcPr>
          <w:p>
            <w:pPr>
              <w:pStyle w:val="8"/>
              <w:keepNext w:val="0"/>
              <w:keepLines w:val="0"/>
              <w:pageBreakBefore w:val="0"/>
              <w:widowControl/>
              <w:kinsoku/>
              <w:wordWrap/>
              <w:overflowPunct/>
              <w:topLinePunct w:val="0"/>
              <w:autoSpaceDE/>
              <w:autoSpaceDN/>
              <w:bidi w:val="0"/>
              <w:adjustRightInd/>
              <w:spacing w:line="300" w:lineRule="auto"/>
              <w:textAlignment w:val="auto"/>
              <w:rPr>
                <w:rFonts w:ascii="Arial" w:hAnsi="Arial" w:eastAsia="新宋体" w:cs="Arial"/>
                <w:szCs w:val="21"/>
              </w:rPr>
            </w:pPr>
            <w:r>
              <w:rPr>
                <w:rFonts w:hint="eastAsia" w:ascii="Arial" w:hAnsi="Arial" w:eastAsia="新宋体" w:cs="Arial"/>
                <w:szCs w:val="21"/>
              </w:rPr>
              <w:t>报价唯一</w:t>
            </w:r>
          </w:p>
        </w:tc>
        <w:tc>
          <w:tcPr>
            <w:tcW w:w="4649" w:type="dxa"/>
            <w:noWrap w:val="0"/>
            <w:vAlign w:val="center"/>
          </w:tcPr>
          <w:p>
            <w:pPr>
              <w:keepNext w:val="0"/>
              <w:keepLines w:val="0"/>
              <w:pageBreakBefore w:val="0"/>
              <w:widowControl/>
              <w:kinsoku/>
              <w:wordWrap/>
              <w:overflowPunct/>
              <w:topLinePunct w:val="0"/>
              <w:autoSpaceDE/>
              <w:autoSpaceDN/>
              <w:bidi w:val="0"/>
              <w:adjustRightInd/>
              <w:spacing w:line="300" w:lineRule="auto"/>
              <w:textAlignment w:val="auto"/>
              <w:rPr>
                <w:szCs w:val="21"/>
              </w:rPr>
            </w:pPr>
            <w:r>
              <w:rPr>
                <w:rFonts w:hint="eastAsia"/>
                <w:szCs w:val="21"/>
              </w:rPr>
              <w:t>只能有一个有效报价，不得出现下列情形之一：1、磋商供应商递交两份或多份内容不同的</w:t>
            </w:r>
            <w:r>
              <w:rPr>
                <w:rFonts w:hint="eastAsia"/>
                <w:szCs w:val="21"/>
                <w:lang w:eastAsia="zh-CN"/>
              </w:rPr>
              <w:t>磋商响应文件</w:t>
            </w:r>
            <w:r>
              <w:rPr>
                <w:rFonts w:hint="eastAsia"/>
                <w:szCs w:val="21"/>
              </w:rPr>
              <w:t>；</w:t>
            </w:r>
          </w:p>
          <w:p>
            <w:pPr>
              <w:keepNext w:val="0"/>
              <w:keepLines w:val="0"/>
              <w:pageBreakBefore w:val="0"/>
              <w:widowControl/>
              <w:kinsoku/>
              <w:wordWrap/>
              <w:overflowPunct/>
              <w:topLinePunct w:val="0"/>
              <w:autoSpaceDE/>
              <w:autoSpaceDN/>
              <w:bidi w:val="0"/>
              <w:adjustRightInd/>
              <w:spacing w:line="300" w:lineRule="auto"/>
              <w:textAlignment w:val="auto"/>
              <w:rPr>
                <w:szCs w:val="21"/>
              </w:rPr>
            </w:pPr>
            <w:r>
              <w:rPr>
                <w:rFonts w:hint="eastAsia"/>
                <w:szCs w:val="21"/>
              </w:rPr>
              <w:t>2、在一份</w:t>
            </w:r>
            <w:r>
              <w:rPr>
                <w:rFonts w:hint="eastAsia"/>
                <w:szCs w:val="21"/>
                <w:lang w:eastAsia="zh-CN"/>
              </w:rPr>
              <w:t>磋商响应文件</w:t>
            </w:r>
            <w:r>
              <w:rPr>
                <w:rFonts w:hint="eastAsia"/>
                <w:szCs w:val="21"/>
              </w:rPr>
              <w:t>中对同一招标项目报价有两个或多个报价，且未声明哪一个有效（大小写、正副本不一致除外）；</w:t>
            </w:r>
          </w:p>
          <w:p>
            <w:pPr>
              <w:keepNext w:val="0"/>
              <w:keepLines w:val="0"/>
              <w:pageBreakBefore w:val="0"/>
              <w:widowControl/>
              <w:kinsoku/>
              <w:wordWrap/>
              <w:overflowPunct/>
              <w:topLinePunct w:val="0"/>
              <w:autoSpaceDE/>
              <w:autoSpaceDN/>
              <w:bidi w:val="0"/>
              <w:adjustRightInd/>
              <w:spacing w:line="300" w:lineRule="auto"/>
              <w:textAlignment w:val="auto"/>
              <w:rPr>
                <w:szCs w:val="21"/>
              </w:rPr>
            </w:pPr>
            <w:r>
              <w:rPr>
                <w:rFonts w:hint="eastAsia"/>
                <w:szCs w:val="21"/>
              </w:rPr>
              <w:t>3、</w:t>
            </w:r>
            <w:r>
              <w:rPr>
                <w:rFonts w:hint="eastAsia"/>
                <w:szCs w:val="21"/>
                <w:lang w:eastAsia="zh-CN"/>
              </w:rPr>
              <w:t>磋商响应文件</w:t>
            </w:r>
            <w:r>
              <w:rPr>
                <w:rFonts w:hint="eastAsia"/>
                <w:szCs w:val="21"/>
              </w:rPr>
              <w:t>中</w:t>
            </w:r>
            <w:r>
              <w:rPr>
                <w:rFonts w:hint="eastAsia"/>
                <w:szCs w:val="21"/>
                <w:lang w:eastAsia="zh-CN"/>
              </w:rPr>
              <w:t>磋商函</w:t>
            </w:r>
            <w:r>
              <w:rPr>
                <w:rFonts w:hint="eastAsia"/>
                <w:szCs w:val="21"/>
              </w:rPr>
              <w:t>上的报价与投标总价上的报价不一致。</w:t>
            </w:r>
          </w:p>
          <w:p>
            <w:pPr>
              <w:keepNext w:val="0"/>
              <w:keepLines w:val="0"/>
              <w:pageBreakBefore w:val="0"/>
              <w:widowControl/>
              <w:kinsoku/>
              <w:wordWrap/>
              <w:overflowPunct/>
              <w:topLinePunct w:val="0"/>
              <w:autoSpaceDE/>
              <w:autoSpaceDN/>
              <w:bidi w:val="0"/>
              <w:adjustRightInd/>
              <w:spacing w:line="300" w:lineRule="auto"/>
              <w:textAlignment w:val="auto"/>
              <w:rPr>
                <w:szCs w:val="21"/>
              </w:rPr>
            </w:pPr>
            <w:r>
              <w:rPr>
                <w:rFonts w:hint="eastAsia"/>
                <w:szCs w:val="21"/>
              </w:rPr>
              <w:t>4、</w:t>
            </w:r>
            <w:r>
              <w:rPr>
                <w:rFonts w:hint="eastAsia"/>
                <w:szCs w:val="21"/>
                <w:lang w:eastAsia="zh-CN"/>
              </w:rPr>
              <w:t>磋商响应文件</w:t>
            </w:r>
            <w:r>
              <w:rPr>
                <w:rFonts w:hint="eastAsia"/>
                <w:szCs w:val="21"/>
              </w:rPr>
              <w:t>中未提供</w:t>
            </w:r>
            <w:r>
              <w:rPr>
                <w:rFonts w:hint="eastAsia"/>
                <w:szCs w:val="21"/>
                <w:lang w:eastAsia="zh-CN"/>
              </w:rPr>
              <w:t>磋商函</w:t>
            </w:r>
            <w:r>
              <w:rPr>
                <w:rFonts w:hint="eastAsia"/>
                <w:szCs w:val="21"/>
              </w:rPr>
              <w:t>或提供的</w:t>
            </w:r>
            <w:r>
              <w:rPr>
                <w:rFonts w:hint="eastAsia"/>
                <w:szCs w:val="21"/>
                <w:lang w:eastAsia="zh-CN"/>
              </w:rPr>
              <w:t>磋商函</w:t>
            </w:r>
            <w:r>
              <w:rPr>
                <w:rFonts w:hint="eastAsia"/>
                <w:szCs w:val="21"/>
              </w:rPr>
              <w:t>无有效投标报价。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2" w:hRule="atLeast"/>
        </w:trPr>
        <w:tc>
          <w:tcPr>
            <w:tcW w:w="568" w:type="dxa"/>
            <w:noWrap w:val="0"/>
            <w:vAlign w:val="center"/>
          </w:tcPr>
          <w:p>
            <w:pPr>
              <w:keepNext w:val="0"/>
              <w:keepLines w:val="0"/>
              <w:pageBreakBefore w:val="0"/>
              <w:widowControl/>
              <w:kinsoku/>
              <w:wordWrap/>
              <w:overflowPunct/>
              <w:topLinePunct w:val="0"/>
              <w:autoSpaceDE/>
              <w:autoSpaceDN/>
              <w:bidi w:val="0"/>
              <w:adjustRightInd/>
              <w:spacing w:line="300" w:lineRule="auto"/>
              <w:ind w:right="3"/>
              <w:jc w:val="center"/>
              <w:textAlignment w:val="auto"/>
              <w:rPr>
                <w:rFonts w:ascii="宋体" w:hAnsi="宋体" w:cs="宋体"/>
                <w:szCs w:val="21"/>
              </w:rPr>
            </w:pPr>
            <w:r>
              <w:rPr>
                <w:rFonts w:hint="eastAsia" w:ascii="宋体" w:hAnsi="宋体" w:cs="宋体"/>
                <w:szCs w:val="21"/>
              </w:rPr>
              <w:t>2</w:t>
            </w:r>
          </w:p>
        </w:tc>
        <w:tc>
          <w:tcPr>
            <w:tcW w:w="975" w:type="dxa"/>
            <w:noWrap w:val="0"/>
            <w:vAlign w:val="center"/>
          </w:tcPr>
          <w:p>
            <w:pPr>
              <w:keepNext w:val="0"/>
              <w:keepLines w:val="0"/>
              <w:pageBreakBefore w:val="0"/>
              <w:widowControl/>
              <w:kinsoku/>
              <w:wordWrap/>
              <w:overflowPunct/>
              <w:topLinePunct w:val="0"/>
              <w:autoSpaceDE/>
              <w:autoSpaceDN/>
              <w:bidi w:val="0"/>
              <w:adjustRightInd/>
              <w:spacing w:line="300" w:lineRule="auto"/>
              <w:ind w:right="3"/>
              <w:jc w:val="center"/>
              <w:textAlignment w:val="auto"/>
              <w:rPr>
                <w:rFonts w:ascii="宋体" w:hAnsi="宋体" w:cs="宋体"/>
                <w:b/>
                <w:szCs w:val="21"/>
              </w:rPr>
            </w:pPr>
            <w:r>
              <w:rPr>
                <w:rFonts w:hint="eastAsia" w:ascii="宋体" w:hAnsi="宋体"/>
                <w:b/>
                <w:szCs w:val="21"/>
              </w:rPr>
              <w:t>资格</w:t>
            </w:r>
            <w:r>
              <w:rPr>
                <w:rFonts w:hint="eastAsia" w:ascii="宋体" w:hAnsi="宋体" w:cs="Arial"/>
                <w:b/>
                <w:bCs/>
                <w:kern w:val="28"/>
              </w:rPr>
              <w:t>性检查</w:t>
            </w:r>
          </w:p>
        </w:tc>
        <w:tc>
          <w:tcPr>
            <w:tcW w:w="7671" w:type="dxa"/>
            <w:gridSpan w:val="2"/>
            <w:noWrap w:val="0"/>
            <w:vAlign w:val="center"/>
          </w:tcPr>
          <w:p>
            <w:pPr>
              <w:keepNext w:val="0"/>
              <w:keepLines w:val="0"/>
              <w:pageBreakBefore w:val="0"/>
              <w:widowControl/>
              <w:kinsoku/>
              <w:wordWrap/>
              <w:overflowPunct/>
              <w:topLinePunct w:val="0"/>
              <w:autoSpaceDE/>
              <w:autoSpaceDN/>
              <w:bidi w:val="0"/>
              <w:adjustRightInd/>
              <w:spacing w:line="300" w:lineRule="auto"/>
              <w:ind w:left="420" w:leftChars="0" w:hanging="420" w:hangingChars="200"/>
              <w:textAlignment w:val="auto"/>
              <w:rPr>
                <w:rFonts w:ascii="宋体" w:hAnsi="宋体"/>
                <w:szCs w:val="21"/>
              </w:rPr>
            </w:pPr>
            <w:bookmarkStart w:id="2073" w:name="OLE_LINK14"/>
            <w:r>
              <w:rPr>
                <w:rFonts w:hint="eastAsia" w:ascii="宋体" w:hAnsi="宋体"/>
                <w:szCs w:val="21"/>
              </w:rPr>
              <w:t>磋商供应商的资格审查（磋商供应商必须满足下列资格审查的必要条件，凡不能满足下列必要条件之一的，其报价文件按</w:t>
            </w:r>
            <w:r>
              <w:rPr>
                <w:rFonts w:hint="eastAsia" w:ascii="宋体" w:hAnsi="宋体"/>
                <w:b/>
                <w:bCs/>
                <w:szCs w:val="21"/>
              </w:rPr>
              <w:t>无效标处理</w:t>
            </w:r>
            <w:r>
              <w:rPr>
                <w:rFonts w:hint="eastAsia" w:ascii="宋体" w:hAnsi="宋体"/>
                <w:bCs/>
                <w:szCs w:val="21"/>
              </w:rPr>
              <w:t>）</w:t>
            </w:r>
            <w:r>
              <w:rPr>
                <w:rFonts w:hint="eastAsia" w:ascii="宋体" w:hAnsi="宋体"/>
                <w:b/>
                <w:bCs/>
                <w:szCs w:val="21"/>
              </w:rPr>
              <w:t>：</w:t>
            </w:r>
          </w:p>
          <w:p>
            <w:pPr>
              <w:keepNext w:val="0"/>
              <w:keepLines w:val="0"/>
              <w:pageBreakBefore w:val="0"/>
              <w:widowControl/>
              <w:numPr>
                <w:ilvl w:val="0"/>
                <w:numId w:val="31"/>
              </w:numPr>
              <w:kinsoku/>
              <w:wordWrap/>
              <w:overflowPunct/>
              <w:topLinePunct w:val="0"/>
              <w:autoSpaceDE/>
              <w:autoSpaceDN/>
              <w:bidi w:val="0"/>
              <w:adjustRightInd/>
              <w:spacing w:line="300" w:lineRule="auto"/>
              <w:ind w:left="420" w:leftChars="0" w:hanging="420" w:hangingChars="200"/>
              <w:textAlignment w:val="auto"/>
              <w:rPr>
                <w:rFonts w:ascii="宋体" w:hAnsi="宋体"/>
                <w:bCs/>
                <w:szCs w:val="21"/>
              </w:rPr>
            </w:pPr>
            <w:r>
              <w:rPr>
                <w:rFonts w:ascii="宋体" w:hAnsi="宋体"/>
                <w:bCs/>
                <w:szCs w:val="21"/>
              </w:rPr>
              <w:t>企业营业执照有效且营</w:t>
            </w:r>
            <w:r>
              <w:rPr>
                <w:rFonts w:hint="eastAsia" w:ascii="宋体" w:hAnsi="宋体"/>
                <w:bCs/>
                <w:szCs w:val="21"/>
              </w:rPr>
              <w:t>业</w:t>
            </w:r>
            <w:r>
              <w:rPr>
                <w:rFonts w:ascii="宋体" w:hAnsi="宋体"/>
                <w:bCs/>
                <w:szCs w:val="21"/>
              </w:rPr>
              <w:t>范围符合要求；</w:t>
            </w:r>
          </w:p>
          <w:p>
            <w:pPr>
              <w:keepNext w:val="0"/>
              <w:keepLines w:val="0"/>
              <w:pageBreakBefore w:val="0"/>
              <w:widowControl/>
              <w:numPr>
                <w:ilvl w:val="0"/>
                <w:numId w:val="31"/>
              </w:numPr>
              <w:kinsoku/>
              <w:wordWrap/>
              <w:overflowPunct/>
              <w:topLinePunct w:val="0"/>
              <w:autoSpaceDE/>
              <w:autoSpaceDN/>
              <w:bidi w:val="0"/>
              <w:adjustRightInd/>
              <w:spacing w:line="300" w:lineRule="auto"/>
              <w:ind w:left="420" w:leftChars="0" w:hanging="420" w:hangingChars="200"/>
              <w:textAlignment w:val="auto"/>
              <w:rPr>
                <w:rFonts w:ascii="宋体" w:hAnsi="宋体"/>
                <w:bCs/>
                <w:szCs w:val="21"/>
              </w:rPr>
            </w:pPr>
            <w:r>
              <w:rPr>
                <w:rFonts w:hint="eastAsia" w:ascii="宋体" w:hAnsi="宋体"/>
                <w:bCs/>
                <w:szCs w:val="21"/>
                <w:lang w:eastAsia="zh-CN"/>
              </w:rPr>
              <w:t>具备电子与智能化工程专业承包（2014版）二级及以上资质</w:t>
            </w:r>
            <w:r>
              <w:rPr>
                <w:rFonts w:hint="eastAsia" w:ascii="宋体" w:hAnsi="宋体"/>
                <w:bCs/>
                <w:szCs w:val="21"/>
              </w:rPr>
              <w:t>；</w:t>
            </w:r>
          </w:p>
          <w:p>
            <w:pPr>
              <w:keepNext w:val="0"/>
              <w:keepLines w:val="0"/>
              <w:pageBreakBefore w:val="0"/>
              <w:widowControl/>
              <w:kinsoku/>
              <w:wordWrap/>
              <w:overflowPunct/>
              <w:topLinePunct w:val="0"/>
              <w:autoSpaceDE/>
              <w:autoSpaceDN/>
              <w:bidi w:val="0"/>
              <w:adjustRightInd/>
              <w:spacing w:line="300" w:lineRule="auto"/>
              <w:ind w:left="420" w:leftChars="0" w:hanging="420" w:hangingChars="200"/>
              <w:textAlignment w:val="auto"/>
              <w:rPr>
                <w:rFonts w:ascii="宋体" w:hAnsi="宋体"/>
                <w:bCs/>
                <w:szCs w:val="21"/>
              </w:rPr>
            </w:pPr>
            <w:r>
              <w:rPr>
                <w:rFonts w:hint="eastAsia" w:ascii="宋体" w:hAnsi="宋体"/>
                <w:bCs/>
                <w:szCs w:val="21"/>
              </w:rPr>
              <w:t>（3）项目建造师为：</w:t>
            </w:r>
            <w:r>
              <w:rPr>
                <w:rFonts w:hint="eastAsia" w:ascii="Arial" w:hAnsi="Arial" w:cs="Arial"/>
                <w:szCs w:val="21"/>
              </w:rPr>
              <w:t>注册建造师机电工程二级及以上</w:t>
            </w:r>
            <w:r>
              <w:rPr>
                <w:rFonts w:hint="eastAsia" w:ascii="宋体" w:hAnsi="宋体"/>
                <w:bCs/>
                <w:szCs w:val="21"/>
              </w:rPr>
              <w:t>资格证书及相应的B类证书；</w:t>
            </w:r>
          </w:p>
          <w:p>
            <w:pPr>
              <w:keepNext w:val="0"/>
              <w:keepLines w:val="0"/>
              <w:pageBreakBefore w:val="0"/>
              <w:widowControl/>
              <w:kinsoku/>
              <w:wordWrap/>
              <w:overflowPunct/>
              <w:topLinePunct w:val="0"/>
              <w:autoSpaceDE/>
              <w:autoSpaceDN/>
              <w:bidi w:val="0"/>
              <w:adjustRightInd/>
              <w:spacing w:line="300" w:lineRule="auto"/>
              <w:ind w:left="420" w:leftChars="0" w:hanging="420" w:hangingChars="200"/>
              <w:textAlignment w:val="auto"/>
              <w:rPr>
                <w:rFonts w:ascii="宋体" w:hAnsi="宋体"/>
                <w:bCs/>
                <w:szCs w:val="21"/>
              </w:rPr>
            </w:pPr>
            <w:r>
              <w:rPr>
                <w:rFonts w:hint="eastAsia" w:ascii="宋体" w:hAnsi="宋体"/>
                <w:bCs/>
                <w:szCs w:val="21"/>
              </w:rPr>
              <w:t>（4）</w:t>
            </w:r>
            <w:r>
              <w:rPr>
                <w:rFonts w:ascii="宋体" w:hAnsi="宋体"/>
                <w:bCs/>
                <w:szCs w:val="21"/>
              </w:rPr>
              <w:t>具备</w:t>
            </w:r>
            <w:r>
              <w:rPr>
                <w:rFonts w:hint="eastAsia" w:ascii="宋体" w:hAnsi="宋体"/>
                <w:bCs/>
                <w:szCs w:val="21"/>
              </w:rPr>
              <w:t>有效的</w:t>
            </w:r>
            <w:r>
              <w:rPr>
                <w:rFonts w:ascii="宋体" w:hAnsi="宋体"/>
                <w:bCs/>
                <w:szCs w:val="21"/>
              </w:rPr>
              <w:t>安全生产许可证；</w:t>
            </w:r>
          </w:p>
          <w:p>
            <w:pPr>
              <w:keepNext w:val="0"/>
              <w:keepLines w:val="0"/>
              <w:pageBreakBefore w:val="0"/>
              <w:widowControl/>
              <w:kinsoku/>
              <w:wordWrap/>
              <w:overflowPunct/>
              <w:topLinePunct w:val="0"/>
              <w:autoSpaceDE/>
              <w:autoSpaceDN/>
              <w:bidi w:val="0"/>
              <w:adjustRightInd/>
              <w:spacing w:line="300" w:lineRule="auto"/>
              <w:ind w:left="420" w:leftChars="0" w:hanging="420" w:hangingChars="200"/>
              <w:jc w:val="both"/>
              <w:textAlignment w:val="auto"/>
              <w:rPr>
                <w:rFonts w:ascii="宋体" w:hAnsi="宋体"/>
                <w:bCs/>
                <w:szCs w:val="21"/>
              </w:rPr>
            </w:pPr>
            <w:r>
              <w:rPr>
                <w:rFonts w:hint="eastAsia" w:ascii="宋体" w:hAnsi="宋体"/>
                <w:bCs/>
                <w:szCs w:val="21"/>
              </w:rPr>
              <w:t>（5）</w:t>
            </w:r>
            <w:r>
              <w:rPr>
                <w:rFonts w:ascii="宋体" w:hAnsi="宋体"/>
                <w:bCs/>
                <w:szCs w:val="21"/>
              </w:rPr>
              <w:t>企业主要负责人包括企业法定代表人</w:t>
            </w:r>
            <w:r>
              <w:rPr>
                <w:rFonts w:hint="eastAsia" w:ascii="宋体" w:hAnsi="宋体"/>
                <w:bCs/>
                <w:szCs w:val="21"/>
              </w:rPr>
              <w:t>和</w:t>
            </w:r>
            <w:r>
              <w:rPr>
                <w:rFonts w:ascii="宋体" w:hAnsi="宋体"/>
                <w:bCs/>
                <w:szCs w:val="21"/>
              </w:rPr>
              <w:t>企业分管安全生产的副经理，担任这</w:t>
            </w:r>
            <w:r>
              <w:rPr>
                <w:rFonts w:hint="eastAsia" w:ascii="宋体" w:hAnsi="宋体"/>
                <w:bCs/>
                <w:szCs w:val="21"/>
              </w:rPr>
              <w:t>两</w:t>
            </w:r>
            <w:r>
              <w:rPr>
                <w:rFonts w:ascii="宋体" w:hAnsi="宋体"/>
                <w:bCs/>
                <w:szCs w:val="21"/>
              </w:rPr>
              <w:t>个岗位的相关人员应当提供“三类人员”A类证书。前</w:t>
            </w:r>
            <w:r>
              <w:rPr>
                <w:rFonts w:hint="eastAsia" w:ascii="宋体" w:hAnsi="宋体"/>
                <w:bCs/>
                <w:szCs w:val="21"/>
              </w:rPr>
              <w:t>一</w:t>
            </w:r>
            <w:r>
              <w:rPr>
                <w:rFonts w:ascii="宋体" w:hAnsi="宋体"/>
                <w:bCs/>
                <w:szCs w:val="21"/>
              </w:rPr>
              <w:t>个岗位必须和《建筑业企业资质等级证书》副本上载明的情况一致）</w:t>
            </w:r>
            <w:r>
              <w:rPr>
                <w:rFonts w:hint="eastAsia" w:ascii="宋体" w:hAnsi="宋体"/>
                <w:bCs/>
                <w:szCs w:val="21"/>
              </w:rPr>
              <w:t>。</w:t>
            </w:r>
          </w:p>
          <w:p>
            <w:pPr>
              <w:keepNext w:val="0"/>
              <w:keepLines w:val="0"/>
              <w:pageBreakBefore w:val="0"/>
              <w:widowControl/>
              <w:kinsoku/>
              <w:wordWrap/>
              <w:overflowPunct/>
              <w:topLinePunct w:val="0"/>
              <w:autoSpaceDE/>
              <w:autoSpaceDN/>
              <w:bidi w:val="0"/>
              <w:adjustRightInd/>
              <w:spacing w:line="300" w:lineRule="auto"/>
              <w:ind w:left="420" w:leftChars="0" w:hanging="420" w:hangingChars="200"/>
              <w:jc w:val="both"/>
              <w:textAlignment w:val="auto"/>
              <w:rPr>
                <w:rFonts w:ascii="宋体" w:hAnsi="宋体"/>
                <w:bCs/>
                <w:szCs w:val="21"/>
              </w:rPr>
            </w:pPr>
            <w:r>
              <w:rPr>
                <w:rFonts w:hint="eastAsia" w:ascii="宋体" w:hAnsi="宋体"/>
                <w:szCs w:val="21"/>
              </w:rPr>
              <w:t>（6）</w:t>
            </w:r>
            <w:r>
              <w:rPr>
                <w:rFonts w:hint="eastAsia" w:ascii="宋体" w:hAnsi="宋体"/>
                <w:bCs/>
                <w:szCs w:val="21"/>
              </w:rPr>
              <w:t>企业分管安全生产副经理需提供任职文件证明；</w:t>
            </w:r>
          </w:p>
          <w:p>
            <w:pPr>
              <w:keepNext w:val="0"/>
              <w:keepLines w:val="0"/>
              <w:pageBreakBefore w:val="0"/>
              <w:widowControl/>
              <w:kinsoku/>
              <w:wordWrap/>
              <w:overflowPunct/>
              <w:topLinePunct w:val="0"/>
              <w:autoSpaceDE/>
              <w:autoSpaceDN/>
              <w:bidi w:val="0"/>
              <w:adjustRightInd/>
              <w:spacing w:line="300" w:lineRule="auto"/>
              <w:ind w:left="420" w:leftChars="0" w:hanging="420" w:hangingChars="200"/>
              <w:textAlignment w:val="auto"/>
              <w:rPr>
                <w:rFonts w:ascii="宋体" w:hAnsi="宋体"/>
                <w:bCs/>
                <w:szCs w:val="21"/>
              </w:rPr>
            </w:pPr>
            <w:r>
              <w:rPr>
                <w:rFonts w:hint="eastAsia" w:ascii="宋体" w:hAnsi="宋体"/>
                <w:szCs w:val="21"/>
              </w:rPr>
              <w:t>（</w:t>
            </w:r>
            <w:r>
              <w:rPr>
                <w:rFonts w:ascii="宋体" w:hAnsi="宋体"/>
                <w:szCs w:val="21"/>
              </w:rPr>
              <w:t>7</w:t>
            </w:r>
            <w:r>
              <w:rPr>
                <w:rFonts w:hint="eastAsia" w:ascii="宋体" w:hAnsi="宋体"/>
                <w:szCs w:val="21"/>
              </w:rPr>
              <w:t>）</w:t>
            </w:r>
            <w:r>
              <w:rPr>
                <w:rFonts w:hint="eastAsia"/>
                <w:szCs w:val="21"/>
              </w:rPr>
              <w:t>省外企业必须具备有效的</w:t>
            </w:r>
            <w:r>
              <w:rPr>
                <w:rFonts w:hint="eastAsia"/>
              </w:rPr>
              <w:t>《省外企业进浙承接业务备证明》；</w:t>
            </w:r>
          </w:p>
          <w:p>
            <w:pPr>
              <w:keepNext w:val="0"/>
              <w:keepLines w:val="0"/>
              <w:pageBreakBefore w:val="0"/>
              <w:widowControl/>
              <w:kinsoku/>
              <w:wordWrap/>
              <w:overflowPunct/>
              <w:topLinePunct w:val="0"/>
              <w:autoSpaceDE/>
              <w:autoSpaceDN/>
              <w:bidi w:val="0"/>
              <w:adjustRightInd/>
              <w:spacing w:line="300" w:lineRule="auto"/>
              <w:ind w:left="420" w:leftChars="0" w:hanging="420" w:hangingChars="200"/>
              <w:textAlignment w:val="auto"/>
              <w:rPr>
                <w:rFonts w:hint="eastAsia" w:ascii="宋体" w:hAnsi="宋体"/>
                <w:szCs w:val="21"/>
              </w:rPr>
            </w:pPr>
            <w:r>
              <w:rPr>
                <w:rFonts w:hint="eastAsia" w:ascii="宋体" w:hAnsi="宋体"/>
                <w:szCs w:val="21"/>
              </w:rPr>
              <w:t>（</w:t>
            </w:r>
            <w:r>
              <w:rPr>
                <w:rFonts w:ascii="宋体" w:hAnsi="宋体"/>
                <w:szCs w:val="21"/>
              </w:rPr>
              <w:t>8</w:t>
            </w:r>
            <w:r>
              <w:rPr>
                <w:rFonts w:hint="eastAsia" w:ascii="宋体" w:hAnsi="宋体"/>
                <w:szCs w:val="21"/>
              </w:rPr>
              <w:t>）企业未</w:t>
            </w:r>
            <w:r>
              <w:rPr>
                <w:rFonts w:hint="eastAsia" w:ascii="宋体" w:hAnsi="宋体"/>
                <w:bCs/>
                <w:kern w:val="2"/>
              </w:rPr>
              <w:t>被建设行政主管部门限制参加投标或有不良行为记录公示已满期限的；</w:t>
            </w:r>
          </w:p>
          <w:p>
            <w:pPr>
              <w:keepNext w:val="0"/>
              <w:keepLines w:val="0"/>
              <w:pageBreakBefore w:val="0"/>
              <w:widowControl/>
              <w:kinsoku/>
              <w:wordWrap/>
              <w:overflowPunct/>
              <w:topLinePunct w:val="0"/>
              <w:autoSpaceDE/>
              <w:autoSpaceDN/>
              <w:bidi w:val="0"/>
              <w:adjustRightInd/>
              <w:spacing w:line="300" w:lineRule="auto"/>
              <w:ind w:left="420" w:leftChars="0" w:hanging="420" w:hangingChars="200"/>
              <w:textAlignment w:val="auto"/>
              <w:rPr>
                <w:rFonts w:hint="eastAsia" w:ascii="宋体" w:hAnsi="宋体"/>
                <w:szCs w:val="21"/>
              </w:rPr>
            </w:pPr>
            <w:r>
              <w:rPr>
                <w:rFonts w:hint="eastAsia" w:ascii="宋体" w:hAnsi="宋体"/>
              </w:rPr>
              <w:t>（9）</w:t>
            </w:r>
            <w:r>
              <w:rPr>
                <w:rFonts w:hint="eastAsia" w:ascii="宋体" w:hAnsi="宋体"/>
                <w:szCs w:val="21"/>
              </w:rPr>
              <w:t>企业不存在不良信用记录；</w:t>
            </w:r>
          </w:p>
          <w:p>
            <w:pPr>
              <w:keepNext w:val="0"/>
              <w:keepLines w:val="0"/>
              <w:pageBreakBefore w:val="0"/>
              <w:widowControl/>
              <w:kinsoku/>
              <w:wordWrap/>
              <w:overflowPunct/>
              <w:topLinePunct w:val="0"/>
              <w:autoSpaceDE/>
              <w:autoSpaceDN/>
              <w:bidi w:val="0"/>
              <w:adjustRightInd/>
              <w:spacing w:line="300" w:lineRule="auto"/>
              <w:ind w:left="420" w:leftChars="0" w:hanging="420" w:hangingChars="200"/>
              <w:textAlignment w:val="auto"/>
              <w:rPr>
                <w:rFonts w:hint="eastAsia" w:ascii="宋体" w:hAnsi="宋体"/>
                <w:szCs w:val="21"/>
              </w:rPr>
            </w:pPr>
            <w:r>
              <w:rPr>
                <w:rFonts w:hint="eastAsia" w:ascii="宋体" w:hAnsi="宋体"/>
              </w:rPr>
              <w:t>（10）不</w:t>
            </w:r>
            <w:r>
              <w:rPr>
                <w:rFonts w:hint="eastAsia" w:ascii="Arial" w:hAnsi="Arial" w:cs="Arial"/>
                <w:bCs/>
              </w:rPr>
              <w:t>存在重大违法行为的且提供“参加政府采购活动前3年内在经营活动中有/无重大违法记录（包括行贿犯罪记录）的书面声明”的。</w:t>
            </w:r>
          </w:p>
          <w:p>
            <w:pPr>
              <w:keepNext w:val="0"/>
              <w:keepLines w:val="0"/>
              <w:pageBreakBefore w:val="0"/>
              <w:widowControl/>
              <w:tabs>
                <w:tab w:val="left" w:pos="6358"/>
              </w:tabs>
              <w:kinsoku/>
              <w:wordWrap/>
              <w:overflowPunct/>
              <w:topLinePunct w:val="0"/>
              <w:autoSpaceDE/>
              <w:autoSpaceDN/>
              <w:bidi w:val="0"/>
              <w:adjustRightInd/>
              <w:snapToGrid w:val="0"/>
              <w:spacing w:line="300" w:lineRule="auto"/>
              <w:ind w:left="422" w:leftChars="0" w:hanging="422" w:hangingChars="200"/>
              <w:textAlignment w:val="auto"/>
              <w:rPr>
                <w:rFonts w:ascii="宋体" w:hAnsi="宋体"/>
                <w:bCs/>
                <w:szCs w:val="21"/>
                <w:u w:val="single"/>
              </w:rPr>
            </w:pPr>
            <w:r>
              <w:rPr>
                <w:rFonts w:hint="eastAsia" w:ascii="宋体" w:hAnsi="宋体"/>
                <w:b/>
                <w:bCs w:val="0"/>
                <w:szCs w:val="21"/>
                <w:u w:val="single"/>
              </w:rPr>
              <w:t>注：磋商供应商应按以上要求提供材料复印件加盖公章，否则其内容将不予承认，其报价文件作无效标处理。如各类证件在年检、升级、变更的，不能提供的，应有相应的主管部门出具的书面材料复印件加盖公章。</w:t>
            </w:r>
            <w:bookmarkEnd w:id="20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2" w:hRule="atLeast"/>
        </w:trPr>
        <w:tc>
          <w:tcPr>
            <w:tcW w:w="568" w:type="dxa"/>
            <w:noWrap w:val="0"/>
            <w:vAlign w:val="center"/>
          </w:tcPr>
          <w:p>
            <w:pPr>
              <w:keepNext w:val="0"/>
              <w:keepLines w:val="0"/>
              <w:pageBreakBefore w:val="0"/>
              <w:widowControl/>
              <w:kinsoku/>
              <w:wordWrap/>
              <w:overflowPunct/>
              <w:topLinePunct w:val="0"/>
              <w:autoSpaceDE/>
              <w:autoSpaceDN/>
              <w:bidi w:val="0"/>
              <w:adjustRightInd/>
              <w:spacing w:line="300" w:lineRule="auto"/>
              <w:ind w:right="3"/>
              <w:jc w:val="center"/>
              <w:textAlignment w:val="auto"/>
              <w:rPr>
                <w:rFonts w:ascii="宋体" w:hAnsi="宋体" w:cs="宋体"/>
                <w:szCs w:val="21"/>
              </w:rPr>
            </w:pPr>
            <w:r>
              <w:rPr>
                <w:rFonts w:ascii="宋体" w:hAnsi="宋体"/>
                <w:kern w:val="2"/>
                <w:szCs w:val="21"/>
              </w:rPr>
              <w:t>3</w:t>
            </w:r>
          </w:p>
        </w:tc>
        <w:tc>
          <w:tcPr>
            <w:tcW w:w="975" w:type="dxa"/>
            <w:noWrap w:val="0"/>
            <w:vAlign w:val="center"/>
          </w:tcPr>
          <w:p>
            <w:pPr>
              <w:keepNext w:val="0"/>
              <w:keepLines w:val="0"/>
              <w:pageBreakBefore w:val="0"/>
              <w:widowControl/>
              <w:kinsoku/>
              <w:wordWrap/>
              <w:overflowPunct/>
              <w:topLinePunct w:val="0"/>
              <w:autoSpaceDE/>
              <w:autoSpaceDN/>
              <w:bidi w:val="0"/>
              <w:adjustRightInd/>
              <w:spacing w:line="300" w:lineRule="auto"/>
              <w:ind w:right="3"/>
              <w:jc w:val="center"/>
              <w:textAlignment w:val="auto"/>
              <w:rPr>
                <w:rFonts w:ascii="宋体" w:hAnsi="宋体"/>
                <w:b/>
                <w:szCs w:val="21"/>
              </w:rPr>
            </w:pPr>
            <w:r>
              <w:rPr>
                <w:rFonts w:hint="eastAsia" w:ascii="宋体" w:hAnsi="宋体"/>
                <w:b/>
                <w:kern w:val="2"/>
                <w:szCs w:val="21"/>
              </w:rPr>
              <w:t>无效标条款</w:t>
            </w:r>
          </w:p>
        </w:tc>
        <w:tc>
          <w:tcPr>
            <w:tcW w:w="7671" w:type="dxa"/>
            <w:gridSpan w:val="2"/>
            <w:noWrap w:val="0"/>
            <w:vAlign w:val="center"/>
          </w:tcPr>
          <w:p>
            <w:pPr>
              <w:keepNext w:val="0"/>
              <w:keepLines w:val="0"/>
              <w:pageBreakBefore w:val="0"/>
              <w:widowControl/>
              <w:tabs>
                <w:tab w:val="left" w:pos="1123"/>
              </w:tabs>
              <w:kinsoku/>
              <w:wordWrap/>
              <w:overflowPunct/>
              <w:topLinePunct w:val="0"/>
              <w:autoSpaceDE/>
              <w:autoSpaceDN/>
              <w:bidi w:val="0"/>
              <w:adjustRightInd/>
              <w:spacing w:line="300" w:lineRule="auto"/>
              <w:textAlignment w:val="auto"/>
              <w:rPr>
                <w:rFonts w:hint="eastAsia" w:ascii="宋体" w:hAnsi="宋体" w:eastAsia="宋体" w:cs="宋体"/>
                <w:bCs/>
                <w:w w:val="100"/>
                <w:kern w:val="2"/>
                <w:sz w:val="21"/>
                <w:szCs w:val="21"/>
              </w:rPr>
            </w:pPr>
            <w:r>
              <w:rPr>
                <w:rFonts w:hint="eastAsia" w:ascii="宋体" w:hAnsi="宋体" w:eastAsia="宋体" w:cs="宋体"/>
                <w:bCs/>
                <w:w w:val="100"/>
                <w:kern w:val="2"/>
                <w:sz w:val="21"/>
                <w:szCs w:val="21"/>
              </w:rPr>
              <w:t>▲磋商响应文件出现下列情况，按照无效投标处理：</w:t>
            </w:r>
          </w:p>
          <w:p>
            <w:pPr>
              <w:keepNext w:val="0"/>
              <w:keepLines w:val="0"/>
              <w:pageBreakBefore w:val="0"/>
              <w:widowControl/>
              <w:tabs>
                <w:tab w:val="left" w:pos="567"/>
                <w:tab w:val="left" w:pos="1123"/>
              </w:tabs>
              <w:kinsoku/>
              <w:wordWrap/>
              <w:overflowPunct/>
              <w:topLinePunct w:val="0"/>
              <w:autoSpaceDE/>
              <w:autoSpaceDN/>
              <w:bidi w:val="0"/>
              <w:adjustRightInd/>
              <w:spacing w:line="300" w:lineRule="auto"/>
              <w:textAlignment w:val="auto"/>
              <w:rPr>
                <w:rFonts w:hint="eastAsia" w:ascii="宋体" w:hAnsi="宋体" w:eastAsia="宋体" w:cs="宋体"/>
                <w:bCs/>
                <w:w w:val="100"/>
                <w:kern w:val="2"/>
                <w:sz w:val="21"/>
                <w:szCs w:val="21"/>
              </w:rPr>
            </w:pPr>
            <w:r>
              <w:rPr>
                <w:rFonts w:hint="eastAsia" w:ascii="宋体" w:hAnsi="宋体" w:eastAsia="宋体" w:cs="宋体"/>
                <w:bCs/>
                <w:w w:val="100"/>
                <w:kern w:val="2"/>
                <w:sz w:val="21"/>
                <w:szCs w:val="21"/>
              </w:rPr>
              <w:t>（1）磋商供应商或</w:t>
            </w:r>
            <w:r>
              <w:rPr>
                <w:rFonts w:hint="eastAsia" w:ascii="宋体" w:hAnsi="宋体" w:cs="宋体"/>
                <w:bCs/>
                <w:w w:val="100"/>
                <w:kern w:val="2"/>
                <w:sz w:val="21"/>
                <w:szCs w:val="21"/>
                <w:lang w:eastAsia="zh-CN"/>
              </w:rPr>
              <w:t>磋商响应文件</w:t>
            </w:r>
            <w:r>
              <w:rPr>
                <w:rFonts w:hint="eastAsia" w:ascii="宋体" w:hAnsi="宋体" w:eastAsia="宋体" w:cs="宋体"/>
                <w:bCs/>
                <w:w w:val="100"/>
                <w:kern w:val="2"/>
                <w:sz w:val="21"/>
                <w:szCs w:val="21"/>
              </w:rPr>
              <w:t>出现下列情况之一的，其磋商响应将被否决：</w:t>
            </w:r>
          </w:p>
          <w:p>
            <w:pPr>
              <w:keepNext w:val="0"/>
              <w:keepLines w:val="0"/>
              <w:pageBreakBefore w:val="0"/>
              <w:widowControl/>
              <w:tabs>
                <w:tab w:val="left" w:pos="567"/>
                <w:tab w:val="left" w:pos="1123"/>
              </w:tabs>
              <w:kinsoku/>
              <w:wordWrap/>
              <w:overflowPunct/>
              <w:topLinePunct w:val="0"/>
              <w:autoSpaceDE/>
              <w:autoSpaceDN/>
              <w:bidi w:val="0"/>
              <w:adjustRightInd/>
              <w:spacing w:line="300" w:lineRule="auto"/>
              <w:ind w:left="0" w:leftChars="0" w:firstLine="0" w:firstLineChars="0"/>
              <w:textAlignment w:val="auto"/>
              <w:rPr>
                <w:rFonts w:hint="eastAsia" w:ascii="宋体" w:hAnsi="宋体" w:eastAsia="宋体" w:cs="宋体"/>
                <w:bCs/>
                <w:w w:val="100"/>
                <w:kern w:val="2"/>
                <w:sz w:val="21"/>
                <w:szCs w:val="21"/>
              </w:rPr>
            </w:pPr>
            <w:r>
              <w:rPr>
                <w:rFonts w:hint="eastAsia" w:ascii="宋体" w:hAnsi="宋体" w:eastAsia="宋体" w:cs="宋体"/>
                <w:bCs/>
                <w:w w:val="100"/>
                <w:kern w:val="2"/>
                <w:sz w:val="21"/>
                <w:szCs w:val="21"/>
              </w:rPr>
              <w:t xml:space="preserve">1)未在磋商文件规定的时间内投标报名的； </w:t>
            </w:r>
          </w:p>
          <w:p>
            <w:pPr>
              <w:keepNext w:val="0"/>
              <w:keepLines w:val="0"/>
              <w:pageBreakBefore w:val="0"/>
              <w:widowControl/>
              <w:tabs>
                <w:tab w:val="left" w:pos="567"/>
                <w:tab w:val="left" w:pos="1123"/>
              </w:tabs>
              <w:kinsoku/>
              <w:wordWrap/>
              <w:overflowPunct/>
              <w:topLinePunct w:val="0"/>
              <w:autoSpaceDE/>
              <w:autoSpaceDN/>
              <w:bidi w:val="0"/>
              <w:adjustRightInd/>
              <w:spacing w:line="300" w:lineRule="auto"/>
              <w:ind w:firstLine="420" w:firstLineChars="200"/>
              <w:textAlignment w:val="auto"/>
              <w:rPr>
                <w:rFonts w:hint="eastAsia" w:ascii="宋体" w:hAnsi="宋体" w:eastAsia="宋体" w:cs="宋体"/>
                <w:bCs/>
                <w:w w:val="100"/>
                <w:sz w:val="21"/>
                <w:szCs w:val="21"/>
              </w:rPr>
            </w:pPr>
            <w:r>
              <w:rPr>
                <w:rFonts w:hint="eastAsia" w:ascii="宋体" w:hAnsi="宋体" w:eastAsia="宋体" w:cs="宋体"/>
                <w:bCs/>
                <w:w w:val="100"/>
                <w:kern w:val="2"/>
                <w:sz w:val="21"/>
                <w:szCs w:val="21"/>
              </w:rPr>
              <w:t>2)</w:t>
            </w:r>
            <w:r>
              <w:rPr>
                <w:rFonts w:hint="eastAsia" w:ascii="宋体" w:hAnsi="宋体" w:eastAsia="宋体" w:cs="宋体"/>
                <w:bCs/>
                <w:w w:val="100"/>
                <w:sz w:val="21"/>
                <w:szCs w:val="21"/>
              </w:rPr>
              <w:t>存在磋商文件第二部分磋商须知第17.4项规定的情形；</w:t>
            </w:r>
          </w:p>
          <w:p>
            <w:pPr>
              <w:keepNext w:val="0"/>
              <w:keepLines w:val="0"/>
              <w:pageBreakBefore w:val="0"/>
              <w:widowControl/>
              <w:tabs>
                <w:tab w:val="left" w:pos="567"/>
                <w:tab w:val="left" w:pos="1123"/>
              </w:tabs>
              <w:kinsoku/>
              <w:wordWrap/>
              <w:overflowPunct/>
              <w:topLinePunct w:val="0"/>
              <w:autoSpaceDE/>
              <w:autoSpaceDN/>
              <w:bidi w:val="0"/>
              <w:adjustRightInd/>
              <w:spacing w:line="300" w:lineRule="auto"/>
              <w:ind w:firstLine="420" w:firstLineChars="200"/>
              <w:textAlignment w:val="auto"/>
              <w:rPr>
                <w:rFonts w:hint="eastAsia" w:ascii="宋体" w:hAnsi="宋体" w:eastAsia="宋体" w:cs="宋体"/>
                <w:w w:val="100"/>
                <w:sz w:val="21"/>
                <w:szCs w:val="21"/>
              </w:rPr>
            </w:pPr>
            <w:r>
              <w:rPr>
                <w:rFonts w:hint="eastAsia" w:ascii="宋体" w:hAnsi="宋体" w:eastAsia="宋体" w:cs="宋体"/>
                <w:bCs/>
                <w:w w:val="100"/>
                <w:kern w:val="2"/>
                <w:sz w:val="21"/>
                <w:szCs w:val="21"/>
              </w:rPr>
              <w:t>3）</w:t>
            </w:r>
            <w:r>
              <w:rPr>
                <w:rFonts w:hint="eastAsia" w:ascii="宋体" w:hAnsi="宋体" w:eastAsia="宋体" w:cs="宋体"/>
                <w:w w:val="100"/>
                <w:sz w:val="21"/>
                <w:szCs w:val="21"/>
              </w:rPr>
              <w:t>磋商供应商未参加开标的（具体详见磋商文件第二部分（六）磋商与评审第21.2项规定）；</w:t>
            </w:r>
          </w:p>
          <w:p>
            <w:pPr>
              <w:keepNext w:val="0"/>
              <w:keepLines w:val="0"/>
              <w:pageBreakBefore w:val="0"/>
              <w:widowControl/>
              <w:tabs>
                <w:tab w:val="left" w:pos="567"/>
                <w:tab w:val="left" w:pos="1123"/>
              </w:tabs>
              <w:kinsoku/>
              <w:wordWrap/>
              <w:overflowPunct/>
              <w:topLinePunct w:val="0"/>
              <w:autoSpaceDE/>
              <w:autoSpaceDN/>
              <w:bidi w:val="0"/>
              <w:adjustRightInd/>
              <w:spacing w:line="300" w:lineRule="auto"/>
              <w:ind w:firstLine="420" w:firstLineChars="200"/>
              <w:textAlignment w:val="auto"/>
              <w:rPr>
                <w:rFonts w:hint="eastAsia" w:ascii="宋体" w:hAnsi="宋体" w:eastAsia="宋体" w:cs="宋体"/>
                <w:bCs/>
                <w:w w:val="100"/>
                <w:sz w:val="21"/>
                <w:szCs w:val="21"/>
              </w:rPr>
            </w:pPr>
            <w:r>
              <w:rPr>
                <w:rFonts w:hint="eastAsia" w:ascii="宋体" w:hAnsi="宋体" w:eastAsia="宋体" w:cs="宋体"/>
                <w:w w:val="100"/>
                <w:sz w:val="21"/>
                <w:szCs w:val="21"/>
              </w:rPr>
              <w:t>4）</w:t>
            </w:r>
            <w:r>
              <w:rPr>
                <w:rFonts w:hint="eastAsia" w:ascii="宋体" w:hAnsi="宋体" w:eastAsia="宋体" w:cs="宋体"/>
                <w:bCs/>
                <w:w w:val="100"/>
                <w:sz w:val="21"/>
                <w:szCs w:val="21"/>
              </w:rPr>
              <w:t>投标报价不是固定价或超过最高投标限价的；</w:t>
            </w:r>
          </w:p>
          <w:p>
            <w:pPr>
              <w:keepNext w:val="0"/>
              <w:keepLines w:val="0"/>
              <w:pageBreakBefore w:val="0"/>
              <w:widowControl/>
              <w:tabs>
                <w:tab w:val="left" w:pos="567"/>
                <w:tab w:val="left" w:pos="1123"/>
              </w:tabs>
              <w:kinsoku/>
              <w:wordWrap/>
              <w:overflowPunct/>
              <w:topLinePunct w:val="0"/>
              <w:autoSpaceDE/>
              <w:autoSpaceDN/>
              <w:bidi w:val="0"/>
              <w:adjustRightInd/>
              <w:spacing w:line="300" w:lineRule="auto"/>
              <w:ind w:firstLine="420" w:firstLineChars="200"/>
              <w:textAlignment w:val="auto"/>
              <w:rPr>
                <w:rFonts w:hint="eastAsia" w:ascii="宋体" w:hAnsi="宋体" w:eastAsia="宋体" w:cs="宋体"/>
                <w:bCs/>
                <w:w w:val="100"/>
                <w:kern w:val="2"/>
                <w:sz w:val="21"/>
                <w:szCs w:val="21"/>
              </w:rPr>
            </w:pPr>
            <w:r>
              <w:rPr>
                <w:rFonts w:hint="eastAsia" w:ascii="宋体" w:hAnsi="宋体" w:eastAsia="宋体" w:cs="宋体"/>
                <w:bCs/>
                <w:w w:val="100"/>
                <w:sz w:val="21"/>
                <w:szCs w:val="21"/>
              </w:rPr>
              <w:t>5）在符合性评审中，磋商小组认定磋商响应文件任一项评审因素不符合磋商文件要求的</w:t>
            </w:r>
            <w:r>
              <w:rPr>
                <w:rFonts w:hint="eastAsia" w:ascii="宋体" w:hAnsi="宋体" w:eastAsia="宋体" w:cs="宋体"/>
                <w:bCs/>
                <w:w w:val="100"/>
                <w:kern w:val="2"/>
                <w:sz w:val="21"/>
                <w:szCs w:val="21"/>
              </w:rPr>
              <w:t>。</w:t>
            </w:r>
          </w:p>
          <w:p>
            <w:pPr>
              <w:keepNext w:val="0"/>
              <w:keepLines w:val="0"/>
              <w:pageBreakBefore w:val="0"/>
              <w:widowControl/>
              <w:tabs>
                <w:tab w:val="left" w:pos="567"/>
                <w:tab w:val="left" w:pos="1123"/>
              </w:tabs>
              <w:kinsoku/>
              <w:wordWrap/>
              <w:overflowPunct/>
              <w:topLinePunct w:val="0"/>
              <w:autoSpaceDE/>
              <w:autoSpaceDN/>
              <w:bidi w:val="0"/>
              <w:adjustRightInd/>
              <w:spacing w:line="300" w:lineRule="auto"/>
              <w:textAlignment w:val="auto"/>
              <w:rPr>
                <w:rFonts w:hint="eastAsia" w:ascii="宋体" w:hAnsi="宋体" w:eastAsia="宋体" w:cs="宋体"/>
                <w:bCs/>
                <w:w w:val="100"/>
                <w:kern w:val="2"/>
                <w:sz w:val="21"/>
                <w:szCs w:val="21"/>
              </w:rPr>
            </w:pPr>
            <w:r>
              <w:rPr>
                <w:rFonts w:hint="eastAsia" w:ascii="宋体" w:hAnsi="宋体" w:eastAsia="宋体" w:cs="宋体"/>
                <w:bCs/>
                <w:w w:val="100"/>
                <w:kern w:val="2"/>
                <w:sz w:val="21"/>
                <w:szCs w:val="21"/>
              </w:rPr>
              <w:t>（2）磋商供应商或其磋商响应文件有下列情形之一的，其磋商响应文件将被否决：</w:t>
            </w:r>
          </w:p>
          <w:p>
            <w:pPr>
              <w:keepNext w:val="0"/>
              <w:keepLines w:val="0"/>
              <w:pageBreakBefore w:val="0"/>
              <w:widowControl/>
              <w:tabs>
                <w:tab w:val="left" w:pos="567"/>
                <w:tab w:val="left" w:pos="1123"/>
              </w:tabs>
              <w:kinsoku/>
              <w:wordWrap/>
              <w:overflowPunct/>
              <w:topLinePunct w:val="0"/>
              <w:autoSpaceDE/>
              <w:autoSpaceDN/>
              <w:bidi w:val="0"/>
              <w:adjustRightInd/>
              <w:spacing w:line="300" w:lineRule="auto"/>
              <w:ind w:firstLine="420" w:firstLineChars="200"/>
              <w:textAlignment w:val="auto"/>
              <w:rPr>
                <w:rFonts w:hint="eastAsia" w:ascii="宋体" w:hAnsi="宋体" w:eastAsia="宋体" w:cs="宋体"/>
                <w:bCs/>
                <w:w w:val="100"/>
                <w:kern w:val="2"/>
                <w:sz w:val="21"/>
                <w:szCs w:val="21"/>
              </w:rPr>
            </w:pPr>
            <w:r>
              <w:rPr>
                <w:rFonts w:hint="eastAsia" w:ascii="宋体" w:hAnsi="宋体" w:eastAsia="宋体" w:cs="宋体"/>
                <w:bCs/>
                <w:w w:val="100"/>
                <w:kern w:val="2"/>
                <w:sz w:val="21"/>
                <w:szCs w:val="21"/>
              </w:rPr>
              <w:t>1)在资格评审中，磋商小组认定磋商响应文件任一项评审因素不符合磋商文件要求的；</w:t>
            </w:r>
          </w:p>
          <w:p>
            <w:pPr>
              <w:keepNext w:val="0"/>
              <w:keepLines w:val="0"/>
              <w:pageBreakBefore w:val="0"/>
              <w:widowControl/>
              <w:tabs>
                <w:tab w:val="left" w:pos="567"/>
                <w:tab w:val="left" w:pos="1123"/>
              </w:tabs>
              <w:kinsoku/>
              <w:wordWrap/>
              <w:overflowPunct/>
              <w:topLinePunct w:val="0"/>
              <w:autoSpaceDE/>
              <w:autoSpaceDN/>
              <w:bidi w:val="0"/>
              <w:adjustRightInd/>
              <w:spacing w:line="300" w:lineRule="auto"/>
              <w:ind w:firstLine="420" w:firstLineChars="200"/>
              <w:textAlignment w:val="auto"/>
              <w:rPr>
                <w:rFonts w:hint="eastAsia" w:ascii="宋体" w:hAnsi="宋体" w:eastAsia="宋体" w:cs="宋体"/>
                <w:bCs/>
                <w:w w:val="100"/>
                <w:kern w:val="2"/>
                <w:sz w:val="21"/>
                <w:szCs w:val="21"/>
              </w:rPr>
            </w:pPr>
            <w:r>
              <w:rPr>
                <w:rFonts w:hint="eastAsia" w:ascii="宋体" w:hAnsi="宋体" w:eastAsia="宋体" w:cs="宋体"/>
                <w:bCs/>
                <w:w w:val="100"/>
                <w:kern w:val="2"/>
                <w:sz w:val="21"/>
                <w:szCs w:val="21"/>
              </w:rPr>
              <w:t>2)</w:t>
            </w:r>
            <w:r>
              <w:rPr>
                <w:rFonts w:hint="eastAsia" w:ascii="宋体" w:hAnsi="宋体" w:eastAsia="宋体" w:cs="宋体"/>
                <w:bCs/>
                <w:w w:val="100"/>
                <w:sz w:val="21"/>
                <w:szCs w:val="21"/>
              </w:rPr>
              <w:t>税金作为不可竞争性费用</w:t>
            </w:r>
            <w:r>
              <w:rPr>
                <w:rFonts w:hint="eastAsia" w:ascii="宋体" w:hAnsi="宋体" w:eastAsia="宋体" w:cs="宋体"/>
                <w:bCs/>
                <w:w w:val="100"/>
                <w:kern w:val="2"/>
                <w:sz w:val="21"/>
                <w:szCs w:val="21"/>
              </w:rPr>
              <w:t>，磋商供应商在报价时将其变动的；</w:t>
            </w:r>
          </w:p>
          <w:p>
            <w:pPr>
              <w:keepNext w:val="0"/>
              <w:keepLines w:val="0"/>
              <w:pageBreakBefore w:val="0"/>
              <w:widowControl/>
              <w:tabs>
                <w:tab w:val="left" w:pos="567"/>
                <w:tab w:val="left" w:pos="1123"/>
              </w:tabs>
              <w:kinsoku/>
              <w:wordWrap/>
              <w:overflowPunct/>
              <w:topLinePunct w:val="0"/>
              <w:autoSpaceDE/>
              <w:autoSpaceDN/>
              <w:bidi w:val="0"/>
              <w:adjustRightInd/>
              <w:spacing w:line="300" w:lineRule="auto"/>
              <w:ind w:firstLine="420" w:firstLineChars="200"/>
              <w:textAlignment w:val="auto"/>
              <w:rPr>
                <w:rFonts w:hint="eastAsia" w:ascii="宋体" w:hAnsi="宋体" w:eastAsia="宋体" w:cs="宋体"/>
                <w:bCs/>
                <w:spacing w:val="-8"/>
                <w:w w:val="100"/>
                <w:kern w:val="2"/>
                <w:sz w:val="21"/>
                <w:szCs w:val="21"/>
              </w:rPr>
            </w:pPr>
            <w:r>
              <w:rPr>
                <w:rFonts w:hint="eastAsia" w:ascii="宋体" w:hAnsi="宋体" w:eastAsia="宋体" w:cs="宋体"/>
                <w:bCs/>
                <w:w w:val="100"/>
                <w:kern w:val="2"/>
                <w:sz w:val="21"/>
                <w:szCs w:val="21"/>
              </w:rPr>
              <w:t>3)</w:t>
            </w:r>
            <w:r>
              <w:rPr>
                <w:rFonts w:hint="eastAsia" w:ascii="宋体" w:hAnsi="宋体" w:eastAsia="宋体" w:cs="宋体"/>
                <w:bCs/>
                <w:w w:val="100"/>
                <w:kern w:val="2"/>
                <w:sz w:val="21"/>
                <w:szCs w:val="21"/>
              </w:rPr>
              <w:t>磋商供应商</w:t>
            </w:r>
            <w:r>
              <w:rPr>
                <w:rFonts w:hint="eastAsia" w:ascii="宋体" w:hAnsi="宋体" w:eastAsia="宋体" w:cs="宋体"/>
                <w:bCs/>
                <w:spacing w:val="-8"/>
                <w:w w:val="100"/>
                <w:kern w:val="2"/>
                <w:sz w:val="21"/>
                <w:szCs w:val="21"/>
              </w:rPr>
              <w:t>的投标报价中安全文明施工基本费费率低于磋商文件规定费率</w:t>
            </w:r>
            <w:r>
              <w:rPr>
                <w:rFonts w:hint="eastAsia" w:ascii="宋体" w:hAnsi="宋体" w:cs="宋体"/>
                <w:bCs/>
                <w:spacing w:val="-8"/>
                <w:w w:val="100"/>
                <w:kern w:val="2"/>
                <w:sz w:val="21"/>
                <w:szCs w:val="21"/>
                <w:lang w:eastAsia="zh-CN"/>
              </w:rPr>
              <w:t>（</w:t>
            </w:r>
            <w:r>
              <w:rPr>
                <w:rFonts w:hint="eastAsia" w:ascii="宋体" w:hAnsi="宋体" w:cs="宋体"/>
                <w:bCs/>
                <w:spacing w:val="-8"/>
                <w:w w:val="100"/>
                <w:kern w:val="2"/>
                <w:sz w:val="21"/>
                <w:szCs w:val="21"/>
                <w:lang w:val="en-US" w:eastAsia="zh-CN"/>
              </w:rPr>
              <w:t>6.39%</w:t>
            </w:r>
            <w:r>
              <w:rPr>
                <w:rFonts w:hint="eastAsia" w:ascii="宋体" w:hAnsi="宋体" w:cs="宋体"/>
                <w:bCs/>
                <w:spacing w:val="-8"/>
                <w:w w:val="100"/>
                <w:kern w:val="2"/>
                <w:sz w:val="21"/>
                <w:szCs w:val="21"/>
                <w:lang w:eastAsia="zh-CN"/>
              </w:rPr>
              <w:t>）</w:t>
            </w:r>
            <w:r>
              <w:rPr>
                <w:rFonts w:hint="eastAsia" w:ascii="宋体" w:hAnsi="宋体" w:eastAsia="宋体" w:cs="宋体"/>
                <w:bCs/>
                <w:spacing w:val="-8"/>
                <w:w w:val="100"/>
                <w:kern w:val="2"/>
                <w:sz w:val="21"/>
                <w:szCs w:val="21"/>
              </w:rPr>
              <w:t>的下限；</w:t>
            </w:r>
          </w:p>
          <w:p>
            <w:pPr>
              <w:keepNext w:val="0"/>
              <w:keepLines w:val="0"/>
              <w:pageBreakBefore w:val="0"/>
              <w:widowControl/>
              <w:tabs>
                <w:tab w:val="left" w:pos="567"/>
                <w:tab w:val="left" w:pos="1123"/>
              </w:tabs>
              <w:kinsoku/>
              <w:wordWrap/>
              <w:overflowPunct/>
              <w:topLinePunct w:val="0"/>
              <w:autoSpaceDE/>
              <w:autoSpaceDN/>
              <w:bidi w:val="0"/>
              <w:adjustRightInd/>
              <w:spacing w:line="300" w:lineRule="auto"/>
              <w:ind w:firstLine="420" w:firstLineChars="200"/>
              <w:textAlignment w:val="auto"/>
              <w:rPr>
                <w:rFonts w:hint="eastAsia" w:ascii="宋体" w:hAnsi="宋体" w:eastAsia="宋体" w:cs="宋体"/>
                <w:bCs/>
                <w:w w:val="100"/>
                <w:kern w:val="2"/>
                <w:sz w:val="21"/>
                <w:szCs w:val="21"/>
              </w:rPr>
            </w:pPr>
            <w:r>
              <w:rPr>
                <w:rFonts w:hint="eastAsia" w:ascii="宋体" w:hAnsi="宋体" w:eastAsia="宋体" w:cs="宋体"/>
                <w:bCs/>
                <w:w w:val="100"/>
                <w:kern w:val="2"/>
                <w:sz w:val="21"/>
                <w:szCs w:val="21"/>
              </w:rPr>
              <w:t>4)</w:t>
            </w:r>
            <w:r>
              <w:rPr>
                <w:rFonts w:hint="eastAsia" w:ascii="宋体" w:hAnsi="宋体" w:eastAsia="宋体" w:cs="宋体"/>
                <w:bCs/>
                <w:w w:val="100"/>
                <w:sz w:val="21"/>
                <w:szCs w:val="21"/>
              </w:rPr>
              <w:t xml:space="preserve"> </w:t>
            </w:r>
            <w:r>
              <w:rPr>
                <w:rFonts w:hint="eastAsia" w:ascii="宋体" w:hAnsi="宋体" w:eastAsia="宋体" w:cs="宋体"/>
                <w:bCs/>
                <w:w w:val="100"/>
                <w:sz w:val="21"/>
                <w:szCs w:val="21"/>
                <w:lang w:eastAsia="zh-CN"/>
              </w:rPr>
              <w:t>磋商供应商</w:t>
            </w:r>
            <w:r>
              <w:rPr>
                <w:rFonts w:hint="eastAsia" w:ascii="宋体" w:hAnsi="宋体" w:eastAsia="宋体" w:cs="宋体"/>
                <w:bCs/>
                <w:w w:val="100"/>
                <w:sz w:val="21"/>
                <w:szCs w:val="21"/>
              </w:rPr>
              <w:t>的投标报价中规费费率低于磋商文件规定的标准费率</w:t>
            </w:r>
            <w:r>
              <w:rPr>
                <w:rFonts w:hint="eastAsia" w:ascii="宋体" w:hAnsi="宋体" w:cs="宋体"/>
                <w:bCs/>
                <w:w w:val="100"/>
                <w:sz w:val="21"/>
                <w:szCs w:val="21"/>
                <w:lang w:eastAsia="zh-CN"/>
              </w:rPr>
              <w:t>（</w:t>
            </w:r>
            <w:r>
              <w:rPr>
                <w:rFonts w:hint="eastAsia" w:ascii="宋体" w:hAnsi="宋体" w:cs="宋体"/>
                <w:bCs/>
                <w:w w:val="100"/>
                <w:sz w:val="21"/>
                <w:szCs w:val="21"/>
                <w:lang w:val="en-US" w:eastAsia="zh-CN"/>
              </w:rPr>
              <w:t>30.63</w:t>
            </w:r>
            <w:r>
              <w:rPr>
                <w:rFonts w:hint="eastAsia" w:ascii="宋体" w:hAnsi="宋体" w:cs="宋体"/>
                <w:bCs/>
                <w:w w:val="100"/>
                <w:sz w:val="21"/>
                <w:szCs w:val="21"/>
                <w:lang w:eastAsia="zh-CN"/>
              </w:rPr>
              <w:t>）</w:t>
            </w:r>
            <w:r>
              <w:rPr>
                <w:rFonts w:hint="eastAsia" w:ascii="宋体" w:hAnsi="宋体" w:eastAsia="宋体" w:cs="宋体"/>
                <w:bCs/>
                <w:w w:val="100"/>
                <w:sz w:val="21"/>
                <w:szCs w:val="21"/>
              </w:rPr>
              <w:t>的30%；</w:t>
            </w:r>
          </w:p>
          <w:p>
            <w:pPr>
              <w:keepNext w:val="0"/>
              <w:keepLines w:val="0"/>
              <w:pageBreakBefore w:val="0"/>
              <w:widowControl/>
              <w:tabs>
                <w:tab w:val="left" w:pos="567"/>
                <w:tab w:val="left" w:pos="1123"/>
              </w:tabs>
              <w:kinsoku/>
              <w:wordWrap/>
              <w:overflowPunct/>
              <w:topLinePunct w:val="0"/>
              <w:autoSpaceDE/>
              <w:autoSpaceDN/>
              <w:bidi w:val="0"/>
              <w:adjustRightInd/>
              <w:spacing w:line="300" w:lineRule="auto"/>
              <w:ind w:firstLine="420" w:firstLineChars="200"/>
              <w:textAlignment w:val="auto"/>
              <w:rPr>
                <w:rFonts w:hint="eastAsia" w:ascii="宋体" w:hAnsi="宋体" w:eastAsia="宋体" w:cs="宋体"/>
                <w:bCs/>
                <w:w w:val="100"/>
                <w:kern w:val="2"/>
                <w:sz w:val="21"/>
                <w:szCs w:val="21"/>
              </w:rPr>
            </w:pPr>
            <w:r>
              <w:rPr>
                <w:rFonts w:hint="eastAsia" w:ascii="宋体" w:hAnsi="宋体" w:eastAsia="宋体" w:cs="宋体"/>
                <w:bCs/>
                <w:w w:val="100"/>
                <w:kern w:val="2"/>
                <w:sz w:val="21"/>
                <w:szCs w:val="21"/>
              </w:rPr>
              <w:t>5）工程量清单提供的参考品牌并不是唯一标准，磋商小组认定</w:t>
            </w:r>
            <w:r>
              <w:rPr>
                <w:rFonts w:hint="eastAsia" w:ascii="宋体" w:hAnsi="宋体" w:cs="宋体"/>
                <w:bCs/>
                <w:w w:val="100"/>
                <w:kern w:val="2"/>
                <w:sz w:val="21"/>
                <w:szCs w:val="21"/>
                <w:lang w:eastAsia="zh-CN"/>
              </w:rPr>
              <w:t>磋商供应商</w:t>
            </w:r>
            <w:r>
              <w:rPr>
                <w:rFonts w:hint="eastAsia" w:ascii="宋体" w:hAnsi="宋体" w:eastAsia="宋体" w:cs="宋体"/>
                <w:bCs/>
                <w:w w:val="100"/>
                <w:kern w:val="2"/>
                <w:sz w:val="21"/>
                <w:szCs w:val="21"/>
              </w:rPr>
              <w:t>提供品牌低于清单要求的；</w:t>
            </w:r>
          </w:p>
          <w:p>
            <w:pPr>
              <w:keepNext w:val="0"/>
              <w:keepLines w:val="0"/>
              <w:pageBreakBefore w:val="0"/>
              <w:widowControl/>
              <w:tabs>
                <w:tab w:val="left" w:pos="567"/>
                <w:tab w:val="left" w:pos="1123"/>
              </w:tabs>
              <w:kinsoku/>
              <w:wordWrap/>
              <w:overflowPunct/>
              <w:topLinePunct w:val="0"/>
              <w:autoSpaceDE/>
              <w:autoSpaceDN/>
              <w:bidi w:val="0"/>
              <w:adjustRightInd/>
              <w:spacing w:line="300" w:lineRule="auto"/>
              <w:ind w:firstLine="420" w:firstLineChars="200"/>
              <w:jc w:val="both"/>
              <w:textAlignment w:val="auto"/>
              <w:rPr>
                <w:rFonts w:hint="eastAsia" w:ascii="宋体" w:hAnsi="宋体" w:eastAsia="宋体" w:cs="宋体"/>
                <w:bCs/>
                <w:w w:val="100"/>
                <w:kern w:val="2"/>
                <w:sz w:val="21"/>
                <w:szCs w:val="21"/>
              </w:rPr>
            </w:pPr>
            <w:r>
              <w:rPr>
                <w:rFonts w:hint="eastAsia" w:ascii="宋体" w:hAnsi="宋体" w:eastAsia="宋体" w:cs="宋体"/>
                <w:bCs/>
                <w:w w:val="100"/>
                <w:kern w:val="2"/>
                <w:sz w:val="21"/>
                <w:szCs w:val="21"/>
              </w:rPr>
              <w:t>6)在磋商结束前，磋商供应商发生重大变化或变更，未及时告知采购人或不再具备磋商文件规定的资格条件或者其投标影响招标公正性的；</w:t>
            </w:r>
          </w:p>
          <w:p>
            <w:pPr>
              <w:keepNext w:val="0"/>
              <w:keepLines w:val="0"/>
              <w:pageBreakBefore w:val="0"/>
              <w:widowControl/>
              <w:tabs>
                <w:tab w:val="left" w:pos="567"/>
                <w:tab w:val="left" w:pos="1123"/>
              </w:tabs>
              <w:kinsoku/>
              <w:wordWrap/>
              <w:overflowPunct/>
              <w:topLinePunct w:val="0"/>
              <w:autoSpaceDE/>
              <w:autoSpaceDN/>
              <w:bidi w:val="0"/>
              <w:adjustRightInd/>
              <w:spacing w:line="300" w:lineRule="auto"/>
              <w:ind w:firstLine="420" w:firstLineChars="200"/>
              <w:textAlignment w:val="auto"/>
              <w:rPr>
                <w:rFonts w:hint="eastAsia" w:ascii="宋体" w:hAnsi="宋体" w:eastAsia="宋体" w:cs="宋体"/>
                <w:bCs/>
                <w:w w:val="100"/>
                <w:kern w:val="2"/>
                <w:sz w:val="21"/>
                <w:szCs w:val="21"/>
              </w:rPr>
            </w:pPr>
            <w:r>
              <w:rPr>
                <w:rFonts w:hint="eastAsia" w:ascii="宋体" w:hAnsi="宋体" w:eastAsia="宋体" w:cs="宋体"/>
                <w:bCs/>
                <w:w w:val="100"/>
                <w:kern w:val="2"/>
                <w:sz w:val="21"/>
                <w:szCs w:val="21"/>
              </w:rPr>
              <w:t>7)</w:t>
            </w:r>
            <w:r>
              <w:rPr>
                <w:rFonts w:hint="eastAsia" w:ascii="宋体" w:hAnsi="宋体" w:eastAsia="宋体" w:cs="宋体"/>
                <w:bCs/>
                <w:w w:val="100"/>
                <w:sz w:val="21"/>
                <w:szCs w:val="21"/>
              </w:rPr>
              <w:t xml:space="preserve"> 使用通过受让或者租借等方式获取的资格、资质证书投标，或以其他方式弄虚作假的</w:t>
            </w:r>
            <w:r>
              <w:rPr>
                <w:rFonts w:hint="eastAsia" w:ascii="宋体" w:hAnsi="宋体" w:eastAsia="宋体" w:cs="宋体"/>
                <w:bCs/>
                <w:w w:val="100"/>
                <w:kern w:val="2"/>
                <w:sz w:val="21"/>
                <w:szCs w:val="21"/>
              </w:rPr>
              <w:t>；</w:t>
            </w:r>
          </w:p>
          <w:p>
            <w:pPr>
              <w:keepNext w:val="0"/>
              <w:keepLines w:val="0"/>
              <w:pageBreakBefore w:val="0"/>
              <w:widowControl/>
              <w:tabs>
                <w:tab w:val="left" w:pos="567"/>
                <w:tab w:val="left" w:pos="705"/>
              </w:tabs>
              <w:kinsoku/>
              <w:wordWrap/>
              <w:overflowPunct/>
              <w:topLinePunct w:val="0"/>
              <w:autoSpaceDE/>
              <w:autoSpaceDN/>
              <w:bidi w:val="0"/>
              <w:adjustRightInd/>
              <w:spacing w:line="300" w:lineRule="auto"/>
              <w:ind w:firstLine="420" w:firstLineChars="200"/>
              <w:textAlignment w:val="auto"/>
              <w:rPr>
                <w:rFonts w:hint="eastAsia" w:ascii="宋体" w:hAnsi="宋体" w:eastAsia="宋体" w:cs="宋体"/>
                <w:bCs/>
                <w:w w:val="100"/>
                <w:kern w:val="2"/>
                <w:sz w:val="21"/>
                <w:szCs w:val="21"/>
              </w:rPr>
            </w:pPr>
            <w:r>
              <w:rPr>
                <w:rFonts w:hint="eastAsia" w:ascii="宋体" w:hAnsi="宋体" w:eastAsia="宋体" w:cs="宋体"/>
                <w:bCs/>
                <w:w w:val="100"/>
                <w:kern w:val="2"/>
                <w:sz w:val="21"/>
                <w:szCs w:val="21"/>
              </w:rPr>
              <w:t>8)未按磋商文件要求盖章或签字的；</w:t>
            </w:r>
          </w:p>
          <w:p>
            <w:pPr>
              <w:keepNext w:val="0"/>
              <w:keepLines w:val="0"/>
              <w:pageBreakBefore w:val="0"/>
              <w:widowControl/>
              <w:tabs>
                <w:tab w:val="left" w:pos="567"/>
                <w:tab w:val="left" w:pos="705"/>
              </w:tabs>
              <w:kinsoku/>
              <w:wordWrap/>
              <w:overflowPunct/>
              <w:topLinePunct w:val="0"/>
              <w:autoSpaceDE/>
              <w:autoSpaceDN/>
              <w:bidi w:val="0"/>
              <w:adjustRightInd/>
              <w:spacing w:line="300" w:lineRule="auto"/>
              <w:ind w:firstLine="420" w:firstLineChars="200"/>
              <w:textAlignment w:val="auto"/>
              <w:rPr>
                <w:rFonts w:hint="eastAsia" w:ascii="宋体" w:hAnsi="宋体" w:eastAsia="宋体" w:cs="宋体"/>
                <w:bCs/>
                <w:w w:val="100"/>
                <w:sz w:val="21"/>
                <w:szCs w:val="21"/>
              </w:rPr>
            </w:pPr>
            <w:r>
              <w:rPr>
                <w:rFonts w:hint="eastAsia" w:ascii="宋体" w:hAnsi="宋体" w:eastAsia="宋体" w:cs="宋体"/>
                <w:bCs/>
                <w:w w:val="100"/>
                <w:kern w:val="2"/>
                <w:sz w:val="21"/>
                <w:szCs w:val="21"/>
              </w:rPr>
              <w:t>9）</w:t>
            </w:r>
            <w:r>
              <w:rPr>
                <w:rFonts w:hint="eastAsia" w:ascii="宋体" w:hAnsi="宋体" w:eastAsia="宋体" w:cs="宋体"/>
                <w:bCs/>
                <w:w w:val="100"/>
                <w:sz w:val="21"/>
                <w:szCs w:val="21"/>
              </w:rPr>
              <w:t>对</w:t>
            </w:r>
            <w:r>
              <w:rPr>
                <w:rFonts w:hint="eastAsia" w:ascii="宋体" w:hAnsi="宋体" w:eastAsia="宋体" w:cs="宋体"/>
                <w:w w:val="100"/>
                <w:sz w:val="21"/>
                <w:szCs w:val="21"/>
              </w:rPr>
              <w:t>暂列金额、暂估价或预备费</w:t>
            </w:r>
            <w:r>
              <w:rPr>
                <w:rFonts w:hint="eastAsia" w:ascii="宋体" w:hAnsi="宋体" w:eastAsia="宋体" w:cs="宋体"/>
                <w:bCs/>
                <w:w w:val="100"/>
                <w:sz w:val="21"/>
                <w:szCs w:val="21"/>
              </w:rPr>
              <w:t>进行修改、变动的；</w:t>
            </w:r>
          </w:p>
          <w:p>
            <w:pPr>
              <w:keepNext w:val="0"/>
              <w:keepLines w:val="0"/>
              <w:pageBreakBefore w:val="0"/>
              <w:widowControl/>
              <w:tabs>
                <w:tab w:val="left" w:pos="567"/>
                <w:tab w:val="left" w:pos="705"/>
              </w:tabs>
              <w:kinsoku/>
              <w:wordWrap/>
              <w:overflowPunct/>
              <w:topLinePunct w:val="0"/>
              <w:autoSpaceDE/>
              <w:autoSpaceDN/>
              <w:bidi w:val="0"/>
              <w:adjustRightInd/>
              <w:spacing w:line="300" w:lineRule="auto"/>
              <w:ind w:firstLine="420" w:firstLineChars="200"/>
              <w:textAlignment w:val="auto"/>
              <w:rPr>
                <w:rFonts w:hint="eastAsia" w:ascii="宋体" w:hAnsi="宋体" w:eastAsia="宋体" w:cs="宋体"/>
                <w:bCs/>
                <w:w w:val="100"/>
                <w:kern w:val="2"/>
                <w:sz w:val="21"/>
                <w:szCs w:val="21"/>
              </w:rPr>
            </w:pPr>
            <w:r>
              <w:rPr>
                <w:rFonts w:hint="eastAsia" w:ascii="宋体" w:hAnsi="宋体" w:eastAsia="宋体" w:cs="宋体"/>
                <w:bCs/>
                <w:w w:val="100"/>
                <w:kern w:val="2"/>
                <w:sz w:val="21"/>
                <w:szCs w:val="21"/>
              </w:rPr>
              <w:t>10）建造师简历表注明的建造师、提供的建造师证书、</w:t>
            </w:r>
            <w:r>
              <w:rPr>
                <w:rFonts w:hint="eastAsia" w:ascii="宋体" w:hAnsi="宋体" w:cs="宋体"/>
                <w:bCs/>
                <w:w w:val="100"/>
                <w:kern w:val="2"/>
                <w:sz w:val="21"/>
                <w:szCs w:val="21"/>
                <w:lang w:eastAsia="zh-CN"/>
              </w:rPr>
              <w:t>磋商函</w:t>
            </w:r>
            <w:r>
              <w:rPr>
                <w:rFonts w:hint="eastAsia" w:ascii="宋体" w:hAnsi="宋体" w:eastAsia="宋体" w:cs="宋体"/>
                <w:bCs/>
                <w:w w:val="100"/>
                <w:kern w:val="2"/>
                <w:sz w:val="21"/>
                <w:szCs w:val="21"/>
              </w:rPr>
              <w:t>中注明的建造师、报价一览表中注明的建造师任一处不一致的；</w:t>
            </w:r>
          </w:p>
          <w:p>
            <w:pPr>
              <w:keepNext w:val="0"/>
              <w:keepLines w:val="0"/>
              <w:pageBreakBefore w:val="0"/>
              <w:widowControl/>
              <w:tabs>
                <w:tab w:val="left" w:pos="567"/>
                <w:tab w:val="left" w:pos="705"/>
              </w:tabs>
              <w:kinsoku/>
              <w:wordWrap/>
              <w:overflowPunct/>
              <w:topLinePunct w:val="0"/>
              <w:autoSpaceDE/>
              <w:autoSpaceDN/>
              <w:bidi w:val="0"/>
              <w:adjustRightInd/>
              <w:spacing w:line="300" w:lineRule="auto"/>
              <w:ind w:firstLine="420" w:firstLineChars="200"/>
              <w:textAlignment w:val="auto"/>
              <w:rPr>
                <w:rFonts w:hint="eastAsia" w:ascii="宋体" w:hAnsi="宋体" w:eastAsia="宋体" w:cs="宋体"/>
                <w:bCs/>
                <w:w w:val="100"/>
                <w:kern w:val="2"/>
                <w:sz w:val="21"/>
                <w:szCs w:val="21"/>
              </w:rPr>
            </w:pPr>
            <w:r>
              <w:rPr>
                <w:rFonts w:hint="eastAsia" w:ascii="宋体" w:hAnsi="宋体" w:eastAsia="宋体" w:cs="宋体"/>
                <w:bCs/>
                <w:w w:val="100"/>
                <w:kern w:val="2"/>
                <w:sz w:val="21"/>
                <w:szCs w:val="21"/>
              </w:rPr>
              <w:t>11)</w:t>
            </w:r>
            <w:r>
              <w:rPr>
                <w:rFonts w:hint="eastAsia" w:ascii="宋体" w:hAnsi="宋体" w:eastAsia="宋体" w:cs="宋体"/>
                <w:bCs/>
                <w:w w:val="100"/>
                <w:kern w:val="2"/>
                <w:sz w:val="21"/>
                <w:szCs w:val="21"/>
              </w:rPr>
              <w:tab/>
            </w:r>
            <w:r>
              <w:rPr>
                <w:rFonts w:hint="eastAsia" w:ascii="宋体" w:hAnsi="宋体" w:eastAsia="宋体" w:cs="宋体"/>
                <w:bCs/>
                <w:w w:val="100"/>
                <w:sz w:val="21"/>
                <w:szCs w:val="21"/>
              </w:rPr>
              <w:t>不按磋商小组要求澄清、说明或补正的；</w:t>
            </w:r>
          </w:p>
          <w:p>
            <w:pPr>
              <w:keepNext w:val="0"/>
              <w:keepLines w:val="0"/>
              <w:pageBreakBefore w:val="0"/>
              <w:widowControl/>
              <w:tabs>
                <w:tab w:val="left" w:pos="567"/>
                <w:tab w:val="left" w:pos="705"/>
              </w:tabs>
              <w:kinsoku/>
              <w:wordWrap/>
              <w:overflowPunct/>
              <w:topLinePunct w:val="0"/>
              <w:autoSpaceDE/>
              <w:autoSpaceDN/>
              <w:bidi w:val="0"/>
              <w:adjustRightInd/>
              <w:spacing w:line="300" w:lineRule="auto"/>
              <w:ind w:firstLine="420" w:firstLineChars="200"/>
              <w:textAlignment w:val="auto"/>
              <w:rPr>
                <w:rFonts w:hint="eastAsia" w:ascii="宋体" w:hAnsi="宋体" w:eastAsia="宋体" w:cs="宋体"/>
                <w:bCs/>
                <w:w w:val="100"/>
                <w:kern w:val="2"/>
                <w:sz w:val="21"/>
                <w:szCs w:val="21"/>
              </w:rPr>
            </w:pPr>
            <w:r>
              <w:rPr>
                <w:rFonts w:hint="eastAsia" w:ascii="宋体" w:hAnsi="宋体" w:eastAsia="宋体" w:cs="宋体"/>
                <w:bCs/>
                <w:w w:val="100"/>
                <w:sz w:val="21"/>
                <w:szCs w:val="21"/>
              </w:rPr>
              <w:t>磋商响应文件中的各类证件如在年检、升级、变更的，不能提供的，且无相应的主管部门出具的书面材料复印件加盖单位公章的；</w:t>
            </w:r>
          </w:p>
          <w:p>
            <w:pPr>
              <w:keepNext w:val="0"/>
              <w:keepLines w:val="0"/>
              <w:pageBreakBefore w:val="0"/>
              <w:widowControl/>
              <w:tabs>
                <w:tab w:val="left" w:pos="1123"/>
              </w:tabs>
              <w:kinsoku/>
              <w:wordWrap/>
              <w:overflowPunct/>
              <w:topLinePunct w:val="0"/>
              <w:autoSpaceDE/>
              <w:autoSpaceDN/>
              <w:bidi w:val="0"/>
              <w:adjustRightInd/>
              <w:spacing w:line="300" w:lineRule="auto"/>
              <w:ind w:firstLine="420" w:firstLineChars="200"/>
              <w:textAlignment w:val="auto"/>
              <w:rPr>
                <w:rFonts w:hint="eastAsia" w:ascii="宋体" w:hAnsi="宋体" w:eastAsia="宋体" w:cs="宋体"/>
                <w:bCs/>
                <w:w w:val="100"/>
                <w:kern w:val="2"/>
                <w:sz w:val="21"/>
                <w:szCs w:val="21"/>
              </w:rPr>
            </w:pPr>
            <w:r>
              <w:rPr>
                <w:rFonts w:hint="eastAsia" w:ascii="宋体" w:hAnsi="宋体" w:eastAsia="宋体" w:cs="宋体"/>
                <w:bCs/>
                <w:w w:val="100"/>
                <w:kern w:val="2"/>
                <w:sz w:val="21"/>
                <w:szCs w:val="21"/>
              </w:rPr>
              <w:t>12)磋商响应文件中的各类证件如在年检、升级、变更的，不能提供的，且无相应的主管部门出具的书面材料复印件加盖磋商供应商公章的；</w:t>
            </w:r>
          </w:p>
          <w:p>
            <w:pPr>
              <w:keepNext w:val="0"/>
              <w:keepLines w:val="0"/>
              <w:pageBreakBefore w:val="0"/>
              <w:widowControl/>
              <w:tabs>
                <w:tab w:val="left" w:pos="1123"/>
              </w:tabs>
              <w:kinsoku/>
              <w:wordWrap/>
              <w:overflowPunct/>
              <w:topLinePunct w:val="0"/>
              <w:autoSpaceDE/>
              <w:autoSpaceDN/>
              <w:bidi w:val="0"/>
              <w:adjustRightInd/>
              <w:spacing w:line="300" w:lineRule="auto"/>
              <w:ind w:firstLine="420" w:firstLineChars="200"/>
              <w:textAlignment w:val="auto"/>
              <w:rPr>
                <w:rFonts w:hint="eastAsia" w:ascii="宋体" w:hAnsi="宋体" w:eastAsia="宋体" w:cs="宋体"/>
                <w:bCs/>
                <w:w w:val="100"/>
                <w:kern w:val="2"/>
                <w:sz w:val="21"/>
                <w:szCs w:val="21"/>
              </w:rPr>
            </w:pPr>
            <w:r>
              <w:rPr>
                <w:rFonts w:hint="eastAsia" w:ascii="宋体" w:hAnsi="宋体" w:eastAsia="宋体" w:cs="宋体"/>
                <w:bCs/>
                <w:w w:val="100"/>
                <w:kern w:val="2"/>
                <w:sz w:val="21"/>
                <w:szCs w:val="21"/>
              </w:rPr>
              <w:t>13)磋商小组发现磋商供应商的报价明显低于其他投标报价，或者在设有招标控制价时明显低于招标控制价，使得其投标报价可能低于其个别成本的，应当要求该磋商供应商作出书面说明并提供相应的证明材料。磋商供应商不能合理说明或者不能提供相应证明材料，磋商小组认定该</w:t>
            </w:r>
            <w:r>
              <w:rPr>
                <w:rFonts w:hint="eastAsia" w:ascii="宋体" w:hAnsi="宋体" w:cs="宋体"/>
                <w:bCs/>
                <w:w w:val="100"/>
                <w:kern w:val="2"/>
                <w:sz w:val="21"/>
                <w:szCs w:val="21"/>
                <w:lang w:eastAsia="zh-CN"/>
              </w:rPr>
              <w:t>磋商供应商</w:t>
            </w:r>
            <w:r>
              <w:rPr>
                <w:rFonts w:hint="eastAsia" w:ascii="宋体" w:hAnsi="宋体" w:eastAsia="宋体" w:cs="宋体"/>
                <w:bCs/>
                <w:w w:val="100"/>
                <w:kern w:val="2"/>
                <w:sz w:val="21"/>
                <w:szCs w:val="21"/>
              </w:rPr>
              <w:t>以低于成本报价竞标的；</w:t>
            </w:r>
          </w:p>
          <w:p>
            <w:pPr>
              <w:keepNext w:val="0"/>
              <w:keepLines w:val="0"/>
              <w:pageBreakBefore w:val="0"/>
              <w:widowControl/>
              <w:tabs>
                <w:tab w:val="left" w:pos="567"/>
                <w:tab w:val="left" w:pos="1123"/>
              </w:tabs>
              <w:kinsoku/>
              <w:wordWrap/>
              <w:overflowPunct/>
              <w:topLinePunct w:val="0"/>
              <w:autoSpaceDE/>
              <w:autoSpaceDN/>
              <w:bidi w:val="0"/>
              <w:adjustRightInd/>
              <w:spacing w:line="300" w:lineRule="auto"/>
              <w:ind w:firstLine="420" w:firstLineChars="200"/>
              <w:textAlignment w:val="auto"/>
              <w:rPr>
                <w:rFonts w:hint="eastAsia" w:ascii="宋体" w:hAnsi="宋体" w:eastAsia="宋体" w:cs="宋体"/>
                <w:bCs/>
                <w:w w:val="100"/>
                <w:kern w:val="2"/>
                <w:sz w:val="21"/>
                <w:szCs w:val="21"/>
              </w:rPr>
            </w:pPr>
            <w:r>
              <w:rPr>
                <w:rFonts w:hint="eastAsia" w:ascii="宋体" w:hAnsi="宋体" w:eastAsia="宋体" w:cs="宋体"/>
                <w:bCs/>
                <w:w w:val="100"/>
                <w:kern w:val="2"/>
                <w:sz w:val="21"/>
                <w:szCs w:val="21"/>
              </w:rPr>
              <w:t>14)被建设行政主管部门限制参加投标或有不良行为记录公示未满期限的；</w:t>
            </w:r>
          </w:p>
          <w:p>
            <w:pPr>
              <w:keepNext w:val="0"/>
              <w:keepLines w:val="0"/>
              <w:pageBreakBefore w:val="0"/>
              <w:widowControl/>
              <w:tabs>
                <w:tab w:val="left" w:pos="567"/>
                <w:tab w:val="left" w:pos="1123"/>
              </w:tabs>
              <w:kinsoku/>
              <w:wordWrap/>
              <w:overflowPunct/>
              <w:topLinePunct w:val="0"/>
              <w:autoSpaceDE/>
              <w:autoSpaceDN/>
              <w:bidi w:val="0"/>
              <w:adjustRightInd/>
              <w:spacing w:line="300" w:lineRule="auto"/>
              <w:ind w:firstLine="420" w:firstLineChars="200"/>
              <w:textAlignment w:val="auto"/>
              <w:rPr>
                <w:rFonts w:hint="eastAsia" w:ascii="宋体" w:hAnsi="宋体" w:eastAsia="宋体" w:cs="宋体"/>
                <w:bCs/>
                <w:w w:val="100"/>
                <w:kern w:val="2"/>
                <w:sz w:val="21"/>
                <w:szCs w:val="21"/>
              </w:rPr>
            </w:pPr>
            <w:r>
              <w:rPr>
                <w:rFonts w:hint="eastAsia" w:ascii="宋体" w:hAnsi="宋体" w:eastAsia="宋体" w:cs="宋体"/>
                <w:bCs/>
                <w:w w:val="100"/>
                <w:kern w:val="2"/>
                <w:sz w:val="21"/>
                <w:szCs w:val="21"/>
              </w:rPr>
              <w:t>15）存在重大违法行为的或未提供“参加政府采购活动前3年内在经营活动中有/无重大违法记录（包括行贿犯罪记录）的书面声明”的；</w:t>
            </w:r>
          </w:p>
          <w:p>
            <w:pPr>
              <w:keepNext w:val="0"/>
              <w:keepLines w:val="0"/>
              <w:pageBreakBefore w:val="0"/>
              <w:widowControl/>
              <w:tabs>
                <w:tab w:val="left" w:pos="567"/>
                <w:tab w:val="left" w:pos="1123"/>
              </w:tabs>
              <w:kinsoku/>
              <w:wordWrap/>
              <w:overflowPunct/>
              <w:topLinePunct w:val="0"/>
              <w:autoSpaceDE/>
              <w:autoSpaceDN/>
              <w:bidi w:val="0"/>
              <w:adjustRightInd/>
              <w:spacing w:line="300" w:lineRule="auto"/>
              <w:ind w:firstLine="420" w:firstLineChars="200"/>
              <w:textAlignment w:val="auto"/>
              <w:rPr>
                <w:rFonts w:hint="eastAsia" w:ascii="宋体" w:hAnsi="宋体" w:eastAsia="宋体" w:cs="宋体"/>
                <w:bCs/>
                <w:w w:val="100"/>
                <w:kern w:val="2"/>
                <w:sz w:val="21"/>
                <w:szCs w:val="21"/>
              </w:rPr>
            </w:pPr>
            <w:r>
              <w:rPr>
                <w:rFonts w:hint="eastAsia" w:ascii="宋体" w:hAnsi="宋体" w:eastAsia="宋体" w:cs="宋体"/>
                <w:bCs/>
                <w:w w:val="100"/>
                <w:kern w:val="2"/>
                <w:sz w:val="21"/>
                <w:szCs w:val="21"/>
              </w:rPr>
              <w:t>16）存在不良信用记录的（</w:t>
            </w:r>
            <w:r>
              <w:rPr>
                <w:rFonts w:hint="eastAsia" w:ascii="宋体" w:hAnsi="宋体" w:eastAsia="宋体" w:cs="宋体"/>
                <w:bCs/>
                <w:w w:val="100"/>
                <w:sz w:val="21"/>
                <w:szCs w:val="21"/>
              </w:rPr>
              <w:t>具体详见磋商文件的第二部分《磋商供应商须知》（二）总则第4条</w:t>
            </w:r>
            <w:r>
              <w:rPr>
                <w:rFonts w:hint="eastAsia" w:ascii="宋体" w:hAnsi="宋体" w:eastAsia="宋体" w:cs="宋体"/>
                <w:bCs/>
                <w:w w:val="100"/>
                <w:kern w:val="2"/>
                <w:sz w:val="21"/>
                <w:szCs w:val="21"/>
              </w:rPr>
              <w:t>）；</w:t>
            </w:r>
          </w:p>
          <w:p>
            <w:pPr>
              <w:keepNext w:val="0"/>
              <w:keepLines w:val="0"/>
              <w:pageBreakBefore w:val="0"/>
              <w:widowControl/>
              <w:tabs>
                <w:tab w:val="left" w:pos="567"/>
                <w:tab w:val="left" w:pos="1123"/>
              </w:tabs>
              <w:kinsoku/>
              <w:wordWrap/>
              <w:overflowPunct/>
              <w:topLinePunct w:val="0"/>
              <w:autoSpaceDE/>
              <w:autoSpaceDN/>
              <w:bidi w:val="0"/>
              <w:adjustRightInd/>
              <w:spacing w:line="300" w:lineRule="auto"/>
              <w:ind w:firstLine="420" w:firstLineChars="200"/>
              <w:textAlignment w:val="auto"/>
              <w:rPr>
                <w:rFonts w:hint="eastAsia" w:ascii="宋体" w:hAnsi="宋体" w:eastAsia="宋体" w:cs="宋体"/>
                <w:bCs/>
                <w:w w:val="100"/>
                <w:kern w:val="2"/>
                <w:sz w:val="21"/>
                <w:szCs w:val="21"/>
              </w:rPr>
            </w:pPr>
            <w:r>
              <w:rPr>
                <w:rFonts w:hint="eastAsia" w:ascii="宋体" w:hAnsi="宋体" w:eastAsia="宋体" w:cs="宋体"/>
                <w:bCs/>
                <w:w w:val="100"/>
                <w:kern w:val="2"/>
                <w:sz w:val="21"/>
                <w:szCs w:val="21"/>
              </w:rPr>
              <w:t>17）存在串通投标、挂靠、弄虚作假、行贿等违法行为；</w:t>
            </w:r>
          </w:p>
          <w:p>
            <w:pPr>
              <w:keepNext w:val="0"/>
              <w:keepLines w:val="0"/>
              <w:pageBreakBefore w:val="0"/>
              <w:widowControl/>
              <w:tabs>
                <w:tab w:val="left" w:pos="567"/>
                <w:tab w:val="left" w:pos="1123"/>
              </w:tabs>
              <w:kinsoku/>
              <w:wordWrap/>
              <w:overflowPunct/>
              <w:topLinePunct w:val="0"/>
              <w:autoSpaceDE/>
              <w:autoSpaceDN/>
              <w:bidi w:val="0"/>
              <w:adjustRightInd/>
              <w:spacing w:line="300" w:lineRule="auto"/>
              <w:ind w:firstLine="420" w:firstLineChars="200"/>
              <w:textAlignment w:val="auto"/>
              <w:rPr>
                <w:rFonts w:hint="eastAsia" w:ascii="宋体" w:hAnsi="宋体" w:eastAsia="宋体" w:cs="宋体"/>
                <w:bCs/>
                <w:w w:val="100"/>
                <w:kern w:val="2"/>
                <w:sz w:val="21"/>
                <w:szCs w:val="21"/>
              </w:rPr>
            </w:pPr>
            <w:r>
              <w:rPr>
                <w:rFonts w:hint="eastAsia" w:ascii="宋体" w:hAnsi="宋体" w:eastAsia="宋体" w:cs="宋体"/>
                <w:bCs/>
                <w:w w:val="100"/>
                <w:kern w:val="2"/>
                <w:sz w:val="21"/>
                <w:szCs w:val="21"/>
              </w:rPr>
              <w:t>18）未对磋商文件的实质性要求和条件作出响应；</w:t>
            </w:r>
          </w:p>
          <w:p>
            <w:pPr>
              <w:keepNext w:val="0"/>
              <w:keepLines w:val="0"/>
              <w:pageBreakBefore w:val="0"/>
              <w:widowControl/>
              <w:tabs>
                <w:tab w:val="left" w:pos="567"/>
                <w:tab w:val="left" w:pos="1123"/>
              </w:tabs>
              <w:kinsoku/>
              <w:wordWrap/>
              <w:overflowPunct/>
              <w:topLinePunct w:val="0"/>
              <w:autoSpaceDE/>
              <w:autoSpaceDN/>
              <w:bidi w:val="0"/>
              <w:adjustRightInd/>
              <w:spacing w:line="300" w:lineRule="auto"/>
              <w:ind w:firstLine="420" w:firstLineChars="200"/>
              <w:textAlignment w:val="auto"/>
              <w:rPr>
                <w:rFonts w:hint="eastAsia" w:ascii="宋体" w:hAnsi="宋体"/>
                <w:bCs/>
                <w:w w:val="100"/>
                <w:kern w:val="2"/>
                <w:sz w:val="21"/>
                <w:szCs w:val="21"/>
              </w:rPr>
            </w:pPr>
            <w:r>
              <w:rPr>
                <w:rFonts w:hint="eastAsia" w:ascii="宋体" w:hAnsi="宋体" w:eastAsia="宋体" w:cs="宋体"/>
                <w:bCs/>
                <w:w w:val="100"/>
                <w:kern w:val="2"/>
                <w:sz w:val="21"/>
                <w:szCs w:val="21"/>
              </w:rPr>
              <w:t>19）本磋商文件中另有规定属于否决投标情形的；</w:t>
            </w:r>
          </w:p>
          <w:p>
            <w:pPr>
              <w:keepNext w:val="0"/>
              <w:keepLines w:val="0"/>
              <w:pageBreakBefore w:val="0"/>
              <w:widowControl/>
              <w:tabs>
                <w:tab w:val="left" w:pos="567"/>
                <w:tab w:val="left" w:pos="1123"/>
              </w:tabs>
              <w:kinsoku/>
              <w:wordWrap/>
              <w:overflowPunct/>
              <w:topLinePunct w:val="0"/>
              <w:autoSpaceDE/>
              <w:autoSpaceDN/>
              <w:bidi w:val="0"/>
              <w:adjustRightInd/>
              <w:spacing w:line="300" w:lineRule="auto"/>
              <w:ind w:firstLine="420" w:firstLineChars="200"/>
              <w:textAlignment w:val="auto"/>
              <w:rPr>
                <w:rFonts w:ascii="宋体" w:hAnsi="宋体"/>
                <w:bCs/>
                <w:szCs w:val="21"/>
                <w:u w:val="single"/>
              </w:rPr>
            </w:pPr>
            <w:r>
              <w:rPr>
                <w:rFonts w:hint="eastAsia" w:ascii="宋体" w:hAnsi="宋体"/>
                <w:bCs/>
                <w:w w:val="100"/>
                <w:kern w:val="2"/>
                <w:sz w:val="21"/>
                <w:szCs w:val="21"/>
              </w:rPr>
              <w:t>20）国家、省、市、县有关规定属否决投标情形的。</w:t>
            </w:r>
          </w:p>
        </w:tc>
      </w:tr>
    </w:tbl>
    <w:p>
      <w:pPr>
        <w:numPr>
          <w:ilvl w:val="0"/>
          <w:numId w:val="0"/>
        </w:numPr>
        <w:kinsoku/>
        <w:overflowPunct/>
        <w:topLinePunct w:val="0"/>
        <w:bidi w:val="0"/>
        <w:spacing w:line="300" w:lineRule="auto"/>
        <w:rPr>
          <w:rFonts w:ascii="宋体" w:hAnsi="宋体" w:cs="Arial"/>
          <w:bCs/>
          <w:kern w:val="28"/>
        </w:rPr>
      </w:pPr>
      <w:r>
        <w:rPr>
          <w:rFonts w:hint="eastAsia" w:ascii="宋体" w:hAnsi="宋体"/>
          <w:b/>
          <w:szCs w:val="21"/>
          <w:lang w:val="en-US" w:eastAsia="zh-CN"/>
        </w:rPr>
        <w:t>4、</w:t>
      </w:r>
      <w:r>
        <w:rPr>
          <w:rFonts w:hint="eastAsia" w:ascii="宋体" w:hAnsi="宋体"/>
          <w:b/>
          <w:szCs w:val="21"/>
        </w:rPr>
        <w:t>技术商务评分（</w:t>
      </w:r>
      <w:r>
        <w:rPr>
          <w:rFonts w:hint="eastAsia" w:ascii="宋体" w:hAnsi="宋体"/>
          <w:b/>
          <w:szCs w:val="21"/>
          <w:lang w:val="en-US" w:eastAsia="zh-CN"/>
        </w:rPr>
        <w:t>7</w:t>
      </w:r>
      <w:r>
        <w:rPr>
          <w:rFonts w:hint="eastAsia" w:ascii="宋体" w:hAnsi="宋体"/>
          <w:b/>
          <w:szCs w:val="21"/>
          <w:lang w:val="en-US" w:eastAsia="zh-CN"/>
        </w:rPr>
        <w:t>0</w:t>
      </w:r>
      <w:r>
        <w:rPr>
          <w:rFonts w:hint="eastAsia" w:ascii="宋体" w:hAnsi="宋体"/>
          <w:b/>
          <w:szCs w:val="21"/>
        </w:rPr>
        <w:t>分）：</w:t>
      </w:r>
      <w:r>
        <w:rPr>
          <w:rFonts w:hint="eastAsia" w:ascii="宋体" w:hAnsi="宋体"/>
          <w:szCs w:val="21"/>
        </w:rPr>
        <w:t>具体评分项目及评标办法如下：</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843"/>
        <w:gridCol w:w="685"/>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0" w:hRule="exact"/>
        </w:trPr>
        <w:tc>
          <w:tcPr>
            <w:tcW w:w="533" w:type="dxa"/>
            <w:noWrap w:val="0"/>
            <w:vAlign w:val="center"/>
          </w:tcPr>
          <w:p>
            <w:pPr>
              <w:kinsoku/>
              <w:overflowPunct/>
              <w:topLinePunct w:val="0"/>
              <w:bidi w:val="0"/>
              <w:spacing w:line="300" w:lineRule="auto"/>
              <w:jc w:val="center"/>
              <w:rPr>
                <w:rFonts w:ascii="Arial" w:hAnsi="Arial" w:cs="Arial"/>
                <w:b/>
                <w:szCs w:val="21"/>
              </w:rPr>
            </w:pPr>
            <w:r>
              <w:rPr>
                <w:rFonts w:ascii="Arial" w:hAnsi="Arial" w:cs="Arial"/>
                <w:b/>
                <w:szCs w:val="21"/>
              </w:rPr>
              <w:t>序号</w:t>
            </w:r>
          </w:p>
        </w:tc>
        <w:tc>
          <w:tcPr>
            <w:tcW w:w="1843" w:type="dxa"/>
            <w:noWrap w:val="0"/>
            <w:vAlign w:val="center"/>
          </w:tcPr>
          <w:p>
            <w:pPr>
              <w:kinsoku/>
              <w:overflowPunct/>
              <w:topLinePunct w:val="0"/>
              <w:bidi w:val="0"/>
              <w:spacing w:line="300" w:lineRule="auto"/>
              <w:jc w:val="center"/>
              <w:rPr>
                <w:rFonts w:ascii="Arial" w:hAnsi="Arial" w:cs="Arial"/>
                <w:b/>
                <w:szCs w:val="21"/>
              </w:rPr>
            </w:pPr>
            <w:r>
              <w:rPr>
                <w:rFonts w:ascii="Arial" w:hAnsi="Arial" w:cs="Arial"/>
                <w:b/>
                <w:szCs w:val="21"/>
              </w:rPr>
              <w:t>评分内容</w:t>
            </w:r>
          </w:p>
        </w:tc>
        <w:tc>
          <w:tcPr>
            <w:tcW w:w="685" w:type="dxa"/>
            <w:noWrap w:val="0"/>
            <w:vAlign w:val="center"/>
          </w:tcPr>
          <w:p>
            <w:pPr>
              <w:kinsoku/>
              <w:overflowPunct/>
              <w:topLinePunct w:val="0"/>
              <w:bidi w:val="0"/>
              <w:spacing w:line="300" w:lineRule="auto"/>
              <w:jc w:val="center"/>
              <w:rPr>
                <w:rFonts w:ascii="Arial" w:hAnsi="Arial" w:cs="Arial"/>
                <w:b/>
                <w:szCs w:val="21"/>
              </w:rPr>
            </w:pPr>
            <w:r>
              <w:rPr>
                <w:rFonts w:hint="eastAsia" w:ascii="Arial" w:hAnsi="Arial" w:cs="Arial"/>
                <w:b/>
                <w:szCs w:val="21"/>
              </w:rPr>
              <w:t>分值</w:t>
            </w:r>
          </w:p>
        </w:tc>
        <w:tc>
          <w:tcPr>
            <w:tcW w:w="6287" w:type="dxa"/>
            <w:noWrap w:val="0"/>
            <w:vAlign w:val="center"/>
          </w:tcPr>
          <w:p>
            <w:pPr>
              <w:kinsoku/>
              <w:overflowPunct/>
              <w:topLinePunct w:val="0"/>
              <w:bidi w:val="0"/>
              <w:spacing w:line="300" w:lineRule="auto"/>
              <w:jc w:val="center"/>
              <w:rPr>
                <w:rFonts w:ascii="Arial" w:hAnsi="Arial" w:cs="Arial"/>
                <w:b/>
                <w:szCs w:val="21"/>
              </w:rPr>
            </w:pPr>
            <w:r>
              <w:rPr>
                <w:rFonts w:ascii="Arial" w:hAnsi="Arial" w:cs="Arial"/>
                <w:b/>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33" w:type="dxa"/>
            <w:noWrap w:val="0"/>
            <w:vAlign w:val="center"/>
          </w:tcPr>
          <w:p>
            <w:pPr>
              <w:kinsoku/>
              <w:overflowPunct/>
              <w:topLinePunct w:val="0"/>
              <w:bidi w:val="0"/>
              <w:spacing w:line="300" w:lineRule="auto"/>
              <w:ind w:left="315" w:right="6" w:hanging="315" w:hangingChars="150"/>
              <w:jc w:val="center"/>
              <w:rPr>
                <w:rFonts w:hint="eastAsia" w:ascii="宋体" w:hAnsi="宋体" w:eastAsia="宋体" w:cs="宋体"/>
                <w:sz w:val="21"/>
                <w:szCs w:val="21"/>
              </w:rPr>
            </w:pPr>
            <w:r>
              <w:rPr>
                <w:rFonts w:hint="eastAsia" w:ascii="宋体" w:hAnsi="宋体" w:eastAsia="宋体" w:cs="宋体"/>
                <w:sz w:val="21"/>
                <w:szCs w:val="21"/>
              </w:rPr>
              <w:t>1</w:t>
            </w:r>
          </w:p>
        </w:tc>
        <w:tc>
          <w:tcPr>
            <w:tcW w:w="1843" w:type="dxa"/>
            <w:noWrap w:val="0"/>
            <w:vAlign w:val="center"/>
          </w:tcPr>
          <w:p>
            <w:pPr>
              <w:kinsoku/>
              <w:overflowPunct/>
              <w:topLinePunct w:val="0"/>
              <w:bidi w:val="0"/>
              <w:spacing w:line="300" w:lineRule="auto"/>
              <w:jc w:val="center"/>
              <w:rPr>
                <w:rFonts w:hint="eastAsia" w:ascii="宋体" w:hAnsi="宋体" w:eastAsia="宋体" w:cs="宋体"/>
                <w:sz w:val="21"/>
                <w:szCs w:val="21"/>
              </w:rPr>
            </w:pPr>
            <w:r>
              <w:rPr>
                <w:rFonts w:hint="eastAsia" w:ascii="宋体" w:hAnsi="宋体" w:eastAsia="宋体" w:cs="宋体"/>
                <w:sz w:val="21"/>
                <w:szCs w:val="21"/>
              </w:rPr>
              <w:t>磋商供应商综合实力</w:t>
            </w:r>
          </w:p>
        </w:tc>
        <w:tc>
          <w:tcPr>
            <w:tcW w:w="685" w:type="dxa"/>
            <w:noWrap w:val="0"/>
            <w:vAlign w:val="center"/>
          </w:tcPr>
          <w:p>
            <w:pPr>
              <w:kinsoku/>
              <w:overflowPunct/>
              <w:topLinePunct w:val="0"/>
              <w:bidi w:val="0"/>
              <w:spacing w:line="300" w:lineRule="auto"/>
              <w:jc w:val="center"/>
              <w:rPr>
                <w:rFonts w:hint="eastAsia" w:ascii="宋体" w:hAnsi="宋体" w:eastAsia="宋体" w:cs="宋体"/>
                <w:sz w:val="21"/>
                <w:szCs w:val="21"/>
              </w:rPr>
            </w:pPr>
            <w:r>
              <w:rPr>
                <w:rFonts w:hint="eastAsia" w:ascii="宋体" w:hAnsi="宋体" w:cs="宋体"/>
                <w:sz w:val="21"/>
                <w:szCs w:val="21"/>
                <w:lang w:val="en-US" w:eastAsia="zh-CN"/>
              </w:rPr>
              <w:t>7</w:t>
            </w:r>
            <w:r>
              <w:rPr>
                <w:rFonts w:hint="eastAsia" w:ascii="宋体" w:hAnsi="宋体" w:eastAsia="宋体" w:cs="宋体"/>
                <w:sz w:val="21"/>
                <w:szCs w:val="21"/>
              </w:rPr>
              <w:t>分</w:t>
            </w:r>
          </w:p>
        </w:tc>
        <w:tc>
          <w:tcPr>
            <w:tcW w:w="6287" w:type="dxa"/>
            <w:noWrap w:val="0"/>
            <w:vAlign w:val="center"/>
          </w:tcPr>
          <w:p>
            <w:pPr>
              <w:kinsoku/>
              <w:overflowPunct/>
              <w:topLinePunct w:val="0"/>
              <w:bidi w:val="0"/>
              <w:spacing w:line="300" w:lineRule="auto"/>
              <w:ind w:left="-50" w:leftChars="0"/>
              <w:rPr>
                <w:rFonts w:hint="eastAsia" w:ascii="宋体" w:hAnsi="宋体" w:eastAsia="宋体" w:cs="宋体"/>
                <w:sz w:val="21"/>
                <w:szCs w:val="21"/>
              </w:rPr>
            </w:pPr>
            <w:r>
              <w:rPr>
                <w:rFonts w:hint="eastAsia" w:ascii="宋体" w:hAnsi="宋体" w:eastAsia="宋体" w:cs="宋体"/>
                <w:sz w:val="21"/>
                <w:szCs w:val="21"/>
              </w:rPr>
              <w:t>根据供应商的信誉、获奖情况、诚信程度等由</w:t>
            </w:r>
            <w:r>
              <w:rPr>
                <w:rFonts w:hint="eastAsia" w:ascii="宋体" w:hAnsi="宋体" w:cs="宋体"/>
                <w:sz w:val="21"/>
                <w:szCs w:val="21"/>
                <w:lang w:eastAsia="zh-CN"/>
              </w:rPr>
              <w:t>磋商小组</w:t>
            </w:r>
            <w:r>
              <w:rPr>
                <w:rFonts w:hint="eastAsia" w:ascii="宋体" w:hAnsi="宋体" w:eastAsia="宋体" w:cs="宋体"/>
                <w:sz w:val="21"/>
                <w:szCs w:val="21"/>
              </w:rPr>
              <w:t>横向比较酌情打分。其中：</w:t>
            </w:r>
            <w:r>
              <w:rPr>
                <w:rFonts w:hint="eastAsia" w:ascii="宋体" w:hAnsi="宋体" w:cs="宋体"/>
                <w:sz w:val="21"/>
                <w:szCs w:val="21"/>
                <w:lang w:val="en-US" w:eastAsia="zh-CN"/>
              </w:rPr>
              <w:t>7</w:t>
            </w:r>
            <w:r>
              <w:rPr>
                <w:rFonts w:hint="eastAsia" w:ascii="宋体" w:hAnsi="宋体" w:eastAsia="宋体" w:cs="宋体"/>
                <w:sz w:val="21"/>
                <w:szCs w:val="21"/>
              </w:rPr>
              <w:t>.0≥好≥</w:t>
            </w:r>
            <w:r>
              <w:rPr>
                <w:rFonts w:hint="eastAsia" w:ascii="宋体" w:hAnsi="宋体" w:cs="宋体"/>
                <w:sz w:val="21"/>
                <w:szCs w:val="21"/>
                <w:lang w:val="en-US" w:eastAsia="zh-CN"/>
              </w:rPr>
              <w:t>4</w:t>
            </w:r>
            <w:r>
              <w:rPr>
                <w:rFonts w:hint="eastAsia" w:ascii="宋体" w:hAnsi="宋体" w:eastAsia="宋体" w:cs="宋体"/>
                <w:sz w:val="21"/>
                <w:szCs w:val="21"/>
              </w:rPr>
              <w:t>.0；</w:t>
            </w:r>
            <w:r>
              <w:rPr>
                <w:rFonts w:hint="eastAsia" w:ascii="宋体" w:hAnsi="宋体" w:cs="宋体"/>
                <w:sz w:val="21"/>
                <w:szCs w:val="21"/>
                <w:lang w:val="en-US" w:eastAsia="zh-CN"/>
              </w:rPr>
              <w:t>4</w:t>
            </w:r>
            <w:r>
              <w:rPr>
                <w:rFonts w:hint="eastAsia" w:ascii="宋体" w:hAnsi="宋体" w:eastAsia="宋体" w:cs="宋体"/>
                <w:sz w:val="21"/>
                <w:szCs w:val="21"/>
              </w:rPr>
              <w:t>.0＞较好≥</w:t>
            </w:r>
            <w:r>
              <w:rPr>
                <w:rFonts w:hint="eastAsia" w:ascii="宋体" w:hAnsi="宋体" w:cs="宋体"/>
                <w:sz w:val="21"/>
                <w:szCs w:val="21"/>
                <w:lang w:val="en-US" w:eastAsia="zh-CN"/>
              </w:rPr>
              <w:t>2.0</w:t>
            </w:r>
            <w:r>
              <w:rPr>
                <w:rFonts w:hint="eastAsia" w:ascii="宋体" w:hAnsi="宋体" w:eastAsia="宋体" w:cs="宋体"/>
                <w:sz w:val="21"/>
                <w:szCs w:val="21"/>
              </w:rPr>
              <w:t>；</w:t>
            </w:r>
            <w:r>
              <w:rPr>
                <w:rFonts w:hint="eastAsia" w:ascii="宋体" w:hAnsi="宋体" w:cs="宋体"/>
                <w:sz w:val="21"/>
                <w:szCs w:val="21"/>
                <w:lang w:val="en-US" w:eastAsia="zh-CN"/>
              </w:rPr>
              <w:t>2.0</w:t>
            </w:r>
            <w:r>
              <w:rPr>
                <w:rFonts w:hint="eastAsia" w:ascii="宋体" w:hAnsi="宋体" w:eastAsia="宋体" w:cs="宋体"/>
                <w:sz w:val="21"/>
                <w:szCs w:val="21"/>
              </w:rPr>
              <w:t>＞一般≥0。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33" w:type="dxa"/>
            <w:noWrap w:val="0"/>
            <w:vAlign w:val="center"/>
          </w:tcPr>
          <w:p>
            <w:pPr>
              <w:kinsoku/>
              <w:overflowPunct/>
              <w:topLinePunct w:val="0"/>
              <w:bidi w:val="0"/>
              <w:spacing w:line="300" w:lineRule="auto"/>
              <w:ind w:left="315" w:leftChars="0" w:right="6" w:rightChars="0" w:hanging="315" w:hangingChars="150"/>
              <w:jc w:val="center"/>
              <w:rPr>
                <w:rFonts w:hint="eastAsia" w:ascii="宋体" w:hAnsi="宋体" w:eastAsia="宋体" w:cs="宋体"/>
                <w:sz w:val="21"/>
                <w:szCs w:val="21"/>
                <w:highlight w:val="yellow"/>
              </w:rPr>
            </w:pPr>
            <w:r>
              <w:rPr>
                <w:rFonts w:hint="eastAsia" w:ascii="宋体" w:hAnsi="宋体" w:eastAsia="宋体" w:cs="宋体"/>
                <w:sz w:val="21"/>
                <w:szCs w:val="21"/>
                <w:highlight w:val="yellow"/>
              </w:rPr>
              <w:t>2</w:t>
            </w:r>
          </w:p>
        </w:tc>
        <w:tc>
          <w:tcPr>
            <w:tcW w:w="1843" w:type="dxa"/>
            <w:noWrap w:val="0"/>
            <w:vAlign w:val="center"/>
          </w:tcPr>
          <w:p>
            <w:pPr>
              <w:kinsoku/>
              <w:overflowPunct/>
              <w:topLinePunct w:val="0"/>
              <w:bidi w:val="0"/>
              <w:spacing w:line="300" w:lineRule="auto"/>
              <w:jc w:val="center"/>
              <w:rPr>
                <w:rFonts w:hint="eastAsia" w:ascii="宋体" w:hAnsi="宋体" w:eastAsia="宋体" w:cs="宋体"/>
                <w:sz w:val="21"/>
                <w:szCs w:val="21"/>
                <w:highlight w:val="yellow"/>
              </w:rPr>
            </w:pPr>
            <w:r>
              <w:rPr>
                <w:rFonts w:hint="eastAsia" w:ascii="Arial" w:hAnsi="宋体" w:cs="Arial"/>
                <w:bCs/>
                <w:color w:val="auto"/>
                <w:kern w:val="28"/>
                <w:szCs w:val="22"/>
                <w:highlight w:val="yellow"/>
                <w:lang w:val="en-US" w:eastAsia="zh-CN"/>
              </w:rPr>
              <w:t>节能环保</w:t>
            </w:r>
          </w:p>
        </w:tc>
        <w:tc>
          <w:tcPr>
            <w:tcW w:w="685" w:type="dxa"/>
            <w:noWrap w:val="0"/>
            <w:vAlign w:val="center"/>
          </w:tcPr>
          <w:p>
            <w:pPr>
              <w:kinsoku/>
              <w:overflowPunct/>
              <w:topLinePunct w:val="0"/>
              <w:bidi w:val="0"/>
              <w:spacing w:line="300" w:lineRule="auto"/>
              <w:jc w:val="center"/>
              <w:rPr>
                <w:rFonts w:hint="eastAsia" w:ascii="宋体" w:hAnsi="宋体" w:cs="宋体"/>
                <w:sz w:val="21"/>
                <w:szCs w:val="21"/>
                <w:highlight w:val="yellow"/>
                <w:lang w:val="en-US" w:eastAsia="zh-CN"/>
              </w:rPr>
            </w:pPr>
            <w:r>
              <w:rPr>
                <w:rFonts w:hint="eastAsia" w:ascii="宋体" w:hAnsi="宋体" w:cs="宋体"/>
                <w:sz w:val="21"/>
                <w:szCs w:val="21"/>
                <w:highlight w:val="yellow"/>
                <w:lang w:val="en-US" w:eastAsia="zh-CN"/>
              </w:rPr>
              <w:t>2分</w:t>
            </w:r>
          </w:p>
        </w:tc>
        <w:tc>
          <w:tcPr>
            <w:tcW w:w="6287" w:type="dxa"/>
            <w:noWrap w:val="0"/>
            <w:vAlign w:val="center"/>
          </w:tcPr>
          <w:p>
            <w:pPr>
              <w:kinsoku/>
              <w:overflowPunct/>
              <w:topLinePunct w:val="0"/>
              <w:bidi w:val="0"/>
              <w:spacing w:line="300" w:lineRule="auto"/>
              <w:rPr>
                <w:rFonts w:hint="eastAsia" w:ascii="宋体" w:hAnsi="宋体" w:eastAsia="宋体" w:cs="宋体"/>
                <w:sz w:val="21"/>
                <w:szCs w:val="21"/>
                <w:highlight w:val="yellow"/>
              </w:rPr>
            </w:pPr>
            <w:r>
              <w:rPr>
                <w:rFonts w:hint="eastAsia" w:ascii="宋体" w:hAnsi="宋体"/>
                <w:snapToGrid w:val="0"/>
                <w:color w:val="auto"/>
                <w:szCs w:val="21"/>
                <w:highlight w:val="yellow"/>
                <w:lang w:val="en-US" w:eastAsia="zh-CN"/>
              </w:rPr>
              <w:t>投标主要设备已纳入《节能产品政府采购清单》得1分；具有《环境标志产品政府采购清单》得1分。复印件加盖公章。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33" w:type="dxa"/>
            <w:noWrap w:val="0"/>
            <w:vAlign w:val="center"/>
          </w:tcPr>
          <w:p>
            <w:pPr>
              <w:kinsoku/>
              <w:overflowPunct/>
              <w:topLinePunct w:val="0"/>
              <w:bidi w:val="0"/>
              <w:spacing w:line="300" w:lineRule="auto"/>
              <w:ind w:left="315" w:leftChars="0" w:right="6" w:rightChars="0" w:hanging="315" w:hangingChars="150"/>
              <w:jc w:val="center"/>
              <w:rPr>
                <w:rFonts w:hint="eastAsia" w:ascii="宋体" w:hAnsi="宋体" w:eastAsia="宋体" w:cs="宋体"/>
                <w:sz w:val="21"/>
                <w:szCs w:val="21"/>
              </w:rPr>
            </w:pPr>
            <w:r>
              <w:rPr>
                <w:rFonts w:hint="eastAsia" w:ascii="宋体" w:hAnsi="宋体" w:eastAsia="宋体" w:cs="宋体"/>
                <w:sz w:val="21"/>
                <w:szCs w:val="21"/>
              </w:rPr>
              <w:t>3</w:t>
            </w:r>
          </w:p>
        </w:tc>
        <w:tc>
          <w:tcPr>
            <w:tcW w:w="1843" w:type="dxa"/>
            <w:noWrap w:val="0"/>
            <w:vAlign w:val="center"/>
          </w:tcPr>
          <w:p>
            <w:pPr>
              <w:kinsoku/>
              <w:overflowPunct/>
              <w:topLinePunct w:val="0"/>
              <w:bidi w:val="0"/>
              <w:spacing w:line="300" w:lineRule="auto"/>
              <w:jc w:val="center"/>
              <w:rPr>
                <w:rFonts w:hint="eastAsia" w:ascii="宋体" w:hAnsi="宋体" w:eastAsia="宋体" w:cs="宋体"/>
                <w:sz w:val="21"/>
                <w:szCs w:val="21"/>
              </w:rPr>
            </w:pPr>
            <w:r>
              <w:rPr>
                <w:rFonts w:hint="eastAsia" w:ascii="宋体" w:hAnsi="宋体" w:eastAsia="宋体" w:cs="宋体"/>
                <w:sz w:val="21"/>
                <w:szCs w:val="21"/>
              </w:rPr>
              <w:t>综合布线系统</w:t>
            </w:r>
          </w:p>
        </w:tc>
        <w:tc>
          <w:tcPr>
            <w:tcW w:w="685" w:type="dxa"/>
            <w:noWrap w:val="0"/>
            <w:vAlign w:val="center"/>
          </w:tcPr>
          <w:p>
            <w:pPr>
              <w:kinsoku/>
              <w:overflowPunct/>
              <w:topLinePunct w:val="0"/>
              <w:bidi w:val="0"/>
              <w:spacing w:line="300" w:lineRule="auto"/>
              <w:jc w:val="center"/>
              <w:rPr>
                <w:rFonts w:hint="eastAsia" w:ascii="宋体" w:hAnsi="宋体" w:eastAsia="宋体" w:cs="宋体"/>
                <w:sz w:val="21"/>
                <w:szCs w:val="21"/>
              </w:rPr>
            </w:pPr>
            <w:r>
              <w:rPr>
                <w:rFonts w:hint="eastAsia" w:ascii="宋体" w:hAnsi="宋体" w:cs="宋体"/>
                <w:sz w:val="21"/>
                <w:szCs w:val="21"/>
                <w:lang w:val="en-US" w:eastAsia="zh-CN"/>
              </w:rPr>
              <w:t>4</w:t>
            </w:r>
            <w:r>
              <w:rPr>
                <w:rFonts w:hint="eastAsia" w:ascii="宋体" w:hAnsi="宋体" w:eastAsia="宋体" w:cs="宋体"/>
                <w:sz w:val="21"/>
                <w:szCs w:val="21"/>
              </w:rPr>
              <w:t>分</w:t>
            </w:r>
          </w:p>
        </w:tc>
        <w:tc>
          <w:tcPr>
            <w:tcW w:w="6287" w:type="dxa"/>
            <w:noWrap w:val="0"/>
            <w:vAlign w:val="center"/>
          </w:tcPr>
          <w:p>
            <w:pPr>
              <w:tabs>
                <w:tab w:val="left" w:pos="5250"/>
              </w:tabs>
              <w:kinsoku/>
              <w:overflowPunct/>
              <w:topLinePunct w:val="0"/>
              <w:bidi w:val="0"/>
              <w:spacing w:line="300" w:lineRule="auto"/>
              <w:rPr>
                <w:rFonts w:hint="eastAsia" w:ascii="宋体" w:hAnsi="宋体" w:eastAsia="宋体" w:cs="宋体"/>
                <w:sz w:val="21"/>
                <w:szCs w:val="21"/>
                <w:lang w:eastAsia="zh-CN"/>
              </w:rPr>
            </w:pPr>
            <w:r>
              <w:rPr>
                <w:rFonts w:hint="eastAsia" w:ascii="宋体" w:hAnsi="宋体" w:eastAsia="宋体" w:cs="宋体"/>
                <w:sz w:val="21"/>
                <w:szCs w:val="21"/>
              </w:rPr>
              <w:t>根据设备的品牌及主要参数的满足性综合比较，由评委横向比较，酌情打分。</w:t>
            </w:r>
            <w:r>
              <w:rPr>
                <w:rFonts w:hint="eastAsia" w:ascii="宋体" w:hAnsi="宋体"/>
                <w:snapToGrid w:val="0"/>
                <w:color w:val="000000"/>
                <w:szCs w:val="21"/>
              </w:rPr>
              <w:t>其中：</w:t>
            </w:r>
            <w:r>
              <w:rPr>
                <w:rFonts w:hint="eastAsia" w:ascii="宋体" w:hAnsi="宋体"/>
                <w:snapToGrid w:val="0"/>
                <w:szCs w:val="21"/>
                <w:lang w:val="en-US" w:eastAsia="zh-CN"/>
              </w:rPr>
              <w:t>4</w:t>
            </w:r>
            <w:r>
              <w:rPr>
                <w:rFonts w:hint="eastAsia" w:ascii="宋体" w:hAnsi="宋体"/>
                <w:snapToGrid w:val="0"/>
                <w:szCs w:val="21"/>
              </w:rPr>
              <w:t>.0分≥好≥2.</w:t>
            </w:r>
            <w:r>
              <w:rPr>
                <w:rFonts w:hint="eastAsia" w:ascii="宋体" w:hAnsi="宋体"/>
                <w:snapToGrid w:val="0"/>
                <w:szCs w:val="21"/>
                <w:lang w:val="en-US" w:eastAsia="zh-CN"/>
              </w:rPr>
              <w:t>7</w:t>
            </w:r>
            <w:r>
              <w:rPr>
                <w:rFonts w:hint="eastAsia" w:ascii="宋体" w:hAnsi="宋体"/>
                <w:snapToGrid w:val="0"/>
                <w:szCs w:val="21"/>
              </w:rPr>
              <w:t>分；2.</w:t>
            </w:r>
            <w:r>
              <w:rPr>
                <w:rFonts w:hint="eastAsia" w:ascii="宋体" w:hAnsi="宋体"/>
                <w:snapToGrid w:val="0"/>
                <w:szCs w:val="21"/>
                <w:lang w:val="en-US" w:eastAsia="zh-CN"/>
              </w:rPr>
              <w:t>7</w:t>
            </w:r>
            <w:r>
              <w:rPr>
                <w:rFonts w:hint="eastAsia" w:ascii="宋体" w:hAnsi="宋体"/>
                <w:snapToGrid w:val="0"/>
                <w:szCs w:val="21"/>
              </w:rPr>
              <w:t>分＞较好≥1.</w:t>
            </w:r>
            <w:r>
              <w:rPr>
                <w:rFonts w:hint="eastAsia" w:ascii="宋体" w:hAnsi="宋体"/>
                <w:snapToGrid w:val="0"/>
                <w:szCs w:val="21"/>
                <w:lang w:val="en-US" w:eastAsia="zh-CN"/>
              </w:rPr>
              <w:t>4</w:t>
            </w:r>
            <w:r>
              <w:rPr>
                <w:rFonts w:hint="eastAsia" w:ascii="宋体" w:hAnsi="宋体"/>
                <w:snapToGrid w:val="0"/>
                <w:szCs w:val="21"/>
              </w:rPr>
              <w:t>分；1.</w:t>
            </w:r>
            <w:r>
              <w:rPr>
                <w:rFonts w:hint="eastAsia" w:ascii="宋体" w:hAnsi="宋体"/>
                <w:snapToGrid w:val="0"/>
                <w:szCs w:val="21"/>
                <w:lang w:val="en-US" w:eastAsia="zh-CN"/>
              </w:rPr>
              <w:t>4</w:t>
            </w:r>
            <w:r>
              <w:rPr>
                <w:rFonts w:hint="eastAsia" w:ascii="宋体" w:hAnsi="宋体"/>
                <w:snapToGrid w:val="0"/>
                <w:szCs w:val="21"/>
              </w:rPr>
              <w:t>分＞一般≥0分。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33" w:type="dxa"/>
            <w:noWrap w:val="0"/>
            <w:vAlign w:val="center"/>
          </w:tcPr>
          <w:p>
            <w:pPr>
              <w:kinsoku/>
              <w:overflowPunct/>
              <w:topLinePunct w:val="0"/>
              <w:bidi w:val="0"/>
              <w:spacing w:line="300" w:lineRule="auto"/>
              <w:ind w:left="315" w:leftChars="0" w:right="6" w:rightChars="0" w:hanging="315" w:hangingChars="150"/>
              <w:jc w:val="center"/>
              <w:rPr>
                <w:rFonts w:hint="eastAsia" w:ascii="宋体" w:hAnsi="宋体" w:eastAsia="宋体" w:cs="宋体"/>
                <w:sz w:val="21"/>
                <w:szCs w:val="21"/>
              </w:rPr>
            </w:pPr>
            <w:r>
              <w:rPr>
                <w:rFonts w:hint="eastAsia" w:ascii="宋体" w:hAnsi="宋体" w:eastAsia="宋体" w:cs="宋体"/>
                <w:sz w:val="21"/>
                <w:szCs w:val="21"/>
              </w:rPr>
              <w:t>4</w:t>
            </w:r>
          </w:p>
        </w:tc>
        <w:tc>
          <w:tcPr>
            <w:tcW w:w="1843" w:type="dxa"/>
            <w:noWrap w:val="0"/>
            <w:vAlign w:val="center"/>
          </w:tcPr>
          <w:p>
            <w:pPr>
              <w:kinsoku/>
              <w:overflowPunct/>
              <w:topLinePunct w:val="0"/>
              <w:bidi w:val="0"/>
              <w:spacing w:line="300" w:lineRule="auto"/>
              <w:jc w:val="center"/>
              <w:rPr>
                <w:rFonts w:hint="eastAsia" w:ascii="宋体" w:hAnsi="宋体" w:eastAsia="宋体" w:cs="宋体"/>
                <w:sz w:val="21"/>
                <w:szCs w:val="21"/>
              </w:rPr>
            </w:pPr>
            <w:r>
              <w:rPr>
                <w:rFonts w:hint="eastAsia" w:ascii="宋体" w:hAnsi="宋体" w:eastAsia="宋体" w:cs="宋体"/>
                <w:sz w:val="21"/>
                <w:szCs w:val="21"/>
              </w:rPr>
              <w:t>计算机网络系统</w:t>
            </w:r>
          </w:p>
        </w:tc>
        <w:tc>
          <w:tcPr>
            <w:tcW w:w="685" w:type="dxa"/>
            <w:noWrap w:val="0"/>
            <w:vAlign w:val="center"/>
          </w:tcPr>
          <w:p>
            <w:pPr>
              <w:kinsoku/>
              <w:overflowPunct/>
              <w:topLinePunct w:val="0"/>
              <w:bidi w:val="0"/>
              <w:spacing w:line="300" w:lineRule="auto"/>
              <w:jc w:val="center"/>
              <w:rPr>
                <w:rFonts w:hint="eastAsia" w:ascii="宋体" w:hAnsi="宋体" w:eastAsia="宋体" w:cs="宋体"/>
                <w:sz w:val="21"/>
                <w:szCs w:val="21"/>
              </w:rPr>
            </w:pPr>
            <w:r>
              <w:rPr>
                <w:rFonts w:hint="eastAsia" w:ascii="宋体" w:hAnsi="宋体" w:cs="宋体"/>
                <w:sz w:val="21"/>
                <w:szCs w:val="21"/>
                <w:lang w:val="en-US" w:eastAsia="zh-CN"/>
              </w:rPr>
              <w:t>6</w:t>
            </w:r>
            <w:r>
              <w:rPr>
                <w:rFonts w:hint="eastAsia" w:ascii="宋体" w:hAnsi="宋体" w:eastAsia="宋体" w:cs="宋体"/>
                <w:sz w:val="21"/>
                <w:szCs w:val="21"/>
              </w:rPr>
              <w:t>分</w:t>
            </w:r>
          </w:p>
        </w:tc>
        <w:tc>
          <w:tcPr>
            <w:tcW w:w="6287" w:type="dxa"/>
            <w:noWrap w:val="0"/>
            <w:vAlign w:val="top"/>
          </w:tcPr>
          <w:p>
            <w:pPr>
              <w:kinsoku/>
              <w:overflowPunct/>
              <w:topLinePunct w:val="0"/>
              <w:bidi w:val="0"/>
              <w:spacing w:line="300" w:lineRule="auto"/>
              <w:rPr>
                <w:rFonts w:hint="eastAsia" w:ascii="宋体" w:hAnsi="宋体" w:eastAsia="宋体" w:cs="宋体"/>
                <w:sz w:val="21"/>
                <w:szCs w:val="21"/>
              </w:rPr>
            </w:pPr>
            <w:r>
              <w:rPr>
                <w:rFonts w:hint="eastAsia" w:ascii="宋体" w:hAnsi="宋体" w:eastAsia="宋体" w:cs="宋体"/>
                <w:sz w:val="21"/>
                <w:szCs w:val="21"/>
              </w:rPr>
              <w:t>根据设备的品牌及主要参数的满足性综合比较，由评委横向比较，酌情打分。其中：6.0≥好≥4.0；4.0＞较好≥2.0；2.0＞一般≥0。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33" w:type="dxa"/>
            <w:noWrap w:val="0"/>
            <w:vAlign w:val="center"/>
          </w:tcPr>
          <w:p>
            <w:pPr>
              <w:kinsoku/>
              <w:overflowPunct/>
              <w:topLinePunct w:val="0"/>
              <w:bidi w:val="0"/>
              <w:spacing w:line="300" w:lineRule="auto"/>
              <w:ind w:left="315" w:leftChars="0" w:right="6" w:rightChars="0" w:hanging="315" w:hangingChars="150"/>
              <w:jc w:val="center"/>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1843" w:type="dxa"/>
            <w:noWrap w:val="0"/>
            <w:vAlign w:val="center"/>
          </w:tcPr>
          <w:p>
            <w:pPr>
              <w:kinsoku/>
              <w:overflowPunct/>
              <w:topLinePunct w:val="0"/>
              <w:bidi w:val="0"/>
              <w:spacing w:line="300" w:lineRule="auto"/>
              <w:ind w:left="-50" w:leftChars="0"/>
              <w:jc w:val="center"/>
              <w:rPr>
                <w:rFonts w:hint="eastAsia" w:ascii="宋体" w:hAnsi="宋体" w:eastAsia="宋体" w:cs="宋体"/>
                <w:sz w:val="21"/>
                <w:szCs w:val="21"/>
              </w:rPr>
            </w:pPr>
            <w:r>
              <w:rPr>
                <w:rFonts w:hint="eastAsia" w:ascii="宋体" w:hAnsi="宋体" w:eastAsia="宋体" w:cs="宋体"/>
                <w:sz w:val="21"/>
                <w:szCs w:val="21"/>
              </w:rPr>
              <w:t>视频监控系统</w:t>
            </w:r>
          </w:p>
        </w:tc>
        <w:tc>
          <w:tcPr>
            <w:tcW w:w="685" w:type="dxa"/>
            <w:noWrap w:val="0"/>
            <w:vAlign w:val="center"/>
          </w:tcPr>
          <w:p>
            <w:pPr>
              <w:kinsoku/>
              <w:overflowPunct/>
              <w:topLinePunct w:val="0"/>
              <w:bidi w:val="0"/>
              <w:spacing w:line="300" w:lineRule="auto"/>
              <w:jc w:val="center"/>
              <w:rPr>
                <w:rFonts w:hint="eastAsia" w:ascii="宋体" w:hAnsi="宋体" w:eastAsia="宋体" w:cs="宋体"/>
                <w:sz w:val="21"/>
                <w:szCs w:val="21"/>
              </w:rPr>
            </w:pPr>
            <w:r>
              <w:rPr>
                <w:rFonts w:hint="eastAsia" w:ascii="宋体" w:hAnsi="宋体" w:cs="宋体"/>
                <w:snapToGrid w:val="0"/>
                <w:sz w:val="21"/>
                <w:szCs w:val="21"/>
                <w:lang w:val="en-US" w:eastAsia="zh-CN"/>
              </w:rPr>
              <w:t>6</w:t>
            </w:r>
            <w:r>
              <w:rPr>
                <w:rFonts w:hint="eastAsia" w:ascii="宋体" w:hAnsi="宋体" w:eastAsia="宋体" w:cs="宋体"/>
                <w:snapToGrid w:val="0"/>
                <w:sz w:val="21"/>
                <w:szCs w:val="21"/>
              </w:rPr>
              <w:t>分</w:t>
            </w:r>
          </w:p>
        </w:tc>
        <w:tc>
          <w:tcPr>
            <w:tcW w:w="6287" w:type="dxa"/>
            <w:noWrap w:val="0"/>
            <w:vAlign w:val="top"/>
          </w:tcPr>
          <w:p>
            <w:pPr>
              <w:kinsoku/>
              <w:overflowPunct/>
              <w:topLinePunct w:val="0"/>
              <w:bidi w:val="0"/>
              <w:spacing w:line="300" w:lineRule="auto"/>
              <w:rPr>
                <w:rFonts w:hint="eastAsia" w:ascii="宋体" w:hAnsi="宋体" w:eastAsia="宋体" w:cs="宋体"/>
                <w:b/>
                <w:kern w:val="2"/>
                <w:sz w:val="21"/>
                <w:szCs w:val="21"/>
              </w:rPr>
            </w:pPr>
            <w:r>
              <w:rPr>
                <w:rFonts w:hint="eastAsia" w:ascii="宋体" w:hAnsi="宋体" w:eastAsia="宋体" w:cs="宋体"/>
                <w:sz w:val="21"/>
                <w:szCs w:val="21"/>
              </w:rPr>
              <w:t>根据设备的品牌及主要参数的满足性综合比较，由评委横向比较，酌情打分。其中：6.0≥好≥4.0；4.0＞较好≥2.0；2.0＞一般≥0。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33" w:type="dxa"/>
            <w:noWrap w:val="0"/>
            <w:vAlign w:val="center"/>
          </w:tcPr>
          <w:p>
            <w:pPr>
              <w:kinsoku/>
              <w:overflowPunct/>
              <w:topLinePunct w:val="0"/>
              <w:bidi w:val="0"/>
              <w:spacing w:line="300" w:lineRule="auto"/>
              <w:ind w:left="315" w:leftChars="0" w:right="6" w:rightChars="0" w:hanging="315" w:hangingChars="15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1843" w:type="dxa"/>
            <w:noWrap w:val="0"/>
            <w:vAlign w:val="center"/>
          </w:tcPr>
          <w:p>
            <w:pPr>
              <w:kinsoku/>
              <w:overflowPunct/>
              <w:topLinePunct w:val="0"/>
              <w:bidi w:val="0"/>
              <w:spacing w:line="300" w:lineRule="auto"/>
              <w:ind w:left="-50" w:leftChars="0"/>
              <w:jc w:val="center"/>
              <w:rPr>
                <w:rFonts w:hint="eastAsia" w:ascii="宋体" w:hAnsi="宋体" w:eastAsia="宋体" w:cs="宋体"/>
                <w:sz w:val="21"/>
                <w:szCs w:val="21"/>
              </w:rPr>
            </w:pPr>
            <w:r>
              <w:rPr>
                <w:rFonts w:hint="eastAsia" w:ascii="宋体" w:hAnsi="宋体" w:eastAsia="宋体" w:cs="宋体"/>
                <w:sz w:val="21"/>
                <w:szCs w:val="21"/>
              </w:rPr>
              <w:t>大屏拼接系统</w:t>
            </w:r>
          </w:p>
        </w:tc>
        <w:tc>
          <w:tcPr>
            <w:tcW w:w="685" w:type="dxa"/>
            <w:noWrap w:val="0"/>
            <w:vAlign w:val="center"/>
          </w:tcPr>
          <w:p>
            <w:pPr>
              <w:kinsoku/>
              <w:overflowPunct/>
              <w:topLinePunct w:val="0"/>
              <w:bidi w:val="0"/>
              <w:spacing w:line="300" w:lineRule="auto"/>
              <w:jc w:val="center"/>
              <w:rPr>
                <w:rFonts w:hint="eastAsia" w:ascii="宋体" w:hAnsi="宋体" w:eastAsia="宋体" w:cs="宋体"/>
                <w:sz w:val="21"/>
                <w:szCs w:val="21"/>
              </w:rPr>
            </w:pPr>
            <w:r>
              <w:rPr>
                <w:rFonts w:hint="eastAsia" w:ascii="宋体" w:hAnsi="宋体" w:cs="宋体"/>
                <w:snapToGrid w:val="0"/>
                <w:sz w:val="21"/>
                <w:szCs w:val="21"/>
                <w:lang w:val="en-US" w:eastAsia="zh-CN"/>
              </w:rPr>
              <w:t>6</w:t>
            </w:r>
            <w:r>
              <w:rPr>
                <w:rFonts w:hint="eastAsia" w:ascii="宋体" w:hAnsi="宋体" w:eastAsia="宋体" w:cs="宋体"/>
                <w:snapToGrid w:val="0"/>
                <w:sz w:val="21"/>
                <w:szCs w:val="21"/>
              </w:rPr>
              <w:t>分</w:t>
            </w:r>
          </w:p>
        </w:tc>
        <w:tc>
          <w:tcPr>
            <w:tcW w:w="6287" w:type="dxa"/>
            <w:noWrap w:val="0"/>
            <w:vAlign w:val="top"/>
          </w:tcPr>
          <w:p>
            <w:pPr>
              <w:kinsoku/>
              <w:overflowPunct/>
              <w:topLinePunct w:val="0"/>
              <w:bidi w:val="0"/>
              <w:spacing w:line="300" w:lineRule="auto"/>
              <w:rPr>
                <w:rFonts w:hint="eastAsia" w:ascii="宋体" w:hAnsi="宋体" w:eastAsia="宋体" w:cs="宋体"/>
                <w:bCs/>
                <w:kern w:val="28"/>
                <w:sz w:val="21"/>
                <w:szCs w:val="21"/>
              </w:rPr>
            </w:pPr>
            <w:r>
              <w:rPr>
                <w:rFonts w:hint="eastAsia" w:ascii="宋体" w:hAnsi="宋体" w:eastAsia="宋体" w:cs="宋体"/>
                <w:sz w:val="21"/>
                <w:szCs w:val="21"/>
              </w:rPr>
              <w:t>根据设备的品牌及主要参数的满足性综合比较，由评委横向比较，酌情打分。其中：6.0≥好≥4.0；4.0＞较好≥2.0；2.0＞一般≥0。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33" w:type="dxa"/>
            <w:noWrap w:val="0"/>
            <w:vAlign w:val="center"/>
          </w:tcPr>
          <w:p>
            <w:pPr>
              <w:kinsoku/>
              <w:overflowPunct/>
              <w:topLinePunct w:val="0"/>
              <w:bidi w:val="0"/>
              <w:spacing w:line="300" w:lineRule="auto"/>
              <w:ind w:left="315" w:leftChars="0" w:right="6" w:rightChars="0" w:hanging="315" w:hangingChars="15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1843" w:type="dxa"/>
            <w:noWrap w:val="0"/>
            <w:vAlign w:val="center"/>
          </w:tcPr>
          <w:p>
            <w:pPr>
              <w:kinsoku/>
              <w:overflowPunct/>
              <w:topLinePunct w:val="0"/>
              <w:bidi w:val="0"/>
              <w:spacing w:line="300" w:lineRule="auto"/>
              <w:ind w:left="-50" w:leftChars="0"/>
              <w:jc w:val="center"/>
              <w:rPr>
                <w:rFonts w:hint="eastAsia" w:ascii="宋体" w:hAnsi="宋体" w:eastAsia="宋体" w:cs="宋体"/>
                <w:sz w:val="21"/>
                <w:szCs w:val="21"/>
              </w:rPr>
            </w:pPr>
            <w:r>
              <w:rPr>
                <w:rFonts w:hint="eastAsia" w:ascii="宋体" w:hAnsi="宋体" w:eastAsia="宋体" w:cs="宋体"/>
                <w:sz w:val="21"/>
                <w:szCs w:val="21"/>
              </w:rPr>
              <w:t>多媒体会议系统</w:t>
            </w:r>
          </w:p>
        </w:tc>
        <w:tc>
          <w:tcPr>
            <w:tcW w:w="685" w:type="dxa"/>
            <w:noWrap w:val="0"/>
            <w:vAlign w:val="center"/>
          </w:tcPr>
          <w:p>
            <w:pPr>
              <w:kinsoku/>
              <w:overflowPunct/>
              <w:topLinePunct w:val="0"/>
              <w:bidi w:val="0"/>
              <w:spacing w:line="300" w:lineRule="auto"/>
              <w:jc w:val="center"/>
              <w:rPr>
                <w:rFonts w:hint="eastAsia" w:ascii="宋体" w:hAnsi="宋体" w:eastAsia="宋体" w:cs="宋体"/>
                <w:snapToGrid w:val="0"/>
                <w:sz w:val="21"/>
                <w:szCs w:val="21"/>
              </w:rPr>
            </w:pPr>
            <w:r>
              <w:rPr>
                <w:rFonts w:hint="eastAsia" w:ascii="宋体" w:hAnsi="宋体" w:cs="宋体"/>
                <w:snapToGrid w:val="0"/>
                <w:sz w:val="21"/>
                <w:szCs w:val="21"/>
                <w:lang w:val="en-US" w:eastAsia="zh-CN"/>
              </w:rPr>
              <w:t>6</w:t>
            </w:r>
            <w:r>
              <w:rPr>
                <w:rFonts w:hint="eastAsia" w:ascii="宋体" w:hAnsi="宋体" w:eastAsia="宋体" w:cs="宋体"/>
                <w:snapToGrid w:val="0"/>
                <w:sz w:val="21"/>
                <w:szCs w:val="21"/>
              </w:rPr>
              <w:t>分</w:t>
            </w:r>
          </w:p>
        </w:tc>
        <w:tc>
          <w:tcPr>
            <w:tcW w:w="6287" w:type="dxa"/>
            <w:noWrap w:val="0"/>
            <w:vAlign w:val="top"/>
          </w:tcPr>
          <w:p>
            <w:pPr>
              <w:kinsoku/>
              <w:overflowPunct/>
              <w:topLinePunct w:val="0"/>
              <w:bidi w:val="0"/>
              <w:spacing w:line="300" w:lineRule="auto"/>
              <w:rPr>
                <w:rFonts w:hint="eastAsia" w:ascii="宋体" w:hAnsi="宋体" w:eastAsia="宋体" w:cs="宋体"/>
                <w:sz w:val="21"/>
                <w:szCs w:val="21"/>
              </w:rPr>
            </w:pPr>
            <w:r>
              <w:rPr>
                <w:rFonts w:hint="eastAsia" w:ascii="宋体" w:hAnsi="宋体" w:eastAsia="宋体" w:cs="宋体"/>
                <w:sz w:val="21"/>
                <w:szCs w:val="21"/>
              </w:rPr>
              <w:t>根据设备的品牌及主要参数的满足性综合比较，由评委横向比较，酌情打分。其中：6.0≥好≥4.0；4.0＞较好≥2.0；2.0＞一般≥0。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33" w:type="dxa"/>
            <w:noWrap w:val="0"/>
            <w:vAlign w:val="center"/>
          </w:tcPr>
          <w:p>
            <w:pPr>
              <w:kinsoku/>
              <w:overflowPunct/>
              <w:topLinePunct w:val="0"/>
              <w:bidi w:val="0"/>
              <w:spacing w:line="300" w:lineRule="auto"/>
              <w:ind w:left="315" w:leftChars="0" w:right="6" w:rightChars="0" w:hanging="315" w:hangingChars="15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843" w:type="dxa"/>
            <w:noWrap w:val="0"/>
            <w:vAlign w:val="center"/>
          </w:tcPr>
          <w:p>
            <w:pPr>
              <w:kinsoku/>
              <w:overflowPunct/>
              <w:topLinePunct w:val="0"/>
              <w:bidi w:val="0"/>
              <w:spacing w:line="300" w:lineRule="auto"/>
              <w:ind w:left="-50" w:leftChars="0"/>
              <w:jc w:val="center"/>
              <w:rPr>
                <w:rFonts w:hint="eastAsia" w:ascii="宋体" w:hAnsi="宋体" w:eastAsia="宋体" w:cs="宋体"/>
                <w:sz w:val="21"/>
                <w:szCs w:val="21"/>
              </w:rPr>
            </w:pPr>
            <w:r>
              <w:rPr>
                <w:rFonts w:hint="eastAsia" w:ascii="宋体" w:hAnsi="宋体" w:eastAsia="宋体" w:cs="宋体"/>
                <w:sz w:val="21"/>
                <w:szCs w:val="21"/>
              </w:rPr>
              <w:t>微机房系统</w:t>
            </w:r>
          </w:p>
        </w:tc>
        <w:tc>
          <w:tcPr>
            <w:tcW w:w="685" w:type="dxa"/>
            <w:noWrap w:val="0"/>
            <w:vAlign w:val="center"/>
          </w:tcPr>
          <w:p>
            <w:pPr>
              <w:kinsoku/>
              <w:overflowPunct/>
              <w:topLinePunct w:val="0"/>
              <w:bidi w:val="0"/>
              <w:spacing w:line="300" w:lineRule="auto"/>
              <w:jc w:val="center"/>
              <w:rPr>
                <w:rFonts w:hint="eastAsia" w:ascii="宋体" w:hAnsi="宋体" w:eastAsia="宋体" w:cs="宋体"/>
                <w:snapToGrid w:val="0"/>
                <w:sz w:val="21"/>
                <w:szCs w:val="21"/>
              </w:rPr>
            </w:pPr>
            <w:r>
              <w:rPr>
                <w:rFonts w:hint="eastAsia" w:ascii="宋体" w:hAnsi="宋体" w:cs="宋体"/>
                <w:snapToGrid w:val="0"/>
                <w:sz w:val="21"/>
                <w:szCs w:val="21"/>
                <w:lang w:val="en-US" w:eastAsia="zh-CN"/>
              </w:rPr>
              <w:t>6</w:t>
            </w:r>
            <w:r>
              <w:rPr>
                <w:rFonts w:hint="eastAsia" w:ascii="宋体" w:hAnsi="宋体" w:eastAsia="宋体" w:cs="宋体"/>
                <w:snapToGrid w:val="0"/>
                <w:sz w:val="21"/>
                <w:szCs w:val="21"/>
              </w:rPr>
              <w:t>分</w:t>
            </w:r>
          </w:p>
        </w:tc>
        <w:tc>
          <w:tcPr>
            <w:tcW w:w="6287" w:type="dxa"/>
            <w:noWrap w:val="0"/>
            <w:vAlign w:val="top"/>
          </w:tcPr>
          <w:p>
            <w:pPr>
              <w:kinsoku/>
              <w:overflowPunct/>
              <w:topLinePunct w:val="0"/>
              <w:bidi w:val="0"/>
              <w:spacing w:line="300" w:lineRule="auto"/>
              <w:rPr>
                <w:rFonts w:hint="eastAsia" w:ascii="宋体" w:hAnsi="宋体" w:eastAsia="宋体" w:cs="宋体"/>
                <w:sz w:val="21"/>
                <w:szCs w:val="21"/>
              </w:rPr>
            </w:pPr>
            <w:r>
              <w:rPr>
                <w:rFonts w:hint="eastAsia" w:ascii="宋体" w:hAnsi="宋体" w:eastAsia="宋体" w:cs="宋体"/>
                <w:sz w:val="21"/>
                <w:szCs w:val="21"/>
              </w:rPr>
              <w:t>根据设备的品牌及主要参数的满足性综合比较，由评委横向比较，酌情打分。其中：6.0≥好≥4.0；4.0＞较好≥2.0；2.0＞一般≥0。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33" w:type="dxa"/>
            <w:noWrap w:val="0"/>
            <w:vAlign w:val="center"/>
          </w:tcPr>
          <w:p>
            <w:pPr>
              <w:kinsoku/>
              <w:overflowPunct/>
              <w:topLinePunct w:val="0"/>
              <w:bidi w:val="0"/>
              <w:spacing w:line="300" w:lineRule="auto"/>
              <w:ind w:left="315" w:leftChars="0" w:right="6" w:rightChars="0" w:hanging="315" w:hangingChars="150"/>
              <w:jc w:val="center"/>
              <w:rPr>
                <w:rFonts w:hint="eastAsia" w:ascii="宋体" w:hAnsi="宋体" w:eastAsia="宋体" w:cs="宋体"/>
                <w:sz w:val="21"/>
                <w:szCs w:val="21"/>
                <w:lang w:val="en-US" w:eastAsia="zh-CN"/>
              </w:rPr>
            </w:pPr>
            <w:r>
              <w:rPr>
                <w:rFonts w:hint="eastAsia" w:ascii="宋体" w:hAnsi="宋体" w:eastAsia="宋体" w:cs="宋体"/>
                <w:sz w:val="21"/>
                <w:szCs w:val="21"/>
              </w:rPr>
              <w:t>9</w:t>
            </w:r>
          </w:p>
        </w:tc>
        <w:tc>
          <w:tcPr>
            <w:tcW w:w="1843" w:type="dxa"/>
            <w:noWrap w:val="0"/>
            <w:vAlign w:val="center"/>
          </w:tcPr>
          <w:p>
            <w:pPr>
              <w:kinsoku/>
              <w:overflowPunct/>
              <w:topLinePunct w:val="0"/>
              <w:bidi w:val="0"/>
              <w:spacing w:line="300" w:lineRule="auto"/>
              <w:jc w:val="center"/>
              <w:rPr>
                <w:rFonts w:hint="eastAsia" w:ascii="宋体" w:hAnsi="宋体" w:eastAsia="宋体" w:cs="宋体"/>
                <w:sz w:val="21"/>
                <w:szCs w:val="21"/>
              </w:rPr>
            </w:pPr>
            <w:r>
              <w:rPr>
                <w:rFonts w:hint="eastAsia" w:ascii="宋体" w:hAnsi="宋体" w:eastAsia="宋体" w:cs="宋体"/>
                <w:sz w:val="21"/>
                <w:szCs w:val="21"/>
              </w:rPr>
              <w:t>其他系统</w:t>
            </w:r>
          </w:p>
        </w:tc>
        <w:tc>
          <w:tcPr>
            <w:tcW w:w="685" w:type="dxa"/>
            <w:noWrap w:val="0"/>
            <w:vAlign w:val="center"/>
          </w:tcPr>
          <w:p>
            <w:pPr>
              <w:kinsoku/>
              <w:overflowPunct/>
              <w:topLinePunct w:val="0"/>
              <w:bidi w:val="0"/>
              <w:spacing w:line="300" w:lineRule="auto"/>
              <w:jc w:val="center"/>
              <w:rPr>
                <w:rFonts w:hint="eastAsia" w:ascii="宋体" w:hAnsi="宋体" w:eastAsia="宋体" w:cs="宋体"/>
                <w:snapToGrid w:val="0"/>
                <w:sz w:val="21"/>
                <w:szCs w:val="21"/>
              </w:rPr>
            </w:pPr>
            <w:r>
              <w:rPr>
                <w:rFonts w:hint="eastAsia" w:ascii="宋体" w:hAnsi="宋体" w:cs="宋体"/>
                <w:snapToGrid w:val="0"/>
                <w:sz w:val="21"/>
                <w:szCs w:val="21"/>
                <w:lang w:val="en-US" w:eastAsia="zh-CN"/>
              </w:rPr>
              <w:t>6</w:t>
            </w:r>
            <w:r>
              <w:rPr>
                <w:rFonts w:hint="eastAsia" w:ascii="宋体" w:hAnsi="宋体" w:eastAsia="宋体" w:cs="宋体"/>
                <w:snapToGrid w:val="0"/>
                <w:sz w:val="21"/>
                <w:szCs w:val="21"/>
              </w:rPr>
              <w:t>分</w:t>
            </w:r>
          </w:p>
        </w:tc>
        <w:tc>
          <w:tcPr>
            <w:tcW w:w="6287" w:type="dxa"/>
            <w:noWrap w:val="0"/>
            <w:vAlign w:val="top"/>
          </w:tcPr>
          <w:p>
            <w:pPr>
              <w:kinsoku/>
              <w:overflowPunct/>
              <w:topLinePunct w:val="0"/>
              <w:bidi w:val="0"/>
              <w:spacing w:line="300" w:lineRule="auto"/>
              <w:rPr>
                <w:rFonts w:hint="eastAsia" w:ascii="宋体" w:hAnsi="宋体" w:eastAsia="宋体" w:cs="宋体"/>
                <w:sz w:val="21"/>
                <w:szCs w:val="21"/>
              </w:rPr>
            </w:pPr>
            <w:r>
              <w:rPr>
                <w:rFonts w:hint="eastAsia" w:ascii="宋体" w:hAnsi="宋体" w:eastAsia="宋体" w:cs="宋体"/>
                <w:sz w:val="21"/>
                <w:szCs w:val="21"/>
              </w:rPr>
              <w:t>根据设备的品牌及主要参数的满足性综合比较，由评委横向比较，酌情打分。其中：6.0≥好≥4.0；4.0＞较好≥2.0；2.0＞一般≥0。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33" w:type="dxa"/>
            <w:noWrap w:val="0"/>
            <w:vAlign w:val="center"/>
          </w:tcPr>
          <w:p>
            <w:pPr>
              <w:kinsoku/>
              <w:overflowPunct/>
              <w:topLinePunct w:val="0"/>
              <w:bidi w:val="0"/>
              <w:spacing w:line="300" w:lineRule="auto"/>
              <w:ind w:left="315" w:leftChars="0" w:right="6" w:rightChars="0" w:hanging="315" w:hangingChars="15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10</w:t>
            </w:r>
          </w:p>
        </w:tc>
        <w:tc>
          <w:tcPr>
            <w:tcW w:w="1843" w:type="dxa"/>
            <w:noWrap w:val="0"/>
            <w:vAlign w:val="center"/>
          </w:tcPr>
          <w:p>
            <w:pPr>
              <w:kinsoku/>
              <w:overflowPunct/>
              <w:topLinePunct w:val="0"/>
              <w:bidi w:val="0"/>
              <w:spacing w:line="300" w:lineRule="auto"/>
              <w:ind w:left="-50" w:leftChars="0"/>
              <w:jc w:val="center"/>
              <w:rPr>
                <w:rFonts w:hint="eastAsia" w:ascii="宋体" w:hAnsi="宋体" w:eastAsia="宋体" w:cs="宋体"/>
                <w:sz w:val="21"/>
                <w:szCs w:val="21"/>
              </w:rPr>
            </w:pPr>
            <w:r>
              <w:rPr>
                <w:rFonts w:hint="eastAsia" w:ascii="新宋体" w:hAnsi="新宋体" w:eastAsia="新宋体"/>
                <w:szCs w:val="21"/>
              </w:rPr>
              <w:t>2016年1月1日以来</w:t>
            </w:r>
            <w:r>
              <w:rPr>
                <w:rFonts w:hint="eastAsia" w:ascii="新宋体" w:hAnsi="新宋体" w:eastAsia="新宋体"/>
                <w:szCs w:val="21"/>
                <w:lang w:eastAsia="zh-CN"/>
              </w:rPr>
              <w:t>企业</w:t>
            </w:r>
            <w:r>
              <w:rPr>
                <w:rFonts w:hint="eastAsia" w:ascii="宋体" w:hAnsi="宋体"/>
                <w:snapToGrid w:val="0"/>
                <w:szCs w:val="21"/>
              </w:rPr>
              <w:t>同类</w:t>
            </w:r>
            <w:r>
              <w:rPr>
                <w:rFonts w:hint="eastAsia" w:hAnsi="宋体"/>
                <w:szCs w:val="21"/>
              </w:rPr>
              <w:t>业绩</w:t>
            </w:r>
          </w:p>
        </w:tc>
        <w:tc>
          <w:tcPr>
            <w:tcW w:w="685" w:type="dxa"/>
            <w:noWrap w:val="0"/>
            <w:vAlign w:val="center"/>
          </w:tcPr>
          <w:p>
            <w:pPr>
              <w:kinsoku/>
              <w:overflowPunct/>
              <w:topLinePunct w:val="0"/>
              <w:bidi w:val="0"/>
              <w:spacing w:line="300" w:lineRule="auto"/>
              <w:jc w:val="center"/>
              <w:rPr>
                <w:rFonts w:hint="eastAsia" w:ascii="宋体" w:hAnsi="宋体" w:eastAsia="宋体" w:cs="宋体"/>
                <w:snapToGrid w:val="0"/>
                <w:sz w:val="21"/>
                <w:szCs w:val="21"/>
              </w:rPr>
            </w:pPr>
            <w:r>
              <w:rPr>
                <w:rFonts w:hint="eastAsia" w:ascii="宋体" w:hAnsi="宋体"/>
                <w:snapToGrid w:val="0"/>
                <w:szCs w:val="21"/>
                <w:lang w:val="en-US" w:eastAsia="zh-CN"/>
              </w:rPr>
              <w:t>10</w:t>
            </w:r>
            <w:r>
              <w:rPr>
                <w:rFonts w:hint="eastAsia" w:ascii="宋体" w:hAnsi="宋体"/>
                <w:snapToGrid w:val="0"/>
                <w:szCs w:val="21"/>
              </w:rPr>
              <w:t>分</w:t>
            </w:r>
          </w:p>
        </w:tc>
        <w:tc>
          <w:tcPr>
            <w:tcW w:w="6287" w:type="dxa"/>
            <w:noWrap w:val="0"/>
            <w:vAlign w:val="center"/>
          </w:tcPr>
          <w:p>
            <w:pPr>
              <w:kinsoku/>
              <w:overflowPunct/>
              <w:topLinePunct w:val="0"/>
              <w:bidi w:val="0"/>
              <w:spacing w:line="300" w:lineRule="auto"/>
              <w:rPr>
                <w:rFonts w:hint="eastAsia" w:ascii="宋体" w:hAnsi="宋体" w:eastAsia="宋体" w:cs="宋体"/>
                <w:sz w:val="21"/>
                <w:szCs w:val="21"/>
              </w:rPr>
            </w:pPr>
            <w:r>
              <w:rPr>
                <w:rFonts w:hint="eastAsia" w:ascii="宋体" w:hAnsi="宋体"/>
                <w:snapToGrid w:val="0"/>
                <w:szCs w:val="21"/>
              </w:rPr>
              <w:t>根据2016年1月1日以来</w:t>
            </w:r>
            <w:r>
              <w:rPr>
                <w:rFonts w:hint="eastAsia" w:ascii="新宋体" w:hAnsi="新宋体" w:eastAsia="新宋体"/>
                <w:szCs w:val="21"/>
                <w:lang w:eastAsia="zh-CN"/>
              </w:rPr>
              <w:t>企业</w:t>
            </w:r>
            <w:r>
              <w:rPr>
                <w:rFonts w:hint="eastAsia" w:ascii="宋体" w:hAnsi="宋体"/>
                <w:snapToGrid w:val="0"/>
                <w:szCs w:val="21"/>
              </w:rPr>
              <w:t>同类项目业绩每提供1个得</w:t>
            </w:r>
            <w:r>
              <w:rPr>
                <w:rFonts w:hint="eastAsia" w:ascii="宋体" w:hAnsi="宋体"/>
                <w:snapToGrid w:val="0"/>
                <w:szCs w:val="21"/>
                <w:lang w:val="en-US" w:eastAsia="zh-CN"/>
              </w:rPr>
              <w:t>2</w:t>
            </w:r>
            <w:r>
              <w:rPr>
                <w:rFonts w:hint="eastAsia" w:ascii="宋体" w:hAnsi="宋体"/>
                <w:snapToGrid w:val="0"/>
                <w:szCs w:val="21"/>
              </w:rPr>
              <w:t>分；最高得</w:t>
            </w:r>
            <w:r>
              <w:rPr>
                <w:rFonts w:hint="eastAsia" w:ascii="宋体" w:hAnsi="宋体"/>
                <w:snapToGrid w:val="0"/>
                <w:szCs w:val="21"/>
                <w:lang w:val="en-US" w:eastAsia="zh-CN"/>
              </w:rPr>
              <w:t>10</w:t>
            </w:r>
            <w:r>
              <w:rPr>
                <w:rFonts w:hint="eastAsia" w:ascii="宋体" w:hAnsi="宋体"/>
                <w:snapToGrid w:val="0"/>
                <w:szCs w:val="21"/>
              </w:rPr>
              <w:t>分。（业绩有效性认定，需提供证明材料，包括合同和验收记录(纪要或报告)，或者合同和发票，或者合同和中标通知书，复印件加盖公章。业绩认定时间以合同签订时间为准。）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5" w:hRule="atLeast"/>
        </w:trPr>
        <w:tc>
          <w:tcPr>
            <w:tcW w:w="533" w:type="dxa"/>
            <w:noWrap w:val="0"/>
            <w:vAlign w:val="center"/>
          </w:tcPr>
          <w:p>
            <w:pPr>
              <w:kinsoku/>
              <w:overflowPunct/>
              <w:topLinePunct w:val="0"/>
              <w:bidi w:val="0"/>
              <w:spacing w:line="300" w:lineRule="auto"/>
              <w:ind w:left="315" w:leftChars="0" w:right="6" w:rightChars="0" w:hanging="315" w:hangingChars="150"/>
              <w:jc w:val="center"/>
              <w:rPr>
                <w:rFonts w:hint="default" w:ascii="宋体" w:hAnsi="宋体" w:eastAsia="宋体" w:cs="宋体"/>
                <w:sz w:val="21"/>
                <w:szCs w:val="21"/>
                <w:lang w:val="en-US" w:eastAsia="zh-CN"/>
              </w:rPr>
            </w:pPr>
            <w:r>
              <w:rPr>
                <w:rFonts w:hint="eastAsia" w:ascii="Arial" w:hAnsi="宋体" w:cs="Arial"/>
              </w:rPr>
              <w:t>11</w:t>
            </w:r>
          </w:p>
        </w:tc>
        <w:tc>
          <w:tcPr>
            <w:tcW w:w="1843" w:type="dxa"/>
            <w:noWrap w:val="0"/>
            <w:vAlign w:val="center"/>
          </w:tcPr>
          <w:p>
            <w:pPr>
              <w:kinsoku/>
              <w:overflowPunct/>
              <w:topLinePunct w:val="0"/>
              <w:bidi w:val="0"/>
              <w:spacing w:line="300" w:lineRule="auto"/>
              <w:ind w:left="-50" w:leftChars="0"/>
              <w:jc w:val="center"/>
              <w:rPr>
                <w:rFonts w:hint="eastAsia" w:ascii="宋体" w:hAnsi="宋体" w:eastAsia="宋体" w:cs="宋体"/>
                <w:snapToGrid w:val="0"/>
                <w:sz w:val="21"/>
                <w:szCs w:val="21"/>
              </w:rPr>
            </w:pPr>
            <w:r>
              <w:rPr>
                <w:rFonts w:hint="eastAsia"/>
                <w:szCs w:val="22"/>
              </w:rPr>
              <w:t>项目实施方案</w:t>
            </w:r>
          </w:p>
        </w:tc>
        <w:tc>
          <w:tcPr>
            <w:tcW w:w="685" w:type="dxa"/>
            <w:noWrap w:val="0"/>
            <w:vAlign w:val="center"/>
          </w:tcPr>
          <w:p>
            <w:pPr>
              <w:kinsoku/>
              <w:overflowPunct/>
              <w:topLinePunct w:val="0"/>
              <w:bidi w:val="0"/>
              <w:spacing w:line="300" w:lineRule="auto"/>
              <w:jc w:val="center"/>
              <w:rPr>
                <w:rFonts w:hint="eastAsia" w:ascii="宋体" w:hAnsi="宋体" w:eastAsia="宋体" w:cs="宋体"/>
                <w:snapToGrid w:val="0"/>
                <w:sz w:val="21"/>
                <w:szCs w:val="21"/>
              </w:rPr>
            </w:pPr>
            <w:r>
              <w:rPr>
                <w:rFonts w:hint="eastAsia" w:ascii="宋体" w:hAnsi="宋体"/>
                <w:snapToGrid w:val="0"/>
                <w:szCs w:val="21"/>
              </w:rPr>
              <w:t>6分</w:t>
            </w:r>
          </w:p>
        </w:tc>
        <w:tc>
          <w:tcPr>
            <w:tcW w:w="6287" w:type="dxa"/>
            <w:noWrap w:val="0"/>
            <w:vAlign w:val="center"/>
          </w:tcPr>
          <w:p>
            <w:pPr>
              <w:kinsoku/>
              <w:overflowPunct/>
              <w:topLinePunct w:val="0"/>
              <w:bidi w:val="0"/>
              <w:spacing w:line="300" w:lineRule="auto"/>
              <w:rPr>
                <w:rFonts w:hint="eastAsia" w:ascii="宋体" w:hAnsi="宋体" w:eastAsia="宋体" w:cs="宋体"/>
                <w:sz w:val="21"/>
                <w:szCs w:val="21"/>
              </w:rPr>
            </w:pPr>
            <w:r>
              <w:rPr>
                <w:rFonts w:hint="eastAsia" w:ascii="宋体" w:hAnsi="宋体"/>
                <w:snapToGrid w:val="0"/>
                <w:szCs w:val="21"/>
              </w:rPr>
              <w:t>根据项目实施方案与技术措施、进度计划与措施、资源配备计划等综合比较，由</w:t>
            </w:r>
            <w:r>
              <w:rPr>
                <w:rFonts w:hint="eastAsia" w:ascii="宋体" w:hAnsi="宋体"/>
                <w:snapToGrid w:val="0"/>
                <w:szCs w:val="21"/>
                <w:lang w:eastAsia="zh-CN"/>
              </w:rPr>
              <w:t>磋商小组</w:t>
            </w:r>
            <w:r>
              <w:rPr>
                <w:rFonts w:hint="eastAsia" w:ascii="宋体" w:hAnsi="宋体"/>
                <w:snapToGrid w:val="0"/>
                <w:szCs w:val="21"/>
              </w:rPr>
              <w:t>综合打分。</w:t>
            </w:r>
            <w:r>
              <w:rPr>
                <w:rFonts w:hint="eastAsia" w:ascii="Arial" w:hAnsi="宋体" w:cs="Arial"/>
              </w:rPr>
              <w:t>其中：6.0≥好≥4.0；4.0＞较好≥2.0；2.0＞一般≥0。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33" w:type="dxa"/>
            <w:noWrap w:val="0"/>
            <w:vAlign w:val="center"/>
          </w:tcPr>
          <w:p>
            <w:pPr>
              <w:kinsoku/>
              <w:overflowPunct/>
              <w:topLinePunct w:val="0"/>
              <w:bidi w:val="0"/>
              <w:spacing w:line="300" w:lineRule="auto"/>
              <w:ind w:left="315" w:leftChars="0" w:right="6" w:rightChars="0" w:hanging="315" w:hangingChars="150"/>
              <w:jc w:val="center"/>
              <w:rPr>
                <w:rFonts w:hint="default" w:ascii="宋体" w:hAnsi="宋体" w:cs="宋体"/>
                <w:sz w:val="21"/>
                <w:szCs w:val="21"/>
                <w:lang w:val="en-US" w:eastAsia="zh-CN"/>
              </w:rPr>
            </w:pPr>
            <w:r>
              <w:rPr>
                <w:rFonts w:hint="eastAsia" w:ascii="宋体" w:hAnsi="宋体" w:cs="宋体"/>
                <w:sz w:val="21"/>
                <w:szCs w:val="21"/>
                <w:lang w:val="en-US" w:eastAsia="zh-CN"/>
              </w:rPr>
              <w:t>12</w:t>
            </w:r>
          </w:p>
        </w:tc>
        <w:tc>
          <w:tcPr>
            <w:tcW w:w="1843" w:type="dxa"/>
            <w:noWrap w:val="0"/>
            <w:vAlign w:val="center"/>
          </w:tcPr>
          <w:p>
            <w:pPr>
              <w:kinsoku/>
              <w:overflowPunct/>
              <w:topLinePunct w:val="0"/>
              <w:bidi w:val="0"/>
              <w:spacing w:line="300" w:lineRule="auto"/>
              <w:ind w:left="-50" w:leftChars="0"/>
              <w:jc w:val="center"/>
              <w:rPr>
                <w:rFonts w:hint="eastAsia"/>
                <w:szCs w:val="22"/>
              </w:rPr>
            </w:pPr>
            <w:r>
              <w:rPr>
                <w:rFonts w:hint="eastAsia" w:ascii="宋体" w:hAnsi="宋体"/>
                <w:snapToGrid w:val="0"/>
                <w:szCs w:val="21"/>
              </w:rPr>
              <w:t>售后服务</w:t>
            </w:r>
          </w:p>
        </w:tc>
        <w:tc>
          <w:tcPr>
            <w:tcW w:w="685" w:type="dxa"/>
            <w:noWrap w:val="0"/>
            <w:vAlign w:val="center"/>
          </w:tcPr>
          <w:p>
            <w:pPr>
              <w:kinsoku/>
              <w:overflowPunct/>
              <w:topLinePunct w:val="0"/>
              <w:bidi w:val="0"/>
              <w:spacing w:line="300" w:lineRule="auto"/>
              <w:jc w:val="center"/>
              <w:rPr>
                <w:rFonts w:hint="eastAsia" w:ascii="宋体" w:hAnsi="宋体"/>
                <w:snapToGrid w:val="0"/>
                <w:szCs w:val="21"/>
              </w:rPr>
            </w:pPr>
            <w:r>
              <w:rPr>
                <w:rFonts w:hint="eastAsia" w:ascii="宋体" w:hAnsi="宋体"/>
                <w:snapToGrid w:val="0"/>
                <w:szCs w:val="21"/>
                <w:lang w:val="en-US" w:eastAsia="zh-CN"/>
              </w:rPr>
              <w:t>5</w:t>
            </w:r>
            <w:r>
              <w:rPr>
                <w:rFonts w:hint="eastAsia" w:ascii="宋体" w:hAnsi="宋体"/>
                <w:snapToGrid w:val="0"/>
                <w:szCs w:val="21"/>
              </w:rPr>
              <w:t>分</w:t>
            </w:r>
          </w:p>
        </w:tc>
        <w:tc>
          <w:tcPr>
            <w:tcW w:w="6287" w:type="dxa"/>
            <w:noWrap w:val="0"/>
            <w:vAlign w:val="center"/>
          </w:tcPr>
          <w:p>
            <w:pPr>
              <w:kinsoku/>
              <w:overflowPunct/>
              <w:topLinePunct w:val="0"/>
              <w:bidi w:val="0"/>
              <w:spacing w:line="300" w:lineRule="auto"/>
              <w:rPr>
                <w:rFonts w:hint="eastAsia" w:ascii="宋体" w:hAnsi="宋体"/>
                <w:snapToGrid w:val="0"/>
                <w:szCs w:val="21"/>
              </w:rPr>
            </w:pPr>
            <w:r>
              <w:rPr>
                <w:rFonts w:hint="eastAsia" w:ascii="宋体" w:hAnsi="宋体" w:cs="Arial"/>
                <w:szCs w:val="21"/>
              </w:rPr>
              <w:t>根据</w:t>
            </w:r>
            <w:r>
              <w:rPr>
                <w:rFonts w:hint="eastAsia" w:ascii="宋体" w:hAnsi="宋体"/>
                <w:snapToGrid w:val="0"/>
                <w:szCs w:val="21"/>
              </w:rPr>
              <w:t>供应商</w:t>
            </w:r>
            <w:r>
              <w:rPr>
                <w:rFonts w:ascii="Arial" w:cs="Arial"/>
                <w:szCs w:val="21"/>
              </w:rPr>
              <w:t>的售后服务方案，</w:t>
            </w:r>
            <w:r>
              <w:rPr>
                <w:rFonts w:hint="eastAsia" w:ascii="宋体" w:hAnsi="宋体"/>
                <w:snapToGrid w:val="0"/>
                <w:szCs w:val="21"/>
              </w:rPr>
              <w:t>供应商</w:t>
            </w:r>
            <w:r>
              <w:rPr>
                <w:rFonts w:ascii="Arial" w:cs="Arial"/>
                <w:szCs w:val="21"/>
              </w:rPr>
              <w:t>提供的保修服务、质保期限、返修的及时性、品质问题的响应时间、</w:t>
            </w:r>
            <w:r>
              <w:rPr>
                <w:rFonts w:hint="eastAsia" w:ascii="宋体" w:hAnsi="宋体"/>
                <w:snapToGrid w:val="0"/>
                <w:szCs w:val="21"/>
              </w:rPr>
              <w:t>供应商</w:t>
            </w:r>
            <w:r>
              <w:rPr>
                <w:rFonts w:ascii="Arial" w:cs="Arial"/>
                <w:szCs w:val="21"/>
              </w:rPr>
              <w:t>配套服务方案</w:t>
            </w:r>
            <w:r>
              <w:rPr>
                <w:rFonts w:hint="eastAsia" w:ascii="Arial" w:cs="Arial"/>
                <w:szCs w:val="21"/>
              </w:rPr>
              <w:t>和承诺等，</w:t>
            </w:r>
            <w:r>
              <w:rPr>
                <w:rFonts w:hint="eastAsia" w:ascii="宋体" w:hAnsi="宋体"/>
                <w:snapToGrid w:val="0"/>
                <w:color w:val="000000"/>
                <w:szCs w:val="21"/>
              </w:rPr>
              <w:t>由</w:t>
            </w:r>
            <w:r>
              <w:rPr>
                <w:rFonts w:hint="eastAsia" w:ascii="宋体" w:hAnsi="宋体"/>
                <w:snapToGrid w:val="0"/>
                <w:color w:val="000000"/>
                <w:szCs w:val="21"/>
                <w:lang w:eastAsia="zh-CN"/>
              </w:rPr>
              <w:t>磋商小组</w:t>
            </w:r>
            <w:r>
              <w:rPr>
                <w:rFonts w:hint="eastAsia" w:ascii="宋体" w:hAnsi="宋体"/>
                <w:snapToGrid w:val="0"/>
                <w:color w:val="000000"/>
                <w:szCs w:val="21"/>
              </w:rPr>
              <w:t>横向比较综合打分，其中：</w:t>
            </w:r>
            <w:r>
              <w:rPr>
                <w:rFonts w:hint="eastAsia" w:ascii="宋体" w:hAnsi="宋体"/>
                <w:snapToGrid w:val="0"/>
                <w:szCs w:val="21"/>
                <w:lang w:val="en-US" w:eastAsia="zh-CN"/>
              </w:rPr>
              <w:t>5</w:t>
            </w:r>
            <w:r>
              <w:rPr>
                <w:rFonts w:hint="eastAsia" w:ascii="宋体" w:hAnsi="宋体"/>
                <w:snapToGrid w:val="0"/>
                <w:szCs w:val="21"/>
              </w:rPr>
              <w:t>.0分≥好≥</w:t>
            </w:r>
            <w:r>
              <w:rPr>
                <w:rFonts w:hint="eastAsia" w:ascii="宋体" w:hAnsi="宋体"/>
                <w:snapToGrid w:val="0"/>
                <w:szCs w:val="21"/>
                <w:lang w:val="en-US" w:eastAsia="zh-CN"/>
              </w:rPr>
              <w:t>3</w:t>
            </w:r>
            <w:r>
              <w:rPr>
                <w:rFonts w:hint="eastAsia" w:ascii="宋体" w:hAnsi="宋体"/>
                <w:snapToGrid w:val="0"/>
                <w:szCs w:val="21"/>
              </w:rPr>
              <w:t>分；</w:t>
            </w:r>
            <w:r>
              <w:rPr>
                <w:rFonts w:hint="eastAsia" w:ascii="宋体" w:hAnsi="宋体"/>
                <w:snapToGrid w:val="0"/>
                <w:szCs w:val="21"/>
                <w:lang w:val="en-US" w:eastAsia="zh-CN"/>
              </w:rPr>
              <w:t>3</w:t>
            </w:r>
            <w:r>
              <w:rPr>
                <w:rFonts w:hint="eastAsia" w:ascii="宋体" w:hAnsi="宋体"/>
                <w:snapToGrid w:val="0"/>
                <w:szCs w:val="21"/>
              </w:rPr>
              <w:t>分＞较好≥1.</w:t>
            </w:r>
            <w:r>
              <w:rPr>
                <w:rFonts w:hint="eastAsia" w:ascii="宋体" w:hAnsi="宋体"/>
                <w:snapToGrid w:val="0"/>
                <w:szCs w:val="21"/>
                <w:lang w:val="en-US" w:eastAsia="zh-CN"/>
              </w:rPr>
              <w:t>5</w:t>
            </w:r>
            <w:r>
              <w:rPr>
                <w:rFonts w:hint="eastAsia" w:ascii="宋体" w:hAnsi="宋体"/>
                <w:snapToGrid w:val="0"/>
                <w:szCs w:val="21"/>
              </w:rPr>
              <w:t>分；1.</w:t>
            </w:r>
            <w:r>
              <w:rPr>
                <w:rFonts w:hint="eastAsia" w:ascii="宋体" w:hAnsi="宋体"/>
                <w:snapToGrid w:val="0"/>
                <w:szCs w:val="21"/>
                <w:lang w:val="en-US" w:eastAsia="zh-CN"/>
              </w:rPr>
              <w:t>5</w:t>
            </w:r>
            <w:r>
              <w:rPr>
                <w:rFonts w:hint="eastAsia" w:ascii="宋体" w:hAnsi="宋体"/>
                <w:snapToGrid w:val="0"/>
                <w:szCs w:val="21"/>
              </w:rPr>
              <w:t>分＞一般≥0分。</w:t>
            </w:r>
          </w:p>
        </w:tc>
      </w:tr>
    </w:tbl>
    <w:p>
      <w:pPr>
        <w:kinsoku/>
        <w:overflowPunct/>
        <w:topLinePunct w:val="0"/>
        <w:bidi w:val="0"/>
        <w:spacing w:line="300" w:lineRule="auto"/>
        <w:rPr>
          <w:rFonts w:ascii="宋体" w:hAnsi="宋体" w:cs="Arial"/>
          <w:bCs/>
          <w:kern w:val="28"/>
        </w:rPr>
      </w:pPr>
      <w:r>
        <w:rPr>
          <w:rFonts w:hint="eastAsia" w:ascii="宋体" w:hAnsi="宋体" w:cs="Arial"/>
          <w:bCs/>
          <w:kern w:val="28"/>
        </w:rPr>
        <w:t>注：以上各类证明文件复印件均需加盖公章，附在响应文件中；提供材料不真实、不完整或伪造证明材料的，后果自负。</w:t>
      </w:r>
    </w:p>
    <w:p>
      <w:pPr>
        <w:kinsoku/>
        <w:overflowPunct/>
        <w:topLinePunct w:val="0"/>
        <w:bidi w:val="0"/>
        <w:spacing w:line="300" w:lineRule="auto"/>
        <w:rPr>
          <w:rFonts w:hint="eastAsia" w:ascii="宋体" w:hAnsi="宋体"/>
          <w:b/>
          <w:szCs w:val="21"/>
        </w:rPr>
      </w:pPr>
      <w:r>
        <w:rPr>
          <w:rFonts w:hint="eastAsia" w:ascii="宋体" w:hAnsi="宋体"/>
          <w:b/>
          <w:szCs w:val="21"/>
        </w:rPr>
        <w:t>5、报价评分（</w:t>
      </w:r>
      <w:r>
        <w:rPr>
          <w:rFonts w:hint="eastAsia" w:ascii="宋体" w:hAnsi="宋体"/>
          <w:b/>
          <w:szCs w:val="21"/>
          <w:lang w:val="en-US" w:eastAsia="zh-CN"/>
        </w:rPr>
        <w:t>3</w:t>
      </w:r>
      <w:r>
        <w:rPr>
          <w:rFonts w:hint="eastAsia" w:ascii="宋体" w:hAnsi="宋体"/>
          <w:b/>
          <w:szCs w:val="21"/>
          <w:lang w:val="en-US" w:eastAsia="zh-CN"/>
        </w:rPr>
        <w:t>0</w:t>
      </w:r>
      <w:r>
        <w:rPr>
          <w:rFonts w:hint="eastAsia" w:ascii="宋体" w:hAnsi="宋体"/>
          <w:b/>
          <w:szCs w:val="21"/>
        </w:rPr>
        <w:t>分）</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327"/>
        <w:gridCol w:w="7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08" w:type="dxa"/>
            <w:noWrap w:val="0"/>
            <w:vAlign w:val="center"/>
          </w:tcPr>
          <w:p>
            <w:pPr>
              <w:kinsoku/>
              <w:overflowPunct/>
              <w:topLinePunct w:val="0"/>
              <w:bidi w:val="0"/>
              <w:spacing w:line="300" w:lineRule="auto"/>
              <w:jc w:val="center"/>
              <w:rPr>
                <w:rFonts w:ascii="宋体" w:hAnsi="宋体" w:cs="Arial"/>
                <w:bCs/>
                <w:kern w:val="28"/>
              </w:rPr>
            </w:pPr>
            <w:r>
              <w:rPr>
                <w:rFonts w:hint="eastAsia" w:ascii="宋体" w:hAnsi="宋体" w:cs="Arial"/>
                <w:bCs/>
                <w:kern w:val="28"/>
              </w:rPr>
              <w:t>序号</w:t>
            </w:r>
          </w:p>
        </w:tc>
        <w:tc>
          <w:tcPr>
            <w:tcW w:w="1327" w:type="dxa"/>
            <w:noWrap w:val="0"/>
            <w:vAlign w:val="center"/>
          </w:tcPr>
          <w:p>
            <w:pPr>
              <w:kinsoku/>
              <w:overflowPunct/>
              <w:topLinePunct w:val="0"/>
              <w:bidi w:val="0"/>
              <w:spacing w:line="300" w:lineRule="auto"/>
              <w:jc w:val="center"/>
              <w:rPr>
                <w:rFonts w:ascii="宋体" w:hAnsi="宋体" w:cs="Arial"/>
                <w:bCs/>
                <w:kern w:val="28"/>
              </w:rPr>
            </w:pPr>
            <w:r>
              <w:rPr>
                <w:rFonts w:hint="eastAsia" w:ascii="宋体" w:hAnsi="宋体" w:cs="Arial"/>
                <w:bCs/>
                <w:kern w:val="28"/>
              </w:rPr>
              <w:t>评审内容及分值</w:t>
            </w:r>
          </w:p>
        </w:tc>
        <w:tc>
          <w:tcPr>
            <w:tcW w:w="7126" w:type="dxa"/>
            <w:noWrap w:val="0"/>
            <w:vAlign w:val="center"/>
          </w:tcPr>
          <w:p>
            <w:pPr>
              <w:kinsoku/>
              <w:overflowPunct/>
              <w:topLinePunct w:val="0"/>
              <w:bidi w:val="0"/>
              <w:spacing w:line="300" w:lineRule="auto"/>
              <w:jc w:val="center"/>
              <w:rPr>
                <w:rFonts w:ascii="宋体" w:hAnsi="宋体" w:cs="Arial"/>
                <w:bCs/>
                <w:kern w:val="28"/>
              </w:rPr>
            </w:pPr>
            <w:r>
              <w:rPr>
                <w:rFonts w:hint="eastAsia" w:ascii="宋体" w:hAnsi="宋体" w:cs="Arial"/>
                <w:bCs/>
                <w:kern w:val="2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08" w:type="dxa"/>
            <w:noWrap w:val="0"/>
            <w:vAlign w:val="center"/>
          </w:tcPr>
          <w:p>
            <w:pPr>
              <w:kinsoku/>
              <w:overflowPunct/>
              <w:topLinePunct w:val="0"/>
              <w:bidi w:val="0"/>
              <w:spacing w:line="300" w:lineRule="auto"/>
              <w:jc w:val="center"/>
              <w:rPr>
                <w:rFonts w:ascii="宋体" w:hAnsi="宋体" w:cs="Arial"/>
                <w:bCs/>
                <w:kern w:val="28"/>
              </w:rPr>
            </w:pPr>
            <w:r>
              <w:rPr>
                <w:rFonts w:hint="eastAsia" w:ascii="宋体" w:hAnsi="宋体" w:cs="Arial"/>
                <w:bCs/>
                <w:kern w:val="28"/>
              </w:rPr>
              <w:t>1</w:t>
            </w:r>
          </w:p>
        </w:tc>
        <w:tc>
          <w:tcPr>
            <w:tcW w:w="1327" w:type="dxa"/>
            <w:noWrap w:val="0"/>
            <w:vAlign w:val="center"/>
          </w:tcPr>
          <w:p>
            <w:pPr>
              <w:kinsoku/>
              <w:overflowPunct/>
              <w:topLinePunct w:val="0"/>
              <w:bidi w:val="0"/>
              <w:spacing w:line="300" w:lineRule="auto"/>
              <w:jc w:val="center"/>
              <w:rPr>
                <w:rFonts w:ascii="宋体" w:hAnsi="宋体" w:cs="Arial"/>
                <w:bCs/>
                <w:kern w:val="28"/>
              </w:rPr>
            </w:pPr>
            <w:r>
              <w:rPr>
                <w:rFonts w:hint="eastAsia" w:ascii="宋体" w:hAnsi="宋体" w:cs="Arial"/>
                <w:bCs/>
                <w:kern w:val="28"/>
              </w:rPr>
              <w:t>报价得分（</w:t>
            </w:r>
            <w:r>
              <w:rPr>
                <w:rFonts w:hint="eastAsia" w:ascii="宋体" w:hAnsi="宋体" w:cs="Arial"/>
                <w:bCs/>
                <w:kern w:val="28"/>
                <w:lang w:val="en-US" w:eastAsia="zh-CN"/>
              </w:rPr>
              <w:t>3</w:t>
            </w:r>
            <w:r>
              <w:rPr>
                <w:rFonts w:ascii="宋体" w:hAnsi="宋体" w:cs="Arial"/>
                <w:bCs/>
                <w:kern w:val="28"/>
              </w:rPr>
              <w:t>0</w:t>
            </w:r>
            <w:r>
              <w:rPr>
                <w:rFonts w:hint="eastAsia" w:ascii="宋体" w:hAnsi="宋体" w:cs="Arial"/>
                <w:bCs/>
                <w:kern w:val="28"/>
              </w:rPr>
              <w:t>分）</w:t>
            </w:r>
          </w:p>
        </w:tc>
        <w:tc>
          <w:tcPr>
            <w:tcW w:w="7126" w:type="dxa"/>
            <w:noWrap w:val="0"/>
            <w:vAlign w:val="center"/>
          </w:tcPr>
          <w:p>
            <w:pPr>
              <w:kinsoku/>
              <w:overflowPunct/>
              <w:topLinePunct w:val="0"/>
              <w:bidi w:val="0"/>
              <w:spacing w:line="300" w:lineRule="auto"/>
              <w:rPr>
                <w:rFonts w:ascii="宋体" w:hAnsi="宋体" w:cs="Arial"/>
                <w:bCs/>
                <w:kern w:val="28"/>
              </w:rPr>
            </w:pPr>
            <w:r>
              <w:rPr>
                <w:rFonts w:hint="eastAsia" w:ascii="宋体" w:hAnsi="宋体" w:cs="Arial"/>
                <w:bCs/>
                <w:kern w:val="28"/>
              </w:rPr>
              <w:t>价格分采用低价优先法计算，即满足磋商文件要求且最终报价最低的评标价为评标基准价，其价格分为满分30分，其他供应商的价格分按照下列公式计算：其他供应商的价格分=评标基准价/评标价×30%×100。</w:t>
            </w:r>
          </w:p>
          <w:p>
            <w:pPr>
              <w:kinsoku/>
              <w:overflowPunct/>
              <w:topLinePunct w:val="0"/>
              <w:bidi w:val="0"/>
              <w:spacing w:line="300" w:lineRule="auto"/>
              <w:rPr>
                <w:rFonts w:hint="eastAsia" w:ascii="宋体" w:hAnsi="宋体" w:cs="Arial"/>
                <w:bCs/>
                <w:kern w:val="28"/>
              </w:rPr>
            </w:pPr>
            <w:r>
              <w:rPr>
                <w:rFonts w:hint="eastAsia" w:ascii="宋体" w:hAnsi="宋体" w:cs="Arial"/>
                <w:bCs/>
                <w:kern w:val="28"/>
              </w:rPr>
              <w:t>计算以最终报价确定的评标价为依据，最终报价超最高限价的，其投标无效。</w:t>
            </w:r>
          </w:p>
          <w:p>
            <w:pPr>
              <w:kinsoku/>
              <w:overflowPunct/>
              <w:topLinePunct w:val="0"/>
              <w:bidi w:val="0"/>
              <w:spacing w:line="300" w:lineRule="auto"/>
              <w:rPr>
                <w:rFonts w:ascii="宋体" w:hAnsi="宋体" w:cs="Arial"/>
                <w:b/>
                <w:bCs/>
                <w:kern w:val="28"/>
              </w:rPr>
            </w:pPr>
            <w:r>
              <w:rPr>
                <w:rFonts w:ascii="宋体" w:hAnsi="宋体" w:cs="Arial"/>
                <w:b/>
                <w:bCs/>
                <w:kern w:val="28"/>
              </w:rPr>
              <w:t>1</w:t>
            </w:r>
            <w:r>
              <w:rPr>
                <w:rFonts w:hint="eastAsia" w:ascii="宋体" w:hAnsi="宋体" w:cs="Arial"/>
                <w:b/>
                <w:bCs/>
                <w:kern w:val="28"/>
              </w:rPr>
              <w:t>、依据《政府采购促进中小企业发展暂行办法》（财库〔</w:t>
            </w:r>
            <w:r>
              <w:rPr>
                <w:rFonts w:ascii="宋体" w:hAnsi="宋体" w:cs="Arial"/>
                <w:b/>
                <w:bCs/>
                <w:kern w:val="28"/>
              </w:rPr>
              <w:t>2011</w:t>
            </w:r>
            <w:r>
              <w:rPr>
                <w:rFonts w:hint="eastAsia" w:ascii="宋体" w:hAnsi="宋体" w:cs="Arial"/>
                <w:b/>
                <w:bCs/>
                <w:kern w:val="28"/>
              </w:rPr>
              <w:t>〕</w:t>
            </w:r>
            <w:r>
              <w:rPr>
                <w:rFonts w:ascii="宋体" w:hAnsi="宋体" w:cs="Arial"/>
                <w:b/>
                <w:bCs/>
                <w:kern w:val="28"/>
              </w:rPr>
              <w:t>181</w:t>
            </w:r>
            <w:r>
              <w:rPr>
                <w:rFonts w:hint="eastAsia" w:ascii="宋体" w:hAnsi="宋体" w:cs="Arial"/>
                <w:b/>
                <w:bCs/>
                <w:kern w:val="28"/>
              </w:rPr>
              <w:t>号）文件及《财政部、司法部关于政府采购支持监狱企业发展有关问题的通知》（财库〔</w:t>
            </w:r>
            <w:r>
              <w:rPr>
                <w:rFonts w:ascii="宋体" w:hAnsi="宋体" w:cs="Arial"/>
                <w:b/>
                <w:bCs/>
                <w:kern w:val="28"/>
              </w:rPr>
              <w:t>2014</w:t>
            </w:r>
            <w:r>
              <w:rPr>
                <w:rFonts w:hint="eastAsia" w:ascii="宋体" w:hAnsi="宋体" w:cs="Arial"/>
                <w:b/>
                <w:bCs/>
                <w:kern w:val="28"/>
              </w:rPr>
              <w:t>〕</w:t>
            </w:r>
            <w:r>
              <w:rPr>
                <w:rFonts w:ascii="宋体" w:hAnsi="宋体" w:cs="Arial"/>
                <w:b/>
                <w:bCs/>
                <w:kern w:val="28"/>
              </w:rPr>
              <w:t>68</w:t>
            </w:r>
            <w:r>
              <w:rPr>
                <w:rFonts w:hint="eastAsia" w:ascii="宋体" w:hAnsi="宋体" w:cs="Arial"/>
                <w:b/>
                <w:bCs/>
                <w:kern w:val="28"/>
              </w:rPr>
              <w:t>号）文件，对小型和微型企业的价格给予</w:t>
            </w:r>
            <w:r>
              <w:rPr>
                <w:rFonts w:ascii="宋体" w:hAnsi="宋体" w:cs="Arial"/>
                <w:b/>
                <w:bCs/>
                <w:kern w:val="28"/>
              </w:rPr>
              <w:t>6%</w:t>
            </w:r>
            <w:r>
              <w:rPr>
                <w:rFonts w:hint="eastAsia" w:ascii="宋体" w:hAnsi="宋体" w:cs="Arial"/>
                <w:b/>
                <w:bCs/>
                <w:kern w:val="28"/>
              </w:rPr>
              <w:t>～</w:t>
            </w:r>
            <w:r>
              <w:rPr>
                <w:rFonts w:ascii="宋体" w:hAnsi="宋体" w:cs="Arial"/>
                <w:b/>
                <w:bCs/>
                <w:kern w:val="28"/>
              </w:rPr>
              <w:t>10%</w:t>
            </w:r>
            <w:r>
              <w:rPr>
                <w:rFonts w:hint="eastAsia" w:ascii="宋体" w:hAnsi="宋体" w:cs="Arial"/>
                <w:b/>
                <w:bCs/>
                <w:kern w:val="28"/>
              </w:rPr>
              <w:t>的扣除，用扣除后的价格参与评审。监狱企业视同小型、微型企业。本项目的扣除比例为：小型、微型企业扣除</w:t>
            </w:r>
            <w:r>
              <w:rPr>
                <w:rFonts w:ascii="宋体" w:hAnsi="宋体" w:cs="Arial"/>
                <w:b/>
                <w:bCs/>
                <w:kern w:val="28"/>
              </w:rPr>
              <w:t>_6 %</w:t>
            </w:r>
            <w:r>
              <w:rPr>
                <w:rFonts w:hint="eastAsia" w:ascii="宋体" w:hAnsi="宋体" w:cs="Arial"/>
                <w:b/>
                <w:bCs/>
                <w:kern w:val="28"/>
              </w:rPr>
              <w:t>。小型和微型企业是指磋商响应文件中提供中小企业声明函且符合《政府采购促进中小企业发展暂行办法》（财库〔</w:t>
            </w:r>
            <w:r>
              <w:rPr>
                <w:rFonts w:ascii="宋体" w:hAnsi="宋体" w:cs="Arial"/>
                <w:b/>
                <w:bCs/>
                <w:kern w:val="28"/>
              </w:rPr>
              <w:t>2011</w:t>
            </w:r>
            <w:r>
              <w:rPr>
                <w:rFonts w:hint="eastAsia" w:ascii="宋体" w:hAnsi="宋体" w:cs="Arial"/>
                <w:b/>
                <w:bCs/>
                <w:kern w:val="28"/>
              </w:rPr>
              <w:t>〕</w:t>
            </w:r>
            <w:r>
              <w:rPr>
                <w:rFonts w:ascii="宋体" w:hAnsi="宋体" w:cs="Arial"/>
                <w:b/>
                <w:bCs/>
                <w:kern w:val="28"/>
              </w:rPr>
              <w:t>181</w:t>
            </w:r>
            <w:r>
              <w:rPr>
                <w:rFonts w:hint="eastAsia" w:ascii="宋体" w:hAnsi="宋体" w:cs="Arial"/>
                <w:b/>
                <w:bCs/>
                <w:kern w:val="28"/>
              </w:rPr>
              <w:t>号）规定的要求并符合《工业和信息化部、国家统计局、国家发展和改革委员会、财政部关于印发中小企业划型标准规定的通知》（工信部联企业〔</w:t>
            </w:r>
            <w:r>
              <w:rPr>
                <w:rFonts w:ascii="宋体" w:hAnsi="宋体" w:cs="Arial"/>
                <w:b/>
                <w:bCs/>
                <w:kern w:val="28"/>
              </w:rPr>
              <w:t>2011</w:t>
            </w:r>
            <w:r>
              <w:rPr>
                <w:rFonts w:hint="eastAsia" w:ascii="宋体" w:hAnsi="宋体" w:cs="Arial"/>
                <w:b/>
                <w:bCs/>
                <w:kern w:val="28"/>
              </w:rPr>
              <w:t>〕</w:t>
            </w:r>
            <w:r>
              <w:rPr>
                <w:rFonts w:ascii="宋体" w:hAnsi="宋体" w:cs="Arial"/>
                <w:b/>
                <w:bCs/>
                <w:kern w:val="28"/>
              </w:rPr>
              <w:t>300</w:t>
            </w:r>
            <w:r>
              <w:rPr>
                <w:rFonts w:hint="eastAsia" w:ascii="宋体" w:hAnsi="宋体" w:cs="Arial"/>
                <w:b/>
                <w:bCs/>
                <w:kern w:val="28"/>
              </w:rPr>
              <w:t>号）规定的小、微企业的划型标准规定。监狱企业参加政府采购活动时，应当提供由省级以上监狱管理局、戒毒管理局（含新疆生产建设兵团）出具的属于监狱企业的证明文件。残疾人福利性单位参加政府采购活动时，应当提供残疾人福利性单位声明函。</w:t>
            </w:r>
          </w:p>
          <w:p>
            <w:pPr>
              <w:kinsoku/>
              <w:overflowPunct/>
              <w:topLinePunct w:val="0"/>
              <w:bidi w:val="0"/>
              <w:spacing w:line="300" w:lineRule="auto"/>
              <w:rPr>
                <w:rFonts w:hint="eastAsia"/>
              </w:rPr>
            </w:pPr>
            <w:r>
              <w:rPr>
                <w:rFonts w:ascii="宋体" w:hAnsi="宋体" w:cs="Arial"/>
                <w:bCs/>
                <w:kern w:val="28"/>
              </w:rPr>
              <w:t>2</w:t>
            </w:r>
            <w:r>
              <w:rPr>
                <w:rFonts w:hint="eastAsia" w:ascii="宋体" w:hAnsi="宋体" w:cs="Arial"/>
                <w:bCs/>
                <w:kern w:val="28"/>
              </w:rPr>
              <w:t>、根据浙财采监〔</w:t>
            </w:r>
            <w:r>
              <w:rPr>
                <w:rFonts w:ascii="宋体" w:hAnsi="宋体" w:cs="Arial"/>
                <w:bCs/>
                <w:kern w:val="28"/>
              </w:rPr>
              <w:t>2012</w:t>
            </w:r>
            <w:r>
              <w:rPr>
                <w:rFonts w:hint="eastAsia" w:ascii="宋体" w:hAnsi="宋体" w:cs="Arial"/>
                <w:bCs/>
                <w:kern w:val="28"/>
              </w:rPr>
              <w:t>〕</w:t>
            </w:r>
            <w:r>
              <w:rPr>
                <w:rFonts w:ascii="宋体" w:hAnsi="宋体" w:cs="Arial"/>
                <w:bCs/>
                <w:kern w:val="28"/>
              </w:rPr>
              <w:t>11</w:t>
            </w:r>
            <w:r>
              <w:rPr>
                <w:rFonts w:hint="eastAsia" w:ascii="宋体" w:hAnsi="宋体" w:cs="Arial"/>
                <w:bCs/>
                <w:kern w:val="28"/>
              </w:rPr>
              <w:t>号文件，在磋商响应截止时间之前已注册并加入“浙江省政府采购供应商库”且符合财政部、工业和信息化部《关于印发〈政府采购促进中小企业发展暂行办法〉的通知》（财库〔</w:t>
            </w:r>
            <w:r>
              <w:rPr>
                <w:rFonts w:ascii="宋体" w:hAnsi="宋体" w:cs="Arial"/>
                <w:bCs/>
                <w:kern w:val="28"/>
              </w:rPr>
              <w:t>2011</w:t>
            </w:r>
            <w:r>
              <w:rPr>
                <w:rFonts w:hint="eastAsia" w:ascii="宋体" w:hAnsi="宋体" w:cs="Arial"/>
                <w:bCs/>
                <w:kern w:val="28"/>
              </w:rPr>
              <w:t>〕</w:t>
            </w:r>
            <w:r>
              <w:rPr>
                <w:rFonts w:ascii="宋体" w:hAnsi="宋体" w:cs="Arial"/>
                <w:bCs/>
                <w:kern w:val="28"/>
              </w:rPr>
              <w:t>181</w:t>
            </w:r>
            <w:r>
              <w:rPr>
                <w:rFonts w:hint="eastAsia" w:ascii="宋体" w:hAnsi="宋体" w:cs="Arial"/>
                <w:bCs/>
                <w:kern w:val="28"/>
              </w:rPr>
              <w:t>号，以下简称《暂行办法》）规定的中小企业（含微型企业）条件的，在参加本项目</w:t>
            </w:r>
            <w:r>
              <w:rPr>
                <w:rFonts w:hint="eastAsia" w:ascii="宋体" w:hAnsi="宋体" w:cs="Arial"/>
                <w:bCs/>
                <w:kern w:val="28"/>
                <w:lang w:eastAsia="zh-CN"/>
              </w:rPr>
              <w:t>磋商</w:t>
            </w:r>
            <w:r>
              <w:rPr>
                <w:rFonts w:hint="eastAsia" w:ascii="宋体" w:hAnsi="宋体" w:cs="Arial"/>
                <w:bCs/>
                <w:kern w:val="28"/>
              </w:rPr>
              <w:t>活动时可享受《暂行办法》规定的优惠政策。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61" w:type="dxa"/>
            <w:gridSpan w:val="3"/>
            <w:noWrap w:val="0"/>
            <w:vAlign w:val="center"/>
          </w:tcPr>
          <w:p>
            <w:pPr>
              <w:kinsoku/>
              <w:overflowPunct/>
              <w:topLinePunct w:val="0"/>
              <w:bidi w:val="0"/>
              <w:spacing w:line="300" w:lineRule="auto"/>
              <w:ind w:firstLine="420" w:firstLineChars="200"/>
              <w:rPr>
                <w:rFonts w:ascii="宋体" w:hAnsi="宋体" w:cs="Arial"/>
                <w:bCs/>
                <w:kern w:val="28"/>
              </w:rPr>
            </w:pPr>
            <w:r>
              <w:rPr>
                <w:rFonts w:hint="eastAsia" w:ascii="宋体" w:hAnsi="宋体" w:cs="Arial"/>
                <w:bCs/>
                <w:kern w:val="28"/>
              </w:rPr>
              <w:t>1、初审时发现价格计算有误，将按下述原则修正：</w:t>
            </w:r>
          </w:p>
          <w:p>
            <w:pPr>
              <w:numPr>
                <w:ilvl w:val="0"/>
                <w:numId w:val="32"/>
              </w:numPr>
              <w:tabs>
                <w:tab w:val="left" w:pos="420"/>
                <w:tab w:val="left" w:pos="993"/>
                <w:tab w:val="left" w:pos="1134"/>
              </w:tabs>
              <w:kinsoku/>
              <w:overflowPunct/>
              <w:topLinePunct w:val="0"/>
              <w:bidi w:val="0"/>
              <w:snapToGrid w:val="0"/>
              <w:spacing w:line="300" w:lineRule="auto"/>
              <w:ind w:left="0" w:firstLine="420" w:firstLineChars="200"/>
              <w:rPr>
                <w:rFonts w:ascii="Arial" w:hAnsi="Arial"/>
              </w:rPr>
            </w:pPr>
            <w:r>
              <w:rPr>
                <w:rFonts w:hint="eastAsia" w:ascii="Arial" w:hAnsi="Arial"/>
              </w:rPr>
              <w:t>大写金额和小写金额不一致的，以大写金额为准；</w:t>
            </w:r>
          </w:p>
          <w:p>
            <w:pPr>
              <w:numPr>
                <w:ilvl w:val="0"/>
                <w:numId w:val="32"/>
              </w:numPr>
              <w:tabs>
                <w:tab w:val="left" w:pos="420"/>
                <w:tab w:val="left" w:pos="993"/>
                <w:tab w:val="left" w:pos="1134"/>
              </w:tabs>
              <w:kinsoku/>
              <w:overflowPunct/>
              <w:topLinePunct w:val="0"/>
              <w:bidi w:val="0"/>
              <w:snapToGrid w:val="0"/>
              <w:spacing w:line="300" w:lineRule="auto"/>
              <w:ind w:left="0" w:firstLine="420" w:firstLineChars="200"/>
              <w:rPr>
                <w:rFonts w:ascii="Arial" w:hAnsi="Arial"/>
              </w:rPr>
            </w:pPr>
            <w:r>
              <w:rPr>
                <w:rFonts w:hint="eastAsia" w:ascii="Arial" w:hAnsi="Arial"/>
              </w:rPr>
              <w:t>单价金额小数点或者百分比有明显错位的，以最终报价一览表的总价为准，并修正单价；</w:t>
            </w:r>
          </w:p>
          <w:p>
            <w:pPr>
              <w:numPr>
                <w:ilvl w:val="0"/>
                <w:numId w:val="32"/>
              </w:numPr>
              <w:tabs>
                <w:tab w:val="left" w:pos="420"/>
                <w:tab w:val="left" w:pos="993"/>
                <w:tab w:val="left" w:pos="1134"/>
              </w:tabs>
              <w:kinsoku/>
              <w:overflowPunct/>
              <w:topLinePunct w:val="0"/>
              <w:bidi w:val="0"/>
              <w:snapToGrid w:val="0"/>
              <w:spacing w:line="300" w:lineRule="auto"/>
              <w:ind w:left="0" w:firstLine="420" w:firstLineChars="200"/>
              <w:rPr>
                <w:rFonts w:ascii="Arial" w:hAnsi="Arial"/>
              </w:rPr>
            </w:pPr>
            <w:r>
              <w:rPr>
                <w:rFonts w:hint="eastAsia" w:ascii="Arial" w:hAnsi="Arial"/>
              </w:rPr>
              <w:t>总价金额与按单价汇总金额不一致的，以单价金额计算结果为准。</w:t>
            </w:r>
          </w:p>
          <w:p>
            <w:pPr>
              <w:numPr>
                <w:ilvl w:val="0"/>
                <w:numId w:val="32"/>
              </w:numPr>
              <w:tabs>
                <w:tab w:val="left" w:pos="420"/>
                <w:tab w:val="left" w:pos="993"/>
                <w:tab w:val="left" w:pos="1134"/>
              </w:tabs>
              <w:kinsoku/>
              <w:overflowPunct/>
              <w:topLinePunct w:val="0"/>
              <w:bidi w:val="0"/>
              <w:snapToGrid w:val="0"/>
              <w:spacing w:line="300" w:lineRule="auto"/>
              <w:ind w:left="0" w:firstLine="420" w:firstLineChars="200"/>
              <w:rPr>
                <w:rFonts w:ascii="Arial" w:hAnsi="Arial"/>
              </w:rPr>
            </w:pPr>
            <w:r>
              <w:rPr>
                <w:rFonts w:hint="eastAsia" w:ascii="Arial" w:hAnsi="Arial"/>
              </w:rPr>
              <w:t>如磋商响应文件正本与副本表示的有差别，以正本为准，修正副本。</w:t>
            </w:r>
          </w:p>
          <w:p>
            <w:pPr>
              <w:numPr>
                <w:ilvl w:val="0"/>
                <w:numId w:val="32"/>
              </w:numPr>
              <w:tabs>
                <w:tab w:val="left" w:pos="420"/>
                <w:tab w:val="left" w:pos="993"/>
                <w:tab w:val="left" w:pos="1134"/>
              </w:tabs>
              <w:kinsoku/>
              <w:overflowPunct/>
              <w:topLinePunct w:val="0"/>
              <w:bidi w:val="0"/>
              <w:snapToGrid w:val="0"/>
              <w:spacing w:line="300" w:lineRule="auto"/>
              <w:ind w:left="0" w:firstLine="420" w:firstLineChars="200"/>
              <w:rPr>
                <w:rFonts w:ascii="Arial" w:hAnsi="Arial"/>
              </w:rPr>
            </w:pPr>
            <w:r>
              <w:rPr>
                <w:rFonts w:hint="eastAsia" w:ascii="Arial" w:hAnsi="Arial"/>
              </w:rPr>
              <w:t>如以文字表示的数据与数字表示的有差别，以文字为准修正数字。</w:t>
            </w:r>
          </w:p>
          <w:p>
            <w:pPr>
              <w:numPr>
                <w:ilvl w:val="0"/>
                <w:numId w:val="32"/>
              </w:numPr>
              <w:tabs>
                <w:tab w:val="left" w:pos="420"/>
                <w:tab w:val="left" w:pos="993"/>
                <w:tab w:val="left" w:pos="1134"/>
              </w:tabs>
              <w:kinsoku/>
              <w:overflowPunct/>
              <w:topLinePunct w:val="0"/>
              <w:bidi w:val="0"/>
              <w:snapToGrid w:val="0"/>
              <w:spacing w:line="300" w:lineRule="auto"/>
              <w:ind w:left="0" w:firstLine="420" w:firstLineChars="200"/>
              <w:rPr>
                <w:rFonts w:ascii="Arial" w:hAnsi="Arial"/>
              </w:rPr>
            </w:pPr>
            <w:r>
              <w:rPr>
                <w:rFonts w:hint="eastAsia" w:ascii="Arial" w:hAnsi="Arial"/>
              </w:rPr>
              <w:t>如磋商供应商的磋商响应文件前后矛盾，评委会将作出不利于磋商供应商的修正。</w:t>
            </w:r>
          </w:p>
          <w:p>
            <w:pPr>
              <w:numPr>
                <w:ilvl w:val="0"/>
                <w:numId w:val="32"/>
              </w:numPr>
              <w:tabs>
                <w:tab w:val="left" w:pos="420"/>
                <w:tab w:val="left" w:pos="993"/>
                <w:tab w:val="left" w:pos="1134"/>
              </w:tabs>
              <w:kinsoku/>
              <w:overflowPunct/>
              <w:topLinePunct w:val="0"/>
              <w:bidi w:val="0"/>
              <w:snapToGrid w:val="0"/>
              <w:spacing w:line="300" w:lineRule="auto"/>
              <w:ind w:left="0" w:firstLine="420" w:firstLineChars="200"/>
              <w:rPr>
                <w:rFonts w:ascii="Arial" w:hAnsi="Arial"/>
              </w:rPr>
            </w:pPr>
            <w:r>
              <w:rPr>
                <w:rFonts w:hint="eastAsia" w:ascii="Arial" w:hAnsi="Arial"/>
                <w:u w:val="wave"/>
              </w:rPr>
              <w:t>▲如发现因磋商供应商原因造成投标报价及其综合单价遗漏工程内容、工程数量、费用或发生算术错误、漏算、冒算、多报费用等，累计投标报价错误绝对值总额（冒算、多报费用不得抵消缺漏费用）占投标报价</w:t>
            </w:r>
            <w:r>
              <w:rPr>
                <w:rFonts w:ascii="Arial" w:hAnsi="Arial"/>
                <w:u w:val="wave"/>
              </w:rPr>
              <w:t>3</w:t>
            </w:r>
            <w:r>
              <w:rPr>
                <w:rFonts w:hint="eastAsia" w:ascii="Arial" w:hAnsi="Arial"/>
                <w:u w:val="wave"/>
              </w:rPr>
              <w:t>%（含</w:t>
            </w:r>
            <w:r>
              <w:rPr>
                <w:rFonts w:ascii="Arial" w:hAnsi="Arial"/>
                <w:u w:val="wave"/>
              </w:rPr>
              <w:t>3</w:t>
            </w:r>
            <w:r>
              <w:rPr>
                <w:rFonts w:hint="eastAsia" w:ascii="Arial" w:hAnsi="Arial"/>
                <w:u w:val="wave"/>
              </w:rPr>
              <w:t>%）以上者，属于重大偏差，磋商小组将对其投标按无效标处理。</w:t>
            </w:r>
          </w:p>
          <w:p>
            <w:pPr>
              <w:kinsoku/>
              <w:overflowPunct/>
              <w:topLinePunct w:val="0"/>
              <w:bidi w:val="0"/>
              <w:spacing w:line="300" w:lineRule="auto"/>
              <w:rPr>
                <w:rFonts w:ascii="宋体" w:hAnsi="宋体" w:cs="Arial"/>
                <w:bCs/>
                <w:kern w:val="28"/>
              </w:rPr>
            </w:pPr>
            <w:r>
              <w:rPr>
                <w:rFonts w:hint="eastAsia" w:ascii="宋体" w:hAnsi="宋体" w:cs="Arial"/>
                <w:bCs/>
                <w:kern w:val="28"/>
              </w:rPr>
              <w:t>注（1）~（5）同时出现两种以上不一致的，按照前款规定的顺序修正。修正后的报价按照相关法律规定经磋商供应商确认后产生约束力，磋商供应商不确认的，其投标无效。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61" w:type="dxa"/>
            <w:gridSpan w:val="3"/>
            <w:noWrap w:val="0"/>
            <w:vAlign w:val="center"/>
          </w:tcPr>
          <w:p>
            <w:pPr>
              <w:widowControl w:val="0"/>
              <w:kinsoku/>
              <w:overflowPunct/>
              <w:topLinePunct w:val="0"/>
              <w:bidi w:val="0"/>
              <w:spacing w:before="156" w:beforeLines="50" w:line="300" w:lineRule="auto"/>
              <w:rPr>
                <w:rFonts w:ascii="宋体" w:hAnsi="宋体"/>
                <w:b/>
              </w:rPr>
            </w:pPr>
            <w:r>
              <w:rPr>
                <w:rFonts w:hint="eastAsia" w:ascii="宋体" w:hAnsi="宋体"/>
                <w:b/>
              </w:rPr>
              <w:t>注：1、本工程最高投标限价（招标控制价）为：</w:t>
            </w:r>
            <w:r>
              <w:rPr>
                <w:rFonts w:hint="eastAsia" w:ascii="宋体" w:hAnsi="宋体"/>
                <w:b/>
                <w:highlight w:val="none"/>
                <w:lang w:eastAsia="zh-CN"/>
              </w:rPr>
              <w:t>壹佰叁拾捌万玖仟伍佰叁拾贰</w:t>
            </w:r>
            <w:r>
              <w:rPr>
                <w:rFonts w:hint="eastAsia" w:ascii="宋体" w:hAnsi="宋体"/>
                <w:b/>
                <w:highlight w:val="none"/>
              </w:rPr>
              <w:t>元整（¥</w:t>
            </w:r>
            <w:r>
              <w:rPr>
                <w:rFonts w:hint="eastAsia" w:ascii="宋体" w:hAnsi="宋体"/>
                <w:b/>
                <w:bCs/>
                <w:szCs w:val="21"/>
                <w:highlight w:val="none"/>
                <w:lang w:eastAsia="zh-CN"/>
              </w:rPr>
              <w:t>1389532</w:t>
            </w:r>
            <w:r>
              <w:rPr>
                <w:rFonts w:hint="eastAsia" w:ascii="宋体" w:hAnsi="宋体"/>
                <w:b/>
                <w:highlight w:val="none"/>
              </w:rPr>
              <w:t>.00），</w:t>
            </w:r>
            <w:r>
              <w:rPr>
                <w:rFonts w:hint="eastAsia" w:ascii="宋体" w:hAnsi="宋体"/>
                <w:b/>
              </w:rPr>
              <w:t>各</w:t>
            </w:r>
            <w:r>
              <w:rPr>
                <w:rFonts w:hint="eastAsia" w:ascii="宋体" w:hAnsi="宋体"/>
                <w:b/>
                <w:lang w:eastAsia="zh-CN"/>
              </w:rPr>
              <w:t>磋商供应商</w:t>
            </w:r>
            <w:r>
              <w:rPr>
                <w:rFonts w:hint="eastAsia" w:ascii="宋体" w:hAnsi="宋体"/>
                <w:b/>
              </w:rPr>
              <w:t>应根据</w:t>
            </w:r>
            <w:r>
              <w:rPr>
                <w:rFonts w:hint="eastAsia" w:ascii="宋体" w:hAnsi="宋体"/>
                <w:b/>
                <w:lang w:eastAsia="zh-CN"/>
              </w:rPr>
              <w:t>采购人</w:t>
            </w:r>
            <w:r>
              <w:rPr>
                <w:rFonts w:hint="eastAsia" w:ascii="宋体" w:hAnsi="宋体"/>
                <w:b/>
              </w:rPr>
              <w:t>提供的全套施工图纸、技术资料、工程量清单以及本工程实际情况和自身的综合实力，自由竞报投标报价，投标报价超过</w:t>
            </w:r>
            <w:r>
              <w:rPr>
                <w:rFonts w:hint="eastAsia" w:ascii="宋体" w:hAnsi="宋体"/>
                <w:b/>
                <w:lang w:eastAsia="zh-CN"/>
              </w:rPr>
              <w:t>采购人</w:t>
            </w:r>
            <w:r>
              <w:rPr>
                <w:rFonts w:hint="eastAsia" w:ascii="宋体" w:hAnsi="宋体"/>
                <w:b/>
              </w:rPr>
              <w:t>制定的最高投标限价（招标控制价）的，作无效标处理。</w:t>
            </w:r>
          </w:p>
          <w:p>
            <w:pPr>
              <w:widowControl w:val="0"/>
              <w:kinsoku/>
              <w:overflowPunct/>
              <w:topLinePunct w:val="0"/>
              <w:bidi w:val="0"/>
              <w:spacing w:before="156" w:beforeLines="50" w:line="300" w:lineRule="auto"/>
              <w:rPr>
                <w:rFonts w:ascii="宋体" w:hAnsi="宋体" w:cs="Arial"/>
                <w:bCs/>
                <w:kern w:val="28"/>
              </w:rPr>
            </w:pPr>
            <w:r>
              <w:rPr>
                <w:rFonts w:hint="eastAsia" w:ascii="宋体" w:hAnsi="宋体"/>
                <w:b/>
              </w:rPr>
              <w:t xml:space="preserve"> 2、 本工程风险控制价为：最高投标限价（招标控制价）×85%，凡低于该风险控制价中标的</w:t>
            </w:r>
            <w:r>
              <w:rPr>
                <w:rFonts w:hint="eastAsia" w:ascii="仿宋_GB2312"/>
                <w:b/>
                <w:szCs w:val="21"/>
              </w:rPr>
              <w:t>，</w:t>
            </w:r>
            <w:r>
              <w:rPr>
                <w:rFonts w:hint="eastAsia" w:ascii="仿宋_GB2312"/>
                <w:b/>
                <w:szCs w:val="21"/>
                <w:lang w:eastAsia="zh-CN"/>
              </w:rPr>
              <w:t>成交供应商</w:t>
            </w:r>
            <w:r>
              <w:rPr>
                <w:rFonts w:hint="eastAsia" w:ascii="仿宋_GB2312"/>
                <w:b/>
                <w:szCs w:val="21"/>
              </w:rPr>
              <w:t>在提交履约保证金的同时必须额外提交中标价净值与风险控制价之差额作为低价风险金（形式为银行转账/转账支票/银行汇票）交纳至</w:t>
            </w:r>
            <w:r>
              <w:rPr>
                <w:rFonts w:hint="eastAsia" w:ascii="仿宋_GB2312"/>
                <w:b/>
                <w:szCs w:val="21"/>
                <w:lang w:eastAsia="zh-CN"/>
              </w:rPr>
              <w:t>采购人</w:t>
            </w:r>
            <w:r>
              <w:rPr>
                <w:rFonts w:hint="eastAsia" w:ascii="仿宋_GB2312"/>
                <w:b/>
                <w:szCs w:val="21"/>
              </w:rPr>
              <w:t>指定帐户。</w:t>
            </w:r>
          </w:p>
        </w:tc>
      </w:tr>
    </w:tbl>
    <w:p>
      <w:pPr>
        <w:kinsoku/>
        <w:overflowPunct/>
        <w:topLinePunct w:val="0"/>
        <w:bidi w:val="0"/>
        <w:spacing w:line="300" w:lineRule="auto"/>
        <w:ind w:left="284"/>
        <w:rPr>
          <w:rFonts w:ascii="宋体" w:hAnsi="宋体" w:cs="Arial"/>
          <w:bCs/>
          <w:kern w:val="28"/>
        </w:rPr>
      </w:pPr>
      <w:r>
        <w:rPr>
          <w:rFonts w:hint="eastAsia" w:ascii="宋体" w:hAnsi="宋体" w:cs="Arial"/>
          <w:bCs/>
          <w:kern w:val="28"/>
        </w:rPr>
        <w:t>6、综合得分的计算</w:t>
      </w:r>
    </w:p>
    <w:p>
      <w:pPr>
        <w:kinsoku/>
        <w:overflowPunct/>
        <w:topLinePunct w:val="0"/>
        <w:bidi w:val="0"/>
        <w:spacing w:line="300" w:lineRule="auto"/>
        <w:rPr>
          <w:rFonts w:ascii="宋体" w:hAnsi="宋体" w:cs="Arial"/>
          <w:bCs/>
          <w:kern w:val="28"/>
        </w:rPr>
      </w:pPr>
      <w:r>
        <w:rPr>
          <w:rFonts w:hint="eastAsia" w:ascii="宋体" w:hAnsi="宋体" w:cs="Arial"/>
          <w:bCs/>
          <w:kern w:val="28"/>
        </w:rPr>
        <w:t>报价得分按照在报价口径一致的最终报价基础上，根据磋商文件约定的因素和方法进行计算，报价得分=A</w:t>
      </w:r>
    </w:p>
    <w:p>
      <w:pPr>
        <w:kinsoku/>
        <w:overflowPunct/>
        <w:topLinePunct w:val="0"/>
        <w:bidi w:val="0"/>
        <w:spacing w:line="300" w:lineRule="auto"/>
        <w:rPr>
          <w:rFonts w:ascii="宋体" w:hAnsi="宋体" w:cs="Arial"/>
          <w:bCs/>
          <w:kern w:val="28"/>
        </w:rPr>
      </w:pPr>
      <w:r>
        <w:rPr>
          <w:rFonts w:hint="eastAsia" w:ascii="宋体" w:hAnsi="宋体" w:cs="Arial"/>
          <w:bCs/>
          <w:kern w:val="28"/>
        </w:rPr>
        <w:t>技术商务得分按照磋商小组成员的独立评分结果汇总数算术平均分=B</w:t>
      </w:r>
    </w:p>
    <w:p>
      <w:pPr>
        <w:kinsoku/>
        <w:overflowPunct/>
        <w:topLinePunct w:val="0"/>
        <w:bidi w:val="0"/>
        <w:spacing w:line="300" w:lineRule="auto"/>
        <w:rPr>
          <w:rFonts w:ascii="宋体" w:hAnsi="宋体" w:cs="Arial"/>
          <w:bCs/>
          <w:kern w:val="28"/>
        </w:rPr>
      </w:pPr>
      <w:r>
        <w:rPr>
          <w:rFonts w:hint="eastAsia" w:ascii="宋体" w:hAnsi="宋体" w:cs="Arial"/>
          <w:bCs/>
          <w:kern w:val="28"/>
        </w:rPr>
        <w:t>综合得分=A+B</w:t>
      </w:r>
    </w:p>
    <w:p>
      <w:pPr>
        <w:kinsoku/>
        <w:overflowPunct/>
        <w:topLinePunct w:val="0"/>
        <w:bidi w:val="0"/>
        <w:spacing w:line="300" w:lineRule="auto"/>
        <w:ind w:firstLine="422" w:firstLineChars="200"/>
        <w:rPr>
          <w:rFonts w:ascii="宋体" w:hAnsi="宋体" w:cs="Arial"/>
          <w:b/>
          <w:bCs/>
          <w:kern w:val="28"/>
        </w:rPr>
      </w:pPr>
      <w:r>
        <w:rPr>
          <w:rFonts w:hint="eastAsia" w:ascii="宋体" w:hAnsi="宋体" w:cs="Arial"/>
          <w:b/>
          <w:bCs/>
          <w:kern w:val="28"/>
        </w:rPr>
        <w:t>四、评定结果</w:t>
      </w:r>
    </w:p>
    <w:p>
      <w:pPr>
        <w:kinsoku/>
        <w:overflowPunct/>
        <w:topLinePunct w:val="0"/>
        <w:bidi w:val="0"/>
        <w:spacing w:line="300" w:lineRule="auto"/>
        <w:ind w:firstLine="420" w:firstLineChars="200"/>
        <w:rPr>
          <w:rFonts w:ascii="ˎ̥" w:hAnsi="ˎ̥"/>
        </w:rPr>
      </w:pPr>
      <w:r>
        <w:rPr>
          <w:rFonts w:hint="eastAsia" w:ascii="ˎ̥" w:hAnsi="ˎ̥"/>
        </w:rPr>
        <w:t>磋商小组根据综合评分情况，按照评审总得分由高到低顺序推荐成交候选供应商，并编写评审报告。评审总得分相同的，按照最终报价由低到高顺序排列；评审总得分且最终报价相同的，由磋商小组按照技术、商务得分由高到低顺序推荐；均相同时，由采购人随机抽取决定。</w:t>
      </w:r>
    </w:p>
    <w:p>
      <w:pPr>
        <w:kinsoku/>
        <w:overflowPunct/>
        <w:topLinePunct w:val="0"/>
        <w:bidi w:val="0"/>
        <w:spacing w:line="300" w:lineRule="auto"/>
        <w:ind w:firstLine="422" w:firstLineChars="200"/>
        <w:rPr>
          <w:rFonts w:ascii="宋体" w:hAnsi="宋体" w:cs="Arial"/>
          <w:b/>
          <w:bCs/>
          <w:kern w:val="28"/>
        </w:rPr>
      </w:pPr>
      <w:r>
        <w:rPr>
          <w:rFonts w:hint="eastAsia" w:ascii="宋体" w:hAnsi="宋体" w:cs="Arial"/>
          <w:b/>
          <w:bCs/>
          <w:kern w:val="28"/>
        </w:rPr>
        <w:t>五、磋商供应商的义务</w:t>
      </w:r>
    </w:p>
    <w:p>
      <w:pPr>
        <w:kinsoku/>
        <w:overflowPunct/>
        <w:topLinePunct w:val="0"/>
        <w:bidi w:val="0"/>
        <w:spacing w:line="300" w:lineRule="auto"/>
        <w:ind w:firstLine="420" w:firstLineChars="200"/>
        <w:rPr>
          <w:rFonts w:ascii="宋体" w:hAnsi="宋体" w:cs="Arial"/>
          <w:b/>
          <w:bCs/>
          <w:kern w:val="28"/>
          <w:sz w:val="32"/>
        </w:rPr>
      </w:pPr>
      <w:r>
        <w:rPr>
          <w:rFonts w:hint="eastAsia" w:ascii="宋体" w:hAnsi="宋体" w:cs="Arial"/>
          <w:bCs/>
          <w:kern w:val="28"/>
        </w:rPr>
        <w:t xml:space="preserve">磋商供应商应随时随地答复磋商小组的询标，解答包括有关的商务、技术问题等。磋商结束，所有评定资料存采购机构备案。 </w:t>
      </w:r>
    </w:p>
    <w:p>
      <w:pPr>
        <w:kinsoku/>
        <w:overflowPunct/>
        <w:topLinePunct w:val="0"/>
        <w:bidi w:val="0"/>
        <w:spacing w:line="300" w:lineRule="auto"/>
        <w:jc w:val="both"/>
        <w:rPr>
          <w:rFonts w:hint="eastAsia" w:ascii="宋体" w:hAnsi="宋体" w:cs="Arial"/>
          <w:b/>
          <w:bCs/>
          <w:kern w:val="28"/>
          <w:sz w:val="32"/>
        </w:rPr>
      </w:pPr>
    </w:p>
    <w:p>
      <w:pPr>
        <w:kinsoku/>
        <w:overflowPunct/>
        <w:topLinePunct w:val="0"/>
        <w:bidi w:val="0"/>
        <w:spacing w:line="300" w:lineRule="auto"/>
        <w:ind w:firstLine="643" w:firstLineChars="200"/>
        <w:jc w:val="center"/>
        <w:rPr>
          <w:rFonts w:ascii="宋体" w:hAnsi="宋体" w:cs="Arial"/>
          <w:b/>
          <w:bCs/>
          <w:kern w:val="28"/>
          <w:sz w:val="32"/>
        </w:rPr>
      </w:pPr>
      <w:r>
        <w:rPr>
          <w:rFonts w:ascii="宋体" w:hAnsi="宋体" w:cs="Arial"/>
          <w:b/>
          <w:bCs/>
          <w:kern w:val="28"/>
          <w:sz w:val="32"/>
        </w:rPr>
        <w:br w:type="page"/>
      </w:r>
      <w:r>
        <w:rPr>
          <w:rFonts w:hint="eastAsia" w:ascii="宋体" w:hAnsi="宋体" w:cs="Arial"/>
          <w:b/>
          <w:bCs/>
          <w:kern w:val="28"/>
          <w:sz w:val="32"/>
        </w:rPr>
        <w:t>第七</w:t>
      </w:r>
      <w:r>
        <w:rPr>
          <w:rFonts w:ascii="宋体" w:hAnsi="宋体" w:cs="Arial"/>
          <w:b/>
          <w:bCs/>
          <w:kern w:val="28"/>
          <w:sz w:val="32"/>
        </w:rPr>
        <w:t>部分</w:t>
      </w:r>
      <w:r>
        <w:rPr>
          <w:rFonts w:hint="eastAsia" w:ascii="宋体" w:hAnsi="宋体" w:cs="Arial"/>
          <w:b/>
          <w:bCs/>
          <w:kern w:val="28"/>
          <w:sz w:val="32"/>
        </w:rPr>
        <w:t xml:space="preserve">    技术标准和要求</w:t>
      </w:r>
    </w:p>
    <w:p>
      <w:pPr>
        <w:keepNext w:val="0"/>
        <w:keepLines w:val="0"/>
        <w:pageBreakBefore w:val="0"/>
        <w:widowControl w:val="0"/>
        <w:kinsoku/>
        <w:wordWrap w:val="0"/>
        <w:overflowPunct/>
        <w:topLinePunct w:val="0"/>
        <w:autoSpaceDE/>
        <w:autoSpaceDN/>
        <w:bidi w:val="0"/>
        <w:adjustRightInd/>
        <w:snapToGrid/>
        <w:spacing w:line="300" w:lineRule="auto"/>
        <w:ind w:firstLine="420" w:firstLineChars="200"/>
        <w:jc w:val="both"/>
        <w:textAlignment w:val="auto"/>
        <w:rPr>
          <w:rFonts w:ascii="宋体" w:hAnsi="宋体"/>
          <w:kern w:val="2"/>
          <w:szCs w:val="24"/>
        </w:rPr>
      </w:pPr>
      <w:bookmarkStart w:id="2074" w:name="_Toc346178852"/>
      <w:r>
        <w:rPr>
          <w:rFonts w:hint="eastAsia" w:ascii="宋体" w:hAnsi="宋体"/>
          <w:kern w:val="2"/>
          <w:szCs w:val="24"/>
        </w:rPr>
        <w:t>根据设计施工图和技术文件要求，本工程项目的材料、设备、施工必须达到以下现行中华人民共和国及省、市、行业的一切有关法规、规范的要求，如下述标准及规范要求有出入则以较严格者为准。</w:t>
      </w:r>
    </w:p>
    <w:p>
      <w:pPr>
        <w:pStyle w:val="517"/>
        <w:keepNext w:val="0"/>
        <w:keepLines w:val="0"/>
        <w:pageBreakBefore w:val="0"/>
        <w:widowControl w:val="0"/>
        <w:numPr>
          <w:ilvl w:val="0"/>
          <w:numId w:val="33"/>
        </w:numPr>
        <w:kinsoku/>
        <w:wordWrap w:val="0"/>
        <w:overflowPunct/>
        <w:topLinePunct w:val="0"/>
        <w:autoSpaceDE/>
        <w:autoSpaceDN/>
        <w:bidi w:val="0"/>
        <w:adjustRightInd/>
        <w:snapToGrid/>
        <w:spacing w:line="300" w:lineRule="auto"/>
        <w:ind w:firstLineChars="0"/>
        <w:textAlignment w:val="auto"/>
        <w:rPr>
          <w:rFonts w:ascii="宋体" w:hAnsi="宋体"/>
          <w:szCs w:val="24"/>
        </w:rPr>
      </w:pPr>
      <w:r>
        <w:rPr>
          <w:rFonts w:hint="eastAsia" w:ascii="宋体" w:hAnsi="宋体"/>
          <w:szCs w:val="24"/>
        </w:rPr>
        <w:t>《民用建筑电气设计规范》 JGJ 16-2008</w:t>
      </w:r>
    </w:p>
    <w:p>
      <w:pPr>
        <w:pStyle w:val="517"/>
        <w:keepNext w:val="0"/>
        <w:keepLines w:val="0"/>
        <w:pageBreakBefore w:val="0"/>
        <w:widowControl w:val="0"/>
        <w:numPr>
          <w:ilvl w:val="0"/>
          <w:numId w:val="33"/>
        </w:numPr>
        <w:kinsoku/>
        <w:wordWrap w:val="0"/>
        <w:overflowPunct/>
        <w:topLinePunct w:val="0"/>
        <w:autoSpaceDE/>
        <w:autoSpaceDN/>
        <w:bidi w:val="0"/>
        <w:adjustRightInd/>
        <w:snapToGrid/>
        <w:spacing w:line="300" w:lineRule="auto"/>
        <w:ind w:firstLineChars="0"/>
        <w:textAlignment w:val="auto"/>
        <w:rPr>
          <w:rFonts w:ascii="宋体" w:hAnsi="宋体"/>
          <w:szCs w:val="24"/>
        </w:rPr>
      </w:pPr>
      <w:r>
        <w:rPr>
          <w:rFonts w:hint="eastAsia" w:ascii="宋体" w:hAnsi="宋体"/>
          <w:szCs w:val="24"/>
        </w:rPr>
        <w:t>《智能建筑设计标准》GB/T 50314－2006</w:t>
      </w:r>
    </w:p>
    <w:p>
      <w:pPr>
        <w:pStyle w:val="517"/>
        <w:keepNext w:val="0"/>
        <w:keepLines w:val="0"/>
        <w:pageBreakBefore w:val="0"/>
        <w:widowControl w:val="0"/>
        <w:numPr>
          <w:ilvl w:val="0"/>
          <w:numId w:val="33"/>
        </w:numPr>
        <w:kinsoku/>
        <w:wordWrap w:val="0"/>
        <w:overflowPunct/>
        <w:topLinePunct w:val="0"/>
        <w:autoSpaceDE/>
        <w:autoSpaceDN/>
        <w:bidi w:val="0"/>
        <w:adjustRightInd/>
        <w:snapToGrid/>
        <w:spacing w:line="300" w:lineRule="auto"/>
        <w:ind w:firstLineChars="0"/>
        <w:textAlignment w:val="auto"/>
        <w:rPr>
          <w:rFonts w:ascii="宋体" w:hAnsi="宋体"/>
          <w:szCs w:val="24"/>
        </w:rPr>
      </w:pPr>
      <w:r>
        <w:rPr>
          <w:rFonts w:hint="eastAsia" w:ascii="宋体" w:hAnsi="宋体"/>
          <w:szCs w:val="24"/>
        </w:rPr>
        <w:t>《人民防空地下室设计规范》GB50038-2005</w:t>
      </w:r>
    </w:p>
    <w:p>
      <w:pPr>
        <w:pStyle w:val="517"/>
        <w:keepNext w:val="0"/>
        <w:keepLines w:val="0"/>
        <w:pageBreakBefore w:val="0"/>
        <w:widowControl w:val="0"/>
        <w:numPr>
          <w:ilvl w:val="0"/>
          <w:numId w:val="33"/>
        </w:numPr>
        <w:kinsoku/>
        <w:wordWrap w:val="0"/>
        <w:overflowPunct/>
        <w:topLinePunct w:val="0"/>
        <w:autoSpaceDE/>
        <w:autoSpaceDN/>
        <w:bidi w:val="0"/>
        <w:adjustRightInd/>
        <w:snapToGrid/>
        <w:spacing w:line="300" w:lineRule="auto"/>
        <w:ind w:firstLineChars="0"/>
        <w:textAlignment w:val="auto"/>
        <w:rPr>
          <w:rFonts w:ascii="宋体" w:hAnsi="宋体"/>
          <w:szCs w:val="24"/>
        </w:rPr>
      </w:pPr>
      <w:r>
        <w:rPr>
          <w:rFonts w:hint="eastAsia" w:ascii="宋体" w:hAnsi="宋体"/>
          <w:szCs w:val="24"/>
        </w:rPr>
        <w:t>《综合布线系统工程设计规范》GB 50311－2007</w:t>
      </w:r>
    </w:p>
    <w:p>
      <w:pPr>
        <w:pStyle w:val="517"/>
        <w:keepNext w:val="0"/>
        <w:keepLines w:val="0"/>
        <w:pageBreakBefore w:val="0"/>
        <w:widowControl w:val="0"/>
        <w:numPr>
          <w:ilvl w:val="0"/>
          <w:numId w:val="33"/>
        </w:numPr>
        <w:kinsoku/>
        <w:wordWrap w:val="0"/>
        <w:overflowPunct/>
        <w:topLinePunct w:val="0"/>
        <w:autoSpaceDE/>
        <w:autoSpaceDN/>
        <w:bidi w:val="0"/>
        <w:adjustRightInd/>
        <w:snapToGrid/>
        <w:spacing w:line="300" w:lineRule="auto"/>
        <w:ind w:firstLineChars="0"/>
        <w:textAlignment w:val="auto"/>
        <w:rPr>
          <w:rFonts w:ascii="宋体" w:hAnsi="宋体"/>
          <w:szCs w:val="24"/>
        </w:rPr>
      </w:pPr>
      <w:r>
        <w:rPr>
          <w:rFonts w:hint="eastAsia" w:ascii="宋体" w:hAnsi="宋体"/>
          <w:szCs w:val="24"/>
        </w:rPr>
        <w:t>《综合布线系统工程验收规范》GB 50312－2007</w:t>
      </w:r>
    </w:p>
    <w:p>
      <w:pPr>
        <w:pStyle w:val="517"/>
        <w:keepNext w:val="0"/>
        <w:keepLines w:val="0"/>
        <w:pageBreakBefore w:val="0"/>
        <w:widowControl w:val="0"/>
        <w:numPr>
          <w:ilvl w:val="0"/>
          <w:numId w:val="33"/>
        </w:numPr>
        <w:kinsoku/>
        <w:wordWrap w:val="0"/>
        <w:overflowPunct/>
        <w:topLinePunct w:val="0"/>
        <w:autoSpaceDE/>
        <w:autoSpaceDN/>
        <w:bidi w:val="0"/>
        <w:adjustRightInd/>
        <w:snapToGrid/>
        <w:spacing w:line="300" w:lineRule="auto"/>
        <w:ind w:firstLineChars="0"/>
        <w:textAlignment w:val="auto"/>
        <w:rPr>
          <w:rFonts w:ascii="宋体" w:hAnsi="宋体"/>
          <w:szCs w:val="24"/>
        </w:rPr>
      </w:pPr>
      <w:r>
        <w:rPr>
          <w:rFonts w:hint="eastAsia" w:ascii="宋体" w:hAnsi="宋体"/>
          <w:szCs w:val="24"/>
        </w:rPr>
        <w:t>《商用建筑线缆标准》EIA/TIA-569</w:t>
      </w:r>
    </w:p>
    <w:p>
      <w:pPr>
        <w:pStyle w:val="517"/>
        <w:keepNext w:val="0"/>
        <w:keepLines w:val="0"/>
        <w:pageBreakBefore w:val="0"/>
        <w:widowControl w:val="0"/>
        <w:numPr>
          <w:ilvl w:val="0"/>
          <w:numId w:val="33"/>
        </w:numPr>
        <w:kinsoku/>
        <w:wordWrap w:val="0"/>
        <w:overflowPunct/>
        <w:topLinePunct w:val="0"/>
        <w:autoSpaceDE/>
        <w:autoSpaceDN/>
        <w:bidi w:val="0"/>
        <w:adjustRightInd/>
        <w:snapToGrid/>
        <w:spacing w:line="300" w:lineRule="auto"/>
        <w:ind w:firstLineChars="0"/>
        <w:textAlignment w:val="auto"/>
        <w:rPr>
          <w:rFonts w:ascii="宋体" w:hAnsi="宋体"/>
          <w:szCs w:val="24"/>
        </w:rPr>
      </w:pPr>
      <w:r>
        <w:rPr>
          <w:rFonts w:hint="eastAsia" w:ascii="宋体" w:hAnsi="宋体"/>
          <w:szCs w:val="24"/>
        </w:rPr>
        <w:t>《视频安防监控系统工程设计规范》GB 50395-2007</w:t>
      </w:r>
    </w:p>
    <w:p>
      <w:pPr>
        <w:pStyle w:val="517"/>
        <w:keepNext w:val="0"/>
        <w:keepLines w:val="0"/>
        <w:pageBreakBefore w:val="0"/>
        <w:widowControl w:val="0"/>
        <w:numPr>
          <w:ilvl w:val="0"/>
          <w:numId w:val="33"/>
        </w:numPr>
        <w:kinsoku/>
        <w:wordWrap w:val="0"/>
        <w:overflowPunct/>
        <w:topLinePunct w:val="0"/>
        <w:autoSpaceDE/>
        <w:autoSpaceDN/>
        <w:bidi w:val="0"/>
        <w:adjustRightInd/>
        <w:snapToGrid/>
        <w:spacing w:line="300" w:lineRule="auto"/>
        <w:ind w:firstLineChars="0"/>
        <w:textAlignment w:val="auto"/>
        <w:rPr>
          <w:rFonts w:ascii="宋体" w:hAnsi="宋体"/>
          <w:szCs w:val="24"/>
        </w:rPr>
      </w:pPr>
      <w:r>
        <w:rPr>
          <w:rFonts w:hint="eastAsia" w:ascii="宋体" w:hAnsi="宋体"/>
          <w:szCs w:val="24"/>
        </w:rPr>
        <w:t>《安全防范工程技术规范》GB 50348-2004</w:t>
      </w:r>
    </w:p>
    <w:p>
      <w:pPr>
        <w:pStyle w:val="517"/>
        <w:keepNext w:val="0"/>
        <w:keepLines w:val="0"/>
        <w:pageBreakBefore w:val="0"/>
        <w:widowControl w:val="0"/>
        <w:numPr>
          <w:ilvl w:val="0"/>
          <w:numId w:val="33"/>
        </w:numPr>
        <w:kinsoku/>
        <w:wordWrap w:val="0"/>
        <w:overflowPunct/>
        <w:topLinePunct w:val="0"/>
        <w:autoSpaceDE/>
        <w:autoSpaceDN/>
        <w:bidi w:val="0"/>
        <w:adjustRightInd/>
        <w:snapToGrid/>
        <w:spacing w:line="300" w:lineRule="auto"/>
        <w:ind w:firstLineChars="0"/>
        <w:textAlignment w:val="auto"/>
        <w:rPr>
          <w:rFonts w:ascii="宋体" w:hAnsi="宋体"/>
          <w:szCs w:val="24"/>
        </w:rPr>
      </w:pPr>
      <w:r>
        <w:rPr>
          <w:rFonts w:hint="eastAsia" w:ascii="宋体" w:hAnsi="宋体"/>
          <w:szCs w:val="24"/>
        </w:rPr>
        <w:t>《温州市城区有线广播电视工程建设技术规范》（修改版）</w:t>
      </w:r>
    </w:p>
    <w:p>
      <w:pPr>
        <w:pStyle w:val="517"/>
        <w:keepNext w:val="0"/>
        <w:keepLines w:val="0"/>
        <w:pageBreakBefore w:val="0"/>
        <w:widowControl w:val="0"/>
        <w:numPr>
          <w:ilvl w:val="0"/>
          <w:numId w:val="33"/>
        </w:numPr>
        <w:kinsoku/>
        <w:wordWrap w:val="0"/>
        <w:overflowPunct/>
        <w:topLinePunct w:val="0"/>
        <w:autoSpaceDE/>
        <w:autoSpaceDN/>
        <w:bidi w:val="0"/>
        <w:adjustRightInd/>
        <w:snapToGrid/>
        <w:spacing w:line="300" w:lineRule="auto"/>
        <w:ind w:firstLineChars="0"/>
        <w:textAlignment w:val="auto"/>
        <w:rPr>
          <w:rFonts w:ascii="宋体" w:hAnsi="宋体"/>
          <w:szCs w:val="24"/>
        </w:rPr>
      </w:pPr>
      <w:r>
        <w:rPr>
          <w:rFonts w:hint="eastAsia" w:ascii="宋体" w:hAnsi="宋体"/>
          <w:szCs w:val="24"/>
        </w:rPr>
        <w:t>《电子信息系统机房设计规范》GB50174-2008</w:t>
      </w:r>
    </w:p>
    <w:p>
      <w:pPr>
        <w:pStyle w:val="517"/>
        <w:keepNext w:val="0"/>
        <w:keepLines w:val="0"/>
        <w:pageBreakBefore w:val="0"/>
        <w:widowControl w:val="0"/>
        <w:numPr>
          <w:ilvl w:val="0"/>
          <w:numId w:val="33"/>
        </w:numPr>
        <w:kinsoku/>
        <w:wordWrap w:val="0"/>
        <w:overflowPunct/>
        <w:topLinePunct w:val="0"/>
        <w:autoSpaceDE/>
        <w:autoSpaceDN/>
        <w:bidi w:val="0"/>
        <w:adjustRightInd/>
        <w:snapToGrid/>
        <w:spacing w:line="300" w:lineRule="auto"/>
        <w:ind w:firstLineChars="0"/>
        <w:textAlignment w:val="auto"/>
        <w:rPr>
          <w:rFonts w:ascii="宋体" w:hAnsi="宋体"/>
          <w:szCs w:val="24"/>
        </w:rPr>
      </w:pPr>
      <w:r>
        <w:rPr>
          <w:rFonts w:hint="eastAsia" w:ascii="宋体" w:hAnsi="宋体"/>
          <w:szCs w:val="24"/>
        </w:rPr>
        <w:t>《厅堂扩声系统设计规范》GB 50371-2006</w:t>
      </w:r>
    </w:p>
    <w:p>
      <w:pPr>
        <w:pStyle w:val="517"/>
        <w:keepNext w:val="0"/>
        <w:keepLines w:val="0"/>
        <w:pageBreakBefore w:val="0"/>
        <w:widowControl w:val="0"/>
        <w:numPr>
          <w:ilvl w:val="0"/>
          <w:numId w:val="33"/>
        </w:numPr>
        <w:kinsoku/>
        <w:wordWrap w:val="0"/>
        <w:overflowPunct/>
        <w:topLinePunct w:val="0"/>
        <w:autoSpaceDE/>
        <w:autoSpaceDN/>
        <w:bidi w:val="0"/>
        <w:adjustRightInd/>
        <w:snapToGrid/>
        <w:spacing w:line="300" w:lineRule="auto"/>
        <w:ind w:firstLineChars="0"/>
        <w:textAlignment w:val="auto"/>
        <w:rPr>
          <w:rFonts w:ascii="宋体" w:hAnsi="宋体"/>
          <w:szCs w:val="24"/>
        </w:rPr>
      </w:pPr>
      <w:r>
        <w:rPr>
          <w:rFonts w:hint="eastAsia" w:ascii="宋体" w:hAnsi="宋体"/>
          <w:szCs w:val="24"/>
        </w:rPr>
        <w:t>《出入口控制系统工程设计规范》GB 50396-2007</w:t>
      </w:r>
    </w:p>
    <w:p>
      <w:pPr>
        <w:pStyle w:val="517"/>
        <w:keepNext w:val="0"/>
        <w:keepLines w:val="0"/>
        <w:pageBreakBefore w:val="0"/>
        <w:widowControl w:val="0"/>
        <w:numPr>
          <w:ilvl w:val="0"/>
          <w:numId w:val="33"/>
        </w:numPr>
        <w:kinsoku/>
        <w:wordWrap w:val="0"/>
        <w:overflowPunct/>
        <w:topLinePunct w:val="0"/>
        <w:autoSpaceDE/>
        <w:autoSpaceDN/>
        <w:bidi w:val="0"/>
        <w:adjustRightInd/>
        <w:snapToGrid/>
        <w:spacing w:line="300" w:lineRule="auto"/>
        <w:ind w:firstLineChars="0"/>
        <w:textAlignment w:val="auto"/>
        <w:rPr>
          <w:rFonts w:ascii="宋体" w:hAnsi="宋体"/>
          <w:szCs w:val="24"/>
        </w:rPr>
      </w:pPr>
      <w:r>
        <w:rPr>
          <w:rFonts w:hint="eastAsia" w:ascii="宋体" w:hAnsi="宋体"/>
          <w:szCs w:val="24"/>
        </w:rPr>
        <w:t>《建筑物电子信息系统防雷技术规范》GB 50343-2004</w:t>
      </w:r>
    </w:p>
    <w:p>
      <w:pPr>
        <w:pStyle w:val="517"/>
        <w:keepNext w:val="0"/>
        <w:keepLines w:val="0"/>
        <w:pageBreakBefore w:val="0"/>
        <w:widowControl w:val="0"/>
        <w:numPr>
          <w:ilvl w:val="0"/>
          <w:numId w:val="33"/>
        </w:numPr>
        <w:kinsoku/>
        <w:wordWrap w:val="0"/>
        <w:overflowPunct/>
        <w:topLinePunct w:val="0"/>
        <w:autoSpaceDE/>
        <w:autoSpaceDN/>
        <w:bidi w:val="0"/>
        <w:adjustRightInd/>
        <w:snapToGrid/>
        <w:spacing w:line="300" w:lineRule="auto"/>
        <w:ind w:firstLineChars="0"/>
        <w:textAlignment w:val="auto"/>
        <w:rPr>
          <w:rFonts w:ascii="宋体" w:hAnsi="宋体"/>
          <w:szCs w:val="24"/>
        </w:rPr>
      </w:pPr>
      <w:r>
        <w:rPr>
          <w:rFonts w:hint="eastAsia" w:ascii="宋体" w:hAnsi="宋体"/>
          <w:szCs w:val="24"/>
        </w:rPr>
        <w:t>《建筑物防雷设计规范》GB 50057-2010</w:t>
      </w:r>
    </w:p>
    <w:p>
      <w:pPr>
        <w:pStyle w:val="517"/>
        <w:keepNext w:val="0"/>
        <w:keepLines w:val="0"/>
        <w:pageBreakBefore w:val="0"/>
        <w:widowControl w:val="0"/>
        <w:numPr>
          <w:ilvl w:val="0"/>
          <w:numId w:val="33"/>
        </w:numPr>
        <w:kinsoku/>
        <w:wordWrap w:val="0"/>
        <w:overflowPunct/>
        <w:topLinePunct w:val="0"/>
        <w:autoSpaceDE/>
        <w:autoSpaceDN/>
        <w:bidi w:val="0"/>
        <w:adjustRightInd/>
        <w:snapToGrid/>
        <w:spacing w:line="300" w:lineRule="auto"/>
        <w:ind w:firstLineChars="0"/>
        <w:textAlignment w:val="auto"/>
        <w:rPr>
          <w:rFonts w:ascii="宋体" w:hAnsi="宋体"/>
          <w:szCs w:val="24"/>
        </w:rPr>
      </w:pPr>
      <w:r>
        <w:rPr>
          <w:rFonts w:hint="eastAsia" w:ascii="宋体" w:hAnsi="宋体"/>
          <w:szCs w:val="24"/>
        </w:rPr>
        <w:t>《建筑设计防火规范》 GB 50016-2006</w:t>
      </w:r>
    </w:p>
    <w:p>
      <w:pPr>
        <w:pStyle w:val="517"/>
        <w:keepNext w:val="0"/>
        <w:keepLines w:val="0"/>
        <w:pageBreakBefore w:val="0"/>
        <w:widowControl w:val="0"/>
        <w:numPr>
          <w:ilvl w:val="0"/>
          <w:numId w:val="33"/>
        </w:numPr>
        <w:kinsoku/>
        <w:wordWrap w:val="0"/>
        <w:overflowPunct/>
        <w:topLinePunct w:val="0"/>
        <w:autoSpaceDE/>
        <w:autoSpaceDN/>
        <w:bidi w:val="0"/>
        <w:adjustRightInd/>
        <w:snapToGrid/>
        <w:spacing w:line="300" w:lineRule="auto"/>
        <w:ind w:firstLineChars="0"/>
        <w:textAlignment w:val="auto"/>
        <w:rPr>
          <w:rFonts w:ascii="宋体" w:hAnsi="宋体"/>
          <w:szCs w:val="24"/>
        </w:rPr>
      </w:pPr>
      <w:r>
        <w:rPr>
          <w:rFonts w:hint="eastAsia" w:ascii="宋体" w:hAnsi="宋体"/>
          <w:szCs w:val="24"/>
        </w:rPr>
        <w:t>其它相关材料和施工标准规范</w:t>
      </w:r>
    </w:p>
    <w:p>
      <w:pPr>
        <w:pStyle w:val="4"/>
        <w:keepNext w:val="0"/>
        <w:keepLines w:val="0"/>
        <w:pageBreakBefore/>
        <w:kinsoku/>
        <w:overflowPunct/>
        <w:topLinePunct w:val="0"/>
        <w:bidi w:val="0"/>
        <w:spacing w:before="312" w:beforeLines="100" w:after="312" w:afterLines="100" w:line="300" w:lineRule="auto"/>
        <w:jc w:val="center"/>
        <w:rPr>
          <w:rFonts w:hAnsi="宋体"/>
          <w:sz w:val="28"/>
          <w:szCs w:val="36"/>
        </w:rPr>
      </w:pPr>
      <w:bookmarkStart w:id="2075" w:name="_Toc28237"/>
      <w:r>
        <w:rPr>
          <w:rFonts w:hint="eastAsia" w:hAnsi="宋体"/>
          <w:sz w:val="28"/>
          <w:szCs w:val="36"/>
        </w:rPr>
        <w:t>弃标回执</w:t>
      </w:r>
      <w:bookmarkEnd w:id="2074"/>
      <w:bookmarkEnd w:id="2075"/>
    </w:p>
    <w:p>
      <w:pPr>
        <w:kinsoku/>
        <w:overflowPunct/>
        <w:topLinePunct w:val="0"/>
        <w:bidi w:val="0"/>
        <w:spacing w:line="300" w:lineRule="auto"/>
        <w:ind w:firstLine="3360" w:firstLineChars="1200"/>
        <w:rPr>
          <w:sz w:val="28"/>
          <w:szCs w:val="28"/>
        </w:rPr>
      </w:pPr>
    </w:p>
    <w:p>
      <w:pPr>
        <w:kinsoku/>
        <w:overflowPunct/>
        <w:topLinePunct w:val="0"/>
        <w:bidi w:val="0"/>
        <w:spacing w:line="300" w:lineRule="auto"/>
      </w:pPr>
      <w:r>
        <w:rPr>
          <w:rFonts w:hint="eastAsia"/>
        </w:rPr>
        <w:t>致：</w:t>
      </w:r>
      <w:r>
        <w:rPr>
          <w:rFonts w:hint="eastAsia" w:ascii="宋体" w:hAnsi="宋体" w:cs="宋体"/>
          <w:szCs w:val="21"/>
        </w:rPr>
        <w:t>浙江瑞扬工程咨询招标代理股份有限公司</w:t>
      </w:r>
    </w:p>
    <w:p>
      <w:pPr>
        <w:kinsoku/>
        <w:wordWrap w:val="0"/>
        <w:overflowPunct/>
        <w:topLinePunct w:val="0"/>
        <w:bidi w:val="0"/>
        <w:spacing w:line="300" w:lineRule="auto"/>
        <w:rPr>
          <w:rFonts w:ascii="微软雅黑" w:hAnsi="微软雅黑" w:eastAsia="微软雅黑" w:cs="宋体"/>
          <w:szCs w:val="21"/>
        </w:rPr>
      </w:pPr>
      <w:r>
        <w:rPr>
          <w:rFonts w:hint="eastAsia"/>
        </w:rPr>
        <w:t>我司已</w:t>
      </w:r>
      <w:r>
        <w:rPr>
          <w:rFonts w:hint="eastAsia" w:ascii="Arial" w:hAnsi="Arial" w:cs="Arial"/>
          <w:szCs w:val="21"/>
        </w:rPr>
        <w:t>报名</w:t>
      </w:r>
      <w:r>
        <w:rPr>
          <w:rFonts w:hint="eastAsia" w:ascii="Arial" w:hAnsi="Arial" w:cs="Arial"/>
          <w:szCs w:val="21"/>
          <w:u w:val="single"/>
          <w:lang w:eastAsia="zh-CN"/>
        </w:rPr>
        <w:t>瑞安市玉海***业务用房改造智能化工程</w:t>
      </w:r>
      <w:r>
        <w:rPr>
          <w:rFonts w:hint="eastAsia"/>
        </w:rPr>
        <w:t>项目（编号：</w:t>
      </w:r>
      <w:r>
        <w:rPr>
          <w:rFonts w:hint="eastAsia" w:ascii="微软雅黑" w:hAnsi="微软雅黑" w:eastAsia="微软雅黑" w:cs="宋体"/>
          <w:szCs w:val="21"/>
          <w:lang w:eastAsia="zh-CN"/>
        </w:rPr>
        <w:t xml:space="preserve"> </w:t>
      </w:r>
      <w:r>
        <w:rPr>
          <w:rFonts w:hint="eastAsia" w:ascii="微软雅黑" w:hAnsi="微软雅黑" w:eastAsia="微软雅黑" w:cs="宋体"/>
          <w:szCs w:val="21"/>
        </w:rPr>
        <w:t xml:space="preserve">  </w:t>
      </w:r>
      <w:r>
        <w:rPr>
          <w:rFonts w:hint="eastAsia"/>
        </w:rPr>
        <w:t>）， 因</w:t>
      </w:r>
      <w:r>
        <w:rPr>
          <w:rFonts w:hint="eastAsia"/>
          <w:u w:val="single"/>
        </w:rPr>
        <w:t xml:space="preserve">                            </w:t>
      </w:r>
      <w:r>
        <w:rPr>
          <w:rFonts w:hint="eastAsia"/>
        </w:rPr>
        <w:t>原因，放弃本项目投标。</w:t>
      </w:r>
    </w:p>
    <w:p>
      <w:pPr>
        <w:kinsoku/>
        <w:overflowPunct/>
        <w:topLinePunct w:val="0"/>
        <w:bidi w:val="0"/>
        <w:spacing w:line="300" w:lineRule="auto"/>
        <w:ind w:firstLine="4960" w:firstLineChars="2362"/>
      </w:pPr>
      <w:r>
        <w:rPr>
          <w:rFonts w:hint="eastAsia"/>
        </w:rPr>
        <w:t>单位名称：</w:t>
      </w:r>
    </w:p>
    <w:p>
      <w:pPr>
        <w:kinsoku/>
        <w:overflowPunct/>
        <w:topLinePunct w:val="0"/>
        <w:bidi w:val="0"/>
        <w:spacing w:line="300" w:lineRule="auto"/>
        <w:ind w:firstLine="4960" w:firstLineChars="2362"/>
      </w:pPr>
      <w:r>
        <w:rPr>
          <w:rFonts w:hint="eastAsia"/>
        </w:rPr>
        <w:t>盖    章：</w:t>
      </w:r>
    </w:p>
    <w:p>
      <w:pPr>
        <w:kinsoku/>
        <w:overflowPunct/>
        <w:topLinePunct w:val="0"/>
        <w:bidi w:val="0"/>
        <w:spacing w:line="300" w:lineRule="auto"/>
        <w:ind w:firstLine="4960" w:firstLineChars="2362"/>
      </w:pPr>
      <w:r>
        <w:rPr>
          <w:rFonts w:hint="eastAsia"/>
        </w:rPr>
        <w:t>联系人：</w:t>
      </w:r>
    </w:p>
    <w:p>
      <w:pPr>
        <w:kinsoku/>
        <w:overflowPunct/>
        <w:topLinePunct w:val="0"/>
        <w:bidi w:val="0"/>
        <w:spacing w:line="300" w:lineRule="auto"/>
        <w:ind w:firstLine="4960" w:firstLineChars="2362"/>
      </w:pPr>
      <w:r>
        <w:rPr>
          <w:rFonts w:hint="eastAsia"/>
        </w:rPr>
        <w:t>联系电话：</w:t>
      </w:r>
    </w:p>
    <w:p>
      <w:pPr>
        <w:kinsoku/>
        <w:overflowPunct/>
        <w:topLinePunct w:val="0"/>
        <w:bidi w:val="0"/>
        <w:spacing w:line="300" w:lineRule="auto"/>
        <w:ind w:right="420" w:firstLine="4960" w:firstLineChars="2362"/>
      </w:pPr>
      <w:r>
        <w:rPr>
          <w:rFonts w:hint="eastAsia"/>
        </w:rPr>
        <w:t>2019年    月    日</w:t>
      </w:r>
    </w:p>
    <w:p>
      <w:pPr>
        <w:kinsoku/>
        <w:overflowPunct/>
        <w:topLinePunct w:val="0"/>
        <w:bidi w:val="0"/>
        <w:spacing w:line="300" w:lineRule="auto"/>
        <w:ind w:right="420" w:firstLine="6720" w:firstLineChars="3200"/>
      </w:pPr>
    </w:p>
    <w:p>
      <w:pPr>
        <w:kinsoku/>
        <w:overflowPunct/>
        <w:topLinePunct w:val="0"/>
        <w:bidi w:val="0"/>
        <w:spacing w:line="300" w:lineRule="auto"/>
        <w:ind w:right="420" w:firstLine="6720" w:firstLineChars="3200"/>
      </w:pPr>
    </w:p>
    <w:p>
      <w:pPr>
        <w:kinsoku/>
        <w:overflowPunct/>
        <w:topLinePunct w:val="0"/>
        <w:bidi w:val="0"/>
        <w:spacing w:line="300" w:lineRule="auto"/>
        <w:ind w:right="420" w:firstLine="6720" w:firstLineChars="3200"/>
      </w:pPr>
    </w:p>
    <w:p>
      <w:pPr>
        <w:kinsoku/>
        <w:overflowPunct/>
        <w:topLinePunct w:val="0"/>
        <w:bidi w:val="0"/>
        <w:spacing w:line="300" w:lineRule="auto"/>
        <w:ind w:right="420" w:firstLine="6720" w:firstLineChars="3200"/>
      </w:pPr>
    </w:p>
    <w:p>
      <w:pPr>
        <w:kinsoku/>
        <w:overflowPunct/>
        <w:topLinePunct w:val="0"/>
        <w:bidi w:val="0"/>
        <w:spacing w:line="300" w:lineRule="auto"/>
        <w:rPr>
          <w:rFonts w:ascii="Arial" w:hAnsi="Arial" w:cs="Arial"/>
          <w:b/>
          <w:szCs w:val="21"/>
          <w:u w:val="wave"/>
        </w:rPr>
      </w:pPr>
      <w:r>
        <w:rPr>
          <w:rFonts w:hint="eastAsia" w:ascii="Arial" w:hAnsi="Arial" w:cs="Arial"/>
          <w:b/>
          <w:szCs w:val="21"/>
          <w:u w:val="wave"/>
        </w:rPr>
        <w:t>注：如供应商已报名却想放弃投标，有以下两种操作方法：</w:t>
      </w:r>
    </w:p>
    <w:p>
      <w:pPr>
        <w:kinsoku/>
        <w:overflowPunct/>
        <w:topLinePunct w:val="0"/>
        <w:bidi w:val="0"/>
        <w:spacing w:line="300" w:lineRule="auto"/>
        <w:ind w:left="180"/>
        <w:rPr>
          <w:rFonts w:ascii="Arial" w:hAnsi="Arial" w:cs="Arial"/>
          <w:b/>
          <w:szCs w:val="21"/>
          <w:u w:val="wave"/>
        </w:rPr>
      </w:pPr>
      <w:r>
        <w:rPr>
          <w:rFonts w:ascii="Arial" w:hAnsi="Arial" w:cs="Arial"/>
          <w:b/>
          <w:szCs w:val="21"/>
          <w:u w:val="wave"/>
        </w:rPr>
        <w:t>1</w:t>
      </w:r>
      <w:r>
        <w:rPr>
          <w:rFonts w:hint="eastAsia" w:ascii="Arial" w:hAnsi="Arial" w:cs="Arial"/>
          <w:b/>
          <w:szCs w:val="21"/>
          <w:u w:val="wave"/>
        </w:rPr>
        <w:t>、在开标前</w:t>
      </w:r>
      <w:r>
        <w:rPr>
          <w:rFonts w:ascii="Arial" w:hAnsi="Arial" w:cs="Arial"/>
          <w:b/>
          <w:szCs w:val="21"/>
          <w:u w:val="wave"/>
        </w:rPr>
        <w:t>24</w:t>
      </w:r>
      <w:r>
        <w:rPr>
          <w:rFonts w:hint="eastAsia" w:ascii="Arial" w:hAnsi="Arial" w:cs="Arial"/>
          <w:b/>
          <w:szCs w:val="21"/>
          <w:u w:val="wave"/>
        </w:rPr>
        <w:t>小时，直接进入瑞安市公共资源网上交易系统取消报名。</w:t>
      </w:r>
    </w:p>
    <w:p>
      <w:pPr>
        <w:kinsoku/>
        <w:overflowPunct/>
        <w:topLinePunct w:val="0"/>
        <w:bidi w:val="0"/>
        <w:spacing w:line="300" w:lineRule="auto"/>
        <w:ind w:left="180"/>
        <w:rPr>
          <w:rFonts w:ascii="ˎ̥" w:hAnsi="ˎ̥" w:cs="宋体"/>
          <w:b/>
          <w:szCs w:val="21"/>
          <w:u w:val="wave"/>
        </w:rPr>
      </w:pPr>
      <w:r>
        <w:rPr>
          <w:rFonts w:ascii="Arial" w:hAnsi="Arial" w:cs="Arial"/>
          <w:b/>
          <w:szCs w:val="21"/>
          <w:u w:val="wave"/>
        </w:rPr>
        <w:t>2</w:t>
      </w:r>
      <w:r>
        <w:rPr>
          <w:rFonts w:hint="eastAsia" w:ascii="Arial" w:hAnsi="Arial" w:cs="Arial"/>
          <w:b/>
          <w:szCs w:val="21"/>
          <w:u w:val="wave"/>
        </w:rPr>
        <w:t>、使用该弃标回执。本函传真件与原件具有同等效力。</w:t>
      </w:r>
      <w:r>
        <w:rPr>
          <w:rFonts w:hint="eastAsia" w:ascii="ˎ̥" w:hAnsi="ˎ̥" w:cs="宋体"/>
          <w:b/>
          <w:szCs w:val="21"/>
          <w:u w:val="wave"/>
        </w:rPr>
        <w:t>响应供应商必须在开标前</w:t>
      </w:r>
      <w:r>
        <w:rPr>
          <w:rFonts w:ascii="ˎ̥" w:hAnsi="ˎ̥" w:cs="宋体"/>
          <w:b/>
          <w:szCs w:val="21"/>
          <w:u w:val="wave"/>
        </w:rPr>
        <w:t>1</w:t>
      </w:r>
      <w:r>
        <w:rPr>
          <w:rFonts w:hint="eastAsia" w:ascii="ˎ̥" w:hAnsi="ˎ̥" w:cs="宋体"/>
          <w:b/>
          <w:szCs w:val="21"/>
          <w:u w:val="wave"/>
        </w:rPr>
        <w:t>日下午</w:t>
      </w:r>
      <w:r>
        <w:rPr>
          <w:rFonts w:ascii="ˎ̥" w:hAnsi="ˎ̥" w:cs="宋体"/>
          <w:b/>
          <w:szCs w:val="21"/>
          <w:u w:val="wave"/>
        </w:rPr>
        <w:t>1</w:t>
      </w:r>
      <w:r>
        <w:rPr>
          <w:rFonts w:hint="eastAsia" w:ascii="ˎ̥" w:hAnsi="ˎ̥" w:cs="宋体"/>
          <w:b/>
          <w:szCs w:val="21"/>
          <w:u w:val="wave"/>
        </w:rPr>
        <w:t>7：</w:t>
      </w:r>
      <w:r>
        <w:rPr>
          <w:rFonts w:ascii="ˎ̥" w:hAnsi="ˎ̥" w:cs="宋体"/>
          <w:b/>
          <w:szCs w:val="21"/>
          <w:u w:val="wave"/>
        </w:rPr>
        <w:t>00</w:t>
      </w:r>
      <w:r>
        <w:rPr>
          <w:rFonts w:hint="eastAsia" w:ascii="ˎ̥" w:hAnsi="ˎ̥" w:cs="宋体"/>
          <w:b/>
          <w:szCs w:val="21"/>
          <w:u w:val="wave"/>
        </w:rPr>
        <w:t>前提供弃标回执单。</w:t>
      </w:r>
    </w:p>
    <w:p>
      <w:pPr>
        <w:kinsoku/>
        <w:overflowPunct/>
        <w:topLinePunct w:val="0"/>
        <w:bidi w:val="0"/>
        <w:spacing w:line="300" w:lineRule="auto"/>
        <w:rPr>
          <w:sz w:val="28"/>
          <w:szCs w:val="28"/>
        </w:rPr>
      </w:pPr>
      <w:r>
        <w:rPr>
          <w:rFonts w:hint="eastAsia" w:ascii="ˎ̥" w:hAnsi="ˎ̥" w:cs="宋体"/>
          <w:b/>
          <w:szCs w:val="21"/>
          <w:u w:val="wave"/>
        </w:rPr>
        <w:t>如果不按时取消报名又不提供弃标回执单的，瑞安市公共资源交易中心将此行为记录在供应商诚信档案中。</w:t>
      </w:r>
    </w:p>
    <w:p>
      <w:pPr>
        <w:kinsoku/>
        <w:overflowPunct/>
        <w:topLinePunct w:val="0"/>
        <w:bidi w:val="0"/>
        <w:spacing w:line="300" w:lineRule="auto"/>
      </w:pPr>
      <w:r>
        <w:rPr>
          <w:rFonts w:hint="eastAsia"/>
        </w:rPr>
        <w:t xml:space="preserve">请各单位务必回传回执确认收到，传真：0577-65802277   </w:t>
      </w:r>
      <w:r>
        <w:rPr>
          <w:rFonts w:hint="eastAsia"/>
          <w:lang w:eastAsia="zh-CN"/>
        </w:rPr>
        <w:t>叶先生</w:t>
      </w:r>
      <w:r>
        <w:rPr>
          <w:rFonts w:hint="eastAsia"/>
        </w:rPr>
        <w:t>收</w:t>
      </w:r>
    </w:p>
    <w:p>
      <w:pPr>
        <w:kinsoku/>
        <w:overflowPunct/>
        <w:topLinePunct w:val="0"/>
        <w:bidi w:val="0"/>
        <w:spacing w:line="300" w:lineRule="auto"/>
        <w:ind w:firstLine="420" w:firstLineChars="200"/>
      </w:pPr>
    </w:p>
    <w:p>
      <w:pPr>
        <w:kinsoku/>
        <w:overflowPunct/>
        <w:topLinePunct w:val="0"/>
        <w:bidi w:val="0"/>
        <w:spacing w:line="300" w:lineRule="auto"/>
      </w:pPr>
    </w:p>
    <w:sectPr>
      <w:headerReference r:id="rId5" w:type="default"/>
      <w:footerReference r:id="rId6" w:type="default"/>
      <w:pgSz w:w="11906" w:h="16838"/>
      <w:pgMar w:top="1588" w:right="1418" w:bottom="1134" w:left="1418" w:header="680"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1" w:usb1="080E0000" w:usb2="00000010" w:usb3="00000000" w:csb0="00040000" w:csb1="00000000"/>
  </w:font>
  <w:font w:name="仿宋_GB2312">
    <w:altName w:val="仿宋"/>
    <w:panose1 w:val="00000000000000000000"/>
    <w:charset w:val="86"/>
    <w:family w:val="modern"/>
    <w:pitch w:val="default"/>
    <w:sig w:usb0="00000001" w:usb1="080E0000" w:usb2="00000010" w:usb3="00000000" w:csb0="00040000" w:csb1="00000000"/>
  </w:font>
  <w:font w:name="方正综艺简体">
    <w:altName w:val="宋体"/>
    <w:panose1 w:val="00000000000000000000"/>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3" w:usb1="00000000" w:usb2="00000000" w:usb3="00000000" w:csb0="00000001" w:csb1="00000000"/>
  </w:font>
  <w:font w:name="Microsoft YaHei UI">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方正行楷简体">
    <w:altName w:val="微软雅黑"/>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Denshan CSEG">
    <w:altName w:val="宋体"/>
    <w:panose1 w:val="00000000000000000000"/>
    <w:charset w:val="86"/>
    <w:family w:val="roman"/>
    <w:pitch w:val="default"/>
    <w:sig w:usb0="00000001" w:usb1="080E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汉鼎简中楷">
    <w:altName w:val="宋体"/>
    <w:panose1 w:val="00000000000000000000"/>
    <w:charset w:val="86"/>
    <w:family w:val="modern"/>
    <w:pitch w:val="default"/>
    <w:sig w:usb0="00000001" w:usb1="080E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MingLiU_HKSCS">
    <w:altName w:val="PMingLiU-ExtB"/>
    <w:panose1 w:val="02020500000000000000"/>
    <w:charset w:val="88"/>
    <w:family w:val="roman"/>
    <w:pitch w:val="default"/>
    <w:sig w:usb0="A00002FF" w:usb1="3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4"/>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- 1 -</w:t>
                          </w:r>
                          <w:r>
                            <w:rPr>
                              <w:rFonts w:hint="eastAsia"/>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RW29eNYBAACwAwAADgAAAGRycy9lMm9Eb2MueG1srVPNjtMwEL4j8Q6W 7zTZiqIS1V2BqkVICJAWHsB17MaS/+Rxm/QF4A04ceHOc/U5GDtJFy2XPXBxZjzjb+b7ZrK5Hawh JxlBe8fozaKmRDrhW+0OjH79cvdiTQkk7lpuvJOMniXQ2+3zZ5s+NHLpO29aGQmCOGj6wGiXUmiq CkQnLYeFD9JhUPloeUI3Hqo28h7RramWdf2q6n1sQ/RCAuDtbgzSCTE+BdArpYXceXG00qURNUrD E1KCTgeg29KtUlKkT0qBTMQwikxTObEI2vt8VtsNbw6Rh06LqQX+lBYecbJcOyx6hdrxxMkx6n+g rBbRg1dpIbytRiJFEWRxUz/S5r7jQRYuKDWEq+jw/2DFx9PnSHTL6EtKHLc48MuP75efvy+/vpFV lqcP0GDWfcC8NLz1Ay7NfA94mVkPKtr8RT4E4yju+SquHBIR+dF6uV7XGBIYmx3Erx6ehwjpnfSW ZIPRiNMrovLTB0hj6pySqzl/p40pEzSO9Iy+Xi1X5cE1guDG5VxZdmGCyZTG1rOVhv0w8dz79ow0 e9wHRh2uPyXmvUO58+rMRpyN/WwcQ9SHruxWrgXhzTFhb6XlXGGERarZwUEW0tPS5U352y9ZDz/a 9g9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DOqXm5zwAAAAUBAAAPAAAAAAAAAAEAIAAAACIAAABk cnMvZG93bnJldi54bWxQSwECFAAUAAAACACHTuJARW29eNYBAACwAwAADgAAAAAAAAABACAAAAAe AQAAZHJzL2Uyb0RvYy54bWxQSwUGAAAAAAYABgBZAQAAZgUAAAAA ">
              <v:fill on="f" focussize="0,0"/>
              <v:stroke on="f"/>
              <v:imagedata o:title=""/>
              <o:lock v:ext="edit" aspectratio="f"/>
              <v:textbox inset="0mm,0mm,0mm,0mm" style="mso-fit-shape-to-text:t;">
                <w:txbxContent>
                  <w:p>
                    <w:pPr>
                      <w:pStyle w:val="34"/>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- 1 -</w:t>
                    </w:r>
                    <w:r>
                      <w:rPr>
                        <w:rFonts w:hint="eastAsia"/>
                      </w:rPr>
                      <w:fldChar w:fldCharType="end"/>
                    </w:r>
                  </w:p>
                </w:txbxContent>
              </v:textbox>
            </v:shape>
          </w:pict>
        </mc:Fallback>
      </mc:AlternateContent>
    </w:r>
    <w:r>
      <w:rPr>
        <w:rStyle w:val="57"/>
        <w:szCs w:val="21"/>
      </w:rPr>
      <w:tab/>
    </w:r>
    <w:r>
      <w:rPr>
        <w:rStyle w:val="57"/>
        <w:szCs w:val="2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4"/>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- 119 -</w:t>
                          </w:r>
                          <w:r>
                            <w:rPr>
                              <w:rFonts w:hint="eastAsia"/>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1/BlwdYBAACwAwAADgAAAGRycy9lMm9Eb2MueG1srVPNjtMwEL4j8Q6W 7zTZSl2VqO4KVC1CQoC08ACuYzeW/CeP26QvAG/AiQt3nqvPwdhJumi57IGLM+MZfzPfN5PN3WAN OckI2jtGbxY1JdIJ32p3YPTrl/tXa0ogcddy451k9CyB3m1fvtj0oZFL33nTykgQxEHTB0a7lEJT VSA6aTksfJAOg8pHyxO68VC1kfeIbk21rOvbqvexDdELCYC3uzFIJ8T4HECvlBZy58XRSpdG1CgN T0gJOh2Abku3SkmRPikFMhHDKDJN5cQiaO/zWW03vDlEHjotphb4c1p4wsly7bDoFWrHEyfHqP+B slpED16lhfC2GokURZDFTf1Em4eOB1m4oNQQrqLD/4MVH0+fI9EtoytKHLc48MuP75efvy+/vpHb LE8foMGsh4B5aXjrB1ya+R7wMrMeVLT5i3wIxlHc81VcOSQi8qP1cr2uMSQwNjuIXz0+DxHSO+kt yQajEadXROWnD5DG1DklV3P+XhtTJmgc6Rl9vVquyoNrBMGNy7my7MIEkymNrWcrDfth4rn37Rlp 9rgPjDpcf0rMe4dy59WZjTgb+9k4hqgPXdmtXAvCm2PC3krLucIIi1Szg4MspKely5vyt1+yHn+0 7R9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DOqXm5zwAAAAUBAAAPAAAAAAAAAAEAIAAAACIAAABk cnMvZG93bnJldi54bWxQSwECFAAUAAAACACHTuJA1/BlwdYBAACwAwAADgAAAAAAAAABACAAAAAe AQAAZHJzL2Uyb0RvYy54bWxQSwUGAAAAAAYABgBZAQAAZgUAAAAA ">
              <v:fill on="f" focussize="0,0"/>
              <v:stroke on="f"/>
              <v:imagedata o:title=""/>
              <o:lock v:ext="edit" aspectratio="f"/>
              <v:textbox inset="0mm,0mm,0mm,0mm" style="mso-fit-shape-to-text:t;">
                <w:txbxContent>
                  <w:p>
                    <w:pPr>
                      <w:pStyle w:val="34"/>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- 119 -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862DA4"/>
    <w:multiLevelType w:val="singleLevel"/>
    <w:tmpl w:val="8E862DA4"/>
    <w:lvl w:ilvl="0" w:tentative="0">
      <w:start w:val="3"/>
      <w:numFmt w:val="decimal"/>
      <w:suff w:val="nothing"/>
      <w:lvlText w:val="%1、"/>
      <w:lvlJc w:val="left"/>
    </w:lvl>
  </w:abstractNum>
  <w:abstractNum w:abstractNumId="1">
    <w:nsid w:val="D15BCFB9"/>
    <w:multiLevelType w:val="singleLevel"/>
    <w:tmpl w:val="D15BCFB9"/>
    <w:lvl w:ilvl="0" w:tentative="0">
      <w:start w:val="1"/>
      <w:numFmt w:val="chineseCounting"/>
      <w:suff w:val="nothing"/>
      <w:lvlText w:val="%1、"/>
      <w:lvlJc w:val="left"/>
      <w:rPr>
        <w:rFonts w:hint="eastAsia"/>
      </w:rPr>
    </w:lvl>
  </w:abstractNum>
  <w:abstractNum w:abstractNumId="2">
    <w:nsid w:val="DAA31436"/>
    <w:multiLevelType w:val="singleLevel"/>
    <w:tmpl w:val="DAA31436"/>
    <w:lvl w:ilvl="0" w:tentative="0">
      <w:start w:val="1"/>
      <w:numFmt w:val="decimal"/>
      <w:suff w:val="nothing"/>
      <w:lvlText w:val="（%1）"/>
      <w:lvlJc w:val="left"/>
    </w:lvl>
  </w:abstractNum>
  <w:abstractNum w:abstractNumId="3">
    <w:nsid w:val="0000000D"/>
    <w:multiLevelType w:val="multilevel"/>
    <w:tmpl w:val="0000000D"/>
    <w:lvl w:ilvl="0" w:tentative="0">
      <w:start w:val="1"/>
      <w:numFmt w:val="chineseCountingThousand"/>
      <w:lvlText w:val="%1、"/>
      <w:lvlJc w:val="left"/>
      <w:pPr>
        <w:tabs>
          <w:tab w:val="left" w:pos="420"/>
        </w:tabs>
        <w:ind w:left="420" w:hanging="420"/>
      </w:pPr>
      <w:rPr>
        <w:lang w:val="en-US"/>
      </w:rPr>
    </w:lvl>
    <w:lvl w:ilvl="1" w:tentative="0">
      <w:start w:val="1"/>
      <w:numFmt w:val="decimal"/>
      <w:lvlText w:val="%2)"/>
      <w:lvlJc w:val="left"/>
      <w:pPr>
        <w:tabs>
          <w:tab w:val="left" w:pos="840"/>
        </w:tabs>
        <w:ind w:left="840" w:hanging="420"/>
      </w:pPr>
      <w:rPr>
        <w:rFonts w:hint="eastAsia"/>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644"/>
        </w:tabs>
        <w:ind w:left="644"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0"/>
    <w:multiLevelType w:val="multilevel"/>
    <w:tmpl w:val="00000010"/>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12"/>
    <w:multiLevelType w:val="multilevel"/>
    <w:tmpl w:val="00000012"/>
    <w:lvl w:ilvl="0" w:tentative="0">
      <w:start w:val="1"/>
      <w:numFmt w:val="decimal"/>
      <w:lvlText w:val="（%1）"/>
      <w:lvlJc w:val="left"/>
      <w:pPr>
        <w:ind w:left="1560" w:hanging="720"/>
      </w:pPr>
      <w:rPr>
        <w:rFonts w:hint="default" w:cs="Times New Roman"/>
        <w:color w:val="auto"/>
        <w:sz w:val="21"/>
      </w:rPr>
    </w:lvl>
    <w:lvl w:ilvl="1" w:tentative="0">
      <w:start w:val="1"/>
      <w:numFmt w:val="decimal"/>
      <w:lvlText w:val="%2、"/>
      <w:lvlJc w:val="left"/>
      <w:pPr>
        <w:ind w:left="1620" w:hanging="360"/>
      </w:pPr>
      <w:rPr>
        <w:rFonts w:hint="default"/>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00000014"/>
    <w:multiLevelType w:val="multilevel"/>
    <w:tmpl w:val="00000014"/>
    <w:lvl w:ilvl="0" w:tentative="0">
      <w:start w:val="1"/>
      <w:numFmt w:val="japaneseCounting"/>
      <w:pStyle w:val="17"/>
      <w:lvlText w:val="%1、"/>
      <w:lvlJc w:val="left"/>
      <w:pPr>
        <w:tabs>
          <w:tab w:val="left" w:pos="1100"/>
        </w:tabs>
        <w:ind w:left="1100" w:hanging="420"/>
      </w:pPr>
      <w:rPr>
        <w:rFonts w:ascii="宋体" w:hAnsi="宋体" w:eastAsia="宋体" w:cs="宋体"/>
        <w:color w:val="auto"/>
      </w:rPr>
    </w:lvl>
    <w:lvl w:ilvl="1" w:tentative="0">
      <w:start w:val="1"/>
      <w:numFmt w:val="lowerLetter"/>
      <w:lvlText w:val="%2)"/>
      <w:lvlJc w:val="left"/>
      <w:pPr>
        <w:tabs>
          <w:tab w:val="left" w:pos="696"/>
        </w:tabs>
        <w:ind w:left="696" w:hanging="420"/>
      </w:pPr>
    </w:lvl>
    <w:lvl w:ilvl="2" w:tentative="0">
      <w:start w:val="1"/>
      <w:numFmt w:val="lowerRoman"/>
      <w:lvlText w:val="%3."/>
      <w:lvlJc w:val="right"/>
      <w:pPr>
        <w:tabs>
          <w:tab w:val="left" w:pos="1116"/>
        </w:tabs>
        <w:ind w:left="1116" w:hanging="420"/>
      </w:pPr>
    </w:lvl>
    <w:lvl w:ilvl="3" w:tentative="0">
      <w:start w:val="1"/>
      <w:numFmt w:val="decimal"/>
      <w:lvlText w:val="%4."/>
      <w:lvlJc w:val="left"/>
      <w:pPr>
        <w:tabs>
          <w:tab w:val="left" w:pos="1536"/>
        </w:tabs>
        <w:ind w:left="1536" w:hanging="420"/>
      </w:pPr>
    </w:lvl>
    <w:lvl w:ilvl="4" w:tentative="0">
      <w:start w:val="1"/>
      <w:numFmt w:val="lowerLetter"/>
      <w:lvlText w:val="%5)"/>
      <w:lvlJc w:val="left"/>
      <w:pPr>
        <w:tabs>
          <w:tab w:val="left" w:pos="1956"/>
        </w:tabs>
        <w:ind w:left="1956" w:hanging="420"/>
      </w:pPr>
    </w:lvl>
    <w:lvl w:ilvl="5" w:tentative="0">
      <w:start w:val="1"/>
      <w:numFmt w:val="lowerRoman"/>
      <w:lvlText w:val="%6."/>
      <w:lvlJc w:val="right"/>
      <w:pPr>
        <w:tabs>
          <w:tab w:val="left" w:pos="2376"/>
        </w:tabs>
        <w:ind w:left="2376" w:hanging="420"/>
      </w:pPr>
    </w:lvl>
    <w:lvl w:ilvl="6" w:tentative="0">
      <w:start w:val="1"/>
      <w:numFmt w:val="decimal"/>
      <w:lvlText w:val="%7."/>
      <w:lvlJc w:val="left"/>
      <w:pPr>
        <w:tabs>
          <w:tab w:val="left" w:pos="2796"/>
        </w:tabs>
        <w:ind w:left="2796" w:hanging="420"/>
      </w:pPr>
    </w:lvl>
    <w:lvl w:ilvl="7" w:tentative="0">
      <w:start w:val="1"/>
      <w:numFmt w:val="lowerLetter"/>
      <w:lvlText w:val="%8)"/>
      <w:lvlJc w:val="left"/>
      <w:pPr>
        <w:tabs>
          <w:tab w:val="left" w:pos="3216"/>
        </w:tabs>
        <w:ind w:left="3216" w:hanging="420"/>
      </w:pPr>
    </w:lvl>
    <w:lvl w:ilvl="8" w:tentative="0">
      <w:start w:val="1"/>
      <w:numFmt w:val="lowerRoman"/>
      <w:lvlText w:val="%9."/>
      <w:lvlJc w:val="right"/>
      <w:pPr>
        <w:tabs>
          <w:tab w:val="left" w:pos="3636"/>
        </w:tabs>
        <w:ind w:left="3636" w:hanging="420"/>
      </w:pPr>
    </w:lvl>
  </w:abstractNum>
  <w:abstractNum w:abstractNumId="7">
    <w:nsid w:val="00000015"/>
    <w:multiLevelType w:val="singleLevel"/>
    <w:tmpl w:val="00000015"/>
    <w:lvl w:ilvl="0" w:tentative="0">
      <w:start w:val="1"/>
      <w:numFmt w:val="decimal"/>
      <w:lvlText w:val="（%1）"/>
      <w:lvlJc w:val="left"/>
      <w:pPr>
        <w:ind w:left="420" w:hanging="420"/>
      </w:pPr>
      <w:rPr>
        <w:rFonts w:hint="eastAsia"/>
        <w:color w:val="auto"/>
        <w:lang w:val="en-US"/>
      </w:rPr>
    </w:lvl>
  </w:abstractNum>
  <w:abstractNum w:abstractNumId="8">
    <w:nsid w:val="00000019"/>
    <w:multiLevelType w:val="multilevel"/>
    <w:tmpl w:val="00000019"/>
    <w:lvl w:ilvl="0" w:tentative="0">
      <w:start w:val="1"/>
      <w:numFmt w:val="decimal"/>
      <w:lvlText w:val="%1."/>
      <w:lvlJc w:val="left"/>
      <w:pPr>
        <w:tabs>
          <w:tab w:val="left" w:pos="851"/>
        </w:tabs>
        <w:ind w:left="851" w:hanging="851"/>
      </w:pPr>
      <w:rPr>
        <w:rFonts w:hint="default" w:ascii="Arial" w:hAnsi="Arial" w:eastAsia="宋体"/>
        <w:b/>
        <w:i w:val="0"/>
        <w:sz w:val="24"/>
      </w:rPr>
    </w:lvl>
    <w:lvl w:ilvl="1" w:tentative="0">
      <w:start w:val="1"/>
      <w:numFmt w:val="decimal"/>
      <w:lvlText w:val="%1.%2"/>
      <w:lvlJc w:val="left"/>
      <w:pPr>
        <w:tabs>
          <w:tab w:val="left" w:pos="851"/>
        </w:tabs>
        <w:ind w:left="851" w:hanging="851"/>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9">
    <w:nsid w:val="0000001A"/>
    <w:multiLevelType w:val="multilevel"/>
    <w:tmpl w:val="0000001A"/>
    <w:lvl w:ilvl="0" w:tentative="0">
      <w:start w:val="1"/>
      <w:numFmt w:val="decimal"/>
      <w:lvlText w:val="（%1）"/>
      <w:lvlJc w:val="left"/>
      <w:pPr>
        <w:ind w:left="1560" w:hanging="720"/>
      </w:pPr>
      <w:rPr>
        <w:rFonts w:hint="default" w:cs="Times New Roman"/>
        <w:color w:val="auto"/>
        <w:sz w:val="21"/>
      </w:rPr>
    </w:lvl>
    <w:lvl w:ilvl="1" w:tentative="0">
      <w:start w:val="1"/>
      <w:numFmt w:val="decimal"/>
      <w:lvlText w:val="%2）"/>
      <w:lvlJc w:val="left"/>
      <w:pPr>
        <w:ind w:left="1770" w:hanging="510"/>
      </w:pPr>
      <w:rPr>
        <w:rFonts w:hint="default" w:ascii="宋体" w:hAnsi="宋体"/>
        <w:color w:val="000000"/>
      </w:rPr>
    </w:lvl>
    <w:lvl w:ilvl="2" w:tentative="0">
      <w:start w:val="1"/>
      <w:numFmt w:val="decimal"/>
      <w:lvlText w:val="%3、"/>
      <w:lvlJc w:val="left"/>
      <w:pPr>
        <w:ind w:left="2040" w:hanging="360"/>
      </w:pPr>
      <w:rPr>
        <w:rFonts w:hint="default"/>
      </w:r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0">
    <w:nsid w:val="0000001C"/>
    <w:multiLevelType w:val="multilevel"/>
    <w:tmpl w:val="0000001C"/>
    <w:lvl w:ilvl="0" w:tentative="0">
      <w:start w:val="1"/>
      <w:numFmt w:val="japaneseCounting"/>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28"/>
    <w:multiLevelType w:val="multilevel"/>
    <w:tmpl w:val="00000028"/>
    <w:lvl w:ilvl="0" w:tentative="0">
      <w:start w:val="1"/>
      <w:numFmt w:val="decimal"/>
      <w:lvlText w:val="%1"/>
      <w:lvlJc w:val="left"/>
      <w:pPr>
        <w:tabs>
          <w:tab w:val="left" w:pos="425"/>
        </w:tabs>
        <w:ind w:left="425" w:hanging="425"/>
      </w:pPr>
      <w:rPr>
        <w:rFonts w:hint="default"/>
        <w:b/>
        <w:i w:val="0"/>
        <w:sz w:val="24"/>
      </w:rPr>
    </w:lvl>
    <w:lvl w:ilvl="1" w:tentative="0">
      <w:start w:val="1"/>
      <w:numFmt w:val="decimal"/>
      <w:lvlText w:val="%1.%2"/>
      <w:lvlJc w:val="left"/>
      <w:pPr>
        <w:tabs>
          <w:tab w:val="left" w:pos="927"/>
        </w:tabs>
        <w:ind w:left="927" w:hanging="567"/>
      </w:pPr>
      <w:rPr>
        <w:rFonts w:hint="default"/>
        <w:b w:val="0"/>
        <w:i w:val="0"/>
        <w:sz w:val="21"/>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04B5C910"/>
    <w:multiLevelType w:val="singleLevel"/>
    <w:tmpl w:val="04B5C910"/>
    <w:lvl w:ilvl="0" w:tentative="0">
      <w:start w:val="2"/>
      <w:numFmt w:val="chineseCounting"/>
      <w:suff w:val="nothing"/>
      <w:lvlText w:val="%1、"/>
      <w:lvlJc w:val="left"/>
      <w:rPr>
        <w:rFonts w:hint="eastAsia"/>
      </w:rPr>
    </w:lvl>
  </w:abstractNum>
  <w:abstractNum w:abstractNumId="13">
    <w:nsid w:val="14165722"/>
    <w:multiLevelType w:val="multilevel"/>
    <w:tmpl w:val="1416572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5AA5F5B"/>
    <w:multiLevelType w:val="singleLevel"/>
    <w:tmpl w:val="15AA5F5B"/>
    <w:lvl w:ilvl="0" w:tentative="0">
      <w:start w:val="1"/>
      <w:numFmt w:val="decimal"/>
      <w:lvlText w:val="%1)"/>
      <w:lvlJc w:val="left"/>
      <w:pPr>
        <w:tabs>
          <w:tab w:val="left" w:pos="425"/>
        </w:tabs>
        <w:ind w:left="425" w:hanging="425"/>
      </w:pPr>
      <w:rPr>
        <w:b/>
      </w:rPr>
    </w:lvl>
  </w:abstractNum>
  <w:abstractNum w:abstractNumId="15">
    <w:nsid w:val="2A0D5F24"/>
    <w:multiLevelType w:val="multilevel"/>
    <w:tmpl w:val="2A0D5F24"/>
    <w:lvl w:ilvl="0" w:tentative="0">
      <w:start w:val="1"/>
      <w:numFmt w:val="decimal"/>
      <w:lvlText w:val="%1."/>
      <w:lvlJc w:val="left"/>
      <w:pPr>
        <w:tabs>
          <w:tab w:val="left" w:pos="1680"/>
        </w:tabs>
        <w:ind w:left="168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6">
    <w:nsid w:val="319A1598"/>
    <w:multiLevelType w:val="singleLevel"/>
    <w:tmpl w:val="319A1598"/>
    <w:lvl w:ilvl="0" w:tentative="0">
      <w:start w:val="2"/>
      <w:numFmt w:val="decimal"/>
      <w:suff w:val="nothing"/>
      <w:lvlText w:val="%1、"/>
      <w:lvlJc w:val="left"/>
    </w:lvl>
  </w:abstractNum>
  <w:abstractNum w:abstractNumId="17">
    <w:nsid w:val="39DAA6F2"/>
    <w:multiLevelType w:val="singleLevel"/>
    <w:tmpl w:val="39DAA6F2"/>
    <w:lvl w:ilvl="0" w:tentative="0">
      <w:start w:val="1"/>
      <w:numFmt w:val="decimal"/>
      <w:lvlText w:val="%1)"/>
      <w:lvlJc w:val="left"/>
      <w:pPr>
        <w:tabs>
          <w:tab w:val="left" w:pos="397"/>
        </w:tabs>
        <w:ind w:left="0" w:firstLine="0"/>
      </w:pPr>
      <w:rPr>
        <w:rFonts w:hint="default"/>
      </w:rPr>
    </w:lvl>
  </w:abstractNum>
  <w:abstractNum w:abstractNumId="18">
    <w:nsid w:val="3C042CC8"/>
    <w:multiLevelType w:val="multilevel"/>
    <w:tmpl w:val="3C042CC8"/>
    <w:lvl w:ilvl="0" w:tentative="0">
      <w:start w:val="1"/>
      <w:numFmt w:val="decimal"/>
      <w:lvlText w:val="%1)"/>
      <w:lvlJc w:val="left"/>
      <w:pPr>
        <w:tabs>
          <w:tab w:val="left" w:pos="425"/>
        </w:tabs>
        <w:ind w:left="425" w:hanging="42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42EE5DA7"/>
    <w:multiLevelType w:val="multilevel"/>
    <w:tmpl w:val="42EE5DA7"/>
    <w:lvl w:ilvl="0" w:tentative="0">
      <w:start w:val="1"/>
      <w:numFmt w:val="decimal"/>
      <w:lvlText w:val="（%1）"/>
      <w:lvlJc w:val="left"/>
      <w:pPr>
        <w:tabs>
          <w:tab w:val="left" w:pos="1560"/>
        </w:tabs>
        <w:ind w:left="1560" w:hanging="720"/>
      </w:pPr>
      <w:rPr>
        <w:rFonts w:hint="default"/>
      </w:rPr>
    </w:lvl>
    <w:lvl w:ilvl="1" w:tentative="0">
      <w:start w:val="1"/>
      <w:numFmt w:val="decimalEnclosedCircle"/>
      <w:lvlText w:val="%2"/>
      <w:lvlJc w:val="left"/>
      <w:pPr>
        <w:tabs>
          <w:tab w:val="left" w:pos="1620"/>
        </w:tabs>
        <w:ind w:left="1620" w:hanging="360"/>
      </w:pPr>
      <w:rPr>
        <w:rFonts w:hint="default"/>
      </w:rPr>
    </w:lvl>
    <w:lvl w:ilvl="2" w:tentative="0">
      <w:start w:val="1"/>
      <w:numFmt w:val="decimal"/>
      <w:lvlText w:val="%3）"/>
      <w:lvlJc w:val="left"/>
      <w:pPr>
        <w:tabs>
          <w:tab w:val="left" w:pos="2040"/>
        </w:tabs>
        <w:ind w:left="2040" w:hanging="360"/>
      </w:pPr>
      <w:rPr>
        <w:rFonts w:hint="default"/>
      </w:rPr>
    </w:lvl>
    <w:lvl w:ilvl="3" w:tentative="0">
      <w:start w:val="4"/>
      <w:numFmt w:val="decimalEnclosedParen"/>
      <w:lvlText w:val="%4"/>
      <w:lvlJc w:val="left"/>
      <w:pPr>
        <w:tabs>
          <w:tab w:val="left" w:pos="2460"/>
        </w:tabs>
        <w:ind w:left="2460" w:hanging="360"/>
      </w:pPr>
      <w:rPr>
        <w:rFonts w:hint="default"/>
      </w:r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0">
    <w:nsid w:val="449BF504"/>
    <w:multiLevelType w:val="multilevel"/>
    <w:tmpl w:val="449BF504"/>
    <w:lvl w:ilvl="0" w:tentative="0">
      <w:start w:val="2"/>
      <w:numFmt w:val="decimal"/>
      <w:lvlText w:val="%1"/>
      <w:lvlJc w:val="left"/>
      <w:pPr>
        <w:tabs>
          <w:tab w:val="left" w:pos="425"/>
        </w:tabs>
        <w:ind w:left="425" w:hanging="425"/>
      </w:pPr>
      <w:rPr>
        <w:rFonts w:hint="default" w:ascii="宋体" w:hAnsi="宋体" w:eastAsia="宋体" w:cs="宋体"/>
        <w:b/>
        <w:i w:val="0"/>
        <w:sz w:val="24"/>
      </w:rPr>
    </w:lvl>
    <w:lvl w:ilvl="1" w:tentative="0">
      <w:start w:val="1"/>
      <w:numFmt w:val="decimal"/>
      <w:lvlText w:val="%1.%2"/>
      <w:lvlJc w:val="left"/>
      <w:pPr>
        <w:tabs>
          <w:tab w:val="left" w:pos="927"/>
        </w:tabs>
        <w:ind w:left="927" w:hanging="567"/>
      </w:pPr>
      <w:rPr>
        <w:rFonts w:hint="default" w:ascii="宋体" w:hAnsi="宋体" w:eastAsia="宋体" w:cs="宋体"/>
        <w:b w:val="0"/>
        <w:i w:val="0"/>
        <w:sz w:val="21"/>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4AA3218E"/>
    <w:multiLevelType w:val="multilevel"/>
    <w:tmpl w:val="4AA3218E"/>
    <w:lvl w:ilvl="0" w:tentative="0">
      <w:start w:val="1"/>
      <w:numFmt w:val="decimal"/>
      <w:lvlText w:val="（%1）"/>
      <w:lvlJc w:val="left"/>
      <w:pPr>
        <w:ind w:left="708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83BDDC9"/>
    <w:multiLevelType w:val="singleLevel"/>
    <w:tmpl w:val="583BDDC9"/>
    <w:lvl w:ilvl="0" w:tentative="0">
      <w:start w:val="1"/>
      <w:numFmt w:val="bullet"/>
      <w:lvlText w:val=""/>
      <w:lvlJc w:val="left"/>
      <w:pPr>
        <w:ind w:left="420" w:hanging="420"/>
      </w:pPr>
      <w:rPr>
        <w:rFonts w:hint="default" w:ascii="Wingdings" w:hAnsi="Wingdings"/>
      </w:rPr>
    </w:lvl>
  </w:abstractNum>
  <w:abstractNum w:abstractNumId="23">
    <w:nsid w:val="583BF621"/>
    <w:multiLevelType w:val="singleLevel"/>
    <w:tmpl w:val="583BF621"/>
    <w:lvl w:ilvl="0" w:tentative="0">
      <w:start w:val="2"/>
      <w:numFmt w:val="decimal"/>
      <w:suff w:val="nothing"/>
      <w:lvlText w:val="%1、"/>
      <w:lvlJc w:val="left"/>
    </w:lvl>
  </w:abstractNum>
  <w:abstractNum w:abstractNumId="24">
    <w:nsid w:val="5961BA12"/>
    <w:multiLevelType w:val="singleLevel"/>
    <w:tmpl w:val="5961BA12"/>
    <w:lvl w:ilvl="0" w:tentative="0">
      <w:start w:val="2"/>
      <w:numFmt w:val="decimal"/>
      <w:suff w:val="nothing"/>
      <w:lvlText w:val="（%1）"/>
      <w:lvlJc w:val="left"/>
    </w:lvl>
  </w:abstractNum>
  <w:abstractNum w:abstractNumId="25">
    <w:nsid w:val="5A861520"/>
    <w:multiLevelType w:val="multilevel"/>
    <w:tmpl w:val="5A861520"/>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6">
    <w:nsid w:val="5F6B4CCE"/>
    <w:multiLevelType w:val="multilevel"/>
    <w:tmpl w:val="5F6B4CCE"/>
    <w:lvl w:ilvl="0" w:tentative="0">
      <w:start w:val="1"/>
      <w:numFmt w:val="decimal"/>
      <w:lvlText w:val="%1."/>
      <w:lvlJc w:val="left"/>
      <w:pPr>
        <w:tabs>
          <w:tab w:val="left" w:pos="1664"/>
        </w:tabs>
        <w:ind w:left="1664" w:hanging="420"/>
      </w:pPr>
      <w:rPr>
        <w:rFonts w:hint="eastAsia" w:cs="Times New Roman"/>
      </w:rPr>
    </w:lvl>
    <w:lvl w:ilvl="1" w:tentative="0">
      <w:start w:val="1"/>
      <w:numFmt w:val="decimal"/>
      <w:lvlText w:val="%2."/>
      <w:lvlJc w:val="left"/>
      <w:pPr>
        <w:tabs>
          <w:tab w:val="left" w:pos="1244"/>
        </w:tabs>
        <w:ind w:left="1244" w:hanging="420"/>
      </w:pPr>
      <w:rPr>
        <w:rFonts w:hint="eastAsia" w:cs="Times New Roman"/>
      </w:rPr>
    </w:lvl>
    <w:lvl w:ilvl="2" w:tentative="0">
      <w:start w:val="1"/>
      <w:numFmt w:val="lowerRoman"/>
      <w:lvlText w:val="%3."/>
      <w:lvlJc w:val="right"/>
      <w:pPr>
        <w:tabs>
          <w:tab w:val="left" w:pos="1664"/>
        </w:tabs>
        <w:ind w:left="1664" w:hanging="420"/>
      </w:pPr>
      <w:rPr>
        <w:rFonts w:cs="Times New Roman"/>
      </w:rPr>
    </w:lvl>
    <w:lvl w:ilvl="3" w:tentative="0">
      <w:start w:val="1"/>
      <w:numFmt w:val="decimal"/>
      <w:lvlText w:val="%4."/>
      <w:lvlJc w:val="left"/>
      <w:pPr>
        <w:tabs>
          <w:tab w:val="left" w:pos="2084"/>
        </w:tabs>
        <w:ind w:left="2084" w:hanging="420"/>
      </w:pPr>
      <w:rPr>
        <w:rFonts w:cs="Times New Roman"/>
      </w:rPr>
    </w:lvl>
    <w:lvl w:ilvl="4" w:tentative="0">
      <w:start w:val="1"/>
      <w:numFmt w:val="lowerLetter"/>
      <w:lvlText w:val="%5)"/>
      <w:lvlJc w:val="left"/>
      <w:pPr>
        <w:tabs>
          <w:tab w:val="left" w:pos="2504"/>
        </w:tabs>
        <w:ind w:left="2504" w:hanging="420"/>
      </w:pPr>
      <w:rPr>
        <w:rFonts w:cs="Times New Roman"/>
      </w:rPr>
    </w:lvl>
    <w:lvl w:ilvl="5" w:tentative="0">
      <w:start w:val="1"/>
      <w:numFmt w:val="lowerRoman"/>
      <w:lvlText w:val="%6."/>
      <w:lvlJc w:val="right"/>
      <w:pPr>
        <w:tabs>
          <w:tab w:val="left" w:pos="2924"/>
        </w:tabs>
        <w:ind w:left="2924" w:hanging="420"/>
      </w:pPr>
      <w:rPr>
        <w:rFonts w:cs="Times New Roman"/>
      </w:rPr>
    </w:lvl>
    <w:lvl w:ilvl="6" w:tentative="0">
      <w:start w:val="1"/>
      <w:numFmt w:val="decimal"/>
      <w:lvlText w:val="%7."/>
      <w:lvlJc w:val="left"/>
      <w:pPr>
        <w:tabs>
          <w:tab w:val="left" w:pos="3344"/>
        </w:tabs>
        <w:ind w:left="3344" w:hanging="420"/>
      </w:pPr>
      <w:rPr>
        <w:rFonts w:cs="Times New Roman"/>
      </w:rPr>
    </w:lvl>
    <w:lvl w:ilvl="7" w:tentative="0">
      <w:start w:val="1"/>
      <w:numFmt w:val="lowerLetter"/>
      <w:lvlText w:val="%8)"/>
      <w:lvlJc w:val="left"/>
      <w:pPr>
        <w:tabs>
          <w:tab w:val="left" w:pos="3764"/>
        </w:tabs>
        <w:ind w:left="3764" w:hanging="420"/>
      </w:pPr>
      <w:rPr>
        <w:rFonts w:cs="Times New Roman"/>
      </w:rPr>
    </w:lvl>
    <w:lvl w:ilvl="8" w:tentative="0">
      <w:start w:val="1"/>
      <w:numFmt w:val="lowerRoman"/>
      <w:lvlText w:val="%9."/>
      <w:lvlJc w:val="right"/>
      <w:pPr>
        <w:tabs>
          <w:tab w:val="left" w:pos="4184"/>
        </w:tabs>
        <w:ind w:left="4184" w:hanging="420"/>
      </w:pPr>
      <w:rPr>
        <w:rFonts w:cs="Times New Roman"/>
      </w:rPr>
    </w:lvl>
  </w:abstractNum>
  <w:abstractNum w:abstractNumId="27">
    <w:nsid w:val="612C0E64"/>
    <w:multiLevelType w:val="multilevel"/>
    <w:tmpl w:val="612C0E64"/>
    <w:lvl w:ilvl="0" w:tentative="0">
      <w:start w:val="1"/>
      <w:numFmt w:val="decimal"/>
      <w:lvlText w:val="%1."/>
      <w:lvlJc w:val="left"/>
      <w:pPr>
        <w:tabs>
          <w:tab w:val="left" w:pos="1244"/>
        </w:tabs>
        <w:ind w:left="1244" w:hanging="420"/>
      </w:pPr>
      <w:rPr>
        <w:rFonts w:hint="eastAsia" w:cs="Times New Roman"/>
      </w:rPr>
    </w:lvl>
    <w:lvl w:ilvl="1" w:tentative="0">
      <w:start w:val="1"/>
      <w:numFmt w:val="lowerLetter"/>
      <w:lvlText w:val="%2)"/>
      <w:lvlJc w:val="left"/>
      <w:pPr>
        <w:tabs>
          <w:tab w:val="left" w:pos="824"/>
        </w:tabs>
        <w:ind w:left="824" w:hanging="420"/>
      </w:pPr>
      <w:rPr>
        <w:rFonts w:cs="Times New Roman"/>
      </w:rPr>
    </w:lvl>
    <w:lvl w:ilvl="2" w:tentative="0">
      <w:start w:val="1"/>
      <w:numFmt w:val="lowerRoman"/>
      <w:lvlText w:val="%3."/>
      <w:lvlJc w:val="right"/>
      <w:pPr>
        <w:tabs>
          <w:tab w:val="left" w:pos="1244"/>
        </w:tabs>
        <w:ind w:left="1244" w:hanging="420"/>
      </w:pPr>
      <w:rPr>
        <w:rFonts w:cs="Times New Roman"/>
      </w:rPr>
    </w:lvl>
    <w:lvl w:ilvl="3" w:tentative="0">
      <w:start w:val="1"/>
      <w:numFmt w:val="decimal"/>
      <w:lvlText w:val="%4."/>
      <w:lvlJc w:val="left"/>
      <w:pPr>
        <w:tabs>
          <w:tab w:val="left" w:pos="1664"/>
        </w:tabs>
        <w:ind w:left="1664" w:hanging="420"/>
      </w:pPr>
      <w:rPr>
        <w:rFonts w:cs="Times New Roman"/>
      </w:rPr>
    </w:lvl>
    <w:lvl w:ilvl="4" w:tentative="0">
      <w:start w:val="1"/>
      <w:numFmt w:val="lowerLetter"/>
      <w:lvlText w:val="%5)"/>
      <w:lvlJc w:val="left"/>
      <w:pPr>
        <w:tabs>
          <w:tab w:val="left" w:pos="2084"/>
        </w:tabs>
        <w:ind w:left="2084" w:hanging="420"/>
      </w:pPr>
      <w:rPr>
        <w:rFonts w:cs="Times New Roman"/>
      </w:rPr>
    </w:lvl>
    <w:lvl w:ilvl="5" w:tentative="0">
      <w:start w:val="1"/>
      <w:numFmt w:val="lowerRoman"/>
      <w:lvlText w:val="%6."/>
      <w:lvlJc w:val="right"/>
      <w:pPr>
        <w:tabs>
          <w:tab w:val="left" w:pos="2504"/>
        </w:tabs>
        <w:ind w:left="2504" w:hanging="420"/>
      </w:pPr>
      <w:rPr>
        <w:rFonts w:cs="Times New Roman"/>
      </w:rPr>
    </w:lvl>
    <w:lvl w:ilvl="6" w:tentative="0">
      <w:start w:val="1"/>
      <w:numFmt w:val="decimal"/>
      <w:lvlText w:val="%7."/>
      <w:lvlJc w:val="left"/>
      <w:pPr>
        <w:tabs>
          <w:tab w:val="left" w:pos="2924"/>
        </w:tabs>
        <w:ind w:left="2924" w:hanging="420"/>
      </w:pPr>
      <w:rPr>
        <w:rFonts w:cs="Times New Roman"/>
      </w:rPr>
    </w:lvl>
    <w:lvl w:ilvl="7" w:tentative="0">
      <w:start w:val="1"/>
      <w:numFmt w:val="lowerLetter"/>
      <w:lvlText w:val="%8)"/>
      <w:lvlJc w:val="left"/>
      <w:pPr>
        <w:tabs>
          <w:tab w:val="left" w:pos="3344"/>
        </w:tabs>
        <w:ind w:left="3344" w:hanging="420"/>
      </w:pPr>
      <w:rPr>
        <w:rFonts w:cs="Times New Roman"/>
      </w:rPr>
    </w:lvl>
    <w:lvl w:ilvl="8" w:tentative="0">
      <w:start w:val="1"/>
      <w:numFmt w:val="lowerRoman"/>
      <w:lvlText w:val="%9."/>
      <w:lvlJc w:val="right"/>
      <w:pPr>
        <w:tabs>
          <w:tab w:val="left" w:pos="3764"/>
        </w:tabs>
        <w:ind w:left="3764" w:hanging="420"/>
      </w:pPr>
      <w:rPr>
        <w:rFonts w:cs="Times New Roman"/>
      </w:rPr>
    </w:lvl>
  </w:abstractNum>
  <w:abstractNum w:abstractNumId="28">
    <w:nsid w:val="671C9E5C"/>
    <w:multiLevelType w:val="singleLevel"/>
    <w:tmpl w:val="671C9E5C"/>
    <w:lvl w:ilvl="0" w:tentative="0">
      <w:start w:val="1"/>
      <w:numFmt w:val="bullet"/>
      <w:lvlText w:val=""/>
      <w:lvlJc w:val="left"/>
      <w:pPr>
        <w:ind w:left="420" w:hanging="420"/>
      </w:pPr>
      <w:rPr>
        <w:rFonts w:hint="default" w:ascii="Wingdings" w:hAnsi="Wingdings"/>
      </w:rPr>
    </w:lvl>
  </w:abstractNum>
  <w:abstractNum w:abstractNumId="29">
    <w:nsid w:val="699C890A"/>
    <w:multiLevelType w:val="singleLevel"/>
    <w:tmpl w:val="699C890A"/>
    <w:lvl w:ilvl="0" w:tentative="0">
      <w:start w:val="6"/>
      <w:numFmt w:val="chineseCounting"/>
      <w:suff w:val="nothing"/>
      <w:lvlText w:val="%1、"/>
      <w:lvlJc w:val="left"/>
      <w:rPr>
        <w:rFonts w:hint="eastAsia"/>
      </w:rPr>
    </w:lvl>
  </w:abstractNum>
  <w:abstractNum w:abstractNumId="30">
    <w:nsid w:val="6DDC6220"/>
    <w:multiLevelType w:val="multilevel"/>
    <w:tmpl w:val="6DDC6220"/>
    <w:lvl w:ilvl="0" w:tentative="0">
      <w:start w:val="1"/>
      <w:numFmt w:val="bullet"/>
      <w:lvlText w:val=""/>
      <w:lvlJc w:val="left"/>
      <w:pPr>
        <w:tabs>
          <w:tab w:val="left" w:pos="1200"/>
        </w:tabs>
        <w:ind w:left="1200" w:hanging="420"/>
      </w:pPr>
      <w:rPr>
        <w:rFonts w:hint="default" w:ascii="Wingdings" w:hAnsi="Wingdings"/>
      </w:rPr>
    </w:lvl>
    <w:lvl w:ilvl="1" w:tentative="0">
      <w:start w:val="1"/>
      <w:numFmt w:val="bullet"/>
      <w:lvlText w:val=""/>
      <w:lvlJc w:val="left"/>
      <w:pPr>
        <w:tabs>
          <w:tab w:val="left" w:pos="1620"/>
        </w:tabs>
        <w:ind w:left="1620" w:hanging="420"/>
      </w:pPr>
      <w:rPr>
        <w:rFonts w:hint="default" w:ascii="Wingdings" w:hAnsi="Wingdings"/>
      </w:rPr>
    </w:lvl>
    <w:lvl w:ilvl="2" w:tentative="0">
      <w:start w:val="1"/>
      <w:numFmt w:val="bullet"/>
      <w:lvlText w:val=""/>
      <w:lvlJc w:val="left"/>
      <w:pPr>
        <w:tabs>
          <w:tab w:val="left" w:pos="2040"/>
        </w:tabs>
        <w:ind w:left="2040" w:hanging="420"/>
      </w:pPr>
      <w:rPr>
        <w:rFonts w:hint="default" w:ascii="Wingdings" w:hAnsi="Wingdings"/>
      </w:rPr>
    </w:lvl>
    <w:lvl w:ilvl="3" w:tentative="0">
      <w:start w:val="1"/>
      <w:numFmt w:val="bullet"/>
      <w:lvlText w:val=""/>
      <w:lvlJc w:val="left"/>
      <w:pPr>
        <w:tabs>
          <w:tab w:val="left" w:pos="2460"/>
        </w:tabs>
        <w:ind w:left="2460" w:hanging="420"/>
      </w:pPr>
      <w:rPr>
        <w:rFonts w:hint="default" w:ascii="Wingdings" w:hAnsi="Wingdings"/>
      </w:rPr>
    </w:lvl>
    <w:lvl w:ilvl="4" w:tentative="0">
      <w:start w:val="1"/>
      <w:numFmt w:val="bullet"/>
      <w:lvlText w:val=""/>
      <w:lvlJc w:val="left"/>
      <w:pPr>
        <w:tabs>
          <w:tab w:val="left" w:pos="2880"/>
        </w:tabs>
        <w:ind w:left="2880" w:hanging="420"/>
      </w:pPr>
      <w:rPr>
        <w:rFonts w:hint="default" w:ascii="Wingdings" w:hAnsi="Wingdings"/>
      </w:rPr>
    </w:lvl>
    <w:lvl w:ilvl="5" w:tentative="0">
      <w:start w:val="1"/>
      <w:numFmt w:val="bullet"/>
      <w:lvlText w:val=""/>
      <w:lvlJc w:val="left"/>
      <w:pPr>
        <w:tabs>
          <w:tab w:val="left" w:pos="3300"/>
        </w:tabs>
        <w:ind w:left="3300" w:hanging="420"/>
      </w:pPr>
      <w:rPr>
        <w:rFonts w:hint="default" w:ascii="Wingdings" w:hAnsi="Wingdings"/>
      </w:rPr>
    </w:lvl>
    <w:lvl w:ilvl="6" w:tentative="0">
      <w:start w:val="1"/>
      <w:numFmt w:val="bullet"/>
      <w:lvlText w:val=""/>
      <w:lvlJc w:val="left"/>
      <w:pPr>
        <w:tabs>
          <w:tab w:val="left" w:pos="3720"/>
        </w:tabs>
        <w:ind w:left="3720" w:hanging="420"/>
      </w:pPr>
      <w:rPr>
        <w:rFonts w:hint="default" w:ascii="Wingdings" w:hAnsi="Wingdings"/>
      </w:rPr>
    </w:lvl>
    <w:lvl w:ilvl="7" w:tentative="0">
      <w:start w:val="1"/>
      <w:numFmt w:val="bullet"/>
      <w:lvlText w:val=""/>
      <w:lvlJc w:val="left"/>
      <w:pPr>
        <w:tabs>
          <w:tab w:val="left" w:pos="4140"/>
        </w:tabs>
        <w:ind w:left="4140" w:hanging="420"/>
      </w:pPr>
      <w:rPr>
        <w:rFonts w:hint="default" w:ascii="Wingdings" w:hAnsi="Wingdings"/>
      </w:rPr>
    </w:lvl>
    <w:lvl w:ilvl="8" w:tentative="0">
      <w:start w:val="1"/>
      <w:numFmt w:val="bullet"/>
      <w:lvlText w:val=""/>
      <w:lvlJc w:val="left"/>
      <w:pPr>
        <w:tabs>
          <w:tab w:val="left" w:pos="4560"/>
        </w:tabs>
        <w:ind w:left="4560" w:hanging="420"/>
      </w:pPr>
      <w:rPr>
        <w:rFonts w:hint="default" w:ascii="Wingdings" w:hAnsi="Wingdings"/>
      </w:rPr>
    </w:lvl>
  </w:abstractNum>
  <w:abstractNum w:abstractNumId="31">
    <w:nsid w:val="75A1A79C"/>
    <w:multiLevelType w:val="singleLevel"/>
    <w:tmpl w:val="75A1A79C"/>
    <w:lvl w:ilvl="0" w:tentative="0">
      <w:start w:val="1"/>
      <w:numFmt w:val="decimal"/>
      <w:suff w:val="space"/>
      <w:lvlText w:val="%1."/>
      <w:lvlJc w:val="left"/>
    </w:lvl>
  </w:abstractNum>
  <w:abstractNum w:abstractNumId="32">
    <w:nsid w:val="7FF79694"/>
    <w:multiLevelType w:val="singleLevel"/>
    <w:tmpl w:val="7FF79694"/>
    <w:lvl w:ilvl="0" w:tentative="0">
      <w:start w:val="1"/>
      <w:numFmt w:val="chineseCounting"/>
      <w:suff w:val="nothing"/>
      <w:lvlText w:val="（%1）"/>
      <w:lvlJc w:val="left"/>
      <w:rPr>
        <w:rFonts w:hint="eastAsia"/>
      </w:rPr>
    </w:lvl>
  </w:abstractNum>
  <w:num w:numId="1">
    <w:abstractNumId w:val="6"/>
  </w:num>
  <w:num w:numId="2">
    <w:abstractNumId w:val="1"/>
  </w:num>
  <w:num w:numId="3">
    <w:abstractNumId w:val="13"/>
  </w:num>
  <w:num w:numId="4">
    <w:abstractNumId w:val="15"/>
  </w:num>
  <w:num w:numId="5">
    <w:abstractNumId w:val="29"/>
  </w:num>
  <w:num w:numId="6">
    <w:abstractNumId w:val="0"/>
  </w:num>
  <w:num w:numId="7">
    <w:abstractNumId w:val="31"/>
  </w:num>
  <w:num w:numId="8">
    <w:abstractNumId w:val="16"/>
  </w:num>
  <w:num w:numId="9">
    <w:abstractNumId w:val="4"/>
  </w:num>
  <w:num w:numId="10">
    <w:abstractNumId w:val="8"/>
  </w:num>
  <w:num w:numId="11">
    <w:abstractNumId w:val="21"/>
  </w:num>
  <w:num w:numId="12">
    <w:abstractNumId w:val="28"/>
  </w:num>
  <w:num w:numId="13">
    <w:abstractNumId w:val="9"/>
  </w:num>
  <w:num w:numId="14">
    <w:abstractNumId w:val="22"/>
  </w:num>
  <w:num w:numId="15">
    <w:abstractNumId w:val="14"/>
  </w:num>
  <w:num w:numId="16">
    <w:abstractNumId w:val="18"/>
  </w:num>
  <w:num w:numId="17">
    <w:abstractNumId w:val="7"/>
  </w:num>
  <w:num w:numId="18">
    <w:abstractNumId w:val="3"/>
  </w:num>
  <w:num w:numId="19">
    <w:abstractNumId w:val="11"/>
  </w:num>
  <w:num w:numId="20">
    <w:abstractNumId w:val="12"/>
  </w:num>
  <w:num w:numId="21">
    <w:abstractNumId w:val="20"/>
  </w:num>
  <w:num w:numId="22">
    <w:abstractNumId w:val="32"/>
  </w:num>
  <w:num w:numId="23">
    <w:abstractNumId w:val="17"/>
  </w:num>
  <w:num w:numId="24">
    <w:abstractNumId w:val="24"/>
  </w:num>
  <w:num w:numId="25">
    <w:abstractNumId w:val="10"/>
  </w:num>
  <w:num w:numId="26">
    <w:abstractNumId w:val="5"/>
  </w:num>
  <w:num w:numId="27">
    <w:abstractNumId w:val="30"/>
  </w:num>
  <w:num w:numId="28">
    <w:abstractNumId w:val="26"/>
  </w:num>
  <w:num w:numId="29">
    <w:abstractNumId w:val="27"/>
  </w:num>
  <w:num w:numId="30">
    <w:abstractNumId w:val="23"/>
  </w:num>
  <w:num w:numId="31">
    <w:abstractNumId w:val="2"/>
  </w:num>
  <w:num w:numId="32">
    <w:abstractNumId w:val="1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00"/>
    <w:rsid w:val="00012EDA"/>
    <w:rsid w:val="00014E01"/>
    <w:rsid w:val="00022B5F"/>
    <w:rsid w:val="00023984"/>
    <w:rsid w:val="00027BFB"/>
    <w:rsid w:val="00027E92"/>
    <w:rsid w:val="000322B9"/>
    <w:rsid w:val="00054B2A"/>
    <w:rsid w:val="000633F9"/>
    <w:rsid w:val="000741BA"/>
    <w:rsid w:val="000809E1"/>
    <w:rsid w:val="000814F3"/>
    <w:rsid w:val="0008199E"/>
    <w:rsid w:val="00082296"/>
    <w:rsid w:val="000915AA"/>
    <w:rsid w:val="000A0242"/>
    <w:rsid w:val="000A4AAC"/>
    <w:rsid w:val="000A584F"/>
    <w:rsid w:val="000B1A1D"/>
    <w:rsid w:val="000B2DD1"/>
    <w:rsid w:val="000B6DD9"/>
    <w:rsid w:val="000C12D4"/>
    <w:rsid w:val="000C1683"/>
    <w:rsid w:val="000C5F18"/>
    <w:rsid w:val="000E7727"/>
    <w:rsid w:val="00102B5B"/>
    <w:rsid w:val="00114259"/>
    <w:rsid w:val="001175C4"/>
    <w:rsid w:val="00122662"/>
    <w:rsid w:val="001252DD"/>
    <w:rsid w:val="00135B71"/>
    <w:rsid w:val="001406D4"/>
    <w:rsid w:val="00141E28"/>
    <w:rsid w:val="00161560"/>
    <w:rsid w:val="00170EA1"/>
    <w:rsid w:val="00177131"/>
    <w:rsid w:val="00177E48"/>
    <w:rsid w:val="001818DB"/>
    <w:rsid w:val="00184D27"/>
    <w:rsid w:val="0019188C"/>
    <w:rsid w:val="00195079"/>
    <w:rsid w:val="001B0629"/>
    <w:rsid w:val="001B4679"/>
    <w:rsid w:val="001C1975"/>
    <w:rsid w:val="001C2F6F"/>
    <w:rsid w:val="001C3493"/>
    <w:rsid w:val="001D0E06"/>
    <w:rsid w:val="001D6865"/>
    <w:rsid w:val="001D6875"/>
    <w:rsid w:val="001E06E9"/>
    <w:rsid w:val="001E4902"/>
    <w:rsid w:val="001E4BF7"/>
    <w:rsid w:val="001E5E5F"/>
    <w:rsid w:val="001F7E76"/>
    <w:rsid w:val="00203B19"/>
    <w:rsid w:val="00204299"/>
    <w:rsid w:val="002102A4"/>
    <w:rsid w:val="002162CF"/>
    <w:rsid w:val="002165B8"/>
    <w:rsid w:val="00220554"/>
    <w:rsid w:val="00221217"/>
    <w:rsid w:val="00223111"/>
    <w:rsid w:val="00223D66"/>
    <w:rsid w:val="0024370F"/>
    <w:rsid w:val="002506AC"/>
    <w:rsid w:val="00256A1C"/>
    <w:rsid w:val="00261205"/>
    <w:rsid w:val="00265C3D"/>
    <w:rsid w:val="00275A4C"/>
    <w:rsid w:val="002841BC"/>
    <w:rsid w:val="00284392"/>
    <w:rsid w:val="00287028"/>
    <w:rsid w:val="002913B1"/>
    <w:rsid w:val="002A0E69"/>
    <w:rsid w:val="002A4004"/>
    <w:rsid w:val="002A6698"/>
    <w:rsid w:val="002B2ADA"/>
    <w:rsid w:val="002B3AF9"/>
    <w:rsid w:val="002C0441"/>
    <w:rsid w:val="002C1968"/>
    <w:rsid w:val="002C414C"/>
    <w:rsid w:val="002C4773"/>
    <w:rsid w:val="002D664F"/>
    <w:rsid w:val="002E213D"/>
    <w:rsid w:val="002E2673"/>
    <w:rsid w:val="002E331E"/>
    <w:rsid w:val="002E6453"/>
    <w:rsid w:val="003040AB"/>
    <w:rsid w:val="00305881"/>
    <w:rsid w:val="003214D2"/>
    <w:rsid w:val="00324158"/>
    <w:rsid w:val="003246BB"/>
    <w:rsid w:val="00330F81"/>
    <w:rsid w:val="003430A0"/>
    <w:rsid w:val="003451EA"/>
    <w:rsid w:val="00346CFC"/>
    <w:rsid w:val="00357503"/>
    <w:rsid w:val="0037482C"/>
    <w:rsid w:val="00374DF9"/>
    <w:rsid w:val="003763A2"/>
    <w:rsid w:val="00395CC6"/>
    <w:rsid w:val="003A2F67"/>
    <w:rsid w:val="003B4C0E"/>
    <w:rsid w:val="003B7388"/>
    <w:rsid w:val="003D20F5"/>
    <w:rsid w:val="003D4575"/>
    <w:rsid w:val="003E0CC6"/>
    <w:rsid w:val="003E4E7F"/>
    <w:rsid w:val="003F5F17"/>
    <w:rsid w:val="00401C9B"/>
    <w:rsid w:val="004033CB"/>
    <w:rsid w:val="00415AFB"/>
    <w:rsid w:val="00420551"/>
    <w:rsid w:val="0042345B"/>
    <w:rsid w:val="00433079"/>
    <w:rsid w:val="00440E78"/>
    <w:rsid w:val="00441ECF"/>
    <w:rsid w:val="00446C62"/>
    <w:rsid w:val="00457F6B"/>
    <w:rsid w:val="004600BD"/>
    <w:rsid w:val="00460FBA"/>
    <w:rsid w:val="00485B8C"/>
    <w:rsid w:val="00496772"/>
    <w:rsid w:val="00497406"/>
    <w:rsid w:val="004979EF"/>
    <w:rsid w:val="004A007B"/>
    <w:rsid w:val="004A3C54"/>
    <w:rsid w:val="004A78D2"/>
    <w:rsid w:val="004B0B7C"/>
    <w:rsid w:val="004B699B"/>
    <w:rsid w:val="004C1C41"/>
    <w:rsid w:val="004D35D3"/>
    <w:rsid w:val="004D35FE"/>
    <w:rsid w:val="004D58FE"/>
    <w:rsid w:val="004F3F21"/>
    <w:rsid w:val="00510B0C"/>
    <w:rsid w:val="00511DDD"/>
    <w:rsid w:val="005171FD"/>
    <w:rsid w:val="005312EF"/>
    <w:rsid w:val="0053419A"/>
    <w:rsid w:val="0055302A"/>
    <w:rsid w:val="00554F3A"/>
    <w:rsid w:val="00557C29"/>
    <w:rsid w:val="0056051E"/>
    <w:rsid w:val="00563F5D"/>
    <w:rsid w:val="00570D0C"/>
    <w:rsid w:val="00577E86"/>
    <w:rsid w:val="0059430E"/>
    <w:rsid w:val="00595648"/>
    <w:rsid w:val="005A4C9A"/>
    <w:rsid w:val="005B133F"/>
    <w:rsid w:val="005B6DCC"/>
    <w:rsid w:val="005C358C"/>
    <w:rsid w:val="005C3F37"/>
    <w:rsid w:val="005D15A0"/>
    <w:rsid w:val="005E334E"/>
    <w:rsid w:val="005E654C"/>
    <w:rsid w:val="005E6B4F"/>
    <w:rsid w:val="005E6B5F"/>
    <w:rsid w:val="005F078B"/>
    <w:rsid w:val="005F55E2"/>
    <w:rsid w:val="0060522B"/>
    <w:rsid w:val="0061022F"/>
    <w:rsid w:val="0061382B"/>
    <w:rsid w:val="006164CF"/>
    <w:rsid w:val="00616AC1"/>
    <w:rsid w:val="0062386E"/>
    <w:rsid w:val="00634D5F"/>
    <w:rsid w:val="00636257"/>
    <w:rsid w:val="006432DA"/>
    <w:rsid w:val="0064491A"/>
    <w:rsid w:val="00651815"/>
    <w:rsid w:val="006628ED"/>
    <w:rsid w:val="00665088"/>
    <w:rsid w:val="00673255"/>
    <w:rsid w:val="006801FF"/>
    <w:rsid w:val="00681BB8"/>
    <w:rsid w:val="00682D25"/>
    <w:rsid w:val="006838FA"/>
    <w:rsid w:val="00683BEA"/>
    <w:rsid w:val="00690FE8"/>
    <w:rsid w:val="00692CF7"/>
    <w:rsid w:val="006960FB"/>
    <w:rsid w:val="006A025B"/>
    <w:rsid w:val="006A3DC1"/>
    <w:rsid w:val="006A78D8"/>
    <w:rsid w:val="006D2B10"/>
    <w:rsid w:val="006D73F6"/>
    <w:rsid w:val="006D79BC"/>
    <w:rsid w:val="006E11C9"/>
    <w:rsid w:val="006E2453"/>
    <w:rsid w:val="006E435B"/>
    <w:rsid w:val="006E6487"/>
    <w:rsid w:val="006F0077"/>
    <w:rsid w:val="006F1389"/>
    <w:rsid w:val="006F7C73"/>
    <w:rsid w:val="0070268A"/>
    <w:rsid w:val="00727B4F"/>
    <w:rsid w:val="007344DA"/>
    <w:rsid w:val="00755AEE"/>
    <w:rsid w:val="00755B61"/>
    <w:rsid w:val="00764284"/>
    <w:rsid w:val="00767DA6"/>
    <w:rsid w:val="007710D7"/>
    <w:rsid w:val="007756C9"/>
    <w:rsid w:val="0078604E"/>
    <w:rsid w:val="00787096"/>
    <w:rsid w:val="00792ECE"/>
    <w:rsid w:val="007A55B8"/>
    <w:rsid w:val="007C466C"/>
    <w:rsid w:val="007D181A"/>
    <w:rsid w:val="007D5026"/>
    <w:rsid w:val="007F0137"/>
    <w:rsid w:val="007F275B"/>
    <w:rsid w:val="00801E29"/>
    <w:rsid w:val="00802F5B"/>
    <w:rsid w:val="008134BD"/>
    <w:rsid w:val="00813737"/>
    <w:rsid w:val="00830F28"/>
    <w:rsid w:val="008413B9"/>
    <w:rsid w:val="008414F8"/>
    <w:rsid w:val="00843D04"/>
    <w:rsid w:val="008446E5"/>
    <w:rsid w:val="00845385"/>
    <w:rsid w:val="0085718B"/>
    <w:rsid w:val="0086434A"/>
    <w:rsid w:val="00865D29"/>
    <w:rsid w:val="00872715"/>
    <w:rsid w:val="00875AB1"/>
    <w:rsid w:val="00883543"/>
    <w:rsid w:val="00883E72"/>
    <w:rsid w:val="008840B8"/>
    <w:rsid w:val="00891A7C"/>
    <w:rsid w:val="008A1E14"/>
    <w:rsid w:val="008A1E16"/>
    <w:rsid w:val="008A376B"/>
    <w:rsid w:val="008A3DFE"/>
    <w:rsid w:val="008B1531"/>
    <w:rsid w:val="008B1790"/>
    <w:rsid w:val="008B662C"/>
    <w:rsid w:val="008C003A"/>
    <w:rsid w:val="008C16E3"/>
    <w:rsid w:val="008D2193"/>
    <w:rsid w:val="008F0B98"/>
    <w:rsid w:val="008F6C61"/>
    <w:rsid w:val="008F738F"/>
    <w:rsid w:val="008F7861"/>
    <w:rsid w:val="00903576"/>
    <w:rsid w:val="009056E9"/>
    <w:rsid w:val="0090713C"/>
    <w:rsid w:val="00910494"/>
    <w:rsid w:val="00912B9D"/>
    <w:rsid w:val="00914700"/>
    <w:rsid w:val="00937337"/>
    <w:rsid w:val="009417EB"/>
    <w:rsid w:val="00952AE3"/>
    <w:rsid w:val="00954960"/>
    <w:rsid w:val="0095662E"/>
    <w:rsid w:val="009763AA"/>
    <w:rsid w:val="00977413"/>
    <w:rsid w:val="00980D81"/>
    <w:rsid w:val="0099469E"/>
    <w:rsid w:val="009A024B"/>
    <w:rsid w:val="009B3318"/>
    <w:rsid w:val="009B6CA6"/>
    <w:rsid w:val="009B7728"/>
    <w:rsid w:val="009C2827"/>
    <w:rsid w:val="009E0981"/>
    <w:rsid w:val="009E4F4E"/>
    <w:rsid w:val="009F3ACA"/>
    <w:rsid w:val="009F50CB"/>
    <w:rsid w:val="00A01C06"/>
    <w:rsid w:val="00A05CC6"/>
    <w:rsid w:val="00A13173"/>
    <w:rsid w:val="00A1339E"/>
    <w:rsid w:val="00A15AC9"/>
    <w:rsid w:val="00A206A4"/>
    <w:rsid w:val="00A2434D"/>
    <w:rsid w:val="00A25C59"/>
    <w:rsid w:val="00A320F0"/>
    <w:rsid w:val="00A32708"/>
    <w:rsid w:val="00A43F80"/>
    <w:rsid w:val="00A45E4B"/>
    <w:rsid w:val="00A516FE"/>
    <w:rsid w:val="00A6356B"/>
    <w:rsid w:val="00A67BCC"/>
    <w:rsid w:val="00A75F9D"/>
    <w:rsid w:val="00A817D4"/>
    <w:rsid w:val="00A93E01"/>
    <w:rsid w:val="00A94391"/>
    <w:rsid w:val="00AA05D7"/>
    <w:rsid w:val="00AA35DD"/>
    <w:rsid w:val="00AA5FBA"/>
    <w:rsid w:val="00AB3E4D"/>
    <w:rsid w:val="00AC134A"/>
    <w:rsid w:val="00AC554E"/>
    <w:rsid w:val="00AD04A7"/>
    <w:rsid w:val="00AD549D"/>
    <w:rsid w:val="00AE2FA8"/>
    <w:rsid w:val="00AE7CBF"/>
    <w:rsid w:val="00AF1856"/>
    <w:rsid w:val="00B0564E"/>
    <w:rsid w:val="00B1213A"/>
    <w:rsid w:val="00B12FDA"/>
    <w:rsid w:val="00B34F3E"/>
    <w:rsid w:val="00B3696D"/>
    <w:rsid w:val="00B36AF7"/>
    <w:rsid w:val="00B36E6D"/>
    <w:rsid w:val="00B4161F"/>
    <w:rsid w:val="00B44F15"/>
    <w:rsid w:val="00B460F6"/>
    <w:rsid w:val="00B53E30"/>
    <w:rsid w:val="00B648E9"/>
    <w:rsid w:val="00B655CB"/>
    <w:rsid w:val="00B700D5"/>
    <w:rsid w:val="00B84CFC"/>
    <w:rsid w:val="00B91A81"/>
    <w:rsid w:val="00B92454"/>
    <w:rsid w:val="00BA48A9"/>
    <w:rsid w:val="00BA55AD"/>
    <w:rsid w:val="00BA72B1"/>
    <w:rsid w:val="00BB3332"/>
    <w:rsid w:val="00BB6107"/>
    <w:rsid w:val="00BD1C19"/>
    <w:rsid w:val="00BD22BE"/>
    <w:rsid w:val="00BD5802"/>
    <w:rsid w:val="00BD6C77"/>
    <w:rsid w:val="00BD7903"/>
    <w:rsid w:val="00BE0382"/>
    <w:rsid w:val="00BE14DD"/>
    <w:rsid w:val="00BE2462"/>
    <w:rsid w:val="00BF0840"/>
    <w:rsid w:val="00BF349F"/>
    <w:rsid w:val="00BF5847"/>
    <w:rsid w:val="00BF74F7"/>
    <w:rsid w:val="00C03637"/>
    <w:rsid w:val="00C057D4"/>
    <w:rsid w:val="00C0659F"/>
    <w:rsid w:val="00C13149"/>
    <w:rsid w:val="00C13D93"/>
    <w:rsid w:val="00C21201"/>
    <w:rsid w:val="00C22340"/>
    <w:rsid w:val="00C313F9"/>
    <w:rsid w:val="00C3581B"/>
    <w:rsid w:val="00C35CFF"/>
    <w:rsid w:val="00C37C6E"/>
    <w:rsid w:val="00C40ED5"/>
    <w:rsid w:val="00C47447"/>
    <w:rsid w:val="00C47E91"/>
    <w:rsid w:val="00C50B4F"/>
    <w:rsid w:val="00C50F76"/>
    <w:rsid w:val="00C52128"/>
    <w:rsid w:val="00C52A44"/>
    <w:rsid w:val="00C5545C"/>
    <w:rsid w:val="00C5642C"/>
    <w:rsid w:val="00C77118"/>
    <w:rsid w:val="00C80711"/>
    <w:rsid w:val="00C81D8A"/>
    <w:rsid w:val="00C8478A"/>
    <w:rsid w:val="00C9003C"/>
    <w:rsid w:val="00C924CC"/>
    <w:rsid w:val="00C92ECA"/>
    <w:rsid w:val="00CA2AD7"/>
    <w:rsid w:val="00CA34AC"/>
    <w:rsid w:val="00CB1D78"/>
    <w:rsid w:val="00CB3D97"/>
    <w:rsid w:val="00CC5173"/>
    <w:rsid w:val="00CC77B5"/>
    <w:rsid w:val="00CD5E97"/>
    <w:rsid w:val="00CF0F08"/>
    <w:rsid w:val="00CF16D2"/>
    <w:rsid w:val="00CF226D"/>
    <w:rsid w:val="00CF2898"/>
    <w:rsid w:val="00CF2A70"/>
    <w:rsid w:val="00CF4406"/>
    <w:rsid w:val="00D157A2"/>
    <w:rsid w:val="00D17A35"/>
    <w:rsid w:val="00D21890"/>
    <w:rsid w:val="00D234D7"/>
    <w:rsid w:val="00D23957"/>
    <w:rsid w:val="00D419DB"/>
    <w:rsid w:val="00D43CE6"/>
    <w:rsid w:val="00D44F4E"/>
    <w:rsid w:val="00D50A96"/>
    <w:rsid w:val="00D52557"/>
    <w:rsid w:val="00D61BAC"/>
    <w:rsid w:val="00D662FB"/>
    <w:rsid w:val="00D754BA"/>
    <w:rsid w:val="00D87FCF"/>
    <w:rsid w:val="00D918B6"/>
    <w:rsid w:val="00D91F33"/>
    <w:rsid w:val="00D946BB"/>
    <w:rsid w:val="00DA2195"/>
    <w:rsid w:val="00DA5749"/>
    <w:rsid w:val="00DA5BB4"/>
    <w:rsid w:val="00DE1BF6"/>
    <w:rsid w:val="00DE25FC"/>
    <w:rsid w:val="00DE3526"/>
    <w:rsid w:val="00DF5C97"/>
    <w:rsid w:val="00E03C0F"/>
    <w:rsid w:val="00E11D7A"/>
    <w:rsid w:val="00E141F9"/>
    <w:rsid w:val="00E153F3"/>
    <w:rsid w:val="00E164B0"/>
    <w:rsid w:val="00E2488B"/>
    <w:rsid w:val="00E355E9"/>
    <w:rsid w:val="00E45D60"/>
    <w:rsid w:val="00E507EA"/>
    <w:rsid w:val="00E50987"/>
    <w:rsid w:val="00E5236C"/>
    <w:rsid w:val="00E637C9"/>
    <w:rsid w:val="00E63848"/>
    <w:rsid w:val="00E76AAE"/>
    <w:rsid w:val="00E76FA4"/>
    <w:rsid w:val="00E940CC"/>
    <w:rsid w:val="00E94952"/>
    <w:rsid w:val="00E95262"/>
    <w:rsid w:val="00E965D7"/>
    <w:rsid w:val="00EC19F5"/>
    <w:rsid w:val="00EC6044"/>
    <w:rsid w:val="00EC7C86"/>
    <w:rsid w:val="00ED2DFB"/>
    <w:rsid w:val="00ED42CA"/>
    <w:rsid w:val="00EE747A"/>
    <w:rsid w:val="00EF2FB8"/>
    <w:rsid w:val="00EF565D"/>
    <w:rsid w:val="00F000D0"/>
    <w:rsid w:val="00F0096D"/>
    <w:rsid w:val="00F050D2"/>
    <w:rsid w:val="00F068C9"/>
    <w:rsid w:val="00F1607C"/>
    <w:rsid w:val="00F25EC5"/>
    <w:rsid w:val="00F2673A"/>
    <w:rsid w:val="00F30EDA"/>
    <w:rsid w:val="00F31668"/>
    <w:rsid w:val="00F43DFC"/>
    <w:rsid w:val="00F501A4"/>
    <w:rsid w:val="00F57F7A"/>
    <w:rsid w:val="00F612C3"/>
    <w:rsid w:val="00F72396"/>
    <w:rsid w:val="00F77399"/>
    <w:rsid w:val="00F90B17"/>
    <w:rsid w:val="00F92224"/>
    <w:rsid w:val="00F9490A"/>
    <w:rsid w:val="00F96500"/>
    <w:rsid w:val="00FA0444"/>
    <w:rsid w:val="00FB38CD"/>
    <w:rsid w:val="00FB542F"/>
    <w:rsid w:val="00FD1302"/>
    <w:rsid w:val="00FD59DA"/>
    <w:rsid w:val="00FE1973"/>
    <w:rsid w:val="00FE3B43"/>
    <w:rsid w:val="00FE4B06"/>
    <w:rsid w:val="00FF0FBA"/>
    <w:rsid w:val="00FF211D"/>
    <w:rsid w:val="019B059E"/>
    <w:rsid w:val="01B96FA3"/>
    <w:rsid w:val="02405808"/>
    <w:rsid w:val="026A1F57"/>
    <w:rsid w:val="032E10FF"/>
    <w:rsid w:val="04910611"/>
    <w:rsid w:val="053759F4"/>
    <w:rsid w:val="056427DB"/>
    <w:rsid w:val="067649DA"/>
    <w:rsid w:val="0827254C"/>
    <w:rsid w:val="089B196E"/>
    <w:rsid w:val="09FA2962"/>
    <w:rsid w:val="0B7E3ABF"/>
    <w:rsid w:val="0BFE080F"/>
    <w:rsid w:val="0CE51BE2"/>
    <w:rsid w:val="0D0D58B7"/>
    <w:rsid w:val="0D3D6D7C"/>
    <w:rsid w:val="0DA043D3"/>
    <w:rsid w:val="0DD64AAB"/>
    <w:rsid w:val="0E4776FA"/>
    <w:rsid w:val="0E722C5D"/>
    <w:rsid w:val="0EAE7727"/>
    <w:rsid w:val="0EE65947"/>
    <w:rsid w:val="0F0104D1"/>
    <w:rsid w:val="0FB72CCD"/>
    <w:rsid w:val="0FB90293"/>
    <w:rsid w:val="10452958"/>
    <w:rsid w:val="10762ABE"/>
    <w:rsid w:val="11056958"/>
    <w:rsid w:val="1133482B"/>
    <w:rsid w:val="126F1454"/>
    <w:rsid w:val="129C6BE4"/>
    <w:rsid w:val="135C08DF"/>
    <w:rsid w:val="13E27E6D"/>
    <w:rsid w:val="142749C3"/>
    <w:rsid w:val="14DE6561"/>
    <w:rsid w:val="1554092E"/>
    <w:rsid w:val="16252380"/>
    <w:rsid w:val="16BB530C"/>
    <w:rsid w:val="18002E47"/>
    <w:rsid w:val="1807391A"/>
    <w:rsid w:val="196641BE"/>
    <w:rsid w:val="19D260EC"/>
    <w:rsid w:val="1A553EC5"/>
    <w:rsid w:val="1A5E6B86"/>
    <w:rsid w:val="1A9C21B4"/>
    <w:rsid w:val="1BA7278D"/>
    <w:rsid w:val="1C7B18E6"/>
    <w:rsid w:val="1E47524F"/>
    <w:rsid w:val="1F511799"/>
    <w:rsid w:val="20663FBD"/>
    <w:rsid w:val="21B61DA3"/>
    <w:rsid w:val="222A22DC"/>
    <w:rsid w:val="227A5F06"/>
    <w:rsid w:val="22A02EA2"/>
    <w:rsid w:val="23B21F67"/>
    <w:rsid w:val="24010CDF"/>
    <w:rsid w:val="2449035A"/>
    <w:rsid w:val="249D6E12"/>
    <w:rsid w:val="24E43668"/>
    <w:rsid w:val="2517162C"/>
    <w:rsid w:val="26531778"/>
    <w:rsid w:val="269C4EED"/>
    <w:rsid w:val="26B33D2B"/>
    <w:rsid w:val="27151CBC"/>
    <w:rsid w:val="28106437"/>
    <w:rsid w:val="29EC4EE9"/>
    <w:rsid w:val="2AF51618"/>
    <w:rsid w:val="2B2B4585"/>
    <w:rsid w:val="2BD040E9"/>
    <w:rsid w:val="2C025A9C"/>
    <w:rsid w:val="2C2F3F8D"/>
    <w:rsid w:val="2CE66BEF"/>
    <w:rsid w:val="2D363F69"/>
    <w:rsid w:val="2D3B1AA2"/>
    <w:rsid w:val="2DA60AB4"/>
    <w:rsid w:val="2E092694"/>
    <w:rsid w:val="2ECF5376"/>
    <w:rsid w:val="2F432AB5"/>
    <w:rsid w:val="2FCB6D19"/>
    <w:rsid w:val="2FD64C90"/>
    <w:rsid w:val="313C1926"/>
    <w:rsid w:val="31703CC2"/>
    <w:rsid w:val="31C373CB"/>
    <w:rsid w:val="32052AAC"/>
    <w:rsid w:val="3223446A"/>
    <w:rsid w:val="329C790E"/>
    <w:rsid w:val="32A652D4"/>
    <w:rsid w:val="334B7929"/>
    <w:rsid w:val="339F337E"/>
    <w:rsid w:val="3426067A"/>
    <w:rsid w:val="348363A9"/>
    <w:rsid w:val="34B27F16"/>
    <w:rsid w:val="34EA3540"/>
    <w:rsid w:val="35365A0D"/>
    <w:rsid w:val="356B480A"/>
    <w:rsid w:val="35790769"/>
    <w:rsid w:val="35F6501A"/>
    <w:rsid w:val="36087A3E"/>
    <w:rsid w:val="38C8647C"/>
    <w:rsid w:val="392F59BF"/>
    <w:rsid w:val="3A8879A0"/>
    <w:rsid w:val="3AD357B5"/>
    <w:rsid w:val="3B565BCE"/>
    <w:rsid w:val="3B5C476A"/>
    <w:rsid w:val="3B88073C"/>
    <w:rsid w:val="3B9C04E1"/>
    <w:rsid w:val="3BB13F24"/>
    <w:rsid w:val="3C401ACA"/>
    <w:rsid w:val="3D8775A3"/>
    <w:rsid w:val="3E9E45D7"/>
    <w:rsid w:val="403B66D4"/>
    <w:rsid w:val="40C9468D"/>
    <w:rsid w:val="41185E12"/>
    <w:rsid w:val="412F3D43"/>
    <w:rsid w:val="419666F3"/>
    <w:rsid w:val="41A65080"/>
    <w:rsid w:val="423A310A"/>
    <w:rsid w:val="42F37FF3"/>
    <w:rsid w:val="44C910C1"/>
    <w:rsid w:val="4626498D"/>
    <w:rsid w:val="47227FB0"/>
    <w:rsid w:val="47BE2DEB"/>
    <w:rsid w:val="48600BD8"/>
    <w:rsid w:val="492B57DC"/>
    <w:rsid w:val="49681B15"/>
    <w:rsid w:val="49844B72"/>
    <w:rsid w:val="4A051D11"/>
    <w:rsid w:val="4AB53561"/>
    <w:rsid w:val="4B39013F"/>
    <w:rsid w:val="4B500021"/>
    <w:rsid w:val="4B7F2C66"/>
    <w:rsid w:val="4D2E4438"/>
    <w:rsid w:val="4D8455E9"/>
    <w:rsid w:val="4DF31A13"/>
    <w:rsid w:val="4E161AA0"/>
    <w:rsid w:val="4EBE5CA9"/>
    <w:rsid w:val="4EE75F4E"/>
    <w:rsid w:val="4F1B79E5"/>
    <w:rsid w:val="4F1C491A"/>
    <w:rsid w:val="4F5F138D"/>
    <w:rsid w:val="4FB76026"/>
    <w:rsid w:val="50A516E2"/>
    <w:rsid w:val="51545FE7"/>
    <w:rsid w:val="539F24FE"/>
    <w:rsid w:val="53F326A2"/>
    <w:rsid w:val="54A25142"/>
    <w:rsid w:val="55190A74"/>
    <w:rsid w:val="55730912"/>
    <w:rsid w:val="55A26895"/>
    <w:rsid w:val="55F24525"/>
    <w:rsid w:val="562047F3"/>
    <w:rsid w:val="570D5B18"/>
    <w:rsid w:val="57805E18"/>
    <w:rsid w:val="58237C9F"/>
    <w:rsid w:val="58253260"/>
    <w:rsid w:val="589946A4"/>
    <w:rsid w:val="589D3076"/>
    <w:rsid w:val="58E315B9"/>
    <w:rsid w:val="59804D3C"/>
    <w:rsid w:val="5A326297"/>
    <w:rsid w:val="5A3A042E"/>
    <w:rsid w:val="5C70218B"/>
    <w:rsid w:val="5CD02883"/>
    <w:rsid w:val="5CD46E0C"/>
    <w:rsid w:val="5F370637"/>
    <w:rsid w:val="60423777"/>
    <w:rsid w:val="606F6AE3"/>
    <w:rsid w:val="60A70AB2"/>
    <w:rsid w:val="61674EC5"/>
    <w:rsid w:val="624D1095"/>
    <w:rsid w:val="631A0388"/>
    <w:rsid w:val="636D48FC"/>
    <w:rsid w:val="639913A5"/>
    <w:rsid w:val="64196902"/>
    <w:rsid w:val="64D67D42"/>
    <w:rsid w:val="65022FE3"/>
    <w:rsid w:val="664371C6"/>
    <w:rsid w:val="66762F82"/>
    <w:rsid w:val="68754D09"/>
    <w:rsid w:val="68973718"/>
    <w:rsid w:val="697C2222"/>
    <w:rsid w:val="6A0F3476"/>
    <w:rsid w:val="6B496AD0"/>
    <w:rsid w:val="6C0B1356"/>
    <w:rsid w:val="6C1253C1"/>
    <w:rsid w:val="6CA53837"/>
    <w:rsid w:val="6DCC01B8"/>
    <w:rsid w:val="6E6F3338"/>
    <w:rsid w:val="6EC464CE"/>
    <w:rsid w:val="7026393D"/>
    <w:rsid w:val="716879A4"/>
    <w:rsid w:val="71805F21"/>
    <w:rsid w:val="71C0359E"/>
    <w:rsid w:val="71E31128"/>
    <w:rsid w:val="727E7825"/>
    <w:rsid w:val="7284366B"/>
    <w:rsid w:val="72E56AF0"/>
    <w:rsid w:val="73287CF4"/>
    <w:rsid w:val="74594152"/>
    <w:rsid w:val="74597642"/>
    <w:rsid w:val="752207B1"/>
    <w:rsid w:val="75B00B7E"/>
    <w:rsid w:val="761B44B1"/>
    <w:rsid w:val="770D487A"/>
    <w:rsid w:val="77687E2D"/>
    <w:rsid w:val="78485867"/>
    <w:rsid w:val="785F49A2"/>
    <w:rsid w:val="7A6D2D85"/>
    <w:rsid w:val="7AF7280B"/>
    <w:rsid w:val="7BEA3547"/>
    <w:rsid w:val="7C463389"/>
    <w:rsid w:val="7CD573D9"/>
    <w:rsid w:val="7D193102"/>
    <w:rsid w:val="7D61445D"/>
    <w:rsid w:val="7E635D70"/>
    <w:rsid w:val="7E8C5A98"/>
    <w:rsid w:val="7F4872BD"/>
    <w:rsid w:val="7FBA7673"/>
    <w:rsid w:val="7FD76E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semiHidden="0" w:name="Default Paragraph Font"/>
    <w:lsdException w:qFormat="1"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nhideWhenUsed="0" w:uiPriority="0" w:semiHidden="0"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0"/>
      <w:sz w:val="21"/>
      <w:szCs w:val="20"/>
      <w:lang w:val="en-US" w:eastAsia="zh-CN" w:bidi="ar-SA"/>
    </w:rPr>
  </w:style>
  <w:style w:type="paragraph" w:styleId="4">
    <w:name w:val="heading 1"/>
    <w:basedOn w:val="1"/>
    <w:next w:val="1"/>
    <w:link w:val="231"/>
    <w:qFormat/>
    <w:uiPriority w:val="0"/>
    <w:pPr>
      <w:keepNext/>
      <w:keepLines/>
      <w:widowControl w:val="0"/>
      <w:tabs>
        <w:tab w:val="left" w:pos="840"/>
      </w:tabs>
      <w:adjustRightInd w:val="0"/>
      <w:snapToGrid w:val="0"/>
      <w:spacing w:line="360" w:lineRule="auto"/>
      <w:jc w:val="both"/>
      <w:outlineLvl w:val="0"/>
    </w:pPr>
    <w:rPr>
      <w:rFonts w:ascii="宋体"/>
      <w:b/>
      <w:kern w:val="44"/>
      <w:sz w:val="24"/>
    </w:rPr>
  </w:style>
  <w:style w:type="paragraph" w:styleId="5">
    <w:name w:val="heading 2"/>
    <w:basedOn w:val="1"/>
    <w:next w:val="1"/>
    <w:link w:val="309"/>
    <w:qFormat/>
    <w:uiPriority w:val="9"/>
    <w:pPr>
      <w:keepNext/>
      <w:keepLines/>
      <w:spacing w:before="260" w:after="260" w:line="416" w:lineRule="auto"/>
      <w:outlineLvl w:val="1"/>
    </w:pPr>
    <w:rPr>
      <w:rFonts w:ascii="Cambria" w:hAnsi="Cambria"/>
      <w:b/>
      <w:bCs/>
      <w:sz w:val="32"/>
      <w:szCs w:val="32"/>
    </w:rPr>
  </w:style>
  <w:style w:type="paragraph" w:styleId="6">
    <w:name w:val="heading 3"/>
    <w:basedOn w:val="1"/>
    <w:next w:val="1"/>
    <w:link w:val="125"/>
    <w:qFormat/>
    <w:uiPriority w:val="0"/>
    <w:pPr>
      <w:keepNext/>
      <w:keepLines/>
      <w:spacing w:before="260" w:after="260" w:line="416" w:lineRule="auto"/>
      <w:outlineLvl w:val="2"/>
    </w:pPr>
    <w:rPr>
      <w:b/>
      <w:bCs/>
      <w:sz w:val="32"/>
      <w:szCs w:val="32"/>
    </w:rPr>
  </w:style>
  <w:style w:type="paragraph" w:styleId="7">
    <w:name w:val="heading 4"/>
    <w:basedOn w:val="1"/>
    <w:next w:val="8"/>
    <w:link w:val="188"/>
    <w:qFormat/>
    <w:uiPriority w:val="0"/>
    <w:pPr>
      <w:widowControl w:val="0"/>
      <w:autoSpaceDE w:val="0"/>
      <w:autoSpaceDN w:val="0"/>
      <w:adjustRightInd w:val="0"/>
      <w:snapToGrid w:val="0"/>
      <w:spacing w:line="360" w:lineRule="auto"/>
      <w:jc w:val="both"/>
      <w:outlineLvl w:val="3"/>
    </w:pPr>
    <w:rPr>
      <w:rFonts w:ascii="宋体" w:hAnsi="Arial"/>
      <w:color w:val="000000"/>
    </w:rPr>
  </w:style>
  <w:style w:type="paragraph" w:styleId="9">
    <w:name w:val="heading 5"/>
    <w:basedOn w:val="1"/>
    <w:next w:val="8"/>
    <w:link w:val="320"/>
    <w:qFormat/>
    <w:uiPriority w:val="0"/>
    <w:pPr>
      <w:keepNext/>
      <w:widowControl w:val="0"/>
      <w:autoSpaceDE w:val="0"/>
      <w:autoSpaceDN w:val="0"/>
      <w:adjustRightInd w:val="0"/>
      <w:snapToGrid w:val="0"/>
      <w:spacing w:before="280" w:after="290" w:line="376" w:lineRule="auto"/>
      <w:jc w:val="both"/>
      <w:outlineLvl w:val="4"/>
    </w:pPr>
    <w:rPr>
      <w:rFonts w:ascii="宋体"/>
      <w:b/>
      <w:color w:val="000000"/>
      <w:sz w:val="28"/>
    </w:rPr>
  </w:style>
  <w:style w:type="paragraph" w:styleId="10">
    <w:name w:val="heading 6"/>
    <w:basedOn w:val="1"/>
    <w:next w:val="8"/>
    <w:link w:val="134"/>
    <w:qFormat/>
    <w:uiPriority w:val="0"/>
    <w:pPr>
      <w:keepNext/>
      <w:widowControl w:val="0"/>
      <w:autoSpaceDE w:val="0"/>
      <w:autoSpaceDN w:val="0"/>
      <w:adjustRightInd w:val="0"/>
      <w:snapToGrid w:val="0"/>
      <w:spacing w:before="240" w:after="64" w:line="320" w:lineRule="auto"/>
      <w:jc w:val="both"/>
      <w:outlineLvl w:val="5"/>
    </w:pPr>
    <w:rPr>
      <w:rFonts w:ascii="Arial" w:hAnsi="Arial" w:eastAsia="黑体"/>
      <w:b/>
      <w:color w:val="000000"/>
      <w:sz w:val="24"/>
    </w:rPr>
  </w:style>
  <w:style w:type="paragraph" w:styleId="11">
    <w:name w:val="heading 7"/>
    <w:basedOn w:val="1"/>
    <w:next w:val="8"/>
    <w:link w:val="175"/>
    <w:qFormat/>
    <w:uiPriority w:val="0"/>
    <w:pPr>
      <w:keepNext/>
      <w:widowControl w:val="0"/>
      <w:autoSpaceDE w:val="0"/>
      <w:autoSpaceDN w:val="0"/>
      <w:adjustRightInd w:val="0"/>
      <w:snapToGrid w:val="0"/>
      <w:spacing w:before="240" w:after="64" w:line="320" w:lineRule="auto"/>
      <w:jc w:val="both"/>
      <w:outlineLvl w:val="6"/>
    </w:pPr>
    <w:rPr>
      <w:rFonts w:ascii="宋体"/>
      <w:b/>
      <w:color w:val="000000"/>
      <w:sz w:val="24"/>
    </w:rPr>
  </w:style>
  <w:style w:type="paragraph" w:styleId="12">
    <w:name w:val="heading 8"/>
    <w:basedOn w:val="1"/>
    <w:next w:val="8"/>
    <w:link w:val="83"/>
    <w:qFormat/>
    <w:uiPriority w:val="0"/>
    <w:pPr>
      <w:keepNext/>
      <w:widowControl w:val="0"/>
      <w:autoSpaceDE w:val="0"/>
      <w:autoSpaceDN w:val="0"/>
      <w:adjustRightInd w:val="0"/>
      <w:snapToGrid w:val="0"/>
      <w:spacing w:before="240" w:after="64" w:line="320" w:lineRule="auto"/>
      <w:jc w:val="both"/>
      <w:outlineLvl w:val="7"/>
    </w:pPr>
    <w:rPr>
      <w:rFonts w:ascii="Arial" w:hAnsi="Arial" w:eastAsia="黑体"/>
      <w:color w:val="000000"/>
      <w:sz w:val="24"/>
    </w:rPr>
  </w:style>
  <w:style w:type="paragraph" w:styleId="13">
    <w:name w:val="heading 9"/>
    <w:basedOn w:val="1"/>
    <w:next w:val="8"/>
    <w:link w:val="246"/>
    <w:qFormat/>
    <w:uiPriority w:val="0"/>
    <w:pPr>
      <w:keepNext/>
      <w:widowControl w:val="0"/>
      <w:autoSpaceDE w:val="0"/>
      <w:autoSpaceDN w:val="0"/>
      <w:adjustRightInd w:val="0"/>
      <w:snapToGrid w:val="0"/>
      <w:spacing w:before="240" w:after="64" w:line="320" w:lineRule="auto"/>
      <w:jc w:val="both"/>
      <w:outlineLvl w:val="8"/>
    </w:pPr>
    <w:rPr>
      <w:rFonts w:ascii="Arial" w:hAnsi="Arial" w:eastAsia="黑体"/>
      <w:color w:val="000000"/>
    </w:rPr>
  </w:style>
  <w:style w:type="character" w:default="1" w:styleId="55">
    <w:name w:val="Default Paragraph Font"/>
    <w:unhideWhenUsed/>
    <w:qFormat/>
    <w:uiPriority w:val="1"/>
  </w:style>
  <w:style w:type="table" w:default="1" w:styleId="53">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Style w:val="53"/>
      <w:tblCellMar>
        <w:top w:w="0" w:type="dxa"/>
        <w:left w:w="108" w:type="dxa"/>
        <w:bottom w:w="0" w:type="dxa"/>
        <w:right w:w="108" w:type="dxa"/>
      </w:tblCellMar>
    </w:tblPr>
  </w:style>
  <w:style w:type="paragraph" w:customStyle="1" w:styleId="2">
    <w:name w:val="表格文字"/>
    <w:basedOn w:val="1"/>
    <w:next w:val="3"/>
    <w:qFormat/>
    <w:uiPriority w:val="0"/>
    <w:pPr>
      <w:widowControl w:val="0"/>
      <w:adjustRightInd w:val="0"/>
      <w:spacing w:line="420" w:lineRule="atLeast"/>
      <w:textAlignment w:val="baseline"/>
    </w:pPr>
  </w:style>
  <w:style w:type="paragraph" w:styleId="3">
    <w:name w:val="Body Text"/>
    <w:basedOn w:val="1"/>
    <w:link w:val="183"/>
    <w:unhideWhenUsed/>
    <w:qFormat/>
    <w:uiPriority w:val="0"/>
    <w:pPr>
      <w:spacing w:after="120"/>
    </w:pPr>
  </w:style>
  <w:style w:type="paragraph" w:styleId="8">
    <w:name w:val="Normal Indent"/>
    <w:basedOn w:val="1"/>
    <w:link w:val="79"/>
    <w:qFormat/>
    <w:uiPriority w:val="0"/>
    <w:pPr>
      <w:ind w:firstLine="420"/>
    </w:pPr>
    <w:rPr>
      <w:rFonts w:eastAsia="宋体" w:cs="Times New Roman"/>
      <w:kern w:val="2"/>
      <w:szCs w:val="22"/>
    </w:rPr>
  </w:style>
  <w:style w:type="paragraph" w:styleId="14">
    <w:name w:val="List 3"/>
    <w:basedOn w:val="1"/>
    <w:qFormat/>
    <w:uiPriority w:val="0"/>
    <w:pPr>
      <w:widowControl w:val="0"/>
      <w:ind w:left="100" w:leftChars="400" w:hanging="200" w:hangingChars="200"/>
      <w:jc w:val="both"/>
    </w:pPr>
    <w:rPr>
      <w:kern w:val="2"/>
      <w:szCs w:val="24"/>
    </w:rPr>
  </w:style>
  <w:style w:type="paragraph" w:styleId="15">
    <w:name w:val="toc 7"/>
    <w:basedOn w:val="1"/>
    <w:next w:val="1"/>
    <w:qFormat/>
    <w:uiPriority w:val="39"/>
    <w:pPr>
      <w:widowControl w:val="0"/>
      <w:ind w:left="2520" w:leftChars="1200"/>
      <w:jc w:val="both"/>
    </w:pPr>
    <w:rPr>
      <w:kern w:val="2"/>
      <w:szCs w:val="24"/>
    </w:rPr>
  </w:style>
  <w:style w:type="paragraph" w:styleId="16">
    <w:name w:val="caption"/>
    <w:basedOn w:val="1"/>
    <w:next w:val="1"/>
    <w:qFormat/>
    <w:uiPriority w:val="0"/>
    <w:pPr>
      <w:widowControl w:val="0"/>
      <w:spacing w:line="400" w:lineRule="exact"/>
      <w:ind w:firstLine="200" w:firstLineChars="200"/>
      <w:jc w:val="both"/>
    </w:pPr>
    <w:rPr>
      <w:rFonts w:ascii="Cambria" w:hAnsi="Cambria" w:eastAsia="黑体"/>
      <w:kern w:val="2"/>
      <w:sz w:val="20"/>
    </w:rPr>
  </w:style>
  <w:style w:type="paragraph" w:styleId="17">
    <w:name w:val="List Bullet"/>
    <w:basedOn w:val="1"/>
    <w:qFormat/>
    <w:uiPriority w:val="0"/>
    <w:pPr>
      <w:widowControl w:val="0"/>
      <w:numPr>
        <w:ilvl w:val="0"/>
        <w:numId w:val="1"/>
      </w:numPr>
      <w:tabs>
        <w:tab w:val="left" w:pos="360"/>
      </w:tabs>
      <w:adjustRightInd w:val="0"/>
      <w:jc w:val="both"/>
      <w:textAlignment w:val="baseline"/>
    </w:pPr>
    <w:rPr>
      <w:sz w:val="24"/>
    </w:rPr>
  </w:style>
  <w:style w:type="paragraph" w:styleId="18">
    <w:name w:val="Document Map"/>
    <w:basedOn w:val="1"/>
    <w:link w:val="150"/>
    <w:qFormat/>
    <w:uiPriority w:val="0"/>
    <w:rPr>
      <w:rFonts w:ascii="宋体" w:eastAsia="宋体" w:cs="Times New Roman"/>
      <w:kern w:val="2"/>
      <w:sz w:val="18"/>
      <w:szCs w:val="18"/>
    </w:rPr>
  </w:style>
  <w:style w:type="paragraph" w:styleId="19">
    <w:name w:val="toa heading"/>
    <w:basedOn w:val="1"/>
    <w:next w:val="1"/>
    <w:qFormat/>
    <w:uiPriority w:val="0"/>
    <w:pPr>
      <w:widowControl w:val="0"/>
      <w:spacing w:before="120"/>
      <w:jc w:val="both"/>
    </w:pPr>
    <w:rPr>
      <w:rFonts w:ascii="Arial" w:hAnsi="Arial" w:cs="Arial"/>
      <w:kern w:val="2"/>
      <w:sz w:val="24"/>
      <w:szCs w:val="24"/>
    </w:rPr>
  </w:style>
  <w:style w:type="paragraph" w:styleId="20">
    <w:name w:val="annotation text"/>
    <w:basedOn w:val="1"/>
    <w:link w:val="109"/>
    <w:unhideWhenUsed/>
    <w:qFormat/>
    <w:uiPriority w:val="0"/>
  </w:style>
  <w:style w:type="paragraph" w:styleId="21">
    <w:name w:val="Salutation"/>
    <w:basedOn w:val="1"/>
    <w:next w:val="1"/>
    <w:link w:val="259"/>
    <w:qFormat/>
    <w:uiPriority w:val="0"/>
    <w:pPr>
      <w:widowControl w:val="0"/>
      <w:jc w:val="both"/>
    </w:pPr>
    <w:rPr>
      <w:rFonts w:ascii="宋体" w:hAnsi="宋体" w:eastAsia="宋体" w:cs="Times New Roman"/>
      <w:spacing w:val="20"/>
      <w:kern w:val="2"/>
      <w:sz w:val="24"/>
      <w:szCs w:val="22"/>
    </w:rPr>
  </w:style>
  <w:style w:type="paragraph" w:styleId="22">
    <w:name w:val="Body Text 3"/>
    <w:basedOn w:val="1"/>
    <w:link w:val="112"/>
    <w:qFormat/>
    <w:uiPriority w:val="99"/>
    <w:pPr>
      <w:widowControl w:val="0"/>
      <w:spacing w:beforeLines="100" w:afterLines="100" w:line="400" w:lineRule="exact"/>
      <w:jc w:val="both"/>
    </w:pPr>
    <w:rPr>
      <w:rFonts w:ascii="宋体" w:hAnsi="宋体" w:eastAsia="宋体" w:cs="Times New Roman"/>
      <w:kern w:val="2"/>
      <w:sz w:val="24"/>
      <w:szCs w:val="24"/>
    </w:rPr>
  </w:style>
  <w:style w:type="paragraph" w:styleId="23">
    <w:name w:val="Body Text Indent"/>
    <w:basedOn w:val="1"/>
    <w:link w:val="80"/>
    <w:qFormat/>
    <w:uiPriority w:val="99"/>
    <w:pPr>
      <w:spacing w:after="120"/>
      <w:ind w:left="420" w:leftChars="200"/>
    </w:pPr>
    <w:rPr>
      <w:rFonts w:ascii="Calibri" w:hAnsi="Calibri" w:eastAsia="宋体" w:cs="Times New Roman"/>
      <w:kern w:val="2"/>
      <w:szCs w:val="22"/>
    </w:rPr>
  </w:style>
  <w:style w:type="paragraph" w:styleId="24">
    <w:name w:val="Block Text"/>
    <w:basedOn w:val="1"/>
    <w:qFormat/>
    <w:uiPriority w:val="0"/>
    <w:pPr>
      <w:widowControl w:val="0"/>
      <w:adjustRightInd w:val="0"/>
      <w:ind w:left="420" w:right="33"/>
      <w:textAlignment w:val="baseline"/>
    </w:pPr>
    <w:rPr>
      <w:sz w:val="24"/>
      <w:szCs w:val="24"/>
    </w:rPr>
  </w:style>
  <w:style w:type="paragraph" w:styleId="25">
    <w:name w:val="List Bullet 2"/>
    <w:basedOn w:val="1"/>
    <w:qFormat/>
    <w:uiPriority w:val="0"/>
    <w:pPr>
      <w:widowControl w:val="0"/>
      <w:tabs>
        <w:tab w:val="left" w:pos="780"/>
      </w:tabs>
      <w:spacing w:line="460" w:lineRule="exact"/>
      <w:ind w:left="780" w:leftChars="200" w:hanging="360" w:hangingChars="200"/>
      <w:jc w:val="both"/>
    </w:pPr>
    <w:rPr>
      <w:spacing w:val="12"/>
      <w:kern w:val="2"/>
      <w:sz w:val="24"/>
    </w:rPr>
  </w:style>
  <w:style w:type="paragraph" w:styleId="26">
    <w:name w:val="index 4"/>
    <w:basedOn w:val="1"/>
    <w:next w:val="1"/>
    <w:qFormat/>
    <w:uiPriority w:val="0"/>
    <w:pPr>
      <w:widowControl w:val="0"/>
      <w:spacing w:line="400" w:lineRule="exact"/>
      <w:ind w:left="600" w:leftChars="600" w:firstLine="200" w:firstLineChars="200"/>
      <w:jc w:val="both"/>
    </w:pPr>
    <w:rPr>
      <w:rFonts w:ascii="宋体" w:hAnsi="宋体"/>
      <w:kern w:val="2"/>
      <w:szCs w:val="24"/>
    </w:rPr>
  </w:style>
  <w:style w:type="paragraph" w:styleId="27">
    <w:name w:val="toc 5"/>
    <w:basedOn w:val="1"/>
    <w:next w:val="1"/>
    <w:qFormat/>
    <w:uiPriority w:val="39"/>
    <w:pPr>
      <w:widowControl w:val="0"/>
      <w:ind w:left="1680" w:leftChars="800"/>
      <w:jc w:val="both"/>
    </w:pPr>
    <w:rPr>
      <w:kern w:val="2"/>
      <w:szCs w:val="24"/>
    </w:rPr>
  </w:style>
  <w:style w:type="paragraph" w:styleId="28">
    <w:name w:val="toc 3"/>
    <w:basedOn w:val="1"/>
    <w:next w:val="1"/>
    <w:qFormat/>
    <w:uiPriority w:val="39"/>
    <w:pPr>
      <w:ind w:left="840" w:leftChars="400"/>
    </w:pPr>
  </w:style>
  <w:style w:type="paragraph" w:styleId="29">
    <w:name w:val="Plain Text"/>
    <w:basedOn w:val="1"/>
    <w:link w:val="218"/>
    <w:qFormat/>
    <w:uiPriority w:val="0"/>
    <w:pPr>
      <w:widowControl w:val="0"/>
      <w:jc w:val="both"/>
    </w:pPr>
    <w:rPr>
      <w:rFonts w:ascii="宋体" w:hAnsi="Courier New" w:cs="Times New Roman"/>
      <w:kern w:val="2"/>
      <w:szCs w:val="22"/>
    </w:rPr>
  </w:style>
  <w:style w:type="paragraph" w:styleId="30">
    <w:name w:val="toc 8"/>
    <w:basedOn w:val="1"/>
    <w:next w:val="1"/>
    <w:qFormat/>
    <w:uiPriority w:val="39"/>
    <w:pPr>
      <w:widowControl w:val="0"/>
      <w:ind w:left="2940" w:leftChars="1400"/>
      <w:jc w:val="both"/>
    </w:pPr>
    <w:rPr>
      <w:kern w:val="2"/>
      <w:szCs w:val="24"/>
    </w:rPr>
  </w:style>
  <w:style w:type="paragraph" w:styleId="31">
    <w:name w:val="Date"/>
    <w:basedOn w:val="1"/>
    <w:next w:val="1"/>
    <w:link w:val="153"/>
    <w:qFormat/>
    <w:uiPriority w:val="0"/>
    <w:pPr>
      <w:widowControl w:val="0"/>
      <w:jc w:val="both"/>
    </w:pPr>
    <w:rPr>
      <w:rFonts w:ascii="宋体" w:hAnsi="Calibri" w:eastAsia="宋体" w:cs="Times New Roman"/>
      <w:kern w:val="2"/>
      <w:sz w:val="24"/>
      <w:szCs w:val="22"/>
    </w:rPr>
  </w:style>
  <w:style w:type="paragraph" w:styleId="32">
    <w:name w:val="Body Text Indent 2"/>
    <w:basedOn w:val="1"/>
    <w:link w:val="69"/>
    <w:qFormat/>
    <w:uiPriority w:val="99"/>
    <w:pPr>
      <w:spacing w:line="360" w:lineRule="auto"/>
      <w:ind w:left="784"/>
    </w:pPr>
    <w:rPr>
      <w:rFonts w:ascii="Calibri" w:hAnsi="Calibri" w:eastAsia="宋体" w:cs="Times New Roman"/>
      <w:kern w:val="2"/>
      <w:szCs w:val="22"/>
    </w:rPr>
  </w:style>
  <w:style w:type="paragraph" w:styleId="33">
    <w:name w:val="Balloon Text"/>
    <w:basedOn w:val="1"/>
    <w:link w:val="281"/>
    <w:qFormat/>
    <w:uiPriority w:val="0"/>
    <w:rPr>
      <w:rFonts w:eastAsia="宋体" w:cs="Times New Roman"/>
      <w:kern w:val="2"/>
      <w:sz w:val="18"/>
      <w:szCs w:val="18"/>
    </w:rPr>
  </w:style>
  <w:style w:type="paragraph" w:styleId="34">
    <w:name w:val="footer"/>
    <w:basedOn w:val="1"/>
    <w:link w:val="318"/>
    <w:qFormat/>
    <w:uiPriority w:val="99"/>
    <w:pPr>
      <w:tabs>
        <w:tab w:val="center" w:pos="4153"/>
        <w:tab w:val="right" w:pos="8306"/>
      </w:tabs>
      <w:snapToGrid w:val="0"/>
    </w:pPr>
    <w:rPr>
      <w:sz w:val="18"/>
    </w:rPr>
  </w:style>
  <w:style w:type="paragraph" w:styleId="35">
    <w:name w:val="header"/>
    <w:basedOn w:val="1"/>
    <w:link w:val="194"/>
    <w:qFormat/>
    <w:uiPriority w:val="0"/>
    <w:pPr>
      <w:pBdr>
        <w:bottom w:val="single" w:color="auto" w:sz="6" w:space="1"/>
      </w:pBdr>
      <w:tabs>
        <w:tab w:val="center" w:pos="4153"/>
        <w:tab w:val="right" w:pos="8306"/>
      </w:tabs>
      <w:snapToGrid w:val="0"/>
      <w:jc w:val="center"/>
    </w:pPr>
    <w:rPr>
      <w:sz w:val="18"/>
      <w:szCs w:val="18"/>
    </w:rPr>
  </w:style>
  <w:style w:type="paragraph" w:styleId="36">
    <w:name w:val="Signature"/>
    <w:basedOn w:val="1"/>
    <w:link w:val="182"/>
    <w:qFormat/>
    <w:uiPriority w:val="0"/>
    <w:pPr>
      <w:widowControl w:val="0"/>
      <w:spacing w:line="460" w:lineRule="exact"/>
      <w:ind w:left="100" w:leftChars="2100" w:firstLine="200" w:firstLineChars="200"/>
      <w:jc w:val="both"/>
    </w:pPr>
    <w:rPr>
      <w:rFonts w:ascii="Calibri" w:hAnsi="Calibri" w:eastAsia="宋体" w:cs="Times New Roman"/>
      <w:spacing w:val="12"/>
      <w:kern w:val="2"/>
      <w:sz w:val="24"/>
      <w:szCs w:val="22"/>
    </w:rPr>
  </w:style>
  <w:style w:type="paragraph" w:styleId="37">
    <w:name w:val="toc 1"/>
    <w:basedOn w:val="1"/>
    <w:next w:val="1"/>
    <w:qFormat/>
    <w:uiPriority w:val="39"/>
    <w:pPr>
      <w:tabs>
        <w:tab w:val="right" w:leader="middleDot" w:pos="8948"/>
      </w:tabs>
    </w:pPr>
    <w:rPr>
      <w:rFonts w:ascii="宋体" w:hAnsi="宋体"/>
      <w:b/>
      <w:bCs/>
      <w:caps/>
      <w:szCs w:val="21"/>
    </w:rPr>
  </w:style>
  <w:style w:type="paragraph" w:styleId="38">
    <w:name w:val="toc 4"/>
    <w:basedOn w:val="1"/>
    <w:next w:val="1"/>
    <w:qFormat/>
    <w:uiPriority w:val="39"/>
    <w:pPr>
      <w:widowControl w:val="0"/>
      <w:ind w:left="1260" w:leftChars="600"/>
      <w:jc w:val="both"/>
    </w:pPr>
    <w:rPr>
      <w:kern w:val="2"/>
      <w:szCs w:val="24"/>
    </w:rPr>
  </w:style>
  <w:style w:type="paragraph" w:styleId="39">
    <w:name w:val="Subtitle"/>
    <w:basedOn w:val="1"/>
    <w:next w:val="1"/>
    <w:link w:val="191"/>
    <w:qFormat/>
    <w:uiPriority w:val="0"/>
    <w:pPr>
      <w:widowControl w:val="0"/>
      <w:spacing w:before="240" w:after="60" w:line="312" w:lineRule="auto"/>
      <w:ind w:firstLine="200" w:firstLineChars="200"/>
      <w:jc w:val="center"/>
      <w:outlineLvl w:val="1"/>
    </w:pPr>
    <w:rPr>
      <w:rFonts w:ascii="Cambria" w:hAnsi="Cambria" w:eastAsia="宋体" w:cs="Times New Roman"/>
      <w:b/>
      <w:bCs/>
      <w:kern w:val="28"/>
      <w:sz w:val="32"/>
      <w:szCs w:val="32"/>
    </w:rPr>
  </w:style>
  <w:style w:type="paragraph" w:styleId="40">
    <w:name w:val="footnote text"/>
    <w:basedOn w:val="1"/>
    <w:link w:val="291"/>
    <w:qFormat/>
    <w:uiPriority w:val="0"/>
    <w:pPr>
      <w:widowControl w:val="0"/>
      <w:jc w:val="both"/>
    </w:pPr>
    <w:rPr>
      <w:rFonts w:ascii="Calibri" w:hAnsi="Calibri" w:eastAsia="宋体" w:cs="Times New Roman"/>
      <w:kern w:val="2"/>
      <w:szCs w:val="22"/>
    </w:rPr>
  </w:style>
  <w:style w:type="paragraph" w:styleId="41">
    <w:name w:val="toc 6"/>
    <w:basedOn w:val="1"/>
    <w:next w:val="1"/>
    <w:qFormat/>
    <w:uiPriority w:val="39"/>
    <w:pPr>
      <w:widowControl w:val="0"/>
      <w:ind w:left="2100" w:leftChars="1000"/>
      <w:jc w:val="both"/>
    </w:pPr>
    <w:rPr>
      <w:kern w:val="2"/>
      <w:szCs w:val="24"/>
    </w:rPr>
  </w:style>
  <w:style w:type="paragraph" w:styleId="42">
    <w:name w:val="Body Text Indent 3"/>
    <w:basedOn w:val="1"/>
    <w:link w:val="316"/>
    <w:qFormat/>
    <w:uiPriority w:val="99"/>
    <w:pPr>
      <w:spacing w:after="120"/>
      <w:ind w:left="420" w:leftChars="200"/>
    </w:pPr>
    <w:rPr>
      <w:rFonts w:ascii="Calibri" w:hAnsi="Calibri" w:eastAsia="宋体" w:cs="Times New Roman"/>
      <w:kern w:val="2"/>
      <w:sz w:val="16"/>
      <w:szCs w:val="16"/>
    </w:rPr>
  </w:style>
  <w:style w:type="paragraph" w:styleId="43">
    <w:name w:val="table of figures"/>
    <w:basedOn w:val="1"/>
    <w:next w:val="1"/>
    <w:qFormat/>
    <w:uiPriority w:val="0"/>
    <w:pPr>
      <w:ind w:left="840" w:leftChars="200" w:hanging="420" w:hangingChars="200"/>
    </w:pPr>
  </w:style>
  <w:style w:type="paragraph" w:styleId="44">
    <w:name w:val="toc 2"/>
    <w:basedOn w:val="1"/>
    <w:next w:val="1"/>
    <w:qFormat/>
    <w:uiPriority w:val="39"/>
    <w:pPr>
      <w:tabs>
        <w:tab w:val="right" w:leader="middleDot" w:pos="8948"/>
      </w:tabs>
      <w:spacing w:before="60" w:after="60"/>
      <w:ind w:left="210"/>
    </w:pPr>
    <w:rPr>
      <w:smallCaps/>
    </w:rPr>
  </w:style>
  <w:style w:type="paragraph" w:styleId="45">
    <w:name w:val="toc 9"/>
    <w:basedOn w:val="1"/>
    <w:next w:val="1"/>
    <w:qFormat/>
    <w:uiPriority w:val="39"/>
    <w:pPr>
      <w:widowControl w:val="0"/>
      <w:ind w:left="3360" w:leftChars="1600"/>
      <w:jc w:val="both"/>
    </w:pPr>
    <w:rPr>
      <w:kern w:val="2"/>
      <w:szCs w:val="24"/>
    </w:rPr>
  </w:style>
  <w:style w:type="paragraph" w:styleId="46">
    <w:name w:val="Body Text 2"/>
    <w:basedOn w:val="1"/>
    <w:link w:val="92"/>
    <w:qFormat/>
    <w:uiPriority w:val="99"/>
    <w:pPr>
      <w:widowControl w:val="0"/>
      <w:jc w:val="center"/>
    </w:pPr>
    <w:rPr>
      <w:rFonts w:ascii="宋体" w:hAnsi="宋体" w:eastAsia="宋体" w:cs="Times New Roman"/>
      <w:kern w:val="2"/>
      <w:sz w:val="44"/>
      <w:szCs w:val="24"/>
    </w:rPr>
  </w:style>
  <w:style w:type="paragraph" w:styleId="47">
    <w:name w:val="HTML Preformatted"/>
    <w:basedOn w:val="1"/>
    <w:link w:val="6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kern w:val="2"/>
      <w:sz w:val="24"/>
      <w:szCs w:val="24"/>
    </w:rPr>
  </w:style>
  <w:style w:type="paragraph" w:styleId="48">
    <w:name w:val="Normal (Web)"/>
    <w:basedOn w:val="1"/>
    <w:qFormat/>
    <w:uiPriority w:val="0"/>
    <w:pPr>
      <w:spacing w:before="100" w:beforeAutospacing="1" w:after="100" w:afterAutospacing="1"/>
    </w:pPr>
    <w:rPr>
      <w:rFonts w:ascii="Arial Unicode MS" w:hAnsi="Arial Unicode MS" w:eastAsia="Times New Roman"/>
      <w:color w:val="000000"/>
      <w:sz w:val="24"/>
      <w:szCs w:val="24"/>
    </w:rPr>
  </w:style>
  <w:style w:type="paragraph" w:styleId="49">
    <w:name w:val="index 1"/>
    <w:basedOn w:val="1"/>
    <w:next w:val="1"/>
    <w:qFormat/>
    <w:uiPriority w:val="0"/>
    <w:pPr>
      <w:widowControl w:val="0"/>
      <w:spacing w:line="220" w:lineRule="exact"/>
      <w:jc w:val="center"/>
    </w:pPr>
    <w:rPr>
      <w:rFonts w:ascii="仿宋_GB2312" w:eastAsia="仿宋_GB2312"/>
      <w:kern w:val="2"/>
      <w:szCs w:val="21"/>
    </w:rPr>
  </w:style>
  <w:style w:type="paragraph" w:styleId="50">
    <w:name w:val="Title"/>
    <w:basedOn w:val="1"/>
    <w:next w:val="1"/>
    <w:link w:val="159"/>
    <w:qFormat/>
    <w:uiPriority w:val="0"/>
    <w:pPr>
      <w:widowControl w:val="0"/>
      <w:spacing w:before="240" w:after="60" w:line="400" w:lineRule="exact"/>
      <w:ind w:firstLine="200" w:firstLineChars="200"/>
      <w:jc w:val="center"/>
      <w:outlineLvl w:val="0"/>
    </w:pPr>
    <w:rPr>
      <w:rFonts w:ascii="Cambria" w:hAnsi="Cambria" w:eastAsia="宋体" w:cs="Times New Roman"/>
      <w:b/>
      <w:bCs/>
      <w:kern w:val="2"/>
      <w:sz w:val="32"/>
      <w:szCs w:val="32"/>
    </w:rPr>
  </w:style>
  <w:style w:type="paragraph" w:styleId="51">
    <w:name w:val="annotation subject"/>
    <w:basedOn w:val="20"/>
    <w:next w:val="20"/>
    <w:link w:val="222"/>
    <w:qFormat/>
    <w:uiPriority w:val="0"/>
    <w:rPr>
      <w:rFonts w:eastAsia="宋体" w:cs="Times New Roman"/>
      <w:b/>
      <w:bCs/>
      <w:kern w:val="2"/>
      <w:szCs w:val="22"/>
    </w:rPr>
  </w:style>
  <w:style w:type="paragraph" w:styleId="52">
    <w:name w:val="Body Text First Indent"/>
    <w:basedOn w:val="3"/>
    <w:link w:val="142"/>
    <w:qFormat/>
    <w:uiPriority w:val="99"/>
    <w:pPr>
      <w:widowControl w:val="0"/>
      <w:tabs>
        <w:tab w:val="left" w:pos="482"/>
        <w:tab w:val="left" w:pos="2183"/>
        <w:tab w:val="left" w:pos="3884"/>
        <w:tab w:val="left" w:pos="5585"/>
      </w:tabs>
      <w:adjustRightInd w:val="0"/>
      <w:spacing w:after="0"/>
      <w:ind w:firstLine="482"/>
      <w:jc w:val="both"/>
      <w:textAlignment w:val="baseline"/>
    </w:pPr>
    <w:rPr>
      <w:rFonts w:ascii="Calibri" w:hAnsi="Calibri" w:eastAsia="楷体_GB2312" w:cs="Times New Roman"/>
      <w:kern w:val="2"/>
      <w:sz w:val="24"/>
      <w:szCs w:val="22"/>
    </w:rPr>
  </w:style>
  <w:style w:type="table" w:styleId="54">
    <w:name w:val="Table Grid"/>
    <w:basedOn w:val="53"/>
    <w:qFormat/>
    <w:uiPriority w:val="0"/>
    <w:rPr>
      <w:rFonts w:ascii="Times New Roman" w:hAnsi="Times New Roman" w:eastAsia="宋体" w:cs="Times New Roman"/>
      <w:kern w:val="0"/>
      <w:sz w:val="20"/>
      <w:szCs w:val="20"/>
    </w:rPr>
    <w:tblPr>
      <w:tblStyle w:val="5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qFormat/>
    <w:uiPriority w:val="0"/>
    <w:rPr>
      <w:b/>
      <w:bCs/>
    </w:rPr>
  </w:style>
  <w:style w:type="character" w:styleId="57">
    <w:name w:val="page number"/>
    <w:basedOn w:val="55"/>
    <w:qFormat/>
    <w:uiPriority w:val="0"/>
  </w:style>
  <w:style w:type="character" w:styleId="58">
    <w:name w:val="FollowedHyperlink"/>
    <w:basedOn w:val="55"/>
    <w:unhideWhenUsed/>
    <w:qFormat/>
    <w:uiPriority w:val="99"/>
    <w:rPr>
      <w:color w:val="954F72"/>
      <w:u w:val="single"/>
    </w:rPr>
  </w:style>
  <w:style w:type="character" w:styleId="59">
    <w:name w:val="Emphasis"/>
    <w:qFormat/>
    <w:uiPriority w:val="0"/>
    <w:rPr>
      <w:rFonts w:ascii="Arial Black" w:hAnsi="Arial Black" w:eastAsia="黑体"/>
      <w:b/>
      <w:bCs/>
      <w:spacing w:val="0"/>
      <w:sz w:val="21"/>
      <w:lang w:eastAsia="zh-CN"/>
    </w:rPr>
  </w:style>
  <w:style w:type="character" w:styleId="60">
    <w:name w:val="line number"/>
    <w:basedOn w:val="55"/>
    <w:qFormat/>
    <w:uiPriority w:val="0"/>
  </w:style>
  <w:style w:type="character" w:styleId="61">
    <w:name w:val="Hyperlink"/>
    <w:basedOn w:val="55"/>
    <w:qFormat/>
    <w:uiPriority w:val="99"/>
    <w:rPr>
      <w:color w:val="333333"/>
      <w:u w:val="none"/>
    </w:rPr>
  </w:style>
  <w:style w:type="character" w:styleId="62">
    <w:name w:val="annotation reference"/>
    <w:basedOn w:val="55"/>
    <w:qFormat/>
    <w:uiPriority w:val="0"/>
    <w:rPr>
      <w:sz w:val="21"/>
      <w:szCs w:val="21"/>
    </w:rPr>
  </w:style>
  <w:style w:type="character" w:styleId="63">
    <w:name w:val="HTML Cite"/>
    <w:basedOn w:val="55"/>
    <w:uiPriority w:val="0"/>
    <w:rPr>
      <w:rFonts w:cs="Times New Roman"/>
      <w:color w:val="008000"/>
    </w:rPr>
  </w:style>
  <w:style w:type="character" w:styleId="64">
    <w:name w:val="footnote reference"/>
    <w:qFormat/>
    <w:uiPriority w:val="0"/>
    <w:rPr>
      <w:vertAlign w:val="superscript"/>
    </w:rPr>
  </w:style>
  <w:style w:type="character" w:customStyle="1" w:styleId="65">
    <w:name w:val="HTML 预设格式 Char"/>
    <w:basedOn w:val="55"/>
    <w:link w:val="47"/>
    <w:qFormat/>
    <w:uiPriority w:val="0"/>
    <w:rPr>
      <w:rFonts w:ascii="宋体" w:hAnsi="宋体" w:cs="宋体"/>
      <w:sz w:val="24"/>
      <w:szCs w:val="24"/>
    </w:rPr>
  </w:style>
  <w:style w:type="character" w:customStyle="1" w:styleId="66">
    <w:name w:val="明显强调"/>
    <w:uiPriority w:val="0"/>
    <w:rPr>
      <w:b/>
      <w:i/>
      <w:color w:val="4F81BD"/>
    </w:rPr>
  </w:style>
  <w:style w:type="character" w:customStyle="1" w:styleId="67">
    <w:name w:val="sect1.2.3 Char3"/>
    <w:qFormat/>
    <w:uiPriority w:val="0"/>
    <w:rPr>
      <w:rFonts w:ascii="黑体" w:hAnsi="黑体" w:eastAsia="黑体"/>
      <w:bCs/>
      <w:kern w:val="2"/>
      <w:sz w:val="24"/>
      <w:szCs w:val="32"/>
    </w:rPr>
  </w:style>
  <w:style w:type="character" w:customStyle="1" w:styleId="68">
    <w:name w:val="日期 Char2"/>
    <w:basedOn w:val="55"/>
    <w:semiHidden/>
    <w:qFormat/>
    <w:uiPriority w:val="99"/>
    <w:rPr>
      <w:rFonts w:ascii="Times New Roman" w:hAnsi="Times New Roman" w:eastAsia="宋体" w:cs="Times New Roman"/>
      <w:kern w:val="0"/>
      <w:szCs w:val="20"/>
    </w:rPr>
  </w:style>
  <w:style w:type="character" w:customStyle="1" w:styleId="69">
    <w:name w:val="正文文本缩进 2 Char"/>
    <w:link w:val="32"/>
    <w:qFormat/>
    <w:locked/>
    <w:uiPriority w:val="99"/>
  </w:style>
  <w:style w:type="character" w:customStyle="1" w:styleId="70">
    <w:name w:val="grame"/>
    <w:qFormat/>
    <w:uiPriority w:val="0"/>
  </w:style>
  <w:style w:type="character" w:customStyle="1" w:styleId="71">
    <w:name w:val="Char Char19"/>
    <w:qFormat/>
    <w:uiPriority w:val="0"/>
    <w:rPr>
      <w:rFonts w:eastAsia="宋体"/>
      <w:kern w:val="2"/>
      <w:sz w:val="21"/>
      <w:szCs w:val="24"/>
      <w:lang w:val="en-US" w:eastAsia="zh-CN" w:bidi="ar-SA"/>
    </w:rPr>
  </w:style>
  <w:style w:type="character" w:customStyle="1" w:styleId="72">
    <w:name w:val="正文文本缩进 3 Char1"/>
    <w:basedOn w:val="55"/>
    <w:semiHidden/>
    <w:qFormat/>
    <w:uiPriority w:val="99"/>
    <w:rPr>
      <w:rFonts w:ascii="Times New Roman" w:hAnsi="Times New Roman" w:eastAsia="宋体" w:cs="Times New Roman"/>
      <w:kern w:val="0"/>
      <w:sz w:val="16"/>
      <w:szCs w:val="16"/>
    </w:rPr>
  </w:style>
  <w:style w:type="character" w:customStyle="1" w:styleId="73">
    <w:name w:val="Footer Char"/>
    <w:locked/>
    <w:uiPriority w:val="0"/>
    <w:rPr>
      <w:rFonts w:eastAsia="宋体"/>
      <w:sz w:val="18"/>
    </w:rPr>
  </w:style>
  <w:style w:type="character" w:customStyle="1" w:styleId="74">
    <w:name w:val="签名 Char1"/>
    <w:basedOn w:val="55"/>
    <w:qFormat/>
    <w:uiPriority w:val="0"/>
    <w:rPr>
      <w:sz w:val="21"/>
    </w:rPr>
  </w:style>
  <w:style w:type="character" w:customStyle="1" w:styleId="75">
    <w:name w:val="Heading 4 Char"/>
    <w:basedOn w:val="55"/>
    <w:locked/>
    <w:uiPriority w:val="0"/>
    <w:rPr>
      <w:rFonts w:ascii="Arial" w:hAnsi="Arial" w:eastAsia="黑体" w:cs="Times New Roman"/>
      <w:b/>
      <w:sz w:val="28"/>
    </w:rPr>
  </w:style>
  <w:style w:type="character" w:customStyle="1" w:styleId="76">
    <w:name w:val="附表标题1 Char"/>
    <w:link w:val="77"/>
    <w:qFormat/>
    <w:locked/>
    <w:uiPriority w:val="0"/>
    <w:rPr>
      <w:rFonts w:ascii="黑体" w:hAnsi="黑体" w:eastAsia="黑体"/>
      <w:sz w:val="32"/>
      <w:szCs w:val="32"/>
    </w:rPr>
  </w:style>
  <w:style w:type="paragraph" w:customStyle="1" w:styleId="77">
    <w:name w:val="附表标题1"/>
    <w:basedOn w:val="78"/>
    <w:link w:val="76"/>
    <w:qFormat/>
    <w:uiPriority w:val="0"/>
    <w:pPr>
      <w:keepNext/>
      <w:keepLines/>
      <w:spacing w:afterLines="50"/>
      <w:outlineLvl w:val="2"/>
    </w:pPr>
    <w:rPr>
      <w:rFonts w:hAnsi="黑体"/>
      <w:bCs w:val="0"/>
      <w:sz w:val="32"/>
      <w:szCs w:val="32"/>
    </w:rPr>
  </w:style>
  <w:style w:type="paragraph" w:customStyle="1" w:styleId="78">
    <w:name w:val="附表标题"/>
    <w:basedOn w:val="1"/>
    <w:link w:val="167"/>
    <w:qFormat/>
    <w:uiPriority w:val="0"/>
    <w:pPr>
      <w:widowControl w:val="0"/>
      <w:spacing w:line="400" w:lineRule="exact"/>
      <w:jc w:val="both"/>
      <w:outlineLvl w:val="1"/>
    </w:pPr>
    <w:rPr>
      <w:rFonts w:ascii="黑体" w:hAnsi="宋体" w:eastAsia="黑体" w:cs="Times New Roman"/>
      <w:bCs/>
      <w:kern w:val="2"/>
      <w:sz w:val="24"/>
      <w:szCs w:val="24"/>
    </w:rPr>
  </w:style>
  <w:style w:type="character" w:customStyle="1" w:styleId="79">
    <w:name w:val="正文缩进 Char"/>
    <w:link w:val="8"/>
    <w:qFormat/>
    <w:uiPriority w:val="0"/>
    <w:rPr>
      <w:rFonts w:ascii="Times New Roman" w:hAnsi="Times New Roman"/>
    </w:rPr>
  </w:style>
  <w:style w:type="character" w:customStyle="1" w:styleId="80">
    <w:name w:val="正文文本缩进 Char"/>
    <w:link w:val="23"/>
    <w:qFormat/>
    <w:uiPriority w:val="99"/>
  </w:style>
  <w:style w:type="character" w:customStyle="1" w:styleId="81">
    <w:name w:val="Char Char322"/>
    <w:uiPriority w:val="0"/>
    <w:rPr>
      <w:rFonts w:ascii="Cambria" w:hAnsi="Cambria" w:eastAsia="宋体"/>
      <w:b/>
      <w:kern w:val="2"/>
      <w:sz w:val="32"/>
      <w:lang w:val="en-US" w:eastAsia="zh-CN"/>
    </w:rPr>
  </w:style>
  <w:style w:type="character" w:customStyle="1" w:styleId="82">
    <w:name w:val="Book Title"/>
    <w:qFormat/>
    <w:uiPriority w:val="0"/>
    <w:rPr>
      <w:b/>
      <w:bCs/>
      <w:smallCaps/>
      <w:spacing w:val="5"/>
    </w:rPr>
  </w:style>
  <w:style w:type="character" w:customStyle="1" w:styleId="83">
    <w:name w:val="标题 8 Char"/>
    <w:basedOn w:val="55"/>
    <w:link w:val="12"/>
    <w:qFormat/>
    <w:uiPriority w:val="0"/>
    <w:rPr>
      <w:rFonts w:ascii="Arial" w:hAnsi="Arial" w:eastAsia="黑体" w:cs="Times New Roman"/>
      <w:color w:val="000000"/>
      <w:kern w:val="0"/>
      <w:sz w:val="24"/>
      <w:szCs w:val="20"/>
    </w:rPr>
  </w:style>
  <w:style w:type="character" w:customStyle="1" w:styleId="84">
    <w:name w:val="明显参考"/>
    <w:uiPriority w:val="0"/>
    <w:rPr>
      <w:b/>
      <w:smallCaps/>
      <w:color w:val="C0504D"/>
      <w:spacing w:val="5"/>
      <w:u w:val="single"/>
    </w:rPr>
  </w:style>
  <w:style w:type="character" w:customStyle="1" w:styleId="85">
    <w:name w:val="标题 2 Char1"/>
    <w:uiPriority w:val="0"/>
    <w:rPr>
      <w:rFonts w:ascii="黑体" w:hAnsi="黑体" w:eastAsia="黑体"/>
      <w:kern w:val="2"/>
      <w:sz w:val="32"/>
    </w:rPr>
  </w:style>
  <w:style w:type="character" w:customStyle="1" w:styleId="86">
    <w:name w:val="标题4 Char Char"/>
    <w:link w:val="87"/>
    <w:qFormat/>
    <w:uiPriority w:val="0"/>
    <w:rPr>
      <w:rFonts w:ascii="Arial" w:hAnsi="Arial"/>
      <w:b/>
      <w:bCs/>
      <w:sz w:val="24"/>
      <w:szCs w:val="32"/>
    </w:rPr>
  </w:style>
  <w:style w:type="paragraph" w:customStyle="1" w:styleId="87">
    <w:name w:val="标题4"/>
    <w:basedOn w:val="5"/>
    <w:next w:val="26"/>
    <w:link w:val="86"/>
    <w:qFormat/>
    <w:uiPriority w:val="0"/>
    <w:pPr>
      <w:widowControl w:val="0"/>
      <w:spacing w:beforeLines="30" w:afterLines="30" w:line="400" w:lineRule="exact"/>
      <w:jc w:val="both"/>
    </w:pPr>
    <w:rPr>
      <w:rFonts w:ascii="Arial" w:hAnsi="Arial" w:eastAsia="宋体" w:cs="Times New Roman"/>
      <w:kern w:val="2"/>
      <w:sz w:val="24"/>
    </w:rPr>
  </w:style>
  <w:style w:type="character" w:customStyle="1" w:styleId="88">
    <w:name w:val="a011"/>
    <w:qFormat/>
    <w:uiPriority w:val="0"/>
    <w:rPr>
      <w:sz w:val="21"/>
      <w:szCs w:val="21"/>
      <w:u w:val="none"/>
    </w:rPr>
  </w:style>
  <w:style w:type="character" w:customStyle="1" w:styleId="89">
    <w:name w:val="批注文字 Char"/>
    <w:qFormat/>
    <w:uiPriority w:val="0"/>
    <w:rPr>
      <w:rFonts w:ascii="Times New Roman" w:hAnsi="Times New Roman"/>
      <w:sz w:val="21"/>
    </w:rPr>
  </w:style>
  <w:style w:type="character" w:customStyle="1" w:styleId="90">
    <w:name w:val="正文首行缩进 Char1"/>
    <w:basedOn w:val="91"/>
    <w:qFormat/>
    <w:uiPriority w:val="0"/>
    <w:rPr>
      <w:rFonts w:ascii="楷体_GB2312" w:hAnsi="Times New Roman" w:eastAsia="楷体_GB2312"/>
      <w:kern w:val="2"/>
      <w:sz w:val="21"/>
    </w:rPr>
  </w:style>
  <w:style w:type="character" w:customStyle="1" w:styleId="91">
    <w:name w:val="正文文本 Char"/>
    <w:qFormat/>
    <w:uiPriority w:val="0"/>
    <w:rPr>
      <w:rFonts w:ascii="楷体_GB2312" w:hAnsi="Times New Roman" w:eastAsia="楷体_GB2312"/>
      <w:kern w:val="2"/>
      <w:sz w:val="32"/>
    </w:rPr>
  </w:style>
  <w:style w:type="character" w:customStyle="1" w:styleId="92">
    <w:name w:val="正文文本 2 Char"/>
    <w:link w:val="46"/>
    <w:qFormat/>
    <w:locked/>
    <w:uiPriority w:val="99"/>
    <w:rPr>
      <w:rFonts w:ascii="宋体" w:hAnsi="宋体"/>
      <w:sz w:val="44"/>
      <w:szCs w:val="24"/>
    </w:rPr>
  </w:style>
  <w:style w:type="character" w:customStyle="1" w:styleId="93">
    <w:name w:val="引用 Char"/>
    <w:link w:val="94"/>
    <w:qFormat/>
    <w:uiPriority w:val="0"/>
    <w:rPr>
      <w:i/>
      <w:iCs/>
      <w:color w:val="000000"/>
    </w:rPr>
  </w:style>
  <w:style w:type="paragraph" w:customStyle="1" w:styleId="94">
    <w:name w:val="Quote"/>
    <w:basedOn w:val="1"/>
    <w:next w:val="1"/>
    <w:link w:val="93"/>
    <w:qFormat/>
    <w:uiPriority w:val="0"/>
    <w:pPr>
      <w:widowControl w:val="0"/>
      <w:spacing w:line="400" w:lineRule="exact"/>
      <w:ind w:firstLine="200" w:firstLineChars="200"/>
      <w:jc w:val="both"/>
    </w:pPr>
    <w:rPr>
      <w:rFonts w:ascii="Calibri" w:hAnsi="Calibri" w:eastAsia="宋体" w:cs="Times New Roman"/>
      <w:i/>
      <w:iCs/>
      <w:color w:val="000000"/>
      <w:kern w:val="2"/>
      <w:szCs w:val="22"/>
    </w:rPr>
  </w:style>
  <w:style w:type="character" w:customStyle="1" w:styleId="95">
    <w:name w:val="Body Text 3 Char"/>
    <w:basedOn w:val="55"/>
    <w:locked/>
    <w:uiPriority w:val="0"/>
    <w:rPr>
      <w:rFonts w:ascii="仿宋_GB2312" w:hAnsi="宋体" w:eastAsia="仿宋_GB2312" w:cs="Times New Roman"/>
      <w:kern w:val="0"/>
      <w:sz w:val="21"/>
      <w:szCs w:val="21"/>
      <w:u w:val="single"/>
    </w:rPr>
  </w:style>
  <w:style w:type="character" w:customStyle="1" w:styleId="96">
    <w:name w:val="Char Char15"/>
    <w:qFormat/>
    <w:uiPriority w:val="0"/>
    <w:rPr>
      <w:rFonts w:ascii="黑体" w:hAnsi="黑体" w:eastAsia="黑体"/>
      <w:bCs/>
      <w:kern w:val="44"/>
      <w:sz w:val="32"/>
      <w:szCs w:val="44"/>
    </w:rPr>
  </w:style>
  <w:style w:type="character" w:customStyle="1" w:styleId="97">
    <w:name w:val="书籍标题"/>
    <w:uiPriority w:val="0"/>
    <w:rPr>
      <w:b/>
      <w:smallCaps/>
      <w:spacing w:val="5"/>
    </w:rPr>
  </w:style>
  <w:style w:type="character" w:customStyle="1" w:styleId="98">
    <w:name w:val="Char Char192"/>
    <w:uiPriority w:val="0"/>
    <w:rPr>
      <w:rFonts w:eastAsia="宋体"/>
      <w:kern w:val="2"/>
      <w:sz w:val="24"/>
      <w:lang w:val="en-US" w:eastAsia="zh-CN"/>
    </w:rPr>
  </w:style>
  <w:style w:type="character" w:customStyle="1" w:styleId="99">
    <w:name w:val="明显引用 Char"/>
    <w:link w:val="100"/>
    <w:qFormat/>
    <w:uiPriority w:val="0"/>
    <w:rPr>
      <w:b/>
      <w:bCs/>
      <w:i/>
      <w:iCs/>
      <w:color w:val="4F81BD"/>
    </w:rPr>
  </w:style>
  <w:style w:type="paragraph" w:customStyle="1" w:styleId="100">
    <w:name w:val="Intense Quote"/>
    <w:basedOn w:val="1"/>
    <w:next w:val="1"/>
    <w:link w:val="99"/>
    <w:qFormat/>
    <w:uiPriority w:val="0"/>
    <w:pPr>
      <w:widowControl w:val="0"/>
      <w:pBdr>
        <w:bottom w:val="single" w:color="4F81BD" w:sz="4" w:space="4"/>
      </w:pBdr>
      <w:spacing w:before="200" w:after="280" w:line="400" w:lineRule="exact"/>
      <w:ind w:left="936" w:right="936" w:firstLine="200" w:firstLineChars="200"/>
      <w:jc w:val="both"/>
    </w:pPr>
    <w:rPr>
      <w:rFonts w:ascii="Calibri" w:hAnsi="Calibri" w:eastAsia="宋体" w:cs="Times New Roman"/>
      <w:b/>
      <w:bCs/>
      <w:i/>
      <w:iCs/>
      <w:color w:val="4F81BD"/>
      <w:kern w:val="2"/>
      <w:szCs w:val="22"/>
    </w:rPr>
  </w:style>
  <w:style w:type="character" w:customStyle="1" w:styleId="101">
    <w:name w:val="ca-7"/>
    <w:basedOn w:val="55"/>
    <w:qFormat/>
    <w:uiPriority w:val="0"/>
  </w:style>
  <w:style w:type="character" w:customStyle="1" w:styleId="102">
    <w:name w:val="Heading 7 Char"/>
    <w:basedOn w:val="55"/>
    <w:locked/>
    <w:uiPriority w:val="0"/>
    <w:rPr>
      <w:rFonts w:ascii="Calibri" w:hAnsi="Calibri" w:eastAsia="宋体" w:cs="Times New Roman"/>
      <w:b/>
      <w:sz w:val="24"/>
    </w:rPr>
  </w:style>
  <w:style w:type="character" w:customStyle="1" w:styleId="103">
    <w:name w:val="文档结构图 Char1"/>
    <w:qFormat/>
    <w:uiPriority w:val="0"/>
    <w:rPr>
      <w:rFonts w:ascii="宋体"/>
      <w:kern w:val="2"/>
      <w:sz w:val="18"/>
      <w:szCs w:val="18"/>
    </w:rPr>
  </w:style>
  <w:style w:type="character" w:customStyle="1" w:styleId="104">
    <w:name w:val="引用 Char1"/>
    <w:qFormat/>
    <w:uiPriority w:val="0"/>
    <w:rPr>
      <w:i/>
      <w:iCs/>
      <w:color w:val="000000"/>
      <w:kern w:val="2"/>
      <w:sz w:val="21"/>
      <w:szCs w:val="24"/>
    </w:rPr>
  </w:style>
  <w:style w:type="character" w:customStyle="1" w:styleId="105">
    <w:name w:val="Char Char25"/>
    <w:qFormat/>
    <w:uiPriority w:val="0"/>
    <w:rPr>
      <w:rFonts w:ascii="Cambria" w:hAnsi="Cambria" w:eastAsia="宋体"/>
      <w:kern w:val="2"/>
      <w:sz w:val="21"/>
      <w:szCs w:val="21"/>
      <w:lang w:val="en-US" w:eastAsia="zh-CN" w:bidi="ar-SA"/>
    </w:rPr>
  </w:style>
  <w:style w:type="character" w:customStyle="1" w:styleId="106">
    <w:name w:val="手改 Char Char"/>
    <w:qFormat/>
    <w:uiPriority w:val="0"/>
    <w:rPr>
      <w:sz w:val="24"/>
    </w:rPr>
  </w:style>
  <w:style w:type="character" w:customStyle="1" w:styleId="107">
    <w:name w:val="标题 2 Char Char Char"/>
    <w:qFormat/>
    <w:uiPriority w:val="0"/>
    <w:rPr>
      <w:rFonts w:ascii="方正综艺简体" w:hAnsi="方正综艺简体" w:eastAsia="方正综艺简体" w:cs="方正综艺简体"/>
      <w:sz w:val="32"/>
      <w:szCs w:val="32"/>
      <w:lang w:val="en-US" w:eastAsia="zh-CN" w:bidi="ar-SA"/>
    </w:rPr>
  </w:style>
  <w:style w:type="character" w:customStyle="1" w:styleId="108">
    <w:name w:val="样式 正文文本 Char"/>
    <w:qFormat/>
    <w:uiPriority w:val="0"/>
    <w:rPr>
      <w:rFonts w:ascii="Arial" w:hAnsi="Arial" w:eastAsia="宋体" w:cs="宋体"/>
      <w:color w:val="000000"/>
      <w:kern w:val="2"/>
      <w:sz w:val="21"/>
      <w:lang w:val="en-US" w:eastAsia="zh-CN" w:bidi="ar-SA"/>
    </w:rPr>
  </w:style>
  <w:style w:type="character" w:customStyle="1" w:styleId="109">
    <w:name w:val="批注文字 Char2"/>
    <w:basedOn w:val="55"/>
    <w:link w:val="20"/>
    <w:semiHidden/>
    <w:qFormat/>
    <w:uiPriority w:val="99"/>
    <w:rPr>
      <w:rFonts w:ascii="Times New Roman" w:hAnsi="Times New Roman" w:eastAsia="宋体" w:cs="Times New Roman"/>
      <w:kern w:val="0"/>
      <w:szCs w:val="20"/>
    </w:rPr>
  </w:style>
  <w:style w:type="character" w:customStyle="1" w:styleId="110">
    <w:name w:val="Typewriter"/>
    <w:qFormat/>
    <w:uiPriority w:val="0"/>
    <w:rPr>
      <w:rFonts w:ascii="Courier New" w:hAnsi="Courier New"/>
      <w:sz w:val="20"/>
    </w:rPr>
  </w:style>
  <w:style w:type="character" w:customStyle="1" w:styleId="111">
    <w:name w:val="text22"/>
    <w:qFormat/>
    <w:uiPriority w:val="0"/>
    <w:rPr>
      <w:rFonts w:hint="default" w:ascii="ˎ̥" w:hAnsi="ˎ̥"/>
      <w:color w:val="FFFFFF"/>
      <w:sz w:val="18"/>
      <w:szCs w:val="18"/>
    </w:rPr>
  </w:style>
  <w:style w:type="character" w:customStyle="1" w:styleId="112">
    <w:name w:val="正文文本 3 Char"/>
    <w:link w:val="22"/>
    <w:qFormat/>
    <w:uiPriority w:val="99"/>
    <w:rPr>
      <w:rFonts w:ascii="宋体" w:hAnsi="宋体"/>
      <w:sz w:val="24"/>
      <w:szCs w:val="24"/>
    </w:rPr>
  </w:style>
  <w:style w:type="character" w:customStyle="1" w:styleId="113">
    <w:name w:val="Intense Quote Char"/>
    <w:locked/>
    <w:uiPriority w:val="0"/>
    <w:rPr>
      <w:b/>
      <w:i/>
      <w:color w:val="4F81BD"/>
    </w:rPr>
  </w:style>
  <w:style w:type="character" w:customStyle="1" w:styleId="114">
    <w:name w:val="Char Char222"/>
    <w:uiPriority w:val="0"/>
  </w:style>
  <w:style w:type="character" w:customStyle="1" w:styleId="115">
    <w:name w:val="Header Char"/>
    <w:locked/>
    <w:uiPriority w:val="0"/>
    <w:rPr>
      <w:rFonts w:eastAsia="宋体"/>
      <w:sz w:val="18"/>
    </w:rPr>
  </w:style>
  <w:style w:type="character" w:customStyle="1" w:styleId="116">
    <w:name w:val="明显引用 Char3"/>
    <w:basedOn w:val="55"/>
    <w:qFormat/>
    <w:uiPriority w:val="99"/>
    <w:rPr>
      <w:b/>
      <w:bCs/>
      <w:i/>
      <w:iCs/>
      <w:color w:val="4F81BD"/>
      <w:sz w:val="21"/>
    </w:rPr>
  </w:style>
  <w:style w:type="character" w:customStyle="1" w:styleId="117">
    <w:name w:val="Char Char211"/>
    <w:uiPriority w:val="0"/>
    <w:rPr>
      <w:kern w:val="2"/>
      <w:sz w:val="18"/>
    </w:rPr>
  </w:style>
  <w:style w:type="character" w:customStyle="1" w:styleId="118">
    <w:name w:val="Char Char17"/>
    <w:qFormat/>
    <w:uiPriority w:val="0"/>
    <w:rPr>
      <w:rFonts w:ascii="黑体" w:hAnsi="黑体" w:eastAsia="黑体"/>
      <w:bCs/>
      <w:kern w:val="2"/>
      <w:sz w:val="28"/>
      <w:szCs w:val="32"/>
    </w:rPr>
  </w:style>
  <w:style w:type="character" w:customStyle="1" w:styleId="119">
    <w:name w:val="Char Char271"/>
    <w:uiPriority w:val="0"/>
    <w:rPr>
      <w:rFonts w:ascii="Calibri" w:hAnsi="Calibri" w:eastAsia="宋体"/>
      <w:b/>
      <w:kern w:val="2"/>
      <w:sz w:val="24"/>
      <w:lang w:val="en-US" w:eastAsia="zh-CN"/>
    </w:rPr>
  </w:style>
  <w:style w:type="character" w:customStyle="1" w:styleId="120">
    <w:name w:val="Char Char9"/>
    <w:qFormat/>
    <w:uiPriority w:val="0"/>
    <w:rPr>
      <w:rFonts w:ascii="Times New Roman" w:hAnsi="Times New Roman"/>
      <w:b/>
      <w:bCs/>
      <w:sz w:val="32"/>
      <w:szCs w:val="32"/>
    </w:rPr>
  </w:style>
  <w:style w:type="character" w:customStyle="1" w:styleId="121">
    <w:name w:val="不明显参考"/>
    <w:uiPriority w:val="0"/>
    <w:rPr>
      <w:smallCaps/>
      <w:color w:val="C0504D"/>
      <w:u w:val="single"/>
    </w:rPr>
  </w:style>
  <w:style w:type="character" w:customStyle="1" w:styleId="122">
    <w:name w:val="正文文字4 Char Char"/>
    <w:qFormat/>
    <w:uiPriority w:val="0"/>
    <w:rPr>
      <w:rFonts w:eastAsia="宋体"/>
      <w:kern w:val="2"/>
      <w:sz w:val="21"/>
      <w:szCs w:val="24"/>
      <w:lang w:val="en-US" w:eastAsia="zh-CN" w:bidi="ar-SA"/>
    </w:rPr>
  </w:style>
  <w:style w:type="character" w:customStyle="1" w:styleId="123">
    <w:name w:val="Title Char"/>
    <w:locked/>
    <w:uiPriority w:val="0"/>
    <w:rPr>
      <w:rFonts w:ascii="Cambria" w:hAnsi="Cambria"/>
      <w:b/>
      <w:sz w:val="32"/>
    </w:rPr>
  </w:style>
  <w:style w:type="character" w:customStyle="1" w:styleId="124">
    <w:name w:val="Heading 3 Char"/>
    <w:basedOn w:val="55"/>
    <w:locked/>
    <w:uiPriority w:val="0"/>
    <w:rPr>
      <w:rFonts w:ascii="Times New Roman" w:hAnsi="Times New Roman" w:eastAsia="宋体" w:cs="Times New Roman"/>
      <w:b/>
      <w:sz w:val="32"/>
    </w:rPr>
  </w:style>
  <w:style w:type="character" w:customStyle="1" w:styleId="125">
    <w:name w:val="标题 3 Char"/>
    <w:basedOn w:val="55"/>
    <w:link w:val="6"/>
    <w:qFormat/>
    <w:uiPriority w:val="0"/>
    <w:rPr>
      <w:rFonts w:ascii="Times New Roman" w:hAnsi="Times New Roman" w:eastAsia="宋体" w:cs="Times New Roman"/>
      <w:b/>
      <w:bCs/>
      <w:kern w:val="0"/>
      <w:sz w:val="32"/>
      <w:szCs w:val="32"/>
    </w:rPr>
  </w:style>
  <w:style w:type="character" w:customStyle="1" w:styleId="126">
    <w:name w:val="正文文本 2 Char1"/>
    <w:basedOn w:val="55"/>
    <w:qFormat/>
    <w:uiPriority w:val="0"/>
    <w:rPr>
      <w:sz w:val="21"/>
    </w:rPr>
  </w:style>
  <w:style w:type="character" w:customStyle="1" w:styleId="127">
    <w:name w:val="称呼 Char1"/>
    <w:basedOn w:val="55"/>
    <w:qFormat/>
    <w:uiPriority w:val="0"/>
    <w:rPr>
      <w:sz w:val="21"/>
    </w:rPr>
  </w:style>
  <w:style w:type="character" w:customStyle="1" w:styleId="128">
    <w:name w:val="正文文本 2 Char2"/>
    <w:basedOn w:val="55"/>
    <w:semiHidden/>
    <w:qFormat/>
    <w:uiPriority w:val="99"/>
    <w:rPr>
      <w:rFonts w:ascii="Times New Roman" w:hAnsi="Times New Roman" w:eastAsia="宋体" w:cs="Times New Roman"/>
      <w:kern w:val="0"/>
      <w:szCs w:val="20"/>
    </w:rPr>
  </w:style>
  <w:style w:type="character" w:customStyle="1" w:styleId="129">
    <w:name w:val="Char Char262"/>
    <w:uiPriority w:val="0"/>
    <w:rPr>
      <w:rFonts w:ascii="Cambria" w:hAnsi="Cambria" w:eastAsia="宋体"/>
      <w:kern w:val="2"/>
      <w:sz w:val="24"/>
      <w:lang w:val="en-US" w:eastAsia="zh-CN"/>
    </w:rPr>
  </w:style>
  <w:style w:type="character" w:customStyle="1" w:styleId="130">
    <w:name w:val="Char Char302"/>
    <w:uiPriority w:val="0"/>
    <w:rPr>
      <w:rFonts w:ascii="Cambria" w:hAnsi="Cambria" w:eastAsia="宋体"/>
      <w:b/>
      <w:kern w:val="2"/>
      <w:sz w:val="28"/>
      <w:lang w:val="en-US" w:eastAsia="zh-CN"/>
    </w:rPr>
  </w:style>
  <w:style w:type="character" w:customStyle="1" w:styleId="131">
    <w:name w:val="Char Char24"/>
    <w:qFormat/>
    <w:uiPriority w:val="0"/>
    <w:rPr>
      <w:rFonts w:ascii="Cambria" w:hAnsi="Cambria"/>
      <w:b/>
      <w:bCs/>
      <w:kern w:val="28"/>
      <w:sz w:val="32"/>
      <w:szCs w:val="32"/>
      <w:lang w:bidi="ar-SA"/>
    </w:rPr>
  </w:style>
  <w:style w:type="character" w:customStyle="1" w:styleId="132">
    <w:name w:val="Plain Text Char Char"/>
    <w:link w:val="133"/>
    <w:qFormat/>
    <w:uiPriority w:val="0"/>
    <w:rPr>
      <w:rFonts w:ascii="宋体" w:hAnsi="Courier New"/>
    </w:rPr>
  </w:style>
  <w:style w:type="paragraph" w:customStyle="1" w:styleId="133">
    <w:name w:val="纯文本1"/>
    <w:basedOn w:val="1"/>
    <w:link w:val="132"/>
    <w:qFormat/>
    <w:uiPriority w:val="0"/>
    <w:pPr>
      <w:widowControl w:val="0"/>
      <w:adjustRightInd w:val="0"/>
      <w:snapToGrid w:val="0"/>
      <w:spacing w:line="288" w:lineRule="auto"/>
      <w:ind w:firstLine="200" w:firstLineChars="200"/>
      <w:jc w:val="both"/>
      <w:textAlignment w:val="baseline"/>
    </w:pPr>
    <w:rPr>
      <w:rFonts w:ascii="宋体" w:hAnsi="Courier New" w:eastAsia="宋体" w:cs="Times New Roman"/>
      <w:kern w:val="2"/>
      <w:szCs w:val="22"/>
    </w:rPr>
  </w:style>
  <w:style w:type="character" w:customStyle="1" w:styleId="134">
    <w:name w:val="标题 6 Char"/>
    <w:basedOn w:val="55"/>
    <w:link w:val="10"/>
    <w:qFormat/>
    <w:uiPriority w:val="0"/>
    <w:rPr>
      <w:rFonts w:ascii="Arial" w:hAnsi="Arial" w:eastAsia="黑体" w:cs="Times New Roman"/>
      <w:b/>
      <w:color w:val="000000"/>
      <w:kern w:val="0"/>
      <w:sz w:val="24"/>
      <w:szCs w:val="20"/>
    </w:rPr>
  </w:style>
  <w:style w:type="character" w:customStyle="1" w:styleId="135">
    <w:name w:val="Char Char8"/>
    <w:basedOn w:val="55"/>
    <w:uiPriority w:val="0"/>
    <w:rPr>
      <w:rFonts w:ascii="宋体" w:cs="Times New Roman"/>
      <w:kern w:val="2"/>
      <w:sz w:val="18"/>
      <w:szCs w:val="18"/>
    </w:rPr>
  </w:style>
  <w:style w:type="character" w:customStyle="1" w:styleId="136">
    <w:name w:val="Char Char5"/>
    <w:qFormat/>
    <w:uiPriority w:val="0"/>
    <w:rPr>
      <w:rFonts w:eastAsia="宋体"/>
      <w:kern w:val="2"/>
      <w:sz w:val="21"/>
      <w:szCs w:val="24"/>
      <w:lang w:val="en-US" w:eastAsia="zh-CN" w:bidi="ar-SA"/>
    </w:rPr>
  </w:style>
  <w:style w:type="character" w:customStyle="1" w:styleId="137">
    <w:name w:val="Char Char21"/>
    <w:qFormat/>
    <w:uiPriority w:val="0"/>
    <w:rPr>
      <w:kern w:val="2"/>
      <w:sz w:val="18"/>
      <w:szCs w:val="18"/>
      <w:lang w:bidi="ar-SA"/>
    </w:rPr>
  </w:style>
  <w:style w:type="character" w:customStyle="1" w:styleId="138">
    <w:name w:val="small"/>
    <w:basedOn w:val="55"/>
    <w:qFormat/>
    <w:uiPriority w:val="0"/>
  </w:style>
  <w:style w:type="character" w:customStyle="1" w:styleId="139">
    <w:name w:val="h Char2"/>
    <w:qFormat/>
    <w:uiPriority w:val="0"/>
    <w:rPr>
      <w:kern w:val="2"/>
      <w:sz w:val="18"/>
      <w:szCs w:val="18"/>
      <w:lang w:bidi="ar-SA"/>
    </w:rPr>
  </w:style>
  <w:style w:type="character" w:customStyle="1" w:styleId="140">
    <w:name w:val="Char Char221"/>
    <w:uiPriority w:val="0"/>
  </w:style>
  <w:style w:type="character" w:customStyle="1" w:styleId="141">
    <w:name w:val="正文文本 3 Char1"/>
    <w:basedOn w:val="55"/>
    <w:qFormat/>
    <w:uiPriority w:val="0"/>
    <w:rPr>
      <w:sz w:val="16"/>
      <w:szCs w:val="16"/>
    </w:rPr>
  </w:style>
  <w:style w:type="character" w:customStyle="1" w:styleId="142">
    <w:name w:val="正文首行缩进 Char"/>
    <w:link w:val="52"/>
    <w:qFormat/>
    <w:uiPriority w:val="99"/>
    <w:rPr>
      <w:rFonts w:eastAsia="楷体_GB2312"/>
      <w:sz w:val="24"/>
    </w:rPr>
  </w:style>
  <w:style w:type="character" w:customStyle="1" w:styleId="143">
    <w:name w:val="Char Char22"/>
    <w:qFormat/>
    <w:uiPriority w:val="0"/>
    <w:rPr>
      <w:lang w:bidi="ar-SA"/>
    </w:rPr>
  </w:style>
  <w:style w:type="character" w:customStyle="1" w:styleId="144">
    <w:name w:val="页眉 Char1"/>
    <w:semiHidden/>
    <w:qFormat/>
    <w:uiPriority w:val="0"/>
    <w:rPr>
      <w:sz w:val="18"/>
      <w:szCs w:val="18"/>
    </w:rPr>
  </w:style>
  <w:style w:type="character" w:customStyle="1" w:styleId="145">
    <w:name w:val="apple-style-span"/>
    <w:basedOn w:val="55"/>
    <w:qFormat/>
    <w:uiPriority w:val="0"/>
    <w:rPr>
      <w:rFonts w:ascii="Tahoma" w:hAnsi="Tahoma"/>
      <w:sz w:val="24"/>
      <w:szCs w:val="20"/>
    </w:rPr>
  </w:style>
  <w:style w:type="character" w:customStyle="1" w:styleId="146">
    <w:name w:val="批注主题 Char1"/>
    <w:qFormat/>
    <w:uiPriority w:val="0"/>
    <w:rPr>
      <w:b/>
      <w:bCs/>
      <w:kern w:val="2"/>
      <w:sz w:val="21"/>
      <w:szCs w:val="22"/>
    </w:rPr>
  </w:style>
  <w:style w:type="character" w:customStyle="1" w:styleId="147">
    <w:name w:val="明显引用 Char2"/>
    <w:qFormat/>
    <w:uiPriority w:val="0"/>
    <w:rPr>
      <w:i/>
      <w:iCs/>
      <w:color w:val="5B9BD5"/>
      <w:kern w:val="2"/>
      <w:sz w:val="21"/>
      <w:szCs w:val="24"/>
    </w:rPr>
  </w:style>
  <w:style w:type="character" w:customStyle="1" w:styleId="148">
    <w:name w:val="sect1.2.3 Char2"/>
    <w:qFormat/>
    <w:uiPriority w:val="0"/>
    <w:rPr>
      <w:rFonts w:eastAsia="宋体"/>
      <w:b/>
      <w:bCs/>
      <w:kern w:val="2"/>
      <w:sz w:val="32"/>
      <w:szCs w:val="32"/>
      <w:lang w:val="en-US" w:eastAsia="zh-CN" w:bidi="ar-SA"/>
    </w:rPr>
  </w:style>
  <w:style w:type="character" w:customStyle="1" w:styleId="149">
    <w:name w:val="Title Char1"/>
    <w:basedOn w:val="55"/>
    <w:locked/>
    <w:uiPriority w:val="0"/>
    <w:rPr>
      <w:rFonts w:ascii="Cambria" w:hAnsi="Cambria" w:cs="Times New Roman"/>
      <w:b/>
      <w:bCs/>
      <w:sz w:val="32"/>
      <w:szCs w:val="32"/>
    </w:rPr>
  </w:style>
  <w:style w:type="character" w:customStyle="1" w:styleId="150">
    <w:name w:val="文档结构图 Char"/>
    <w:link w:val="18"/>
    <w:qFormat/>
    <w:uiPriority w:val="0"/>
    <w:rPr>
      <w:rFonts w:ascii="宋体" w:hAnsi="Times New Roman"/>
      <w:sz w:val="18"/>
      <w:szCs w:val="18"/>
    </w:rPr>
  </w:style>
  <w:style w:type="character" w:customStyle="1" w:styleId="151">
    <w:name w:val="引用 Char2"/>
    <w:qFormat/>
    <w:uiPriority w:val="0"/>
    <w:rPr>
      <w:i/>
      <w:iCs/>
      <w:color w:val="404040"/>
      <w:kern w:val="2"/>
      <w:sz w:val="21"/>
      <w:szCs w:val="24"/>
    </w:rPr>
  </w:style>
  <w:style w:type="character" w:customStyle="1" w:styleId="152">
    <w:name w:val="h Char"/>
    <w:qFormat/>
    <w:uiPriority w:val="0"/>
    <w:rPr>
      <w:sz w:val="18"/>
    </w:rPr>
  </w:style>
  <w:style w:type="character" w:customStyle="1" w:styleId="153">
    <w:name w:val="日期 Char"/>
    <w:link w:val="31"/>
    <w:qFormat/>
    <w:uiPriority w:val="0"/>
    <w:rPr>
      <w:rFonts w:ascii="宋体"/>
      <w:sz w:val="24"/>
    </w:rPr>
  </w:style>
  <w:style w:type="character" w:customStyle="1" w:styleId="154">
    <w:name w:val="Char Char16"/>
    <w:qFormat/>
    <w:uiPriority w:val="0"/>
    <w:rPr>
      <w:rFonts w:ascii="黑体" w:hAnsi="黑体" w:eastAsia="黑体"/>
      <w:bCs/>
      <w:kern w:val="2"/>
      <w:sz w:val="24"/>
      <w:szCs w:val="32"/>
      <w:lang w:bidi="ar-SA"/>
    </w:rPr>
  </w:style>
  <w:style w:type="character" w:customStyle="1" w:styleId="155">
    <w:name w:val="Char Char272"/>
    <w:uiPriority w:val="0"/>
    <w:rPr>
      <w:rFonts w:ascii="Calibri" w:hAnsi="Calibri" w:eastAsia="宋体"/>
      <w:b/>
      <w:kern w:val="2"/>
      <w:sz w:val="24"/>
      <w:lang w:val="en-US" w:eastAsia="zh-CN"/>
    </w:rPr>
  </w:style>
  <w:style w:type="character" w:customStyle="1" w:styleId="156">
    <w:name w:val="Char Char35"/>
    <w:qFormat/>
    <w:uiPriority w:val="0"/>
    <w:rPr>
      <w:rFonts w:ascii="黑体" w:hAnsi="黑体" w:eastAsia="黑体"/>
      <w:bCs/>
      <w:kern w:val="2"/>
      <w:sz w:val="28"/>
      <w:szCs w:val="32"/>
    </w:rPr>
  </w:style>
  <w:style w:type="character" w:customStyle="1" w:styleId="157">
    <w:name w:val="Blockquote Char Char"/>
    <w:qFormat/>
    <w:uiPriority w:val="0"/>
    <w:rPr>
      <w:rFonts w:eastAsia="宋体"/>
      <w:sz w:val="24"/>
      <w:lang w:val="en-US" w:eastAsia="zh-CN" w:bidi="ar-SA"/>
    </w:rPr>
  </w:style>
  <w:style w:type="character" w:customStyle="1" w:styleId="158">
    <w:name w:val="标题 3 Char1"/>
    <w:uiPriority w:val="0"/>
    <w:rPr>
      <w:rFonts w:eastAsia="宋体"/>
      <w:b/>
      <w:kern w:val="2"/>
      <w:sz w:val="32"/>
      <w:lang w:val="en-US" w:eastAsia="zh-CN"/>
    </w:rPr>
  </w:style>
  <w:style w:type="character" w:customStyle="1" w:styleId="159">
    <w:name w:val="标题 Char"/>
    <w:link w:val="50"/>
    <w:qFormat/>
    <w:uiPriority w:val="0"/>
    <w:rPr>
      <w:rFonts w:ascii="Cambria" w:hAnsi="Cambria"/>
      <w:b/>
      <w:bCs/>
      <w:sz w:val="32"/>
      <w:szCs w:val="32"/>
    </w:rPr>
  </w:style>
  <w:style w:type="character" w:customStyle="1" w:styleId="160">
    <w:name w:val="Char Char282"/>
    <w:uiPriority w:val="0"/>
    <w:rPr>
      <w:rFonts w:ascii="Cambria" w:hAnsi="Cambria" w:eastAsia="宋体"/>
      <w:b/>
      <w:kern w:val="2"/>
      <w:sz w:val="24"/>
      <w:lang w:val="en-US" w:eastAsia="zh-CN"/>
    </w:rPr>
  </w:style>
  <w:style w:type="character" w:customStyle="1" w:styleId="161">
    <w:name w:val="Document Map Char"/>
    <w:locked/>
    <w:uiPriority w:val="0"/>
    <w:rPr>
      <w:rFonts w:ascii="宋体"/>
      <w:sz w:val="18"/>
    </w:rPr>
  </w:style>
  <w:style w:type="character" w:customStyle="1" w:styleId="162">
    <w:name w:val="font161"/>
    <w:qFormat/>
    <w:uiPriority w:val="0"/>
    <w:rPr>
      <w:b/>
      <w:bCs/>
      <w:sz w:val="32"/>
      <w:szCs w:val="32"/>
    </w:rPr>
  </w:style>
  <w:style w:type="character" w:customStyle="1" w:styleId="163">
    <w:name w:val="Char Char12"/>
    <w:uiPriority w:val="0"/>
    <w:rPr>
      <w:rFonts w:ascii="Cambria" w:hAnsi="Cambria" w:eastAsia="宋体"/>
      <w:kern w:val="2"/>
      <w:sz w:val="24"/>
      <w:lang w:val="en-US" w:eastAsia="zh-CN"/>
    </w:rPr>
  </w:style>
  <w:style w:type="character" w:customStyle="1" w:styleId="164">
    <w:name w:val="标题 1 Char1"/>
    <w:uiPriority w:val="0"/>
    <w:rPr>
      <w:rFonts w:eastAsia="宋体"/>
      <w:b/>
      <w:kern w:val="44"/>
      <w:sz w:val="44"/>
      <w:lang w:val="en-US" w:eastAsia="zh-CN"/>
    </w:rPr>
  </w:style>
  <w:style w:type="character" w:customStyle="1" w:styleId="165">
    <w:name w:val="日期 Char1"/>
    <w:qFormat/>
    <w:uiPriority w:val="0"/>
    <w:rPr>
      <w:kern w:val="2"/>
      <w:sz w:val="21"/>
      <w:szCs w:val="22"/>
    </w:rPr>
  </w:style>
  <w:style w:type="character" w:customStyle="1" w:styleId="166">
    <w:name w:val="批注文字 Char Char"/>
    <w:qFormat/>
    <w:uiPriority w:val="0"/>
    <w:rPr>
      <w:rFonts w:ascii="宋体" w:hAnsi="Times New Roman" w:eastAsia="宋体" w:cs="Times New Roman"/>
      <w:sz w:val="28"/>
      <w:szCs w:val="20"/>
    </w:rPr>
  </w:style>
  <w:style w:type="character" w:customStyle="1" w:styleId="167">
    <w:name w:val="附表标题 Char"/>
    <w:link w:val="78"/>
    <w:qFormat/>
    <w:uiPriority w:val="0"/>
    <w:rPr>
      <w:rFonts w:ascii="黑体" w:hAnsi="宋体" w:eastAsia="黑体"/>
      <w:bCs/>
      <w:sz w:val="24"/>
      <w:szCs w:val="24"/>
    </w:rPr>
  </w:style>
  <w:style w:type="character" w:customStyle="1" w:styleId="168">
    <w:name w:val="页脚 Char1"/>
    <w:semiHidden/>
    <w:qFormat/>
    <w:uiPriority w:val="0"/>
    <w:rPr>
      <w:sz w:val="18"/>
      <w:szCs w:val="18"/>
    </w:rPr>
  </w:style>
  <w:style w:type="character" w:customStyle="1" w:styleId="169">
    <w:name w:val="文档结构图 Char2"/>
    <w:semiHidden/>
    <w:qFormat/>
    <w:uiPriority w:val="0"/>
    <w:rPr>
      <w:rFonts w:ascii="宋体" w:eastAsia="宋体"/>
      <w:sz w:val="18"/>
      <w:szCs w:val="18"/>
    </w:rPr>
  </w:style>
  <w:style w:type="character" w:customStyle="1" w:styleId="170">
    <w:name w:val="样式1 Char"/>
    <w:qFormat/>
    <w:uiPriority w:val="0"/>
    <w:rPr>
      <w:rFonts w:ascii="宋体" w:eastAsia="宋体"/>
      <w:kern w:val="2"/>
      <w:sz w:val="24"/>
      <w:szCs w:val="24"/>
      <w:lang w:val="en-US" w:eastAsia="zh-CN" w:bidi="ar-SA"/>
    </w:rPr>
  </w:style>
  <w:style w:type="character" w:customStyle="1" w:styleId="171">
    <w:name w:val="标题 6 Char1"/>
    <w:qFormat/>
    <w:uiPriority w:val="0"/>
    <w:rPr>
      <w:rFonts w:ascii="Cambria" w:hAnsi="Cambria" w:eastAsia="宋体"/>
      <w:b/>
      <w:bCs/>
      <w:kern w:val="2"/>
      <w:sz w:val="24"/>
      <w:szCs w:val="24"/>
      <w:lang w:val="en-US" w:eastAsia="zh-CN" w:bidi="ar-SA"/>
    </w:rPr>
  </w:style>
  <w:style w:type="character" w:customStyle="1" w:styleId="172">
    <w:name w:val="Char Char29"/>
    <w:qFormat/>
    <w:uiPriority w:val="0"/>
    <w:rPr>
      <w:rFonts w:ascii="Calibri" w:hAnsi="Calibri" w:eastAsia="宋体"/>
      <w:b/>
      <w:bCs/>
      <w:kern w:val="2"/>
      <w:sz w:val="28"/>
      <w:szCs w:val="28"/>
      <w:lang w:val="en-US" w:eastAsia="zh-CN" w:bidi="ar-SA"/>
    </w:rPr>
  </w:style>
  <w:style w:type="character" w:customStyle="1" w:styleId="173">
    <w:name w:val="Heading 2 Char"/>
    <w:basedOn w:val="55"/>
    <w:locked/>
    <w:uiPriority w:val="0"/>
    <w:rPr>
      <w:rFonts w:ascii="黑体" w:hAnsi="黑体" w:eastAsia="黑体" w:cs="Times New Roman"/>
      <w:sz w:val="32"/>
    </w:rPr>
  </w:style>
  <w:style w:type="character" w:customStyle="1" w:styleId="174">
    <w:name w:val="标题 2 字符"/>
    <w:qFormat/>
    <w:uiPriority w:val="0"/>
    <w:rPr>
      <w:rFonts w:ascii="Cambria" w:hAnsi="Cambria" w:eastAsia="宋体" w:cs="Times New Roman"/>
      <w:b/>
      <w:bCs/>
      <w:sz w:val="32"/>
      <w:szCs w:val="32"/>
    </w:rPr>
  </w:style>
  <w:style w:type="character" w:customStyle="1" w:styleId="175">
    <w:name w:val="标题 7 Char"/>
    <w:basedOn w:val="55"/>
    <w:link w:val="11"/>
    <w:qFormat/>
    <w:uiPriority w:val="0"/>
    <w:rPr>
      <w:rFonts w:ascii="宋体" w:hAnsi="Times New Roman" w:eastAsia="宋体" w:cs="Times New Roman"/>
      <w:b/>
      <w:color w:val="000000"/>
      <w:kern w:val="0"/>
      <w:sz w:val="24"/>
      <w:szCs w:val="20"/>
    </w:rPr>
  </w:style>
  <w:style w:type="character" w:customStyle="1" w:styleId="176">
    <w:name w:val="Intense Quote Char1"/>
    <w:basedOn w:val="55"/>
    <w:locked/>
    <w:uiPriority w:val="0"/>
    <w:rPr>
      <w:rFonts w:ascii="Times New Roman" w:hAnsi="Times New Roman" w:cs="Times New Roman"/>
      <w:b/>
      <w:bCs/>
      <w:i/>
      <w:iCs/>
      <w:color w:val="4F81BD"/>
      <w:sz w:val="24"/>
      <w:szCs w:val="24"/>
    </w:rPr>
  </w:style>
  <w:style w:type="character" w:customStyle="1" w:styleId="177">
    <w:name w:val="sect1.2.3 Char1"/>
    <w:aliases w:val="3 Char1,h3 Char1,L1 Heading 3 Char1,h31 Char1,h32 Char1,h33 Char1,h311 Char1,h321 Char1,h34 Char1,h312 Char1,h322 Char1,h331 Char1,h3111 Char1,h3211 Char1,h35 Char1,h313 Char1,h323 Char1,h36 Char1,h314 Char1,h324 Char1,h37 Char1,h39 Cha"/>
    <w:qFormat/>
    <w:uiPriority w:val="0"/>
    <w:rPr>
      <w:rFonts w:eastAsia="宋体"/>
      <w:b/>
      <w:bCs/>
      <w:kern w:val="2"/>
      <w:sz w:val="32"/>
      <w:szCs w:val="32"/>
      <w:lang w:val="en-US" w:eastAsia="zh-CN" w:bidi="ar-SA"/>
    </w:rPr>
  </w:style>
  <w:style w:type="character" w:customStyle="1" w:styleId="178">
    <w:name w:val="标题 5 Char1"/>
    <w:qFormat/>
    <w:uiPriority w:val="0"/>
    <w:rPr>
      <w:rFonts w:ascii="Calibri" w:hAnsi="Calibri" w:eastAsia="宋体"/>
      <w:b/>
      <w:bCs/>
      <w:kern w:val="2"/>
      <w:sz w:val="28"/>
      <w:szCs w:val="28"/>
      <w:lang w:val="en-US" w:eastAsia="zh-CN" w:bidi="ar-SA"/>
    </w:rPr>
  </w:style>
  <w:style w:type="character" w:customStyle="1" w:styleId="179">
    <w:name w:val="CODE"/>
    <w:qFormat/>
    <w:uiPriority w:val="0"/>
    <w:rPr>
      <w:rFonts w:ascii="Courier New" w:hAnsi="Courier New"/>
      <w:sz w:val="20"/>
    </w:rPr>
  </w:style>
  <w:style w:type="character" w:customStyle="1" w:styleId="180">
    <w:name w:val="普通文字 Char Char1"/>
    <w:qFormat/>
    <w:locked/>
    <w:uiPriority w:val="0"/>
    <w:rPr>
      <w:rFonts w:ascii="宋体" w:hAnsi="Courier New" w:eastAsia="宋体"/>
      <w:kern w:val="2"/>
      <w:sz w:val="24"/>
      <w:lang w:val="en-US" w:eastAsia="zh-CN" w:bidi="ar-SA"/>
    </w:rPr>
  </w:style>
  <w:style w:type="character" w:customStyle="1" w:styleId="181">
    <w:name w:val="副标题 Char1"/>
    <w:qFormat/>
    <w:uiPriority w:val="0"/>
    <w:rPr>
      <w:rFonts w:ascii="方正综艺简体" w:hAnsi="方正综艺简体" w:cs="方正综艺简体"/>
      <w:b/>
      <w:bCs/>
      <w:kern w:val="28"/>
      <w:sz w:val="32"/>
      <w:szCs w:val="32"/>
    </w:rPr>
  </w:style>
  <w:style w:type="character" w:customStyle="1" w:styleId="182">
    <w:name w:val="签名 Char"/>
    <w:link w:val="36"/>
    <w:qFormat/>
    <w:uiPriority w:val="0"/>
    <w:rPr>
      <w:spacing w:val="12"/>
      <w:sz w:val="24"/>
    </w:rPr>
  </w:style>
  <w:style w:type="character" w:customStyle="1" w:styleId="183">
    <w:name w:val="正文文本 Char5"/>
    <w:basedOn w:val="55"/>
    <w:link w:val="3"/>
    <w:semiHidden/>
    <w:qFormat/>
    <w:uiPriority w:val="99"/>
    <w:rPr>
      <w:rFonts w:ascii="Times New Roman" w:hAnsi="Times New Roman" w:eastAsia="宋体" w:cs="Times New Roman"/>
      <w:kern w:val="0"/>
      <w:szCs w:val="20"/>
    </w:rPr>
  </w:style>
  <w:style w:type="character" w:customStyle="1" w:styleId="184">
    <w:name w:val="Body Text 2 Char"/>
    <w:basedOn w:val="55"/>
    <w:locked/>
    <w:uiPriority w:val="0"/>
    <w:rPr>
      <w:rFonts w:ascii="宋体" w:hAnsi="宋体" w:eastAsia="宋体" w:cs="Times New Roman"/>
      <w:sz w:val="24"/>
      <w:szCs w:val="24"/>
    </w:rPr>
  </w:style>
  <w:style w:type="character" w:customStyle="1" w:styleId="185">
    <w:name w:val="普通(网站) Char Char"/>
    <w:qFormat/>
    <w:uiPriority w:val="0"/>
    <w:rPr>
      <w:rFonts w:ascii="宋体" w:hAnsi="宋体" w:eastAsia="宋体"/>
      <w:sz w:val="24"/>
      <w:lang w:val="en-US" w:eastAsia="zh-CN" w:bidi="ar-SA"/>
    </w:rPr>
  </w:style>
  <w:style w:type="character" w:customStyle="1" w:styleId="186">
    <w:name w:val="正文 + (中文) 仿宋_GB2312 Char Char"/>
    <w:link w:val="187"/>
    <w:qFormat/>
    <w:uiPriority w:val="0"/>
    <w:rPr>
      <w:rFonts w:ascii="仿宋_GB2312" w:hAnsi="宋体" w:eastAsia="仿宋_GB2312"/>
      <w:sz w:val="24"/>
      <w:szCs w:val="24"/>
    </w:rPr>
  </w:style>
  <w:style w:type="paragraph" w:customStyle="1" w:styleId="187">
    <w:name w:val="正文 + (中文) 仿宋_GB2312"/>
    <w:basedOn w:val="1"/>
    <w:link w:val="186"/>
    <w:qFormat/>
    <w:uiPriority w:val="0"/>
    <w:pPr>
      <w:widowControl w:val="0"/>
      <w:adjustRightInd w:val="0"/>
      <w:snapToGrid w:val="0"/>
      <w:spacing w:line="360" w:lineRule="exact"/>
      <w:ind w:firstLine="408" w:firstLineChars="170"/>
      <w:jc w:val="both"/>
      <w:textAlignment w:val="baseline"/>
    </w:pPr>
    <w:rPr>
      <w:rFonts w:ascii="仿宋_GB2312" w:hAnsi="宋体" w:eastAsia="仿宋_GB2312" w:cs="Times New Roman"/>
      <w:kern w:val="2"/>
      <w:sz w:val="24"/>
      <w:szCs w:val="24"/>
    </w:rPr>
  </w:style>
  <w:style w:type="character" w:customStyle="1" w:styleId="188">
    <w:name w:val="标题 4 Char"/>
    <w:basedOn w:val="55"/>
    <w:link w:val="7"/>
    <w:qFormat/>
    <w:uiPriority w:val="0"/>
    <w:rPr>
      <w:rFonts w:ascii="宋体" w:hAnsi="Arial" w:eastAsia="宋体" w:cs="Times New Roman"/>
      <w:color w:val="000000"/>
      <w:kern w:val="0"/>
      <w:szCs w:val="20"/>
    </w:rPr>
  </w:style>
  <w:style w:type="character" w:customStyle="1" w:styleId="189">
    <w:name w:val="Body Text Indent 2 Char"/>
    <w:basedOn w:val="55"/>
    <w:locked/>
    <w:uiPriority w:val="0"/>
    <w:rPr>
      <w:rFonts w:ascii="宋体" w:hAnsi="MS Sans Serif" w:eastAsia="宋体" w:cs="Times New Roman"/>
      <w:spacing w:val="12"/>
      <w:kern w:val="0"/>
      <w:sz w:val="20"/>
      <w:szCs w:val="20"/>
    </w:rPr>
  </w:style>
  <w:style w:type="character" w:customStyle="1" w:styleId="190">
    <w:name w:val="Char Char2"/>
    <w:uiPriority w:val="0"/>
    <w:rPr>
      <w:rFonts w:ascii="Cambria" w:hAnsi="Cambria"/>
      <w:b/>
      <w:kern w:val="28"/>
      <w:sz w:val="32"/>
    </w:rPr>
  </w:style>
  <w:style w:type="character" w:customStyle="1" w:styleId="191">
    <w:name w:val="副标题 Char"/>
    <w:link w:val="39"/>
    <w:qFormat/>
    <w:uiPriority w:val="0"/>
    <w:rPr>
      <w:rFonts w:ascii="Cambria" w:hAnsi="Cambria"/>
      <w:b/>
      <w:bCs/>
      <w:kern w:val="28"/>
      <w:sz w:val="32"/>
      <w:szCs w:val="32"/>
    </w:rPr>
  </w:style>
  <w:style w:type="character" w:customStyle="1" w:styleId="192">
    <w:name w:val="Char Char252"/>
    <w:uiPriority w:val="0"/>
    <w:rPr>
      <w:rFonts w:ascii="Cambria" w:hAnsi="Cambria" w:eastAsia="宋体"/>
      <w:kern w:val="2"/>
      <w:sz w:val="21"/>
      <w:lang w:val="en-US" w:eastAsia="zh-CN"/>
    </w:rPr>
  </w:style>
  <w:style w:type="character" w:customStyle="1" w:styleId="193">
    <w:name w:val="页脚 Char Char"/>
    <w:qFormat/>
    <w:uiPriority w:val="0"/>
    <w:rPr>
      <w:rFonts w:eastAsia="宋体"/>
      <w:kern w:val="2"/>
      <w:sz w:val="18"/>
      <w:lang w:val="en-US" w:eastAsia="zh-CN" w:bidi="ar-SA"/>
    </w:rPr>
  </w:style>
  <w:style w:type="character" w:customStyle="1" w:styleId="194">
    <w:name w:val="页眉 Char"/>
    <w:link w:val="35"/>
    <w:qFormat/>
    <w:uiPriority w:val="0"/>
    <w:rPr>
      <w:rFonts w:ascii="Times New Roman" w:hAnsi="Times New Roman" w:eastAsia="宋体" w:cs="Times New Roman"/>
      <w:kern w:val="0"/>
      <w:sz w:val="18"/>
      <w:szCs w:val="18"/>
    </w:rPr>
  </w:style>
  <w:style w:type="character" w:customStyle="1" w:styleId="195">
    <w:name w:val="样式 行距: 1.5 倍行距 Char Char"/>
    <w:link w:val="196"/>
    <w:qFormat/>
    <w:uiPriority w:val="0"/>
    <w:rPr>
      <w:rFonts w:ascii="Arial" w:hAnsi="Arial" w:cs="宋体"/>
      <w:sz w:val="24"/>
    </w:rPr>
  </w:style>
  <w:style w:type="paragraph" w:customStyle="1" w:styleId="196">
    <w:name w:val="样式 行距: 1.5 倍行距"/>
    <w:basedOn w:val="1"/>
    <w:link w:val="195"/>
    <w:qFormat/>
    <w:uiPriority w:val="0"/>
    <w:pPr>
      <w:widowControl w:val="0"/>
      <w:spacing w:line="360" w:lineRule="auto"/>
      <w:ind w:firstLine="480" w:firstLineChars="200"/>
      <w:jc w:val="both"/>
    </w:pPr>
    <w:rPr>
      <w:rFonts w:ascii="Arial" w:hAnsi="Arial" w:eastAsia="宋体" w:cs="宋体"/>
      <w:kern w:val="2"/>
      <w:sz w:val="24"/>
      <w:szCs w:val="22"/>
    </w:rPr>
  </w:style>
  <w:style w:type="character" w:customStyle="1" w:styleId="197">
    <w:name w:val="手改 Char"/>
    <w:semiHidden/>
    <w:qFormat/>
    <w:locked/>
    <w:uiPriority w:val="0"/>
    <w:rPr>
      <w:rFonts w:eastAsia="宋体"/>
      <w:sz w:val="24"/>
      <w:lang w:val="en-US" w:eastAsia="zh-CN" w:bidi="ar-SA"/>
    </w:rPr>
  </w:style>
  <w:style w:type="character" w:customStyle="1" w:styleId="198">
    <w:name w:val="正文文本 Char3"/>
    <w:qFormat/>
    <w:uiPriority w:val="99"/>
    <w:rPr>
      <w:kern w:val="2"/>
      <w:sz w:val="21"/>
      <w:szCs w:val="24"/>
    </w:rPr>
  </w:style>
  <w:style w:type="character" w:customStyle="1" w:styleId="199">
    <w:name w:val="附表正文 Char"/>
    <w:link w:val="200"/>
    <w:qFormat/>
    <w:locked/>
    <w:uiPriority w:val="0"/>
    <w:rPr>
      <w:rFonts w:ascii="宋体"/>
    </w:rPr>
  </w:style>
  <w:style w:type="paragraph" w:customStyle="1" w:styleId="200">
    <w:name w:val="附表正文"/>
    <w:basedOn w:val="1"/>
    <w:link w:val="199"/>
    <w:qFormat/>
    <w:uiPriority w:val="0"/>
    <w:pPr>
      <w:widowControl w:val="0"/>
      <w:spacing w:line="400" w:lineRule="exact"/>
      <w:jc w:val="both"/>
    </w:pPr>
    <w:rPr>
      <w:rFonts w:ascii="宋体" w:hAnsi="Calibri" w:eastAsia="宋体" w:cs="Times New Roman"/>
      <w:kern w:val="2"/>
      <w:szCs w:val="22"/>
    </w:rPr>
  </w:style>
  <w:style w:type="character" w:customStyle="1" w:styleId="201">
    <w:name w:val="标题5 Char Char"/>
    <w:link w:val="202"/>
    <w:qFormat/>
    <w:uiPriority w:val="0"/>
    <w:rPr>
      <w:rFonts w:ascii="Arial" w:hAnsi="Arial"/>
      <w:b/>
      <w:bCs/>
      <w:sz w:val="24"/>
      <w:szCs w:val="32"/>
    </w:rPr>
  </w:style>
  <w:style w:type="paragraph" w:customStyle="1" w:styleId="202">
    <w:name w:val="标题5"/>
    <w:basedOn w:val="6"/>
    <w:link w:val="201"/>
    <w:qFormat/>
    <w:uiPriority w:val="0"/>
    <w:pPr>
      <w:widowControl w:val="0"/>
      <w:spacing w:before="0" w:after="0" w:line="400" w:lineRule="exact"/>
      <w:jc w:val="both"/>
    </w:pPr>
    <w:rPr>
      <w:rFonts w:ascii="Arial" w:hAnsi="Arial" w:eastAsia="宋体" w:cs="Times New Roman"/>
      <w:kern w:val="2"/>
      <w:sz w:val="24"/>
    </w:rPr>
  </w:style>
  <w:style w:type="character" w:customStyle="1" w:styleId="203">
    <w:name w:val="引用 Char3"/>
    <w:basedOn w:val="55"/>
    <w:qFormat/>
    <w:uiPriority w:val="99"/>
    <w:rPr>
      <w:i/>
      <w:iCs/>
      <w:color w:val="000000"/>
      <w:sz w:val="21"/>
    </w:rPr>
  </w:style>
  <w:style w:type="character" w:customStyle="1" w:styleId="204">
    <w:name w:val="Body Text First Indent Char"/>
    <w:basedOn w:val="205"/>
    <w:locked/>
    <w:uiPriority w:val="0"/>
    <w:rPr>
      <w:rFonts w:ascii="Times New Roman" w:eastAsia="宋体" w:cs="Times New Roman"/>
      <w:sz w:val="24"/>
      <w:szCs w:val="24"/>
    </w:rPr>
  </w:style>
  <w:style w:type="character" w:customStyle="1" w:styleId="205">
    <w:name w:val="正文文本 Char4"/>
    <w:qFormat/>
    <w:uiPriority w:val="0"/>
    <w:rPr>
      <w:rFonts w:ascii="楷体_GB2312" w:hAnsi="Times New Roman" w:eastAsia="楷体_GB2312"/>
      <w:kern w:val="2"/>
      <w:sz w:val="32"/>
    </w:rPr>
  </w:style>
  <w:style w:type="character" w:customStyle="1" w:styleId="206">
    <w:name w:val="Char Char242"/>
    <w:uiPriority w:val="0"/>
    <w:rPr>
      <w:rFonts w:ascii="Cambria" w:hAnsi="Cambria"/>
      <w:b/>
      <w:kern w:val="28"/>
      <w:sz w:val="32"/>
    </w:rPr>
  </w:style>
  <w:style w:type="character" w:customStyle="1" w:styleId="207">
    <w:name w:val="Intense Emphasis"/>
    <w:qFormat/>
    <w:uiPriority w:val="0"/>
    <w:rPr>
      <w:b/>
      <w:bCs/>
      <w:i/>
      <w:iCs/>
      <w:color w:val="4F81BD"/>
    </w:rPr>
  </w:style>
  <w:style w:type="character" w:customStyle="1" w:styleId="208">
    <w:name w:val="表格正文 Char"/>
    <w:link w:val="209"/>
    <w:qFormat/>
    <w:locked/>
    <w:uiPriority w:val="0"/>
    <w:rPr>
      <w:rFonts w:ascii="宋体"/>
      <w:sz w:val="24"/>
    </w:rPr>
  </w:style>
  <w:style w:type="paragraph" w:customStyle="1" w:styleId="209">
    <w:name w:val="表格正文"/>
    <w:basedOn w:val="1"/>
    <w:link w:val="208"/>
    <w:qFormat/>
    <w:uiPriority w:val="0"/>
    <w:pPr>
      <w:widowControl w:val="0"/>
      <w:spacing w:line="400" w:lineRule="exact"/>
      <w:ind w:firstLine="100" w:firstLineChars="100"/>
      <w:jc w:val="both"/>
    </w:pPr>
    <w:rPr>
      <w:rFonts w:ascii="宋体" w:hAnsi="Calibri" w:eastAsia="宋体" w:cs="Times New Roman"/>
      <w:kern w:val="2"/>
      <w:sz w:val="24"/>
      <w:szCs w:val="22"/>
    </w:rPr>
  </w:style>
  <w:style w:type="character" w:customStyle="1" w:styleId="210">
    <w:name w:val="文档结构图 Char3"/>
    <w:basedOn w:val="55"/>
    <w:semiHidden/>
    <w:qFormat/>
    <w:uiPriority w:val="99"/>
    <w:rPr>
      <w:rFonts w:ascii="Microsoft YaHei UI" w:hAnsi="Times New Roman" w:eastAsia="Microsoft YaHei UI" w:cs="Times New Roman"/>
      <w:kern w:val="0"/>
      <w:sz w:val="18"/>
      <w:szCs w:val="18"/>
    </w:rPr>
  </w:style>
  <w:style w:type="character" w:customStyle="1" w:styleId="211">
    <w:name w:val="Quote Char1"/>
    <w:basedOn w:val="55"/>
    <w:locked/>
    <w:uiPriority w:val="0"/>
    <w:rPr>
      <w:rFonts w:ascii="Times New Roman" w:hAnsi="Times New Roman" w:cs="Times New Roman"/>
      <w:i/>
      <w:iCs/>
      <w:color w:val="000000"/>
      <w:sz w:val="24"/>
      <w:szCs w:val="24"/>
    </w:rPr>
  </w:style>
  <w:style w:type="character" w:customStyle="1" w:styleId="212">
    <w:name w:val="Char Char7"/>
    <w:uiPriority w:val="0"/>
    <w:rPr>
      <w:rFonts w:eastAsia="宋体"/>
      <w:kern w:val="2"/>
      <w:sz w:val="18"/>
      <w:lang w:val="en-US" w:eastAsia="zh-CN"/>
    </w:rPr>
  </w:style>
  <w:style w:type="character" w:customStyle="1" w:styleId="213">
    <w:name w:val="zbggmain style9"/>
    <w:basedOn w:val="55"/>
    <w:qFormat/>
    <w:uiPriority w:val="0"/>
    <w:rPr>
      <w:rFonts w:ascii="Tahoma" w:hAnsi="Tahoma"/>
      <w:sz w:val="24"/>
      <w:szCs w:val="20"/>
    </w:rPr>
  </w:style>
  <w:style w:type="character" w:customStyle="1" w:styleId="214">
    <w:name w:val="Comment"/>
    <w:qFormat/>
    <w:uiPriority w:val="0"/>
    <w:rPr>
      <w:vanish/>
    </w:rPr>
  </w:style>
  <w:style w:type="character" w:customStyle="1" w:styleId="215">
    <w:name w:val="称呼 Char2"/>
    <w:basedOn w:val="55"/>
    <w:semiHidden/>
    <w:qFormat/>
    <w:uiPriority w:val="99"/>
    <w:rPr>
      <w:rFonts w:ascii="Times New Roman" w:hAnsi="Times New Roman" w:eastAsia="宋体" w:cs="Times New Roman"/>
      <w:kern w:val="0"/>
      <w:szCs w:val="20"/>
    </w:rPr>
  </w:style>
  <w:style w:type="character" w:customStyle="1" w:styleId="216">
    <w:name w:val="日期 Char3"/>
    <w:qFormat/>
    <w:uiPriority w:val="0"/>
    <w:rPr>
      <w:rFonts w:ascii="宋体" w:eastAsia="宋体"/>
      <w:sz w:val="24"/>
      <w:lang w:val="en-US" w:eastAsia="zh-CN" w:bidi="ar-SA"/>
    </w:rPr>
  </w:style>
  <w:style w:type="character" w:customStyle="1" w:styleId="217">
    <w:name w:val="Char Char241"/>
    <w:uiPriority w:val="0"/>
    <w:rPr>
      <w:rFonts w:ascii="Cambria" w:hAnsi="Cambria"/>
      <w:b/>
      <w:kern w:val="28"/>
      <w:sz w:val="32"/>
    </w:rPr>
  </w:style>
  <w:style w:type="character" w:customStyle="1" w:styleId="218">
    <w:name w:val="纯文本 Char"/>
    <w:link w:val="29"/>
    <w:qFormat/>
    <w:uiPriority w:val="0"/>
    <w:rPr>
      <w:rFonts w:ascii="宋体" w:hAnsi="Courier New" w:eastAsia="宋体"/>
    </w:rPr>
  </w:style>
  <w:style w:type="character" w:customStyle="1" w:styleId="219">
    <w:name w:val="Char Char301"/>
    <w:uiPriority w:val="0"/>
    <w:rPr>
      <w:rFonts w:ascii="Cambria" w:hAnsi="Cambria" w:eastAsia="宋体"/>
      <w:b/>
      <w:kern w:val="2"/>
      <w:sz w:val="28"/>
      <w:lang w:val="en-US" w:eastAsia="zh-CN"/>
    </w:rPr>
  </w:style>
  <w:style w:type="character" w:customStyle="1" w:styleId="220">
    <w:name w:val="Char Char33"/>
    <w:qFormat/>
    <w:uiPriority w:val="0"/>
    <w:rPr>
      <w:rFonts w:ascii="Calibri" w:hAnsi="Calibri" w:eastAsia="宋体"/>
      <w:b/>
      <w:bCs/>
      <w:kern w:val="44"/>
      <w:sz w:val="44"/>
      <w:szCs w:val="44"/>
      <w:lang w:val="en-US" w:eastAsia="zh-CN" w:bidi="ar-SA"/>
    </w:rPr>
  </w:style>
  <w:style w:type="character" w:customStyle="1" w:styleId="221">
    <w:name w:val="正文文本 3 Char2"/>
    <w:basedOn w:val="55"/>
    <w:semiHidden/>
    <w:qFormat/>
    <w:uiPriority w:val="99"/>
    <w:rPr>
      <w:rFonts w:ascii="Times New Roman" w:hAnsi="Times New Roman" w:eastAsia="宋体" w:cs="Times New Roman"/>
      <w:kern w:val="0"/>
      <w:sz w:val="16"/>
      <w:szCs w:val="16"/>
    </w:rPr>
  </w:style>
  <w:style w:type="character" w:customStyle="1" w:styleId="222">
    <w:name w:val="批注主题 Char"/>
    <w:link w:val="51"/>
    <w:qFormat/>
    <w:uiPriority w:val="0"/>
    <w:rPr>
      <w:rFonts w:ascii="Times New Roman" w:hAnsi="Times New Roman"/>
      <w:b/>
      <w:bCs/>
    </w:rPr>
  </w:style>
  <w:style w:type="character" w:customStyle="1" w:styleId="223">
    <w:name w:val="Body Text Indent Char"/>
    <w:basedOn w:val="55"/>
    <w:locked/>
    <w:uiPriority w:val="0"/>
    <w:rPr>
      <w:rFonts w:ascii="宋体" w:hAnsi="宋体" w:eastAsia="宋体" w:cs="Times New Roman"/>
      <w:sz w:val="24"/>
      <w:szCs w:val="24"/>
    </w:rPr>
  </w:style>
  <w:style w:type="character" w:customStyle="1" w:styleId="224">
    <w:name w:val="标题 Char1"/>
    <w:qFormat/>
    <w:uiPriority w:val="0"/>
    <w:rPr>
      <w:rFonts w:ascii="Calibri Light" w:hAnsi="Calibri Light" w:cs="Times New Roman"/>
      <w:b/>
      <w:bCs/>
      <w:kern w:val="2"/>
      <w:sz w:val="32"/>
      <w:szCs w:val="32"/>
    </w:rPr>
  </w:style>
  <w:style w:type="character" w:customStyle="1" w:styleId="225">
    <w:name w:val="Char Char292"/>
    <w:uiPriority w:val="0"/>
    <w:rPr>
      <w:rFonts w:ascii="Calibri" w:hAnsi="Calibri" w:eastAsia="宋体"/>
      <w:b/>
      <w:kern w:val="2"/>
      <w:sz w:val="28"/>
      <w:lang w:val="en-US" w:eastAsia="zh-CN"/>
    </w:rPr>
  </w:style>
  <w:style w:type="character" w:customStyle="1" w:styleId="226">
    <w:name w:val="blue1"/>
    <w:basedOn w:val="55"/>
    <w:qFormat/>
    <w:uiPriority w:val="0"/>
    <w:rPr>
      <w:rFonts w:ascii="Tahoma" w:hAnsi="Tahoma"/>
      <w:sz w:val="24"/>
      <w:szCs w:val="20"/>
    </w:rPr>
  </w:style>
  <w:style w:type="character" w:customStyle="1" w:styleId="227">
    <w:name w:val="text1"/>
    <w:qFormat/>
    <w:uiPriority w:val="0"/>
    <w:rPr>
      <w:spacing w:val="144"/>
      <w:sz w:val="18"/>
      <w:szCs w:val="18"/>
    </w:rPr>
  </w:style>
  <w:style w:type="character" w:customStyle="1" w:styleId="228">
    <w:name w:val="正文首行缩进 Char2"/>
    <w:basedOn w:val="183"/>
    <w:semiHidden/>
    <w:qFormat/>
    <w:uiPriority w:val="99"/>
    <w:rPr>
      <w:rFonts w:ascii="Times New Roman" w:hAnsi="Times New Roman" w:eastAsia="宋体" w:cs="Times New Roman"/>
      <w:kern w:val="0"/>
      <w:szCs w:val="20"/>
    </w:rPr>
  </w:style>
  <w:style w:type="character" w:customStyle="1" w:styleId="229">
    <w:name w:val="Heading 5 Char"/>
    <w:basedOn w:val="55"/>
    <w:locked/>
    <w:uiPriority w:val="0"/>
    <w:rPr>
      <w:rFonts w:ascii="Calibri" w:hAnsi="Calibri" w:eastAsia="宋体" w:cs="Times New Roman"/>
      <w:b/>
      <w:sz w:val="28"/>
    </w:rPr>
  </w:style>
  <w:style w:type="character" w:customStyle="1" w:styleId="230">
    <w:name w:val="Sample"/>
    <w:qFormat/>
    <w:uiPriority w:val="0"/>
    <w:rPr>
      <w:rFonts w:ascii="Courier New" w:hAnsi="Courier New"/>
    </w:rPr>
  </w:style>
  <w:style w:type="character" w:customStyle="1" w:styleId="231">
    <w:name w:val="标题 1 Char"/>
    <w:basedOn w:val="55"/>
    <w:link w:val="4"/>
    <w:qFormat/>
    <w:uiPriority w:val="0"/>
    <w:rPr>
      <w:rFonts w:ascii="宋体" w:hAnsi="Times New Roman" w:eastAsia="宋体" w:cs="Times New Roman"/>
      <w:b/>
      <w:kern w:val="44"/>
      <w:sz w:val="24"/>
      <w:szCs w:val="20"/>
    </w:rPr>
  </w:style>
  <w:style w:type="character" w:customStyle="1" w:styleId="232">
    <w:name w:val="纯文本 Char1"/>
    <w:basedOn w:val="55"/>
    <w:semiHidden/>
    <w:qFormat/>
    <w:uiPriority w:val="99"/>
    <w:rPr>
      <w:rFonts w:ascii="宋体" w:hAnsi="Courier New" w:eastAsia="宋体" w:cs="Courier New"/>
      <w:kern w:val="0"/>
      <w:szCs w:val="21"/>
    </w:rPr>
  </w:style>
  <w:style w:type="character" w:customStyle="1" w:styleId="233">
    <w:name w:val="Subtle Reference"/>
    <w:qFormat/>
    <w:uiPriority w:val="0"/>
    <w:rPr>
      <w:smallCaps/>
      <w:color w:val="C0504D"/>
      <w:u w:val="single"/>
    </w:rPr>
  </w:style>
  <w:style w:type="character" w:customStyle="1" w:styleId="234">
    <w:name w:val="Subtitle Char1"/>
    <w:basedOn w:val="55"/>
    <w:locked/>
    <w:uiPriority w:val="0"/>
    <w:rPr>
      <w:rFonts w:ascii="Cambria" w:hAnsi="Cambria" w:cs="Times New Roman"/>
      <w:b/>
      <w:bCs/>
      <w:kern w:val="28"/>
      <w:sz w:val="32"/>
      <w:szCs w:val="32"/>
    </w:rPr>
  </w:style>
  <w:style w:type="character" w:customStyle="1" w:styleId="235">
    <w:name w:val="Body Text Char"/>
    <w:locked/>
    <w:uiPriority w:val="0"/>
  </w:style>
  <w:style w:type="character" w:customStyle="1" w:styleId="236">
    <w:name w:val="批注框文本 Char3"/>
    <w:basedOn w:val="55"/>
    <w:semiHidden/>
    <w:qFormat/>
    <w:uiPriority w:val="99"/>
    <w:rPr>
      <w:rFonts w:ascii="Times New Roman" w:hAnsi="Times New Roman" w:eastAsia="宋体" w:cs="Times New Roman"/>
      <w:kern w:val="0"/>
      <w:sz w:val="18"/>
      <w:szCs w:val="18"/>
    </w:rPr>
  </w:style>
  <w:style w:type="character" w:customStyle="1" w:styleId="237">
    <w:name w:val="HTML 预设格式 Char1"/>
    <w:basedOn w:val="55"/>
    <w:semiHidden/>
    <w:qFormat/>
    <w:uiPriority w:val="99"/>
    <w:rPr>
      <w:rFonts w:ascii="Courier New" w:hAnsi="Courier New" w:eastAsia="宋体" w:cs="Courier New"/>
      <w:kern w:val="0"/>
      <w:sz w:val="20"/>
      <w:szCs w:val="20"/>
    </w:rPr>
  </w:style>
  <w:style w:type="character" w:customStyle="1" w:styleId="238">
    <w:name w:val="不明显强调"/>
    <w:uiPriority w:val="0"/>
    <w:rPr>
      <w:i/>
      <w:color w:val="808080"/>
    </w:rPr>
  </w:style>
  <w:style w:type="character" w:customStyle="1" w:styleId="239">
    <w:name w:val="副标题 Char2"/>
    <w:qFormat/>
    <w:uiPriority w:val="0"/>
    <w:rPr>
      <w:rFonts w:ascii="Calibri Light" w:hAnsi="Calibri Light" w:cs="Times New Roman"/>
      <w:b/>
      <w:bCs/>
      <w:kern w:val="28"/>
      <w:sz w:val="32"/>
      <w:szCs w:val="32"/>
    </w:rPr>
  </w:style>
  <w:style w:type="character" w:customStyle="1" w:styleId="240">
    <w:name w:val="Body Text Indent 3 Char"/>
    <w:basedOn w:val="55"/>
    <w:locked/>
    <w:uiPriority w:val="0"/>
    <w:rPr>
      <w:rFonts w:ascii="宋体" w:hAnsi="宋体" w:eastAsia="宋体" w:cs="Times New Roman"/>
      <w:sz w:val="16"/>
      <w:szCs w:val="16"/>
    </w:rPr>
  </w:style>
  <w:style w:type="character" w:customStyle="1" w:styleId="241">
    <w:name w:val="样式 正文文本 + 首行缩进:  2 字符 Char"/>
    <w:qFormat/>
    <w:uiPriority w:val="0"/>
    <w:rPr>
      <w:rFonts w:ascii="Arial" w:hAnsi="Arial" w:eastAsia="宋体" w:cs="宋体"/>
      <w:kern w:val="2"/>
      <w:sz w:val="21"/>
      <w:lang w:val="en-US" w:eastAsia="zh-CN" w:bidi="ar-SA"/>
    </w:rPr>
  </w:style>
  <w:style w:type="character" w:customStyle="1" w:styleId="242">
    <w:name w:val="Char Char201"/>
    <w:uiPriority w:val="0"/>
    <w:rPr>
      <w:rFonts w:eastAsia="宋体"/>
      <w:kern w:val="2"/>
      <w:sz w:val="18"/>
      <w:lang w:val="en-US" w:eastAsia="zh-CN"/>
    </w:rPr>
  </w:style>
  <w:style w:type="character" w:customStyle="1" w:styleId="243">
    <w:name w:val="Char Char251"/>
    <w:uiPriority w:val="0"/>
    <w:rPr>
      <w:rFonts w:ascii="Cambria" w:hAnsi="Cambria" w:eastAsia="宋体"/>
      <w:kern w:val="2"/>
      <w:sz w:val="21"/>
      <w:lang w:val="en-US" w:eastAsia="zh-CN"/>
    </w:rPr>
  </w:style>
  <w:style w:type="character" w:customStyle="1" w:styleId="244">
    <w:name w:val="标题 7 Char1"/>
    <w:qFormat/>
    <w:uiPriority w:val="0"/>
    <w:rPr>
      <w:rFonts w:ascii="Calibri" w:hAnsi="Calibri" w:eastAsia="宋体"/>
      <w:b/>
      <w:bCs/>
      <w:kern w:val="2"/>
      <w:sz w:val="24"/>
      <w:szCs w:val="24"/>
      <w:lang w:val="en-US" w:eastAsia="zh-CN" w:bidi="ar-SA"/>
    </w:rPr>
  </w:style>
  <w:style w:type="character" w:customStyle="1" w:styleId="245">
    <w:name w:val="副标题 Char3"/>
    <w:basedOn w:val="55"/>
    <w:qFormat/>
    <w:uiPriority w:val="0"/>
    <w:rPr>
      <w:rFonts w:ascii="Cambria" w:hAnsi="Cambria" w:cs="Times New Roman"/>
      <w:b/>
      <w:bCs/>
      <w:kern w:val="28"/>
      <w:sz w:val="32"/>
      <w:szCs w:val="32"/>
    </w:rPr>
  </w:style>
  <w:style w:type="character" w:customStyle="1" w:styleId="246">
    <w:name w:val="标题 9 Char"/>
    <w:basedOn w:val="55"/>
    <w:link w:val="13"/>
    <w:qFormat/>
    <w:uiPriority w:val="0"/>
    <w:rPr>
      <w:rFonts w:ascii="Arial" w:hAnsi="Arial" w:eastAsia="黑体" w:cs="Times New Roman"/>
      <w:color w:val="000000"/>
      <w:kern w:val="0"/>
      <w:szCs w:val="20"/>
    </w:rPr>
  </w:style>
  <w:style w:type="character" w:customStyle="1" w:styleId="247">
    <w:name w:val="签名 Char2"/>
    <w:basedOn w:val="55"/>
    <w:semiHidden/>
    <w:qFormat/>
    <w:uiPriority w:val="99"/>
    <w:rPr>
      <w:rFonts w:ascii="Times New Roman" w:hAnsi="Times New Roman" w:eastAsia="宋体" w:cs="Times New Roman"/>
      <w:kern w:val="0"/>
      <w:szCs w:val="20"/>
    </w:rPr>
  </w:style>
  <w:style w:type="character" w:customStyle="1" w:styleId="248">
    <w:name w:val="sect1.2.3 Char"/>
    <w:qFormat/>
    <w:uiPriority w:val="0"/>
    <w:rPr>
      <w:rFonts w:eastAsia="宋体"/>
      <w:b/>
      <w:sz w:val="32"/>
      <w:lang w:val="en-US" w:eastAsia="zh-CN" w:bidi="ar-SA"/>
    </w:rPr>
  </w:style>
  <w:style w:type="character" w:customStyle="1" w:styleId="249">
    <w:name w:val="标题 9 Char1"/>
    <w:qFormat/>
    <w:uiPriority w:val="0"/>
    <w:rPr>
      <w:rFonts w:ascii="Cambria" w:hAnsi="Cambria" w:eastAsia="宋体"/>
      <w:kern w:val="2"/>
      <w:sz w:val="21"/>
      <w:szCs w:val="21"/>
      <w:lang w:val="en-US" w:eastAsia="zh-CN" w:bidi="ar-SA"/>
    </w:rPr>
  </w:style>
  <w:style w:type="character" w:customStyle="1" w:styleId="250">
    <w:name w:val="正文文本缩进 Char1"/>
    <w:basedOn w:val="55"/>
    <w:semiHidden/>
    <w:qFormat/>
    <w:uiPriority w:val="99"/>
    <w:rPr>
      <w:rFonts w:ascii="Times New Roman" w:hAnsi="Times New Roman" w:eastAsia="宋体" w:cs="Times New Roman"/>
      <w:kern w:val="0"/>
      <w:szCs w:val="20"/>
    </w:rPr>
  </w:style>
  <w:style w:type="character" w:customStyle="1" w:styleId="251">
    <w:name w:val="Char Char321"/>
    <w:uiPriority w:val="0"/>
    <w:rPr>
      <w:rFonts w:ascii="Cambria" w:hAnsi="Cambria" w:eastAsia="宋体"/>
      <w:b/>
      <w:kern w:val="2"/>
      <w:sz w:val="32"/>
      <w:lang w:val="en-US" w:eastAsia="zh-CN"/>
    </w:rPr>
  </w:style>
  <w:style w:type="character" w:customStyle="1" w:styleId="252">
    <w:name w:val="Comment Subject Char"/>
    <w:locked/>
    <w:uiPriority w:val="0"/>
    <w:rPr>
      <w:rFonts w:eastAsia="宋体"/>
      <w:b/>
      <w:sz w:val="24"/>
    </w:rPr>
  </w:style>
  <w:style w:type="character" w:customStyle="1" w:styleId="253">
    <w:name w:val="Char Char202"/>
    <w:uiPriority w:val="0"/>
    <w:rPr>
      <w:rFonts w:eastAsia="宋体"/>
      <w:kern w:val="2"/>
      <w:sz w:val="18"/>
      <w:lang w:val="en-US" w:eastAsia="zh-CN"/>
    </w:rPr>
  </w:style>
  <w:style w:type="character" w:customStyle="1" w:styleId="254">
    <w:name w:val="正文1 Char"/>
    <w:link w:val="255"/>
    <w:qFormat/>
    <w:uiPriority w:val="0"/>
    <w:rPr>
      <w:rFonts w:ascii="宋体" w:hAnsi="宋体"/>
      <w:szCs w:val="24"/>
    </w:rPr>
  </w:style>
  <w:style w:type="paragraph" w:customStyle="1" w:styleId="255">
    <w:name w:val="正文1"/>
    <w:basedOn w:val="1"/>
    <w:link w:val="254"/>
    <w:qFormat/>
    <w:uiPriority w:val="0"/>
    <w:pPr>
      <w:widowControl w:val="0"/>
      <w:wordWrap w:val="0"/>
      <w:spacing w:line="400" w:lineRule="exact"/>
      <w:jc w:val="both"/>
    </w:pPr>
    <w:rPr>
      <w:rFonts w:ascii="宋体" w:hAnsi="宋体" w:eastAsia="宋体" w:cs="Times New Roman"/>
      <w:kern w:val="2"/>
      <w:szCs w:val="24"/>
    </w:rPr>
  </w:style>
  <w:style w:type="character" w:customStyle="1" w:styleId="256">
    <w:name w:val="textcontents"/>
    <w:qFormat/>
    <w:uiPriority w:val="0"/>
    <w:rPr>
      <w:rFonts w:cs="Times New Roman"/>
    </w:rPr>
  </w:style>
  <w:style w:type="character" w:customStyle="1" w:styleId="257">
    <w:name w:val="表正文 Char"/>
    <w:qFormat/>
    <w:uiPriority w:val="0"/>
    <w:rPr>
      <w:rFonts w:ascii="Times New Roman" w:hAnsi="Times New Roman"/>
      <w:sz w:val="21"/>
    </w:rPr>
  </w:style>
  <w:style w:type="character" w:customStyle="1" w:styleId="258">
    <w:name w:val="Char Char27"/>
    <w:qFormat/>
    <w:uiPriority w:val="0"/>
    <w:rPr>
      <w:rFonts w:ascii="Calibri" w:hAnsi="Calibri" w:eastAsia="宋体"/>
      <w:b/>
      <w:bCs/>
      <w:kern w:val="2"/>
      <w:sz w:val="24"/>
      <w:szCs w:val="24"/>
      <w:lang w:val="en-US" w:eastAsia="zh-CN" w:bidi="ar-SA"/>
    </w:rPr>
  </w:style>
  <w:style w:type="character" w:customStyle="1" w:styleId="259">
    <w:name w:val="称呼 Char"/>
    <w:link w:val="21"/>
    <w:qFormat/>
    <w:uiPriority w:val="0"/>
    <w:rPr>
      <w:rFonts w:ascii="宋体" w:hAnsi="宋体"/>
      <w:spacing w:val="20"/>
      <w:sz w:val="24"/>
    </w:rPr>
  </w:style>
  <w:style w:type="character" w:customStyle="1" w:styleId="260">
    <w:name w:val="Subtitle Char"/>
    <w:locked/>
    <w:uiPriority w:val="0"/>
    <w:rPr>
      <w:rFonts w:ascii="Cambria" w:hAnsi="Cambria"/>
      <w:b/>
      <w:kern w:val="28"/>
      <w:sz w:val="32"/>
    </w:rPr>
  </w:style>
  <w:style w:type="character" w:customStyle="1" w:styleId="261">
    <w:name w:val="Char Char31"/>
    <w:qFormat/>
    <w:uiPriority w:val="0"/>
    <w:rPr>
      <w:rFonts w:ascii="Calibri" w:hAnsi="Calibri" w:eastAsia="宋体"/>
      <w:b/>
      <w:bCs/>
      <w:kern w:val="2"/>
      <w:sz w:val="32"/>
      <w:szCs w:val="32"/>
      <w:lang w:val="en-US" w:eastAsia="zh-CN" w:bidi="ar-SA"/>
    </w:rPr>
  </w:style>
  <w:style w:type="character" w:customStyle="1" w:styleId="262">
    <w:name w:val="标书1 Char"/>
    <w:qFormat/>
    <w:uiPriority w:val="0"/>
    <w:rPr>
      <w:rFonts w:ascii="宋体" w:hAnsi="Times New Roman" w:eastAsia="宋体" w:cs="Times New Roman"/>
      <w:b/>
      <w:kern w:val="44"/>
      <w:sz w:val="24"/>
      <w:szCs w:val="20"/>
    </w:rPr>
  </w:style>
  <w:style w:type="character" w:customStyle="1" w:styleId="263">
    <w:name w:val="明显引用 Char1"/>
    <w:qFormat/>
    <w:uiPriority w:val="0"/>
    <w:rPr>
      <w:b/>
      <w:bCs/>
      <w:i/>
      <w:iCs/>
      <w:color w:val="4F81BD"/>
      <w:kern w:val="2"/>
      <w:sz w:val="21"/>
      <w:szCs w:val="24"/>
    </w:rPr>
  </w:style>
  <w:style w:type="character" w:customStyle="1" w:styleId="264">
    <w:name w:val="Char Char232"/>
    <w:uiPriority w:val="0"/>
    <w:rPr>
      <w:rFonts w:ascii="Cambria" w:hAnsi="Cambria"/>
      <w:b/>
      <w:kern w:val="2"/>
      <w:sz w:val="32"/>
    </w:rPr>
  </w:style>
  <w:style w:type="character" w:customStyle="1" w:styleId="265">
    <w:name w:val="正文文本缩进 2 Char1"/>
    <w:basedOn w:val="55"/>
    <w:qFormat/>
    <w:uiPriority w:val="0"/>
    <w:rPr>
      <w:sz w:val="21"/>
    </w:rPr>
  </w:style>
  <w:style w:type="character" w:customStyle="1" w:styleId="266">
    <w:name w:val="apple-converted-space"/>
    <w:basedOn w:val="55"/>
    <w:qFormat/>
    <w:uiPriority w:val="0"/>
    <w:rPr>
      <w:rFonts w:ascii="Tahoma" w:hAnsi="Tahoma"/>
      <w:sz w:val="24"/>
      <w:szCs w:val="20"/>
    </w:rPr>
  </w:style>
  <w:style w:type="character" w:customStyle="1" w:styleId="267">
    <w:name w:val="Definition"/>
    <w:qFormat/>
    <w:uiPriority w:val="0"/>
    <w:rPr>
      <w:i/>
    </w:rPr>
  </w:style>
  <w:style w:type="character" w:customStyle="1" w:styleId="268">
    <w:name w:val="手改 Char1"/>
    <w:qFormat/>
    <w:uiPriority w:val="0"/>
    <w:rPr>
      <w:lang w:bidi="ar-SA"/>
    </w:rPr>
  </w:style>
  <w:style w:type="character" w:customStyle="1" w:styleId="269">
    <w:name w:val="style191"/>
    <w:qFormat/>
    <w:uiPriority w:val="0"/>
    <w:rPr>
      <w:color w:val="F08200"/>
    </w:rPr>
  </w:style>
  <w:style w:type="character" w:customStyle="1" w:styleId="270">
    <w:name w:val="HTML Markup"/>
    <w:qFormat/>
    <w:uiPriority w:val="0"/>
    <w:rPr>
      <w:vanish/>
      <w:color w:val="FF0000"/>
    </w:rPr>
  </w:style>
  <w:style w:type="character" w:customStyle="1" w:styleId="271">
    <w:name w:val="标题 8 Char1"/>
    <w:qFormat/>
    <w:uiPriority w:val="0"/>
    <w:rPr>
      <w:rFonts w:ascii="Cambria" w:hAnsi="Cambria" w:eastAsia="宋体"/>
      <w:kern w:val="2"/>
      <w:sz w:val="24"/>
      <w:szCs w:val="24"/>
      <w:lang w:val="en-US" w:eastAsia="zh-CN" w:bidi="ar-SA"/>
    </w:rPr>
  </w:style>
  <w:style w:type="character" w:customStyle="1" w:styleId="272">
    <w:name w:val="Char Char311"/>
    <w:uiPriority w:val="0"/>
    <w:rPr>
      <w:rFonts w:ascii="Calibri" w:hAnsi="Calibri" w:eastAsia="宋体"/>
      <w:b/>
      <w:kern w:val="2"/>
      <w:sz w:val="32"/>
      <w:lang w:val="en-US" w:eastAsia="zh-CN"/>
    </w:rPr>
  </w:style>
  <w:style w:type="character" w:customStyle="1" w:styleId="273">
    <w:name w:val="标题 Char3"/>
    <w:basedOn w:val="55"/>
    <w:qFormat/>
    <w:uiPriority w:val="10"/>
    <w:rPr>
      <w:rFonts w:ascii="Calibri Light" w:hAnsi="Calibri Light" w:eastAsia="宋体" w:cs="Times New Roman"/>
      <w:b/>
      <w:bCs/>
      <w:kern w:val="0"/>
      <w:sz w:val="32"/>
      <w:szCs w:val="32"/>
    </w:rPr>
  </w:style>
  <w:style w:type="character" w:customStyle="1" w:styleId="274">
    <w:name w:val="Keyboard"/>
    <w:qFormat/>
    <w:uiPriority w:val="0"/>
    <w:rPr>
      <w:rFonts w:ascii="Courier New" w:hAnsi="Courier New"/>
      <w:b/>
      <w:sz w:val="20"/>
    </w:rPr>
  </w:style>
  <w:style w:type="character" w:customStyle="1" w:styleId="275">
    <w:name w:val="批注框文本 Char1"/>
    <w:qFormat/>
    <w:uiPriority w:val="0"/>
    <w:rPr>
      <w:kern w:val="2"/>
      <w:sz w:val="18"/>
      <w:szCs w:val="18"/>
    </w:rPr>
  </w:style>
  <w:style w:type="character" w:customStyle="1" w:styleId="276">
    <w:name w:val="Para head"/>
    <w:qFormat/>
    <w:uiPriority w:val="0"/>
    <w:rPr>
      <w:rFonts w:ascii="Arial" w:hAnsi="Arial" w:eastAsia="Times New Roman"/>
      <w:sz w:val="20"/>
    </w:rPr>
  </w:style>
  <w:style w:type="character" w:customStyle="1" w:styleId="277">
    <w:name w:val="批注框文本 Char2"/>
    <w:semiHidden/>
    <w:qFormat/>
    <w:uiPriority w:val="0"/>
    <w:rPr>
      <w:kern w:val="2"/>
      <w:sz w:val="18"/>
      <w:szCs w:val="18"/>
    </w:rPr>
  </w:style>
  <w:style w:type="character" w:customStyle="1" w:styleId="278">
    <w:name w:val="bt Char"/>
    <w:qFormat/>
    <w:uiPriority w:val="0"/>
    <w:rPr>
      <w:kern w:val="2"/>
      <w:sz w:val="24"/>
    </w:rPr>
  </w:style>
  <w:style w:type="character" w:customStyle="1" w:styleId="279">
    <w:name w:val="Char Char6"/>
    <w:qFormat/>
    <w:uiPriority w:val="0"/>
    <w:rPr>
      <w:szCs w:val="24"/>
      <w:shd w:val="clear" w:color="auto" w:fill="000080"/>
      <w:lang w:bidi="ar-SA"/>
    </w:rPr>
  </w:style>
  <w:style w:type="character" w:customStyle="1" w:styleId="280">
    <w:name w:val="Char Char312"/>
    <w:uiPriority w:val="0"/>
    <w:rPr>
      <w:rFonts w:ascii="Calibri" w:hAnsi="Calibri" w:eastAsia="宋体"/>
      <w:b/>
      <w:kern w:val="2"/>
      <w:sz w:val="32"/>
      <w:lang w:val="en-US" w:eastAsia="zh-CN"/>
    </w:rPr>
  </w:style>
  <w:style w:type="character" w:customStyle="1" w:styleId="281">
    <w:name w:val="批注框文本 Char"/>
    <w:link w:val="33"/>
    <w:qFormat/>
    <w:uiPriority w:val="0"/>
    <w:rPr>
      <w:rFonts w:ascii="Times New Roman" w:hAnsi="Times New Roman"/>
      <w:sz w:val="18"/>
      <w:szCs w:val="18"/>
    </w:rPr>
  </w:style>
  <w:style w:type="character" w:customStyle="1" w:styleId="282">
    <w:name w:val="页眉 Char Char"/>
    <w:qFormat/>
    <w:uiPriority w:val="0"/>
    <w:rPr>
      <w:rFonts w:eastAsia="宋体"/>
      <w:kern w:val="2"/>
      <w:sz w:val="18"/>
      <w:lang w:val="en-US" w:eastAsia="zh-CN" w:bidi="ar-SA"/>
    </w:rPr>
  </w:style>
  <w:style w:type="character" w:customStyle="1" w:styleId="283">
    <w:name w:val="Variable"/>
    <w:qFormat/>
    <w:uiPriority w:val="0"/>
    <w:rPr>
      <w:i/>
    </w:rPr>
  </w:style>
  <w:style w:type="character" w:customStyle="1" w:styleId="284">
    <w:name w:val="Char Char231"/>
    <w:uiPriority w:val="0"/>
    <w:rPr>
      <w:rFonts w:ascii="Cambria" w:hAnsi="Cambria"/>
      <w:b/>
      <w:kern w:val="2"/>
      <w:sz w:val="32"/>
    </w:rPr>
  </w:style>
  <w:style w:type="character" w:customStyle="1" w:styleId="285">
    <w:name w:val="Char Char91"/>
    <w:uiPriority w:val="0"/>
    <w:rPr>
      <w:kern w:val="2"/>
      <w:sz w:val="22"/>
    </w:rPr>
  </w:style>
  <w:style w:type="character" w:customStyle="1" w:styleId="286">
    <w:name w:val="Char Char10"/>
    <w:uiPriority w:val="0"/>
    <w:rPr>
      <w:rFonts w:ascii="Cambria" w:hAnsi="Cambria"/>
      <w:b/>
      <w:kern w:val="2"/>
      <w:sz w:val="32"/>
    </w:rPr>
  </w:style>
  <w:style w:type="character" w:customStyle="1" w:styleId="287">
    <w:name w:val="标题 4 Char1"/>
    <w:qFormat/>
    <w:uiPriority w:val="0"/>
    <w:rPr>
      <w:rFonts w:ascii="Cambria" w:hAnsi="Cambria" w:eastAsia="宋体"/>
      <w:b/>
      <w:bCs/>
      <w:kern w:val="2"/>
      <w:sz w:val="28"/>
      <w:szCs w:val="28"/>
      <w:lang w:val="en-US" w:eastAsia="zh-CN" w:bidi="ar-SA"/>
    </w:rPr>
  </w:style>
  <w:style w:type="character" w:customStyle="1" w:styleId="288">
    <w:name w:val="Char Char332"/>
    <w:uiPriority w:val="0"/>
    <w:rPr>
      <w:rFonts w:ascii="Calibri" w:hAnsi="Calibri" w:eastAsia="宋体"/>
      <w:b/>
      <w:kern w:val="44"/>
      <w:sz w:val="44"/>
      <w:lang w:val="en-US" w:eastAsia="zh-CN"/>
    </w:rPr>
  </w:style>
  <w:style w:type="character" w:customStyle="1" w:styleId="289">
    <w:name w:val="Date Char"/>
    <w:locked/>
    <w:uiPriority w:val="0"/>
    <w:rPr>
      <w:rFonts w:eastAsia="宋体"/>
      <w:sz w:val="24"/>
    </w:rPr>
  </w:style>
  <w:style w:type="character" w:customStyle="1" w:styleId="290">
    <w:name w:val="Char Char23"/>
    <w:qFormat/>
    <w:uiPriority w:val="0"/>
    <w:rPr>
      <w:rFonts w:ascii="Cambria" w:hAnsi="Cambria"/>
      <w:b/>
      <w:bCs/>
      <w:kern w:val="2"/>
      <w:sz w:val="32"/>
      <w:szCs w:val="32"/>
      <w:lang w:bidi="ar-SA"/>
    </w:rPr>
  </w:style>
  <w:style w:type="character" w:customStyle="1" w:styleId="291">
    <w:name w:val="脚注文本 Char"/>
    <w:basedOn w:val="55"/>
    <w:link w:val="40"/>
    <w:qFormat/>
    <w:uiPriority w:val="0"/>
  </w:style>
  <w:style w:type="character" w:customStyle="1" w:styleId="292">
    <w:name w:val="Normal Indent Char Char"/>
    <w:qFormat/>
    <w:uiPriority w:val="0"/>
    <w:rPr>
      <w:rFonts w:eastAsia="宋体"/>
      <w:sz w:val="21"/>
      <w:lang w:val="en-US" w:eastAsia="zh-CN" w:bidi="ar-SA"/>
    </w:rPr>
  </w:style>
  <w:style w:type="character" w:customStyle="1" w:styleId="293">
    <w:name w:val="Heading 8 Char"/>
    <w:basedOn w:val="55"/>
    <w:locked/>
    <w:uiPriority w:val="0"/>
    <w:rPr>
      <w:rFonts w:ascii="Cambria" w:hAnsi="Cambria" w:eastAsia="宋体" w:cs="Times New Roman"/>
      <w:sz w:val="24"/>
    </w:rPr>
  </w:style>
  <w:style w:type="character" w:customStyle="1" w:styleId="294">
    <w:name w:val="Char Char32"/>
    <w:qFormat/>
    <w:uiPriority w:val="0"/>
    <w:rPr>
      <w:rFonts w:ascii="Cambria" w:hAnsi="Cambria" w:eastAsia="宋体"/>
      <w:b/>
      <w:bCs/>
      <w:kern w:val="2"/>
      <w:sz w:val="32"/>
      <w:szCs w:val="32"/>
      <w:lang w:val="en-US" w:eastAsia="zh-CN" w:bidi="ar-SA"/>
    </w:rPr>
  </w:style>
  <w:style w:type="character" w:customStyle="1" w:styleId="295">
    <w:name w:val="Subtle Emphasis"/>
    <w:qFormat/>
    <w:uiPriority w:val="0"/>
    <w:rPr>
      <w:i/>
      <w:iCs/>
      <w:color w:val="808080"/>
    </w:rPr>
  </w:style>
  <w:style w:type="character" w:customStyle="1" w:styleId="296">
    <w:name w:val="Char Char34"/>
    <w:qFormat/>
    <w:uiPriority w:val="0"/>
    <w:rPr>
      <w:rFonts w:ascii="黑体" w:hAnsi="黑体" w:eastAsia="黑体"/>
      <w:bCs/>
      <w:kern w:val="2"/>
      <w:sz w:val="24"/>
      <w:szCs w:val="32"/>
    </w:rPr>
  </w:style>
  <w:style w:type="character" w:customStyle="1" w:styleId="297">
    <w:name w:val="手改 Char Char1"/>
    <w:qFormat/>
    <w:uiPriority w:val="0"/>
    <w:rPr>
      <w:rFonts w:eastAsia="宋体"/>
      <w:kern w:val="2"/>
      <w:sz w:val="21"/>
      <w:szCs w:val="24"/>
      <w:lang w:val="en-US" w:eastAsia="zh-CN" w:bidi="ar-SA"/>
    </w:rPr>
  </w:style>
  <w:style w:type="character" w:customStyle="1" w:styleId="298">
    <w:name w:val="unnamed51"/>
    <w:qFormat/>
    <w:uiPriority w:val="0"/>
    <w:rPr>
      <w:sz w:val="22"/>
      <w:szCs w:val="22"/>
    </w:rPr>
  </w:style>
  <w:style w:type="character" w:customStyle="1" w:styleId="299">
    <w:name w:val="Char Char3"/>
    <w:uiPriority w:val="0"/>
  </w:style>
  <w:style w:type="character" w:customStyle="1" w:styleId="300">
    <w:name w:val="Heading 9 Char"/>
    <w:basedOn w:val="55"/>
    <w:locked/>
    <w:uiPriority w:val="0"/>
    <w:rPr>
      <w:rFonts w:ascii="Cambria" w:hAnsi="Cambria" w:eastAsia="宋体" w:cs="Times New Roman"/>
      <w:sz w:val="21"/>
    </w:rPr>
  </w:style>
  <w:style w:type="character" w:customStyle="1" w:styleId="301">
    <w:name w:val="标题 Char2"/>
    <w:basedOn w:val="55"/>
    <w:qFormat/>
    <w:uiPriority w:val="0"/>
    <w:rPr>
      <w:rFonts w:ascii="Cambria" w:hAnsi="Cambria" w:cs="Times New Roman"/>
      <w:b/>
      <w:bCs/>
      <w:sz w:val="32"/>
      <w:szCs w:val="32"/>
    </w:rPr>
  </w:style>
  <w:style w:type="character" w:customStyle="1" w:styleId="302">
    <w:name w:val="批注主题 Char2"/>
    <w:qFormat/>
    <w:uiPriority w:val="0"/>
    <w:rPr>
      <w:b/>
      <w:bCs/>
      <w:kern w:val="2"/>
      <w:sz w:val="21"/>
      <w:szCs w:val="24"/>
    </w:rPr>
  </w:style>
  <w:style w:type="character" w:customStyle="1" w:styleId="303">
    <w:name w:val="Char Char11"/>
    <w:uiPriority w:val="0"/>
    <w:rPr>
      <w:rFonts w:ascii="Cambria" w:hAnsi="Cambria" w:eastAsia="宋体"/>
      <w:kern w:val="2"/>
      <w:sz w:val="21"/>
      <w:lang w:val="en-US" w:eastAsia="zh-CN"/>
    </w:rPr>
  </w:style>
  <w:style w:type="character" w:customStyle="1" w:styleId="304">
    <w:name w:val="明显引用 Char4"/>
    <w:basedOn w:val="55"/>
    <w:qFormat/>
    <w:uiPriority w:val="30"/>
    <w:rPr>
      <w:rFonts w:ascii="Times New Roman" w:hAnsi="Times New Roman" w:eastAsia="宋体" w:cs="Times New Roman"/>
      <w:i/>
      <w:iCs/>
      <w:color w:val="5B9BD5"/>
      <w:kern w:val="0"/>
      <w:szCs w:val="20"/>
    </w:rPr>
  </w:style>
  <w:style w:type="character" w:customStyle="1" w:styleId="305">
    <w:name w:val="样式 标题 3 + (中文) 黑体 小四 非加粗 段前: 7.8 磅 段后: 0 磅 行距: 固定值 20 磅 Char"/>
    <w:link w:val="306"/>
    <w:qFormat/>
    <w:uiPriority w:val="0"/>
    <w:rPr>
      <w:rFonts w:eastAsia="黑体" w:cs="宋体"/>
      <w:b/>
      <w:sz w:val="24"/>
      <w:lang w:val="en-US" w:eastAsia="zh-CN"/>
    </w:rPr>
  </w:style>
  <w:style w:type="paragraph" w:customStyle="1" w:styleId="306">
    <w:name w:val="样式 标题 3 + (中文) 黑体 小四 非加粗 段前: 7.8 磅 段后: 0 磅 行距: 固定值 20 磅"/>
    <w:basedOn w:val="6"/>
    <w:link w:val="305"/>
    <w:qFormat/>
    <w:uiPriority w:val="0"/>
    <w:pPr>
      <w:widowControl w:val="0"/>
      <w:spacing w:before="0" w:after="0" w:line="400" w:lineRule="exact"/>
      <w:jc w:val="both"/>
    </w:pPr>
    <w:rPr>
      <w:rFonts w:ascii="Calibri" w:hAnsi="Calibri" w:eastAsia="黑体" w:cs="宋体"/>
      <w:bCs w:val="0"/>
      <w:kern w:val="2"/>
      <w:sz w:val="24"/>
      <w:szCs w:val="22"/>
    </w:rPr>
  </w:style>
  <w:style w:type="character" w:customStyle="1" w:styleId="307">
    <w:name w:val="Char Char28"/>
    <w:qFormat/>
    <w:uiPriority w:val="0"/>
    <w:rPr>
      <w:rFonts w:ascii="Cambria" w:hAnsi="Cambria" w:eastAsia="宋体"/>
      <w:b/>
      <w:bCs/>
      <w:kern w:val="2"/>
      <w:sz w:val="24"/>
      <w:szCs w:val="24"/>
      <w:lang w:val="en-US" w:eastAsia="zh-CN" w:bidi="ar-SA"/>
    </w:rPr>
  </w:style>
  <w:style w:type="character" w:customStyle="1" w:styleId="308">
    <w:name w:val="脚注文本 Char1"/>
    <w:basedOn w:val="55"/>
    <w:semiHidden/>
    <w:qFormat/>
    <w:uiPriority w:val="99"/>
    <w:rPr>
      <w:rFonts w:ascii="Times New Roman" w:hAnsi="Times New Roman" w:eastAsia="宋体" w:cs="Times New Roman"/>
      <w:kern w:val="0"/>
      <w:sz w:val="18"/>
      <w:szCs w:val="18"/>
    </w:rPr>
  </w:style>
  <w:style w:type="character" w:customStyle="1" w:styleId="309">
    <w:name w:val="标题 2 Char"/>
    <w:basedOn w:val="55"/>
    <w:link w:val="5"/>
    <w:qFormat/>
    <w:uiPriority w:val="9"/>
    <w:rPr>
      <w:rFonts w:ascii="Cambria" w:hAnsi="Cambria" w:eastAsia="宋体" w:cs="Times New Roman"/>
      <w:b/>
      <w:bCs/>
      <w:kern w:val="0"/>
      <w:sz w:val="32"/>
      <w:szCs w:val="32"/>
    </w:rPr>
  </w:style>
  <w:style w:type="character" w:customStyle="1" w:styleId="310">
    <w:name w:val="Heading 6 Char"/>
    <w:basedOn w:val="55"/>
    <w:locked/>
    <w:uiPriority w:val="0"/>
    <w:rPr>
      <w:rFonts w:ascii="Cambria" w:hAnsi="Cambria" w:eastAsia="宋体" w:cs="Times New Roman"/>
      <w:b/>
      <w:sz w:val="24"/>
    </w:rPr>
  </w:style>
  <w:style w:type="character" w:customStyle="1" w:styleId="311">
    <w:name w:val="标题 1 字符"/>
    <w:qFormat/>
    <w:uiPriority w:val="0"/>
    <w:rPr>
      <w:rFonts w:ascii="宋体" w:hAnsi="Times New Roman" w:eastAsia="宋体" w:cs="Times New Roman"/>
      <w:b/>
      <w:kern w:val="44"/>
      <w:sz w:val="24"/>
      <w:szCs w:val="20"/>
    </w:rPr>
  </w:style>
  <w:style w:type="character" w:customStyle="1" w:styleId="312">
    <w:name w:val="Char Char26"/>
    <w:qFormat/>
    <w:uiPriority w:val="0"/>
    <w:rPr>
      <w:rFonts w:ascii="Cambria" w:hAnsi="Cambria" w:eastAsia="宋体"/>
      <w:kern w:val="2"/>
      <w:sz w:val="24"/>
      <w:szCs w:val="24"/>
      <w:lang w:val="en-US" w:eastAsia="zh-CN" w:bidi="ar-SA"/>
    </w:rPr>
  </w:style>
  <w:style w:type="character" w:customStyle="1" w:styleId="313">
    <w:name w:val="引用 Char4"/>
    <w:basedOn w:val="55"/>
    <w:qFormat/>
    <w:uiPriority w:val="29"/>
    <w:rPr>
      <w:rFonts w:ascii="Times New Roman" w:hAnsi="Times New Roman" w:eastAsia="宋体" w:cs="Times New Roman"/>
      <w:i/>
      <w:iCs/>
      <w:color w:val="3F3F3F"/>
      <w:kern w:val="0"/>
      <w:szCs w:val="20"/>
    </w:rPr>
  </w:style>
  <w:style w:type="character" w:customStyle="1" w:styleId="314">
    <w:name w:val="blue_big1"/>
    <w:qFormat/>
    <w:uiPriority w:val="0"/>
    <w:rPr>
      <w:b/>
      <w:bCs/>
      <w:color w:val="0189DD"/>
      <w:sz w:val="21"/>
      <w:szCs w:val="21"/>
    </w:rPr>
  </w:style>
  <w:style w:type="character" w:customStyle="1" w:styleId="315">
    <w:name w:val="Char Char30"/>
    <w:qFormat/>
    <w:uiPriority w:val="0"/>
    <w:rPr>
      <w:rFonts w:ascii="Cambria" w:hAnsi="Cambria" w:eastAsia="宋体"/>
      <w:b/>
      <w:bCs/>
      <w:kern w:val="2"/>
      <w:sz w:val="28"/>
      <w:szCs w:val="28"/>
      <w:lang w:val="en-US" w:eastAsia="zh-CN" w:bidi="ar-SA"/>
    </w:rPr>
  </w:style>
  <w:style w:type="character" w:customStyle="1" w:styleId="316">
    <w:name w:val="正文文本缩进 3 Char"/>
    <w:link w:val="42"/>
    <w:qFormat/>
    <w:locked/>
    <w:uiPriority w:val="99"/>
    <w:rPr>
      <w:sz w:val="16"/>
      <w:szCs w:val="16"/>
    </w:rPr>
  </w:style>
  <w:style w:type="character" w:customStyle="1" w:styleId="317">
    <w:name w:val="批注文字 Char1"/>
    <w:qFormat/>
    <w:uiPriority w:val="0"/>
    <w:rPr>
      <w:kern w:val="2"/>
      <w:sz w:val="21"/>
    </w:rPr>
  </w:style>
  <w:style w:type="character" w:customStyle="1" w:styleId="318">
    <w:name w:val="页脚 Char"/>
    <w:link w:val="34"/>
    <w:qFormat/>
    <w:uiPriority w:val="99"/>
    <w:rPr>
      <w:rFonts w:ascii="Times New Roman" w:hAnsi="Times New Roman" w:eastAsia="宋体" w:cs="Times New Roman"/>
      <w:kern w:val="0"/>
      <w:sz w:val="18"/>
      <w:szCs w:val="20"/>
    </w:rPr>
  </w:style>
  <w:style w:type="character" w:customStyle="1" w:styleId="319">
    <w:name w:val="Char Char212"/>
    <w:uiPriority w:val="0"/>
    <w:rPr>
      <w:kern w:val="2"/>
      <w:sz w:val="18"/>
    </w:rPr>
  </w:style>
  <w:style w:type="character" w:customStyle="1" w:styleId="320">
    <w:name w:val="标题 5 Char"/>
    <w:basedOn w:val="55"/>
    <w:link w:val="9"/>
    <w:qFormat/>
    <w:uiPriority w:val="0"/>
    <w:rPr>
      <w:rFonts w:ascii="宋体" w:hAnsi="Times New Roman" w:eastAsia="宋体" w:cs="Times New Roman"/>
      <w:b/>
      <w:color w:val="000000"/>
      <w:kern w:val="0"/>
      <w:sz w:val="28"/>
      <w:szCs w:val="20"/>
    </w:rPr>
  </w:style>
  <w:style w:type="character" w:customStyle="1" w:styleId="321">
    <w:name w:val="Char Char92"/>
    <w:uiPriority w:val="0"/>
    <w:rPr>
      <w:kern w:val="2"/>
      <w:sz w:val="22"/>
    </w:rPr>
  </w:style>
  <w:style w:type="character" w:customStyle="1" w:styleId="322">
    <w:name w:val="副标题 Char4"/>
    <w:basedOn w:val="55"/>
    <w:qFormat/>
    <w:uiPriority w:val="11"/>
    <w:rPr>
      <w:rFonts w:ascii="Calibri Light" w:hAnsi="Calibri Light" w:eastAsia="宋体" w:cs="Times New Roman"/>
      <w:b/>
      <w:bCs/>
      <w:kern w:val="28"/>
      <w:sz w:val="32"/>
      <w:szCs w:val="32"/>
    </w:rPr>
  </w:style>
  <w:style w:type="character" w:customStyle="1" w:styleId="323">
    <w:name w:val="批注主题 Char3"/>
    <w:basedOn w:val="109"/>
    <w:semiHidden/>
    <w:qFormat/>
    <w:uiPriority w:val="99"/>
    <w:rPr>
      <w:rFonts w:ascii="Times New Roman" w:hAnsi="Times New Roman" w:eastAsia="宋体" w:cs="Times New Roman"/>
      <w:b/>
      <w:bCs/>
      <w:kern w:val="0"/>
      <w:szCs w:val="20"/>
    </w:rPr>
  </w:style>
  <w:style w:type="character" w:customStyle="1" w:styleId="324">
    <w:name w:val="Quote Char"/>
    <w:locked/>
    <w:uiPriority w:val="0"/>
    <w:rPr>
      <w:i/>
      <w:color w:val="000000"/>
    </w:rPr>
  </w:style>
  <w:style w:type="character" w:customStyle="1" w:styleId="325">
    <w:name w:val="页眉 Char2"/>
    <w:basedOn w:val="55"/>
    <w:semiHidden/>
    <w:qFormat/>
    <w:uiPriority w:val="99"/>
    <w:rPr>
      <w:rFonts w:ascii="Times New Roman" w:hAnsi="Times New Roman" w:eastAsia="宋体" w:cs="Times New Roman"/>
      <w:kern w:val="0"/>
      <w:sz w:val="18"/>
      <w:szCs w:val="18"/>
    </w:rPr>
  </w:style>
  <w:style w:type="character" w:customStyle="1" w:styleId="326">
    <w:name w:val="Char Char"/>
    <w:qFormat/>
    <w:uiPriority w:val="0"/>
    <w:rPr>
      <w:rFonts w:ascii="楷体_GB2312" w:hAnsi="Times New Roman" w:eastAsia="楷体_GB2312"/>
      <w:kern w:val="2"/>
      <w:sz w:val="32"/>
    </w:rPr>
  </w:style>
  <w:style w:type="character" w:customStyle="1" w:styleId="327">
    <w:name w:val="Char Char281"/>
    <w:uiPriority w:val="0"/>
    <w:rPr>
      <w:rFonts w:ascii="Cambria" w:hAnsi="Cambria" w:eastAsia="宋体"/>
      <w:b/>
      <w:kern w:val="2"/>
      <w:sz w:val="24"/>
      <w:lang w:val="en-US" w:eastAsia="zh-CN"/>
    </w:rPr>
  </w:style>
  <w:style w:type="character" w:customStyle="1" w:styleId="328">
    <w:name w:val="正文文本 Char1"/>
    <w:qFormat/>
    <w:uiPriority w:val="0"/>
    <w:rPr>
      <w:kern w:val="2"/>
      <w:sz w:val="21"/>
      <w:szCs w:val="22"/>
    </w:rPr>
  </w:style>
  <w:style w:type="character" w:customStyle="1" w:styleId="329">
    <w:name w:val="Plain Text Char"/>
    <w:basedOn w:val="55"/>
    <w:locked/>
    <w:uiPriority w:val="0"/>
    <w:rPr>
      <w:rFonts w:ascii="宋体" w:hAnsi="Courier New" w:eastAsia="宋体" w:cs="Times New Roman"/>
      <w:sz w:val="20"/>
      <w:szCs w:val="20"/>
    </w:rPr>
  </w:style>
  <w:style w:type="character" w:customStyle="1" w:styleId="330">
    <w:name w:val="CITE"/>
    <w:qFormat/>
    <w:uiPriority w:val="0"/>
    <w:rPr>
      <w:i/>
    </w:rPr>
  </w:style>
  <w:style w:type="character" w:customStyle="1" w:styleId="331">
    <w:name w:val="Char Char36"/>
    <w:qFormat/>
    <w:uiPriority w:val="0"/>
    <w:rPr>
      <w:rFonts w:ascii="黑体" w:hAnsi="黑体" w:eastAsia="黑体"/>
      <w:bCs/>
      <w:kern w:val="44"/>
      <w:sz w:val="32"/>
      <w:szCs w:val="44"/>
    </w:rPr>
  </w:style>
  <w:style w:type="character" w:customStyle="1" w:styleId="332">
    <w:name w:val="Char Char14"/>
    <w:qFormat/>
    <w:uiPriority w:val="0"/>
    <w:rPr>
      <w:rFonts w:ascii="黑体" w:hAnsi="黑体" w:eastAsia="黑体"/>
      <w:bCs/>
      <w:kern w:val="2"/>
      <w:sz w:val="28"/>
      <w:szCs w:val="32"/>
    </w:rPr>
  </w:style>
  <w:style w:type="character" w:customStyle="1" w:styleId="333">
    <w:name w:val="Char Char18"/>
    <w:qFormat/>
    <w:uiPriority w:val="0"/>
    <w:rPr>
      <w:rFonts w:ascii="黑体" w:hAnsi="黑体" w:eastAsia="黑体"/>
      <w:bCs/>
      <w:kern w:val="44"/>
      <w:sz w:val="32"/>
      <w:szCs w:val="44"/>
    </w:rPr>
  </w:style>
  <w:style w:type="character" w:customStyle="1" w:styleId="334">
    <w:name w:val="Heading 1 Char"/>
    <w:basedOn w:val="55"/>
    <w:locked/>
    <w:uiPriority w:val="0"/>
    <w:rPr>
      <w:rFonts w:ascii="Times New Roman" w:hAnsi="Times New Roman" w:eastAsia="宋体" w:cs="Times New Roman"/>
      <w:b/>
      <w:kern w:val="44"/>
      <w:sz w:val="44"/>
    </w:rPr>
  </w:style>
  <w:style w:type="character" w:customStyle="1" w:styleId="335">
    <w:name w:val="Intense Reference"/>
    <w:qFormat/>
    <w:uiPriority w:val="0"/>
    <w:rPr>
      <w:b/>
      <w:bCs/>
      <w:smallCaps/>
      <w:color w:val="C0504D"/>
      <w:spacing w:val="5"/>
      <w:u w:val="single"/>
    </w:rPr>
  </w:style>
  <w:style w:type="character" w:customStyle="1" w:styleId="336">
    <w:name w:val="正文文本缩进 2 Char2"/>
    <w:basedOn w:val="55"/>
    <w:semiHidden/>
    <w:qFormat/>
    <w:uiPriority w:val="99"/>
    <w:rPr>
      <w:rFonts w:ascii="Times New Roman" w:hAnsi="Times New Roman" w:eastAsia="宋体" w:cs="Times New Roman"/>
      <w:kern w:val="0"/>
      <w:szCs w:val="20"/>
    </w:rPr>
  </w:style>
  <w:style w:type="character" w:customStyle="1" w:styleId="337">
    <w:name w:val="Char Char261"/>
    <w:uiPriority w:val="0"/>
    <w:rPr>
      <w:rFonts w:ascii="Cambria" w:hAnsi="Cambria" w:eastAsia="宋体"/>
      <w:kern w:val="2"/>
      <w:sz w:val="24"/>
      <w:lang w:val="en-US" w:eastAsia="zh-CN"/>
    </w:rPr>
  </w:style>
  <w:style w:type="character" w:customStyle="1" w:styleId="338">
    <w:name w:val="页脚 Char2"/>
    <w:basedOn w:val="55"/>
    <w:semiHidden/>
    <w:qFormat/>
    <w:uiPriority w:val="99"/>
    <w:rPr>
      <w:rFonts w:ascii="Times New Roman" w:hAnsi="Times New Roman" w:eastAsia="宋体" w:cs="Times New Roman"/>
      <w:kern w:val="0"/>
      <w:sz w:val="18"/>
      <w:szCs w:val="18"/>
    </w:rPr>
  </w:style>
  <w:style w:type="character" w:customStyle="1" w:styleId="339">
    <w:name w:val="Char Char331"/>
    <w:uiPriority w:val="0"/>
    <w:rPr>
      <w:rFonts w:ascii="Calibri" w:hAnsi="Calibri" w:eastAsia="宋体"/>
      <w:b/>
      <w:kern w:val="44"/>
      <w:sz w:val="44"/>
      <w:lang w:val="en-US" w:eastAsia="zh-CN"/>
    </w:rPr>
  </w:style>
  <w:style w:type="character" w:customStyle="1" w:styleId="340">
    <w:name w:val="Char Char291"/>
    <w:uiPriority w:val="0"/>
    <w:rPr>
      <w:rFonts w:ascii="Calibri" w:hAnsi="Calibri" w:eastAsia="宋体"/>
      <w:b/>
      <w:kern w:val="2"/>
      <w:sz w:val="28"/>
      <w:lang w:val="en-US" w:eastAsia="zh-CN"/>
    </w:rPr>
  </w:style>
  <w:style w:type="character" w:customStyle="1" w:styleId="341">
    <w:name w:val="正文文本 Char2"/>
    <w:qFormat/>
    <w:uiPriority w:val="0"/>
    <w:rPr>
      <w:kern w:val="2"/>
      <w:sz w:val="30"/>
    </w:rPr>
  </w:style>
  <w:style w:type="character" w:customStyle="1" w:styleId="342">
    <w:name w:val="Char Char13"/>
    <w:uiPriority w:val="0"/>
    <w:rPr>
      <w:rFonts w:ascii="Calibri" w:hAnsi="Calibri" w:eastAsia="宋体"/>
      <w:b/>
      <w:kern w:val="2"/>
      <w:sz w:val="24"/>
      <w:lang w:val="en-US" w:eastAsia="zh-CN"/>
    </w:rPr>
  </w:style>
  <w:style w:type="character" w:customStyle="1" w:styleId="343">
    <w:name w:val="h Char1"/>
    <w:qFormat/>
    <w:uiPriority w:val="0"/>
    <w:rPr>
      <w:rFonts w:eastAsia="宋体"/>
      <w:kern w:val="2"/>
      <w:sz w:val="18"/>
      <w:szCs w:val="18"/>
      <w:lang w:val="en-US" w:eastAsia="zh-CN" w:bidi="ar-SA"/>
    </w:rPr>
  </w:style>
  <w:style w:type="character" w:customStyle="1" w:styleId="344">
    <w:name w:val="Char Char191"/>
    <w:uiPriority w:val="0"/>
    <w:rPr>
      <w:rFonts w:eastAsia="宋体"/>
      <w:kern w:val="2"/>
      <w:sz w:val="24"/>
      <w:lang w:val="en-US" w:eastAsia="zh-CN"/>
    </w:rPr>
  </w:style>
  <w:style w:type="character" w:customStyle="1" w:styleId="345">
    <w:name w:val="Char Char20"/>
    <w:qFormat/>
    <w:uiPriority w:val="0"/>
    <w:rPr>
      <w:rFonts w:eastAsia="宋体"/>
      <w:kern w:val="2"/>
      <w:sz w:val="18"/>
      <w:szCs w:val="18"/>
      <w:lang w:val="en-US" w:eastAsia="zh-CN" w:bidi="ar-SA"/>
    </w:rPr>
  </w:style>
  <w:style w:type="character" w:customStyle="1" w:styleId="346">
    <w:name w:val="style201"/>
    <w:qFormat/>
    <w:uiPriority w:val="0"/>
    <w:rPr>
      <w:sz w:val="14"/>
      <w:szCs w:val="14"/>
    </w:rPr>
  </w:style>
  <w:style w:type="paragraph" w:customStyle="1" w:styleId="347">
    <w:name w:val="样式 标题 2 + Times New Roman 四号 非加粗 段前: 5 磅 段后: 0 磅 行距: 固定值 20..."/>
    <w:basedOn w:val="5"/>
    <w:qFormat/>
    <w:uiPriority w:val="0"/>
    <w:pPr>
      <w:widowControl w:val="0"/>
      <w:spacing w:beforeLines="30" w:afterLines="30" w:line="400" w:lineRule="exact"/>
      <w:jc w:val="both"/>
    </w:pPr>
    <w:rPr>
      <w:rFonts w:ascii="Times New Roman" w:hAnsi="Times New Roman" w:eastAsia="黑体" w:cs="宋体"/>
      <w:bCs w:val="0"/>
      <w:sz w:val="28"/>
      <w:szCs w:val="20"/>
    </w:rPr>
  </w:style>
  <w:style w:type="paragraph" w:customStyle="1" w:styleId="348">
    <w:name w:val="Char Char Char Char Char Char Char Char Char Char Char Char Char1"/>
    <w:basedOn w:val="1"/>
    <w:qFormat/>
    <w:uiPriority w:val="0"/>
    <w:pPr>
      <w:widowControl w:val="0"/>
      <w:jc w:val="both"/>
    </w:pPr>
    <w:rPr>
      <w:rFonts w:ascii="Tahoma" w:hAnsi="Tahoma"/>
      <w:kern w:val="2"/>
      <w:sz w:val="24"/>
    </w:rPr>
  </w:style>
  <w:style w:type="paragraph" w:customStyle="1" w:styleId="34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0">
    <w:name w:val="普通(网站)1"/>
    <w:basedOn w:val="1"/>
    <w:qFormat/>
    <w:uiPriority w:val="0"/>
    <w:pPr>
      <w:spacing w:before="100" w:after="100"/>
    </w:pPr>
    <w:rPr>
      <w:rFonts w:ascii="宋体"/>
      <w:sz w:val="18"/>
    </w:rPr>
  </w:style>
  <w:style w:type="paragraph" w:customStyle="1" w:styleId="351">
    <w:name w:val="Char Char Char Char Char Char Char Char Char Char Char Char Char Char Char Char Char Char Char Char Char Char Char Char Char Char Char Char Char Char Char Char Char"/>
    <w:basedOn w:val="1"/>
    <w:qFormat/>
    <w:uiPriority w:val="0"/>
    <w:pPr>
      <w:spacing w:after="160" w:line="240" w:lineRule="exact"/>
    </w:pPr>
    <w:rPr>
      <w:kern w:val="2"/>
    </w:rPr>
  </w:style>
  <w:style w:type="paragraph" w:customStyle="1" w:styleId="352">
    <w:name w:val="xl78"/>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sz w:val="18"/>
      <w:szCs w:val="18"/>
    </w:rPr>
  </w:style>
  <w:style w:type="paragraph" w:customStyle="1" w:styleId="353">
    <w:name w:val="Blockquote"/>
    <w:basedOn w:val="1"/>
    <w:qFormat/>
    <w:uiPriority w:val="0"/>
    <w:pPr>
      <w:widowControl w:val="0"/>
      <w:autoSpaceDE w:val="0"/>
      <w:autoSpaceDN w:val="0"/>
      <w:adjustRightInd w:val="0"/>
      <w:spacing w:before="100" w:after="100"/>
      <w:ind w:left="360" w:right="360"/>
    </w:pPr>
    <w:rPr>
      <w:sz w:val="24"/>
    </w:rPr>
  </w:style>
  <w:style w:type="paragraph" w:customStyle="1" w:styleId="354">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Courier New"/>
      <w:sz w:val="24"/>
      <w:szCs w:val="24"/>
      <w:lang w:eastAsia="en-US"/>
    </w:rPr>
  </w:style>
  <w:style w:type="paragraph" w:customStyle="1" w:styleId="355">
    <w:name w:val="Char2"/>
    <w:basedOn w:val="1"/>
    <w:qFormat/>
    <w:uiPriority w:val="0"/>
    <w:pPr>
      <w:spacing w:beforeLines="350" w:afterLines="350" w:line="600" w:lineRule="exact"/>
    </w:pPr>
    <w:rPr>
      <w:rFonts w:ascii="黑体" w:hAnsi="Arial" w:eastAsia="黑体" w:cs="仿宋_GB2312"/>
      <w:b/>
      <w:color w:val="10000A"/>
      <w:sz w:val="26"/>
      <w:szCs w:val="26"/>
      <w:lang w:eastAsia="en-US"/>
    </w:rPr>
  </w:style>
  <w:style w:type="paragraph" w:customStyle="1" w:styleId="356">
    <w:name w:val="Definition List"/>
    <w:basedOn w:val="1"/>
    <w:next w:val="357"/>
    <w:qFormat/>
    <w:uiPriority w:val="0"/>
    <w:pPr>
      <w:widowControl w:val="0"/>
      <w:autoSpaceDE w:val="0"/>
      <w:autoSpaceDN w:val="0"/>
      <w:adjustRightInd w:val="0"/>
      <w:ind w:left="360"/>
    </w:pPr>
    <w:rPr>
      <w:sz w:val="24"/>
    </w:rPr>
  </w:style>
  <w:style w:type="paragraph" w:customStyle="1" w:styleId="357">
    <w:name w:val="Definition Term"/>
    <w:basedOn w:val="1"/>
    <w:next w:val="356"/>
    <w:qFormat/>
    <w:uiPriority w:val="0"/>
    <w:pPr>
      <w:widowControl w:val="0"/>
      <w:autoSpaceDE w:val="0"/>
      <w:autoSpaceDN w:val="0"/>
      <w:adjustRightInd w:val="0"/>
    </w:pPr>
    <w:rPr>
      <w:sz w:val="24"/>
    </w:rPr>
  </w:style>
  <w:style w:type="paragraph" w:customStyle="1" w:styleId="358">
    <w:name w:val="xl9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b/>
      <w:bCs/>
      <w:sz w:val="18"/>
      <w:szCs w:val="18"/>
    </w:rPr>
  </w:style>
  <w:style w:type="paragraph" w:customStyle="1" w:styleId="359">
    <w:name w:val="xl61"/>
    <w:basedOn w:val="1"/>
    <w:qFormat/>
    <w:uiPriority w:val="0"/>
    <w:pPr>
      <w:pBdr>
        <w:top w:val="single" w:color="auto" w:sz="4" w:space="0"/>
        <w:left w:val="single" w:color="auto" w:sz="8" w:space="0"/>
      </w:pBdr>
      <w:spacing w:before="100" w:beforeAutospacing="1" w:after="100" w:afterAutospacing="1"/>
      <w:jc w:val="center"/>
      <w:textAlignment w:val="center"/>
    </w:pPr>
    <w:rPr>
      <w:rFonts w:ascii="Arial Unicode MS" w:hAnsi="Arial Unicode MS" w:eastAsia="Arial Unicode MS"/>
      <w:b/>
      <w:bCs/>
      <w:sz w:val="28"/>
      <w:szCs w:val="28"/>
    </w:rPr>
  </w:style>
  <w:style w:type="paragraph" w:customStyle="1" w:styleId="360">
    <w:name w:val="xl5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sz w:val="20"/>
    </w:rPr>
  </w:style>
  <w:style w:type="paragraph" w:customStyle="1" w:styleId="361">
    <w:name w:val="正文-带编号1)"/>
    <w:basedOn w:val="1"/>
    <w:qFormat/>
    <w:uiPriority w:val="0"/>
    <w:pPr>
      <w:widowControl w:val="0"/>
      <w:spacing w:line="400" w:lineRule="exact"/>
      <w:ind w:left="420" w:hanging="420"/>
      <w:jc w:val="both"/>
    </w:pPr>
    <w:rPr>
      <w:rFonts w:ascii="Arial" w:hAnsi="Arial"/>
      <w:kern w:val="2"/>
      <w:szCs w:val="24"/>
    </w:rPr>
  </w:style>
  <w:style w:type="paragraph" w:customStyle="1" w:styleId="362">
    <w:name w:val="xl60"/>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sz w:val="20"/>
    </w:rPr>
  </w:style>
  <w:style w:type="paragraph" w:customStyle="1" w:styleId="363">
    <w:name w:val="H1"/>
    <w:basedOn w:val="1"/>
    <w:next w:val="1"/>
    <w:qFormat/>
    <w:uiPriority w:val="0"/>
    <w:pPr>
      <w:keepNext/>
      <w:widowControl w:val="0"/>
      <w:autoSpaceDE w:val="0"/>
      <w:autoSpaceDN w:val="0"/>
      <w:adjustRightInd w:val="0"/>
      <w:spacing w:before="100" w:after="100"/>
      <w:outlineLvl w:val="1"/>
    </w:pPr>
    <w:rPr>
      <w:b/>
      <w:kern w:val="36"/>
      <w:sz w:val="48"/>
    </w:rPr>
  </w:style>
  <w:style w:type="paragraph" w:customStyle="1" w:styleId="364">
    <w:name w:val="H4"/>
    <w:basedOn w:val="1"/>
    <w:next w:val="1"/>
    <w:qFormat/>
    <w:uiPriority w:val="0"/>
    <w:pPr>
      <w:keepNext/>
      <w:widowControl w:val="0"/>
      <w:autoSpaceDE w:val="0"/>
      <w:autoSpaceDN w:val="0"/>
      <w:adjustRightInd w:val="0"/>
      <w:spacing w:before="100" w:after="100"/>
      <w:outlineLvl w:val="4"/>
    </w:pPr>
    <w:rPr>
      <w:b/>
      <w:sz w:val="24"/>
    </w:rPr>
  </w:style>
  <w:style w:type="paragraph" w:customStyle="1" w:styleId="365">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6">
    <w:name w:val="_Style 22"/>
    <w:qFormat/>
    <w:uiPriority w:val="0"/>
    <w:rPr>
      <w:rFonts w:ascii="Calibri" w:hAnsi="Calibri" w:eastAsia="宋体" w:cs="Times New Roman"/>
      <w:kern w:val="2"/>
      <w:sz w:val="21"/>
      <w:szCs w:val="22"/>
      <w:lang w:val="en-US" w:eastAsia="zh-CN" w:bidi="ar-SA"/>
    </w:rPr>
  </w:style>
  <w:style w:type="paragraph" w:customStyle="1" w:styleId="367">
    <w:name w:val="Char1 Char Char Char Char Char Char Char Char Char1 Char Char"/>
    <w:basedOn w:val="1"/>
    <w:qFormat/>
    <w:uiPriority w:val="0"/>
    <w:pPr>
      <w:widowControl w:val="0"/>
      <w:jc w:val="both"/>
    </w:pPr>
    <w:rPr>
      <w:rFonts w:ascii="Tahoma" w:hAnsi="Tahoma"/>
      <w:kern w:val="2"/>
      <w:sz w:val="24"/>
    </w:rPr>
  </w:style>
  <w:style w:type="paragraph" w:customStyle="1" w:styleId="368">
    <w:name w:val="xl77"/>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sz w:val="28"/>
      <w:szCs w:val="28"/>
    </w:rPr>
  </w:style>
  <w:style w:type="paragraph" w:customStyle="1" w:styleId="369">
    <w:name w:val="font7"/>
    <w:basedOn w:val="1"/>
    <w:qFormat/>
    <w:uiPriority w:val="0"/>
    <w:pPr>
      <w:spacing w:before="100" w:beforeAutospacing="1" w:after="100" w:afterAutospacing="1"/>
    </w:pPr>
    <w:rPr>
      <w:rFonts w:hint="eastAsia" w:ascii="宋体" w:hAnsi="宋体" w:cs="Courier New"/>
      <w:szCs w:val="21"/>
      <w:lang w:eastAsia="en-US"/>
    </w:rPr>
  </w:style>
  <w:style w:type="paragraph" w:customStyle="1" w:styleId="370">
    <w:name w:val="xl62"/>
    <w:basedOn w:val="1"/>
    <w:qFormat/>
    <w:uiPriority w:val="0"/>
    <w:pPr>
      <w:pBdr>
        <w:top w:val="single" w:color="auto" w:sz="4" w:space="0"/>
      </w:pBdr>
      <w:spacing w:before="100" w:beforeAutospacing="1" w:after="100" w:afterAutospacing="1"/>
      <w:jc w:val="center"/>
      <w:textAlignment w:val="center"/>
    </w:pPr>
    <w:rPr>
      <w:rFonts w:ascii="Arial Unicode MS" w:hAnsi="Arial Unicode MS" w:eastAsia="Arial Unicode MS"/>
      <w:b/>
      <w:bCs/>
      <w:sz w:val="28"/>
      <w:szCs w:val="28"/>
    </w:rPr>
  </w:style>
  <w:style w:type="paragraph" w:customStyle="1" w:styleId="371">
    <w:name w:val="样式4"/>
    <w:basedOn w:val="6"/>
    <w:qFormat/>
    <w:uiPriority w:val="0"/>
    <w:pPr>
      <w:widowControl w:val="0"/>
      <w:spacing w:line="415" w:lineRule="auto"/>
      <w:jc w:val="both"/>
    </w:pPr>
    <w:rPr>
      <w:rFonts w:eastAsia="Arial"/>
      <w:kern w:val="2"/>
    </w:rPr>
  </w:style>
  <w:style w:type="paragraph" w:customStyle="1" w:styleId="372">
    <w:name w:val="招标文件－标准正文"/>
    <w:basedOn w:val="29"/>
    <w:qFormat/>
    <w:uiPriority w:val="0"/>
    <w:pPr>
      <w:spacing w:line="360" w:lineRule="auto"/>
    </w:pPr>
    <w:rPr>
      <w:rFonts w:cs="宋体"/>
      <w:color w:val="000000"/>
      <w:sz w:val="24"/>
    </w:rPr>
  </w:style>
  <w:style w:type="paragraph" w:customStyle="1" w:styleId="373">
    <w:name w:val="xl5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20"/>
    </w:rPr>
  </w:style>
  <w:style w:type="paragraph" w:customStyle="1" w:styleId="374">
    <w:name w:val="Char Char Char Char1"/>
    <w:basedOn w:val="1"/>
    <w:qFormat/>
    <w:uiPriority w:val="0"/>
    <w:pPr>
      <w:widowControl w:val="0"/>
      <w:spacing w:line="400" w:lineRule="exact"/>
      <w:ind w:firstLine="200" w:firstLineChars="200"/>
      <w:jc w:val="both"/>
    </w:pPr>
    <w:rPr>
      <w:rFonts w:ascii="宋体" w:hAnsi="宋体"/>
      <w:kern w:val="2"/>
      <w:szCs w:val="24"/>
    </w:rPr>
  </w:style>
  <w:style w:type="paragraph" w:customStyle="1" w:styleId="375">
    <w:name w:val="TOP"/>
    <w:basedOn w:val="4"/>
    <w:qFormat/>
    <w:uiPriority w:val="0"/>
    <w:pPr>
      <w:widowControl/>
      <w:tabs>
        <w:tab w:val="clear" w:pos="840"/>
      </w:tabs>
      <w:adjustRightInd/>
      <w:snapToGrid/>
      <w:spacing w:before="340" w:after="330" w:line="578" w:lineRule="auto"/>
      <w:jc w:val="center"/>
    </w:pPr>
    <w:rPr>
      <w:rFonts w:ascii="隶书" w:eastAsia="隶书"/>
      <w:bCs/>
      <w:kern w:val="0"/>
      <w:sz w:val="52"/>
    </w:rPr>
  </w:style>
  <w:style w:type="paragraph" w:customStyle="1" w:styleId="376">
    <w:name w:val="四级目录 Char Char Char Char Char"/>
    <w:next w:val="1"/>
    <w:qFormat/>
    <w:uiPriority w:val="0"/>
    <w:pPr>
      <w:spacing w:line="360" w:lineRule="auto"/>
      <w:ind w:left="200" w:leftChars="200"/>
    </w:pPr>
    <w:rPr>
      <w:rFonts w:ascii="Times New Roman" w:hAnsi="Times New Roman" w:eastAsia="宋体" w:cs="Times New Roman"/>
      <w:kern w:val="0"/>
      <w:sz w:val="20"/>
      <w:szCs w:val="20"/>
      <w:lang w:val="en-US" w:eastAsia="zh-CN" w:bidi="ar-SA"/>
    </w:rPr>
  </w:style>
  <w:style w:type="paragraph" w:customStyle="1" w:styleId="377">
    <w:name w:val="Char Char Char Char Char Char Char Char Char1 Char"/>
    <w:basedOn w:val="1"/>
    <w:qFormat/>
    <w:uiPriority w:val="0"/>
    <w:pPr>
      <w:widowControl w:val="0"/>
      <w:jc w:val="both"/>
    </w:pPr>
    <w:rPr>
      <w:kern w:val="2"/>
    </w:rPr>
  </w:style>
  <w:style w:type="paragraph" w:customStyle="1" w:styleId="378">
    <w:name w:val="样式 标题 1 + 黑体 三号 非加粗 居中 段前: 6 磅 段后: 6 磅 行距: 固定值 20 磅"/>
    <w:basedOn w:val="4"/>
    <w:qFormat/>
    <w:uiPriority w:val="0"/>
    <w:pPr>
      <w:tabs>
        <w:tab w:val="clear" w:pos="840"/>
      </w:tabs>
      <w:adjustRightInd/>
      <w:snapToGrid/>
      <w:spacing w:before="120" w:after="120" w:line="400" w:lineRule="exact"/>
      <w:jc w:val="center"/>
    </w:pPr>
    <w:rPr>
      <w:rFonts w:ascii="黑体" w:hAnsi="黑体" w:eastAsia="黑体" w:cs="宋体"/>
      <w:b w:val="0"/>
      <w:sz w:val="32"/>
    </w:rPr>
  </w:style>
  <w:style w:type="paragraph" w:customStyle="1" w:styleId="379">
    <w:name w:val="xl39"/>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Arial Unicode MS" w:hAnsi="Arial Unicode MS" w:eastAsia="Arial Unicode MS"/>
      <w:b/>
      <w:bCs/>
      <w:sz w:val="24"/>
      <w:szCs w:val="24"/>
    </w:rPr>
  </w:style>
  <w:style w:type="paragraph" w:customStyle="1" w:styleId="380">
    <w:name w:val="Char Char Char Char Char Char Char Char Char Char Char"/>
    <w:basedOn w:val="1"/>
    <w:qFormat/>
    <w:uiPriority w:val="0"/>
    <w:pPr>
      <w:widowControl w:val="0"/>
      <w:jc w:val="both"/>
    </w:pPr>
    <w:rPr>
      <w:rFonts w:ascii="Tahoma" w:hAnsi="Tahoma"/>
      <w:kern w:val="2"/>
      <w:sz w:val="24"/>
    </w:rPr>
  </w:style>
  <w:style w:type="paragraph" w:customStyle="1" w:styleId="381">
    <w:name w:val="_Style 10"/>
    <w:basedOn w:val="1"/>
    <w:qFormat/>
    <w:uiPriority w:val="0"/>
    <w:pPr>
      <w:widowControl w:val="0"/>
      <w:ind w:firstLine="420" w:firstLineChars="200"/>
      <w:jc w:val="both"/>
    </w:pPr>
    <w:rPr>
      <w:rFonts w:ascii="Calibri" w:hAnsi="Calibri"/>
      <w:kern w:val="2"/>
      <w:szCs w:val="22"/>
    </w:rPr>
  </w:style>
  <w:style w:type="paragraph" w:customStyle="1" w:styleId="382">
    <w:name w:val="xl59"/>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sz w:val="20"/>
    </w:rPr>
  </w:style>
  <w:style w:type="paragraph" w:customStyle="1" w:styleId="383">
    <w:name w:val="样式 表内正文 + 五号 行距: 单倍行距"/>
    <w:basedOn w:val="384"/>
    <w:qFormat/>
    <w:uiPriority w:val="0"/>
    <w:pPr>
      <w:spacing w:line="240" w:lineRule="auto"/>
      <w:ind w:firstLine="0" w:firstLineChars="0"/>
    </w:pPr>
    <w:rPr>
      <w:rFonts w:ascii="Arial" w:hAnsi="Arial" w:cs="宋体"/>
      <w:sz w:val="21"/>
    </w:rPr>
  </w:style>
  <w:style w:type="paragraph" w:customStyle="1" w:styleId="384">
    <w:name w:val="表内正文"/>
    <w:basedOn w:val="1"/>
    <w:qFormat/>
    <w:uiPriority w:val="0"/>
    <w:pPr>
      <w:widowControl w:val="0"/>
      <w:adjustRightInd w:val="0"/>
      <w:snapToGrid w:val="0"/>
      <w:spacing w:line="288" w:lineRule="auto"/>
      <w:ind w:firstLine="200" w:firstLineChars="200"/>
      <w:jc w:val="both"/>
    </w:pPr>
    <w:rPr>
      <w:rFonts w:ascii="宋体"/>
      <w:kern w:val="2"/>
      <w:sz w:val="20"/>
    </w:rPr>
  </w:style>
  <w:style w:type="paragraph" w:customStyle="1" w:styleId="385">
    <w:name w:val="Char Char Char Char Char Char Char Char Char Char"/>
    <w:basedOn w:val="18"/>
    <w:qFormat/>
    <w:uiPriority w:val="0"/>
    <w:pPr>
      <w:widowControl w:val="0"/>
      <w:shd w:val="clear" w:color="auto" w:fill="000080"/>
      <w:tabs>
        <w:tab w:val="left" w:pos="482"/>
        <w:tab w:val="left" w:pos="2183"/>
        <w:tab w:val="left" w:pos="3884"/>
        <w:tab w:val="left" w:pos="5585"/>
      </w:tabs>
      <w:adjustRightInd w:val="0"/>
      <w:jc w:val="both"/>
      <w:textAlignment w:val="baseline"/>
    </w:pPr>
    <w:rPr>
      <w:rFonts w:ascii="Times New Roman"/>
      <w:sz w:val="24"/>
      <w:szCs w:val="20"/>
    </w:rPr>
  </w:style>
  <w:style w:type="paragraph" w:customStyle="1" w:styleId="386">
    <w:name w:val="z-Bottom of Form"/>
    <w:next w:val="1"/>
    <w:qFormat/>
    <w:uiPriority w:val="0"/>
    <w:pPr>
      <w:widowControl w:val="0"/>
      <w:pBdr>
        <w:top w:val="double" w:color="000000" w:sz="2" w:space="0"/>
      </w:pBdr>
      <w:autoSpaceDE w:val="0"/>
      <w:autoSpaceDN w:val="0"/>
      <w:adjustRightInd w:val="0"/>
      <w:jc w:val="center"/>
    </w:pPr>
    <w:rPr>
      <w:rFonts w:ascii="Arial" w:hAnsi="Arial" w:eastAsia="宋体" w:cs="Times New Roman"/>
      <w:vanish/>
      <w:kern w:val="0"/>
      <w:sz w:val="16"/>
      <w:szCs w:val="20"/>
      <w:lang w:val="en-US" w:eastAsia="zh-CN" w:bidi="ar-SA"/>
    </w:rPr>
  </w:style>
  <w:style w:type="paragraph" w:customStyle="1" w:styleId="387">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388">
    <w:name w:val="修订"/>
    <w:uiPriority w:val="0"/>
    <w:rPr>
      <w:kern w:val="2"/>
      <w:sz w:val="21"/>
      <w:szCs w:val="24"/>
      <w:lang w:val="en-US" w:eastAsia="zh-CN" w:bidi="ar-SA"/>
    </w:rPr>
  </w:style>
  <w:style w:type="paragraph" w:customStyle="1" w:styleId="389">
    <w:name w:val="xl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Arial Unicode MS"/>
      <w:sz w:val="24"/>
      <w:szCs w:val="24"/>
      <w:lang w:eastAsia="en-US"/>
    </w:rPr>
  </w:style>
  <w:style w:type="paragraph" w:customStyle="1" w:styleId="390">
    <w:name w:val="xl64"/>
    <w:basedOn w:val="1"/>
    <w:qFormat/>
    <w:uiPriority w:val="0"/>
    <w:pPr>
      <w:pBdr>
        <w:top w:val="single" w:color="auto" w:sz="4" w:space="0"/>
        <w:left w:val="single" w:color="auto" w:sz="8" w:space="0"/>
        <w:bottom w:val="single" w:color="auto" w:sz="4" w:space="0"/>
      </w:pBdr>
      <w:spacing w:before="100" w:beforeAutospacing="1" w:after="100" w:afterAutospacing="1"/>
      <w:jc w:val="center"/>
    </w:pPr>
    <w:rPr>
      <w:rFonts w:ascii="Arial Unicode MS" w:hAnsi="Arial Unicode MS" w:eastAsia="Arial Unicode MS"/>
      <w:b/>
      <w:bCs/>
      <w:sz w:val="28"/>
      <w:szCs w:val="28"/>
    </w:rPr>
  </w:style>
  <w:style w:type="paragraph" w:customStyle="1" w:styleId="391">
    <w:name w:val="zbzw2"/>
    <w:basedOn w:val="1"/>
    <w:qFormat/>
    <w:uiPriority w:val="0"/>
    <w:pPr>
      <w:widowControl w:val="0"/>
      <w:tabs>
        <w:tab w:val="left" w:pos="720"/>
      </w:tabs>
      <w:spacing w:line="380" w:lineRule="exact"/>
      <w:ind w:right="-76" w:firstLine="420" w:firstLineChars="200"/>
      <w:jc w:val="both"/>
    </w:pPr>
    <w:rPr>
      <w:rFonts w:ascii="宋体" w:hAnsi="宋体"/>
      <w:kern w:val="2"/>
      <w:szCs w:val="21"/>
    </w:rPr>
  </w:style>
  <w:style w:type="paragraph" w:customStyle="1" w:styleId="392">
    <w:name w:val="标书标题3"/>
    <w:basedOn w:val="6"/>
    <w:qFormat/>
    <w:uiPriority w:val="0"/>
    <w:pPr>
      <w:keepLines w:val="0"/>
      <w:adjustRightInd w:val="0"/>
      <w:snapToGrid w:val="0"/>
      <w:spacing w:before="120" w:after="60" w:line="300" w:lineRule="auto"/>
    </w:pPr>
    <w:rPr>
      <w:rFonts w:ascii="Arial Narrow" w:hAnsi="Arial Narrow" w:eastAsia="仿宋_GB2312"/>
      <w:b w:val="0"/>
      <w:bCs w:val="0"/>
      <w:color w:val="000000"/>
      <w:sz w:val="28"/>
    </w:rPr>
  </w:style>
  <w:style w:type="paragraph" w:customStyle="1" w:styleId="393">
    <w:name w:val="xl55"/>
    <w:basedOn w:val="1"/>
    <w:qFormat/>
    <w:uiPriority w:val="0"/>
    <w:pPr>
      <w:spacing w:before="100" w:beforeAutospacing="1" w:after="100" w:afterAutospacing="1"/>
      <w:jc w:val="center"/>
      <w:textAlignment w:val="center"/>
    </w:pPr>
    <w:rPr>
      <w:rFonts w:ascii="Arial Unicode MS" w:hAnsi="Arial Unicode MS"/>
      <w:sz w:val="24"/>
      <w:szCs w:val="24"/>
    </w:rPr>
  </w:style>
  <w:style w:type="paragraph" w:customStyle="1" w:styleId="394">
    <w:name w:val="Char Char Char2 Char"/>
    <w:basedOn w:val="1"/>
    <w:qFormat/>
    <w:uiPriority w:val="0"/>
    <w:pPr>
      <w:widowControl w:val="0"/>
      <w:tabs>
        <w:tab w:val="left" w:pos="360"/>
      </w:tabs>
      <w:spacing w:line="400" w:lineRule="exact"/>
      <w:ind w:left="360" w:hanging="360" w:firstLineChars="200"/>
      <w:jc w:val="both"/>
    </w:pPr>
    <w:rPr>
      <w:rFonts w:ascii="方正综艺简体" w:hAnsi="方正综艺简体" w:eastAsia="方正综艺简体" w:cs="方正综艺简体"/>
      <w:kern w:val="2"/>
      <w:szCs w:val="24"/>
    </w:rPr>
  </w:style>
  <w:style w:type="paragraph" w:customStyle="1" w:styleId="395">
    <w:name w:val="xl102"/>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sz w:val="18"/>
      <w:szCs w:val="18"/>
    </w:rPr>
  </w:style>
  <w:style w:type="paragraph" w:customStyle="1" w:styleId="396">
    <w:name w:val="a1"/>
    <w:basedOn w:val="1"/>
    <w:qFormat/>
    <w:uiPriority w:val="0"/>
    <w:pPr>
      <w:spacing w:before="100" w:beforeAutospacing="1" w:after="100" w:afterAutospacing="1"/>
    </w:pPr>
    <w:rPr>
      <w:rFonts w:ascii="宋体" w:hAnsi="宋体" w:cs="宋体"/>
      <w:sz w:val="24"/>
      <w:szCs w:val="24"/>
    </w:rPr>
  </w:style>
  <w:style w:type="paragraph" w:customStyle="1" w:styleId="397">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ourier New"/>
      <w:szCs w:val="21"/>
      <w:lang w:eastAsia="en-US"/>
    </w:rPr>
  </w:style>
  <w:style w:type="paragraph" w:customStyle="1" w:styleId="398">
    <w:name w:val="Char Char Char Char"/>
    <w:basedOn w:val="8"/>
    <w:qFormat/>
    <w:uiPriority w:val="0"/>
    <w:pPr>
      <w:widowControl w:val="0"/>
      <w:spacing w:line="360" w:lineRule="auto"/>
      <w:ind w:firstLine="200" w:firstLineChars="200"/>
      <w:jc w:val="both"/>
    </w:pPr>
    <w:rPr>
      <w:sz w:val="24"/>
      <w:szCs w:val="24"/>
    </w:rPr>
  </w:style>
  <w:style w:type="paragraph" w:customStyle="1" w:styleId="399">
    <w:name w:val="温-正文"/>
    <w:basedOn w:val="48"/>
    <w:qFormat/>
    <w:uiPriority w:val="0"/>
    <w:pPr>
      <w:spacing w:before="0" w:beforeAutospacing="0" w:after="0" w:afterAutospacing="0" w:line="520" w:lineRule="exact"/>
      <w:ind w:firstLine="200" w:firstLineChars="200"/>
      <w:jc w:val="both"/>
    </w:pPr>
    <w:rPr>
      <w:rFonts w:ascii="仿宋_GB2312" w:hAnsi="ˎ̥" w:eastAsia="仿宋_GB2312" w:cs="宋体"/>
      <w:color w:val="444444"/>
      <w:sz w:val="28"/>
      <w:szCs w:val="28"/>
    </w:rPr>
  </w:style>
  <w:style w:type="paragraph" w:customStyle="1" w:styleId="400">
    <w:name w:val="正文－恩普"/>
    <w:basedOn w:val="8"/>
    <w:qFormat/>
    <w:uiPriority w:val="0"/>
    <w:pPr>
      <w:widowControl w:val="0"/>
      <w:spacing w:line="360" w:lineRule="auto"/>
      <w:ind w:firstLine="200" w:firstLineChars="200"/>
      <w:jc w:val="both"/>
    </w:pPr>
    <w:rPr>
      <w:sz w:val="24"/>
      <w:szCs w:val="24"/>
    </w:rPr>
  </w:style>
  <w:style w:type="paragraph" w:customStyle="1" w:styleId="401">
    <w:name w:val="_Style 1"/>
    <w:basedOn w:val="1"/>
    <w:qFormat/>
    <w:uiPriority w:val="0"/>
    <w:pPr>
      <w:widowControl w:val="0"/>
      <w:spacing w:line="400" w:lineRule="exact"/>
      <w:ind w:firstLine="420" w:firstLineChars="200"/>
      <w:jc w:val="both"/>
    </w:pPr>
    <w:rPr>
      <w:rFonts w:ascii="方正行楷简体" w:hAnsi="方正行楷简体"/>
      <w:kern w:val="2"/>
      <w:szCs w:val="22"/>
    </w:rPr>
  </w:style>
  <w:style w:type="paragraph" w:customStyle="1" w:styleId="402">
    <w:name w:val="菲页2"/>
    <w:basedOn w:val="6"/>
    <w:qFormat/>
    <w:uiPriority w:val="0"/>
    <w:pPr>
      <w:tabs>
        <w:tab w:val="left" w:pos="2040"/>
      </w:tabs>
      <w:spacing w:before="120" w:after="120" w:line="360" w:lineRule="auto"/>
      <w:ind w:left="2040" w:hanging="420"/>
      <w:jc w:val="center"/>
    </w:pPr>
    <w:rPr>
      <w:rFonts w:ascii="黑体" w:hAnsi="宋体" w:eastAsia="黑体"/>
      <w:b w:val="0"/>
      <w:bCs w:val="0"/>
      <w:sz w:val="44"/>
      <w:szCs w:val="20"/>
    </w:rPr>
  </w:style>
  <w:style w:type="paragraph" w:customStyle="1" w:styleId="403">
    <w:name w:val="Char Char1 Char Char Char Char Char Char Char Char Char Char Char Char Char Char Char Char Char Char Char1"/>
    <w:basedOn w:val="1"/>
    <w:qFormat/>
    <w:uiPriority w:val="0"/>
    <w:pPr>
      <w:spacing w:after="160" w:line="240" w:lineRule="exact"/>
    </w:pPr>
    <w:rPr>
      <w:rFonts w:ascii="Verdana" w:hAnsi="Verdana"/>
      <w:sz w:val="20"/>
      <w:lang w:eastAsia="en-US"/>
    </w:rPr>
  </w:style>
  <w:style w:type="paragraph" w:customStyle="1" w:styleId="404">
    <w:name w:val="普通 (Web)"/>
    <w:basedOn w:val="1"/>
    <w:qFormat/>
    <w:uiPriority w:val="0"/>
    <w:pPr>
      <w:spacing w:afterLines="50" w:line="384" w:lineRule="auto"/>
      <w:ind w:left="359" w:leftChars="171" w:right="34" w:firstLine="540" w:firstLineChars="225"/>
    </w:pPr>
    <w:rPr>
      <w:rFonts w:ascii="Arial" w:hAnsi="Arial" w:cs="Arial"/>
      <w:sz w:val="24"/>
      <w:szCs w:val="24"/>
    </w:rPr>
  </w:style>
  <w:style w:type="paragraph" w:customStyle="1" w:styleId="405">
    <w:name w:val="Char Char Char Char Char Char Char Char Char Char Char Char Char Char Char Char Char Char Char"/>
    <w:basedOn w:val="1"/>
    <w:qFormat/>
    <w:uiPriority w:val="0"/>
    <w:pPr>
      <w:widowControl w:val="0"/>
      <w:jc w:val="both"/>
    </w:pPr>
  </w:style>
  <w:style w:type="paragraph" w:customStyle="1" w:styleId="406">
    <w:name w:val="Char Char Char Char Char Char Char1"/>
    <w:basedOn w:val="1"/>
    <w:qFormat/>
    <w:uiPriority w:val="0"/>
    <w:pPr>
      <w:widowControl w:val="0"/>
      <w:jc w:val="both"/>
    </w:pPr>
    <w:rPr>
      <w:rFonts w:ascii="仿宋_GB2312" w:eastAsia="仿宋_GB2312"/>
      <w:b/>
      <w:kern w:val="2"/>
      <w:sz w:val="32"/>
      <w:szCs w:val="32"/>
    </w:rPr>
  </w:style>
  <w:style w:type="paragraph" w:customStyle="1" w:styleId="407">
    <w:name w:val="bullets (T)"/>
    <w:basedOn w:val="1"/>
    <w:qFormat/>
    <w:uiPriority w:val="0"/>
    <w:pPr>
      <w:widowControl w:val="0"/>
      <w:tabs>
        <w:tab w:val="left" w:pos="360"/>
      </w:tabs>
      <w:spacing w:after="100" w:line="240" w:lineRule="exact"/>
      <w:ind w:left="360" w:hanging="360"/>
      <w:jc w:val="both"/>
    </w:pPr>
    <w:rPr>
      <w:snapToGrid w:val="0"/>
      <w:color w:val="000000"/>
      <w:kern w:val="2"/>
      <w:sz w:val="20"/>
    </w:rPr>
  </w:style>
  <w:style w:type="paragraph" w:customStyle="1" w:styleId="408">
    <w:name w:val="Char Char Char Char Char Char Char Char Char Char Char Char Char Char"/>
    <w:basedOn w:val="1"/>
    <w:qFormat/>
    <w:uiPriority w:val="0"/>
    <w:pPr>
      <w:spacing w:after="160" w:line="240" w:lineRule="exact"/>
    </w:pPr>
    <w:rPr>
      <w:rFonts w:ascii="Verdana" w:hAnsi="Verdana" w:cs="宋体"/>
      <w:b/>
      <w:sz w:val="20"/>
      <w:lang w:eastAsia="en-US"/>
    </w:rPr>
  </w:style>
  <w:style w:type="paragraph" w:customStyle="1" w:styleId="409">
    <w:name w:val="样式 标题 3 + 非加粗 自动设置"/>
    <w:basedOn w:val="6"/>
    <w:qFormat/>
    <w:uiPriority w:val="0"/>
    <w:pPr>
      <w:widowControl w:val="0"/>
      <w:spacing w:before="120" w:after="120" w:line="700" w:lineRule="exact"/>
    </w:pPr>
    <w:rPr>
      <w:rFonts w:ascii="宋体" w:hAnsi="宋体"/>
      <w:b w:val="0"/>
      <w:bCs w:val="0"/>
      <w:spacing w:val="10"/>
      <w:kern w:val="24"/>
      <w:sz w:val="28"/>
    </w:rPr>
  </w:style>
  <w:style w:type="paragraph" w:customStyle="1" w:styleId="410">
    <w:name w:val="标书正文"/>
    <w:basedOn w:val="3"/>
    <w:qFormat/>
    <w:uiPriority w:val="0"/>
    <w:pPr>
      <w:widowControl w:val="0"/>
      <w:adjustRightInd w:val="0"/>
      <w:snapToGrid w:val="0"/>
      <w:spacing w:after="0" w:line="400" w:lineRule="exact"/>
      <w:ind w:firstLine="1276"/>
      <w:jc w:val="both"/>
    </w:pPr>
    <w:rPr>
      <w:rFonts w:ascii="宋体" w:hAnsi="宋体" w:eastAsia="黑体"/>
      <w:sz w:val="24"/>
    </w:rPr>
  </w:style>
  <w:style w:type="paragraph" w:customStyle="1" w:styleId="411">
    <w:name w:val="xl35"/>
    <w:basedOn w:val="1"/>
    <w:qFormat/>
    <w:uiPriority w:val="0"/>
    <w:pPr>
      <w:pBdr>
        <w:left w:val="single" w:color="auto" w:sz="4" w:space="0"/>
        <w:bottom w:val="single" w:color="auto" w:sz="4" w:space="0"/>
        <w:right w:val="single" w:color="auto" w:sz="4" w:space="0"/>
      </w:pBdr>
      <w:spacing w:before="100" w:beforeAutospacing="1" w:after="100" w:afterAutospacing="1"/>
      <w:jc w:val="both"/>
      <w:textAlignment w:val="center"/>
    </w:pPr>
    <w:rPr>
      <w:rFonts w:ascii="Arial Unicode MS" w:hAnsi="Arial Unicode MS" w:eastAsia="Arial Unicode MS"/>
      <w:sz w:val="24"/>
      <w:szCs w:val="24"/>
    </w:rPr>
  </w:style>
  <w:style w:type="paragraph" w:customStyle="1" w:styleId="412">
    <w:name w:val="菲页1"/>
    <w:basedOn w:val="5"/>
    <w:qFormat/>
    <w:uiPriority w:val="0"/>
    <w:pPr>
      <w:jc w:val="center"/>
    </w:pPr>
    <w:rPr>
      <w:rFonts w:ascii="黑体" w:hAnsi="宋体" w:eastAsia="黑体"/>
      <w:b w:val="0"/>
      <w:color w:val="000000"/>
      <w:sz w:val="52"/>
    </w:rPr>
  </w:style>
  <w:style w:type="paragraph" w:customStyle="1" w:styleId="413">
    <w:name w:val="xl67"/>
    <w:basedOn w:val="1"/>
    <w:qFormat/>
    <w:uiPriority w:val="0"/>
    <w:pPr>
      <w:pBdr>
        <w:top w:val="single" w:color="auto" w:sz="4" w:space="0"/>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b/>
      <w:bCs/>
      <w:sz w:val="28"/>
      <w:szCs w:val="28"/>
    </w:rPr>
  </w:style>
  <w:style w:type="paragraph" w:customStyle="1" w:styleId="414">
    <w:name w:val="Char1 Char Char Char1"/>
    <w:basedOn w:val="8"/>
    <w:qFormat/>
    <w:uiPriority w:val="0"/>
    <w:pPr>
      <w:widowControl w:val="0"/>
      <w:spacing w:line="360" w:lineRule="auto"/>
      <w:ind w:firstLine="200" w:firstLineChars="200"/>
      <w:jc w:val="both"/>
    </w:pPr>
    <w:rPr>
      <w:sz w:val="24"/>
      <w:szCs w:val="24"/>
    </w:rPr>
  </w:style>
  <w:style w:type="paragraph" w:customStyle="1" w:styleId="415">
    <w:name w:val="xl63"/>
    <w:basedOn w:val="1"/>
    <w:qFormat/>
    <w:uiPriority w:val="0"/>
    <w:pPr>
      <w:pBdr>
        <w:top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b/>
      <w:bCs/>
      <w:sz w:val="28"/>
      <w:szCs w:val="28"/>
    </w:rPr>
  </w:style>
  <w:style w:type="paragraph" w:customStyle="1" w:styleId="416">
    <w:name w:val="H6"/>
    <w:basedOn w:val="1"/>
    <w:next w:val="1"/>
    <w:qFormat/>
    <w:uiPriority w:val="0"/>
    <w:pPr>
      <w:keepNext/>
      <w:widowControl w:val="0"/>
      <w:autoSpaceDE w:val="0"/>
      <w:autoSpaceDN w:val="0"/>
      <w:adjustRightInd w:val="0"/>
      <w:spacing w:before="100" w:after="100"/>
      <w:outlineLvl w:val="6"/>
    </w:pPr>
    <w:rPr>
      <w:b/>
      <w:sz w:val="16"/>
    </w:rPr>
  </w:style>
  <w:style w:type="paragraph" w:customStyle="1" w:styleId="417">
    <w:name w:val="表内文字"/>
    <w:basedOn w:val="1"/>
    <w:qFormat/>
    <w:uiPriority w:val="0"/>
    <w:pPr>
      <w:widowControl w:val="0"/>
      <w:spacing w:line="500" w:lineRule="atLeast"/>
      <w:jc w:val="center"/>
    </w:pPr>
    <w:rPr>
      <w:rFonts w:ascii="Arial" w:hAnsi="Arial" w:eastAsia="楷体_GB2312"/>
      <w:kern w:val="2"/>
      <w:sz w:val="28"/>
    </w:rPr>
  </w:style>
  <w:style w:type="paragraph" w:customStyle="1" w:styleId="418">
    <w:name w:val="Char Char Char1 Char"/>
    <w:basedOn w:val="1"/>
    <w:next w:val="1"/>
    <w:qFormat/>
    <w:uiPriority w:val="0"/>
    <w:pPr>
      <w:widowControl w:val="0"/>
      <w:jc w:val="both"/>
    </w:pPr>
    <w:rPr>
      <w:kern w:val="2"/>
      <w:szCs w:val="24"/>
    </w:rPr>
  </w:style>
  <w:style w:type="paragraph" w:customStyle="1" w:styleId="419">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sz w:val="18"/>
      <w:szCs w:val="18"/>
    </w:rPr>
  </w:style>
  <w:style w:type="paragraph" w:customStyle="1" w:styleId="420">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b/>
      <w:bCs/>
      <w:sz w:val="18"/>
      <w:szCs w:val="18"/>
    </w:rPr>
  </w:style>
  <w:style w:type="paragraph" w:customStyle="1" w:styleId="421">
    <w:name w:val="xl103"/>
    <w:basedOn w:val="1"/>
    <w:qFormat/>
    <w:uiPriority w:val="0"/>
    <w:pPr>
      <w:pBdr>
        <w:top w:val="single" w:color="auto" w:sz="4" w:space="0"/>
        <w:bottom w:val="single" w:color="auto" w:sz="4" w:space="0"/>
      </w:pBdr>
      <w:spacing w:before="100" w:beforeAutospacing="1" w:after="100" w:afterAutospacing="1"/>
      <w:jc w:val="center"/>
      <w:textAlignment w:val="center"/>
    </w:pPr>
    <w:rPr>
      <w:rFonts w:ascii="宋体" w:hAnsi="宋体" w:cs="宋体"/>
      <w:sz w:val="18"/>
      <w:szCs w:val="18"/>
    </w:rPr>
  </w:style>
  <w:style w:type="paragraph" w:customStyle="1" w:styleId="422">
    <w:name w:val="xl97"/>
    <w:basedOn w:val="1"/>
    <w:qFormat/>
    <w:uiPriority w:val="0"/>
    <w:pPr>
      <w:pBdr>
        <w:left w:val="single" w:color="auto" w:sz="8" w:space="0"/>
        <w:right w:val="single" w:color="auto" w:sz="4" w:space="0"/>
      </w:pBdr>
      <w:spacing w:before="100" w:beforeAutospacing="1" w:after="100" w:afterAutospacing="1"/>
      <w:textAlignment w:val="center"/>
    </w:pPr>
    <w:rPr>
      <w:rFonts w:ascii="宋体" w:hAnsi="宋体" w:cs="宋体"/>
      <w:b/>
      <w:bCs/>
      <w:sz w:val="18"/>
      <w:szCs w:val="18"/>
    </w:rPr>
  </w:style>
  <w:style w:type="paragraph" w:customStyle="1" w:styleId="423">
    <w:name w:val="Char"/>
    <w:basedOn w:val="1"/>
    <w:qFormat/>
    <w:uiPriority w:val="0"/>
    <w:pPr>
      <w:spacing w:after="160" w:line="240" w:lineRule="exact"/>
    </w:pPr>
    <w:rPr>
      <w:rFonts w:ascii="Verdana" w:hAnsi="Verdana"/>
      <w:sz w:val="20"/>
      <w:lang w:eastAsia="en-US"/>
    </w:rPr>
  </w:style>
  <w:style w:type="paragraph" w:customStyle="1" w:styleId="424">
    <w:name w:val="font12"/>
    <w:basedOn w:val="1"/>
    <w:qFormat/>
    <w:uiPriority w:val="0"/>
    <w:pPr>
      <w:spacing w:before="100" w:beforeAutospacing="1" w:after="100" w:afterAutospacing="1"/>
    </w:pPr>
    <w:rPr>
      <w:rFonts w:ascii="Arial" w:hAnsi="Arial" w:cs="Arial"/>
      <w:b/>
      <w:bCs/>
      <w:sz w:val="24"/>
      <w:szCs w:val="24"/>
    </w:rPr>
  </w:style>
  <w:style w:type="paragraph" w:customStyle="1" w:styleId="425">
    <w:name w:val="菲页(卷)"/>
    <w:basedOn w:val="4"/>
    <w:next w:val="426"/>
    <w:qFormat/>
    <w:uiPriority w:val="0"/>
    <w:pPr>
      <w:keepLines w:val="0"/>
      <w:widowControl/>
      <w:tabs>
        <w:tab w:val="left" w:pos="1200"/>
        <w:tab w:val="clear" w:pos="840"/>
      </w:tabs>
      <w:adjustRightInd/>
      <w:snapToGrid/>
      <w:spacing w:line="240" w:lineRule="auto"/>
      <w:ind w:left="1200" w:hanging="420"/>
      <w:jc w:val="center"/>
      <w:outlineLvl w:val="1"/>
    </w:pPr>
    <w:rPr>
      <w:rFonts w:ascii="黑体" w:eastAsia="黑体"/>
      <w:b w:val="0"/>
      <w:kern w:val="0"/>
      <w:sz w:val="52"/>
    </w:rPr>
  </w:style>
  <w:style w:type="paragraph" w:customStyle="1" w:styleId="426">
    <w:name w:val="正文2"/>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427">
    <w:name w:val="xl80"/>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sz w:val="18"/>
      <w:szCs w:val="18"/>
    </w:rPr>
  </w:style>
  <w:style w:type="paragraph" w:customStyle="1" w:styleId="428">
    <w:name w:val="Revision"/>
    <w:qFormat/>
    <w:uiPriority w:val="0"/>
    <w:rPr>
      <w:rFonts w:ascii="Times New Roman" w:hAnsi="Times New Roman" w:eastAsia="宋体" w:cs="Times New Roman"/>
      <w:kern w:val="2"/>
      <w:sz w:val="21"/>
      <w:szCs w:val="24"/>
      <w:lang w:val="en-US" w:eastAsia="zh-CN" w:bidi="ar-SA"/>
    </w:rPr>
  </w:style>
  <w:style w:type="paragraph" w:customStyle="1" w:styleId="429">
    <w:name w:val="xl42"/>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jc w:val="right"/>
    </w:pPr>
    <w:rPr>
      <w:rFonts w:ascii="Arial Unicode MS" w:hAnsi="Arial Unicode MS" w:eastAsia="Arial Unicode MS"/>
      <w:b/>
      <w:bCs/>
      <w:sz w:val="24"/>
      <w:szCs w:val="24"/>
    </w:rPr>
  </w:style>
  <w:style w:type="paragraph" w:customStyle="1" w:styleId="430">
    <w:name w:val="font8"/>
    <w:basedOn w:val="1"/>
    <w:qFormat/>
    <w:uiPriority w:val="0"/>
    <w:pPr>
      <w:spacing w:before="100" w:beforeAutospacing="1" w:after="100" w:afterAutospacing="1"/>
    </w:pPr>
    <w:rPr>
      <w:rFonts w:eastAsia="Arial Unicode MS"/>
      <w:sz w:val="24"/>
      <w:szCs w:val="24"/>
      <w:lang w:eastAsia="en-US"/>
    </w:rPr>
  </w:style>
  <w:style w:type="paragraph" w:customStyle="1" w:styleId="431">
    <w:name w:val="此正文"/>
    <w:basedOn w:val="1"/>
    <w:qFormat/>
    <w:uiPriority w:val="0"/>
    <w:pPr>
      <w:widowControl w:val="0"/>
      <w:spacing w:line="360" w:lineRule="auto"/>
      <w:ind w:firstLine="480" w:firstLineChars="200"/>
      <w:jc w:val="both"/>
    </w:pPr>
    <w:rPr>
      <w:kern w:val="2"/>
      <w:sz w:val="24"/>
      <w:szCs w:val="24"/>
    </w:rPr>
  </w:style>
  <w:style w:type="paragraph" w:customStyle="1" w:styleId="432">
    <w:name w:val="1"/>
    <w:basedOn w:val="1"/>
    <w:qFormat/>
    <w:uiPriority w:val="0"/>
    <w:pPr>
      <w:widowControl w:val="0"/>
      <w:spacing w:line="400" w:lineRule="exact"/>
      <w:ind w:firstLine="200" w:firstLineChars="200"/>
      <w:jc w:val="both"/>
    </w:pPr>
    <w:rPr>
      <w:rFonts w:ascii="宋体" w:hAnsi="宋体"/>
      <w:kern w:val="2"/>
      <w:szCs w:val="24"/>
    </w:rPr>
  </w:style>
  <w:style w:type="paragraph" w:customStyle="1" w:styleId="433">
    <w:name w:val="xl36"/>
    <w:basedOn w:val="1"/>
    <w:qFormat/>
    <w:uiPriority w:val="0"/>
    <w:pPr>
      <w:pBdr>
        <w:left w:val="single" w:color="auto" w:sz="4" w:space="0"/>
        <w:bottom w:val="single" w:color="auto" w:sz="4" w:space="0"/>
        <w:right w:val="single" w:color="auto" w:sz="4" w:space="0"/>
      </w:pBdr>
      <w:spacing w:before="100" w:beforeAutospacing="1" w:after="100" w:afterAutospacing="1"/>
      <w:jc w:val="both"/>
      <w:textAlignment w:val="center"/>
    </w:pPr>
    <w:rPr>
      <w:rFonts w:ascii="Arial Unicode MS" w:hAnsi="Arial Unicode MS" w:eastAsia="Arial Unicode MS"/>
      <w:sz w:val="24"/>
      <w:szCs w:val="24"/>
    </w:rPr>
  </w:style>
  <w:style w:type="paragraph" w:customStyle="1" w:styleId="434">
    <w:name w:val="Indent a)"/>
    <w:basedOn w:val="1"/>
    <w:qFormat/>
    <w:uiPriority w:val="0"/>
    <w:pPr>
      <w:tabs>
        <w:tab w:val="left" w:pos="1843"/>
        <w:tab w:val="right" w:pos="9072"/>
      </w:tabs>
      <w:suppressAutoHyphens/>
      <w:spacing w:line="360" w:lineRule="auto"/>
      <w:ind w:right="-21" w:rightChars="-10" w:firstLine="420" w:firstLineChars="200"/>
      <w:jc w:val="both"/>
    </w:pPr>
    <w:rPr>
      <w:rFonts w:ascii="宋体" w:hAnsi="宋体"/>
      <w:color w:val="000000"/>
      <w:kern w:val="2"/>
    </w:rPr>
  </w:style>
  <w:style w:type="paragraph" w:customStyle="1" w:styleId="435">
    <w:name w:val="表格文字1"/>
    <w:basedOn w:val="1"/>
    <w:qFormat/>
    <w:uiPriority w:val="0"/>
    <w:pPr>
      <w:widowControl w:val="0"/>
      <w:spacing w:line="320" w:lineRule="exact"/>
      <w:jc w:val="both"/>
    </w:pPr>
    <w:rPr>
      <w:rFonts w:ascii="宋体" w:hAnsi="宋体"/>
      <w:spacing w:val="12"/>
      <w:kern w:val="2"/>
    </w:rPr>
  </w:style>
  <w:style w:type="paragraph" w:customStyle="1" w:styleId="436">
    <w:name w:val="xl2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sz w:val="18"/>
      <w:szCs w:val="18"/>
    </w:rPr>
  </w:style>
  <w:style w:type="paragraph" w:customStyle="1" w:styleId="437">
    <w:name w:val="xl65"/>
    <w:basedOn w:val="1"/>
    <w:qFormat/>
    <w:uiPriority w:val="0"/>
    <w:pPr>
      <w:pBdr>
        <w:top w:val="single" w:color="auto" w:sz="4" w:space="0"/>
        <w:bottom w:val="single" w:color="auto" w:sz="4" w:space="0"/>
      </w:pBdr>
      <w:spacing w:before="100" w:beforeAutospacing="1" w:after="100" w:afterAutospacing="1"/>
      <w:jc w:val="center"/>
    </w:pPr>
    <w:rPr>
      <w:rFonts w:ascii="Arial Unicode MS" w:hAnsi="Arial Unicode MS" w:eastAsia="Arial Unicode MS"/>
      <w:b/>
      <w:bCs/>
      <w:sz w:val="28"/>
      <w:szCs w:val="28"/>
    </w:rPr>
  </w:style>
  <w:style w:type="paragraph" w:customStyle="1" w:styleId="438">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18"/>
      <w:szCs w:val="18"/>
    </w:rPr>
  </w:style>
  <w:style w:type="paragraph" w:customStyle="1" w:styleId="439">
    <w:name w:val="flNote"/>
    <w:basedOn w:val="1"/>
    <w:qFormat/>
    <w:uiPriority w:val="0"/>
    <w:pPr>
      <w:widowControl w:val="0"/>
      <w:adjustRightInd w:val="0"/>
      <w:spacing w:before="320" w:after="160" w:line="360" w:lineRule="atLeast"/>
      <w:ind w:firstLine="200" w:firstLineChars="200"/>
      <w:jc w:val="center"/>
      <w:textAlignment w:val="baseline"/>
    </w:pPr>
    <w:rPr>
      <w:rFonts w:ascii="Arial" w:hAnsi="宋体" w:eastAsia="黑体"/>
      <w:sz w:val="30"/>
    </w:rPr>
  </w:style>
  <w:style w:type="paragraph" w:customStyle="1" w:styleId="440">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Arial Unicode MS"/>
      <w:szCs w:val="21"/>
      <w:lang w:eastAsia="en-US"/>
    </w:rPr>
  </w:style>
  <w:style w:type="paragraph" w:customStyle="1" w:styleId="441">
    <w:name w:val="PP 行"/>
    <w:basedOn w:val="36"/>
    <w:qFormat/>
    <w:uiPriority w:val="0"/>
  </w:style>
  <w:style w:type="paragraph" w:customStyle="1" w:styleId="442">
    <w:name w:val="cleft"/>
    <w:basedOn w:val="1"/>
    <w:qFormat/>
    <w:uiPriority w:val="0"/>
    <w:rPr>
      <w:rFonts w:ascii="宋体" w:hAnsi="宋体" w:cs="宋体"/>
      <w:b/>
      <w:bCs/>
      <w:sz w:val="24"/>
      <w:szCs w:val="24"/>
    </w:rPr>
  </w:style>
  <w:style w:type="paragraph" w:customStyle="1" w:styleId="443">
    <w:name w:val="明显引用"/>
    <w:basedOn w:val="1"/>
    <w:next w:val="1"/>
    <w:uiPriority w:val="0"/>
    <w:pPr>
      <w:widowControl w:val="0"/>
      <w:pBdr>
        <w:bottom w:val="single" w:color="4F81BD" w:sz="4" w:space="4"/>
      </w:pBdr>
      <w:spacing w:before="200" w:after="280" w:line="400" w:lineRule="exact"/>
      <w:ind w:left="936" w:right="936" w:firstLine="200" w:firstLineChars="200"/>
      <w:jc w:val="both"/>
    </w:pPr>
    <w:rPr>
      <w:rFonts w:ascii="Calibri" w:hAnsi="Calibri"/>
      <w:b/>
      <w:i/>
      <w:color w:val="4F81BD"/>
      <w:kern w:val="2"/>
      <w:sz w:val="22"/>
    </w:rPr>
  </w:style>
  <w:style w:type="paragraph" w:customStyle="1" w:styleId="444">
    <w:name w:val="Char Char4"/>
    <w:basedOn w:val="1"/>
    <w:qFormat/>
    <w:uiPriority w:val="0"/>
    <w:pPr>
      <w:widowControl w:val="0"/>
      <w:jc w:val="both"/>
    </w:pPr>
    <w:rPr>
      <w:rFonts w:ascii="Tahoma" w:hAnsi="Tahoma"/>
      <w:kern w:val="2"/>
      <w:sz w:val="24"/>
    </w:rPr>
  </w:style>
  <w:style w:type="paragraph" w:customStyle="1" w:styleId="445">
    <w:name w:val="xl50"/>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rFonts w:ascii="Arial Unicode MS" w:hAnsi="Arial Unicode MS" w:eastAsia="Arial Unicode MS"/>
      <w:sz w:val="24"/>
      <w:szCs w:val="24"/>
    </w:rPr>
  </w:style>
  <w:style w:type="paragraph" w:customStyle="1" w:styleId="446">
    <w:name w:val="zbzw"/>
    <w:basedOn w:val="1"/>
    <w:qFormat/>
    <w:uiPriority w:val="0"/>
    <w:pPr>
      <w:widowControl w:val="0"/>
      <w:tabs>
        <w:tab w:val="left" w:pos="720"/>
      </w:tabs>
      <w:spacing w:line="430" w:lineRule="exact"/>
      <w:ind w:right="-76" w:firstLine="200" w:firstLineChars="200"/>
      <w:jc w:val="both"/>
    </w:pPr>
    <w:rPr>
      <w:rFonts w:ascii="宋体" w:hAnsi="宋体"/>
      <w:kern w:val="2"/>
      <w:szCs w:val="21"/>
    </w:rPr>
  </w:style>
  <w:style w:type="paragraph" w:customStyle="1" w:styleId="447">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Courier New"/>
      <w:szCs w:val="21"/>
      <w:lang w:eastAsia="en-US"/>
    </w:rPr>
  </w:style>
  <w:style w:type="paragraph" w:customStyle="1" w:styleId="448">
    <w:name w:val="标书标题4"/>
    <w:basedOn w:val="7"/>
    <w:qFormat/>
    <w:uiPriority w:val="0"/>
    <w:pPr>
      <w:keepNext/>
      <w:autoSpaceDE/>
      <w:autoSpaceDN/>
      <w:spacing w:line="300" w:lineRule="auto"/>
    </w:pPr>
    <w:rPr>
      <w:rFonts w:ascii="Arial Narrow" w:hAnsi="Arial Narrow" w:eastAsia="仿宋_GB2312"/>
      <w:b/>
      <w:sz w:val="28"/>
      <w:szCs w:val="32"/>
    </w:rPr>
  </w:style>
  <w:style w:type="paragraph" w:customStyle="1" w:styleId="449">
    <w:name w:val="Char Char Char Char Char Char1 Char"/>
    <w:basedOn w:val="1"/>
    <w:qFormat/>
    <w:uiPriority w:val="0"/>
    <w:pPr>
      <w:spacing w:after="160" w:line="240" w:lineRule="exact"/>
    </w:pPr>
    <w:rPr>
      <w:rFonts w:ascii="Verdana" w:hAnsi="Verdana"/>
      <w:lang w:eastAsia="en-US"/>
    </w:rPr>
  </w:style>
  <w:style w:type="paragraph" w:customStyle="1" w:styleId="450">
    <w:name w:val="Char Char Char Char Char Char Char Char Char Char Char Char Char"/>
    <w:basedOn w:val="1"/>
    <w:qFormat/>
    <w:uiPriority w:val="0"/>
    <w:pPr>
      <w:widowControl w:val="0"/>
      <w:jc w:val="both"/>
    </w:pPr>
    <w:rPr>
      <w:rFonts w:ascii="Tahoma" w:hAnsi="Tahoma"/>
      <w:kern w:val="2"/>
      <w:sz w:val="24"/>
    </w:rPr>
  </w:style>
  <w:style w:type="paragraph" w:customStyle="1" w:styleId="451">
    <w:name w:val="tabletext"/>
    <w:basedOn w:val="1"/>
    <w:qFormat/>
    <w:uiPriority w:val="0"/>
    <w:pPr>
      <w:spacing w:before="100" w:beforeAutospacing="1" w:after="100" w:afterAutospacing="1"/>
    </w:pPr>
    <w:rPr>
      <w:rFonts w:ascii="宋体" w:hAnsi="宋体" w:cs="宋体"/>
      <w:sz w:val="24"/>
      <w:szCs w:val="24"/>
    </w:rPr>
  </w:style>
  <w:style w:type="paragraph" w:customStyle="1" w:styleId="452">
    <w:name w:val="xl82"/>
    <w:basedOn w:val="1"/>
    <w:qFormat/>
    <w:uiPriority w:val="0"/>
    <w:pPr>
      <w:pBdr>
        <w:top w:val="single" w:color="auto" w:sz="4" w:space="0"/>
        <w:left w:val="single" w:color="auto" w:sz="4" w:space="0"/>
        <w:bottom w:val="single" w:color="auto" w:sz="4" w:space="0"/>
        <w:right w:val="single" w:color="auto" w:sz="8" w:space="0"/>
      </w:pBdr>
      <w:shd w:val="clear" w:color="auto" w:fill="99CCFF"/>
      <w:spacing w:before="100" w:beforeAutospacing="1" w:after="100" w:afterAutospacing="1"/>
      <w:jc w:val="center"/>
      <w:textAlignment w:val="center"/>
    </w:pPr>
    <w:rPr>
      <w:rFonts w:ascii="宋体" w:hAnsi="宋体" w:cs="宋体"/>
      <w:sz w:val="18"/>
      <w:szCs w:val="18"/>
    </w:rPr>
  </w:style>
  <w:style w:type="paragraph" w:customStyle="1" w:styleId="453">
    <w:name w:val="样式 温-正文 + 首行缩进:  2 字符"/>
    <w:basedOn w:val="399"/>
    <w:qFormat/>
    <w:uiPriority w:val="0"/>
  </w:style>
  <w:style w:type="paragraph" w:customStyle="1" w:styleId="454">
    <w:name w:val="font5"/>
    <w:basedOn w:val="1"/>
    <w:qFormat/>
    <w:uiPriority w:val="0"/>
    <w:pPr>
      <w:spacing w:before="100" w:beforeAutospacing="1" w:after="100" w:afterAutospacing="1"/>
    </w:pPr>
    <w:rPr>
      <w:rFonts w:hint="eastAsia" w:ascii="宋体" w:hAnsi="宋体" w:cs="Courier New"/>
      <w:sz w:val="18"/>
      <w:szCs w:val="18"/>
      <w:lang w:eastAsia="en-US"/>
    </w:rPr>
  </w:style>
  <w:style w:type="paragraph" w:customStyle="1" w:styleId="455">
    <w:name w:val="Char Char1 Char Char Char Char Char Char Char Char Char Char Char Char1 Char"/>
    <w:basedOn w:val="1"/>
    <w:qFormat/>
    <w:uiPriority w:val="0"/>
    <w:pPr>
      <w:spacing w:after="160" w:line="240" w:lineRule="exact"/>
    </w:pPr>
    <w:rPr>
      <w:rFonts w:ascii="Verdana" w:hAnsi="Verdana"/>
      <w:sz w:val="20"/>
      <w:lang w:eastAsia="en-US"/>
    </w:rPr>
  </w:style>
  <w:style w:type="paragraph" w:customStyle="1" w:styleId="456">
    <w:name w:val="节"/>
    <w:basedOn w:val="5"/>
    <w:qFormat/>
    <w:uiPriority w:val="0"/>
    <w:pPr>
      <w:widowControl w:val="0"/>
      <w:spacing w:before="160" w:after="160" w:line="720" w:lineRule="exact"/>
      <w:jc w:val="center"/>
    </w:pPr>
    <w:rPr>
      <w:rFonts w:ascii="Arial" w:hAnsi="Arial" w:eastAsia="黑体"/>
      <w:b w:val="0"/>
      <w:bCs w:val="0"/>
      <w:spacing w:val="14"/>
      <w:kern w:val="24"/>
      <w:szCs w:val="20"/>
    </w:rPr>
  </w:style>
  <w:style w:type="paragraph" w:customStyle="1" w:styleId="457">
    <w:name w:val="样式3"/>
    <w:basedOn w:val="1"/>
    <w:qFormat/>
    <w:uiPriority w:val="0"/>
    <w:pPr>
      <w:widowControl w:val="0"/>
      <w:adjustRightInd w:val="0"/>
      <w:snapToGrid w:val="0"/>
      <w:jc w:val="both"/>
    </w:pPr>
    <w:rPr>
      <w:rFonts w:ascii="Arial" w:hAnsi="Arial" w:cs="Arial"/>
      <w:color w:val="FF0000"/>
      <w:kern w:val="2"/>
      <w:szCs w:val="21"/>
    </w:rPr>
  </w:style>
  <w:style w:type="paragraph" w:customStyle="1" w:styleId="458">
    <w:name w:val="font0"/>
    <w:basedOn w:val="1"/>
    <w:qFormat/>
    <w:uiPriority w:val="0"/>
    <w:pPr>
      <w:spacing w:before="100" w:beforeAutospacing="1" w:after="100" w:afterAutospacing="1"/>
    </w:pPr>
    <w:rPr>
      <w:rFonts w:hint="eastAsia" w:ascii="宋体" w:hAnsi="宋体" w:cs="Courier New"/>
      <w:sz w:val="24"/>
      <w:szCs w:val="24"/>
      <w:lang w:eastAsia="en-US"/>
    </w:rPr>
  </w:style>
  <w:style w:type="paragraph" w:customStyle="1" w:styleId="459">
    <w:name w:val="_Style 2"/>
    <w:basedOn w:val="1"/>
    <w:qFormat/>
    <w:uiPriority w:val="34"/>
    <w:pPr>
      <w:ind w:firstLine="420"/>
    </w:pPr>
    <w:rPr>
      <w:kern w:val="1"/>
    </w:rPr>
  </w:style>
  <w:style w:type="paragraph" w:customStyle="1" w:styleId="460">
    <w:name w:val="tableheading"/>
    <w:basedOn w:val="1"/>
    <w:qFormat/>
    <w:uiPriority w:val="0"/>
    <w:pPr>
      <w:spacing w:before="100" w:beforeAutospacing="1" w:after="100" w:afterAutospacing="1"/>
    </w:pPr>
    <w:rPr>
      <w:rFonts w:ascii="宋体" w:hAnsi="宋体" w:cs="宋体"/>
      <w:sz w:val="24"/>
      <w:szCs w:val="24"/>
    </w:rPr>
  </w:style>
  <w:style w:type="paragraph" w:customStyle="1" w:styleId="461">
    <w:name w:val="Address"/>
    <w:basedOn w:val="1"/>
    <w:next w:val="1"/>
    <w:qFormat/>
    <w:uiPriority w:val="0"/>
    <w:pPr>
      <w:widowControl w:val="0"/>
      <w:autoSpaceDE w:val="0"/>
      <w:autoSpaceDN w:val="0"/>
      <w:adjustRightInd w:val="0"/>
    </w:pPr>
    <w:rPr>
      <w:i/>
      <w:sz w:val="24"/>
    </w:rPr>
  </w:style>
  <w:style w:type="paragraph" w:customStyle="1" w:styleId="462">
    <w:name w:val="小节"/>
    <w:basedOn w:val="6"/>
    <w:qFormat/>
    <w:uiPriority w:val="0"/>
    <w:pPr>
      <w:widowControl w:val="0"/>
      <w:spacing w:before="200" w:after="200" w:line="560" w:lineRule="exact"/>
    </w:pPr>
    <w:rPr>
      <w:rFonts w:ascii="宋体" w:hAnsi="宋体"/>
      <w:bCs w:val="0"/>
      <w:color w:val="000000"/>
      <w:spacing w:val="10"/>
      <w:kern w:val="24"/>
      <w:sz w:val="28"/>
    </w:rPr>
  </w:style>
  <w:style w:type="paragraph" w:customStyle="1" w:styleId="463">
    <w:name w:val="Body Text(ch)"/>
    <w:basedOn w:val="1"/>
    <w:next w:val="3"/>
    <w:qFormat/>
    <w:uiPriority w:val="0"/>
    <w:pPr>
      <w:widowControl w:val="0"/>
      <w:spacing w:line="500" w:lineRule="exact"/>
      <w:jc w:val="center"/>
    </w:pPr>
    <w:rPr>
      <w:kern w:val="2"/>
      <w:szCs w:val="24"/>
    </w:rPr>
  </w:style>
  <w:style w:type="paragraph" w:customStyle="1" w:styleId="464">
    <w:name w:val="xl69"/>
    <w:basedOn w:val="1"/>
    <w:qFormat/>
    <w:uiPriority w:val="0"/>
    <w:pPr>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b/>
      <w:bCs/>
      <w:sz w:val="28"/>
      <w:szCs w:val="28"/>
    </w:rPr>
  </w:style>
  <w:style w:type="paragraph" w:customStyle="1" w:styleId="465">
    <w:name w:val="样式 标题 3 + 红色"/>
    <w:basedOn w:val="6"/>
    <w:qFormat/>
    <w:uiPriority w:val="0"/>
    <w:pPr>
      <w:widowControl w:val="0"/>
      <w:spacing w:before="120" w:after="120" w:line="700" w:lineRule="exact"/>
    </w:pPr>
    <w:rPr>
      <w:rFonts w:ascii="宋体" w:hAnsi="宋体"/>
      <w:color w:val="FF0000"/>
      <w:spacing w:val="10"/>
      <w:kern w:val="24"/>
      <w:sz w:val="28"/>
    </w:rPr>
  </w:style>
  <w:style w:type="paragraph" w:customStyle="1" w:styleId="466">
    <w:name w:val="xl4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sz w:val="24"/>
      <w:szCs w:val="24"/>
    </w:rPr>
  </w:style>
  <w:style w:type="paragraph" w:customStyle="1" w:styleId="467">
    <w:name w:val="Preformatted"/>
    <w:basedOn w:val="1"/>
    <w:qFormat/>
    <w:uiPriority w:v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sz w:val="20"/>
    </w:rPr>
  </w:style>
  <w:style w:type="paragraph" w:customStyle="1" w:styleId="468">
    <w:name w:val="标书标题2"/>
    <w:basedOn w:val="5"/>
    <w:qFormat/>
    <w:uiPriority w:val="0"/>
    <w:pPr>
      <w:keepLines w:val="0"/>
      <w:tabs>
        <w:tab w:val="left" w:pos="567"/>
      </w:tabs>
      <w:adjustRightInd w:val="0"/>
      <w:snapToGrid w:val="0"/>
      <w:spacing w:beforeLines="50" w:after="60" w:line="300" w:lineRule="auto"/>
      <w:ind w:left="567" w:hanging="567"/>
    </w:pPr>
    <w:rPr>
      <w:rFonts w:ascii="Arial Narrow" w:hAnsi="Arial Narrow" w:eastAsia="仿宋_GB2312"/>
      <w:bCs w:val="0"/>
      <w:sz w:val="28"/>
      <w:szCs w:val="20"/>
    </w:rPr>
  </w:style>
  <w:style w:type="paragraph" w:customStyle="1" w:styleId="469">
    <w:name w:val="Char3"/>
    <w:basedOn w:val="35"/>
    <w:next w:val="35"/>
    <w:qFormat/>
    <w:uiPriority w:val="0"/>
    <w:pPr>
      <w:widowControl w:val="0"/>
      <w:snapToGrid/>
      <w:jc w:val="right"/>
    </w:pPr>
    <w:rPr>
      <w:rFonts w:ascii="宋体" w:hAnsi="宋体"/>
      <w:b/>
      <w:kern w:val="2"/>
      <w:sz w:val="21"/>
      <w:szCs w:val="21"/>
    </w:rPr>
  </w:style>
  <w:style w:type="paragraph" w:customStyle="1" w:styleId="470">
    <w:name w:val="TOC 标题"/>
    <w:basedOn w:val="4"/>
    <w:next w:val="1"/>
    <w:uiPriority w:val="0"/>
    <w:pPr>
      <w:tabs>
        <w:tab w:val="clear" w:pos="840"/>
      </w:tabs>
      <w:adjustRightInd/>
      <w:snapToGrid/>
      <w:spacing w:after="330" w:afterLines="100" w:line="400" w:lineRule="exact"/>
      <w:jc w:val="center"/>
      <w:outlineLvl w:val="9"/>
    </w:pPr>
    <w:rPr>
      <w:rFonts w:ascii="黑体" w:hAnsi="黑体" w:eastAsia="黑体"/>
      <w:b w:val="0"/>
      <w:bCs/>
      <w:sz w:val="32"/>
      <w:szCs w:val="44"/>
    </w:rPr>
  </w:style>
  <w:style w:type="paragraph" w:customStyle="1" w:styleId="471">
    <w:name w:val="正文文本缩进 21"/>
    <w:basedOn w:val="1"/>
    <w:qFormat/>
    <w:uiPriority w:val="0"/>
    <w:pPr>
      <w:widowControl w:val="0"/>
      <w:tabs>
        <w:tab w:val="left" w:pos="0"/>
      </w:tabs>
      <w:adjustRightInd w:val="0"/>
      <w:snapToGrid w:val="0"/>
      <w:spacing w:line="360" w:lineRule="auto"/>
      <w:ind w:left="180" w:firstLine="540" w:firstLineChars="200"/>
      <w:jc w:val="both"/>
      <w:textAlignment w:val="baseline"/>
    </w:pPr>
    <w:rPr>
      <w:rFonts w:ascii="宋体" w:hAnsi="宋体"/>
      <w:sz w:val="28"/>
    </w:rPr>
  </w:style>
  <w:style w:type="paragraph" w:customStyle="1" w:styleId="472">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3">
    <w:name w:val="H5"/>
    <w:basedOn w:val="1"/>
    <w:next w:val="1"/>
    <w:qFormat/>
    <w:uiPriority w:val="0"/>
    <w:pPr>
      <w:keepNext/>
      <w:widowControl w:val="0"/>
      <w:autoSpaceDE w:val="0"/>
      <w:autoSpaceDN w:val="0"/>
      <w:adjustRightInd w:val="0"/>
      <w:spacing w:before="100" w:after="100"/>
      <w:outlineLvl w:val="5"/>
    </w:pPr>
    <w:rPr>
      <w:b/>
      <w:sz w:val="20"/>
    </w:rPr>
  </w:style>
  <w:style w:type="paragraph" w:customStyle="1" w:styleId="474">
    <w:name w:val="Char Char Char Char11"/>
    <w:basedOn w:val="1"/>
    <w:qFormat/>
    <w:uiPriority w:val="0"/>
    <w:pPr>
      <w:widowControl w:val="0"/>
      <w:spacing w:line="400" w:lineRule="exact"/>
      <w:ind w:firstLine="200" w:firstLineChars="200"/>
      <w:jc w:val="both"/>
    </w:pPr>
    <w:rPr>
      <w:rFonts w:ascii="方正综艺简体" w:hAnsi="方正综艺简体" w:eastAsia="方正综艺简体" w:cs="方正综艺简体"/>
      <w:kern w:val="2"/>
      <w:szCs w:val="24"/>
    </w:rPr>
  </w:style>
  <w:style w:type="paragraph" w:customStyle="1" w:styleId="475">
    <w:name w:val="招标文件－表格用正文"/>
    <w:basedOn w:val="1"/>
    <w:qFormat/>
    <w:uiPriority w:val="0"/>
    <w:pPr>
      <w:widowControl w:val="0"/>
      <w:spacing w:beforeLines="50" w:afterLines="50"/>
      <w:jc w:val="both"/>
    </w:pPr>
    <w:rPr>
      <w:rFonts w:ascii="宋体" w:hAnsi="Courier New" w:cs="宋体"/>
      <w:snapToGrid w:val="0"/>
      <w:color w:val="000000"/>
      <w:kern w:val="2"/>
      <w:sz w:val="24"/>
    </w:rPr>
  </w:style>
  <w:style w:type="paragraph" w:customStyle="1" w:styleId="476">
    <w:name w:val="xl41"/>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right"/>
    </w:pPr>
    <w:rPr>
      <w:rFonts w:ascii="Arial Unicode MS" w:hAnsi="Arial Unicode MS" w:eastAsia="Arial Unicode MS"/>
      <w:b/>
      <w:bCs/>
      <w:sz w:val="24"/>
      <w:szCs w:val="24"/>
    </w:rPr>
  </w:style>
  <w:style w:type="paragraph" w:customStyle="1" w:styleId="477">
    <w:name w:val="xl100"/>
    <w:basedOn w:val="1"/>
    <w:qFormat/>
    <w:uiPriority w:val="0"/>
    <w:pPr>
      <w:pBdr>
        <w:top w:val="single" w:color="auto" w:sz="4" w:space="0"/>
        <w:bottom w:val="single" w:color="auto" w:sz="4" w:space="0"/>
      </w:pBdr>
      <w:shd w:val="clear" w:color="auto" w:fill="99CCFF"/>
      <w:spacing w:before="100" w:beforeAutospacing="1" w:after="100" w:afterAutospacing="1"/>
      <w:textAlignment w:val="center"/>
    </w:pPr>
    <w:rPr>
      <w:rFonts w:ascii="宋体" w:hAnsi="宋体" w:cs="宋体"/>
      <w:sz w:val="18"/>
      <w:szCs w:val="18"/>
    </w:rPr>
  </w:style>
  <w:style w:type="paragraph" w:customStyle="1" w:styleId="478">
    <w:name w:val="Char Char1 Char Char Char Char Char Char Char Char Char Char Char Char Char Char Char Char Char Char Char"/>
    <w:basedOn w:val="1"/>
    <w:qFormat/>
    <w:uiPriority w:val="0"/>
    <w:pPr>
      <w:spacing w:after="160" w:line="240" w:lineRule="exact"/>
    </w:pPr>
    <w:rPr>
      <w:rFonts w:ascii="Calibri" w:hAnsi="Calibri"/>
      <w:sz w:val="22"/>
      <w:szCs w:val="22"/>
      <w:lang w:eastAsia="en-US" w:bidi="en-US"/>
    </w:rPr>
  </w:style>
  <w:style w:type="paragraph" w:customStyle="1" w:styleId="479">
    <w:name w:val="xl95"/>
    <w:basedOn w:val="1"/>
    <w:qFormat/>
    <w:uiPriority w:val="0"/>
    <w:pPr>
      <w:pBdr>
        <w:top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18"/>
      <w:szCs w:val="18"/>
    </w:rPr>
  </w:style>
  <w:style w:type="paragraph" w:customStyle="1" w:styleId="480">
    <w:name w:val="正文 + 小三"/>
    <w:basedOn w:val="1"/>
    <w:qFormat/>
    <w:uiPriority w:val="0"/>
    <w:pPr>
      <w:widowControl w:val="0"/>
      <w:jc w:val="both"/>
    </w:pPr>
    <w:rPr>
      <w:rFonts w:ascii="宋体" w:hAnsi="宋体"/>
      <w:kern w:val="2"/>
      <w:sz w:val="30"/>
      <w:szCs w:val="30"/>
    </w:rPr>
  </w:style>
  <w:style w:type="paragraph" w:customStyle="1" w:styleId="481">
    <w:name w:val="xl84"/>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center"/>
    </w:pPr>
    <w:rPr>
      <w:rFonts w:ascii="宋体" w:hAnsi="宋体" w:cs="宋体"/>
      <w:b/>
      <w:bCs/>
      <w:sz w:val="18"/>
      <w:szCs w:val="18"/>
    </w:rPr>
  </w:style>
  <w:style w:type="paragraph" w:customStyle="1" w:styleId="482">
    <w:name w:val="Char1 Char Char Char"/>
    <w:basedOn w:val="1"/>
    <w:qFormat/>
    <w:uiPriority w:val="0"/>
    <w:pPr>
      <w:widowControl w:val="0"/>
      <w:jc w:val="both"/>
    </w:pPr>
    <w:rPr>
      <w:rFonts w:ascii="仿宋_GB2312" w:eastAsia="仿宋_GB2312"/>
      <w:b/>
      <w:kern w:val="2"/>
      <w:sz w:val="32"/>
      <w:szCs w:val="32"/>
    </w:rPr>
  </w:style>
  <w:style w:type="paragraph" w:customStyle="1" w:styleId="483">
    <w:name w:val="简单回函地址"/>
    <w:basedOn w:val="1"/>
    <w:qFormat/>
    <w:uiPriority w:val="0"/>
    <w:pPr>
      <w:widowControl w:val="0"/>
      <w:spacing w:line="460" w:lineRule="exact"/>
      <w:ind w:firstLine="200" w:firstLineChars="200"/>
      <w:jc w:val="both"/>
    </w:pPr>
    <w:rPr>
      <w:spacing w:val="12"/>
      <w:kern w:val="2"/>
      <w:sz w:val="24"/>
    </w:rPr>
  </w:style>
  <w:style w:type="paragraph" w:customStyle="1" w:styleId="484">
    <w:name w:val="xl94"/>
    <w:basedOn w:val="1"/>
    <w:qFormat/>
    <w:uiPriority w:val="0"/>
    <w:pPr>
      <w:pBdr>
        <w:top w:val="single" w:color="auto" w:sz="4" w:space="0"/>
        <w:bottom w:val="single" w:color="auto" w:sz="4" w:space="0"/>
      </w:pBdr>
      <w:spacing w:before="100" w:beforeAutospacing="1" w:after="100" w:afterAutospacing="1"/>
      <w:textAlignment w:val="center"/>
    </w:pPr>
    <w:rPr>
      <w:rFonts w:ascii="宋体" w:hAnsi="宋体" w:cs="宋体"/>
      <w:sz w:val="18"/>
      <w:szCs w:val="18"/>
    </w:rPr>
  </w:style>
  <w:style w:type="paragraph" w:customStyle="1" w:styleId="485">
    <w:name w:val="目录"/>
    <w:basedOn w:val="1"/>
    <w:qFormat/>
    <w:uiPriority w:val="0"/>
    <w:pPr>
      <w:jc w:val="center"/>
    </w:pPr>
    <w:rPr>
      <w:rFonts w:hint="eastAsia" w:ascii="宋体"/>
      <w:b/>
      <w:sz w:val="36"/>
    </w:rPr>
  </w:style>
  <w:style w:type="paragraph" w:customStyle="1" w:styleId="486">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sz w:val="24"/>
      <w:szCs w:val="24"/>
    </w:rPr>
  </w:style>
  <w:style w:type="paragraph" w:customStyle="1" w:styleId="487">
    <w:name w:val="Char Char7 Char"/>
    <w:basedOn w:val="1"/>
    <w:qFormat/>
    <w:uiPriority w:val="0"/>
    <w:pPr>
      <w:widowControl w:val="0"/>
      <w:tabs>
        <w:tab w:val="left" w:pos="425"/>
      </w:tabs>
      <w:ind w:left="420" w:leftChars="200" w:firstLine="270" w:firstLineChars="150"/>
      <w:jc w:val="both"/>
    </w:pPr>
    <w:rPr>
      <w:rFonts w:ascii="宋体" w:hAnsi="宋体" w:cs="Arial"/>
      <w:color w:val="5E5E5E"/>
      <w:szCs w:val="21"/>
    </w:rPr>
  </w:style>
  <w:style w:type="paragraph" w:customStyle="1" w:styleId="488">
    <w:name w:val="xl5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sz w:val="20"/>
    </w:rPr>
  </w:style>
  <w:style w:type="paragraph" w:customStyle="1" w:styleId="489">
    <w:name w:val="正文文本缩进 31"/>
    <w:basedOn w:val="1"/>
    <w:qFormat/>
    <w:uiPriority w:val="0"/>
    <w:pPr>
      <w:widowControl w:val="0"/>
      <w:tabs>
        <w:tab w:val="left" w:pos="0"/>
      </w:tabs>
      <w:adjustRightInd w:val="0"/>
      <w:snapToGrid w:val="0"/>
      <w:spacing w:line="360" w:lineRule="auto"/>
      <w:ind w:firstLine="734" w:firstLineChars="200"/>
      <w:jc w:val="both"/>
      <w:textAlignment w:val="baseline"/>
    </w:pPr>
    <w:rPr>
      <w:rFonts w:ascii="宋体" w:hAnsi="宋体"/>
      <w:sz w:val="28"/>
    </w:rPr>
  </w:style>
  <w:style w:type="paragraph" w:customStyle="1" w:styleId="490">
    <w:name w:val="Char1 Char Char Char Char Char Char Char Char Char"/>
    <w:basedOn w:val="1"/>
    <w:qFormat/>
    <w:uiPriority w:val="0"/>
    <w:pPr>
      <w:widowControl w:val="0"/>
      <w:jc w:val="both"/>
    </w:pPr>
    <w:rPr>
      <w:rFonts w:ascii="仿宋_GB2312" w:eastAsia="仿宋_GB2312"/>
      <w:b/>
      <w:kern w:val="2"/>
      <w:sz w:val="32"/>
      <w:szCs w:val="32"/>
    </w:rPr>
  </w:style>
  <w:style w:type="paragraph" w:customStyle="1" w:styleId="491">
    <w:name w:val="无间隔"/>
    <w:uiPriority w:val="0"/>
    <w:pPr>
      <w:widowControl w:val="0"/>
      <w:jc w:val="both"/>
    </w:pPr>
    <w:rPr>
      <w:rFonts w:ascii="Calibri" w:hAnsi="Calibri"/>
      <w:kern w:val="2"/>
      <w:sz w:val="21"/>
      <w:szCs w:val="22"/>
      <w:lang w:val="en-US" w:eastAsia="zh-CN" w:bidi="ar-SA"/>
    </w:rPr>
  </w:style>
  <w:style w:type="paragraph" w:customStyle="1" w:styleId="492">
    <w:name w:val="z-Top of Form"/>
    <w:next w:val="1"/>
    <w:qFormat/>
    <w:uiPriority w:val="0"/>
    <w:pPr>
      <w:widowControl w:val="0"/>
      <w:pBdr>
        <w:bottom w:val="double" w:color="000000" w:sz="2" w:space="0"/>
      </w:pBdr>
      <w:autoSpaceDE w:val="0"/>
      <w:autoSpaceDN w:val="0"/>
      <w:adjustRightInd w:val="0"/>
      <w:jc w:val="center"/>
    </w:pPr>
    <w:rPr>
      <w:rFonts w:ascii="Arial" w:hAnsi="Arial" w:eastAsia="宋体" w:cs="Times New Roman"/>
      <w:vanish/>
      <w:kern w:val="0"/>
      <w:sz w:val="16"/>
      <w:szCs w:val="20"/>
      <w:lang w:val="en-US" w:eastAsia="zh-CN" w:bidi="ar-SA"/>
    </w:rPr>
  </w:style>
  <w:style w:type="paragraph" w:customStyle="1" w:styleId="493">
    <w:name w:val="xl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ourier New"/>
      <w:sz w:val="24"/>
      <w:szCs w:val="24"/>
      <w:lang w:eastAsia="en-US"/>
    </w:rPr>
  </w:style>
  <w:style w:type="paragraph" w:customStyle="1" w:styleId="494">
    <w:name w:val="样式 标题 1 + Arial 黑色"/>
    <w:basedOn w:val="4"/>
    <w:qFormat/>
    <w:uiPriority w:val="0"/>
    <w:pPr>
      <w:tabs>
        <w:tab w:val="clear" w:pos="840"/>
      </w:tabs>
      <w:spacing w:before="340" w:after="330" w:line="480" w:lineRule="auto"/>
      <w:jc w:val="center"/>
    </w:pPr>
    <w:rPr>
      <w:rFonts w:ascii="Arial" w:hAnsi="Arial"/>
      <w:bCs/>
      <w:color w:val="000000"/>
      <w:sz w:val="36"/>
      <w:szCs w:val="44"/>
    </w:rPr>
  </w:style>
  <w:style w:type="paragraph" w:customStyle="1" w:styleId="495">
    <w:name w:val="6'"/>
    <w:basedOn w:val="1"/>
    <w:qFormat/>
    <w:uiPriority w:val="0"/>
    <w:pPr>
      <w:widowControl w:val="0"/>
      <w:autoSpaceDE w:val="0"/>
      <w:autoSpaceDN w:val="0"/>
      <w:adjustRightInd w:val="0"/>
      <w:snapToGrid w:val="0"/>
      <w:spacing w:line="320" w:lineRule="exact"/>
      <w:jc w:val="center"/>
      <w:textAlignment w:val="baseline"/>
    </w:pPr>
    <w:rPr>
      <w:spacing w:val="20"/>
      <w:kern w:val="28"/>
    </w:rPr>
  </w:style>
  <w:style w:type="paragraph" w:customStyle="1" w:styleId="496">
    <w:name w:val="默认段落字体 Para Char Char Char Char"/>
    <w:basedOn w:val="1"/>
    <w:qFormat/>
    <w:uiPriority w:val="0"/>
    <w:pPr>
      <w:widowControl w:val="0"/>
      <w:jc w:val="both"/>
    </w:pPr>
    <w:rPr>
      <w:kern w:val="2"/>
      <w:szCs w:val="24"/>
    </w:rPr>
  </w:style>
  <w:style w:type="paragraph" w:customStyle="1" w:styleId="497">
    <w:name w:val="xl46"/>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b/>
      <w:bCs/>
      <w:sz w:val="28"/>
      <w:szCs w:val="28"/>
    </w:rPr>
  </w:style>
  <w:style w:type="paragraph" w:customStyle="1" w:styleId="498">
    <w:name w:val="正文文字表格居中"/>
    <w:basedOn w:val="1"/>
    <w:next w:val="46"/>
    <w:qFormat/>
    <w:uiPriority w:val="0"/>
    <w:pPr>
      <w:widowControl w:val="0"/>
      <w:spacing w:line="400" w:lineRule="exact"/>
      <w:jc w:val="center"/>
    </w:pPr>
    <w:rPr>
      <w:b/>
      <w:bCs/>
      <w:kern w:val="2"/>
      <w:sz w:val="24"/>
      <w:szCs w:val="24"/>
    </w:rPr>
  </w:style>
  <w:style w:type="paragraph" w:customStyle="1" w:styleId="499">
    <w:name w:val="样式2"/>
    <w:basedOn w:val="4"/>
    <w:qFormat/>
    <w:uiPriority w:val="0"/>
    <w:pPr>
      <w:tabs>
        <w:tab w:val="left" w:pos="482"/>
        <w:tab w:val="left" w:pos="2183"/>
        <w:tab w:val="left" w:pos="3884"/>
        <w:tab w:val="left" w:pos="5585"/>
        <w:tab w:val="clear" w:pos="840"/>
      </w:tabs>
      <w:snapToGrid/>
      <w:spacing w:afterLines="100"/>
      <w:jc w:val="center"/>
      <w:textAlignment w:val="baseline"/>
    </w:pPr>
    <w:rPr>
      <w:rFonts w:ascii="方正综艺简体" w:hAnsi="方正综艺简体" w:eastAsia="方正综艺简体" w:cs="方正综艺简体"/>
      <w:bCs/>
      <w:sz w:val="32"/>
      <w:szCs w:val="44"/>
    </w:rPr>
  </w:style>
  <w:style w:type="paragraph" w:customStyle="1" w:styleId="500">
    <w:name w:val="样式 正文文本 + 首行缩进:  2 字符1"/>
    <w:basedOn w:val="3"/>
    <w:qFormat/>
    <w:uiPriority w:val="0"/>
    <w:pPr>
      <w:widowControl w:val="0"/>
      <w:adjustRightInd w:val="0"/>
      <w:snapToGrid w:val="0"/>
      <w:spacing w:after="0" w:line="400" w:lineRule="exact"/>
      <w:ind w:firstLine="200" w:firstLineChars="200"/>
      <w:jc w:val="both"/>
    </w:pPr>
    <w:rPr>
      <w:rFonts w:ascii="Arial" w:hAnsi="Arial" w:cs="宋体"/>
      <w:kern w:val="2"/>
    </w:rPr>
  </w:style>
  <w:style w:type="paragraph" w:customStyle="1" w:styleId="501">
    <w:name w:val="xl81"/>
    <w:basedOn w:val="1"/>
    <w:qFormat/>
    <w:uiPriority w:val="0"/>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textAlignment w:val="center"/>
    </w:pPr>
    <w:rPr>
      <w:rFonts w:ascii="宋体" w:hAnsi="宋体" w:cs="宋体"/>
      <w:sz w:val="18"/>
      <w:szCs w:val="18"/>
    </w:rPr>
  </w:style>
  <w:style w:type="paragraph" w:customStyle="1" w:styleId="502">
    <w:name w:val="xl96"/>
    <w:basedOn w:val="1"/>
    <w:qFormat/>
    <w:uiPriority w:val="0"/>
    <w:pPr>
      <w:pBdr>
        <w:top w:val="single" w:color="auto" w:sz="4" w:space="0"/>
        <w:left w:val="single" w:color="auto" w:sz="8" w:space="0"/>
        <w:right w:val="single" w:color="auto" w:sz="4" w:space="0"/>
      </w:pBdr>
      <w:spacing w:before="100" w:beforeAutospacing="1" w:after="100" w:afterAutospacing="1"/>
      <w:textAlignment w:val="center"/>
    </w:pPr>
    <w:rPr>
      <w:rFonts w:ascii="宋体" w:hAnsi="宋体" w:cs="宋体"/>
      <w:b/>
      <w:bCs/>
      <w:sz w:val="18"/>
      <w:szCs w:val="18"/>
    </w:rPr>
  </w:style>
  <w:style w:type="paragraph" w:customStyle="1" w:styleId="503">
    <w:name w:val="xl83"/>
    <w:basedOn w:val="1"/>
    <w:qFormat/>
    <w:uiPriority w:val="0"/>
    <w:pPr>
      <w:pBdr>
        <w:top w:val="single" w:color="auto" w:sz="4" w:space="0"/>
        <w:left w:val="single" w:color="auto" w:sz="4" w:space="0"/>
        <w:bottom w:val="single" w:color="auto" w:sz="8" w:space="0"/>
        <w:right w:val="single" w:color="auto" w:sz="8" w:space="0"/>
      </w:pBdr>
      <w:shd w:val="clear" w:color="auto" w:fill="99CCFF"/>
      <w:spacing w:before="100" w:beforeAutospacing="1" w:after="100" w:afterAutospacing="1"/>
      <w:jc w:val="center"/>
      <w:textAlignment w:val="center"/>
    </w:pPr>
    <w:rPr>
      <w:rFonts w:ascii="宋体" w:hAnsi="宋体" w:cs="宋体"/>
      <w:sz w:val="18"/>
      <w:szCs w:val="18"/>
    </w:rPr>
  </w:style>
  <w:style w:type="paragraph" w:customStyle="1" w:styleId="504">
    <w:name w:val="xl58"/>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sz w:val="20"/>
    </w:rPr>
  </w:style>
  <w:style w:type="paragraph" w:customStyle="1" w:styleId="505">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16"/>
      <w:szCs w:val="16"/>
      <w:lang w:eastAsia="en-US"/>
    </w:rPr>
  </w:style>
  <w:style w:type="paragraph" w:customStyle="1" w:styleId="506">
    <w:name w:val="pbj1"/>
    <w:basedOn w:val="1"/>
    <w:qFormat/>
    <w:uiPriority w:val="0"/>
    <w:pPr>
      <w:spacing w:line="400" w:lineRule="exact"/>
      <w:ind w:firstLine="200" w:firstLineChars="200"/>
    </w:pPr>
    <w:rPr>
      <w:rFonts w:ascii="宋体" w:hAnsi="宋体" w:cs="宋体"/>
      <w:sz w:val="24"/>
      <w:szCs w:val="24"/>
    </w:rPr>
  </w:style>
  <w:style w:type="paragraph" w:customStyle="1" w:styleId="507">
    <w:name w:val="xl47"/>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b/>
      <w:bCs/>
      <w:sz w:val="28"/>
      <w:szCs w:val="28"/>
    </w:rPr>
  </w:style>
  <w:style w:type="paragraph" w:customStyle="1" w:styleId="508">
    <w:name w:val="H2"/>
    <w:basedOn w:val="1"/>
    <w:next w:val="1"/>
    <w:qFormat/>
    <w:uiPriority w:val="0"/>
    <w:pPr>
      <w:keepNext/>
      <w:widowControl w:val="0"/>
      <w:autoSpaceDE w:val="0"/>
      <w:autoSpaceDN w:val="0"/>
      <w:adjustRightInd w:val="0"/>
      <w:spacing w:before="100" w:after="100"/>
      <w:outlineLvl w:val="2"/>
    </w:pPr>
    <w:rPr>
      <w:b/>
      <w:sz w:val="36"/>
    </w:rPr>
  </w:style>
  <w:style w:type="paragraph" w:customStyle="1" w:styleId="509">
    <w:name w:val="xl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sz w:val="22"/>
      <w:szCs w:val="22"/>
    </w:rPr>
  </w:style>
  <w:style w:type="paragraph" w:customStyle="1" w:styleId="510">
    <w:name w:val="cright1"/>
    <w:basedOn w:val="1"/>
    <w:qFormat/>
    <w:uiPriority w:val="0"/>
    <w:pPr>
      <w:wordWrap w:val="0"/>
    </w:pPr>
    <w:rPr>
      <w:rFonts w:ascii="宋体" w:hAnsi="宋体" w:cs="宋体"/>
      <w:color w:val="383838"/>
      <w:sz w:val="24"/>
      <w:szCs w:val="24"/>
    </w:rPr>
  </w:style>
  <w:style w:type="paragraph" w:customStyle="1" w:styleId="511">
    <w:name w:val="xl5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20"/>
    </w:rPr>
  </w:style>
  <w:style w:type="paragraph" w:customStyle="1" w:styleId="512">
    <w:name w:val="MyStyle"/>
    <w:basedOn w:val="1"/>
    <w:qFormat/>
    <w:uiPriority w:val="0"/>
    <w:pPr>
      <w:widowControl w:val="0"/>
      <w:spacing w:line="300" w:lineRule="auto"/>
      <w:ind w:firstLine="36" w:firstLineChars="15"/>
      <w:jc w:val="both"/>
    </w:pPr>
    <w:rPr>
      <w:kern w:val="2"/>
      <w:sz w:val="24"/>
      <w:szCs w:val="24"/>
    </w:rPr>
  </w:style>
  <w:style w:type="paragraph" w:customStyle="1" w:styleId="513">
    <w:name w:val="附录项目"/>
    <w:basedOn w:val="9"/>
    <w:qFormat/>
    <w:uiPriority w:val="0"/>
    <w:pPr>
      <w:keepNext w:val="0"/>
      <w:autoSpaceDE/>
      <w:autoSpaceDN/>
      <w:adjustRightInd/>
      <w:spacing w:before="0" w:after="0" w:line="240" w:lineRule="auto"/>
      <w:ind w:firstLine="200" w:firstLineChars="200"/>
      <w:outlineLvl w:val="9"/>
    </w:pPr>
    <w:rPr>
      <w:rFonts w:hAnsi="Calibri"/>
      <w:b w:val="0"/>
      <w:bCs/>
      <w:snapToGrid w:val="0"/>
      <w:color w:val="auto"/>
      <w:sz w:val="21"/>
      <w:szCs w:val="28"/>
    </w:rPr>
  </w:style>
  <w:style w:type="paragraph" w:customStyle="1" w:styleId="514">
    <w:name w:val="样式1"/>
    <w:basedOn w:val="1"/>
    <w:qFormat/>
    <w:uiPriority w:val="0"/>
    <w:pPr>
      <w:widowControl w:val="0"/>
      <w:spacing w:before="120" w:after="120" w:line="300" w:lineRule="auto"/>
      <w:jc w:val="both"/>
    </w:pPr>
    <w:rPr>
      <w:rFonts w:ascii="宋体" w:hAnsi="宋体"/>
      <w:b/>
      <w:kern w:val="2"/>
      <w:sz w:val="24"/>
    </w:rPr>
  </w:style>
  <w:style w:type="paragraph" w:customStyle="1" w:styleId="515">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516">
    <w:name w:val="样式 标题 3h33rd level3H3l3CTsect1.2.3sect1.2.31sect1.2.32...3"/>
    <w:basedOn w:val="6"/>
    <w:qFormat/>
    <w:uiPriority w:val="0"/>
    <w:pPr>
      <w:widowControl w:val="0"/>
      <w:spacing w:line="240" w:lineRule="auto"/>
      <w:ind w:left="200" w:leftChars="200"/>
      <w:jc w:val="both"/>
    </w:pPr>
    <w:rPr>
      <w:rFonts w:cs="宋体"/>
      <w:kern w:val="2"/>
      <w:sz w:val="24"/>
      <w:szCs w:val="20"/>
    </w:rPr>
  </w:style>
  <w:style w:type="paragraph" w:customStyle="1" w:styleId="517">
    <w:name w:val="列出段落"/>
    <w:basedOn w:val="1"/>
    <w:uiPriority w:val="0"/>
    <w:pPr>
      <w:widowControl w:val="0"/>
      <w:spacing w:line="400" w:lineRule="exact"/>
      <w:ind w:firstLine="420" w:firstLineChars="200"/>
      <w:jc w:val="both"/>
    </w:pPr>
    <w:rPr>
      <w:rFonts w:ascii="Calibri" w:hAnsi="Calibri"/>
      <w:kern w:val="2"/>
      <w:szCs w:val="22"/>
    </w:rPr>
  </w:style>
  <w:style w:type="paragraph" w:customStyle="1" w:styleId="518">
    <w:name w:val="Pa5"/>
    <w:basedOn w:val="1"/>
    <w:next w:val="1"/>
    <w:qFormat/>
    <w:uiPriority w:val="0"/>
    <w:pPr>
      <w:widowControl w:val="0"/>
      <w:autoSpaceDE w:val="0"/>
      <w:autoSpaceDN w:val="0"/>
      <w:adjustRightInd w:val="0"/>
      <w:spacing w:line="141" w:lineRule="atLeast"/>
    </w:pPr>
    <w:rPr>
      <w:rFonts w:ascii="Denshan CSEG" w:eastAsia="Denshan CSEG"/>
      <w:sz w:val="24"/>
      <w:szCs w:val="24"/>
    </w:rPr>
  </w:style>
  <w:style w:type="paragraph" w:customStyle="1" w:styleId="519">
    <w:name w:val="保留正文"/>
    <w:basedOn w:val="3"/>
    <w:qFormat/>
    <w:uiPriority w:val="0"/>
    <w:pPr>
      <w:keepNext/>
      <w:widowControl w:val="0"/>
      <w:spacing w:after="160"/>
      <w:jc w:val="both"/>
    </w:pPr>
    <w:rPr>
      <w:kern w:val="2"/>
      <w:szCs w:val="24"/>
    </w:rPr>
  </w:style>
  <w:style w:type="paragraph" w:customStyle="1" w:styleId="520">
    <w:name w:val="Char Char Char"/>
    <w:basedOn w:val="1"/>
    <w:qFormat/>
    <w:uiPriority w:val="0"/>
    <w:pPr>
      <w:widowControl w:val="0"/>
      <w:jc w:val="both"/>
    </w:pPr>
    <w:rPr>
      <w:kern w:val="2"/>
    </w:rPr>
  </w:style>
  <w:style w:type="paragraph" w:customStyle="1" w:styleId="521">
    <w:name w:val="Char Char Char Char2"/>
    <w:basedOn w:val="8"/>
    <w:uiPriority w:val="0"/>
    <w:pPr>
      <w:widowControl w:val="0"/>
      <w:spacing w:line="360" w:lineRule="auto"/>
      <w:ind w:firstLine="200" w:firstLineChars="200"/>
      <w:jc w:val="both"/>
    </w:pPr>
    <w:rPr>
      <w:rFonts w:ascii="宋体" w:hAnsi="宋体"/>
      <w:kern w:val="28"/>
      <w:sz w:val="28"/>
      <w:szCs w:val="20"/>
    </w:rPr>
  </w:style>
  <w:style w:type="paragraph" w:customStyle="1" w:styleId="522">
    <w:name w:val="样式 正文文本 + 首行缩进:  2 字符"/>
    <w:basedOn w:val="3"/>
    <w:qFormat/>
    <w:uiPriority w:val="0"/>
    <w:pPr>
      <w:widowControl w:val="0"/>
      <w:adjustRightInd w:val="0"/>
      <w:snapToGrid w:val="0"/>
      <w:spacing w:after="0" w:line="400" w:lineRule="exact"/>
      <w:ind w:firstLine="200" w:firstLineChars="200"/>
      <w:jc w:val="both"/>
    </w:pPr>
    <w:rPr>
      <w:rFonts w:ascii="Arial" w:hAnsi="Arial" w:cs="宋体"/>
      <w:kern w:val="2"/>
    </w:rPr>
  </w:style>
  <w:style w:type="paragraph" w:customStyle="1" w:styleId="523">
    <w:name w:val="xl98"/>
    <w:basedOn w:val="1"/>
    <w:qFormat/>
    <w:uiPriority w:val="0"/>
    <w:pPr>
      <w:pBdr>
        <w:left w:val="single" w:color="auto" w:sz="8" w:space="0"/>
        <w:bottom w:val="single" w:color="auto" w:sz="4" w:space="0"/>
        <w:right w:val="single" w:color="auto" w:sz="4" w:space="0"/>
      </w:pBdr>
      <w:spacing w:before="100" w:beforeAutospacing="1" w:after="100" w:afterAutospacing="1"/>
      <w:textAlignment w:val="center"/>
    </w:pPr>
    <w:rPr>
      <w:rFonts w:ascii="宋体" w:hAnsi="宋体" w:cs="宋体"/>
      <w:b/>
      <w:bCs/>
      <w:sz w:val="18"/>
      <w:szCs w:val="18"/>
    </w:rPr>
  </w:style>
  <w:style w:type="paragraph" w:customStyle="1" w:styleId="524">
    <w:name w:val="table_1stline"/>
    <w:basedOn w:val="1"/>
    <w:qFormat/>
    <w:uiPriority w:val="0"/>
    <w:pPr>
      <w:spacing w:before="120"/>
    </w:pPr>
    <w:rPr>
      <w:bCs/>
      <w:sz w:val="20"/>
      <w:lang w:val="de-DE" w:eastAsia="de-DE"/>
    </w:rPr>
  </w:style>
  <w:style w:type="paragraph" w:customStyle="1" w:styleId="525">
    <w:name w:val="列出段落1"/>
    <w:basedOn w:val="1"/>
    <w:unhideWhenUsed/>
    <w:qFormat/>
    <w:uiPriority w:val="0"/>
    <w:pPr>
      <w:widowControl w:val="0"/>
      <w:spacing w:line="400" w:lineRule="exact"/>
      <w:ind w:firstLine="420" w:firstLineChars="200"/>
      <w:jc w:val="both"/>
    </w:pPr>
    <w:rPr>
      <w:rFonts w:ascii="宋体" w:hAnsi="宋体"/>
      <w:kern w:val="2"/>
      <w:szCs w:val="24"/>
    </w:rPr>
  </w:style>
  <w:style w:type="paragraph" w:customStyle="1" w:styleId="526">
    <w:name w:val="Char Char Char Char13"/>
    <w:basedOn w:val="1"/>
    <w:uiPriority w:val="0"/>
    <w:pPr>
      <w:widowControl w:val="0"/>
      <w:spacing w:line="400" w:lineRule="exact"/>
      <w:ind w:firstLine="200" w:firstLineChars="200"/>
      <w:jc w:val="both"/>
    </w:pPr>
    <w:rPr>
      <w:rFonts w:ascii="宋体" w:hAnsi="宋体"/>
      <w:kern w:val="2"/>
      <w:szCs w:val="24"/>
    </w:rPr>
  </w:style>
  <w:style w:type="paragraph" w:customStyle="1" w:styleId="527">
    <w:name w:val="xl91"/>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textAlignment w:val="center"/>
    </w:pPr>
    <w:rPr>
      <w:rFonts w:ascii="宋体" w:hAnsi="宋体" w:cs="宋体"/>
      <w:b/>
      <w:bCs/>
      <w:sz w:val="18"/>
      <w:szCs w:val="18"/>
    </w:rPr>
  </w:style>
  <w:style w:type="paragraph" w:customStyle="1" w:styleId="528">
    <w:name w:val="正文文字格式"/>
    <w:basedOn w:val="1"/>
    <w:qFormat/>
    <w:uiPriority w:val="0"/>
    <w:pPr>
      <w:widowControl w:val="0"/>
      <w:spacing w:line="460" w:lineRule="exact"/>
      <w:ind w:firstLine="505"/>
    </w:pPr>
    <w:rPr>
      <w:rFonts w:ascii="宋体"/>
      <w:kern w:val="24"/>
      <w:sz w:val="24"/>
    </w:rPr>
  </w:style>
  <w:style w:type="paragraph" w:customStyle="1" w:styleId="529">
    <w:name w:val="空半行"/>
    <w:basedOn w:val="1"/>
    <w:qFormat/>
    <w:uiPriority w:val="0"/>
    <w:pPr>
      <w:widowControl w:val="0"/>
      <w:adjustRightInd w:val="0"/>
      <w:spacing w:line="120" w:lineRule="exact"/>
      <w:ind w:firstLine="200" w:firstLineChars="200"/>
      <w:jc w:val="both"/>
      <w:textAlignment w:val="baseline"/>
    </w:pPr>
    <w:rPr>
      <w:rFonts w:ascii="宋体" w:hAnsi="宋体" w:eastAsia="仿宋_GB2312"/>
      <w:color w:val="FFFFFF"/>
      <w:sz w:val="30"/>
    </w:rPr>
  </w:style>
  <w:style w:type="paragraph" w:customStyle="1" w:styleId="530">
    <w:name w:val="xl40"/>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Arial Unicode MS"/>
      <w:b/>
      <w:bCs/>
      <w:sz w:val="24"/>
      <w:szCs w:val="24"/>
    </w:rPr>
  </w:style>
  <w:style w:type="paragraph" w:customStyle="1" w:styleId="531">
    <w:name w:val="xl45"/>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b/>
      <w:bCs/>
      <w:sz w:val="28"/>
      <w:szCs w:val="28"/>
    </w:rPr>
  </w:style>
  <w:style w:type="paragraph" w:customStyle="1" w:styleId="532">
    <w:name w:val="Char Char Char Char3"/>
    <w:basedOn w:val="8"/>
    <w:uiPriority w:val="0"/>
    <w:pPr>
      <w:widowControl w:val="0"/>
      <w:spacing w:line="360" w:lineRule="auto"/>
      <w:ind w:firstLine="200" w:firstLineChars="200"/>
      <w:jc w:val="both"/>
    </w:pPr>
    <w:rPr>
      <w:rFonts w:ascii="宋体" w:hAnsi="宋体"/>
      <w:kern w:val="28"/>
      <w:sz w:val="28"/>
      <w:szCs w:val="20"/>
    </w:rPr>
  </w:style>
  <w:style w:type="paragraph" w:customStyle="1" w:styleId="533">
    <w:name w:val="p0"/>
    <w:basedOn w:val="1"/>
    <w:qFormat/>
    <w:uiPriority w:val="0"/>
    <w:pPr>
      <w:jc w:val="both"/>
    </w:pPr>
    <w:rPr>
      <w:rFonts w:ascii="Calibri" w:hAnsi="Calibri" w:cs="宋体"/>
      <w:szCs w:val="21"/>
    </w:rPr>
  </w:style>
  <w:style w:type="paragraph" w:customStyle="1" w:styleId="534">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Courier New"/>
      <w:sz w:val="20"/>
      <w:lang w:eastAsia="en-US"/>
    </w:rPr>
  </w:style>
  <w:style w:type="paragraph" w:customStyle="1" w:styleId="535">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24"/>
      <w:szCs w:val="24"/>
      <w:lang w:eastAsia="en-US"/>
    </w:rPr>
  </w:style>
  <w:style w:type="paragraph" w:customStyle="1" w:styleId="536">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7">
    <w:name w:val="xl79"/>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sz w:val="18"/>
      <w:szCs w:val="18"/>
    </w:rPr>
  </w:style>
  <w:style w:type="paragraph" w:customStyle="1" w:styleId="538">
    <w:name w:val="xl5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sz w:val="20"/>
    </w:rPr>
  </w:style>
  <w:style w:type="paragraph" w:customStyle="1" w:styleId="539">
    <w:name w:val="List Paragraph"/>
    <w:basedOn w:val="1"/>
    <w:qFormat/>
    <w:uiPriority w:val="34"/>
    <w:pPr>
      <w:ind w:firstLine="420" w:firstLineChars="200"/>
    </w:pPr>
  </w:style>
  <w:style w:type="paragraph" w:customStyle="1" w:styleId="540">
    <w:name w:val="xl87"/>
    <w:basedOn w:val="1"/>
    <w:qFormat/>
    <w:uiPriority w:val="0"/>
    <w:pPr>
      <w:pBdr>
        <w:top w:val="single" w:color="auto" w:sz="4" w:space="0"/>
        <w:left w:val="single" w:color="auto" w:sz="4" w:space="0"/>
        <w:bottom w:val="single" w:color="auto" w:sz="8" w:space="0"/>
        <w:right w:val="single" w:color="auto" w:sz="4" w:space="0"/>
      </w:pBdr>
      <w:shd w:val="clear" w:color="auto" w:fill="99CCFF"/>
      <w:spacing w:before="100" w:beforeAutospacing="1" w:after="100" w:afterAutospacing="1"/>
      <w:textAlignment w:val="center"/>
    </w:pPr>
    <w:rPr>
      <w:rFonts w:ascii="宋体" w:hAnsi="宋体" w:cs="宋体"/>
      <w:sz w:val="18"/>
      <w:szCs w:val="18"/>
    </w:rPr>
  </w:style>
  <w:style w:type="paragraph" w:customStyle="1" w:styleId="541">
    <w:name w:val="font6"/>
    <w:basedOn w:val="1"/>
    <w:qFormat/>
    <w:uiPriority w:val="0"/>
    <w:pPr>
      <w:spacing w:before="100" w:beforeAutospacing="1" w:after="100" w:afterAutospacing="1"/>
    </w:pPr>
    <w:rPr>
      <w:rFonts w:eastAsia="Arial Unicode MS"/>
      <w:szCs w:val="21"/>
      <w:lang w:eastAsia="en-US"/>
    </w:rPr>
  </w:style>
  <w:style w:type="paragraph" w:customStyle="1" w:styleId="542">
    <w:name w:val="my title2"/>
    <w:basedOn w:val="1"/>
    <w:qFormat/>
    <w:uiPriority w:val="0"/>
    <w:pPr>
      <w:jc w:val="both"/>
    </w:pPr>
    <w:rPr>
      <w:rFonts w:eastAsia="仿宋_GB2312"/>
      <w:sz w:val="24"/>
    </w:rPr>
  </w:style>
  <w:style w:type="paragraph" w:customStyle="1" w:styleId="543">
    <w:name w:val="附件"/>
    <w:basedOn w:val="4"/>
    <w:qFormat/>
    <w:uiPriority w:val="0"/>
    <w:pPr>
      <w:keepNext w:val="0"/>
      <w:keepLines w:val="0"/>
      <w:pageBreakBefore/>
      <w:spacing w:beforeLines="100" w:afterLines="100" w:line="240" w:lineRule="auto"/>
      <w:jc w:val="center"/>
    </w:pPr>
    <w:rPr>
      <w:rFonts w:hAnsi="宋体"/>
      <w:sz w:val="28"/>
      <w:szCs w:val="36"/>
    </w:rPr>
  </w:style>
  <w:style w:type="paragraph" w:customStyle="1" w:styleId="544">
    <w:name w:val="xl101"/>
    <w:basedOn w:val="1"/>
    <w:qFormat/>
    <w:uiPriority w:val="0"/>
    <w:pPr>
      <w:pBdr>
        <w:top w:val="single" w:color="auto" w:sz="4" w:space="0"/>
        <w:bottom w:val="single" w:color="auto" w:sz="4" w:space="0"/>
        <w:right w:val="single" w:color="auto" w:sz="4" w:space="0"/>
      </w:pBdr>
      <w:shd w:val="clear" w:color="auto" w:fill="99CCFF"/>
      <w:spacing w:before="100" w:beforeAutospacing="1" w:after="100" w:afterAutospacing="1"/>
      <w:textAlignment w:val="center"/>
    </w:pPr>
    <w:rPr>
      <w:rFonts w:ascii="宋体" w:hAnsi="宋体" w:cs="宋体"/>
      <w:sz w:val="18"/>
      <w:szCs w:val="18"/>
    </w:rPr>
  </w:style>
  <w:style w:type="paragraph" w:customStyle="1" w:styleId="54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18"/>
      <w:szCs w:val="18"/>
    </w:rPr>
  </w:style>
  <w:style w:type="paragraph" w:customStyle="1" w:styleId="546">
    <w:name w:val="Char Char Char1"/>
    <w:basedOn w:val="1"/>
    <w:qFormat/>
    <w:uiPriority w:val="0"/>
    <w:pPr>
      <w:widowControl w:val="0"/>
      <w:jc w:val="both"/>
    </w:pPr>
    <w:rPr>
      <w:rFonts w:ascii="Tahoma" w:hAnsi="Tahoma"/>
      <w:kern w:val="2"/>
      <w:sz w:val="24"/>
    </w:rPr>
  </w:style>
  <w:style w:type="paragraph" w:customStyle="1" w:styleId="547">
    <w:name w:val="xl38"/>
    <w:basedOn w:val="1"/>
    <w:qFormat/>
    <w:uiPriority w:val="0"/>
    <w:pPr>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sz w:val="24"/>
      <w:szCs w:val="24"/>
    </w:rPr>
  </w:style>
  <w:style w:type="paragraph" w:customStyle="1" w:styleId="548">
    <w:name w:val="内文正文"/>
    <w:basedOn w:val="29"/>
    <w:qFormat/>
    <w:uiPriority w:val="0"/>
    <w:pPr>
      <w:adjustRightInd w:val="0"/>
      <w:snapToGrid w:val="0"/>
      <w:spacing w:line="400" w:lineRule="exact"/>
      <w:ind w:firstLine="200" w:firstLineChars="200"/>
    </w:pPr>
    <w:rPr>
      <w:rFonts w:ascii="Arial" w:hAnsi="Arial"/>
      <w:color w:val="000000"/>
      <w:szCs w:val="21"/>
    </w:rPr>
  </w:style>
  <w:style w:type="paragraph" w:customStyle="1" w:styleId="549">
    <w:name w:val="Char1 Char Char Char Char Char"/>
    <w:basedOn w:val="1"/>
    <w:qFormat/>
    <w:uiPriority w:val="0"/>
    <w:pPr>
      <w:widowControl w:val="0"/>
      <w:jc w:val="both"/>
    </w:pPr>
    <w:rPr>
      <w:rFonts w:ascii="Tahoma" w:hAnsi="Tahoma" w:eastAsia="Times New Roman"/>
      <w:sz w:val="24"/>
    </w:rPr>
  </w:style>
  <w:style w:type="paragraph" w:customStyle="1" w:styleId="550">
    <w:name w:val="xl85"/>
    <w:basedOn w:val="1"/>
    <w:qFormat/>
    <w:uiPriority w:val="0"/>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textAlignment w:val="center"/>
    </w:pPr>
    <w:rPr>
      <w:rFonts w:ascii="宋体" w:hAnsi="宋体" w:cs="宋体"/>
      <w:sz w:val="18"/>
      <w:szCs w:val="18"/>
    </w:rPr>
  </w:style>
  <w:style w:type="paragraph" w:customStyle="1" w:styleId="551">
    <w:name w:val="Char Char1"/>
    <w:basedOn w:val="1"/>
    <w:qFormat/>
    <w:uiPriority w:val="0"/>
    <w:pPr>
      <w:widowControl w:val="0"/>
      <w:jc w:val="both"/>
    </w:pPr>
    <w:rPr>
      <w:rFonts w:ascii="仿宋_GB2312" w:eastAsia="仿宋_GB2312"/>
      <w:b/>
      <w:kern w:val="2"/>
      <w:sz w:val="32"/>
      <w:szCs w:val="32"/>
    </w:rPr>
  </w:style>
  <w:style w:type="paragraph" w:customStyle="1" w:styleId="552">
    <w:name w:val="Default"/>
    <w:qFormat/>
    <w:uiPriority w:val="0"/>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paragraph" w:customStyle="1" w:styleId="553">
    <w:name w:val="目次、标准名称标题"/>
    <w:basedOn w:val="1"/>
    <w:next w:val="515"/>
    <w:qFormat/>
    <w:uiPriority w:val="0"/>
    <w:pPr>
      <w:shd w:val="clear" w:color="FFFFFF" w:fill="FFFFFF"/>
      <w:spacing w:before="640" w:after="560" w:line="460" w:lineRule="exact"/>
      <w:jc w:val="center"/>
      <w:outlineLvl w:val="0"/>
    </w:pPr>
    <w:rPr>
      <w:rFonts w:ascii="黑体" w:eastAsia="黑体"/>
      <w:sz w:val="32"/>
    </w:rPr>
  </w:style>
  <w:style w:type="paragraph" w:customStyle="1" w:styleId="554">
    <w:name w:val="xl68"/>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b/>
      <w:bCs/>
      <w:sz w:val="28"/>
      <w:szCs w:val="28"/>
    </w:rPr>
  </w:style>
  <w:style w:type="paragraph" w:customStyle="1" w:styleId="555">
    <w:name w:val="表格内文"/>
    <w:basedOn w:val="1"/>
    <w:qFormat/>
    <w:uiPriority w:val="0"/>
    <w:pPr>
      <w:adjustRightInd w:val="0"/>
      <w:snapToGrid w:val="0"/>
      <w:jc w:val="both"/>
    </w:pPr>
    <w:rPr>
      <w:rFonts w:ascii="Arial" w:hAnsi="Arial"/>
    </w:rPr>
  </w:style>
  <w:style w:type="paragraph" w:customStyle="1" w:styleId="556">
    <w:name w:val="温-正文1"/>
    <w:qFormat/>
    <w:uiPriority w:val="0"/>
    <w:pPr>
      <w:ind w:firstLine="560"/>
    </w:pPr>
    <w:rPr>
      <w:rFonts w:ascii="仿宋_GB2312" w:hAnsi="ˎ̥" w:eastAsia="仿宋_GB2312" w:cs="宋体"/>
      <w:color w:val="444444"/>
      <w:kern w:val="2"/>
      <w:sz w:val="28"/>
      <w:szCs w:val="24"/>
      <w:lang w:val="en-US" w:eastAsia="zh-CN" w:bidi="ar-SA"/>
    </w:rPr>
  </w:style>
  <w:style w:type="paragraph" w:customStyle="1" w:styleId="557">
    <w:name w:val="表格"/>
    <w:basedOn w:val="1"/>
    <w:qFormat/>
    <w:uiPriority w:val="0"/>
    <w:pPr>
      <w:widowControl w:val="0"/>
      <w:jc w:val="center"/>
      <w:textAlignment w:val="center"/>
    </w:pPr>
    <w:rPr>
      <w:rFonts w:ascii="华文细黑" w:hAnsi="华文细黑"/>
    </w:rPr>
  </w:style>
  <w:style w:type="paragraph" w:customStyle="1" w:styleId="558">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Courier New"/>
      <w:sz w:val="14"/>
      <w:szCs w:val="14"/>
      <w:lang w:eastAsia="en-US"/>
    </w:rPr>
  </w:style>
  <w:style w:type="paragraph" w:customStyle="1" w:styleId="559">
    <w:name w:val="xl89"/>
    <w:basedOn w:val="1"/>
    <w:qFormat/>
    <w:uiPriority w:val="0"/>
    <w:pPr>
      <w:pBdr>
        <w:top w:val="single" w:color="auto" w:sz="8" w:space="0"/>
        <w:bottom w:val="single" w:color="auto" w:sz="8" w:space="0"/>
      </w:pBdr>
      <w:spacing w:before="100" w:beforeAutospacing="1" w:after="100" w:afterAutospacing="1"/>
      <w:textAlignment w:val="center"/>
    </w:pPr>
    <w:rPr>
      <w:rFonts w:ascii="宋体" w:hAnsi="宋体" w:cs="宋体"/>
      <w:b/>
      <w:bCs/>
      <w:sz w:val="24"/>
      <w:szCs w:val="24"/>
    </w:rPr>
  </w:style>
  <w:style w:type="paragraph" w:customStyle="1" w:styleId="560">
    <w:name w:val="样式 正文文本"/>
    <w:basedOn w:val="1"/>
    <w:qFormat/>
    <w:uiPriority w:val="0"/>
    <w:pPr>
      <w:widowControl w:val="0"/>
      <w:adjustRightInd w:val="0"/>
      <w:snapToGrid w:val="0"/>
      <w:spacing w:line="400" w:lineRule="exact"/>
      <w:ind w:firstLine="200" w:firstLineChars="200"/>
      <w:jc w:val="both"/>
    </w:pPr>
    <w:rPr>
      <w:rFonts w:ascii="Arial" w:hAnsi="Arial" w:cs="宋体"/>
      <w:color w:val="000000"/>
      <w:kern w:val="2"/>
    </w:rPr>
  </w:style>
  <w:style w:type="paragraph" w:customStyle="1" w:styleId="561">
    <w:name w:val="Char1"/>
    <w:basedOn w:val="1"/>
    <w:qFormat/>
    <w:uiPriority w:val="0"/>
  </w:style>
  <w:style w:type="paragraph" w:customStyle="1" w:styleId="562">
    <w:name w:val="xl57"/>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rFonts w:ascii="Arial Unicode MS" w:hAnsi="Arial Unicode MS" w:eastAsia="Arial Unicode MS"/>
      <w:sz w:val="24"/>
      <w:szCs w:val="24"/>
    </w:rPr>
  </w:style>
  <w:style w:type="paragraph" w:customStyle="1" w:styleId="563">
    <w:name w:val="zbzw1"/>
    <w:basedOn w:val="1"/>
    <w:qFormat/>
    <w:uiPriority w:val="0"/>
    <w:pPr>
      <w:widowControl w:val="0"/>
      <w:tabs>
        <w:tab w:val="left" w:pos="720"/>
      </w:tabs>
      <w:spacing w:line="380" w:lineRule="exact"/>
      <w:ind w:right="-76" w:firstLine="422" w:firstLineChars="200"/>
      <w:jc w:val="both"/>
    </w:pPr>
    <w:rPr>
      <w:rFonts w:ascii="宋体" w:hAnsi="宋体"/>
      <w:b/>
      <w:spacing w:val="-2"/>
      <w:kern w:val="2"/>
      <w:szCs w:val="24"/>
    </w:rPr>
  </w:style>
  <w:style w:type="paragraph" w:customStyle="1" w:styleId="564">
    <w:name w:val="默认段落字体 Para Char"/>
    <w:basedOn w:val="1"/>
    <w:qFormat/>
    <w:uiPriority w:val="0"/>
    <w:pPr>
      <w:widowControl w:val="0"/>
      <w:tabs>
        <w:tab w:val="left" w:pos="720"/>
      </w:tabs>
      <w:ind w:left="720" w:hanging="720"/>
      <w:jc w:val="both"/>
    </w:pPr>
    <w:rPr>
      <w:kern w:val="2"/>
      <w:szCs w:val="21"/>
    </w:rPr>
  </w:style>
  <w:style w:type="paragraph" w:customStyle="1" w:styleId="565">
    <w:name w:val="中等深浅网格 1 - 强调文字颜色 21"/>
    <w:basedOn w:val="1"/>
    <w:qFormat/>
    <w:uiPriority w:val="34"/>
    <w:pPr>
      <w:ind w:firstLine="420" w:firstLineChars="200"/>
    </w:pPr>
  </w:style>
  <w:style w:type="paragraph" w:customStyle="1" w:styleId="566">
    <w:name w:val="H3"/>
    <w:basedOn w:val="1"/>
    <w:next w:val="1"/>
    <w:qFormat/>
    <w:uiPriority w:val="0"/>
    <w:pPr>
      <w:keepNext/>
      <w:widowControl w:val="0"/>
      <w:autoSpaceDE w:val="0"/>
      <w:autoSpaceDN w:val="0"/>
      <w:adjustRightInd w:val="0"/>
      <w:spacing w:before="100" w:after="100"/>
      <w:outlineLvl w:val="3"/>
    </w:pPr>
    <w:rPr>
      <w:b/>
      <w:sz w:val="28"/>
    </w:rPr>
  </w:style>
  <w:style w:type="paragraph" w:customStyle="1" w:styleId="567">
    <w:name w:val="xl74"/>
    <w:basedOn w:val="1"/>
    <w:qFormat/>
    <w:uiPriority w:val="0"/>
    <w:pPr>
      <w:spacing w:before="100" w:beforeAutospacing="1" w:after="100" w:afterAutospacing="1"/>
      <w:jc w:val="center"/>
      <w:textAlignment w:val="center"/>
    </w:pPr>
    <w:rPr>
      <w:rFonts w:ascii="宋体" w:hAnsi="宋体" w:cs="宋体"/>
      <w:sz w:val="18"/>
      <w:szCs w:val="18"/>
    </w:rPr>
  </w:style>
  <w:style w:type="paragraph" w:customStyle="1" w:styleId="568">
    <w:name w:val="正文（项目编号）"/>
    <w:basedOn w:val="1"/>
    <w:qFormat/>
    <w:uiPriority w:val="0"/>
    <w:pPr>
      <w:widowControl w:val="0"/>
      <w:tabs>
        <w:tab w:val="left" w:pos="980"/>
      </w:tabs>
      <w:spacing w:line="480" w:lineRule="exact"/>
      <w:ind w:left="980" w:hanging="420"/>
      <w:jc w:val="both"/>
    </w:pPr>
    <w:rPr>
      <w:bCs/>
      <w:kern w:val="2"/>
      <w:sz w:val="28"/>
    </w:rPr>
  </w:style>
  <w:style w:type="paragraph" w:customStyle="1" w:styleId="569">
    <w:name w:val="blockquote"/>
    <w:basedOn w:val="1"/>
    <w:qFormat/>
    <w:uiPriority w:val="0"/>
    <w:pPr>
      <w:spacing w:before="100" w:beforeAutospacing="1" w:after="100" w:afterAutospacing="1"/>
    </w:pPr>
    <w:rPr>
      <w:rFonts w:ascii="宋体" w:hAnsi="宋体" w:cs="宋体"/>
      <w:sz w:val="24"/>
      <w:szCs w:val="24"/>
    </w:rPr>
  </w:style>
  <w:style w:type="paragraph" w:customStyle="1" w:styleId="570">
    <w:name w:val="正文 + 仿宋_GB2312"/>
    <w:basedOn w:val="1"/>
    <w:qFormat/>
    <w:uiPriority w:val="0"/>
    <w:pPr>
      <w:adjustRightInd w:val="0"/>
      <w:snapToGrid w:val="0"/>
      <w:spacing w:line="360" w:lineRule="exact"/>
      <w:ind w:left="480"/>
      <w:jc w:val="both"/>
      <w:textAlignment w:val="baseline"/>
    </w:pPr>
    <w:rPr>
      <w:rFonts w:ascii="仿宋_GB2312" w:eastAsia="仿宋_GB2312" w:cs="仿宋_GB2312"/>
      <w:szCs w:val="21"/>
    </w:rPr>
  </w:style>
  <w:style w:type="paragraph" w:customStyle="1" w:styleId="571">
    <w:name w:val="xl93"/>
    <w:basedOn w:val="1"/>
    <w:qFormat/>
    <w:uiPriority w:val="0"/>
    <w:pPr>
      <w:pBdr>
        <w:top w:val="single" w:color="auto" w:sz="4" w:space="0"/>
        <w:left w:val="single" w:color="auto" w:sz="4" w:space="0"/>
        <w:bottom w:val="single" w:color="auto" w:sz="4" w:space="0"/>
      </w:pBdr>
      <w:spacing w:before="100" w:beforeAutospacing="1" w:after="100" w:afterAutospacing="1"/>
      <w:textAlignment w:val="center"/>
    </w:pPr>
    <w:rPr>
      <w:rFonts w:ascii="宋体" w:hAnsi="宋体" w:cs="宋体"/>
      <w:sz w:val="18"/>
      <w:szCs w:val="18"/>
    </w:rPr>
  </w:style>
  <w:style w:type="paragraph" w:customStyle="1" w:styleId="572">
    <w:name w:val="xl75"/>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cs="宋体"/>
      <w:b/>
      <w:bCs/>
      <w:sz w:val="18"/>
      <w:szCs w:val="18"/>
    </w:rPr>
  </w:style>
  <w:style w:type="paragraph" w:customStyle="1" w:styleId="573">
    <w:name w:val="Char Char Char Char Char Char Char"/>
    <w:basedOn w:val="1"/>
    <w:qFormat/>
    <w:uiPriority w:val="0"/>
    <w:pPr>
      <w:widowControl w:val="0"/>
      <w:jc w:val="both"/>
    </w:pPr>
    <w:rPr>
      <w:rFonts w:ascii="宋体" w:hAnsi="宋体" w:cs="宋体"/>
      <w:color w:val="FF0000"/>
      <w:szCs w:val="21"/>
    </w:rPr>
  </w:style>
  <w:style w:type="paragraph" w:customStyle="1" w:styleId="574">
    <w:name w:val="xl104"/>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18"/>
      <w:szCs w:val="18"/>
    </w:rPr>
  </w:style>
  <w:style w:type="paragraph" w:customStyle="1" w:styleId="575">
    <w:name w:val="xl66"/>
    <w:basedOn w:val="1"/>
    <w:qFormat/>
    <w:uiPriority w:val="0"/>
    <w:pPr>
      <w:pBdr>
        <w:top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b/>
      <w:bCs/>
      <w:sz w:val="28"/>
      <w:szCs w:val="28"/>
    </w:rPr>
  </w:style>
  <w:style w:type="paragraph" w:customStyle="1" w:styleId="576">
    <w:name w:val="Char Char1 Char Char Char Char Char Char Char Char Char Char"/>
    <w:basedOn w:val="1"/>
    <w:qFormat/>
    <w:uiPriority w:val="0"/>
    <w:pPr>
      <w:widowControl w:val="0"/>
      <w:tabs>
        <w:tab w:val="left" w:pos="360"/>
      </w:tabs>
      <w:ind w:firstLine="420" w:firstLineChars="150"/>
      <w:jc w:val="both"/>
    </w:pPr>
    <w:rPr>
      <w:rFonts w:ascii="Arial" w:hAnsi="Arial" w:cs="Arial"/>
      <w:kern w:val="2"/>
      <w:sz w:val="20"/>
    </w:rPr>
  </w:style>
  <w:style w:type="paragraph" w:customStyle="1" w:styleId="577">
    <w:name w:val="xl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sz w:val="20"/>
    </w:rPr>
  </w:style>
  <w:style w:type="paragraph" w:customStyle="1" w:styleId="578">
    <w:name w:val="引用"/>
    <w:basedOn w:val="1"/>
    <w:next w:val="1"/>
    <w:uiPriority w:val="0"/>
    <w:pPr>
      <w:widowControl w:val="0"/>
      <w:spacing w:line="400" w:lineRule="exact"/>
      <w:ind w:firstLine="200" w:firstLineChars="200"/>
      <w:jc w:val="both"/>
    </w:pPr>
    <w:rPr>
      <w:rFonts w:ascii="Calibri" w:hAnsi="Calibri"/>
      <w:i/>
      <w:color w:val="000000"/>
      <w:kern w:val="2"/>
      <w:sz w:val="22"/>
    </w:rPr>
  </w:style>
  <w:style w:type="paragraph" w:customStyle="1" w:styleId="579">
    <w:name w:val="_Style 3"/>
    <w:basedOn w:val="1"/>
    <w:qFormat/>
    <w:uiPriority w:val="34"/>
    <w:pPr>
      <w:ind w:firstLine="420" w:firstLineChars="200"/>
    </w:pPr>
  </w:style>
  <w:style w:type="paragraph" w:customStyle="1" w:styleId="580">
    <w:name w:val="目录文字"/>
    <w:basedOn w:val="1"/>
    <w:qFormat/>
    <w:uiPriority w:val="0"/>
    <w:pPr>
      <w:spacing w:line="480" w:lineRule="auto"/>
    </w:pPr>
    <w:rPr>
      <w:rFonts w:ascii="宋体" w:hAnsi="宋体"/>
      <w:sz w:val="24"/>
    </w:rPr>
  </w:style>
  <w:style w:type="paragraph" w:customStyle="1" w:styleId="581">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Arial Unicode MS"/>
      <w:sz w:val="14"/>
      <w:szCs w:val="14"/>
      <w:lang w:eastAsia="en-US"/>
    </w:rPr>
  </w:style>
  <w:style w:type="paragraph" w:customStyle="1" w:styleId="582">
    <w:name w:val="Char21"/>
    <w:basedOn w:val="1"/>
    <w:qFormat/>
    <w:uiPriority w:val="0"/>
    <w:pPr>
      <w:widowControl w:val="0"/>
      <w:jc w:val="both"/>
    </w:pPr>
    <w:rPr>
      <w:rFonts w:ascii="仿宋_GB2312" w:eastAsia="仿宋_GB2312"/>
      <w:b/>
      <w:kern w:val="2"/>
      <w:sz w:val="32"/>
      <w:szCs w:val="32"/>
    </w:rPr>
  </w:style>
  <w:style w:type="paragraph" w:customStyle="1" w:styleId="583">
    <w:name w:val="正文首行缩进2字"/>
    <w:basedOn w:val="1"/>
    <w:qFormat/>
    <w:uiPriority w:val="0"/>
    <w:pPr>
      <w:widowControl w:val="0"/>
      <w:spacing w:before="100" w:beforeAutospacing="1" w:after="100" w:afterAutospacing="1"/>
      <w:ind w:firstLine="560" w:firstLineChars="200"/>
      <w:jc w:val="both"/>
    </w:pPr>
    <w:rPr>
      <w:rFonts w:eastAsia="楷体_GB2312"/>
      <w:sz w:val="28"/>
      <w:szCs w:val="24"/>
    </w:rPr>
  </w:style>
  <w:style w:type="paragraph" w:customStyle="1" w:styleId="584">
    <w:name w:val="TOC Heading"/>
    <w:basedOn w:val="4"/>
    <w:next w:val="1"/>
    <w:qFormat/>
    <w:uiPriority w:val="0"/>
    <w:pPr>
      <w:widowControl/>
      <w:tabs>
        <w:tab w:val="clear" w:pos="840"/>
      </w:tabs>
      <w:adjustRightInd/>
      <w:snapToGrid/>
      <w:spacing w:before="480" w:line="276" w:lineRule="auto"/>
      <w:jc w:val="left"/>
      <w:outlineLvl w:val="9"/>
    </w:pPr>
    <w:rPr>
      <w:rFonts w:ascii="Cambria" w:hAnsi="Cambria"/>
      <w:bCs/>
      <w:color w:val="365F91"/>
      <w:kern w:val="0"/>
      <w:sz w:val="28"/>
      <w:szCs w:val="28"/>
    </w:rPr>
  </w:style>
  <w:style w:type="paragraph" w:customStyle="1" w:styleId="585">
    <w:name w:val="Char Char Char Char12"/>
    <w:basedOn w:val="1"/>
    <w:uiPriority w:val="0"/>
    <w:pPr>
      <w:widowControl w:val="0"/>
      <w:spacing w:line="400" w:lineRule="exact"/>
      <w:ind w:firstLine="200" w:firstLineChars="200"/>
      <w:jc w:val="both"/>
    </w:pPr>
    <w:rPr>
      <w:rFonts w:ascii="宋体" w:hAnsi="宋体"/>
      <w:kern w:val="2"/>
      <w:szCs w:val="24"/>
    </w:rPr>
  </w:style>
  <w:style w:type="paragraph" w:customStyle="1" w:styleId="586">
    <w:name w:val="xl71"/>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18"/>
      <w:szCs w:val="18"/>
    </w:rPr>
  </w:style>
  <w:style w:type="paragraph" w:customStyle="1" w:styleId="587">
    <w:name w:val="xl99"/>
    <w:basedOn w:val="1"/>
    <w:qFormat/>
    <w:uiPriority w:val="0"/>
    <w:pPr>
      <w:pBdr>
        <w:top w:val="single" w:color="auto" w:sz="4" w:space="0"/>
        <w:left w:val="single" w:color="auto" w:sz="4" w:space="0"/>
        <w:bottom w:val="single" w:color="auto" w:sz="4" w:space="0"/>
      </w:pBdr>
      <w:shd w:val="clear" w:color="auto" w:fill="99CCFF"/>
      <w:spacing w:before="100" w:beforeAutospacing="1" w:after="100" w:afterAutospacing="1"/>
      <w:textAlignment w:val="center"/>
    </w:pPr>
    <w:rPr>
      <w:rFonts w:ascii="宋体" w:hAnsi="宋体" w:cs="宋体"/>
      <w:sz w:val="18"/>
      <w:szCs w:val="18"/>
    </w:rPr>
  </w:style>
  <w:style w:type="paragraph" w:customStyle="1" w:styleId="588">
    <w:name w:val="xl88"/>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宋体" w:hAnsi="宋体" w:cs="宋体"/>
      <w:b/>
      <w:bCs/>
      <w:sz w:val="24"/>
      <w:szCs w:val="24"/>
    </w:rPr>
  </w:style>
  <w:style w:type="paragraph" w:customStyle="1" w:styleId="589">
    <w:name w:val="xl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sz w:val="24"/>
      <w:szCs w:val="24"/>
    </w:rPr>
  </w:style>
  <w:style w:type="paragraph" w:customStyle="1" w:styleId="590">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18"/>
      <w:szCs w:val="18"/>
    </w:rPr>
  </w:style>
  <w:style w:type="paragraph" w:customStyle="1" w:styleId="591">
    <w:name w:val="彩色底纹 - 强调文字颜色 11"/>
    <w:unhideWhenUsed/>
    <w:qFormat/>
    <w:uiPriority w:val="71"/>
    <w:rPr>
      <w:rFonts w:ascii="Times New Roman" w:hAnsi="Times New Roman" w:eastAsia="宋体" w:cs="Times New Roman"/>
      <w:kern w:val="0"/>
      <w:sz w:val="21"/>
      <w:szCs w:val="20"/>
      <w:lang w:val="en-US" w:eastAsia="zh-CN" w:bidi="ar-SA"/>
    </w:rPr>
  </w:style>
  <w:style w:type="paragraph" w:customStyle="1" w:styleId="592">
    <w:name w:val="_Style 4"/>
    <w:basedOn w:val="1"/>
    <w:qFormat/>
    <w:uiPriority w:val="0"/>
    <w:pPr>
      <w:widowControl w:val="0"/>
      <w:spacing w:line="400" w:lineRule="exact"/>
      <w:ind w:firstLine="420" w:firstLineChars="200"/>
      <w:jc w:val="both"/>
    </w:pPr>
    <w:rPr>
      <w:rFonts w:ascii="Calibri" w:hAnsi="Calibri"/>
      <w:kern w:val="2"/>
      <w:szCs w:val="22"/>
    </w:rPr>
  </w:style>
  <w:style w:type="paragraph" w:customStyle="1" w:styleId="593">
    <w:name w:val="xl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b/>
      <w:bCs/>
      <w:sz w:val="24"/>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theme/theme1.xml" Type="http://schemas.openxmlformats.org/officeDocument/2006/relationships/theme"/><Relationship Id="rId8" Target="../customXml/item1.xml" Type="http://schemas.openxmlformats.org/officeDocument/2006/relationships/customXml"/><Relationship Id="rId9" Target="numbering.xml" Type="http://schemas.openxmlformats.org/officeDocument/2006/relationships/numberi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1</Pages>
  <Words>11106</Words>
  <Characters>63306</Characters>
  <Lines>527</Lines>
  <Paragraphs>148</Paragraphs>
  <TotalTime>41</TotalTime>
  <ScaleCrop>false</ScaleCrop>
  <LinksUpToDate>false</LinksUpToDate>
  <CharactersWithSpaces>74264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2018-08-06T06:55:00Z</dcterms:created>
  <dc:creator>NTKO</dc:creator>
  <cp:lastModifiedBy>WPS_1701756769</cp:lastModifiedBy>
  <cp:lastPrinted>2019-05-20T11:27:32Z</cp:lastPrinted>
  <dcterms:modified xsi:type="dcterms:W3CDTF">2024-02-22T07:31:07Z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69BF44B3D934446D98CAC948CE8E65A4_13</vt:lpwstr>
  </property>
</Properties>
</file>