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161" w:hRule="atLeast"/>
        </w:trPr>
        <w:tc>
          <w:tcPr>
            <w:tcW w:w="9295" w:type="dxa"/>
            <w:noWrap w:val="0"/>
            <w:vAlign w:val="top"/>
          </w:tcPr>
          <w:p>
            <w:pPr>
              <w:pStyle w:val="99"/>
              <w:autoSpaceDE w:val="0"/>
              <w:autoSpaceDN w:val="0"/>
              <w:snapToGrid w:val="0"/>
              <w:spacing w:line="460" w:lineRule="atLeast"/>
              <w:rPr>
                <w:rFonts w:ascii="宋体" w:hAnsi="宋体" w:eastAsia="宋体"/>
                <w:color w:val="000000"/>
                <w:kern w:val="0"/>
                <w:lang w:val="zh-CN"/>
              </w:rPr>
            </w:pPr>
            <w:bookmarkStart w:id="81" w:name="_GoBack"/>
            <w:bookmarkEnd w:id="81"/>
          </w:p>
          <w:p>
            <w:pPr>
              <w:spacing w:line="460" w:lineRule="atLeast"/>
              <w:jc w:val="center"/>
              <w:rPr>
                <w:rFonts w:ascii="宋体" w:hAnsi="宋体" w:eastAsia="宋体"/>
                <w:b w:val="0"/>
                <w:color w:val="000000"/>
                <w:sz w:val="72"/>
              </w:rPr>
            </w:pPr>
          </w:p>
          <w:p>
            <w:pPr>
              <w:spacing w:line="460" w:lineRule="atLeast"/>
              <w:jc w:val="center"/>
              <w:rPr>
                <w:rFonts w:ascii="宋体" w:hAnsi="宋体" w:eastAsia="宋体"/>
                <w:b w:val="0"/>
                <w:color w:val="000000"/>
                <w:sz w:val="72"/>
              </w:rPr>
            </w:pPr>
            <w:r>
              <w:rPr>
                <w:rFonts w:hint="eastAsia" w:ascii="宋体" w:hAnsi="宋体" w:eastAsia="宋体"/>
                <w:b w:val="0"/>
                <w:color w:val="000000"/>
                <w:sz w:val="72"/>
              </w:rPr>
              <w:t>乐清市公共资源交易中心</w:t>
            </w:r>
          </w:p>
          <w:p>
            <w:pPr>
              <w:spacing w:line="460" w:lineRule="atLeast"/>
              <w:jc w:val="center"/>
              <w:rPr>
                <w:rFonts w:ascii="宋体" w:hAnsi="宋体" w:eastAsia="宋体"/>
                <w:b w:val="0"/>
                <w:color w:val="000000"/>
                <w:sz w:val="72"/>
              </w:rPr>
            </w:pPr>
            <w:r>
              <w:rPr>
                <w:rFonts w:hint="eastAsia" w:ascii="宋体" w:hAnsi="宋体" w:eastAsia="宋体"/>
                <w:b w:val="0"/>
                <w:color w:val="000000"/>
                <w:sz w:val="72"/>
              </w:rPr>
              <w:t>政府采购招标文件</w:t>
            </w:r>
          </w:p>
          <w:p>
            <w:pPr>
              <w:spacing w:line="460" w:lineRule="atLeast"/>
              <w:jc w:val="center"/>
              <w:rPr>
                <w:rFonts w:ascii="宋体" w:hAnsi="宋体" w:eastAsia="宋体"/>
                <w:b w:val="0"/>
                <w:color w:val="000000"/>
                <w:sz w:val="72"/>
              </w:rPr>
            </w:pPr>
            <w:r>
              <w:rPr>
                <w:rFonts w:hint="eastAsia" w:ascii="宋体" w:hAnsi="宋体" w:eastAsia="宋体"/>
                <w:b w:val="0"/>
                <w:color w:val="000000"/>
                <w:sz w:val="72"/>
              </w:rPr>
              <w:t>（线上电子招投标）</w:t>
            </w:r>
          </w:p>
          <w:p>
            <w:pPr>
              <w:spacing w:line="460" w:lineRule="atLeast"/>
              <w:ind w:left="1148"/>
              <w:rPr>
                <w:rFonts w:ascii="宋体" w:hAnsi="宋体" w:eastAsia="宋体"/>
                <w:b w:val="0"/>
                <w:color w:val="000000"/>
                <w:sz w:val="28"/>
              </w:rPr>
            </w:pPr>
          </w:p>
          <w:p>
            <w:pPr>
              <w:spacing w:line="460" w:lineRule="atLeast"/>
              <w:ind w:firstLine="2108" w:firstLineChars="700"/>
              <w:rPr>
                <w:rFonts w:ascii="宋体" w:hAnsi="宋体" w:eastAsia="宋体"/>
                <w:color w:val="000000"/>
                <w:sz w:val="30"/>
              </w:rPr>
            </w:pPr>
          </w:p>
          <w:p>
            <w:pPr>
              <w:snapToGrid w:val="0"/>
              <w:spacing w:line="460" w:lineRule="atLeast"/>
              <w:ind w:left="3723" w:leftChars="786" w:hanging="2072" w:hangingChars="688"/>
              <w:rPr>
                <w:rFonts w:hint="eastAsia" w:ascii="宋体" w:hAnsi="宋体" w:eastAsia="宋体" w:cs="Times New Roman"/>
                <w:b/>
                <w:color w:val="000000"/>
                <w:sz w:val="30"/>
              </w:rPr>
            </w:pPr>
            <w:r>
              <w:rPr>
                <w:rFonts w:hint="eastAsia" w:ascii="宋体" w:hAnsi="宋体" w:eastAsia="宋体" w:cs="Times New Roman"/>
                <w:b/>
                <w:color w:val="000000"/>
                <w:sz w:val="30"/>
              </w:rPr>
              <w:t>项目名称：乐清市人员密集场所人脸识别抓拍建设项目</w:t>
            </w:r>
          </w:p>
          <w:p>
            <w:pPr>
              <w:snapToGrid w:val="0"/>
              <w:spacing w:line="460" w:lineRule="atLeast"/>
              <w:ind w:left="3723" w:leftChars="786" w:hanging="2072" w:hangingChars="688"/>
              <w:rPr>
                <w:rFonts w:hint="default" w:ascii="宋体" w:hAnsi="宋体" w:eastAsia="宋体"/>
                <w:color w:val="000000"/>
                <w:sz w:val="30"/>
                <w:lang w:val="en-US" w:eastAsia="zh-CN"/>
              </w:rPr>
            </w:pPr>
            <w:r>
              <w:rPr>
                <w:rFonts w:hint="eastAsia" w:ascii="宋体" w:hAnsi="宋体" w:eastAsia="宋体"/>
                <w:color w:val="000000"/>
                <w:sz w:val="30"/>
              </w:rPr>
              <w:t>项目编号：</w:t>
            </w:r>
            <w:r>
              <w:rPr>
                <w:rFonts w:hint="eastAsia" w:ascii="宋体" w:hAnsi="宋体" w:eastAsia="宋体"/>
                <w:color w:val="000000"/>
                <w:sz w:val="30"/>
                <w:lang w:val="en-US" w:eastAsia="zh-CN"/>
              </w:rPr>
              <w:t>CG202302A03</w:t>
            </w:r>
          </w:p>
          <w:p>
            <w:pPr>
              <w:spacing w:line="460" w:lineRule="atLeast"/>
              <w:ind w:left="3723" w:leftChars="786" w:hanging="2072" w:hangingChars="688"/>
              <w:rPr>
                <w:rFonts w:ascii="宋体" w:hAnsi="宋体" w:eastAsia="宋体"/>
                <w:color w:val="000000"/>
                <w:sz w:val="30"/>
              </w:rPr>
            </w:pPr>
          </w:p>
          <w:p>
            <w:pPr>
              <w:pStyle w:val="3"/>
              <w:rPr>
                <w:rFonts w:ascii="宋体" w:hAnsi="宋体" w:eastAsia="宋体"/>
                <w:color w:val="000000"/>
              </w:rPr>
            </w:pPr>
          </w:p>
          <w:p>
            <w:pPr>
              <w:spacing w:line="460" w:lineRule="atLeast"/>
              <w:ind w:left="3723" w:leftChars="786" w:hanging="2072" w:hangingChars="688"/>
              <w:rPr>
                <w:rFonts w:ascii="宋体" w:hAnsi="宋体" w:eastAsia="宋体"/>
                <w:color w:val="000000"/>
                <w:sz w:val="30"/>
              </w:rPr>
            </w:pPr>
            <w:r>
              <w:rPr>
                <w:rFonts w:hint="eastAsia" w:ascii="宋体" w:hAnsi="宋体" w:eastAsia="宋体"/>
                <w:color w:val="000000"/>
                <w:sz w:val="30"/>
              </w:rPr>
              <w:t>采 购 人：乐清市公安局</w:t>
            </w:r>
          </w:p>
          <w:p>
            <w:pPr>
              <w:spacing w:line="460" w:lineRule="atLeast"/>
              <w:ind w:left="3723" w:leftChars="786" w:hanging="2072" w:hangingChars="688"/>
              <w:rPr>
                <w:rFonts w:ascii="宋体" w:hAnsi="宋体" w:eastAsia="宋体"/>
                <w:color w:val="000000"/>
                <w:sz w:val="30"/>
              </w:rPr>
            </w:pPr>
            <w:r>
              <w:rPr>
                <w:rFonts w:hint="eastAsia" w:ascii="宋体" w:hAnsi="宋体" w:eastAsia="宋体"/>
                <w:color w:val="000000"/>
                <w:sz w:val="30"/>
              </w:rPr>
              <w:t>联 系 人：杨先生</w:t>
            </w:r>
          </w:p>
          <w:p>
            <w:pPr>
              <w:spacing w:line="460" w:lineRule="atLeast"/>
              <w:ind w:left="3723" w:leftChars="786" w:hanging="2072" w:hangingChars="688"/>
              <w:rPr>
                <w:rFonts w:ascii="宋体" w:hAnsi="宋体" w:eastAsia="宋体"/>
                <w:color w:val="000000"/>
                <w:sz w:val="30"/>
              </w:rPr>
            </w:pPr>
            <w:r>
              <w:rPr>
                <w:rFonts w:hint="eastAsia" w:ascii="宋体" w:hAnsi="宋体" w:eastAsia="宋体"/>
                <w:color w:val="000000"/>
                <w:sz w:val="30"/>
              </w:rPr>
              <w:t xml:space="preserve">联系电话：13968702536  </w:t>
            </w:r>
          </w:p>
          <w:p>
            <w:pPr>
              <w:spacing w:line="460" w:lineRule="atLeast"/>
              <w:ind w:left="3723" w:leftChars="786" w:hanging="2072" w:hangingChars="688"/>
              <w:rPr>
                <w:rFonts w:ascii="宋体" w:hAnsi="宋体" w:eastAsia="宋体"/>
                <w:color w:val="000000"/>
                <w:sz w:val="30"/>
              </w:rPr>
            </w:pPr>
            <w:r>
              <w:rPr>
                <w:rFonts w:hint="eastAsia" w:ascii="宋体" w:hAnsi="宋体" w:eastAsia="宋体"/>
                <w:color w:val="000000"/>
                <w:sz w:val="30"/>
              </w:rPr>
              <w:t xml:space="preserve"> </w:t>
            </w:r>
          </w:p>
          <w:p>
            <w:pPr>
              <w:spacing w:line="460" w:lineRule="atLeast"/>
              <w:ind w:left="3723" w:leftChars="786" w:hanging="2072" w:hangingChars="688"/>
              <w:rPr>
                <w:rFonts w:ascii="宋体" w:hAnsi="宋体" w:eastAsia="宋体"/>
                <w:color w:val="000000"/>
                <w:sz w:val="30"/>
              </w:rPr>
            </w:pPr>
          </w:p>
          <w:p>
            <w:pPr>
              <w:spacing w:line="460" w:lineRule="atLeast"/>
              <w:ind w:left="3723" w:leftChars="786" w:hanging="2072" w:hangingChars="688"/>
              <w:rPr>
                <w:rFonts w:ascii="宋体" w:hAnsi="宋体" w:eastAsia="宋体"/>
                <w:color w:val="000000"/>
                <w:sz w:val="30"/>
              </w:rPr>
            </w:pPr>
          </w:p>
          <w:p>
            <w:pPr>
              <w:spacing w:line="460" w:lineRule="atLeast"/>
              <w:ind w:left="3723" w:leftChars="786" w:hanging="2072" w:hangingChars="688"/>
              <w:rPr>
                <w:rFonts w:ascii="宋体" w:hAnsi="宋体" w:eastAsia="宋体"/>
                <w:color w:val="000000"/>
                <w:sz w:val="30"/>
              </w:rPr>
            </w:pPr>
          </w:p>
          <w:p>
            <w:pPr>
              <w:spacing w:line="460" w:lineRule="atLeast"/>
              <w:ind w:left="3723" w:leftChars="786" w:hanging="2072" w:hangingChars="688"/>
              <w:rPr>
                <w:rFonts w:ascii="宋体" w:hAnsi="宋体" w:eastAsia="宋体"/>
                <w:color w:val="000000"/>
                <w:sz w:val="30"/>
              </w:rPr>
            </w:pPr>
            <w:r>
              <w:rPr>
                <w:rFonts w:hint="eastAsia" w:ascii="宋体" w:hAnsi="宋体" w:eastAsia="宋体"/>
                <w:color w:val="000000"/>
                <w:sz w:val="30"/>
              </w:rPr>
              <w:t>采购代理机构：乐清市公共资源交易中心</w:t>
            </w:r>
          </w:p>
          <w:p>
            <w:pPr>
              <w:spacing w:line="460" w:lineRule="atLeast"/>
              <w:ind w:left="3723" w:leftChars="786" w:hanging="2072" w:hangingChars="688"/>
              <w:rPr>
                <w:rFonts w:ascii="宋体" w:hAnsi="宋体" w:eastAsia="宋体"/>
                <w:color w:val="000000"/>
                <w:sz w:val="30"/>
              </w:rPr>
            </w:pPr>
            <w:r>
              <w:rPr>
                <w:rFonts w:hint="eastAsia" w:ascii="宋体" w:hAnsi="宋体" w:eastAsia="宋体"/>
                <w:color w:val="000000"/>
                <w:sz w:val="30"/>
              </w:rPr>
              <w:t>联 系 人：</w:t>
            </w:r>
            <w:r>
              <w:rPr>
                <w:rFonts w:hint="eastAsia" w:ascii="宋体" w:hAnsi="宋体" w:eastAsia="宋体"/>
                <w:color w:val="000000"/>
                <w:sz w:val="30"/>
                <w:lang w:val="en-US" w:eastAsia="zh-CN"/>
              </w:rPr>
              <w:t>方</w:t>
            </w:r>
            <w:r>
              <w:rPr>
                <w:rFonts w:hint="eastAsia" w:ascii="宋体" w:hAnsi="宋体" w:eastAsia="宋体"/>
                <w:color w:val="000000"/>
                <w:sz w:val="30"/>
              </w:rPr>
              <w:t>女士</w:t>
            </w:r>
          </w:p>
          <w:p>
            <w:pPr>
              <w:spacing w:line="460" w:lineRule="atLeast"/>
              <w:ind w:left="3723" w:leftChars="786" w:hanging="2072" w:hangingChars="688"/>
              <w:rPr>
                <w:rFonts w:ascii="宋体" w:hAnsi="宋体" w:eastAsia="宋体"/>
                <w:color w:val="000000"/>
                <w:sz w:val="30"/>
              </w:rPr>
            </w:pPr>
            <w:r>
              <w:rPr>
                <w:rFonts w:hint="eastAsia" w:ascii="宋体" w:hAnsi="宋体" w:eastAsia="宋体"/>
                <w:color w:val="000000"/>
                <w:sz w:val="30"/>
              </w:rPr>
              <w:t xml:space="preserve">联系电话：0577-61882630            </w:t>
            </w:r>
          </w:p>
          <w:p>
            <w:pPr>
              <w:spacing w:line="460" w:lineRule="atLeast"/>
              <w:ind w:left="3723" w:leftChars="786" w:hanging="2072" w:hangingChars="688"/>
              <w:rPr>
                <w:rFonts w:ascii="宋体" w:hAnsi="宋体" w:eastAsia="宋体"/>
                <w:color w:val="000000"/>
                <w:sz w:val="30"/>
              </w:rPr>
            </w:pPr>
            <w:r>
              <w:rPr>
                <w:rFonts w:hint="eastAsia" w:ascii="宋体" w:hAnsi="宋体" w:eastAsia="宋体"/>
                <w:color w:val="000000"/>
                <w:sz w:val="30"/>
              </w:rPr>
              <w:t xml:space="preserve">联系传真：0577-61882627 </w:t>
            </w:r>
          </w:p>
          <w:p>
            <w:pPr>
              <w:spacing w:line="460" w:lineRule="atLeast"/>
              <w:ind w:left="3723" w:leftChars="786" w:hanging="2072" w:hangingChars="688"/>
              <w:rPr>
                <w:rFonts w:ascii="宋体" w:hAnsi="宋体" w:eastAsia="宋体"/>
                <w:color w:val="000000"/>
                <w:sz w:val="30"/>
              </w:rPr>
            </w:pPr>
          </w:p>
          <w:p>
            <w:pPr>
              <w:autoSpaceDE w:val="0"/>
              <w:autoSpaceDN w:val="0"/>
              <w:snapToGrid w:val="0"/>
              <w:spacing w:line="460" w:lineRule="atLeast"/>
              <w:jc w:val="center"/>
              <w:rPr>
                <w:rFonts w:ascii="宋体" w:hAnsi="宋体" w:eastAsia="宋体"/>
                <w:color w:val="000000"/>
                <w:sz w:val="32"/>
                <w:lang w:val="zh-CN"/>
              </w:rPr>
            </w:pPr>
            <w:r>
              <w:rPr>
                <w:rFonts w:hint="eastAsia" w:ascii="宋体" w:hAnsi="宋体" w:eastAsia="宋体"/>
                <w:color w:val="000000"/>
                <w:sz w:val="30"/>
              </w:rPr>
              <w:t>二○二</w:t>
            </w:r>
            <w:r>
              <w:rPr>
                <w:rFonts w:hint="eastAsia" w:ascii="宋体" w:hAnsi="宋体" w:eastAsia="宋体"/>
                <w:color w:val="000000"/>
                <w:sz w:val="30"/>
                <w:lang w:eastAsia="zh-CN"/>
              </w:rPr>
              <w:t>三</w:t>
            </w:r>
            <w:r>
              <w:rPr>
                <w:rFonts w:hint="eastAsia" w:ascii="宋体" w:hAnsi="宋体" w:eastAsia="宋体"/>
                <w:color w:val="000000"/>
                <w:sz w:val="30"/>
              </w:rPr>
              <w:t>年</w:t>
            </w:r>
          </w:p>
        </w:tc>
      </w:tr>
    </w:tbl>
    <w:p>
      <w:pPr>
        <w:autoSpaceDE w:val="0"/>
        <w:autoSpaceDN w:val="0"/>
        <w:spacing w:line="440" w:lineRule="atLeast"/>
        <w:jc w:val="center"/>
        <w:rPr>
          <w:rFonts w:ascii="宋体" w:hAnsi="宋体" w:eastAsia="宋体" w:cs="Cambria"/>
          <w:color w:val="000000"/>
          <w:lang w:val="zh-CN"/>
        </w:rPr>
      </w:pPr>
      <w:bookmarkStart w:id="0" w:name="B00_采购代理机构名称"/>
      <w:r>
        <w:rPr>
          <w:rFonts w:hint="eastAsia" w:ascii="宋体" w:hAnsi="宋体" w:eastAsia="宋体" w:cs="Cambria"/>
          <w:color w:val="000000"/>
          <w:sz w:val="36"/>
          <w:lang w:val="zh-CN"/>
        </w:rPr>
        <w:t>招标文件目录</w:t>
      </w:r>
    </w:p>
    <w:p>
      <w:pPr>
        <w:autoSpaceDE w:val="0"/>
        <w:autoSpaceDN w:val="0"/>
        <w:spacing w:line="460" w:lineRule="atLeast"/>
        <w:rPr>
          <w:rFonts w:ascii="宋体" w:hAnsi="宋体" w:eastAsia="宋体"/>
          <w:b w:val="0"/>
          <w:color w:val="000000"/>
          <w:sz w:val="24"/>
          <w:lang w:val="zh-CN"/>
        </w:rPr>
      </w:pPr>
    </w:p>
    <w:p>
      <w:pPr>
        <w:autoSpaceDE w:val="0"/>
        <w:autoSpaceDN w:val="0"/>
        <w:spacing w:line="460" w:lineRule="atLeast"/>
        <w:rPr>
          <w:rFonts w:ascii="宋体" w:hAnsi="宋体" w:eastAsia="宋体"/>
          <w:b w:val="0"/>
          <w:color w:val="000000"/>
          <w:sz w:val="24"/>
          <w:lang w:val="zh-CN"/>
        </w:rPr>
      </w:pPr>
      <w:r>
        <w:rPr>
          <w:rFonts w:ascii="宋体" w:hAnsi="宋体" w:eastAsia="宋体"/>
          <w:b w:val="0"/>
          <w:color w:val="000000"/>
          <w:sz w:val="24"/>
          <w:lang w:val="zh-CN"/>
        </w:rPr>
        <w:t>公开招标公告</w:t>
      </w:r>
    </w:p>
    <w:p>
      <w:pPr>
        <w:autoSpaceDE w:val="0"/>
        <w:autoSpaceDN w:val="0"/>
        <w:spacing w:line="460" w:lineRule="atLeast"/>
        <w:rPr>
          <w:rFonts w:ascii="宋体" w:hAnsi="宋体" w:eastAsia="宋体"/>
          <w:b w:val="0"/>
          <w:color w:val="000000"/>
          <w:sz w:val="24"/>
          <w:lang w:val="zh-CN"/>
        </w:rPr>
      </w:pPr>
      <w:r>
        <w:rPr>
          <w:rFonts w:ascii="宋体" w:hAnsi="宋体" w:eastAsia="宋体"/>
          <w:b w:val="0"/>
          <w:color w:val="000000"/>
          <w:sz w:val="24"/>
          <w:lang w:val="zh-CN"/>
        </w:rPr>
        <w:t>第一部分</w:t>
      </w:r>
      <w:r>
        <w:rPr>
          <w:rFonts w:hint="eastAsia" w:ascii="宋体" w:hAnsi="宋体" w:eastAsia="宋体"/>
          <w:b w:val="0"/>
          <w:color w:val="000000"/>
          <w:sz w:val="24"/>
          <w:lang w:val="zh-CN"/>
        </w:rPr>
        <w:t xml:space="preserve"> 投标邀请函（投标须知前附表）</w:t>
      </w:r>
    </w:p>
    <w:p>
      <w:pPr>
        <w:autoSpaceDE w:val="0"/>
        <w:autoSpaceDN w:val="0"/>
        <w:spacing w:line="460" w:lineRule="atLeast"/>
        <w:rPr>
          <w:rFonts w:ascii="宋体" w:hAnsi="宋体" w:eastAsia="宋体"/>
          <w:b w:val="0"/>
          <w:color w:val="000000"/>
          <w:sz w:val="24"/>
          <w:lang w:val="zh-CN"/>
        </w:rPr>
      </w:pPr>
      <w:r>
        <w:rPr>
          <w:rFonts w:hint="eastAsia" w:ascii="宋体" w:hAnsi="宋体" w:eastAsia="宋体"/>
          <w:b w:val="0"/>
          <w:color w:val="000000"/>
          <w:sz w:val="24"/>
          <w:lang w:val="zh-CN"/>
        </w:rPr>
        <w:t>第二部分 招标内容及要求</w:t>
      </w:r>
    </w:p>
    <w:p>
      <w:pPr>
        <w:autoSpaceDE w:val="0"/>
        <w:autoSpaceDN w:val="0"/>
        <w:spacing w:line="460" w:lineRule="atLeast"/>
        <w:rPr>
          <w:rFonts w:ascii="宋体" w:hAnsi="宋体" w:eastAsia="宋体"/>
          <w:b w:val="0"/>
          <w:color w:val="000000"/>
          <w:sz w:val="24"/>
          <w:lang w:val="zh-CN"/>
        </w:rPr>
      </w:pPr>
      <w:r>
        <w:rPr>
          <w:rFonts w:hint="eastAsia" w:ascii="宋体" w:hAnsi="宋体" w:eastAsia="宋体"/>
          <w:b w:val="0"/>
          <w:color w:val="000000"/>
          <w:sz w:val="24"/>
          <w:lang w:val="zh-CN"/>
        </w:rPr>
        <w:t>第三部分 投标供应商须知</w:t>
      </w:r>
    </w:p>
    <w:p>
      <w:pPr>
        <w:autoSpaceDE w:val="0"/>
        <w:autoSpaceDN w:val="0"/>
        <w:spacing w:line="460" w:lineRule="atLeast"/>
        <w:rPr>
          <w:rFonts w:ascii="宋体" w:hAnsi="宋体" w:eastAsia="宋体"/>
          <w:b w:val="0"/>
          <w:color w:val="000000"/>
          <w:sz w:val="24"/>
          <w:lang w:val="zh-CN"/>
        </w:rPr>
      </w:pPr>
      <w:r>
        <w:rPr>
          <w:rFonts w:hint="eastAsia" w:ascii="宋体" w:hAnsi="宋体" w:eastAsia="宋体"/>
          <w:b w:val="0"/>
          <w:color w:val="000000"/>
          <w:sz w:val="24"/>
          <w:lang w:val="zh-CN"/>
        </w:rPr>
        <w:t>第四部分 政府采购政策功能相关说明</w:t>
      </w:r>
      <w:r>
        <w:rPr>
          <w:rFonts w:ascii="宋体" w:hAnsi="宋体" w:eastAsia="宋体"/>
          <w:b w:val="0"/>
          <w:color w:val="000000"/>
          <w:sz w:val="24"/>
          <w:lang w:val="zh-CN"/>
        </w:rPr>
        <w:tab/>
      </w:r>
    </w:p>
    <w:p>
      <w:pPr>
        <w:autoSpaceDE w:val="0"/>
        <w:autoSpaceDN w:val="0"/>
        <w:spacing w:line="460" w:lineRule="atLeast"/>
        <w:rPr>
          <w:rFonts w:ascii="宋体" w:hAnsi="宋体" w:eastAsia="宋体"/>
          <w:b w:val="0"/>
          <w:color w:val="000000"/>
          <w:sz w:val="24"/>
          <w:lang w:val="zh-CN"/>
        </w:rPr>
      </w:pPr>
      <w:r>
        <w:rPr>
          <w:rFonts w:ascii="宋体" w:hAnsi="宋体" w:eastAsia="宋体"/>
          <w:b w:val="0"/>
          <w:color w:val="000000"/>
          <w:sz w:val="24"/>
          <w:lang w:val="zh-CN"/>
        </w:rPr>
        <w:t>第五部分</w:t>
      </w:r>
      <w:r>
        <w:rPr>
          <w:rFonts w:hint="eastAsia" w:ascii="宋体" w:hAnsi="宋体" w:eastAsia="宋体"/>
          <w:b w:val="0"/>
          <w:color w:val="000000"/>
          <w:sz w:val="24"/>
          <w:lang w:val="zh-CN"/>
        </w:rPr>
        <w:t xml:space="preserve"> 合同格式（参考格式）</w:t>
      </w:r>
    </w:p>
    <w:p>
      <w:pPr>
        <w:autoSpaceDE w:val="0"/>
        <w:autoSpaceDN w:val="0"/>
        <w:spacing w:line="460" w:lineRule="atLeast"/>
        <w:rPr>
          <w:rFonts w:ascii="宋体" w:hAnsi="宋体" w:eastAsia="宋体"/>
          <w:b w:val="0"/>
          <w:color w:val="000000"/>
          <w:sz w:val="24"/>
          <w:lang w:val="zh-CN"/>
        </w:rPr>
      </w:pPr>
      <w:r>
        <w:rPr>
          <w:rFonts w:hint="eastAsia" w:ascii="宋体" w:hAnsi="宋体" w:eastAsia="宋体"/>
          <w:b w:val="0"/>
          <w:color w:val="000000"/>
          <w:sz w:val="24"/>
          <w:lang w:val="zh-CN"/>
        </w:rPr>
        <w:t>第六部分 投标文件格式</w:t>
      </w:r>
    </w:p>
    <w:p>
      <w:pPr>
        <w:autoSpaceDE w:val="0"/>
        <w:autoSpaceDN w:val="0"/>
        <w:spacing w:line="460" w:lineRule="atLeast"/>
        <w:rPr>
          <w:rFonts w:ascii="宋体" w:hAnsi="宋体" w:eastAsia="宋体"/>
          <w:b w:val="0"/>
          <w:color w:val="000000"/>
          <w:sz w:val="24"/>
          <w:lang w:val="zh-CN"/>
        </w:rPr>
      </w:pPr>
      <w:r>
        <w:rPr>
          <w:rFonts w:hint="eastAsia" w:ascii="宋体" w:hAnsi="宋体" w:eastAsia="宋体"/>
          <w:b w:val="0"/>
          <w:color w:val="000000"/>
          <w:sz w:val="24"/>
          <w:lang w:val="zh-CN"/>
        </w:rPr>
        <w:t>第七部分 评标定标办法</w:t>
      </w:r>
    </w:p>
    <w:p>
      <w:pPr>
        <w:widowControl/>
        <w:spacing w:line="400" w:lineRule="atLeast"/>
        <w:ind w:firstLine="221" w:firstLineChars="100"/>
        <w:rPr>
          <w:rFonts w:ascii="宋体" w:hAnsi="宋体" w:eastAsia="宋体" w:cs="Courier New"/>
          <w:color w:val="000000"/>
          <w:sz w:val="22"/>
        </w:rPr>
      </w:pPr>
    </w:p>
    <w:p>
      <w:pPr>
        <w:widowControl/>
        <w:spacing w:line="400" w:lineRule="atLeast"/>
        <w:ind w:firstLine="221" w:firstLineChars="100"/>
        <w:rPr>
          <w:rFonts w:ascii="宋体" w:hAnsi="宋体" w:eastAsia="宋体" w:cs="Courier New"/>
          <w:color w:val="000000"/>
          <w:sz w:val="22"/>
        </w:rPr>
      </w:pPr>
    </w:p>
    <w:p>
      <w:pPr>
        <w:widowControl/>
        <w:spacing w:line="400" w:lineRule="atLeast"/>
        <w:ind w:firstLine="433" w:firstLineChars="196"/>
        <w:rPr>
          <w:rFonts w:ascii="宋体" w:hAnsi="宋体" w:eastAsia="宋体"/>
          <w:color w:val="000000"/>
          <w:sz w:val="22"/>
          <w:lang w:val="zh-CN"/>
        </w:rPr>
      </w:pPr>
      <w:r>
        <w:rPr>
          <w:rFonts w:hint="eastAsia" w:ascii="宋体" w:hAnsi="宋体" w:eastAsia="宋体"/>
          <w:color w:val="000000"/>
          <w:sz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pPr>
        <w:widowControl/>
        <w:spacing w:line="400" w:lineRule="atLeast"/>
        <w:ind w:firstLine="413" w:firstLineChars="196"/>
        <w:jc w:val="center"/>
        <w:rPr>
          <w:rFonts w:ascii="宋体" w:hAnsi="宋体" w:eastAsia="宋体"/>
          <w:color w:val="000000"/>
          <w:sz w:val="28"/>
        </w:rPr>
      </w:pPr>
      <w:r>
        <w:rPr>
          <w:rFonts w:ascii="宋体" w:hAnsi="宋体" w:eastAsia="宋体"/>
          <w:color w:val="000000"/>
        </w:rPr>
        <w:br w:type="page"/>
      </w:r>
    </w:p>
    <w:bookmarkEnd w:id="0"/>
    <w:p>
      <w:pPr>
        <w:widowControl/>
        <w:spacing w:line="400" w:lineRule="atLeast"/>
        <w:ind w:firstLine="551" w:firstLineChars="196"/>
        <w:jc w:val="center"/>
        <w:rPr>
          <w:rFonts w:ascii="宋体" w:hAnsi="宋体" w:eastAsia="宋体"/>
          <w:color w:val="000000"/>
          <w:sz w:val="28"/>
        </w:rPr>
      </w:pPr>
      <w:r>
        <w:rPr>
          <w:rFonts w:ascii="宋体" w:hAnsi="宋体" w:eastAsia="宋体"/>
          <w:color w:val="000000"/>
          <w:sz w:val="28"/>
        </w:rPr>
        <w:t>乐清市公共资源交易中心关于</w:t>
      </w:r>
      <w:r>
        <w:rPr>
          <w:rFonts w:hint="eastAsia" w:ascii="宋体" w:hAnsi="宋体" w:eastAsia="宋体"/>
          <w:color w:val="000000"/>
          <w:sz w:val="28"/>
          <w:lang w:eastAsia="zh-CN"/>
        </w:rPr>
        <w:t>乐清市人员密集场所人脸识别抓拍建设项目</w:t>
      </w:r>
      <w:r>
        <w:rPr>
          <w:rFonts w:hint="eastAsia" w:ascii="宋体" w:hAnsi="宋体" w:eastAsia="宋体"/>
          <w:color w:val="000000"/>
          <w:sz w:val="28"/>
        </w:rPr>
        <w:t>的</w:t>
      </w:r>
      <w:r>
        <w:rPr>
          <w:rFonts w:ascii="宋体" w:hAnsi="宋体" w:eastAsia="宋体"/>
          <w:color w:val="000000"/>
          <w:sz w:val="28"/>
        </w:rPr>
        <w:t>公开招标公告</w:t>
      </w:r>
    </w:p>
    <w:p>
      <w:pPr>
        <w:pBdr>
          <w:top w:val="single" w:color="auto" w:sz="4" w:space="1"/>
          <w:left w:val="single" w:color="auto" w:sz="4" w:space="4"/>
          <w:bottom w:val="single" w:color="auto" w:sz="4" w:space="1"/>
          <w:right w:val="single" w:color="auto" w:sz="4" w:space="4"/>
        </w:pBdr>
        <w:ind w:firstLine="440" w:firstLineChars="200"/>
        <w:rPr>
          <w:rFonts w:ascii="宋体" w:hAnsi="宋体" w:eastAsia="宋体"/>
          <w:b w:val="0"/>
          <w:color w:val="000000"/>
          <w:sz w:val="22"/>
        </w:rPr>
      </w:pPr>
      <w:r>
        <w:rPr>
          <w:rFonts w:hint="eastAsia" w:ascii="宋体" w:hAnsi="宋体" w:eastAsia="宋体"/>
          <w:b w:val="0"/>
          <w:color w:val="000000"/>
          <w:sz w:val="22"/>
        </w:rPr>
        <w:t>乐清市</w:t>
      </w:r>
      <w:r>
        <w:rPr>
          <w:rFonts w:hint="eastAsia" w:ascii="宋体" w:hAnsi="宋体" w:eastAsia="宋体" w:cs="Times New Roman"/>
          <w:b w:val="0"/>
          <w:bCs/>
          <w:color w:val="000000"/>
          <w:sz w:val="22"/>
        </w:rPr>
        <w:t>人员密集场所人脸识别抓拍建设项目</w:t>
      </w:r>
      <w:r>
        <w:rPr>
          <w:rFonts w:hint="eastAsia" w:ascii="宋体" w:hAnsi="宋体" w:eastAsia="宋体"/>
          <w:b w:val="0"/>
          <w:color w:val="000000"/>
          <w:sz w:val="22"/>
        </w:rPr>
        <w:t>的潜在投标人应在政采云平台获取（下载）招标文件，并于</w:t>
      </w:r>
      <w:r>
        <w:rPr>
          <w:rFonts w:ascii="宋体" w:hAnsi="宋体" w:eastAsia="宋体"/>
          <w:b w:val="0"/>
          <w:color w:val="000000"/>
          <w:sz w:val="22"/>
        </w:rPr>
        <w:t xml:space="preserve"> 202</w:t>
      </w:r>
      <w:r>
        <w:rPr>
          <w:rFonts w:hint="eastAsia" w:ascii="宋体" w:hAnsi="宋体" w:eastAsia="宋体"/>
          <w:b w:val="0"/>
          <w:color w:val="000000"/>
          <w:sz w:val="22"/>
          <w:lang w:val="en-US" w:eastAsia="zh-CN"/>
        </w:rPr>
        <w:t>3</w:t>
      </w:r>
      <w:r>
        <w:rPr>
          <w:rFonts w:ascii="宋体" w:hAnsi="宋体" w:eastAsia="宋体"/>
          <w:b w:val="0"/>
          <w:color w:val="000000"/>
          <w:sz w:val="22"/>
        </w:rPr>
        <w:t>年</w:t>
      </w:r>
      <w:r>
        <w:rPr>
          <w:rFonts w:hint="eastAsia" w:ascii="宋体" w:hAnsi="宋体" w:eastAsia="宋体"/>
          <w:b w:val="0"/>
          <w:color w:val="000000"/>
          <w:sz w:val="22"/>
          <w:lang w:val="en-US" w:eastAsia="zh-CN"/>
        </w:rPr>
        <w:t>3</w:t>
      </w:r>
      <w:r>
        <w:rPr>
          <w:rFonts w:ascii="宋体" w:hAnsi="宋体" w:eastAsia="宋体"/>
          <w:b w:val="0"/>
          <w:color w:val="000000"/>
          <w:sz w:val="22"/>
        </w:rPr>
        <w:t>月</w:t>
      </w:r>
      <w:r>
        <w:rPr>
          <w:rFonts w:hint="eastAsia" w:ascii="宋体" w:hAnsi="宋体" w:eastAsia="宋体"/>
          <w:b w:val="0"/>
          <w:color w:val="000000"/>
          <w:sz w:val="22"/>
          <w:lang w:val="en-US" w:eastAsia="zh-CN"/>
        </w:rPr>
        <w:t>1</w:t>
      </w:r>
      <w:r>
        <w:rPr>
          <w:rFonts w:ascii="宋体" w:hAnsi="宋体" w:eastAsia="宋体"/>
          <w:b w:val="0"/>
          <w:color w:val="000000"/>
          <w:sz w:val="22"/>
        </w:rPr>
        <w:t>日 09：30（北京时间）前递交（上传）投标文件。</w:t>
      </w:r>
    </w:p>
    <w:p>
      <w:pPr>
        <w:widowControl/>
        <w:spacing w:before="75" w:after="75" w:line="300" w:lineRule="atLeast"/>
        <w:jc w:val="left"/>
        <w:rPr>
          <w:rFonts w:ascii="宋体" w:hAnsi="宋体" w:eastAsia="宋体" w:cs="宋体"/>
          <w:color w:val="000000"/>
          <w:sz w:val="24"/>
        </w:rPr>
      </w:pPr>
      <w:r>
        <w:rPr>
          <w:rFonts w:hint="eastAsia" w:ascii="宋体" w:hAnsi="宋体" w:eastAsia="宋体" w:cs="宋体"/>
          <w:color w:val="000000"/>
          <w:sz w:val="24"/>
        </w:rPr>
        <w:t>一、项目基本情况</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项目编号：</w:t>
      </w:r>
      <w:r>
        <w:rPr>
          <w:rFonts w:hint="eastAsia" w:ascii="宋体" w:hAnsi="宋体" w:eastAsia="宋体" w:cs="宋体"/>
          <w:b w:val="0"/>
          <w:color w:val="000000"/>
          <w:sz w:val="24"/>
        </w:rPr>
        <w:t xml:space="preserve">CG202302A03 </w:t>
      </w:r>
      <w:r>
        <w:rPr>
          <w:rFonts w:ascii="宋体" w:hAnsi="宋体" w:eastAsia="宋体" w:cs="宋体"/>
          <w:b w:val="0"/>
          <w:color w:val="000000"/>
          <w:sz w:val="24"/>
        </w:rPr>
        <w:t> </w:t>
      </w:r>
    </w:p>
    <w:p>
      <w:pPr>
        <w:widowControl/>
        <w:spacing w:before="75" w:after="75" w:line="460" w:lineRule="atLeast"/>
        <w:ind w:firstLine="720"/>
        <w:jc w:val="left"/>
        <w:rPr>
          <w:rFonts w:hint="eastAsia" w:ascii="宋体" w:hAnsi="宋体" w:eastAsia="宋体" w:cs="宋体"/>
          <w:b w:val="0"/>
          <w:color w:val="000000"/>
          <w:sz w:val="24"/>
          <w:lang w:val="en-US" w:eastAsia="zh-CN"/>
        </w:rPr>
      </w:pPr>
      <w:r>
        <w:rPr>
          <w:rFonts w:ascii="宋体" w:hAnsi="宋体" w:eastAsia="宋体" w:cs="宋体"/>
          <w:b w:val="0"/>
          <w:color w:val="000000"/>
          <w:sz w:val="24"/>
        </w:rPr>
        <w:t>项目名称：</w:t>
      </w:r>
      <w:r>
        <w:rPr>
          <w:rFonts w:hint="eastAsia" w:ascii="宋体" w:hAnsi="宋体" w:eastAsia="宋体" w:cs="宋体"/>
          <w:b w:val="0"/>
          <w:color w:val="000000"/>
          <w:sz w:val="24"/>
          <w:lang w:eastAsia="zh-CN"/>
        </w:rPr>
        <w:t>乐清市人员密集场所人脸识别抓拍建设项目</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预算金额（元）：</w:t>
      </w:r>
      <w:r>
        <w:rPr>
          <w:rFonts w:hint="eastAsia" w:ascii="宋体" w:hAnsi="宋体" w:eastAsia="宋体" w:cs="宋体"/>
          <w:b w:val="0"/>
          <w:bCs/>
          <w:color w:val="000000"/>
          <w:sz w:val="24"/>
          <w:lang w:eastAsia="zh-CN"/>
        </w:rPr>
        <w:t>173516</w:t>
      </w:r>
      <w:r>
        <w:rPr>
          <w:rFonts w:hint="eastAsia" w:ascii="宋体" w:hAnsi="宋体" w:eastAsia="宋体" w:cs="宋体"/>
          <w:b w:val="0"/>
          <w:bCs/>
          <w:color w:val="000000"/>
          <w:sz w:val="24"/>
          <w:lang w:val="en-US" w:eastAsia="zh-CN"/>
        </w:rPr>
        <w:t>00</w:t>
      </w:r>
    </w:p>
    <w:p>
      <w:pPr>
        <w:widowControl/>
        <w:spacing w:before="75" w:after="75" w:line="460" w:lineRule="atLeast"/>
        <w:ind w:firstLine="720"/>
        <w:jc w:val="left"/>
        <w:rPr>
          <w:rFonts w:hint="default" w:ascii="宋体" w:hAnsi="宋体" w:eastAsia="宋体" w:cs="宋体"/>
          <w:b w:val="0"/>
          <w:color w:val="000000"/>
          <w:sz w:val="24"/>
          <w:lang w:val="en-US" w:eastAsia="zh-CN"/>
        </w:rPr>
      </w:pPr>
      <w:r>
        <w:rPr>
          <w:rFonts w:ascii="宋体" w:hAnsi="宋体" w:eastAsia="宋体" w:cs="宋体"/>
          <w:b w:val="0"/>
          <w:color w:val="000000"/>
          <w:sz w:val="24"/>
        </w:rPr>
        <w:t>最高限价（元）：</w:t>
      </w:r>
      <w:r>
        <w:rPr>
          <w:rFonts w:hint="eastAsia" w:ascii="宋体" w:hAnsi="宋体" w:eastAsia="宋体" w:cs="宋体"/>
          <w:b w:val="0"/>
          <w:color w:val="000000"/>
          <w:sz w:val="24"/>
          <w:lang w:eastAsia="zh-CN"/>
        </w:rPr>
        <w:t>4309910、4005350</w:t>
      </w:r>
      <w:r>
        <w:rPr>
          <w:rFonts w:hint="eastAsia" w:ascii="宋体" w:hAnsi="宋体" w:eastAsia="宋体" w:cs="宋体"/>
          <w:b w:val="0"/>
          <w:color w:val="000000"/>
          <w:sz w:val="24"/>
        </w:rPr>
        <w:tab/>
      </w:r>
      <w:r>
        <w:rPr>
          <w:rFonts w:hint="eastAsia" w:ascii="宋体" w:hAnsi="宋体" w:eastAsia="宋体" w:cs="宋体"/>
          <w:b w:val="0"/>
          <w:color w:val="000000"/>
          <w:sz w:val="24"/>
          <w:lang w:eastAsia="zh-CN"/>
        </w:rPr>
        <w:t>、4002840、</w:t>
      </w:r>
      <w:r>
        <w:rPr>
          <w:rFonts w:hint="eastAsia" w:ascii="宋体" w:hAnsi="宋体" w:eastAsia="宋体" w:cs="宋体"/>
          <w:b w:val="0"/>
          <w:color w:val="000000"/>
          <w:sz w:val="24"/>
        </w:rPr>
        <w:t>3539740</w:t>
      </w:r>
      <w:r>
        <w:rPr>
          <w:rFonts w:hint="eastAsia" w:ascii="宋体" w:hAnsi="宋体" w:eastAsia="宋体" w:cs="宋体"/>
          <w:b w:val="0"/>
          <w:color w:val="000000"/>
          <w:sz w:val="24"/>
          <w:lang w:eastAsia="zh-CN"/>
        </w:rPr>
        <w:t>、</w:t>
      </w:r>
      <w:r>
        <w:rPr>
          <w:rFonts w:hint="eastAsia" w:ascii="宋体" w:hAnsi="宋体" w:eastAsia="宋体" w:cs="宋体"/>
          <w:b w:val="0"/>
          <w:color w:val="000000"/>
          <w:sz w:val="24"/>
          <w:lang w:val="en-US" w:eastAsia="zh-CN"/>
        </w:rPr>
        <w:t>1</w:t>
      </w:r>
      <w:r>
        <w:rPr>
          <w:rFonts w:hint="eastAsia" w:ascii="宋体" w:hAnsi="宋体" w:eastAsia="宋体" w:cs="宋体"/>
          <w:b w:val="0"/>
          <w:color w:val="000000"/>
          <w:sz w:val="24"/>
          <w:lang w:val="en-US" w:eastAsia="zh-CN"/>
        </w:rPr>
        <w:t>493760</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采购需求：</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标项一：</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标项名称：</w:t>
      </w:r>
      <w:r>
        <w:rPr>
          <w:rFonts w:hint="eastAsia" w:ascii="宋体" w:hAnsi="宋体" w:eastAsia="宋体" w:cs="宋体"/>
          <w:b w:val="0"/>
          <w:color w:val="000000"/>
          <w:sz w:val="24"/>
          <w:lang w:eastAsia="zh-CN"/>
        </w:rPr>
        <w:t>乐清市人员密集场所人脸识别抓拍建设项目</w:t>
      </w:r>
      <w:r>
        <w:rPr>
          <w:rFonts w:hint="eastAsia" w:ascii="宋体" w:hAnsi="宋体" w:eastAsia="宋体" w:cs="宋体"/>
          <w:b w:val="0"/>
          <w:color w:val="000000"/>
          <w:sz w:val="24"/>
        </w:rPr>
        <w:t>-</w:t>
      </w:r>
      <w:r>
        <w:rPr>
          <w:rFonts w:ascii="宋体" w:hAnsi="宋体" w:eastAsia="宋体" w:cs="宋体"/>
          <w:b w:val="0"/>
          <w:color w:val="000000"/>
          <w:sz w:val="24"/>
        </w:rPr>
        <w:t>标项一</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数量：不限</w:t>
      </w:r>
    </w:p>
    <w:p>
      <w:pPr>
        <w:widowControl/>
        <w:spacing w:before="75" w:after="75" w:line="460" w:lineRule="atLeast"/>
        <w:ind w:firstLine="720"/>
        <w:jc w:val="left"/>
        <w:rPr>
          <w:rFonts w:hint="eastAsia" w:ascii="宋体" w:hAnsi="宋体" w:eastAsia="宋体" w:cs="宋体"/>
          <w:b w:val="0"/>
          <w:color w:val="000000"/>
          <w:sz w:val="24"/>
          <w:lang w:eastAsia="zh-CN"/>
        </w:rPr>
      </w:pPr>
      <w:r>
        <w:rPr>
          <w:rFonts w:ascii="宋体" w:hAnsi="宋体" w:eastAsia="宋体" w:cs="宋体"/>
          <w:b w:val="0"/>
          <w:color w:val="000000"/>
          <w:sz w:val="24"/>
        </w:rPr>
        <w:t>预算金额（元）：</w:t>
      </w:r>
      <w:r>
        <w:rPr>
          <w:rFonts w:hint="eastAsia" w:ascii="宋体" w:hAnsi="宋体" w:eastAsia="宋体" w:cs="宋体"/>
          <w:b w:val="0"/>
          <w:color w:val="000000"/>
          <w:sz w:val="24"/>
          <w:lang w:eastAsia="zh-CN"/>
        </w:rPr>
        <w:t>4309910</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简要规格描述或项目基本概况介绍、用途：具体见招标文件要求</w:t>
      </w:r>
      <w:r>
        <w:rPr>
          <w:rFonts w:hint="eastAsia" w:ascii="宋体" w:hAnsi="宋体" w:eastAsia="宋体" w:cs="宋体"/>
          <w:b w:val="0"/>
          <w:color w:val="000000"/>
          <w:sz w:val="24"/>
        </w:rPr>
        <w:t>。</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标项</w:t>
      </w:r>
      <w:r>
        <w:rPr>
          <w:rFonts w:hint="eastAsia" w:ascii="宋体" w:hAnsi="宋体" w:eastAsia="宋体" w:cs="宋体"/>
          <w:b w:val="0"/>
          <w:color w:val="000000"/>
          <w:sz w:val="24"/>
        </w:rPr>
        <w:t>二</w:t>
      </w:r>
      <w:r>
        <w:rPr>
          <w:rFonts w:ascii="宋体" w:hAnsi="宋体" w:eastAsia="宋体" w:cs="宋体"/>
          <w:b w:val="0"/>
          <w:color w:val="000000"/>
          <w:sz w:val="24"/>
        </w:rPr>
        <w:t>：</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标项名称：</w:t>
      </w:r>
      <w:r>
        <w:rPr>
          <w:rFonts w:hint="eastAsia" w:ascii="宋体" w:hAnsi="宋体" w:eastAsia="宋体" w:cs="宋体"/>
          <w:b w:val="0"/>
          <w:color w:val="000000"/>
          <w:sz w:val="24"/>
          <w:lang w:eastAsia="zh-CN"/>
        </w:rPr>
        <w:t>乐清市人员密集场所人脸识别抓拍建设项目</w:t>
      </w:r>
      <w:r>
        <w:rPr>
          <w:rFonts w:hint="eastAsia" w:ascii="宋体" w:hAnsi="宋体" w:eastAsia="宋体" w:cs="宋体"/>
          <w:b w:val="0"/>
          <w:color w:val="000000"/>
          <w:sz w:val="24"/>
        </w:rPr>
        <w:t>-</w:t>
      </w:r>
      <w:r>
        <w:rPr>
          <w:rFonts w:ascii="宋体" w:hAnsi="宋体" w:eastAsia="宋体" w:cs="宋体"/>
          <w:b w:val="0"/>
          <w:color w:val="000000"/>
          <w:sz w:val="24"/>
        </w:rPr>
        <w:t>标项二</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数量：不限</w:t>
      </w:r>
    </w:p>
    <w:p>
      <w:pPr>
        <w:widowControl/>
        <w:spacing w:before="75" w:after="75" w:line="460" w:lineRule="atLeast"/>
        <w:ind w:firstLine="720"/>
        <w:jc w:val="left"/>
        <w:rPr>
          <w:rFonts w:hint="eastAsia" w:ascii="宋体" w:hAnsi="宋体" w:eastAsia="宋体" w:cs="宋体"/>
          <w:b w:val="0"/>
          <w:color w:val="000000"/>
          <w:sz w:val="24"/>
          <w:lang w:eastAsia="zh-CN"/>
        </w:rPr>
      </w:pPr>
      <w:r>
        <w:rPr>
          <w:rFonts w:ascii="宋体" w:hAnsi="宋体" w:eastAsia="宋体" w:cs="宋体"/>
          <w:b w:val="0"/>
          <w:color w:val="000000"/>
          <w:sz w:val="24"/>
        </w:rPr>
        <w:t>预算金额（元）：</w:t>
      </w:r>
      <w:r>
        <w:rPr>
          <w:rFonts w:hint="eastAsia" w:ascii="宋体" w:hAnsi="宋体" w:eastAsia="宋体" w:cs="宋体"/>
          <w:b w:val="0"/>
          <w:color w:val="000000"/>
          <w:sz w:val="24"/>
          <w:lang w:eastAsia="zh-CN"/>
        </w:rPr>
        <w:t>4005350</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简要规格描述或项目基本概况介绍、用途：具体见招标文件要求</w:t>
      </w:r>
      <w:r>
        <w:rPr>
          <w:rFonts w:hint="eastAsia" w:ascii="宋体" w:hAnsi="宋体" w:eastAsia="宋体" w:cs="宋体"/>
          <w:b w:val="0"/>
          <w:color w:val="000000"/>
          <w:sz w:val="24"/>
        </w:rPr>
        <w:t>。</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标项</w:t>
      </w:r>
      <w:r>
        <w:rPr>
          <w:rFonts w:hint="eastAsia" w:ascii="宋体" w:hAnsi="宋体" w:eastAsia="宋体" w:cs="宋体"/>
          <w:b w:val="0"/>
          <w:color w:val="000000"/>
          <w:sz w:val="24"/>
        </w:rPr>
        <w:t>三</w:t>
      </w:r>
      <w:r>
        <w:rPr>
          <w:rFonts w:ascii="宋体" w:hAnsi="宋体" w:eastAsia="宋体" w:cs="宋体"/>
          <w:b w:val="0"/>
          <w:color w:val="000000"/>
          <w:sz w:val="24"/>
        </w:rPr>
        <w:t>：</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标项名称：</w:t>
      </w:r>
      <w:r>
        <w:rPr>
          <w:rFonts w:hint="eastAsia" w:ascii="宋体" w:hAnsi="宋体" w:eastAsia="宋体" w:cs="宋体"/>
          <w:b w:val="0"/>
          <w:color w:val="000000"/>
          <w:sz w:val="24"/>
          <w:lang w:eastAsia="zh-CN"/>
        </w:rPr>
        <w:t>乐清市人员密集场所人脸识别抓拍建设项目</w:t>
      </w:r>
      <w:r>
        <w:rPr>
          <w:rFonts w:hint="eastAsia" w:ascii="宋体" w:hAnsi="宋体" w:eastAsia="宋体" w:cs="宋体"/>
          <w:b w:val="0"/>
          <w:color w:val="000000"/>
          <w:sz w:val="24"/>
        </w:rPr>
        <w:t>-</w:t>
      </w:r>
      <w:r>
        <w:rPr>
          <w:rFonts w:ascii="宋体" w:hAnsi="宋体" w:eastAsia="宋体" w:cs="宋体"/>
          <w:b w:val="0"/>
          <w:color w:val="000000"/>
          <w:sz w:val="24"/>
        </w:rPr>
        <w:t>标项三</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数量：不限</w:t>
      </w:r>
    </w:p>
    <w:p>
      <w:pPr>
        <w:widowControl/>
        <w:spacing w:before="75" w:after="75" w:line="460" w:lineRule="atLeast"/>
        <w:ind w:firstLine="720"/>
        <w:jc w:val="left"/>
        <w:rPr>
          <w:rFonts w:hint="eastAsia" w:ascii="宋体" w:hAnsi="宋体" w:eastAsia="宋体" w:cs="宋体"/>
          <w:b w:val="0"/>
          <w:color w:val="000000"/>
          <w:sz w:val="24"/>
          <w:lang w:eastAsia="zh-CN"/>
        </w:rPr>
      </w:pPr>
      <w:r>
        <w:rPr>
          <w:rFonts w:ascii="宋体" w:hAnsi="宋体" w:eastAsia="宋体" w:cs="宋体"/>
          <w:b w:val="0"/>
          <w:color w:val="000000"/>
          <w:sz w:val="24"/>
        </w:rPr>
        <w:t>预算金额（元）：</w:t>
      </w:r>
      <w:r>
        <w:rPr>
          <w:rFonts w:hint="eastAsia" w:ascii="宋体" w:hAnsi="宋体" w:eastAsia="宋体" w:cs="宋体"/>
          <w:b w:val="0"/>
          <w:color w:val="000000"/>
          <w:sz w:val="24"/>
          <w:lang w:eastAsia="zh-CN"/>
        </w:rPr>
        <w:t>4002840</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简要规格描述或项目基本概况介绍、用途：具体见招标文件要求</w:t>
      </w:r>
      <w:r>
        <w:rPr>
          <w:rFonts w:hint="eastAsia" w:ascii="宋体" w:hAnsi="宋体" w:eastAsia="宋体" w:cs="宋体"/>
          <w:b w:val="0"/>
          <w:color w:val="000000"/>
          <w:sz w:val="24"/>
        </w:rPr>
        <w:t>。</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标项</w:t>
      </w:r>
      <w:r>
        <w:rPr>
          <w:rFonts w:hint="eastAsia" w:ascii="宋体" w:hAnsi="宋体" w:eastAsia="宋体" w:cs="宋体"/>
          <w:b w:val="0"/>
          <w:color w:val="000000"/>
          <w:sz w:val="24"/>
        </w:rPr>
        <w:t>四</w:t>
      </w:r>
      <w:r>
        <w:rPr>
          <w:rFonts w:ascii="宋体" w:hAnsi="宋体" w:eastAsia="宋体" w:cs="宋体"/>
          <w:b w:val="0"/>
          <w:color w:val="000000"/>
          <w:sz w:val="24"/>
        </w:rPr>
        <w:t>：</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标项名称：</w:t>
      </w:r>
      <w:r>
        <w:rPr>
          <w:rFonts w:hint="eastAsia" w:ascii="宋体" w:hAnsi="宋体" w:eastAsia="宋体" w:cs="宋体"/>
          <w:b w:val="0"/>
          <w:color w:val="000000"/>
          <w:sz w:val="24"/>
          <w:lang w:eastAsia="zh-CN"/>
        </w:rPr>
        <w:t>乐清市人员密集场所人脸识别抓拍建设项目</w:t>
      </w:r>
      <w:r>
        <w:rPr>
          <w:rFonts w:hint="eastAsia" w:ascii="宋体" w:hAnsi="宋体" w:eastAsia="宋体" w:cs="宋体"/>
          <w:b w:val="0"/>
          <w:color w:val="000000"/>
          <w:sz w:val="24"/>
        </w:rPr>
        <w:t>-</w:t>
      </w:r>
      <w:r>
        <w:rPr>
          <w:rFonts w:ascii="宋体" w:hAnsi="宋体" w:eastAsia="宋体" w:cs="宋体"/>
          <w:b w:val="0"/>
          <w:color w:val="000000"/>
          <w:sz w:val="24"/>
        </w:rPr>
        <w:t>标项四</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数量：不限</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预算金额（元）：</w:t>
      </w:r>
      <w:r>
        <w:rPr>
          <w:rFonts w:hint="eastAsia" w:ascii="宋体" w:hAnsi="宋体" w:eastAsia="宋体" w:cs="宋体"/>
          <w:b w:val="0"/>
          <w:color w:val="000000"/>
          <w:sz w:val="24"/>
        </w:rPr>
        <w:t>3539740</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简要规格描述或项目基本概况介绍、用途：具体见招标文件要求</w:t>
      </w:r>
      <w:r>
        <w:rPr>
          <w:rFonts w:hint="eastAsia" w:ascii="宋体" w:hAnsi="宋体" w:eastAsia="宋体" w:cs="宋体"/>
          <w:b w:val="0"/>
          <w:color w:val="000000"/>
          <w:sz w:val="24"/>
        </w:rPr>
        <w:t>。</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标项</w:t>
      </w:r>
      <w:r>
        <w:rPr>
          <w:rFonts w:hint="eastAsia" w:ascii="宋体" w:hAnsi="宋体" w:eastAsia="宋体" w:cs="宋体"/>
          <w:b w:val="0"/>
          <w:color w:val="000000"/>
          <w:sz w:val="24"/>
        </w:rPr>
        <w:t>五</w:t>
      </w:r>
      <w:r>
        <w:rPr>
          <w:rFonts w:ascii="宋体" w:hAnsi="宋体" w:eastAsia="宋体" w:cs="宋体"/>
          <w:b w:val="0"/>
          <w:color w:val="000000"/>
          <w:sz w:val="24"/>
        </w:rPr>
        <w:t>：</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标项名称：</w:t>
      </w:r>
      <w:r>
        <w:rPr>
          <w:rFonts w:hint="eastAsia" w:ascii="宋体" w:hAnsi="宋体" w:eastAsia="宋体" w:cs="宋体"/>
          <w:b w:val="0"/>
          <w:color w:val="000000"/>
          <w:sz w:val="24"/>
          <w:lang w:eastAsia="zh-CN"/>
        </w:rPr>
        <w:t>乐清市人员密集场所人脸识别抓拍建设项目</w:t>
      </w:r>
      <w:r>
        <w:rPr>
          <w:rFonts w:hint="eastAsia" w:ascii="宋体" w:hAnsi="宋体" w:eastAsia="宋体" w:cs="宋体"/>
          <w:b w:val="0"/>
          <w:color w:val="000000"/>
          <w:sz w:val="24"/>
        </w:rPr>
        <w:t>-</w:t>
      </w:r>
      <w:r>
        <w:rPr>
          <w:rFonts w:ascii="宋体" w:hAnsi="宋体" w:eastAsia="宋体" w:cs="宋体"/>
          <w:b w:val="0"/>
          <w:color w:val="000000"/>
          <w:sz w:val="24"/>
        </w:rPr>
        <w:t>标项</w:t>
      </w:r>
      <w:r>
        <w:rPr>
          <w:rFonts w:hint="eastAsia" w:ascii="宋体" w:hAnsi="宋体" w:eastAsia="宋体" w:cs="宋体"/>
          <w:b w:val="0"/>
          <w:color w:val="000000"/>
          <w:sz w:val="24"/>
        </w:rPr>
        <w:t>五</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数量：不限</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预算金额（元）：</w:t>
      </w:r>
      <w:r>
        <w:rPr>
          <w:rFonts w:hint="eastAsia" w:ascii="宋体" w:hAnsi="宋体" w:eastAsia="宋体" w:cs="宋体"/>
          <w:b w:val="0"/>
          <w:color w:val="000000"/>
          <w:sz w:val="24"/>
          <w:lang w:val="en-US" w:eastAsia="zh-CN"/>
        </w:rPr>
        <w:t>1493760</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简要规格描述或项目基本概况介绍、用途：具体见招标文件要求</w:t>
      </w:r>
      <w:r>
        <w:rPr>
          <w:rFonts w:hint="eastAsia" w:ascii="宋体" w:hAnsi="宋体" w:eastAsia="宋体" w:cs="宋体"/>
          <w:b w:val="0"/>
          <w:color w:val="000000"/>
          <w:sz w:val="24"/>
        </w:rPr>
        <w:t>。</w:t>
      </w:r>
    </w:p>
    <w:p>
      <w:pPr>
        <w:widowControl/>
        <w:spacing w:before="75" w:after="75" w:line="460" w:lineRule="atLeast"/>
        <w:ind w:firstLine="720"/>
        <w:jc w:val="left"/>
        <w:rPr>
          <w:rFonts w:hint="eastAsia" w:ascii="宋体" w:hAnsi="宋体" w:eastAsia="宋体" w:cs="宋体"/>
          <w:b w:val="0"/>
          <w:color w:val="000000"/>
          <w:sz w:val="24"/>
        </w:rPr>
      </w:pPr>
      <w:r>
        <w:rPr>
          <w:rFonts w:ascii="宋体" w:hAnsi="宋体" w:eastAsia="宋体" w:cs="宋体"/>
          <w:b w:val="0"/>
          <w:color w:val="000000"/>
          <w:sz w:val="24"/>
        </w:rPr>
        <w:t>合同履约期限：标项</w:t>
      </w:r>
      <w:r>
        <w:rPr>
          <w:rFonts w:hint="eastAsia" w:ascii="宋体" w:hAnsi="宋体" w:eastAsia="宋体" w:cs="宋体"/>
          <w:b w:val="0"/>
          <w:color w:val="000000"/>
          <w:sz w:val="24"/>
        </w:rPr>
        <w:t>1、2、3、4、5，</w:t>
      </w:r>
      <w:r>
        <w:rPr>
          <w:rFonts w:ascii="宋体" w:hAnsi="宋体" w:eastAsia="宋体" w:cs="宋体"/>
          <w:b w:val="0"/>
          <w:color w:val="000000"/>
          <w:sz w:val="24"/>
        </w:rPr>
        <w:t>见招标文件要求。</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本项目（否）接受联合体投标。</w:t>
      </w:r>
    </w:p>
    <w:p>
      <w:pPr>
        <w:widowControl/>
        <w:spacing w:before="75" w:after="75" w:line="300" w:lineRule="atLeast"/>
        <w:jc w:val="left"/>
        <w:rPr>
          <w:rFonts w:ascii="宋体" w:hAnsi="宋体" w:eastAsia="宋体" w:cs="宋体"/>
          <w:color w:val="000000"/>
          <w:sz w:val="24"/>
        </w:rPr>
      </w:pPr>
      <w:r>
        <w:rPr>
          <w:rFonts w:hint="eastAsia" w:ascii="宋体" w:hAnsi="宋体" w:eastAsia="宋体" w:cs="宋体"/>
          <w:color w:val="000000"/>
          <w:sz w:val="24"/>
        </w:rPr>
        <w:t>二、申请人的资格要求：</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2.落实政府采购政策需满足的资格要求：无 </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3.本项目的特定资格要求：标项</w:t>
      </w:r>
      <w:r>
        <w:rPr>
          <w:rFonts w:hint="eastAsia" w:ascii="宋体" w:hAnsi="宋体" w:eastAsia="宋体" w:cs="宋体"/>
          <w:b w:val="0"/>
          <w:color w:val="000000"/>
          <w:sz w:val="24"/>
        </w:rPr>
        <w:t>1、2、3、4、5：1、投标供应商须具有《基础电信业务经营许可证》或《广播电视节目传送经营许可证》，供应商在本项目建设区域拥有整体运行、维护的自有管道光纤资源</w:t>
      </w:r>
      <w:r>
        <w:rPr>
          <w:rFonts w:ascii="宋体" w:hAnsi="宋体" w:eastAsia="宋体" w:cs="宋体"/>
          <w:b w:val="0"/>
          <w:color w:val="000000"/>
          <w:sz w:val="24"/>
        </w:rPr>
        <w:t>；</w:t>
      </w:r>
      <w:r>
        <w:rPr>
          <w:rFonts w:hint="eastAsia" w:ascii="宋体" w:hAnsi="宋体" w:eastAsia="宋体" w:cs="宋体"/>
          <w:b w:val="0"/>
          <w:color w:val="000000"/>
          <w:sz w:val="24"/>
          <w:lang w:val="en-US" w:eastAsia="zh-CN"/>
        </w:rPr>
        <w:t>2</w:t>
      </w:r>
      <w:r>
        <w:rPr>
          <w:rFonts w:hint="eastAsia" w:ascii="宋体" w:hAnsi="宋体" w:eastAsia="宋体" w:cs="宋体"/>
          <w:b w:val="0"/>
          <w:color w:val="000000"/>
          <w:sz w:val="24"/>
        </w:rPr>
        <w:t>、</w:t>
      </w:r>
      <w:r>
        <w:rPr>
          <w:rFonts w:ascii="宋体" w:hAnsi="宋体" w:eastAsia="宋体" w:cs="宋体"/>
          <w:b w:val="0"/>
          <w:color w:val="000000"/>
          <w:sz w:val="24"/>
        </w:rPr>
        <w:t>若投标</w:t>
      </w:r>
      <w:r>
        <w:rPr>
          <w:rFonts w:hint="eastAsia" w:ascii="宋体" w:hAnsi="宋体" w:eastAsia="宋体" w:cs="宋体"/>
          <w:b w:val="0"/>
          <w:color w:val="000000"/>
          <w:sz w:val="24"/>
        </w:rPr>
        <w:t>供应商</w:t>
      </w:r>
      <w:r>
        <w:rPr>
          <w:rFonts w:ascii="宋体" w:hAnsi="宋体" w:eastAsia="宋体" w:cs="宋体"/>
          <w:b w:val="0"/>
          <w:color w:val="000000"/>
          <w:sz w:val="24"/>
        </w:rPr>
        <w:t>无法人资格参与本项目投标的，须取得其总公司的书面授权，且同一法人针对本项目的书面授权只能授予其所属的一个分（支）公司</w:t>
      </w:r>
      <w:r>
        <w:rPr>
          <w:rFonts w:hint="eastAsia" w:ascii="宋体" w:hAnsi="宋体" w:eastAsia="宋体" w:cs="宋体"/>
          <w:b w:val="0"/>
          <w:color w:val="000000"/>
          <w:sz w:val="24"/>
        </w:rPr>
        <w:t>；</w:t>
      </w:r>
    </w:p>
    <w:p>
      <w:pPr>
        <w:widowControl/>
        <w:spacing w:before="255" w:after="255" w:line="300" w:lineRule="atLeast"/>
        <w:rPr>
          <w:rFonts w:ascii="宋体" w:hAnsi="宋体" w:eastAsia="宋体" w:cs="宋体"/>
          <w:b w:val="0"/>
          <w:color w:val="000000"/>
          <w:sz w:val="24"/>
        </w:rPr>
      </w:pPr>
      <w:r>
        <w:rPr>
          <w:rFonts w:hint="eastAsia" w:ascii="宋体" w:hAnsi="宋体" w:eastAsia="宋体" w:cs="宋体"/>
          <w:color w:val="000000"/>
          <w:sz w:val="24"/>
        </w:rPr>
        <w:t>三、获取招标文件</w:t>
      </w:r>
      <w:r>
        <w:rPr>
          <w:rFonts w:hint="eastAsia" w:ascii="宋体" w:hAnsi="宋体" w:eastAsia="宋体" w:cs="宋体"/>
          <w:b w:val="0"/>
          <w:color w:val="000000"/>
          <w:sz w:val="24"/>
        </w:rPr>
        <w:t> </w:t>
      </w:r>
    </w:p>
    <w:p>
      <w:pPr>
        <w:widowControl/>
        <w:spacing w:before="255" w:after="255" w:line="460" w:lineRule="atLeast"/>
        <w:ind w:firstLine="480" w:firstLineChars="200"/>
        <w:rPr>
          <w:rFonts w:ascii="宋体" w:hAnsi="宋体" w:eastAsia="宋体" w:cs="宋体"/>
          <w:b w:val="0"/>
          <w:color w:val="000000"/>
          <w:sz w:val="24"/>
        </w:rPr>
      </w:pPr>
      <w:r>
        <w:rPr>
          <w:rFonts w:ascii="宋体" w:hAnsi="宋体" w:eastAsia="宋体" w:cs="宋体"/>
          <w:b w:val="0"/>
          <w:color w:val="000000"/>
          <w:sz w:val="24"/>
        </w:rPr>
        <w:t>时间：/至202</w:t>
      </w:r>
      <w:r>
        <w:rPr>
          <w:rFonts w:hint="eastAsia" w:ascii="宋体" w:hAnsi="宋体" w:eastAsia="宋体" w:cs="宋体"/>
          <w:b w:val="0"/>
          <w:color w:val="000000"/>
          <w:sz w:val="24"/>
          <w:lang w:val="en-US" w:eastAsia="zh-CN"/>
        </w:rPr>
        <w:t>3</w:t>
      </w:r>
      <w:r>
        <w:rPr>
          <w:rFonts w:ascii="宋体" w:hAnsi="宋体" w:eastAsia="宋体" w:cs="宋体"/>
          <w:b w:val="0"/>
          <w:color w:val="000000"/>
          <w:sz w:val="24"/>
        </w:rPr>
        <w:t>年</w:t>
      </w:r>
      <w:r>
        <w:rPr>
          <w:rFonts w:hint="eastAsia" w:ascii="宋体" w:hAnsi="宋体" w:eastAsia="宋体" w:cs="宋体"/>
          <w:b w:val="0"/>
          <w:color w:val="000000"/>
          <w:sz w:val="24"/>
          <w:lang w:val="en-US" w:eastAsia="zh-CN"/>
        </w:rPr>
        <w:t>3</w:t>
      </w:r>
      <w:r>
        <w:rPr>
          <w:rFonts w:ascii="宋体" w:hAnsi="宋体" w:eastAsia="宋体" w:cs="宋体"/>
          <w:b w:val="0"/>
          <w:color w:val="000000"/>
          <w:sz w:val="24"/>
        </w:rPr>
        <w:t>月</w:t>
      </w:r>
      <w:r>
        <w:rPr>
          <w:rFonts w:hint="eastAsia" w:ascii="宋体" w:hAnsi="宋体" w:eastAsia="宋体" w:cs="宋体"/>
          <w:b w:val="0"/>
          <w:color w:val="000000"/>
          <w:sz w:val="24"/>
          <w:lang w:val="en-US" w:eastAsia="zh-CN"/>
        </w:rPr>
        <w:t>1</w:t>
      </w:r>
      <w:r>
        <w:rPr>
          <w:rFonts w:ascii="宋体" w:hAnsi="宋体" w:eastAsia="宋体" w:cs="宋体"/>
          <w:b w:val="0"/>
          <w:color w:val="000000"/>
          <w:sz w:val="24"/>
        </w:rPr>
        <w:t>日 ，每天上午00：00至12：00 ，下午12：00至23：59（北京时间，线上获取法定节假日均可，线下获取文件法定节假日除外）</w:t>
      </w:r>
    </w:p>
    <w:p>
      <w:pPr>
        <w:widowControl/>
        <w:spacing w:before="75" w:after="75" w:line="460" w:lineRule="atLeast"/>
        <w:ind w:firstLine="480" w:firstLineChars="200"/>
        <w:jc w:val="left"/>
        <w:rPr>
          <w:rFonts w:ascii="宋体" w:hAnsi="宋体" w:eastAsia="宋体" w:cs="宋体"/>
          <w:b w:val="0"/>
          <w:color w:val="000000"/>
          <w:sz w:val="24"/>
        </w:rPr>
      </w:pPr>
      <w:r>
        <w:rPr>
          <w:rFonts w:ascii="宋体" w:hAnsi="宋体" w:eastAsia="宋体" w:cs="宋体"/>
          <w:b w:val="0"/>
          <w:color w:val="000000"/>
          <w:sz w:val="24"/>
        </w:rPr>
        <w:t>地点（网址）：政采云平台 </w:t>
      </w:r>
    </w:p>
    <w:p>
      <w:pPr>
        <w:widowControl/>
        <w:spacing w:before="75" w:after="75" w:line="460" w:lineRule="atLeast"/>
        <w:ind w:firstLine="480" w:firstLineChars="200"/>
        <w:jc w:val="left"/>
        <w:rPr>
          <w:rFonts w:ascii="宋体" w:hAnsi="宋体" w:eastAsia="宋体" w:cs="宋体"/>
          <w:b w:val="0"/>
          <w:color w:val="000000"/>
          <w:sz w:val="24"/>
        </w:rPr>
      </w:pPr>
      <w:r>
        <w:rPr>
          <w:rFonts w:ascii="宋体" w:hAnsi="宋体" w:eastAsia="宋体" w:cs="宋体"/>
          <w:b w:val="0"/>
          <w:color w:val="000000"/>
          <w:sz w:val="24"/>
        </w:rPr>
        <w:t>方式：</w:t>
      </w:r>
      <w:r>
        <w:rPr>
          <w:rFonts w:hint="eastAsia" w:ascii="宋体" w:hAnsi="宋体" w:eastAsia="宋体" w:cs="宋体"/>
          <w:b w:val="0"/>
          <w:color w:val="000000"/>
          <w:sz w:val="24"/>
        </w:rPr>
        <w:t>供应商登录政采云平台</w:t>
      </w:r>
      <w:r>
        <w:rPr>
          <w:rFonts w:ascii="宋体" w:hAnsi="宋体" w:eastAsia="宋体" w:cs="宋体"/>
          <w:b w:val="0"/>
          <w:color w:val="000000"/>
          <w:sz w:val="24"/>
        </w:rPr>
        <w:t>https：//www.zcygov.cn/</w:t>
      </w:r>
      <w:r>
        <w:rPr>
          <w:rFonts w:hint="eastAsia" w:ascii="宋体" w:hAnsi="宋体" w:eastAsia="宋体" w:cs="宋体"/>
          <w:b w:val="0"/>
          <w:color w:val="000000"/>
          <w:sz w:val="24"/>
        </w:rPr>
        <w:t>在线申请获取采购文件（进入</w:t>
      </w:r>
      <w:r>
        <w:rPr>
          <w:rFonts w:hint="cs" w:ascii="宋体" w:hAnsi="宋体" w:eastAsia="宋体" w:cs="宋体"/>
          <w:b w:val="0"/>
          <w:color w:val="000000"/>
          <w:sz w:val="24"/>
          <w:cs/>
        </w:rPr>
        <w:t>“</w:t>
      </w:r>
      <w:r>
        <w:rPr>
          <w:rFonts w:hint="eastAsia" w:ascii="宋体" w:hAnsi="宋体" w:eastAsia="宋体" w:cs="宋体"/>
          <w:b w:val="0"/>
          <w:color w:val="000000"/>
          <w:sz w:val="24"/>
        </w:rPr>
        <w:t>项目采购</w:t>
      </w:r>
      <w:r>
        <w:rPr>
          <w:rFonts w:hint="cs" w:ascii="宋体" w:hAnsi="宋体" w:eastAsia="宋体" w:cs="宋体"/>
          <w:b w:val="0"/>
          <w:color w:val="000000"/>
          <w:sz w:val="24"/>
          <w:cs/>
        </w:rPr>
        <w:t>”</w:t>
      </w:r>
      <w:r>
        <w:rPr>
          <w:rFonts w:hint="eastAsia" w:ascii="宋体" w:hAnsi="宋体" w:eastAsia="宋体" w:cs="宋体"/>
          <w:b w:val="0"/>
          <w:color w:val="000000"/>
          <w:sz w:val="24"/>
        </w:rPr>
        <w:t>应用，在获取采购文件菜单中选择项目，申请获取采购文件）；（备注：</w:t>
      </w:r>
      <w:r>
        <w:rPr>
          <w:rFonts w:ascii="宋体" w:hAnsi="宋体" w:eastAsia="宋体" w:cs="宋体"/>
          <w:b w:val="0"/>
          <w:color w:val="000000"/>
          <w:sz w:val="24"/>
        </w:rPr>
        <w:t>1</w:t>
      </w:r>
      <w:r>
        <w:rPr>
          <w:rFonts w:hint="eastAsia" w:ascii="宋体" w:hAnsi="宋体" w:eastAsia="宋体" w:cs="宋体"/>
          <w:b w:val="0"/>
          <w:color w:val="000000"/>
          <w:sz w:val="24"/>
        </w:rPr>
        <w:t>、本项目招标文件实行</w:t>
      </w:r>
      <w:r>
        <w:rPr>
          <w:rFonts w:hint="cs" w:ascii="宋体" w:hAnsi="宋体" w:eastAsia="宋体" w:cs="宋体"/>
          <w:b w:val="0"/>
          <w:color w:val="000000"/>
          <w:sz w:val="24"/>
          <w:cs/>
        </w:rPr>
        <w:t>“</w:t>
      </w:r>
      <w:r>
        <w:rPr>
          <w:rFonts w:hint="eastAsia" w:ascii="宋体" w:hAnsi="宋体" w:eastAsia="宋体" w:cs="宋体"/>
          <w:b w:val="0"/>
          <w:color w:val="000000"/>
          <w:sz w:val="24"/>
        </w:rPr>
        <w:t>政府采购云平台</w:t>
      </w:r>
      <w:r>
        <w:rPr>
          <w:rFonts w:hint="cs" w:ascii="宋体" w:hAnsi="宋体" w:eastAsia="宋体" w:cs="宋体"/>
          <w:b w:val="0"/>
          <w:color w:val="000000"/>
          <w:sz w:val="24"/>
          <w:cs/>
        </w:rPr>
        <w:t>”</w:t>
      </w:r>
      <w:r>
        <w:rPr>
          <w:rFonts w:hint="eastAsia" w:ascii="宋体" w:hAnsi="宋体" w:eastAsia="宋体" w:cs="宋体"/>
          <w:b w:val="0"/>
          <w:color w:val="000000"/>
          <w:sz w:val="24"/>
        </w:rPr>
        <w:t>在线获取，不提供招标文件纸质版。潜在供应商获取招标文件前应先完成</w:t>
      </w:r>
      <w:r>
        <w:rPr>
          <w:rFonts w:hint="cs" w:ascii="宋体" w:hAnsi="宋体" w:eastAsia="宋体" w:cs="宋体"/>
          <w:b w:val="0"/>
          <w:color w:val="000000"/>
          <w:sz w:val="24"/>
          <w:cs/>
        </w:rPr>
        <w:t>“</w:t>
      </w:r>
      <w:r>
        <w:rPr>
          <w:rFonts w:hint="eastAsia" w:ascii="宋体" w:hAnsi="宋体" w:eastAsia="宋体" w:cs="宋体"/>
          <w:b w:val="0"/>
          <w:color w:val="000000"/>
          <w:sz w:val="24"/>
        </w:rPr>
        <w:t>政府采购云平台</w:t>
      </w:r>
      <w:r>
        <w:rPr>
          <w:rFonts w:hint="cs" w:ascii="宋体" w:hAnsi="宋体" w:eastAsia="宋体" w:cs="宋体"/>
          <w:b w:val="0"/>
          <w:color w:val="000000"/>
          <w:sz w:val="24"/>
          <w:cs/>
        </w:rPr>
        <w:t>”</w:t>
      </w:r>
      <w:r>
        <w:rPr>
          <w:rFonts w:hint="eastAsia" w:ascii="宋体" w:hAnsi="宋体" w:eastAsia="宋体" w:cs="宋体"/>
          <w:b w:val="0"/>
          <w:color w:val="000000"/>
          <w:sz w:val="24"/>
        </w:rPr>
        <w:t>的账号注册；本项目招标文件不收取工本费；仅需浏览招标文件的供应商可点击</w:t>
      </w:r>
      <w:r>
        <w:rPr>
          <w:rFonts w:hint="cs" w:ascii="宋体" w:hAnsi="宋体" w:eastAsia="宋体" w:cs="宋体"/>
          <w:b w:val="0"/>
          <w:color w:val="000000"/>
          <w:sz w:val="24"/>
          <w:cs/>
        </w:rPr>
        <w:t>“</w:t>
      </w:r>
      <w:r>
        <w:rPr>
          <w:rFonts w:hint="eastAsia" w:ascii="宋体" w:hAnsi="宋体" w:eastAsia="宋体" w:cs="宋体"/>
          <w:b w:val="0"/>
          <w:color w:val="000000"/>
          <w:sz w:val="24"/>
        </w:rPr>
        <w:t>游客，浏览采购文件</w:t>
      </w:r>
      <w:r>
        <w:rPr>
          <w:rFonts w:hint="cs" w:ascii="宋体" w:hAnsi="宋体" w:eastAsia="宋体" w:cs="宋体"/>
          <w:b w:val="0"/>
          <w:color w:val="000000"/>
          <w:sz w:val="24"/>
          <w:cs/>
        </w:rPr>
        <w:t>”</w:t>
      </w:r>
      <w:r>
        <w:rPr>
          <w:rFonts w:hint="eastAsia" w:ascii="宋体" w:hAnsi="宋体" w:eastAsia="宋体" w:cs="宋体"/>
          <w:b w:val="0"/>
          <w:color w:val="000000"/>
          <w:sz w:val="24"/>
        </w:rPr>
        <w:t>直接下载招标文件浏览。</w:t>
      </w:r>
      <w:r>
        <w:rPr>
          <w:rFonts w:ascii="宋体" w:hAnsi="宋体" w:eastAsia="宋体" w:cs="宋体"/>
          <w:b w:val="0"/>
          <w:color w:val="000000"/>
          <w:sz w:val="24"/>
        </w:rPr>
        <w:t>2</w:t>
      </w:r>
      <w:r>
        <w:rPr>
          <w:rFonts w:hint="eastAsia" w:ascii="宋体" w:hAnsi="宋体" w:eastAsia="宋体" w:cs="宋体"/>
          <w:b w:val="0"/>
          <w:color w:val="000000"/>
          <w:sz w:val="24"/>
        </w:rPr>
        <w:t>、潜在供应商应当按照公告规定的方式获取招标文件，未按照公告规定的方式获取招标文件的，针对招标文件的质疑不予受理。）</w:t>
      </w:r>
    </w:p>
    <w:p>
      <w:pPr>
        <w:widowControl/>
        <w:spacing w:before="75" w:after="75" w:line="460" w:lineRule="atLeast"/>
        <w:ind w:firstLine="480" w:firstLineChars="200"/>
        <w:jc w:val="left"/>
        <w:rPr>
          <w:rFonts w:ascii="宋体" w:hAnsi="宋体" w:eastAsia="宋体" w:cs="宋体"/>
          <w:b w:val="0"/>
          <w:color w:val="000000"/>
          <w:sz w:val="24"/>
        </w:rPr>
      </w:pPr>
      <w:r>
        <w:rPr>
          <w:rFonts w:ascii="宋体" w:hAnsi="宋体" w:eastAsia="宋体" w:cs="宋体"/>
          <w:b w:val="0"/>
          <w:color w:val="000000"/>
          <w:sz w:val="24"/>
        </w:rPr>
        <w:t>售价（元）：0</w:t>
      </w:r>
    </w:p>
    <w:p>
      <w:pPr>
        <w:widowControl/>
        <w:spacing w:before="255" w:after="255" w:line="300" w:lineRule="atLeast"/>
        <w:rPr>
          <w:rFonts w:ascii="宋体" w:hAnsi="宋体" w:eastAsia="宋体" w:cs="宋体"/>
          <w:b w:val="0"/>
          <w:color w:val="000000"/>
          <w:sz w:val="24"/>
        </w:rPr>
      </w:pPr>
      <w:r>
        <w:rPr>
          <w:rFonts w:hint="eastAsia" w:ascii="宋体" w:hAnsi="宋体" w:eastAsia="宋体" w:cs="宋体"/>
          <w:color w:val="000000"/>
          <w:sz w:val="24"/>
        </w:rPr>
        <w:t>四、提交投标文件截止时间、开标时间和地点</w:t>
      </w:r>
    </w:p>
    <w:p>
      <w:pPr>
        <w:widowControl/>
        <w:spacing w:before="75" w:after="75" w:line="460" w:lineRule="atLeast"/>
        <w:ind w:firstLine="480" w:firstLineChars="200"/>
        <w:jc w:val="left"/>
        <w:rPr>
          <w:rFonts w:ascii="宋体" w:hAnsi="宋体" w:eastAsia="宋体" w:cs="宋体"/>
          <w:b w:val="0"/>
          <w:color w:val="000000"/>
          <w:sz w:val="24"/>
        </w:rPr>
      </w:pPr>
      <w:r>
        <w:rPr>
          <w:rFonts w:ascii="宋体" w:hAnsi="宋体" w:eastAsia="宋体" w:cs="宋体"/>
          <w:b w:val="0"/>
          <w:color w:val="000000"/>
          <w:sz w:val="24"/>
        </w:rPr>
        <w:t>提交投标文件截止时间：202</w:t>
      </w:r>
      <w:r>
        <w:rPr>
          <w:rFonts w:hint="eastAsia" w:ascii="宋体" w:hAnsi="宋体" w:eastAsia="宋体" w:cs="宋体"/>
          <w:b w:val="0"/>
          <w:color w:val="000000"/>
          <w:sz w:val="24"/>
          <w:lang w:val="en-US" w:eastAsia="zh-CN"/>
        </w:rPr>
        <w:t>3</w:t>
      </w:r>
      <w:r>
        <w:rPr>
          <w:rFonts w:ascii="宋体" w:hAnsi="宋体" w:eastAsia="宋体" w:cs="宋体"/>
          <w:b w:val="0"/>
          <w:color w:val="000000"/>
          <w:sz w:val="24"/>
        </w:rPr>
        <w:t>年</w:t>
      </w:r>
      <w:r>
        <w:rPr>
          <w:rFonts w:hint="eastAsia" w:ascii="宋体" w:hAnsi="宋体" w:eastAsia="宋体" w:cs="宋体"/>
          <w:b w:val="0"/>
          <w:color w:val="000000"/>
          <w:sz w:val="24"/>
          <w:lang w:val="en-US" w:eastAsia="zh-CN"/>
        </w:rPr>
        <w:t>3</w:t>
      </w:r>
      <w:r>
        <w:rPr>
          <w:rFonts w:ascii="宋体" w:hAnsi="宋体" w:eastAsia="宋体" w:cs="宋体"/>
          <w:b w:val="0"/>
          <w:color w:val="000000"/>
          <w:sz w:val="24"/>
        </w:rPr>
        <w:t>月</w:t>
      </w:r>
      <w:r>
        <w:rPr>
          <w:rFonts w:hint="eastAsia" w:ascii="宋体" w:hAnsi="宋体" w:eastAsia="宋体" w:cs="宋体"/>
          <w:b w:val="0"/>
          <w:color w:val="000000"/>
          <w:sz w:val="24"/>
          <w:lang w:val="en-US" w:eastAsia="zh-CN"/>
        </w:rPr>
        <w:t>1</w:t>
      </w:r>
      <w:r>
        <w:rPr>
          <w:rFonts w:ascii="宋体" w:hAnsi="宋体" w:eastAsia="宋体" w:cs="宋体"/>
          <w:b w:val="0"/>
          <w:color w:val="000000"/>
          <w:sz w:val="24"/>
        </w:rPr>
        <w:t>日 09：30（北京时间）</w:t>
      </w:r>
    </w:p>
    <w:p>
      <w:pPr>
        <w:widowControl/>
        <w:spacing w:before="75" w:after="75" w:line="460" w:lineRule="atLeast"/>
        <w:ind w:firstLine="480" w:firstLineChars="200"/>
        <w:jc w:val="left"/>
        <w:rPr>
          <w:rFonts w:ascii="宋体" w:hAnsi="宋体" w:eastAsia="宋体" w:cs="宋体"/>
          <w:b w:val="0"/>
          <w:color w:val="000000"/>
          <w:sz w:val="24"/>
        </w:rPr>
      </w:pPr>
      <w:r>
        <w:rPr>
          <w:rFonts w:ascii="宋体" w:hAnsi="宋体" w:eastAsia="宋体" w:cs="宋体"/>
          <w:b w:val="0"/>
          <w:color w:val="000000"/>
          <w:sz w:val="24"/>
        </w:rPr>
        <w:t>投标地点（网址）：通过政采云平台在线投标</w:t>
      </w:r>
    </w:p>
    <w:p>
      <w:pPr>
        <w:widowControl/>
        <w:spacing w:before="75" w:after="75" w:line="460" w:lineRule="atLeast"/>
        <w:ind w:firstLine="480" w:firstLineChars="200"/>
        <w:jc w:val="left"/>
        <w:rPr>
          <w:rFonts w:ascii="宋体" w:hAnsi="宋体" w:eastAsia="宋体" w:cs="宋体"/>
          <w:b w:val="0"/>
          <w:color w:val="000000"/>
          <w:sz w:val="24"/>
        </w:rPr>
      </w:pPr>
      <w:r>
        <w:rPr>
          <w:rFonts w:ascii="宋体" w:hAnsi="宋体" w:eastAsia="宋体" w:cs="宋体"/>
          <w:b w:val="0"/>
          <w:color w:val="000000"/>
          <w:sz w:val="24"/>
        </w:rPr>
        <w:t>开标时间：202</w:t>
      </w:r>
      <w:r>
        <w:rPr>
          <w:rFonts w:hint="eastAsia" w:ascii="宋体" w:hAnsi="宋体" w:eastAsia="宋体" w:cs="宋体"/>
          <w:b w:val="0"/>
          <w:color w:val="000000"/>
          <w:sz w:val="24"/>
          <w:lang w:val="en-US" w:eastAsia="zh-CN"/>
        </w:rPr>
        <w:t>3</w:t>
      </w:r>
      <w:r>
        <w:rPr>
          <w:rFonts w:ascii="宋体" w:hAnsi="宋体" w:eastAsia="宋体" w:cs="宋体"/>
          <w:b w:val="0"/>
          <w:color w:val="000000"/>
          <w:sz w:val="24"/>
        </w:rPr>
        <w:t>年</w:t>
      </w:r>
      <w:r>
        <w:rPr>
          <w:rFonts w:hint="eastAsia" w:ascii="宋体" w:hAnsi="宋体" w:eastAsia="宋体" w:cs="宋体"/>
          <w:b w:val="0"/>
          <w:color w:val="000000"/>
          <w:sz w:val="24"/>
          <w:lang w:val="en-US" w:eastAsia="zh-CN"/>
        </w:rPr>
        <w:t>3</w:t>
      </w:r>
      <w:r>
        <w:rPr>
          <w:rFonts w:ascii="宋体" w:hAnsi="宋体" w:eastAsia="宋体" w:cs="宋体"/>
          <w:b w:val="0"/>
          <w:color w:val="000000"/>
          <w:sz w:val="24"/>
        </w:rPr>
        <w:t>月</w:t>
      </w:r>
      <w:r>
        <w:rPr>
          <w:rFonts w:hint="eastAsia" w:ascii="宋体" w:hAnsi="宋体" w:eastAsia="宋体" w:cs="宋体"/>
          <w:b w:val="0"/>
          <w:color w:val="000000"/>
          <w:sz w:val="24"/>
          <w:lang w:val="en-US" w:eastAsia="zh-CN"/>
        </w:rPr>
        <w:t>1</w:t>
      </w:r>
      <w:r>
        <w:rPr>
          <w:rFonts w:ascii="宋体" w:hAnsi="宋体" w:eastAsia="宋体" w:cs="宋体"/>
          <w:b w:val="0"/>
          <w:color w:val="000000"/>
          <w:sz w:val="24"/>
        </w:rPr>
        <w:t>日 09：30</w:t>
      </w:r>
    </w:p>
    <w:p>
      <w:pPr>
        <w:widowControl/>
        <w:spacing w:before="75" w:after="75" w:line="460" w:lineRule="atLeast"/>
        <w:ind w:firstLine="480" w:firstLineChars="200"/>
        <w:jc w:val="left"/>
        <w:rPr>
          <w:rFonts w:ascii="宋体" w:hAnsi="宋体" w:eastAsia="宋体" w:cs="宋体"/>
          <w:b w:val="0"/>
          <w:color w:val="000000"/>
          <w:sz w:val="24"/>
        </w:rPr>
      </w:pPr>
      <w:r>
        <w:rPr>
          <w:rFonts w:ascii="宋体" w:hAnsi="宋体" w:eastAsia="宋体" w:cs="宋体"/>
          <w:b w:val="0"/>
          <w:color w:val="000000"/>
          <w:sz w:val="24"/>
        </w:rPr>
        <w:t>开标地点（网址）：浙江省乐清市公共资源交易中心</w:t>
      </w:r>
    </w:p>
    <w:p>
      <w:pPr>
        <w:widowControl/>
        <w:spacing w:before="255" w:after="255" w:line="300" w:lineRule="atLeast"/>
        <w:rPr>
          <w:rFonts w:ascii="宋体" w:hAnsi="宋体" w:eastAsia="宋体" w:cs="宋体"/>
          <w:b w:val="0"/>
          <w:color w:val="000000"/>
          <w:sz w:val="24"/>
        </w:rPr>
      </w:pPr>
      <w:r>
        <w:rPr>
          <w:rFonts w:hint="eastAsia" w:ascii="宋体" w:hAnsi="宋体" w:eastAsia="宋体" w:cs="宋体"/>
          <w:color w:val="000000"/>
          <w:sz w:val="24"/>
        </w:rPr>
        <w:t>五、公告期限</w:t>
      </w:r>
      <w:r>
        <w:rPr>
          <w:rFonts w:hint="eastAsia" w:ascii="宋体" w:hAnsi="宋体" w:eastAsia="宋体" w:cs="宋体"/>
          <w:b w:val="0"/>
          <w:color w:val="000000"/>
          <w:sz w:val="24"/>
        </w:rPr>
        <w:t> </w:t>
      </w:r>
    </w:p>
    <w:p>
      <w:pPr>
        <w:widowControl/>
        <w:spacing w:before="75" w:after="75" w:line="460" w:lineRule="exact"/>
        <w:ind w:firstLine="480" w:firstLineChars="200"/>
        <w:jc w:val="left"/>
        <w:rPr>
          <w:rFonts w:ascii="宋体" w:hAnsi="宋体" w:eastAsia="宋体" w:cs="Arial"/>
          <w:b w:val="0"/>
          <w:color w:val="000000"/>
          <w:sz w:val="24"/>
        </w:rPr>
      </w:pPr>
      <w:r>
        <w:rPr>
          <w:rFonts w:ascii="宋体" w:hAnsi="宋体" w:eastAsia="宋体" w:cs="Arial"/>
          <w:b w:val="0"/>
          <w:color w:val="000000"/>
          <w:sz w:val="24"/>
        </w:rPr>
        <w:t>自本公告发布之日起5个工作日。</w:t>
      </w:r>
    </w:p>
    <w:p>
      <w:pPr>
        <w:widowControl/>
        <w:spacing w:before="255" w:after="255" w:line="300" w:lineRule="atLeast"/>
        <w:rPr>
          <w:rFonts w:ascii="宋体" w:hAnsi="宋体" w:eastAsia="宋体" w:cs="宋体"/>
          <w:b w:val="0"/>
          <w:color w:val="000000"/>
          <w:sz w:val="24"/>
        </w:rPr>
      </w:pPr>
      <w:r>
        <w:rPr>
          <w:rFonts w:hint="eastAsia" w:ascii="宋体" w:hAnsi="宋体" w:eastAsia="宋体" w:cs="宋体"/>
          <w:color w:val="000000"/>
          <w:sz w:val="24"/>
        </w:rPr>
        <w:t>六、其他补充事宜</w:t>
      </w:r>
    </w:p>
    <w:p>
      <w:pPr>
        <w:spacing w:line="46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6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spacing w:line="460" w:lineRule="exact"/>
        <w:ind w:firstLine="480" w:firstLineChars="200"/>
        <w:rPr>
          <w:rFonts w:hint="eastAsia" w:ascii="宋体" w:hAnsi="宋体" w:eastAsia="宋体"/>
          <w:b w:val="0"/>
          <w:color w:val="000000"/>
          <w:sz w:val="24"/>
          <w:szCs w:val="24"/>
        </w:rPr>
      </w:pPr>
      <w:r>
        <w:rPr>
          <w:rFonts w:ascii="宋体" w:hAnsi="宋体" w:eastAsia="宋体"/>
          <w:b w:val="0"/>
          <w:color w:val="000000"/>
          <w:sz w:val="24"/>
          <w:szCs w:val="24"/>
        </w:rPr>
        <w:t>3.其他事项：</w:t>
      </w:r>
      <w:r>
        <w:rPr>
          <w:rFonts w:hint="eastAsia" w:ascii="宋体" w:hAnsi="宋体" w:eastAsia="宋体"/>
          <w:b w:val="0"/>
          <w:color w:val="000000"/>
          <w:sz w:val="24"/>
          <w:szCs w:val="24"/>
        </w:rPr>
        <w:t>1、质疑投诉：供应商认为招标文件使自己的权益受到损害的，可以自获取招标文件之日或者招标文件公告期限届满之日（公告期限届满后获取招标文件的，以公告期限届满之日为准）起</w:t>
      </w:r>
      <w:r>
        <w:rPr>
          <w:rFonts w:ascii="宋体" w:hAnsi="宋体" w:eastAsia="宋体"/>
          <w:b w:val="0"/>
          <w:color w:val="000000"/>
          <w:sz w:val="24"/>
          <w:szCs w:val="24"/>
        </w:rPr>
        <w:t>7</w:t>
      </w:r>
      <w:r>
        <w:rPr>
          <w:rFonts w:hint="eastAsia" w:ascii="宋体" w:hAnsi="宋体" w:eastAsia="宋体"/>
          <w:b w:val="0"/>
          <w:color w:val="000000"/>
          <w:sz w:val="24"/>
          <w:szCs w:val="24"/>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line="460" w:lineRule="atLeast"/>
        <w:ind w:firstLine="480" w:firstLineChars="200"/>
        <w:jc w:val="left"/>
        <w:rPr>
          <w:rFonts w:ascii="宋体" w:hAnsi="宋体" w:eastAsia="宋体" w:cs="Arial"/>
          <w:b w:val="0"/>
          <w:color w:val="000000"/>
          <w:sz w:val="24"/>
          <w:szCs w:val="24"/>
        </w:rPr>
      </w:pPr>
      <w:r>
        <w:rPr>
          <w:rFonts w:hint="eastAsia" w:ascii="宋体" w:hAnsi="宋体" w:eastAsia="宋体"/>
          <w:b w:val="0"/>
          <w:color w:val="000000"/>
          <w:sz w:val="24"/>
          <w:szCs w:val="24"/>
        </w:rPr>
        <w:t>2、</w:t>
      </w:r>
      <w:r>
        <w:rPr>
          <w:rFonts w:ascii="宋体" w:hAnsi="宋体" w:eastAsia="宋体"/>
          <w:b w:val="0"/>
          <w:color w:val="000000"/>
          <w:sz w:val="24"/>
          <w:szCs w:val="24"/>
        </w:rPr>
        <w:t>在线投标响应（电子投标）说明：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通过“政府采购云平台”参与在线投标时如遇平台技术问题详询400-881-7190。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3、投标供应商应当在投标截</w:t>
      </w:r>
      <w:r>
        <w:rPr>
          <w:rFonts w:hint="eastAsia" w:ascii="宋体" w:hAnsi="宋体" w:eastAsia="宋体"/>
          <w:b w:val="0"/>
          <w:color w:val="000000"/>
          <w:sz w:val="24"/>
          <w:szCs w:val="24"/>
        </w:rPr>
        <w:t>止时间前，将生成的“电子加密投标文件”上传递交至“政府采购云平台”。投标截止时间以后上传递交的投标文件将被“政府采购云平台”拒收。</w:t>
      </w:r>
      <w:r>
        <w:rPr>
          <w:rFonts w:ascii="宋体" w:hAnsi="宋体" w:eastAsia="宋体"/>
          <w:b w:val="0"/>
          <w:color w:val="000000"/>
          <w:sz w:val="24"/>
          <w:szCs w:val="24"/>
        </w:rPr>
        <w:t>4、通过“政府采购云平台”成功上传递交的“电子加密投标文件”无法按时解密的，其投标文件按拒收处理。</w:t>
      </w:r>
    </w:p>
    <w:p>
      <w:pPr>
        <w:widowControl/>
        <w:spacing w:before="255" w:after="255" w:line="480" w:lineRule="atLeast"/>
        <w:rPr>
          <w:rFonts w:ascii="宋体" w:hAnsi="宋体" w:eastAsia="宋体" w:cs="宋体"/>
          <w:b w:val="0"/>
          <w:color w:val="000000"/>
          <w:sz w:val="24"/>
        </w:rPr>
      </w:pPr>
      <w:r>
        <w:rPr>
          <w:rFonts w:hint="eastAsia" w:ascii="宋体" w:hAnsi="宋体" w:eastAsia="宋体" w:cs="宋体"/>
          <w:color w:val="000000"/>
          <w:sz w:val="24"/>
        </w:rPr>
        <w:t>七、对本次采购提出询问、质疑、投诉，请按以下方式联系</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1.采购人信息</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名    称：乐清市公安局</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地    址：浙江省乐清市</w:t>
      </w:r>
      <w:r>
        <w:rPr>
          <w:rFonts w:hint="eastAsia" w:ascii="宋体" w:hAnsi="宋体" w:eastAsia="宋体" w:cs="宋体"/>
          <w:b w:val="0"/>
          <w:color w:val="000000"/>
          <w:sz w:val="24"/>
        </w:rPr>
        <w:t>良港东路</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xml:space="preserve">    传  </w:t>
      </w:r>
      <w:r>
        <w:rPr>
          <w:rFonts w:hint="eastAsia" w:ascii="宋体" w:hAnsi="宋体" w:eastAsia="宋体" w:cs="宋体"/>
          <w:b w:val="0"/>
          <w:color w:val="000000"/>
          <w:sz w:val="24"/>
        </w:rPr>
        <w:t xml:space="preserve"> </w:t>
      </w:r>
      <w:r>
        <w:rPr>
          <w:rFonts w:ascii="宋体" w:hAnsi="宋体" w:eastAsia="宋体" w:cs="宋体"/>
          <w:b w:val="0"/>
          <w:color w:val="000000"/>
          <w:sz w:val="24"/>
        </w:rPr>
        <w:t>  真：/  </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项目联系人（询问）：</w:t>
      </w:r>
      <w:r>
        <w:rPr>
          <w:rFonts w:hint="eastAsia" w:ascii="宋体" w:hAnsi="宋体" w:eastAsia="宋体" w:cs="宋体"/>
          <w:b w:val="0"/>
          <w:color w:val="000000"/>
          <w:sz w:val="24"/>
        </w:rPr>
        <w:t>杨先生</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项目联系方式（询问）：13968702536</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质疑联系人：</w:t>
      </w:r>
      <w:r>
        <w:rPr>
          <w:rFonts w:hint="eastAsia" w:ascii="宋体" w:hAnsi="宋体" w:eastAsia="宋体" w:cs="宋体"/>
          <w:b w:val="0"/>
          <w:color w:val="000000"/>
          <w:sz w:val="24"/>
        </w:rPr>
        <w:t>杨先生</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质疑联系方式：13968702536</w:t>
      </w:r>
    </w:p>
    <w:p>
      <w:pPr>
        <w:widowControl/>
        <w:spacing w:before="75" w:after="75" w:line="460" w:lineRule="atLeast"/>
        <w:ind w:firstLine="720"/>
        <w:jc w:val="left"/>
        <w:rPr>
          <w:rFonts w:ascii="宋体" w:hAnsi="宋体" w:eastAsia="宋体" w:cs="宋体"/>
          <w:b w:val="0"/>
          <w:color w:val="000000"/>
          <w:sz w:val="24"/>
        </w:rPr>
      </w:pPr>
      <w:r>
        <w:rPr>
          <w:rFonts w:ascii="宋体" w:hAnsi="宋体" w:eastAsia="宋体" w:cs="宋体"/>
          <w:b w:val="0"/>
          <w:color w:val="000000"/>
          <w:sz w:val="24"/>
        </w:rPr>
        <w:t>2.采购代理机构信息</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名    称：乐清市公共资源交易中心</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地    址：浙江省乐清市市府路1号乐清市公共资源交易中心四楼A07</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xml:space="preserve">    传  </w:t>
      </w:r>
      <w:r>
        <w:rPr>
          <w:rFonts w:hint="eastAsia" w:ascii="宋体" w:hAnsi="宋体" w:eastAsia="宋体" w:cs="宋体"/>
          <w:b w:val="0"/>
          <w:color w:val="000000"/>
          <w:sz w:val="24"/>
        </w:rPr>
        <w:t xml:space="preserve"> </w:t>
      </w:r>
      <w:r>
        <w:rPr>
          <w:rFonts w:ascii="宋体" w:hAnsi="宋体" w:eastAsia="宋体" w:cs="宋体"/>
          <w:b w:val="0"/>
          <w:color w:val="000000"/>
          <w:sz w:val="24"/>
        </w:rPr>
        <w:t>  真：0577-61882627</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项目联系人（询问）：</w:t>
      </w:r>
      <w:r>
        <w:rPr>
          <w:rFonts w:hint="eastAsia" w:ascii="宋体" w:hAnsi="宋体" w:eastAsia="宋体" w:cs="宋体"/>
          <w:b w:val="0"/>
          <w:color w:val="000000"/>
          <w:sz w:val="24"/>
          <w:lang w:val="en-US" w:eastAsia="zh-CN"/>
        </w:rPr>
        <w:t>方</w:t>
      </w:r>
      <w:r>
        <w:rPr>
          <w:rFonts w:ascii="宋体" w:hAnsi="宋体" w:eastAsia="宋体" w:cs="宋体"/>
          <w:b w:val="0"/>
          <w:color w:val="000000"/>
          <w:sz w:val="24"/>
        </w:rPr>
        <w:t>女士</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项目联系方式（询问）：0577-618826</w:t>
      </w:r>
      <w:r>
        <w:rPr>
          <w:rFonts w:hint="eastAsia" w:ascii="宋体" w:hAnsi="宋体" w:eastAsia="宋体" w:cs="宋体"/>
          <w:b w:val="0"/>
          <w:color w:val="000000"/>
          <w:sz w:val="24"/>
        </w:rPr>
        <w:t>30</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质疑联系人：</w:t>
      </w:r>
      <w:r>
        <w:rPr>
          <w:rFonts w:hint="eastAsia" w:ascii="宋体" w:hAnsi="宋体" w:eastAsia="宋体" w:cs="宋体"/>
          <w:b w:val="0"/>
          <w:color w:val="000000"/>
          <w:sz w:val="24"/>
          <w:lang w:eastAsia="zh-CN"/>
        </w:rPr>
        <w:t>张</w:t>
      </w:r>
      <w:r>
        <w:rPr>
          <w:rFonts w:hint="eastAsia" w:ascii="宋体" w:hAnsi="宋体" w:eastAsia="宋体" w:cs="宋体"/>
          <w:b w:val="0"/>
          <w:color w:val="000000"/>
          <w:sz w:val="24"/>
        </w:rPr>
        <w:t>女士</w:t>
      </w:r>
      <w:r>
        <w:rPr>
          <w:rFonts w:ascii="宋体" w:hAnsi="宋体" w:eastAsia="宋体" w:cs="宋体"/>
          <w:b w:val="0"/>
          <w:color w:val="000000"/>
          <w:sz w:val="24"/>
        </w:rPr>
        <w:t>             </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质疑联系方式：0577-618826</w:t>
      </w:r>
      <w:r>
        <w:rPr>
          <w:rFonts w:hint="eastAsia" w:ascii="宋体" w:hAnsi="宋体" w:eastAsia="宋体" w:cs="宋体"/>
          <w:b w:val="0"/>
          <w:color w:val="000000"/>
          <w:sz w:val="24"/>
        </w:rPr>
        <w:t xml:space="preserve">30 </w:t>
      </w:r>
      <w:r>
        <w:rPr>
          <w:rFonts w:ascii="宋体" w:hAnsi="宋体" w:eastAsia="宋体" w:cs="宋体"/>
          <w:b w:val="0"/>
          <w:color w:val="000000"/>
          <w:sz w:val="24"/>
        </w:rPr>
        <w:t>       </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3.同级政府采购监督管理部门            </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名    称：乐清市财政局政府采购监管科             </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地    址：乐清市伯乐东路501号             </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xml:space="preserve">    传  </w:t>
      </w:r>
      <w:r>
        <w:rPr>
          <w:rFonts w:hint="eastAsia" w:ascii="宋体" w:hAnsi="宋体" w:eastAsia="宋体" w:cs="宋体"/>
          <w:b w:val="0"/>
          <w:color w:val="000000"/>
          <w:sz w:val="24"/>
        </w:rPr>
        <w:t xml:space="preserve"> </w:t>
      </w:r>
      <w:r>
        <w:rPr>
          <w:rFonts w:ascii="宋体" w:hAnsi="宋体" w:eastAsia="宋体" w:cs="宋体"/>
          <w:b w:val="0"/>
          <w:color w:val="000000"/>
          <w:sz w:val="24"/>
        </w:rPr>
        <w:t>  真：/             </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联</w:t>
      </w:r>
      <w:r>
        <w:rPr>
          <w:rFonts w:hint="eastAsia" w:ascii="宋体" w:hAnsi="宋体" w:eastAsia="宋体" w:cs="宋体"/>
          <w:b w:val="0"/>
          <w:color w:val="000000"/>
          <w:sz w:val="24"/>
        </w:rPr>
        <w:t xml:space="preserve">   </w:t>
      </w:r>
      <w:r>
        <w:rPr>
          <w:rFonts w:ascii="宋体" w:hAnsi="宋体" w:eastAsia="宋体" w:cs="宋体"/>
          <w:b w:val="0"/>
          <w:color w:val="000000"/>
          <w:sz w:val="24"/>
        </w:rPr>
        <w:t>系</w:t>
      </w:r>
      <w:r>
        <w:rPr>
          <w:rFonts w:hint="eastAsia" w:ascii="宋体" w:hAnsi="宋体" w:eastAsia="宋体" w:cs="宋体"/>
          <w:b w:val="0"/>
          <w:color w:val="000000"/>
          <w:sz w:val="24"/>
        </w:rPr>
        <w:t xml:space="preserve">  </w:t>
      </w:r>
      <w:r>
        <w:rPr>
          <w:rFonts w:ascii="宋体" w:hAnsi="宋体" w:eastAsia="宋体" w:cs="宋体"/>
          <w:b w:val="0"/>
          <w:color w:val="000000"/>
          <w:sz w:val="24"/>
        </w:rPr>
        <w:t>人：陈先生             </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监督投诉电话：0577-61568287          </w:t>
      </w:r>
    </w:p>
    <w:p>
      <w:pPr>
        <w:widowControl/>
        <w:spacing w:before="75" w:after="75" w:line="460" w:lineRule="atLeast"/>
        <w:jc w:val="left"/>
        <w:rPr>
          <w:rFonts w:ascii="宋体" w:hAnsi="宋体" w:eastAsia="宋体" w:cs="宋体"/>
          <w:b w:val="0"/>
          <w:color w:val="000000"/>
          <w:sz w:val="24"/>
        </w:rPr>
      </w:pPr>
      <w:r>
        <w:rPr>
          <w:rFonts w:ascii="宋体" w:hAnsi="宋体" w:eastAsia="宋体" w:cs="宋体"/>
          <w:b w:val="0"/>
          <w:color w:val="000000"/>
          <w:sz w:val="24"/>
        </w:rPr>
        <w:t>         </w:t>
      </w:r>
    </w:p>
    <w:p>
      <w:pPr>
        <w:spacing w:line="460" w:lineRule="exact"/>
        <w:ind w:firstLine="440" w:firstLineChars="200"/>
        <w:rPr>
          <w:rFonts w:ascii="宋体" w:hAnsi="宋体" w:eastAsia="宋体"/>
          <w:b w:val="0"/>
          <w:color w:val="000000"/>
          <w:sz w:val="22"/>
        </w:rPr>
      </w:pPr>
    </w:p>
    <w:p>
      <w:pPr>
        <w:autoSpaceDE w:val="0"/>
        <w:autoSpaceDN w:val="0"/>
        <w:spacing w:line="460" w:lineRule="atLeast"/>
        <w:jc w:val="center"/>
        <w:rPr>
          <w:rFonts w:ascii="宋体" w:hAnsi="宋体" w:eastAsia="宋体"/>
          <w:b w:val="0"/>
          <w:color w:val="000000"/>
          <w:sz w:val="36"/>
          <w:lang w:val="zh-CN"/>
        </w:rPr>
      </w:pPr>
      <w:r>
        <w:rPr>
          <w:rFonts w:ascii="宋体" w:hAnsi="宋体" w:eastAsia="宋体"/>
          <w:color w:val="000000"/>
        </w:rPr>
        <w:br w:type="page"/>
      </w:r>
      <w:bookmarkStart w:id="1" w:name="_Toc32407"/>
      <w:r>
        <w:rPr>
          <w:rFonts w:hint="eastAsia" w:ascii="宋体" w:hAnsi="宋体" w:eastAsia="宋体"/>
          <w:b w:val="0"/>
          <w:color w:val="000000"/>
          <w:sz w:val="36"/>
          <w:lang w:val="zh-CN"/>
        </w:rPr>
        <w:t>第一部分    投标邀请函（投标须知前附表）</w:t>
      </w:r>
      <w:bookmarkEnd w:id="1"/>
    </w:p>
    <w:tbl>
      <w:tblPr>
        <w:tblStyle w:val="41"/>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842"/>
        <w:gridCol w:w="1553"/>
        <w:gridCol w:w="7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序号</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内容</w:t>
            </w:r>
          </w:p>
        </w:tc>
        <w:tc>
          <w:tcPr>
            <w:tcW w:w="7776"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1</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项目名称</w:t>
            </w:r>
          </w:p>
        </w:tc>
        <w:tc>
          <w:tcPr>
            <w:tcW w:w="7776" w:type="dxa"/>
            <w:noWrap w:val="0"/>
            <w:vAlign w:val="center"/>
          </w:tcPr>
          <w:p>
            <w:pPr>
              <w:spacing w:line="460" w:lineRule="exact"/>
              <w:rPr>
                <w:rFonts w:hint="eastAsia" w:ascii="宋体" w:hAnsi="宋体" w:eastAsia="宋体" w:cs="Courier New"/>
                <w:b w:val="0"/>
                <w:color w:val="000000"/>
                <w:sz w:val="22"/>
                <w:lang w:eastAsia="zh-CN"/>
              </w:rPr>
            </w:pPr>
            <w:r>
              <w:rPr>
                <w:rFonts w:hint="eastAsia" w:ascii="宋体" w:hAnsi="宋体" w:eastAsia="宋体"/>
                <w:b w:val="0"/>
                <w:color w:val="000000"/>
                <w:sz w:val="22"/>
                <w:lang w:eastAsia="zh-CN"/>
              </w:rPr>
              <w:t>乐清市人员密集场所人脸识别抓拍建设项目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2</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项目编号</w:t>
            </w:r>
          </w:p>
        </w:tc>
        <w:tc>
          <w:tcPr>
            <w:tcW w:w="7776" w:type="dxa"/>
            <w:noWrap w:val="0"/>
            <w:vAlign w:val="center"/>
          </w:tcPr>
          <w:p>
            <w:pPr>
              <w:spacing w:line="460" w:lineRule="exact"/>
              <w:rPr>
                <w:rFonts w:hint="eastAsia" w:ascii="宋体" w:hAnsi="宋体" w:eastAsia="宋体" w:cs="Courier New"/>
                <w:b w:val="0"/>
                <w:color w:val="000000"/>
                <w:sz w:val="22"/>
                <w:lang w:eastAsia="zh-CN"/>
              </w:rPr>
            </w:pPr>
            <w:r>
              <w:rPr>
                <w:rFonts w:hint="eastAsia" w:ascii="宋体" w:hAnsi="宋体" w:eastAsia="宋体" w:cs="Courier New"/>
                <w:b w:val="0"/>
                <w:color w:val="000000"/>
                <w:sz w:val="22"/>
                <w:lang w:eastAsia="zh-CN"/>
              </w:rPr>
              <w:t>CG202302A03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3</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资金来源</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snapToGrid w:val="0"/>
              <w:spacing w:line="460" w:lineRule="exact"/>
              <w:jc w:val="center"/>
              <w:rPr>
                <w:rFonts w:hint="eastAsia" w:ascii="宋体" w:hAnsi="宋体" w:eastAsia="宋体" w:cs="Courier New"/>
                <w:b w:val="0"/>
                <w:color w:val="000000"/>
                <w:sz w:val="22"/>
              </w:rPr>
            </w:pPr>
            <w:r>
              <w:rPr>
                <w:rFonts w:hint="eastAsia" w:ascii="宋体" w:hAnsi="宋体" w:eastAsia="宋体" w:cs="Courier New"/>
                <w:b w:val="0"/>
                <w:color w:val="000000"/>
                <w:sz w:val="22"/>
              </w:rPr>
              <w:t>4</w:t>
            </w:r>
          </w:p>
        </w:tc>
        <w:tc>
          <w:tcPr>
            <w:tcW w:w="1553" w:type="dxa"/>
            <w:noWrap w:val="0"/>
            <w:vAlign w:val="center"/>
          </w:tcPr>
          <w:p>
            <w:pPr>
              <w:spacing w:line="460" w:lineRule="exact"/>
              <w:rPr>
                <w:rFonts w:hint="eastAsia" w:ascii="宋体" w:hAnsi="宋体" w:eastAsia="宋体" w:cs="Courier New"/>
                <w:b w:val="0"/>
                <w:color w:val="000000"/>
                <w:sz w:val="22"/>
              </w:rPr>
            </w:pPr>
            <w:r>
              <w:rPr>
                <w:rFonts w:hint="eastAsia" w:ascii="宋体" w:hAnsi="宋体" w:eastAsia="宋体" w:cs="Courier New"/>
                <w:b w:val="0"/>
                <w:color w:val="000000"/>
                <w:sz w:val="22"/>
              </w:rPr>
              <w:t>采购预算（元）</w:t>
            </w:r>
          </w:p>
        </w:tc>
        <w:tc>
          <w:tcPr>
            <w:tcW w:w="7776" w:type="dxa"/>
            <w:noWrap w:val="0"/>
            <w:vAlign w:val="center"/>
          </w:tcPr>
          <w:p>
            <w:pPr>
              <w:spacing w:line="460" w:lineRule="exact"/>
              <w:rPr>
                <w:rFonts w:hint="eastAsia" w:ascii="宋体" w:hAnsi="宋体" w:eastAsia="宋体" w:cs="Courier New"/>
                <w:b w:val="0"/>
                <w:color w:val="000000"/>
                <w:sz w:val="22"/>
              </w:rPr>
            </w:pPr>
            <w:r>
              <w:rPr>
                <w:rFonts w:hint="eastAsia" w:ascii="宋体" w:hAnsi="宋体" w:eastAsia="宋体" w:cs="宋体"/>
                <w:b w:val="0"/>
                <w:bCs/>
                <w:color w:val="000000"/>
                <w:sz w:val="22"/>
              </w:rPr>
              <w:t>标项一</w:t>
            </w:r>
            <w:r>
              <w:rPr>
                <w:rFonts w:hint="eastAsia" w:ascii="宋体" w:hAnsi="宋体" w:eastAsia="宋体" w:cs="宋体"/>
                <w:b w:val="0"/>
                <w:bCs/>
                <w:color w:val="000000"/>
                <w:sz w:val="22"/>
                <w:cs/>
              </w:rPr>
              <w:t>¥</w:t>
            </w:r>
            <w:r>
              <w:rPr>
                <w:rFonts w:hint="eastAsia" w:ascii="宋体" w:hAnsi="宋体" w:eastAsia="宋体" w:cs="宋体"/>
                <w:b w:val="0"/>
                <w:bCs/>
                <w:color w:val="000000"/>
                <w:sz w:val="22"/>
                <w:lang w:eastAsia="zh-CN"/>
              </w:rPr>
              <w:t>4309910、</w:t>
            </w:r>
            <w:r>
              <w:rPr>
                <w:rFonts w:hint="eastAsia" w:ascii="宋体" w:hAnsi="宋体" w:eastAsia="宋体" w:cs="宋体"/>
                <w:b w:val="0"/>
                <w:bCs/>
                <w:color w:val="000000"/>
                <w:sz w:val="22"/>
              </w:rPr>
              <w:t>标项</w:t>
            </w:r>
            <w:r>
              <w:rPr>
                <w:rFonts w:hint="eastAsia" w:ascii="宋体" w:hAnsi="宋体" w:eastAsia="宋体" w:cs="宋体"/>
                <w:b w:val="0"/>
                <w:bCs/>
                <w:color w:val="000000"/>
                <w:sz w:val="22"/>
                <w:lang w:val="en-US" w:eastAsia="zh-CN"/>
              </w:rPr>
              <w:t>二</w:t>
            </w:r>
            <w:r>
              <w:rPr>
                <w:rFonts w:hint="eastAsia" w:ascii="宋体" w:hAnsi="宋体" w:eastAsia="宋体" w:cs="宋体"/>
                <w:b w:val="0"/>
                <w:bCs/>
                <w:color w:val="000000"/>
                <w:sz w:val="22"/>
                <w:cs/>
              </w:rPr>
              <w:t>¥</w:t>
            </w:r>
            <w:r>
              <w:rPr>
                <w:rFonts w:hint="eastAsia" w:ascii="宋体" w:hAnsi="宋体" w:eastAsia="宋体" w:cs="宋体"/>
                <w:b w:val="0"/>
                <w:bCs/>
                <w:color w:val="000000"/>
                <w:sz w:val="22"/>
                <w:lang w:eastAsia="zh-CN"/>
              </w:rPr>
              <w:t>4005350</w:t>
            </w:r>
            <w:r>
              <w:rPr>
                <w:rFonts w:hint="eastAsia" w:ascii="宋体" w:hAnsi="宋体" w:eastAsia="宋体" w:cs="宋体"/>
                <w:b w:val="0"/>
                <w:bCs/>
                <w:color w:val="000000"/>
                <w:sz w:val="22"/>
              </w:rPr>
              <w:tab/>
            </w:r>
            <w:r>
              <w:rPr>
                <w:rFonts w:hint="eastAsia" w:ascii="宋体" w:hAnsi="宋体" w:eastAsia="宋体" w:cs="宋体"/>
                <w:b w:val="0"/>
                <w:bCs/>
                <w:color w:val="000000"/>
                <w:sz w:val="22"/>
                <w:lang w:eastAsia="zh-CN"/>
              </w:rPr>
              <w:t>、</w:t>
            </w:r>
            <w:r>
              <w:rPr>
                <w:rFonts w:hint="eastAsia" w:ascii="宋体" w:hAnsi="宋体" w:eastAsia="宋体" w:cs="宋体"/>
                <w:b w:val="0"/>
                <w:bCs/>
                <w:color w:val="000000"/>
                <w:sz w:val="22"/>
              </w:rPr>
              <w:t>标项</w:t>
            </w:r>
            <w:r>
              <w:rPr>
                <w:rFonts w:hint="eastAsia" w:ascii="宋体" w:hAnsi="宋体" w:eastAsia="宋体" w:cs="宋体"/>
                <w:b w:val="0"/>
                <w:bCs/>
                <w:color w:val="000000"/>
                <w:sz w:val="22"/>
                <w:lang w:val="en-US" w:eastAsia="zh-CN"/>
              </w:rPr>
              <w:t>三</w:t>
            </w:r>
            <w:r>
              <w:rPr>
                <w:rFonts w:hint="eastAsia" w:ascii="宋体" w:hAnsi="宋体" w:eastAsia="宋体" w:cs="宋体"/>
                <w:b w:val="0"/>
                <w:bCs/>
                <w:color w:val="000000"/>
                <w:sz w:val="22"/>
                <w:cs/>
              </w:rPr>
              <w:t>¥</w:t>
            </w:r>
            <w:r>
              <w:rPr>
                <w:rFonts w:hint="eastAsia" w:ascii="宋体" w:hAnsi="宋体" w:eastAsia="宋体" w:cs="宋体"/>
                <w:b w:val="0"/>
                <w:bCs/>
                <w:color w:val="000000"/>
                <w:sz w:val="22"/>
                <w:lang w:eastAsia="zh-CN"/>
              </w:rPr>
              <w:t>4002840、</w:t>
            </w:r>
            <w:r>
              <w:rPr>
                <w:rFonts w:hint="eastAsia" w:ascii="宋体" w:hAnsi="宋体" w:eastAsia="宋体" w:cs="宋体"/>
                <w:b w:val="0"/>
                <w:bCs/>
                <w:color w:val="000000"/>
                <w:sz w:val="22"/>
              </w:rPr>
              <w:t>标项</w:t>
            </w:r>
            <w:r>
              <w:rPr>
                <w:rFonts w:hint="eastAsia" w:ascii="宋体" w:hAnsi="宋体" w:eastAsia="宋体" w:cs="宋体"/>
                <w:b w:val="0"/>
                <w:bCs/>
                <w:color w:val="000000"/>
                <w:sz w:val="22"/>
                <w:lang w:val="en-US" w:eastAsia="zh-CN"/>
              </w:rPr>
              <w:t>四</w:t>
            </w:r>
            <w:r>
              <w:rPr>
                <w:rFonts w:hint="eastAsia" w:ascii="宋体" w:hAnsi="宋体" w:eastAsia="宋体" w:cs="宋体"/>
                <w:b w:val="0"/>
                <w:bCs/>
                <w:color w:val="000000"/>
                <w:sz w:val="22"/>
                <w:cs/>
              </w:rPr>
              <w:t>¥</w:t>
            </w:r>
            <w:r>
              <w:rPr>
                <w:rFonts w:hint="eastAsia" w:ascii="宋体" w:hAnsi="宋体" w:eastAsia="宋体" w:cs="宋体"/>
                <w:b w:val="0"/>
                <w:bCs/>
                <w:color w:val="000000"/>
                <w:sz w:val="22"/>
              </w:rPr>
              <w:t>3539740</w:t>
            </w:r>
            <w:r>
              <w:rPr>
                <w:rFonts w:hint="eastAsia" w:ascii="宋体" w:hAnsi="宋体" w:eastAsia="宋体" w:cs="宋体"/>
                <w:b w:val="0"/>
                <w:bCs/>
                <w:color w:val="000000"/>
                <w:sz w:val="22"/>
                <w:lang w:eastAsia="zh-CN"/>
              </w:rPr>
              <w:t>、</w:t>
            </w:r>
            <w:r>
              <w:rPr>
                <w:rFonts w:hint="eastAsia" w:ascii="宋体" w:hAnsi="宋体" w:eastAsia="宋体" w:cs="宋体"/>
                <w:b w:val="0"/>
                <w:bCs/>
                <w:color w:val="000000"/>
                <w:sz w:val="22"/>
              </w:rPr>
              <w:t>标项</w:t>
            </w:r>
            <w:r>
              <w:rPr>
                <w:rFonts w:hint="eastAsia" w:ascii="宋体" w:hAnsi="宋体" w:eastAsia="宋体" w:cs="宋体"/>
                <w:b w:val="0"/>
                <w:bCs/>
                <w:color w:val="000000"/>
                <w:sz w:val="22"/>
                <w:lang w:val="en-US" w:eastAsia="zh-CN"/>
              </w:rPr>
              <w:t>五</w:t>
            </w:r>
            <w:r>
              <w:rPr>
                <w:rFonts w:hint="eastAsia" w:ascii="宋体" w:hAnsi="宋体" w:eastAsia="宋体" w:cs="宋体"/>
                <w:b w:val="0"/>
                <w:bCs/>
                <w:color w:val="000000"/>
                <w:sz w:val="22"/>
                <w:cs/>
              </w:rPr>
              <w:t>¥</w:t>
            </w:r>
            <w:r>
              <w:rPr>
                <w:rFonts w:hint="eastAsia" w:ascii="宋体" w:hAnsi="宋体" w:eastAsia="宋体" w:cs="宋体"/>
                <w:b w:val="0"/>
                <w:bCs/>
                <w:color w:val="000000"/>
                <w:sz w:val="22"/>
                <w:lang w:val="en-US" w:eastAsia="zh-CN"/>
              </w:rPr>
              <w:t>1493760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5</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采购方式</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6</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采购人</w:t>
            </w:r>
          </w:p>
        </w:tc>
        <w:tc>
          <w:tcPr>
            <w:tcW w:w="7776"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名称：乐清市公安局</w:t>
            </w:r>
          </w:p>
          <w:p>
            <w:pPr>
              <w:spacing w:line="460" w:lineRule="exact"/>
              <w:rPr>
                <w:rFonts w:ascii="宋体" w:hAnsi="宋体" w:eastAsia="宋体"/>
                <w:b w:val="0"/>
                <w:color w:val="000000"/>
                <w:sz w:val="22"/>
              </w:rPr>
            </w:pPr>
            <w:r>
              <w:rPr>
                <w:rFonts w:hint="eastAsia" w:ascii="宋体" w:hAnsi="宋体" w:eastAsia="宋体"/>
                <w:b w:val="0"/>
                <w:color w:val="000000"/>
                <w:sz w:val="22"/>
              </w:rPr>
              <w:t>联系人：杨先生</w:t>
            </w:r>
          </w:p>
          <w:p>
            <w:pPr>
              <w:spacing w:line="460" w:lineRule="exact"/>
              <w:rPr>
                <w:rFonts w:ascii="宋体" w:hAnsi="宋体" w:eastAsia="宋体" w:cs="Courier New"/>
                <w:b w:val="0"/>
                <w:color w:val="000000"/>
                <w:sz w:val="22"/>
              </w:rPr>
            </w:pPr>
            <w:r>
              <w:rPr>
                <w:rFonts w:hint="eastAsia" w:ascii="宋体" w:hAnsi="宋体" w:eastAsia="宋体"/>
                <w:b w:val="0"/>
                <w:color w:val="000000"/>
                <w:sz w:val="22"/>
              </w:rPr>
              <w:t>联系电话：13968702536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7</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采购代理机构</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名称：乐清市公共资源交易中心</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地址：</w:t>
            </w:r>
            <w:r>
              <w:rPr>
                <w:rFonts w:hint="eastAsia" w:ascii="宋体" w:hAnsi="宋体" w:eastAsia="宋体"/>
                <w:b w:val="0"/>
                <w:color w:val="000000"/>
                <w:sz w:val="22"/>
              </w:rPr>
              <w:t>乐清市市府路</w:t>
            </w:r>
            <w:r>
              <w:rPr>
                <w:rFonts w:ascii="宋体" w:hAnsi="宋体" w:eastAsia="宋体"/>
                <w:b w:val="0"/>
                <w:color w:val="000000"/>
                <w:sz w:val="22"/>
              </w:rPr>
              <w:t>1号行政管理中心西南附属楼四楼</w:t>
            </w:r>
            <w:r>
              <w:rPr>
                <w:rFonts w:hint="eastAsia" w:ascii="宋体" w:hAnsi="宋体" w:eastAsia="宋体"/>
                <w:b w:val="0"/>
                <w:color w:val="000000"/>
                <w:sz w:val="22"/>
              </w:rPr>
              <w:t>A07</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项目负责人：</w:t>
            </w:r>
            <w:r>
              <w:rPr>
                <w:rFonts w:hint="eastAsia" w:ascii="宋体" w:hAnsi="宋体" w:eastAsia="宋体" w:cs="Courier New"/>
                <w:b w:val="0"/>
                <w:color w:val="000000"/>
                <w:sz w:val="22"/>
                <w:lang w:val="en-US" w:eastAsia="zh-CN"/>
              </w:rPr>
              <w:t>方</w:t>
            </w:r>
            <w:r>
              <w:rPr>
                <w:rFonts w:hint="eastAsia" w:ascii="宋体" w:hAnsi="宋体" w:eastAsia="宋体" w:cs="Courier New"/>
                <w:b w:val="0"/>
                <w:color w:val="000000"/>
                <w:sz w:val="22"/>
              </w:rPr>
              <w:t>女士</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 xml:space="preserve">联系电话：0577-61882630    </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联系传真：0577-61882627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8</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招标内容</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9</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评标办法</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10</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投标供应商</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资格要求</w:t>
            </w:r>
          </w:p>
        </w:tc>
        <w:tc>
          <w:tcPr>
            <w:tcW w:w="7776" w:type="dxa"/>
            <w:noWrap w:val="0"/>
            <w:vAlign w:val="center"/>
          </w:tcPr>
          <w:p>
            <w:pPr>
              <w:spacing w:line="460" w:lineRule="exact"/>
              <w:rPr>
                <w:rFonts w:ascii="宋体" w:hAnsi="宋体" w:eastAsia="宋体" w:cs="Courier New"/>
                <w:b w:val="0"/>
                <w:color w:val="000000"/>
                <w:kern w:val="28"/>
                <w:sz w:val="22"/>
              </w:rPr>
            </w:pPr>
            <w:r>
              <w:rPr>
                <w:rFonts w:hint="eastAsia" w:ascii="宋体" w:hAnsi="宋体" w:eastAsia="宋体" w:cs="Courier New"/>
                <w:b w:val="0"/>
                <w:color w:val="000000"/>
                <w:sz w:val="22"/>
              </w:rPr>
              <w:t>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11</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是否接受联合体投标</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fldChar w:fldCharType="begin"/>
            </w:r>
            <w:r>
              <w:rPr>
                <w:rFonts w:hint="eastAsia" w:ascii="宋体" w:hAnsi="宋体" w:eastAsia="宋体" w:cs="Courier New"/>
                <w:b w:val="0"/>
                <w:color w:val="000000"/>
                <w:sz w:val="22"/>
              </w:rPr>
              <w:instrText xml:space="preserve"> eq \o\ac(□,√)</w:instrText>
            </w:r>
            <w:r>
              <w:rPr>
                <w:rFonts w:hint="eastAsia" w:ascii="宋体" w:hAnsi="宋体" w:eastAsia="宋体" w:cs="Courier New"/>
                <w:b w:val="0"/>
                <w:color w:val="000000"/>
                <w:sz w:val="22"/>
              </w:rPr>
              <w:fldChar w:fldCharType="end"/>
            </w:r>
            <w:r>
              <w:rPr>
                <w:rFonts w:hint="eastAsia" w:ascii="宋体" w:hAnsi="宋体" w:eastAsia="宋体" w:cs="Courier New"/>
                <w:b w:val="0"/>
                <w:color w:val="000000"/>
                <w:sz w:val="22"/>
              </w:rPr>
              <w:t>不接受</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12</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踏勘现场</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fldChar w:fldCharType="begin"/>
            </w:r>
            <w:r>
              <w:rPr>
                <w:rFonts w:hint="eastAsia" w:ascii="宋体" w:hAnsi="宋体" w:eastAsia="宋体" w:cs="Courier New"/>
                <w:b w:val="0"/>
                <w:color w:val="000000"/>
                <w:sz w:val="22"/>
              </w:rPr>
              <w:instrText xml:space="preserve"> eq \o\ac(□,√)</w:instrText>
            </w:r>
            <w:r>
              <w:rPr>
                <w:rFonts w:hint="eastAsia" w:ascii="宋体" w:hAnsi="宋体" w:eastAsia="宋体" w:cs="Courier New"/>
                <w:b w:val="0"/>
                <w:color w:val="000000"/>
                <w:sz w:val="22"/>
              </w:rPr>
              <w:fldChar w:fldCharType="end"/>
            </w:r>
            <w:r>
              <w:rPr>
                <w:rFonts w:hint="eastAsia" w:ascii="宋体" w:hAnsi="宋体" w:eastAsia="宋体" w:cs="Courier New"/>
                <w:b w:val="0"/>
                <w:color w:val="000000"/>
                <w:sz w:val="22"/>
              </w:rPr>
              <w:t>不组织</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13</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是否允许递交备选投标供应商案</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fldChar w:fldCharType="begin"/>
            </w:r>
            <w:r>
              <w:rPr>
                <w:rFonts w:hint="eastAsia" w:ascii="宋体" w:hAnsi="宋体" w:eastAsia="宋体" w:cs="Courier New"/>
                <w:b w:val="0"/>
                <w:color w:val="000000"/>
                <w:sz w:val="22"/>
              </w:rPr>
              <w:instrText xml:space="preserve"> eq \o\ac(□,√)</w:instrText>
            </w:r>
            <w:r>
              <w:rPr>
                <w:rFonts w:hint="eastAsia" w:ascii="宋体" w:hAnsi="宋体" w:eastAsia="宋体" w:cs="Courier New"/>
                <w:b w:val="0"/>
                <w:color w:val="000000"/>
                <w:sz w:val="22"/>
              </w:rPr>
              <w:fldChar w:fldCharType="end"/>
            </w:r>
            <w:r>
              <w:rPr>
                <w:rFonts w:hint="eastAsia" w:ascii="宋体" w:hAnsi="宋体" w:eastAsia="宋体" w:cs="Courier New"/>
                <w:b w:val="0"/>
                <w:color w:val="000000"/>
                <w:sz w:val="22"/>
              </w:rPr>
              <w:t xml:space="preserve"> 不允许</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 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91"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14</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投标货币</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15</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投标语言</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16</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投标文件的形式</w:t>
            </w:r>
          </w:p>
        </w:tc>
        <w:tc>
          <w:tcPr>
            <w:tcW w:w="7776" w:type="dxa"/>
            <w:noWrap w:val="0"/>
            <w:vAlign w:val="center"/>
          </w:tcPr>
          <w:p>
            <w:pPr>
              <w:spacing w:line="460" w:lineRule="exact"/>
              <w:rPr>
                <w:rFonts w:ascii="宋体" w:hAnsi="宋体" w:eastAsia="宋体" w:cs="Courier New"/>
                <w:color w:val="000000"/>
                <w:sz w:val="22"/>
              </w:rPr>
            </w:pPr>
            <w:r>
              <w:rPr>
                <w:rFonts w:hint="eastAsia" w:ascii="宋体" w:hAnsi="宋体" w:eastAsia="宋体" w:cs="Courier New"/>
                <w:color w:val="000000"/>
                <w:sz w:val="22"/>
              </w:rPr>
              <w:t>投标供应商应准备电子投标文件。</w:t>
            </w:r>
          </w:p>
          <w:p>
            <w:pPr>
              <w:spacing w:line="460" w:lineRule="exact"/>
              <w:rPr>
                <w:rFonts w:ascii="宋体" w:hAnsi="宋体" w:eastAsia="宋体" w:cs="Courier New"/>
                <w:b w:val="0"/>
                <w:color w:val="000000"/>
                <w:sz w:val="22"/>
              </w:rPr>
            </w:pPr>
            <w:r>
              <w:rPr>
                <w:rFonts w:hint="eastAsia" w:ascii="宋体" w:hAnsi="宋体" w:eastAsia="宋体" w:cs="Courier New"/>
                <w:color w:val="000000"/>
                <w:sz w:val="22"/>
              </w:rPr>
              <w:t>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17</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投标文件的编制</w:t>
            </w:r>
          </w:p>
        </w:tc>
        <w:tc>
          <w:tcPr>
            <w:tcW w:w="7776" w:type="dxa"/>
            <w:noWrap w:val="0"/>
            <w:vAlign w:val="center"/>
          </w:tcPr>
          <w:p>
            <w:pPr>
              <w:spacing w:line="460" w:lineRule="exact"/>
              <w:rPr>
                <w:rFonts w:ascii="宋体" w:hAnsi="宋体" w:eastAsia="宋体" w:cs="Courier New"/>
                <w:color w:val="000000"/>
                <w:sz w:val="22"/>
              </w:rPr>
            </w:pPr>
            <w:r>
              <w:rPr>
                <w:rFonts w:hint="eastAsia" w:ascii="宋体" w:hAnsi="宋体" w:eastAsia="宋体" w:cs="Courier New"/>
                <w:color w:val="000000"/>
                <w:sz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autoSpaceDE w:val="0"/>
              <w:autoSpaceDN w:val="0"/>
              <w:snapToGrid w:val="0"/>
              <w:spacing w:line="460" w:lineRule="exact"/>
              <w:jc w:val="center"/>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18</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投标文件份数</w:t>
            </w:r>
          </w:p>
        </w:tc>
        <w:tc>
          <w:tcPr>
            <w:tcW w:w="7776" w:type="dxa"/>
            <w:noWrap w:val="0"/>
            <w:vAlign w:val="center"/>
          </w:tcPr>
          <w:p>
            <w:pPr>
              <w:pStyle w:val="32"/>
              <w:tabs>
                <w:tab w:val="right" w:leader="dot" w:pos="9118"/>
              </w:tabs>
              <w:spacing w:line="460" w:lineRule="exact"/>
              <w:rPr>
                <w:rFonts w:ascii="宋体" w:hAnsi="宋体" w:eastAsia="宋体" w:cs="Courier New"/>
                <w:color w:val="000000"/>
              </w:rPr>
            </w:pPr>
            <w:r>
              <w:rPr>
                <w:rFonts w:hint="eastAsia" w:ascii="宋体" w:hAnsi="宋体" w:eastAsia="宋体" w:cs="Courier New"/>
                <w:b/>
                <w:color w:val="000000"/>
              </w:rPr>
              <w:t>“电子加密投标文件”：在线上传递交，一份</w:t>
            </w:r>
            <w:r>
              <w:rPr>
                <w:rFonts w:hint="eastAsia" w:ascii="宋体" w:hAnsi="宋体" w:eastAsia="宋体" w:cs="Courier New"/>
                <w:color w:val="00000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19</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投标有效期</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提交投标文件截止时间起90天内。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20</w:t>
            </w:r>
          </w:p>
        </w:tc>
        <w:tc>
          <w:tcPr>
            <w:tcW w:w="1553" w:type="dxa"/>
            <w:noWrap w:val="0"/>
            <w:vAlign w:val="center"/>
          </w:tcPr>
          <w:p>
            <w:pPr>
              <w:spacing w:line="460" w:lineRule="exact"/>
              <w:rPr>
                <w:rFonts w:ascii="宋体" w:hAnsi="宋体" w:eastAsia="宋体" w:cs="Courier New"/>
                <w:color w:val="000000"/>
                <w:sz w:val="22"/>
              </w:rPr>
            </w:pPr>
            <w:r>
              <w:rPr>
                <w:rFonts w:hint="eastAsia" w:ascii="宋体" w:hAnsi="宋体" w:eastAsia="宋体" w:cs="Courier New"/>
                <w:color w:val="000000"/>
                <w:sz w:val="22"/>
              </w:rPr>
              <w:t>投标文件的签章</w:t>
            </w:r>
          </w:p>
        </w:tc>
        <w:tc>
          <w:tcPr>
            <w:tcW w:w="7776" w:type="dxa"/>
            <w:noWrap w:val="0"/>
            <w:vAlign w:val="center"/>
          </w:tcPr>
          <w:p>
            <w:pPr>
              <w:spacing w:line="460" w:lineRule="exact"/>
              <w:rPr>
                <w:rFonts w:ascii="宋体" w:hAnsi="宋体" w:eastAsia="宋体" w:cs="Courier New"/>
                <w:color w:val="000000"/>
                <w:sz w:val="22"/>
              </w:rPr>
            </w:pPr>
            <w:r>
              <w:rPr>
                <w:rFonts w:hint="eastAsia" w:ascii="宋体" w:hAnsi="宋体" w:eastAsia="宋体" w:cs="Courier New"/>
                <w:color w:val="000000"/>
                <w:sz w:val="22"/>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21</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投标样品</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fldChar w:fldCharType="begin"/>
            </w:r>
            <w:r>
              <w:rPr>
                <w:rFonts w:hint="eastAsia" w:ascii="宋体" w:hAnsi="宋体" w:eastAsia="宋体" w:cs="Courier New"/>
                <w:b w:val="0"/>
                <w:color w:val="000000"/>
                <w:sz w:val="22"/>
              </w:rPr>
              <w:instrText xml:space="preserve"> eq \o\ac(□,√)</w:instrText>
            </w:r>
            <w:r>
              <w:rPr>
                <w:rFonts w:hint="eastAsia" w:ascii="宋体" w:hAnsi="宋体" w:eastAsia="宋体" w:cs="Courier New"/>
                <w:b w:val="0"/>
                <w:color w:val="000000"/>
                <w:sz w:val="22"/>
              </w:rPr>
              <w:fldChar w:fldCharType="end"/>
            </w:r>
            <w:r>
              <w:rPr>
                <w:rFonts w:hint="eastAsia" w:ascii="宋体" w:hAnsi="宋体" w:eastAsia="宋体" w:cs="Courier New"/>
                <w:b w:val="0"/>
                <w:color w:val="000000"/>
                <w:sz w:val="22"/>
              </w:rPr>
              <w:t>不需要</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22</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投标保证金</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5"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23</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履约担保</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fldChar w:fldCharType="begin"/>
            </w:r>
            <w:r>
              <w:rPr>
                <w:rFonts w:hint="eastAsia" w:ascii="宋体" w:hAnsi="宋体" w:eastAsia="宋体" w:cs="Courier New"/>
                <w:b w:val="0"/>
                <w:color w:val="000000"/>
                <w:sz w:val="22"/>
              </w:rPr>
              <w:instrText xml:space="preserve"> eq \o\ac(□,√)</w:instrText>
            </w:r>
            <w:r>
              <w:rPr>
                <w:rFonts w:hint="eastAsia" w:ascii="宋体" w:hAnsi="宋体" w:eastAsia="宋体" w:cs="Courier New"/>
                <w:b w:val="0"/>
                <w:color w:val="000000"/>
                <w:sz w:val="22"/>
              </w:rPr>
              <w:fldChar w:fldCharType="end"/>
            </w:r>
            <w:r>
              <w:rPr>
                <w:rFonts w:hint="eastAsia" w:ascii="宋体" w:hAnsi="宋体" w:eastAsia="宋体" w:cs="Courier New"/>
                <w:b w:val="0"/>
                <w:color w:val="000000"/>
                <w:sz w:val="22"/>
              </w:rPr>
              <w:t>不需要</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 xml:space="preserve">□需要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24</w:t>
            </w:r>
          </w:p>
        </w:tc>
        <w:tc>
          <w:tcPr>
            <w:tcW w:w="1553"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招标文件获取方式</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olor w:val="000000"/>
                <w:sz w:val="22"/>
              </w:rPr>
              <w:t>见招标公告要求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75"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25</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投标截止时间</w:t>
            </w:r>
          </w:p>
          <w:p>
            <w:pPr>
              <w:spacing w:line="460" w:lineRule="exact"/>
              <w:jc w:val="center"/>
              <w:rPr>
                <w:rFonts w:ascii="宋体" w:hAnsi="宋体" w:eastAsia="宋体"/>
                <w:color w:val="000000"/>
              </w:rPr>
            </w:pPr>
            <w:r>
              <w:rPr>
                <w:rFonts w:hint="eastAsia" w:ascii="宋体" w:hAnsi="宋体" w:eastAsia="宋体" w:cs="Courier New"/>
                <w:b w:val="0"/>
                <w:color w:val="000000"/>
                <w:sz w:val="22"/>
              </w:rPr>
              <w:t>投标地点</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202</w:t>
            </w:r>
            <w:r>
              <w:rPr>
                <w:rFonts w:hint="eastAsia" w:ascii="宋体" w:hAnsi="宋体" w:eastAsia="宋体" w:cs="Courier New"/>
                <w:b w:val="0"/>
                <w:color w:val="000000"/>
                <w:sz w:val="22"/>
                <w:lang w:val="en-US" w:eastAsia="zh-CN"/>
              </w:rPr>
              <w:t>3</w:t>
            </w:r>
            <w:r>
              <w:rPr>
                <w:rFonts w:hint="eastAsia" w:ascii="宋体" w:hAnsi="宋体" w:eastAsia="宋体" w:cs="Courier New"/>
                <w:b w:val="0"/>
                <w:color w:val="000000"/>
                <w:sz w:val="22"/>
              </w:rPr>
              <w:t>年</w:t>
            </w:r>
            <w:r>
              <w:rPr>
                <w:rFonts w:hint="eastAsia" w:ascii="宋体" w:hAnsi="宋体" w:eastAsia="宋体" w:cs="Courier New"/>
                <w:b w:val="0"/>
                <w:color w:val="000000"/>
                <w:sz w:val="22"/>
                <w:lang w:val="en-US" w:eastAsia="zh-CN"/>
              </w:rPr>
              <w:t>3</w:t>
            </w:r>
            <w:r>
              <w:rPr>
                <w:rFonts w:hint="eastAsia" w:ascii="宋体" w:hAnsi="宋体" w:eastAsia="宋体" w:cs="Courier New"/>
                <w:b w:val="0"/>
                <w:color w:val="000000"/>
                <w:sz w:val="22"/>
              </w:rPr>
              <w:t>月</w:t>
            </w:r>
            <w:r>
              <w:rPr>
                <w:rFonts w:hint="eastAsia" w:ascii="宋体" w:hAnsi="宋体" w:eastAsia="宋体" w:cs="Courier New"/>
                <w:b w:val="0"/>
                <w:color w:val="000000"/>
                <w:sz w:val="22"/>
                <w:lang w:val="en-US" w:eastAsia="zh-CN"/>
              </w:rPr>
              <w:t>1</w:t>
            </w:r>
            <w:r>
              <w:rPr>
                <w:rFonts w:hint="eastAsia" w:ascii="宋体" w:hAnsi="宋体" w:eastAsia="宋体" w:cs="Courier New"/>
                <w:b w:val="0"/>
                <w:color w:val="000000"/>
                <w:sz w:val="22"/>
              </w:rPr>
              <w:t>日上午09：30分截止(北京时间)。</w:t>
            </w:r>
          </w:p>
          <w:p>
            <w:pPr>
              <w:spacing w:line="460" w:lineRule="exact"/>
              <w:rPr>
                <w:rFonts w:ascii="宋体" w:hAnsi="宋体" w:eastAsia="宋体"/>
                <w:color w:val="000000"/>
              </w:rPr>
            </w:pPr>
            <w:r>
              <w:rPr>
                <w:rFonts w:hint="eastAsia" w:ascii="宋体" w:hAnsi="宋体" w:eastAsia="宋体" w:cs="Courier New"/>
                <w:b w:val="0"/>
                <w:color w:val="000000"/>
                <w:sz w:val="22"/>
              </w:rPr>
              <w:t>投标地点：</w:t>
            </w:r>
            <w:r>
              <w:rPr>
                <w:rFonts w:hint="eastAsia" w:ascii="宋体" w:hAnsi="宋体" w:eastAsia="宋体"/>
                <w:color w:val="000000"/>
                <w:sz w:val="22"/>
              </w:rPr>
              <w:t>通过政采云平台在线投标</w:t>
            </w:r>
            <w:r>
              <w:rPr>
                <w:rFonts w:hint="eastAsia" w:ascii="宋体" w:hAnsi="宋体" w:eastAsia="宋体"/>
                <w:b w:val="0"/>
                <w:color w:val="000000"/>
                <w:sz w:val="22"/>
              </w:rPr>
              <w:t>（</w:t>
            </w:r>
            <w:r>
              <w:rPr>
                <w:rFonts w:hint="eastAsia" w:ascii="宋体" w:hAnsi="宋体" w:eastAsia="宋体"/>
                <w:color w:val="000000"/>
                <w:sz w:val="22"/>
              </w:rPr>
              <w:t>本项目采用在线投标，投标供应商无须前往投标现场。</w:t>
            </w:r>
            <w:r>
              <w:rPr>
                <w:rFonts w:hint="eastAsia" w:ascii="宋体" w:hAnsi="宋体" w:eastAsia="宋体"/>
                <w:b w:val="0"/>
                <w:color w:val="00000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26</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开标时间</w:t>
            </w:r>
          </w:p>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开标地点</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开标时间：202</w:t>
            </w:r>
            <w:r>
              <w:rPr>
                <w:rFonts w:hint="eastAsia" w:ascii="宋体" w:hAnsi="宋体" w:eastAsia="宋体" w:cs="Courier New"/>
                <w:b w:val="0"/>
                <w:color w:val="000000"/>
                <w:sz w:val="22"/>
                <w:lang w:val="en-US" w:eastAsia="zh-CN"/>
              </w:rPr>
              <w:t>3</w:t>
            </w:r>
            <w:r>
              <w:rPr>
                <w:rFonts w:hint="eastAsia" w:ascii="宋体" w:hAnsi="宋体" w:eastAsia="宋体" w:cs="Courier New"/>
                <w:b w:val="0"/>
                <w:color w:val="000000"/>
                <w:sz w:val="22"/>
              </w:rPr>
              <w:t>年</w:t>
            </w:r>
            <w:r>
              <w:rPr>
                <w:rFonts w:hint="eastAsia" w:ascii="宋体" w:hAnsi="宋体" w:eastAsia="宋体" w:cs="Courier New"/>
                <w:b w:val="0"/>
                <w:color w:val="000000"/>
                <w:sz w:val="22"/>
                <w:lang w:val="en-US" w:eastAsia="zh-CN"/>
              </w:rPr>
              <w:t>3</w:t>
            </w:r>
            <w:r>
              <w:rPr>
                <w:rFonts w:hint="eastAsia" w:ascii="宋体" w:hAnsi="宋体" w:eastAsia="宋体" w:cs="Courier New"/>
                <w:b w:val="0"/>
                <w:color w:val="000000"/>
                <w:sz w:val="22"/>
              </w:rPr>
              <w:t>月</w:t>
            </w:r>
            <w:r>
              <w:rPr>
                <w:rFonts w:hint="eastAsia" w:ascii="宋体" w:hAnsi="宋体" w:eastAsia="宋体" w:cs="Courier New"/>
                <w:b w:val="0"/>
                <w:color w:val="000000"/>
                <w:sz w:val="22"/>
                <w:lang w:val="en-US" w:eastAsia="zh-CN"/>
              </w:rPr>
              <w:t>1</w:t>
            </w:r>
            <w:r>
              <w:rPr>
                <w:rFonts w:hint="eastAsia" w:ascii="宋体" w:hAnsi="宋体" w:eastAsia="宋体" w:cs="Courier New"/>
                <w:b w:val="0"/>
                <w:color w:val="000000"/>
                <w:sz w:val="22"/>
              </w:rPr>
              <w:t>日上午09：30分  (北京时间)</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开标地点：</w:t>
            </w:r>
            <w:r>
              <w:rPr>
                <w:rFonts w:hint="eastAsia" w:ascii="宋体" w:hAnsi="宋体" w:eastAsia="宋体"/>
                <w:b w:val="0"/>
                <w:color w:val="000000"/>
                <w:sz w:val="22"/>
              </w:rPr>
              <w:t>乐清市公共资源交易中心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728"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27</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投标文件上传和递交</w:t>
            </w:r>
          </w:p>
        </w:tc>
        <w:tc>
          <w:tcPr>
            <w:tcW w:w="7776" w:type="dxa"/>
            <w:noWrap w:val="0"/>
            <w:vAlign w:val="center"/>
          </w:tcPr>
          <w:p>
            <w:pPr>
              <w:spacing w:line="460" w:lineRule="exact"/>
              <w:rPr>
                <w:rFonts w:ascii="宋体" w:hAnsi="宋体" w:eastAsia="宋体" w:cs="Courier New"/>
                <w:color w:val="000000"/>
                <w:sz w:val="22"/>
              </w:rPr>
            </w:pPr>
            <w:r>
              <w:rPr>
                <w:rFonts w:hint="eastAsia" w:ascii="宋体" w:hAnsi="宋体" w:eastAsia="宋体" w:cs="Courier New"/>
                <w:color w:val="000000"/>
                <w:sz w:val="22"/>
              </w:rPr>
              <w:t>本项目通过“政府采购云平台（</w:t>
            </w:r>
            <w:r>
              <w:rPr>
                <w:rFonts w:ascii="宋体" w:hAnsi="宋体" w:eastAsia="宋体" w:cs="Courier New"/>
                <w:color w:val="000000"/>
                <w:sz w:val="22"/>
              </w:rPr>
              <w:t>www.zcygov.cn）”实行在线投标响应（电子投标），投标供应商应当在投标截止时间前，将生成的“电子加密投标文件”上传递交至“政府采购云平台”。</w:t>
            </w:r>
          </w:p>
          <w:p>
            <w:pPr>
              <w:spacing w:line="460" w:lineRule="exact"/>
              <w:rPr>
                <w:rFonts w:ascii="宋体" w:hAnsi="宋体" w:eastAsia="宋体" w:cs="Courier New"/>
                <w:color w:val="000000"/>
                <w:sz w:val="22"/>
              </w:rPr>
            </w:pPr>
            <w:r>
              <w:rPr>
                <w:rFonts w:hint="eastAsia" w:ascii="宋体" w:hAnsi="宋体" w:eastAsia="宋体" w:cs="Courier New"/>
                <w:color w:val="000000"/>
                <w:sz w:val="22"/>
              </w:rPr>
              <w:t>“电子加密投标文件”的上传、递交：</w:t>
            </w:r>
          </w:p>
          <w:p>
            <w:pPr>
              <w:spacing w:line="460" w:lineRule="exact"/>
              <w:rPr>
                <w:rFonts w:ascii="宋体" w:hAnsi="宋体" w:eastAsia="宋体" w:cs="Courier New"/>
                <w:color w:val="000000"/>
                <w:sz w:val="22"/>
              </w:rPr>
            </w:pPr>
            <w:r>
              <w:rPr>
                <w:rFonts w:hint="eastAsia" w:ascii="宋体" w:hAnsi="宋体" w:eastAsia="宋体" w:cs="Courier New"/>
                <w:color w:val="000000"/>
                <w:sz w:val="22"/>
              </w:rPr>
              <w:t>a.投标供应商应在投标截止时间前将“电子加密投标文件”成功上传递交至“政府采购云平台”，否则投标无效。</w:t>
            </w:r>
          </w:p>
          <w:p>
            <w:pPr>
              <w:spacing w:line="460" w:lineRule="exact"/>
              <w:rPr>
                <w:rFonts w:ascii="宋体" w:hAnsi="宋体" w:eastAsia="宋体" w:cs="Courier New"/>
                <w:color w:val="000000"/>
                <w:sz w:val="22"/>
              </w:rPr>
            </w:pPr>
            <w:r>
              <w:rPr>
                <w:rFonts w:hint="eastAsia" w:ascii="宋体" w:hAnsi="宋体" w:eastAsia="宋体" w:cs="Courier New"/>
                <w:color w:val="000000"/>
                <w:sz w:val="22"/>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430"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28</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电子加密投标文件的解密和异常情况处理</w:t>
            </w:r>
          </w:p>
        </w:tc>
        <w:tc>
          <w:tcPr>
            <w:tcW w:w="7776" w:type="dxa"/>
            <w:noWrap w:val="0"/>
            <w:vAlign w:val="center"/>
          </w:tcPr>
          <w:p>
            <w:pPr>
              <w:spacing w:line="460" w:lineRule="exact"/>
              <w:rPr>
                <w:rFonts w:ascii="宋体" w:hAnsi="宋体" w:eastAsia="宋体" w:cs="Courier New"/>
                <w:color w:val="000000"/>
                <w:sz w:val="22"/>
              </w:rPr>
            </w:pPr>
            <w:r>
              <w:rPr>
                <w:rFonts w:hint="eastAsia" w:ascii="宋体" w:hAnsi="宋体" w:eastAsia="宋体" w:cs="Courier New"/>
                <w:color w:val="000000"/>
                <w:sz w:val="22"/>
              </w:rPr>
              <w:t>1、开标后，采购组织机构将向各投标供应商发出“电子加密投标文件”的解密通知，各投标供应商代表应当在接到解密通知后30分钟内自行完成“电子加密投标文件”的在线解密。</w:t>
            </w:r>
          </w:p>
          <w:p>
            <w:pPr>
              <w:spacing w:line="460" w:lineRule="exact"/>
              <w:rPr>
                <w:rFonts w:ascii="宋体" w:hAnsi="宋体" w:eastAsia="宋体" w:cs="Courier New"/>
                <w:color w:val="000000"/>
                <w:sz w:val="22"/>
              </w:rPr>
            </w:pPr>
            <w:r>
              <w:rPr>
                <w:rFonts w:ascii="宋体" w:hAnsi="宋体" w:eastAsia="宋体" w:cs="Courier New"/>
                <w:color w:val="000000"/>
                <w:sz w:val="22"/>
              </w:rPr>
              <w:t>2、通过“政府采购云平台”成功上传递交的“电子加密投标文件”无法按时解密的，</w:t>
            </w:r>
            <w:r>
              <w:rPr>
                <w:rFonts w:hint="eastAsia" w:ascii="宋体" w:hAnsi="宋体" w:eastAsia="宋体"/>
                <w:color w:val="000000"/>
                <w:sz w:val="22"/>
              </w:rPr>
              <w:t>其投标文件按拒收处理</w:t>
            </w:r>
            <w:r>
              <w:rPr>
                <w:rFonts w:ascii="宋体" w:hAnsi="宋体" w:eastAsia="宋体" w:cs="Courier New"/>
                <w:color w:val="00000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29</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评审委员会的</w:t>
            </w:r>
          </w:p>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组建</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30</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政府采购</w:t>
            </w:r>
          </w:p>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扶持政策</w:t>
            </w:r>
          </w:p>
        </w:tc>
        <w:tc>
          <w:tcPr>
            <w:tcW w:w="7776" w:type="dxa"/>
            <w:noWrap w:val="0"/>
            <w:vAlign w:val="center"/>
          </w:tcPr>
          <w:p>
            <w:pPr>
              <w:spacing w:line="460" w:lineRule="exact"/>
              <w:rPr>
                <w:rFonts w:ascii="宋体" w:hAnsi="宋体" w:eastAsia="宋体"/>
                <w:color w:val="000000"/>
              </w:rPr>
            </w:pPr>
            <w:r>
              <w:rPr>
                <w:rFonts w:hint="eastAsia" w:ascii="宋体" w:hAnsi="宋体" w:eastAsia="宋体" w:cs="Courier New"/>
                <w:b w:val="0"/>
                <w:color w:val="000000"/>
                <w:sz w:val="22"/>
              </w:rPr>
              <w:t>见招标文件相关内容描述。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31</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投标供应商</w:t>
            </w:r>
          </w:p>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信用查询</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1、投标供应商信用信息查询的查询渠道：“信用中国”(www.creditchina.gov.cn)；“中国政府采购网”（www.ccgp.gov.cn）；</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2、投标供应商信用信息查询截止时点：招标公告发布之日至投标截止时间前。</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3、投标供应商信用信息查询记录和证据留存的具体方式：网页截图打印；</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4、信用信息的使用规则：</w:t>
            </w:r>
            <w:r>
              <w:rPr>
                <w:rFonts w:hint="eastAsia" w:ascii="宋体" w:hAnsi="宋体" w:eastAsia="宋体"/>
                <w:b w:val="0"/>
                <w:color w:val="000000"/>
                <w:sz w:val="22"/>
              </w:rPr>
              <w:t>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32</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合同备案</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1、中标供应商须在中标通知书发出之日起30日历天内与采购人签订合同。</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2、中标供应商与采购人签订合同后，2日历天内将合同原件送至采购人及采购代理机构处；</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3、本项目政府采购合同按规定在浙江政府采购网予以公告。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33</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合同履约管理</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合同签订后，采购人依法加强对合同履约进行管理，并在中标单位供货、项目验收等重要关节，如实填写《合同验收报告》，并及时向同级财政部门报告验收过程中遇到的问题。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34</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免责声明</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1、投标供应商自行承担投标过程中产生的费用。无论何种因素导致采购项目延期开标、废标（流标）、投标供应商未中标、项目终止采购的，采购人与采购代理机构均不承担供应商投标费用。</w:t>
            </w:r>
          </w:p>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7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35</w:t>
            </w:r>
          </w:p>
        </w:tc>
        <w:tc>
          <w:tcPr>
            <w:tcW w:w="1553" w:type="dxa"/>
            <w:noWrap w:val="0"/>
            <w:vAlign w:val="center"/>
          </w:tcPr>
          <w:p>
            <w:pPr>
              <w:spacing w:line="44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质疑</w:t>
            </w:r>
          </w:p>
        </w:tc>
        <w:tc>
          <w:tcPr>
            <w:tcW w:w="7776" w:type="dxa"/>
            <w:noWrap w:val="0"/>
            <w:vAlign w:val="center"/>
          </w:tcPr>
          <w:p>
            <w:pPr>
              <w:spacing w:line="440" w:lineRule="exact"/>
              <w:rPr>
                <w:rFonts w:ascii="宋体" w:hAnsi="宋体" w:eastAsia="宋体" w:cs="Courier New"/>
                <w:b w:val="0"/>
                <w:color w:val="000000"/>
                <w:sz w:val="22"/>
              </w:rPr>
            </w:pPr>
            <w:r>
              <w:rPr>
                <w:rFonts w:hint="eastAsia" w:ascii="宋体" w:hAnsi="宋体" w:eastAsia="宋体"/>
                <w:b w:val="0"/>
                <w:color w:val="000000"/>
                <w:sz w:val="22"/>
              </w:rPr>
              <w:t>供应商认为招标文件、采购过程、中标或者成交结果使自己的权益受到损害的，可以在知道或者应知其权益受到损害之日起</w:t>
            </w:r>
            <w:r>
              <w:rPr>
                <w:rFonts w:ascii="宋体" w:hAnsi="宋体" w:eastAsia="宋体"/>
                <w:b w:val="0"/>
                <w:color w:val="000000"/>
                <w:sz w:val="22"/>
              </w:rPr>
              <w:t>7个工作日内，以书面形式向采购人、采购代理机构提出质疑，逾期采购代理机构可不予受理及答复。供应商须在法定质疑期内一次性提出针对同一采购程序环节的质疑。在线提起质疑的须上传质疑函扫描件</w:t>
            </w:r>
            <w:r>
              <w:rPr>
                <w:rFonts w:hint="eastAsia" w:ascii="宋体" w:hAnsi="宋体" w:eastAsia="宋体"/>
                <w:b w:val="0"/>
                <w:color w:val="00000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48"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36</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解释权</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37</w:t>
            </w:r>
          </w:p>
        </w:tc>
        <w:tc>
          <w:tcPr>
            <w:tcW w:w="1553" w:type="dxa"/>
            <w:noWrap w:val="0"/>
            <w:vAlign w:val="center"/>
          </w:tcPr>
          <w:p>
            <w:pPr>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招标代理费用</w:t>
            </w:r>
          </w:p>
        </w:tc>
        <w:tc>
          <w:tcPr>
            <w:tcW w:w="7776" w:type="dxa"/>
            <w:noWrap w:val="0"/>
            <w:vAlign w:val="center"/>
          </w:tcPr>
          <w:p>
            <w:pPr>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38</w:t>
            </w:r>
          </w:p>
        </w:tc>
        <w:tc>
          <w:tcPr>
            <w:tcW w:w="1553" w:type="dxa"/>
            <w:noWrap w:val="0"/>
            <w:vAlign w:val="center"/>
          </w:tcPr>
          <w:p>
            <w:pPr>
              <w:spacing w:line="460" w:lineRule="exact"/>
              <w:jc w:val="center"/>
              <w:rPr>
                <w:rFonts w:ascii="宋体" w:hAnsi="宋体" w:eastAsia="宋体" w:cs="Courier New"/>
                <w:color w:val="000000"/>
                <w:sz w:val="22"/>
              </w:rPr>
            </w:pPr>
            <w:r>
              <w:rPr>
                <w:rFonts w:hint="eastAsia" w:ascii="宋体" w:hAnsi="宋体" w:eastAsia="宋体"/>
                <w:color w:val="000000"/>
                <w:sz w:val="22"/>
              </w:rPr>
              <w:t>注意事项</w:t>
            </w:r>
          </w:p>
        </w:tc>
        <w:tc>
          <w:tcPr>
            <w:tcW w:w="7776" w:type="dxa"/>
            <w:noWrap w:val="0"/>
            <w:vAlign w:val="center"/>
          </w:tcPr>
          <w:p>
            <w:pPr>
              <w:spacing w:line="460" w:lineRule="exact"/>
              <w:rPr>
                <w:rFonts w:ascii="宋体" w:hAnsi="宋体" w:eastAsia="宋体" w:cs="Courier New"/>
                <w:color w:val="000000"/>
                <w:sz w:val="22"/>
              </w:rPr>
            </w:pPr>
            <w:r>
              <w:rPr>
                <w:rFonts w:hint="eastAsia" w:ascii="宋体" w:hAnsi="宋体" w:eastAsia="宋体" w:cs="Courier New"/>
                <w:color w:val="000000"/>
                <w:sz w:val="22"/>
              </w:rPr>
              <w:t>1、请务必确保投标文件制作客户端为最新版本，旧版本可能导致投标文件解密失败。</w:t>
            </w:r>
          </w:p>
          <w:p>
            <w:pPr>
              <w:spacing w:line="460" w:lineRule="exact"/>
              <w:rPr>
                <w:rFonts w:ascii="宋体" w:hAnsi="宋体" w:eastAsia="宋体"/>
                <w:color w:val="000000"/>
                <w:sz w:val="22"/>
              </w:rPr>
            </w:pPr>
            <w:r>
              <w:rPr>
                <w:rFonts w:hint="eastAsia" w:ascii="宋体" w:hAnsi="宋体" w:eastAsia="宋体" w:cs="Courier New"/>
                <w:color w:val="000000"/>
                <w:sz w:val="22"/>
              </w:rPr>
              <w:t>2、请务必确保投标文件制作时所用的 CA 锁与投标文件解密时的 CA 锁为同一把，否则可能导致投标文件解密失败。</w:t>
            </w:r>
          </w:p>
        </w:tc>
      </w:tr>
    </w:tbl>
    <w:p>
      <w:pPr>
        <w:autoSpaceDE w:val="0"/>
        <w:autoSpaceDN w:val="0"/>
        <w:snapToGrid w:val="0"/>
        <w:spacing w:line="460" w:lineRule="atLeast"/>
        <w:jc w:val="center"/>
        <w:rPr>
          <w:rFonts w:ascii="宋体" w:hAnsi="宋体" w:eastAsia="宋体"/>
          <w:b w:val="0"/>
          <w:color w:val="000000"/>
          <w:lang w:val="zh-CN"/>
        </w:rPr>
      </w:pPr>
      <w:r>
        <w:rPr>
          <w:rFonts w:ascii="宋体" w:hAnsi="宋体" w:eastAsia="宋体"/>
          <w:color w:val="000000"/>
        </w:rPr>
        <w:br w:type="page"/>
      </w:r>
      <w:r>
        <w:rPr>
          <w:rFonts w:hint="eastAsia" w:ascii="宋体" w:hAnsi="宋体" w:eastAsia="宋体"/>
          <w:b w:val="0"/>
          <w:color w:val="000000"/>
          <w:sz w:val="36"/>
          <w:lang w:val="zh-CN"/>
        </w:rPr>
        <w:t>第二部分</w:t>
      </w:r>
      <w:r>
        <w:rPr>
          <w:rFonts w:ascii="宋体" w:hAnsi="宋体" w:eastAsia="宋体"/>
          <w:b w:val="0"/>
          <w:color w:val="000000"/>
          <w:sz w:val="36"/>
          <w:lang w:val="zh-CN"/>
        </w:rPr>
        <w:t xml:space="preserve">    </w:t>
      </w:r>
      <w:r>
        <w:rPr>
          <w:rFonts w:hint="eastAsia" w:ascii="宋体" w:hAnsi="宋体" w:eastAsia="宋体"/>
          <w:b w:val="0"/>
          <w:color w:val="000000"/>
          <w:sz w:val="36"/>
          <w:lang w:val="zh-CN"/>
        </w:rPr>
        <w:t>招标内容及要求</w:t>
      </w:r>
    </w:p>
    <w:p>
      <w:pPr>
        <w:autoSpaceDE w:val="0"/>
        <w:autoSpaceDN w:val="0"/>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一、项目介绍</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本项目位于乐清市，按照乐清</w:t>
      </w:r>
      <w:r>
        <w:rPr>
          <w:rFonts w:hint="eastAsia" w:ascii="宋体" w:hAnsi="宋体" w:eastAsia="宋体"/>
          <w:b w:val="0"/>
          <w:color w:val="000000"/>
          <w:sz w:val="22"/>
          <w:lang w:val="en-US" w:eastAsia="zh-CN"/>
        </w:rPr>
        <w:t>市</w:t>
      </w:r>
      <w:r>
        <w:rPr>
          <w:rFonts w:hint="eastAsia" w:ascii="宋体" w:hAnsi="宋体" w:eastAsia="宋体"/>
          <w:b w:val="0"/>
          <w:color w:val="000000"/>
          <w:sz w:val="22"/>
          <w:lang w:val="en-US" w:eastAsia="zh-CN"/>
        </w:rPr>
        <w:t>公安局</w:t>
      </w:r>
      <w:r>
        <w:rPr>
          <w:rFonts w:hint="eastAsia" w:ascii="宋体" w:hAnsi="宋体" w:eastAsia="宋体"/>
          <w:b w:val="0"/>
          <w:color w:val="000000"/>
          <w:sz w:val="22"/>
        </w:rPr>
        <w:t>规划布局和</w:t>
      </w:r>
      <w:r>
        <w:rPr>
          <w:rFonts w:hint="eastAsia" w:ascii="宋体" w:hAnsi="宋体" w:eastAsia="宋体"/>
          <w:b w:val="0"/>
          <w:color w:val="000000"/>
          <w:sz w:val="22"/>
          <w:lang w:val="en-US" w:eastAsia="zh-CN"/>
        </w:rPr>
        <w:t>乐清市</w:t>
      </w:r>
      <w:r>
        <w:rPr>
          <w:rFonts w:hint="eastAsia" w:ascii="宋体" w:hAnsi="宋体" w:eastAsia="宋体"/>
          <w:b w:val="0"/>
          <w:color w:val="000000"/>
          <w:sz w:val="22"/>
        </w:rPr>
        <w:t>“雪亮工程”</w:t>
      </w:r>
      <w:r>
        <w:rPr>
          <w:rFonts w:hint="eastAsia" w:ascii="宋体" w:hAnsi="宋体" w:eastAsia="宋体"/>
          <w:b w:val="0"/>
          <w:color w:val="000000"/>
          <w:sz w:val="22"/>
          <w:lang w:val="en-US" w:eastAsia="zh-CN"/>
        </w:rPr>
        <w:t>推进</w:t>
      </w:r>
      <w:r>
        <w:rPr>
          <w:rFonts w:hint="eastAsia" w:ascii="宋体" w:hAnsi="宋体" w:eastAsia="宋体"/>
          <w:b w:val="0"/>
          <w:color w:val="000000"/>
          <w:sz w:val="22"/>
          <w:lang w:val="en-US" w:eastAsia="zh-CN"/>
        </w:rPr>
        <w:t>实施</w:t>
      </w:r>
      <w:r>
        <w:rPr>
          <w:rFonts w:hint="eastAsia" w:ascii="宋体" w:hAnsi="宋体" w:eastAsia="宋体"/>
          <w:b w:val="0"/>
          <w:color w:val="000000"/>
          <w:sz w:val="22"/>
        </w:rPr>
        <w:t>的要求，在原有乐清市历年高清视频监控建设基础上，完善系统建设，</w:t>
      </w:r>
      <w:r>
        <w:rPr>
          <w:rFonts w:hint="eastAsia" w:ascii="宋体" w:hAnsi="宋体" w:eastAsia="宋体"/>
          <w:b w:val="0"/>
          <w:color w:val="000000"/>
          <w:sz w:val="22"/>
          <w:lang w:val="en-US" w:eastAsia="zh-CN"/>
        </w:rPr>
        <w:t>主要</w:t>
      </w:r>
      <w:r>
        <w:rPr>
          <w:rFonts w:hint="eastAsia" w:ascii="宋体" w:hAnsi="宋体" w:eastAsia="宋体"/>
          <w:b w:val="0"/>
          <w:color w:val="000000"/>
          <w:sz w:val="22"/>
          <w:lang w:val="en-US" w:eastAsia="zh-CN"/>
        </w:rPr>
        <w:t>在人员密集区域建设</w:t>
      </w:r>
      <w:r>
        <w:rPr>
          <w:rFonts w:hint="eastAsia" w:ascii="宋体" w:hAnsi="宋体" w:eastAsia="宋体"/>
          <w:b w:val="0"/>
          <w:color w:val="000000"/>
          <w:sz w:val="22"/>
          <w:lang w:val="en-US" w:eastAsia="zh-CN"/>
        </w:rPr>
        <w:t>视频</w:t>
      </w:r>
      <w:r>
        <w:rPr>
          <w:rFonts w:hint="eastAsia" w:ascii="宋体" w:hAnsi="宋体" w:eastAsia="宋体"/>
          <w:b w:val="0"/>
          <w:color w:val="000000"/>
          <w:sz w:val="22"/>
          <w:lang w:val="en-US" w:eastAsia="zh-CN"/>
        </w:rPr>
        <w:t>监控、人脸识别点位983处</w:t>
      </w:r>
      <w:r>
        <w:rPr>
          <w:rFonts w:hint="eastAsia" w:ascii="宋体" w:hAnsi="宋体" w:eastAsia="宋体"/>
          <w:b w:val="0"/>
          <w:color w:val="000000"/>
          <w:sz w:val="22"/>
          <w:lang w:eastAsia="zh-CN"/>
        </w:rPr>
        <w:t>，</w:t>
      </w:r>
      <w:r>
        <w:rPr>
          <w:rFonts w:hint="eastAsia" w:ascii="宋体" w:hAnsi="宋体" w:eastAsia="宋体"/>
          <w:b w:val="0"/>
          <w:color w:val="000000"/>
          <w:sz w:val="22"/>
          <w:lang w:val="en-US" w:eastAsia="zh-CN"/>
        </w:rPr>
        <w:t>其中含新建、改建、加头等方式进行一体化设计，最大程度避免重复建设</w:t>
      </w:r>
      <w:r>
        <w:rPr>
          <w:rFonts w:hint="eastAsia" w:ascii="宋体" w:hAnsi="宋体" w:eastAsia="宋体"/>
          <w:b w:val="0"/>
          <w:color w:val="000000"/>
          <w:sz w:val="22"/>
        </w:rPr>
        <w:t>。</w:t>
      </w:r>
      <w:r>
        <w:rPr>
          <w:rFonts w:hint="eastAsia" w:ascii="宋体" w:hAnsi="宋体" w:eastAsia="宋体"/>
          <w:b w:val="0"/>
          <w:color w:val="000000"/>
          <w:sz w:val="22"/>
          <w:lang w:val="en-US" w:eastAsia="zh-CN"/>
        </w:rPr>
        <w:t>项目主要根据建设地理区域划分，</w:t>
      </w:r>
      <w:r>
        <w:rPr>
          <w:rFonts w:hint="eastAsia" w:ascii="宋体" w:hAnsi="宋体" w:eastAsia="宋体"/>
          <w:b w:val="0"/>
          <w:color w:val="000000"/>
          <w:sz w:val="22"/>
        </w:rPr>
        <w:t>各标项划分如下：</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标项一：</w:t>
      </w:r>
    </w:p>
    <w:p>
      <w:pPr>
        <w:snapToGrid w:val="0"/>
        <w:spacing w:line="460" w:lineRule="exact"/>
        <w:ind w:firstLine="440" w:firstLineChars="200"/>
        <w:rPr>
          <w:rFonts w:hint="eastAsia" w:ascii="宋体" w:hAnsi="宋体" w:eastAsia="宋体"/>
          <w:b w:val="0"/>
          <w:color w:val="000000"/>
          <w:sz w:val="22"/>
          <w:lang w:val="en-US" w:eastAsia="zh-CN"/>
        </w:rPr>
      </w:pPr>
      <w:r>
        <w:rPr>
          <w:rFonts w:hint="eastAsia" w:ascii="宋体" w:hAnsi="宋体" w:eastAsia="宋体"/>
          <w:b w:val="0"/>
          <w:color w:val="000000"/>
          <w:sz w:val="22"/>
        </w:rPr>
        <w:t>前端建设涉及乐清市所辖所有乡镇街道，以城区以西为主，</w:t>
      </w:r>
      <w:r>
        <w:rPr>
          <w:rFonts w:hint="eastAsia" w:ascii="宋体" w:hAnsi="宋体" w:eastAsia="宋体"/>
          <w:b w:val="0"/>
          <w:color w:val="000000"/>
          <w:sz w:val="22"/>
          <w:lang w:val="en-US" w:eastAsia="zh-CN"/>
        </w:rPr>
        <w:t>具体建设范围主要覆盖</w:t>
      </w:r>
      <w:r>
        <w:rPr>
          <w:rFonts w:hint="eastAsia" w:ascii="宋体" w:hAnsi="宋体" w:eastAsia="宋体"/>
          <w:b w:val="0"/>
          <w:color w:val="000000"/>
          <w:sz w:val="22"/>
          <w:lang w:val="en-US" w:eastAsia="zh-CN"/>
        </w:rPr>
        <w:t>2</w:t>
      </w:r>
      <w:r>
        <w:rPr>
          <w:rFonts w:hint="eastAsia" w:ascii="宋体" w:hAnsi="宋体" w:eastAsia="宋体"/>
          <w:b w:val="0"/>
          <w:color w:val="000000"/>
          <w:sz w:val="22"/>
          <w:lang w:val="en-US" w:eastAsia="zh-CN"/>
        </w:rPr>
        <w:t>50</w:t>
      </w:r>
      <w:r>
        <w:rPr>
          <w:rFonts w:hint="eastAsia" w:ascii="宋体" w:hAnsi="宋体" w:eastAsia="宋体"/>
          <w:b w:val="0"/>
          <w:color w:val="000000"/>
          <w:sz w:val="22"/>
          <w:lang w:val="en-US" w:eastAsia="zh-CN"/>
        </w:rPr>
        <w:t>处</w:t>
      </w:r>
      <w:r>
        <w:rPr>
          <w:rFonts w:hint="eastAsia" w:ascii="宋体" w:hAnsi="宋体" w:eastAsia="宋体"/>
          <w:b w:val="0"/>
          <w:color w:val="000000"/>
          <w:sz w:val="22"/>
          <w:lang w:val="en-US" w:eastAsia="zh-CN"/>
        </w:rPr>
        <w:t>核心及周边延伸建设区域</w:t>
      </w:r>
      <w:r>
        <w:rPr>
          <w:rFonts w:hint="eastAsia" w:ascii="宋体" w:hAnsi="宋体" w:eastAsia="宋体"/>
          <w:b w:val="0"/>
          <w:color w:val="000000"/>
          <w:sz w:val="22"/>
        </w:rPr>
        <w:t>，</w:t>
      </w:r>
      <w:r>
        <w:rPr>
          <w:rFonts w:hint="eastAsia" w:ascii="宋体" w:hAnsi="宋体" w:eastAsia="宋体"/>
          <w:b w:val="0"/>
          <w:color w:val="000000"/>
          <w:sz w:val="22"/>
          <w:lang w:val="en-US" w:eastAsia="zh-CN"/>
        </w:rPr>
        <w:t>主要覆盖</w:t>
      </w:r>
      <w:r>
        <w:rPr>
          <w:rFonts w:hint="eastAsia" w:ascii="宋体" w:hAnsi="宋体" w:eastAsia="宋体"/>
          <w:b w:val="0"/>
          <w:color w:val="000000"/>
          <w:sz w:val="22"/>
        </w:rPr>
        <w:t>重点公共区域、农村公共出入口、</w:t>
      </w:r>
      <w:r>
        <w:rPr>
          <w:rFonts w:hint="eastAsia" w:ascii="宋体" w:hAnsi="宋体" w:eastAsia="宋体"/>
          <w:b w:val="0"/>
          <w:color w:val="000000"/>
          <w:sz w:val="22"/>
          <w:lang w:val="en-US" w:eastAsia="zh-CN"/>
        </w:rPr>
        <w:t>城乡人群主要活动区域</w:t>
      </w:r>
      <w:r>
        <w:rPr>
          <w:rFonts w:hint="eastAsia" w:ascii="宋体" w:hAnsi="宋体" w:eastAsia="宋体"/>
          <w:b w:val="0"/>
          <w:color w:val="000000"/>
          <w:sz w:val="22"/>
        </w:rPr>
        <w:t>等</w:t>
      </w:r>
      <w:r>
        <w:rPr>
          <w:rFonts w:hint="eastAsia" w:ascii="宋体" w:hAnsi="宋体" w:eastAsia="宋体"/>
          <w:b w:val="0"/>
          <w:color w:val="000000"/>
          <w:sz w:val="22"/>
        </w:rPr>
        <w:t>，</w:t>
      </w:r>
      <w:r>
        <w:rPr>
          <w:rFonts w:hint="eastAsia" w:ascii="宋体" w:hAnsi="宋体" w:eastAsia="宋体"/>
          <w:b w:val="0"/>
          <w:color w:val="000000"/>
          <w:sz w:val="22"/>
          <w:lang w:val="en-US" w:eastAsia="zh-CN"/>
        </w:rPr>
        <w:t>建设</w:t>
      </w:r>
      <w:r>
        <w:rPr>
          <w:rFonts w:hint="eastAsia" w:ascii="宋体" w:hAnsi="宋体" w:eastAsia="宋体"/>
          <w:b w:val="0"/>
          <w:color w:val="000000"/>
          <w:sz w:val="22"/>
          <w:lang w:val="en-US" w:eastAsia="zh-CN"/>
        </w:rPr>
        <w:t>类型为视频监控及人脸识别抓拍点位。</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lang w:val="en-US" w:eastAsia="zh-CN"/>
        </w:rPr>
        <w:t>项目</w:t>
      </w:r>
      <w:r>
        <w:rPr>
          <w:rFonts w:hint="eastAsia" w:ascii="宋体" w:hAnsi="宋体" w:eastAsia="宋体"/>
          <w:b w:val="0"/>
          <w:color w:val="000000"/>
          <w:sz w:val="22"/>
        </w:rPr>
        <w:t>包含实现本项目需求的前端点位建设、中间网络传输设备、光网络租赁、后端存储、服务器、平台软件、辅配件、使用授权、应用工具、运维服务等。</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标项二：</w:t>
      </w:r>
    </w:p>
    <w:p>
      <w:pPr>
        <w:snapToGrid w:val="0"/>
        <w:spacing w:line="460" w:lineRule="exact"/>
        <w:ind w:firstLine="440" w:firstLineChars="200"/>
        <w:rPr>
          <w:rFonts w:hint="eastAsia" w:ascii="宋体" w:hAnsi="宋体" w:eastAsia="宋体"/>
          <w:b w:val="0"/>
          <w:color w:val="000000"/>
          <w:sz w:val="22"/>
          <w:lang w:val="en-US" w:eastAsia="zh-CN"/>
        </w:rPr>
      </w:pPr>
      <w:r>
        <w:rPr>
          <w:rFonts w:hint="eastAsia" w:ascii="宋体" w:hAnsi="宋体" w:eastAsia="宋体"/>
          <w:b w:val="0"/>
          <w:color w:val="000000"/>
          <w:sz w:val="22"/>
        </w:rPr>
        <w:t>前端建设涉及乐清市所辖所有乡镇街道，以乐清市中片乡镇街道为主，</w:t>
      </w:r>
      <w:r>
        <w:rPr>
          <w:rFonts w:hint="eastAsia" w:ascii="宋体" w:hAnsi="宋体" w:eastAsia="宋体"/>
          <w:b w:val="0"/>
          <w:color w:val="000000"/>
          <w:sz w:val="22"/>
          <w:lang w:val="en-US" w:eastAsia="zh-CN"/>
        </w:rPr>
        <w:t>具体建设范围主要覆盖240处核心及周边延伸建设区域</w:t>
      </w:r>
      <w:r>
        <w:rPr>
          <w:rFonts w:hint="eastAsia" w:ascii="宋体" w:hAnsi="宋体" w:eastAsia="宋体"/>
          <w:b w:val="0"/>
          <w:color w:val="000000"/>
          <w:sz w:val="22"/>
        </w:rPr>
        <w:t>，</w:t>
      </w:r>
      <w:r>
        <w:rPr>
          <w:rFonts w:hint="eastAsia" w:ascii="宋体" w:hAnsi="宋体" w:eastAsia="宋体"/>
          <w:b w:val="0"/>
          <w:color w:val="000000"/>
          <w:sz w:val="22"/>
          <w:lang w:val="en-US" w:eastAsia="zh-CN"/>
        </w:rPr>
        <w:t>主要覆盖</w:t>
      </w:r>
      <w:r>
        <w:rPr>
          <w:rFonts w:hint="eastAsia" w:ascii="宋体" w:hAnsi="宋体" w:eastAsia="宋体"/>
          <w:b w:val="0"/>
          <w:color w:val="000000"/>
          <w:sz w:val="22"/>
        </w:rPr>
        <w:t>重点公共区域、农村公共出入口、</w:t>
      </w:r>
      <w:r>
        <w:rPr>
          <w:rFonts w:hint="eastAsia" w:ascii="宋体" w:hAnsi="宋体" w:eastAsia="宋体"/>
          <w:b w:val="0"/>
          <w:color w:val="000000"/>
          <w:sz w:val="22"/>
          <w:lang w:val="en-US" w:eastAsia="zh-CN"/>
        </w:rPr>
        <w:t>城乡人群主要活动区域</w:t>
      </w:r>
      <w:r>
        <w:rPr>
          <w:rFonts w:hint="eastAsia" w:ascii="宋体" w:hAnsi="宋体" w:eastAsia="宋体"/>
          <w:b w:val="0"/>
          <w:color w:val="000000"/>
          <w:sz w:val="22"/>
        </w:rPr>
        <w:t>等，</w:t>
      </w:r>
      <w:r>
        <w:rPr>
          <w:rFonts w:hint="eastAsia" w:ascii="宋体" w:hAnsi="宋体" w:eastAsia="宋体"/>
          <w:b w:val="0"/>
          <w:color w:val="000000"/>
          <w:sz w:val="22"/>
          <w:lang w:val="en-US" w:eastAsia="zh-CN"/>
        </w:rPr>
        <w:t>建设类型为视频监控及人脸识别抓拍点位。</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lang w:val="en-US" w:eastAsia="zh-CN"/>
        </w:rPr>
        <w:t>项目</w:t>
      </w:r>
      <w:r>
        <w:rPr>
          <w:rFonts w:hint="eastAsia" w:ascii="宋体" w:hAnsi="宋体" w:eastAsia="宋体"/>
          <w:b w:val="0"/>
          <w:color w:val="000000"/>
          <w:sz w:val="22"/>
        </w:rPr>
        <w:t>包含实现本项目需求的前端点位建设、中间网络传输设备、光网络租赁、后端存储、服务器、平台软件、辅配件、使用授权、应用工具、运维服务等。</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标项三：</w:t>
      </w:r>
    </w:p>
    <w:p>
      <w:pPr>
        <w:snapToGrid w:val="0"/>
        <w:spacing w:line="460" w:lineRule="exact"/>
        <w:ind w:firstLine="440" w:firstLineChars="200"/>
        <w:rPr>
          <w:rFonts w:hint="eastAsia" w:ascii="宋体" w:hAnsi="宋体" w:eastAsia="宋体"/>
          <w:b w:val="0"/>
          <w:color w:val="000000"/>
          <w:sz w:val="22"/>
          <w:lang w:val="en-US" w:eastAsia="zh-CN"/>
        </w:rPr>
      </w:pPr>
      <w:r>
        <w:rPr>
          <w:rFonts w:hint="eastAsia" w:ascii="宋体" w:hAnsi="宋体" w:eastAsia="宋体"/>
          <w:b w:val="0"/>
          <w:color w:val="000000"/>
          <w:sz w:val="22"/>
        </w:rPr>
        <w:t>前端建设涉及乐清市所辖所有乡镇街道，以乐清市</w:t>
      </w:r>
      <w:r>
        <w:rPr>
          <w:rFonts w:hint="eastAsia" w:ascii="宋体" w:hAnsi="宋体" w:eastAsia="宋体"/>
          <w:b w:val="0"/>
          <w:color w:val="000000"/>
          <w:sz w:val="22"/>
          <w:lang w:val="en-US" w:eastAsia="zh-CN"/>
        </w:rPr>
        <w:t>中片</w:t>
      </w:r>
      <w:r>
        <w:rPr>
          <w:rFonts w:hint="eastAsia" w:ascii="宋体" w:hAnsi="宋体" w:eastAsia="宋体"/>
          <w:b w:val="0"/>
          <w:color w:val="000000"/>
          <w:sz w:val="22"/>
          <w:lang w:val="en-US" w:eastAsia="zh-CN"/>
        </w:rPr>
        <w:t>乡镇街道</w:t>
      </w:r>
      <w:r>
        <w:rPr>
          <w:rFonts w:hint="eastAsia" w:ascii="宋体" w:hAnsi="宋体" w:eastAsia="宋体"/>
          <w:b w:val="0"/>
          <w:color w:val="000000"/>
          <w:sz w:val="22"/>
        </w:rPr>
        <w:t>为主，</w:t>
      </w:r>
      <w:r>
        <w:rPr>
          <w:rFonts w:hint="eastAsia" w:ascii="宋体" w:hAnsi="宋体" w:eastAsia="宋体"/>
          <w:b w:val="0"/>
          <w:color w:val="000000"/>
          <w:sz w:val="22"/>
          <w:lang w:val="en-US" w:eastAsia="zh-CN"/>
        </w:rPr>
        <w:t>具体建设范围主要覆盖233处核心及周边延伸建设区域</w:t>
      </w:r>
      <w:r>
        <w:rPr>
          <w:rFonts w:hint="eastAsia" w:ascii="宋体" w:hAnsi="宋体" w:eastAsia="宋体"/>
          <w:b w:val="0"/>
          <w:color w:val="000000"/>
          <w:sz w:val="22"/>
        </w:rPr>
        <w:t>，</w:t>
      </w:r>
      <w:r>
        <w:rPr>
          <w:rFonts w:hint="eastAsia" w:ascii="宋体" w:hAnsi="宋体" w:eastAsia="宋体"/>
          <w:b w:val="0"/>
          <w:color w:val="000000"/>
          <w:sz w:val="22"/>
          <w:lang w:val="en-US" w:eastAsia="zh-CN"/>
        </w:rPr>
        <w:t>主要覆盖</w:t>
      </w:r>
      <w:r>
        <w:rPr>
          <w:rFonts w:hint="eastAsia" w:ascii="宋体" w:hAnsi="宋体" w:eastAsia="宋体"/>
          <w:b w:val="0"/>
          <w:color w:val="000000"/>
          <w:sz w:val="22"/>
        </w:rPr>
        <w:t>重点公共区域、农村公共出入口、</w:t>
      </w:r>
      <w:r>
        <w:rPr>
          <w:rFonts w:hint="eastAsia" w:ascii="宋体" w:hAnsi="宋体" w:eastAsia="宋体"/>
          <w:b w:val="0"/>
          <w:color w:val="000000"/>
          <w:sz w:val="22"/>
          <w:lang w:val="en-US" w:eastAsia="zh-CN"/>
        </w:rPr>
        <w:t>城乡人群主要活动区域</w:t>
      </w:r>
      <w:r>
        <w:rPr>
          <w:rFonts w:hint="eastAsia" w:ascii="宋体" w:hAnsi="宋体" w:eastAsia="宋体"/>
          <w:b w:val="0"/>
          <w:color w:val="000000"/>
          <w:sz w:val="22"/>
        </w:rPr>
        <w:t>等，</w:t>
      </w:r>
      <w:r>
        <w:rPr>
          <w:rFonts w:hint="eastAsia" w:ascii="宋体" w:hAnsi="宋体" w:eastAsia="宋体"/>
          <w:b w:val="0"/>
          <w:color w:val="000000"/>
          <w:sz w:val="22"/>
          <w:lang w:val="en-US" w:eastAsia="zh-CN"/>
        </w:rPr>
        <w:t>建设类型为视频监控及人脸识别抓拍点位。</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lang w:val="en-US" w:eastAsia="zh-CN"/>
        </w:rPr>
        <w:t>项目</w:t>
      </w:r>
      <w:r>
        <w:rPr>
          <w:rFonts w:hint="eastAsia" w:ascii="宋体" w:hAnsi="宋体" w:eastAsia="宋体"/>
          <w:b w:val="0"/>
          <w:color w:val="000000"/>
          <w:sz w:val="22"/>
        </w:rPr>
        <w:t>包含实现本项目需求的前端点位建设、中间网络传输设备、光网络租赁、后端存储、服务器、平台软件、辅配件、使用授权、应用工具、运维服务等。</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标项四：</w:t>
      </w:r>
    </w:p>
    <w:p>
      <w:pPr>
        <w:snapToGrid w:val="0"/>
        <w:spacing w:line="460" w:lineRule="exact"/>
        <w:ind w:firstLine="440" w:firstLineChars="200"/>
        <w:rPr>
          <w:rFonts w:hint="eastAsia" w:ascii="宋体" w:hAnsi="宋体" w:eastAsia="宋体"/>
          <w:b w:val="0"/>
          <w:color w:val="000000"/>
          <w:sz w:val="22"/>
          <w:lang w:val="en-US" w:eastAsia="zh-CN"/>
        </w:rPr>
      </w:pPr>
      <w:r>
        <w:rPr>
          <w:rFonts w:hint="eastAsia" w:ascii="宋体" w:hAnsi="宋体" w:eastAsia="宋体"/>
          <w:b w:val="0"/>
          <w:color w:val="000000"/>
          <w:sz w:val="22"/>
        </w:rPr>
        <w:t>前端建设涉及乐清市所辖所有乡镇街道，以乐清市</w:t>
      </w:r>
      <w:r>
        <w:rPr>
          <w:rFonts w:hint="eastAsia" w:ascii="宋体" w:hAnsi="宋体" w:eastAsia="宋体"/>
          <w:b w:val="0"/>
          <w:color w:val="000000"/>
          <w:sz w:val="22"/>
          <w:lang w:val="en-US" w:eastAsia="zh-CN"/>
        </w:rPr>
        <w:t>东片（虹桥片）乡镇街道</w:t>
      </w:r>
      <w:r>
        <w:rPr>
          <w:rFonts w:hint="eastAsia" w:ascii="宋体" w:hAnsi="宋体" w:eastAsia="宋体"/>
          <w:b w:val="0"/>
          <w:color w:val="000000"/>
          <w:sz w:val="22"/>
        </w:rPr>
        <w:t>为主，</w:t>
      </w:r>
      <w:r>
        <w:rPr>
          <w:rFonts w:hint="eastAsia" w:ascii="宋体" w:hAnsi="宋体" w:eastAsia="宋体"/>
          <w:b w:val="0"/>
          <w:color w:val="000000"/>
          <w:sz w:val="22"/>
          <w:lang w:val="en-US" w:eastAsia="zh-CN"/>
        </w:rPr>
        <w:t>具体建设范围主要覆盖182处核心及周边延伸建设区域</w:t>
      </w:r>
      <w:r>
        <w:rPr>
          <w:rFonts w:hint="eastAsia" w:ascii="宋体" w:hAnsi="宋体" w:eastAsia="宋体"/>
          <w:b w:val="0"/>
          <w:color w:val="000000"/>
          <w:sz w:val="22"/>
        </w:rPr>
        <w:t>，</w:t>
      </w:r>
      <w:r>
        <w:rPr>
          <w:rFonts w:hint="eastAsia" w:ascii="宋体" w:hAnsi="宋体" w:eastAsia="宋体"/>
          <w:b w:val="0"/>
          <w:color w:val="000000"/>
          <w:sz w:val="22"/>
          <w:lang w:val="en-US" w:eastAsia="zh-CN"/>
        </w:rPr>
        <w:t>主要覆盖</w:t>
      </w:r>
      <w:r>
        <w:rPr>
          <w:rFonts w:hint="eastAsia" w:ascii="宋体" w:hAnsi="宋体" w:eastAsia="宋体"/>
          <w:b w:val="0"/>
          <w:color w:val="000000"/>
          <w:sz w:val="22"/>
        </w:rPr>
        <w:t>重点公共区域、农村公共出入口、</w:t>
      </w:r>
      <w:r>
        <w:rPr>
          <w:rFonts w:hint="eastAsia" w:ascii="宋体" w:hAnsi="宋体" w:eastAsia="宋体"/>
          <w:b w:val="0"/>
          <w:color w:val="000000"/>
          <w:sz w:val="22"/>
          <w:lang w:val="en-US" w:eastAsia="zh-CN"/>
        </w:rPr>
        <w:t>城乡人群主要活动区域</w:t>
      </w:r>
      <w:r>
        <w:rPr>
          <w:rFonts w:hint="eastAsia" w:ascii="宋体" w:hAnsi="宋体" w:eastAsia="宋体"/>
          <w:b w:val="0"/>
          <w:color w:val="000000"/>
          <w:sz w:val="22"/>
        </w:rPr>
        <w:t>等，</w:t>
      </w:r>
      <w:r>
        <w:rPr>
          <w:rFonts w:hint="eastAsia" w:ascii="宋体" w:hAnsi="宋体" w:eastAsia="宋体"/>
          <w:b w:val="0"/>
          <w:color w:val="000000"/>
          <w:sz w:val="22"/>
          <w:lang w:val="en-US" w:eastAsia="zh-CN"/>
        </w:rPr>
        <w:t>建设类型为视频监控及人脸识别抓拍点位。</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lang w:val="en-US" w:eastAsia="zh-CN"/>
        </w:rPr>
        <w:t>项目</w:t>
      </w:r>
      <w:r>
        <w:rPr>
          <w:rFonts w:hint="eastAsia" w:ascii="宋体" w:hAnsi="宋体" w:eastAsia="宋体"/>
          <w:b w:val="0"/>
          <w:color w:val="000000"/>
          <w:sz w:val="22"/>
        </w:rPr>
        <w:t>包含实现本项目需求的前端点位建设、中间网络传输设备、光网络租赁、后端存储、服务器、平台软件、辅配件、使用授权、应用工具、运维服务等。</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标项五：</w:t>
      </w:r>
    </w:p>
    <w:p>
      <w:pPr>
        <w:snapToGrid w:val="0"/>
        <w:spacing w:line="460" w:lineRule="exact"/>
        <w:ind w:firstLine="440" w:firstLineChars="200"/>
        <w:rPr>
          <w:rFonts w:hint="eastAsia" w:ascii="宋体" w:hAnsi="宋体" w:eastAsia="宋体"/>
          <w:b w:val="0"/>
          <w:color w:val="000000"/>
          <w:sz w:val="22"/>
          <w:lang w:val="en-US" w:eastAsia="zh-CN"/>
        </w:rPr>
      </w:pPr>
      <w:r>
        <w:rPr>
          <w:rFonts w:hint="eastAsia" w:ascii="宋体" w:hAnsi="宋体" w:eastAsia="宋体"/>
          <w:b w:val="0"/>
          <w:color w:val="000000"/>
          <w:sz w:val="22"/>
        </w:rPr>
        <w:t>前端建设涉及乐清市所辖所有乡镇街道，以乐清市</w:t>
      </w:r>
      <w:r>
        <w:rPr>
          <w:rFonts w:hint="eastAsia" w:ascii="宋体" w:hAnsi="宋体" w:eastAsia="宋体"/>
          <w:b w:val="0"/>
          <w:color w:val="000000"/>
          <w:sz w:val="22"/>
          <w:lang w:val="en-US" w:eastAsia="zh-CN"/>
        </w:rPr>
        <w:t>东片（大荆片）乡镇街道</w:t>
      </w:r>
      <w:r>
        <w:rPr>
          <w:rFonts w:hint="eastAsia" w:ascii="宋体" w:hAnsi="宋体" w:eastAsia="宋体"/>
          <w:b w:val="0"/>
          <w:color w:val="000000"/>
          <w:sz w:val="22"/>
        </w:rPr>
        <w:t>为主，</w:t>
      </w:r>
      <w:r>
        <w:rPr>
          <w:rFonts w:hint="eastAsia" w:ascii="宋体" w:hAnsi="宋体" w:eastAsia="宋体"/>
          <w:b w:val="0"/>
          <w:color w:val="000000"/>
          <w:sz w:val="22"/>
          <w:lang w:val="en-US" w:eastAsia="zh-CN"/>
        </w:rPr>
        <w:t>具体建设范围主要覆盖78处核心及周边延伸建设区域</w:t>
      </w:r>
      <w:r>
        <w:rPr>
          <w:rFonts w:hint="eastAsia" w:ascii="宋体" w:hAnsi="宋体" w:eastAsia="宋体"/>
          <w:b w:val="0"/>
          <w:color w:val="000000"/>
          <w:sz w:val="22"/>
        </w:rPr>
        <w:t>，</w:t>
      </w:r>
      <w:r>
        <w:rPr>
          <w:rFonts w:hint="eastAsia" w:ascii="宋体" w:hAnsi="宋体" w:eastAsia="宋体"/>
          <w:b w:val="0"/>
          <w:color w:val="000000"/>
          <w:sz w:val="22"/>
          <w:lang w:val="en-US" w:eastAsia="zh-CN"/>
        </w:rPr>
        <w:t>主要覆盖</w:t>
      </w:r>
      <w:r>
        <w:rPr>
          <w:rFonts w:hint="eastAsia" w:ascii="宋体" w:hAnsi="宋体" w:eastAsia="宋体"/>
          <w:b w:val="0"/>
          <w:color w:val="000000"/>
          <w:sz w:val="22"/>
        </w:rPr>
        <w:t>重点公共区域、农村公共出入口、</w:t>
      </w:r>
      <w:r>
        <w:rPr>
          <w:rFonts w:hint="eastAsia" w:ascii="宋体" w:hAnsi="宋体" w:eastAsia="宋体"/>
          <w:b w:val="0"/>
          <w:color w:val="000000"/>
          <w:sz w:val="22"/>
          <w:lang w:val="en-US" w:eastAsia="zh-CN"/>
        </w:rPr>
        <w:t>城乡人群主要活动区域</w:t>
      </w:r>
      <w:r>
        <w:rPr>
          <w:rFonts w:hint="eastAsia" w:ascii="宋体" w:hAnsi="宋体" w:eastAsia="宋体"/>
          <w:b w:val="0"/>
          <w:color w:val="000000"/>
          <w:sz w:val="22"/>
        </w:rPr>
        <w:t>等，</w:t>
      </w:r>
      <w:r>
        <w:rPr>
          <w:rFonts w:hint="eastAsia" w:ascii="宋体" w:hAnsi="宋体" w:eastAsia="宋体"/>
          <w:b w:val="0"/>
          <w:color w:val="000000"/>
          <w:sz w:val="22"/>
          <w:lang w:val="en-US" w:eastAsia="zh-CN"/>
        </w:rPr>
        <w:t>建设类型为视频监控及人脸识别抓拍点位。</w:t>
      </w:r>
    </w:p>
    <w:p>
      <w:pPr>
        <w:snapToGrid w:val="0"/>
        <w:spacing w:line="460" w:lineRule="exact"/>
        <w:ind w:firstLine="660" w:firstLineChars="300"/>
        <w:rPr>
          <w:rFonts w:ascii="宋体" w:hAnsi="宋体" w:eastAsia="宋体"/>
          <w:b w:val="0"/>
          <w:color w:val="000000"/>
          <w:sz w:val="22"/>
        </w:rPr>
      </w:pPr>
      <w:r>
        <w:rPr>
          <w:rFonts w:hint="eastAsia" w:ascii="宋体" w:hAnsi="宋体" w:eastAsia="宋体"/>
          <w:b w:val="0"/>
          <w:color w:val="000000"/>
          <w:sz w:val="22"/>
          <w:lang w:val="en-US" w:eastAsia="zh-CN"/>
        </w:rPr>
        <w:t>项目</w:t>
      </w:r>
      <w:r>
        <w:rPr>
          <w:rFonts w:hint="eastAsia" w:ascii="宋体" w:hAnsi="宋体" w:eastAsia="宋体"/>
          <w:b w:val="0"/>
          <w:color w:val="000000"/>
          <w:sz w:val="22"/>
        </w:rPr>
        <w:t>包含实现本项目需求的前端点位建设、中间网络传输设备、光网络租赁、后端存储、服务器、平台软件、辅配件、使用授权、应用工具、运维服务等。</w:t>
      </w:r>
    </w:p>
    <w:p>
      <w:pPr>
        <w:autoSpaceDE w:val="0"/>
        <w:autoSpaceDN w:val="0"/>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二、采购总说明</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1、本技术规范要求提出的是最低限度的基本技术要求，并未对所有技术细节作出规定，供应商应提供符合本技术要求和国家标准、行业标准的优质产品。</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3、技术要求及标准的执行</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供应商提供的产品应标明所执行的质量标准，若同一标准已颁发新标准，则按最新标准执行。若同一产品同时有几个标准（国际标准、国家标准、行业标准、企业标准等），则按最高层次的标准执行。</w:t>
      </w:r>
    </w:p>
    <w:p>
      <w:pPr>
        <w:snapToGrid w:val="0"/>
        <w:spacing w:line="460" w:lineRule="atLeast"/>
        <w:ind w:firstLine="440" w:firstLineChars="200"/>
        <w:rPr>
          <w:rFonts w:ascii="宋体" w:hAnsi="宋体" w:eastAsia="宋体"/>
          <w:b w:val="0"/>
          <w:color w:val="000000"/>
          <w:sz w:val="22"/>
        </w:rPr>
      </w:pPr>
      <w:r>
        <w:rPr>
          <w:rFonts w:ascii="宋体" w:hAnsi="宋体" w:eastAsia="宋体"/>
          <w:b w:val="0"/>
          <w:color w:val="000000"/>
          <w:sz w:val="22"/>
        </w:rPr>
        <w:t>4、▲本采购项目为</w:t>
      </w:r>
      <w:r>
        <w:rPr>
          <w:rFonts w:hint="eastAsia" w:ascii="宋体" w:hAnsi="宋体" w:eastAsia="宋体"/>
          <w:b w:val="0"/>
          <w:color w:val="000000"/>
          <w:sz w:val="22"/>
          <w:lang w:eastAsia="zh-CN"/>
        </w:rPr>
        <w:t>乐清市人员密集场所人脸识别抓拍建设项目</w:t>
      </w:r>
      <w:r>
        <w:rPr>
          <w:rFonts w:ascii="宋体" w:hAnsi="宋体" w:eastAsia="宋体"/>
          <w:b w:val="0"/>
          <w:color w:val="000000"/>
          <w:sz w:val="22"/>
        </w:rPr>
        <w:t>建设，包含</w:t>
      </w:r>
      <w:r>
        <w:rPr>
          <w:rFonts w:hint="eastAsia" w:ascii="宋体" w:hAnsi="宋体" w:eastAsia="宋体"/>
          <w:b w:val="0"/>
          <w:color w:val="000000"/>
          <w:sz w:val="22"/>
          <w:lang w:val="en-US" w:eastAsia="zh-CN"/>
        </w:rPr>
        <w:t>五</w:t>
      </w:r>
      <w:r>
        <w:rPr>
          <w:rFonts w:ascii="宋体" w:hAnsi="宋体" w:eastAsia="宋体"/>
          <w:b w:val="0"/>
          <w:color w:val="000000"/>
          <w:sz w:val="22"/>
        </w:rPr>
        <w:t>个标项的项目，每个标项项目按设计要求可能包括前端设备建设、中间网络传输链路、后端存储、服务器、安全边界等安全相关设备软件以及平台开发、数据接入和运营维护等。</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整体项目由第三方监理公司对项目的建设进行全程监理，乐清市公安局作为运营服务购买方，按周期建设或运维详细报表、监理检查情况结果作为支付费用的依据。同时，由中标供应商负责系统点位的日常维护与故障修复等工作。</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三、总体要求</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本技术规格书只是设备及安装的一些原则性规定，并不是详尽的要求，投标供应商有责任对该设备设计符合技术规格书要求负责。</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次采购的设备必须选用视频监控、人脸识别、智能卡口专业设备，有良好的图像采集能力，支持红外夜视；有良好的网络适应能力，在网络质量较差的时候也能获得流畅清晰的视频；有良好的可靠性，可在室外恶劣环境下长时间、稳定工作，具备抗环境干扰能力与防雷电浪涌能力。</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w:t>
      </w:r>
      <w:r>
        <w:rPr>
          <w:rFonts w:hint="eastAsia" w:ascii="宋体" w:hAnsi="宋体" w:eastAsia="宋体"/>
          <w:color w:val="000000"/>
          <w:sz w:val="22"/>
        </w:rPr>
        <w:t>供应商必须具备整体系统建设的设计能力，在审核招标文件过程中发现设备数量、参数指标不匹配或无法达到招标文件的总体要求，必须以书面形式向采购人提出合理化建议。本招标文件所列设备清单为基准清单，投标供应商中标后要根据实际点位环境、系统要求、所投设备的性能指标配合采购人作进一步的细化设计，细化设计与基准清单不符的，以细化设计为准并按照规定要求办理变更手续，以确保整体系统建设效果能符合实际需求。</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采购的设备所涉及的产品标准、规范，验收标准、规范，应符合国家有关条例及规范，如有新的标准应采纳新标准，如是国外相应标准应征得采购人认可。▲</w:t>
      </w:r>
      <w:r>
        <w:rPr>
          <w:rFonts w:hint="eastAsia" w:ascii="宋体" w:hAnsi="宋体" w:eastAsia="宋体"/>
          <w:color w:val="000000"/>
          <w:sz w:val="22"/>
        </w:rPr>
        <w:t>本项目所有摄像机（含视频监控、人脸抓拍、专业卡口相机等）必须通过省厅检测符合《浙江公安图像信息系统建设总体技术要求》和《浙江省公安视频信息共享解码插件管理规定》的相关要求，供应商应提供设备接入和数据转发平台（简称供应商平台），平台应根据公安部门要求对接并将数据推送至指定视频共享平台，供应商平台建设费用和对接中若遇所有技术性和费用问题由中标供应商自行解决</w:t>
      </w:r>
      <w:r>
        <w:rPr>
          <w:rFonts w:hint="eastAsia" w:ascii="宋体" w:hAnsi="宋体" w:eastAsia="宋体"/>
          <w:b w:val="0"/>
          <w:color w:val="000000"/>
          <w:sz w:val="22"/>
        </w:rPr>
        <w:t>。</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投标文件中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供应商的责任。</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投标供应商应根据招标文件所提出的技术规格、参数、数量和服务要求，综合考虑货物的适应性，选择具有最佳性能价格比的货物前来报价。希望供应商以精良的货物、优良的服务和优惠的价格，充分显示自身的竞争实力。</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本项目为</w:t>
      </w:r>
      <w:r>
        <w:rPr>
          <w:rFonts w:hint="eastAsia" w:ascii="宋体" w:hAnsi="宋体" w:eastAsia="宋体"/>
          <w:b w:val="0"/>
          <w:color w:val="000000"/>
          <w:sz w:val="22"/>
          <w:lang w:eastAsia="zh-CN"/>
        </w:rPr>
        <w:t>乐清市人员密集场所人脸识别抓拍建设项目</w:t>
      </w:r>
      <w:r>
        <w:rPr>
          <w:rFonts w:hint="eastAsia" w:ascii="宋体" w:hAnsi="宋体" w:eastAsia="宋体"/>
          <w:b w:val="0"/>
          <w:color w:val="000000"/>
          <w:sz w:val="22"/>
        </w:rPr>
        <w:t>整体租赁及运行维护管理服务，包含</w:t>
      </w:r>
      <w:r>
        <w:rPr>
          <w:rFonts w:hint="eastAsia" w:ascii="宋体" w:hAnsi="宋体" w:eastAsia="宋体"/>
          <w:b w:val="0"/>
          <w:color w:val="000000"/>
          <w:sz w:val="22"/>
          <w:lang w:val="en-US" w:eastAsia="zh-CN"/>
        </w:rPr>
        <w:t>五</w:t>
      </w:r>
      <w:r>
        <w:rPr>
          <w:rFonts w:hint="eastAsia" w:ascii="宋体" w:hAnsi="宋体" w:eastAsia="宋体"/>
          <w:b w:val="0"/>
          <w:color w:val="000000"/>
          <w:sz w:val="22"/>
        </w:rPr>
        <w:t>个标项，包括设备的供货、系统集成、安装调试、技术服务及售后服务等。投标供应商必须根据自己的技术和商务优势对任意一个标项或多个标项项目的全部内容进行投标，不得只投其中一部分内容，谢绝联合体投标。</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供应商所投产品及主要部件的名称、品牌、型号、技术参数、性能、数量、单价、合价、厂商、产地、质保期等应在投标文件中明确，对招标文件的技术条款及要求应予以实质性响应，如有偏离应在偏离表中注明。对于设备列表中所列的设备指标与服务说明均为基本、关键性指标，所有指标必须为实标参数，支持随时随机抽检。如在查阅招标文件发现因目前技术限制无法满足或者严重偏离客观实际的，必须向采购人提出质疑，不得以任何行业规则、惯例、成本等原因不实质性响应招标文件内容或者为响应招标文件虚标设备参数，对于认为文字描述不够具体或者意思表达不是很清楚的可以向采购人咨询，对于所提供产品的实际技术指标不确定的，投标供应商必须先自行检测。</w:t>
      </w:r>
    </w:p>
    <w:p>
      <w:pPr>
        <w:spacing w:line="460" w:lineRule="exact"/>
        <w:rPr>
          <w:rFonts w:hint="eastAsia" w:ascii="宋体" w:hAnsi="宋体" w:eastAsia="宋体"/>
          <w:b w:val="0"/>
          <w:color w:val="000000"/>
          <w:sz w:val="22"/>
        </w:rPr>
      </w:pPr>
      <w:r>
        <w:rPr>
          <w:rFonts w:hint="eastAsia" w:ascii="宋体" w:hAnsi="宋体" w:eastAsia="宋体"/>
          <w:b w:val="0"/>
          <w:color w:val="000000"/>
          <w:sz w:val="22"/>
        </w:rPr>
        <w:t>▲</w:t>
      </w:r>
      <w:r>
        <w:rPr>
          <w:rFonts w:hint="eastAsia" w:ascii="宋体" w:hAnsi="宋体" w:eastAsia="宋体"/>
          <w:color w:val="000000"/>
          <w:sz w:val="22"/>
        </w:rPr>
        <w:t>主要设备厂商（如：摄像机、存储硬盘等）在温州必须有确定的服务点或承诺中标后三个月内设立确定的服务点，并不少于采购足够的</w:t>
      </w:r>
      <w:r>
        <w:rPr>
          <w:rFonts w:ascii="宋体" w:hAnsi="宋体" w:eastAsia="宋体"/>
          <w:color w:val="000000"/>
          <w:sz w:val="22"/>
        </w:rPr>
        <w:t>备品、备件</w:t>
      </w:r>
      <w:r>
        <w:rPr>
          <w:rFonts w:hint="eastAsia" w:ascii="宋体" w:hAnsi="宋体" w:eastAsia="宋体"/>
          <w:color w:val="000000"/>
          <w:sz w:val="22"/>
        </w:rPr>
        <w:t>（各标项备品、备件具体要求见下表）</w:t>
      </w:r>
      <w:r>
        <w:rPr>
          <w:rFonts w:ascii="宋体" w:hAnsi="宋体" w:eastAsia="宋体"/>
          <w:color w:val="000000"/>
          <w:sz w:val="22"/>
        </w:rPr>
        <w:t>，并存放于采购人指定位置，供应商不能因备品、备件的提供问题影响维修时效；</w:t>
      </w:r>
      <w:r>
        <w:rPr>
          <w:rFonts w:hint="eastAsia" w:ascii="宋体" w:hAnsi="宋体" w:eastAsia="宋体"/>
          <w:color w:val="000000"/>
          <w:sz w:val="22"/>
        </w:rPr>
        <w:t>任意一款摄像机或补光灯</w:t>
      </w:r>
      <w:r>
        <w:rPr>
          <w:rFonts w:ascii="宋体" w:hAnsi="宋体" w:eastAsia="宋体"/>
          <w:color w:val="000000"/>
          <w:sz w:val="22"/>
        </w:rPr>
        <w:t>在验收后第一年故障率不得高于10%，故障率每年递增不得超过2%，设备质保期内实际性能指标不得低于标称指标的95%，否则采购人有权要求中标供应商全部更换该设备，所有费用由中标供应商承担。</w:t>
      </w:r>
      <w:r>
        <w:rPr>
          <w:rFonts w:hint="eastAsia" w:ascii="宋体" w:hAnsi="宋体" w:eastAsia="宋体"/>
          <w:color w:val="000000"/>
          <w:sz w:val="22"/>
        </w:rPr>
        <w:t>此处故障率统计数据包括非正常虚焦等功能不全等情况。所有标项、所有子项目涉及到的各款摄像机、补光灯均不少于3%，视频存储硬盘不少于2% 。</w:t>
      </w:r>
    </w:p>
    <w:p>
      <w:pPr>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如招标文件中遗漏了必须具备的设备、配件或服务，请投标供应商在投标文件中指出，并提出解决方案供采购人参考；中标供应商有义务保证采购人系统的完整性，如项目实施过程中因缺少设备、配件或服务导致采购人系统无法正常运行，中标供应商须承诺无条件提供，所需费用包含在投标总价中。</w:t>
      </w:r>
    </w:p>
    <w:p>
      <w:pPr>
        <w:snapToGrid w:val="0"/>
        <w:spacing w:line="460" w:lineRule="exact"/>
        <w:ind w:firstLine="440" w:firstLineChars="200"/>
        <w:rPr>
          <w:rFonts w:ascii="宋体" w:hAnsi="宋体" w:eastAsia="宋体"/>
          <w:color w:val="000000"/>
          <w:sz w:val="22"/>
        </w:rPr>
      </w:pPr>
      <w:r>
        <w:rPr>
          <w:rFonts w:hint="eastAsia" w:ascii="宋体" w:hAnsi="宋体" w:eastAsia="宋体"/>
          <w:b w:val="0"/>
          <w:color w:val="000000"/>
          <w:sz w:val="22"/>
        </w:rPr>
        <w:t>本工程为交钥匙工程，项目实施过程中可能涉及的所有财务成本已经包含投标总报价之中，对招标文件中未体现，但又是提供服务所必须的组件，中标供应商必须自行增加，供应商不得以其它理由增加费用。同时，中标供应商需对服务项目建设及运营期间的安全责任问题及第三方责任赔偿负责，投标的报价包含实现标书的所有功能及安全保障工作，其应包括（但不限于）施工设备、劳务、管理、材料、系统集成、安装调试、软件开发、试运行、质保、保险、利润、税金、培训费、开办费、措施费、大型机械进退场费、人身意外伤害保险费、第三方检测费用（不包括本项目整体验收环节的检测）、备品备件费用、建设期财务费用、光纤租赁费用、绿化和道路复原费用、青苗赔偿费用、安全文明施工设施费用、机房和网络建设费用、杆件和基础设计费用</w:t>
      </w:r>
      <w:r>
        <w:rPr>
          <w:rFonts w:hint="eastAsia" w:ascii="宋体" w:hAnsi="宋体" w:eastAsia="宋体"/>
          <w:b w:val="0"/>
          <w:color w:val="000000"/>
          <w:sz w:val="22"/>
          <w:lang w:eastAsia="zh-CN"/>
        </w:rPr>
        <w:t>（</w:t>
      </w:r>
      <w:r>
        <w:rPr>
          <w:rFonts w:hint="eastAsia" w:ascii="宋体" w:hAnsi="宋体" w:eastAsia="宋体"/>
          <w:b w:val="0"/>
          <w:color w:val="000000"/>
          <w:sz w:val="22"/>
          <w:lang w:val="en-US" w:eastAsia="zh-CN"/>
        </w:rPr>
        <w:t>采购人自行采购的除外</w:t>
      </w:r>
      <w:r>
        <w:rPr>
          <w:rFonts w:hint="eastAsia" w:ascii="宋体" w:hAnsi="宋体" w:eastAsia="宋体"/>
          <w:b w:val="0"/>
          <w:color w:val="000000"/>
          <w:sz w:val="22"/>
          <w:lang w:eastAsia="zh-CN"/>
        </w:rPr>
        <w:t>）</w:t>
      </w:r>
      <w:r>
        <w:rPr>
          <w:rFonts w:hint="eastAsia" w:ascii="宋体" w:hAnsi="宋体" w:eastAsia="宋体"/>
          <w:b w:val="0"/>
          <w:color w:val="000000"/>
          <w:sz w:val="22"/>
        </w:rPr>
        <w:t>、维修维护服务、设备使用电费、相关审批费用、竣工图编制费用、政策性文件规定费用及合同包含的所有风险、责任等各项所有费用。中标供应商自行负责道路开挖审批手续，采购人仅提供道路开挖审批证明材料，由此产生的费用已经包含投标总报价之中。为保证工程建设及售后服务质量，要求投标供应商的总体报价不得明显低于成本价。</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项目整体（包括所有设备及服务）质保年限按招标文件执行，中标供应商在质保期内应严格按照相关标准及双方的约定做好维保服务工作，如服务未能达到考核要求，采购人有权要求中标供应商更换维保人员并接受由采购人选择维保人员。</w:t>
      </w:r>
    </w:p>
    <w:p>
      <w:pPr>
        <w:spacing w:line="460" w:lineRule="exact"/>
        <w:ind w:firstLine="442" w:firstLineChars="200"/>
        <w:rPr>
          <w:rFonts w:ascii="宋体" w:hAnsi="宋体" w:eastAsia="宋体"/>
          <w:color w:val="000000"/>
        </w:rPr>
      </w:pPr>
      <w:r>
        <w:rPr>
          <w:rFonts w:hint="eastAsia" w:ascii="宋体" w:hAnsi="宋体" w:eastAsia="宋体"/>
          <w:color w:val="000000"/>
          <w:sz w:val="22"/>
        </w:rPr>
        <w:t>▲</w:t>
      </w:r>
      <w:r>
        <w:rPr>
          <w:rFonts w:hint="eastAsia" w:ascii="宋体" w:hAnsi="宋体" w:eastAsia="宋体"/>
          <w:b w:val="0"/>
          <w:color w:val="000000"/>
          <w:sz w:val="22"/>
        </w:rPr>
        <w:t>投标供应商投标选择的产品如有</w:t>
      </w:r>
      <w:r>
        <w:rPr>
          <w:rFonts w:hint="eastAsia" w:ascii="宋体" w:hAnsi="宋体" w:eastAsia="宋体"/>
          <w:b w:val="0"/>
          <w:color w:val="000000"/>
          <w:sz w:val="22"/>
          <w:lang w:val="en-US" w:eastAsia="zh-CN"/>
        </w:rPr>
        <w:t>涉及到相</w:t>
      </w:r>
      <w:r>
        <w:rPr>
          <w:rFonts w:hint="eastAsia" w:ascii="宋体" w:hAnsi="宋体" w:eastAsia="宋体"/>
          <w:b w:val="0"/>
          <w:color w:val="000000"/>
          <w:sz w:val="22"/>
        </w:rPr>
        <w:t>关联运行或应用平台</w:t>
      </w:r>
      <w:r>
        <w:rPr>
          <w:rFonts w:hint="eastAsia" w:ascii="宋体" w:hAnsi="宋体" w:eastAsia="宋体"/>
          <w:b w:val="0"/>
          <w:color w:val="000000"/>
          <w:sz w:val="22"/>
          <w:lang w:val="en-US" w:eastAsia="zh-CN"/>
        </w:rPr>
        <w:t>所有</w:t>
      </w:r>
      <w:r>
        <w:rPr>
          <w:rFonts w:hint="eastAsia" w:ascii="宋体" w:hAnsi="宋体" w:eastAsia="宋体"/>
          <w:b w:val="0"/>
          <w:color w:val="000000"/>
          <w:sz w:val="22"/>
          <w:lang w:val="en-US" w:eastAsia="zh-CN"/>
        </w:rPr>
        <w:t>相关</w:t>
      </w:r>
      <w:r>
        <w:rPr>
          <w:rFonts w:hint="eastAsia" w:ascii="宋体" w:hAnsi="宋体" w:eastAsia="宋体"/>
          <w:b w:val="0"/>
          <w:color w:val="000000"/>
          <w:sz w:val="22"/>
        </w:rPr>
        <w:t>平台、</w:t>
      </w:r>
      <w:r>
        <w:rPr>
          <w:rFonts w:hint="eastAsia" w:ascii="宋体" w:hAnsi="宋体" w:eastAsia="宋体"/>
          <w:b w:val="0"/>
          <w:color w:val="000000"/>
          <w:sz w:val="22"/>
          <w:lang w:val="en-US" w:eastAsia="zh-CN"/>
        </w:rPr>
        <w:t>软硬件</w:t>
      </w:r>
      <w:r>
        <w:rPr>
          <w:rFonts w:hint="eastAsia" w:ascii="宋体" w:hAnsi="宋体" w:eastAsia="宋体"/>
          <w:b w:val="0"/>
          <w:color w:val="000000"/>
          <w:sz w:val="22"/>
          <w:lang w:val="en-US" w:eastAsia="zh-CN"/>
        </w:rPr>
        <w:t>授权</w:t>
      </w:r>
      <w:r>
        <w:rPr>
          <w:rFonts w:hint="eastAsia" w:ascii="宋体" w:hAnsi="宋体" w:eastAsia="宋体"/>
          <w:b w:val="0"/>
          <w:color w:val="000000"/>
          <w:sz w:val="22"/>
          <w:lang w:val="en-US" w:eastAsia="zh-CN"/>
        </w:rPr>
        <w:t>接入</w:t>
      </w:r>
      <w:r>
        <w:rPr>
          <w:rFonts w:hint="eastAsia" w:ascii="宋体" w:hAnsi="宋体" w:eastAsia="宋体"/>
          <w:b w:val="0"/>
          <w:color w:val="000000"/>
          <w:sz w:val="22"/>
        </w:rPr>
        <w:t>，</w:t>
      </w:r>
      <w:r>
        <w:rPr>
          <w:rFonts w:hint="eastAsia" w:ascii="宋体" w:hAnsi="宋体" w:eastAsia="宋体"/>
          <w:b w:val="0"/>
          <w:color w:val="000000"/>
          <w:sz w:val="22"/>
          <w:lang w:val="en-US" w:eastAsia="zh-CN"/>
        </w:rPr>
        <w:t>本项目</w:t>
      </w:r>
      <w:r>
        <w:rPr>
          <w:rFonts w:hint="eastAsia" w:ascii="宋体" w:hAnsi="宋体" w:eastAsia="宋体"/>
          <w:b w:val="0"/>
          <w:color w:val="000000"/>
          <w:sz w:val="22"/>
        </w:rPr>
        <w:t>均已含平台接入授权费用，且无期限和路数限制。</w:t>
      </w:r>
      <w:r>
        <w:rPr>
          <w:rFonts w:hint="eastAsia" w:ascii="宋体" w:hAnsi="宋体" w:eastAsia="宋体"/>
          <w:b w:val="0"/>
          <w:color w:val="000000"/>
          <w:sz w:val="22"/>
          <w:lang w:val="en-US" w:eastAsia="zh-CN"/>
        </w:rPr>
        <w:t>如有说明要求提供无授权期限或无路数限制要求的，</w:t>
      </w:r>
      <w:r>
        <w:rPr>
          <w:rFonts w:hint="eastAsia" w:ascii="宋体" w:hAnsi="宋体" w:eastAsia="宋体"/>
          <w:b w:val="0"/>
          <w:color w:val="000000"/>
          <w:sz w:val="22"/>
        </w:rPr>
        <w:t>中标供应商应在同采购人签订正式合同前出具原厂关于平台或软件授权无接入路数和使用期限限制的承诺函。（招标文件已明确有限授权使用数量的产品等则无需提供。）</w:t>
      </w:r>
    </w:p>
    <w:p>
      <w:pPr>
        <w:autoSpaceDE w:val="0"/>
        <w:autoSpaceDN w:val="0"/>
        <w:snapToGrid w:val="0"/>
        <w:spacing w:line="460" w:lineRule="exact"/>
        <w:ind w:firstLine="442" w:firstLineChars="200"/>
        <w:rPr>
          <w:rFonts w:ascii="宋体" w:hAnsi="宋体" w:eastAsia="宋体"/>
          <w:color w:val="000000"/>
          <w:sz w:val="22"/>
        </w:rPr>
      </w:pPr>
      <w:r>
        <w:rPr>
          <w:rFonts w:hint="eastAsia" w:ascii="宋体" w:hAnsi="宋体" w:eastAsia="宋体"/>
          <w:color w:val="000000"/>
          <w:sz w:val="22"/>
        </w:rPr>
        <w:t>▲在报价投标文件中必须明确列出所有产品、服务等费用的详细报价，不得以市场战略等理由以明显低于市场成本价进行报价，否则按无效投标处理。</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四、采购内容</w:t>
      </w:r>
      <w:r>
        <w:rPr>
          <w:rFonts w:hint="eastAsia" w:ascii="宋体" w:hAnsi="宋体" w:eastAsia="宋体"/>
          <w:b w:val="0"/>
          <w:color w:val="000000"/>
        </w:rPr>
        <w:t>及技术参数</w:t>
      </w:r>
    </w:p>
    <w:p>
      <w:pPr>
        <w:pStyle w:val="149"/>
        <w:spacing w:line="460" w:lineRule="exact"/>
        <w:ind w:firstLine="440" w:firstLineChars="200"/>
        <w:rPr>
          <w:rFonts w:hint="eastAsia" w:ascii="宋体" w:hAnsi="宋体" w:eastAsia="宋体"/>
          <w:b w:val="0"/>
          <w:color w:val="000000"/>
          <w:lang w:val="en-US" w:eastAsia="zh-CN"/>
        </w:rPr>
      </w:pPr>
      <w:r>
        <w:rPr>
          <w:rFonts w:hint="eastAsia" w:ascii="宋体" w:hAnsi="宋体" w:eastAsia="宋体"/>
          <w:b w:val="0"/>
          <w:color w:val="000000"/>
          <w:lang w:val="en-US" w:eastAsia="zh-CN"/>
        </w:rPr>
        <w:t>标项一建设为</w:t>
      </w:r>
      <w:r>
        <w:rPr>
          <w:rFonts w:hint="eastAsia" w:ascii="宋体" w:hAnsi="宋体" w:eastAsia="宋体"/>
          <w:b w:val="0"/>
          <w:color w:val="000000"/>
          <w:lang w:val="en-US" w:eastAsia="zh-CN"/>
        </w:rPr>
        <w:t>西片</w:t>
      </w:r>
      <w:r>
        <w:rPr>
          <w:rFonts w:hint="eastAsia" w:ascii="宋体" w:hAnsi="宋体" w:eastAsia="宋体"/>
          <w:b w:val="0"/>
          <w:color w:val="000000"/>
          <w:sz w:val="22"/>
          <w:lang w:val="en-US" w:eastAsia="zh-CN"/>
        </w:rPr>
        <w:t>250处视频监控及人脸识别建设及运维服务项目</w:t>
      </w:r>
      <w:r>
        <w:rPr>
          <w:rFonts w:hint="eastAsia" w:ascii="宋体" w:hAnsi="宋体" w:eastAsia="宋体"/>
          <w:b w:val="0"/>
          <w:color w:val="000000"/>
          <w:lang w:val="en-US" w:eastAsia="zh-CN"/>
        </w:rPr>
        <w:t>采购内容及具体要求。</w:t>
      </w:r>
    </w:p>
    <w:p>
      <w:pPr>
        <w:pStyle w:val="149"/>
        <w:spacing w:line="460" w:lineRule="exact"/>
        <w:ind w:firstLine="440" w:firstLineChars="200"/>
        <w:rPr>
          <w:rFonts w:hint="eastAsia" w:ascii="宋体" w:hAnsi="宋体" w:eastAsia="宋体"/>
          <w:b w:val="0"/>
          <w:color w:val="000000"/>
          <w:lang w:val="en-US" w:eastAsia="zh-CN"/>
        </w:rPr>
      </w:pPr>
      <w:r>
        <w:rPr>
          <w:rFonts w:hint="eastAsia" w:ascii="宋体" w:hAnsi="宋体" w:eastAsia="宋体"/>
          <w:b w:val="0"/>
          <w:color w:val="000000"/>
          <w:lang w:val="en-US" w:eastAsia="zh-CN"/>
        </w:rPr>
        <w:t>标项二建设</w:t>
      </w:r>
      <w:r>
        <w:rPr>
          <w:rFonts w:hint="eastAsia" w:ascii="宋体" w:hAnsi="宋体" w:eastAsia="宋体"/>
          <w:b w:val="0"/>
          <w:color w:val="000000"/>
          <w:lang w:val="en-US" w:eastAsia="zh-CN"/>
        </w:rPr>
        <w:t>为中片</w:t>
      </w:r>
      <w:r>
        <w:rPr>
          <w:rFonts w:hint="eastAsia" w:ascii="宋体" w:hAnsi="宋体" w:eastAsia="宋体"/>
          <w:b w:val="0"/>
          <w:color w:val="000000"/>
          <w:sz w:val="22"/>
          <w:lang w:val="en-US" w:eastAsia="zh-CN"/>
        </w:rPr>
        <w:t>240处视频监控及人脸识别建设及运维服务项目</w:t>
      </w:r>
      <w:r>
        <w:rPr>
          <w:rFonts w:hint="eastAsia" w:ascii="宋体" w:hAnsi="宋体" w:eastAsia="宋体"/>
          <w:b w:val="0"/>
          <w:color w:val="000000"/>
          <w:lang w:val="en-US" w:eastAsia="zh-CN"/>
        </w:rPr>
        <w:t>采购内容及具体要求。</w:t>
      </w:r>
    </w:p>
    <w:p>
      <w:pPr>
        <w:pStyle w:val="149"/>
        <w:spacing w:line="460" w:lineRule="exact"/>
        <w:ind w:firstLine="440" w:firstLineChars="200"/>
        <w:rPr>
          <w:rFonts w:hint="eastAsia" w:ascii="宋体" w:hAnsi="宋体" w:eastAsia="宋体"/>
          <w:b w:val="0"/>
          <w:color w:val="000000"/>
          <w:lang w:val="en-US" w:eastAsia="zh-CN"/>
        </w:rPr>
      </w:pPr>
      <w:r>
        <w:rPr>
          <w:rFonts w:hint="eastAsia" w:ascii="宋体" w:hAnsi="宋体" w:eastAsia="宋体"/>
          <w:b w:val="0"/>
          <w:color w:val="000000"/>
          <w:lang w:val="en-US" w:eastAsia="zh-CN"/>
        </w:rPr>
        <w:t>标项三建设为中片</w:t>
      </w:r>
      <w:r>
        <w:rPr>
          <w:rFonts w:hint="eastAsia" w:ascii="宋体" w:hAnsi="宋体" w:eastAsia="宋体"/>
          <w:b w:val="0"/>
          <w:color w:val="000000"/>
          <w:sz w:val="22"/>
          <w:lang w:val="en-US" w:eastAsia="zh-CN"/>
        </w:rPr>
        <w:t>233处视频监控及人脸识别建设及运维服务项目</w:t>
      </w:r>
      <w:r>
        <w:rPr>
          <w:rFonts w:hint="eastAsia" w:ascii="宋体" w:hAnsi="宋体" w:eastAsia="宋体"/>
          <w:b w:val="0"/>
          <w:color w:val="000000"/>
          <w:lang w:val="en-US" w:eastAsia="zh-CN"/>
        </w:rPr>
        <w:t>采购内容及具体要求。</w:t>
      </w:r>
    </w:p>
    <w:p>
      <w:pPr>
        <w:pStyle w:val="149"/>
        <w:spacing w:line="460" w:lineRule="exact"/>
        <w:ind w:firstLine="440" w:firstLineChars="200"/>
        <w:rPr>
          <w:rFonts w:hint="eastAsia" w:ascii="宋体" w:hAnsi="宋体" w:eastAsia="宋体"/>
          <w:b w:val="0"/>
          <w:color w:val="000000"/>
          <w:lang w:val="en-US" w:eastAsia="zh-CN"/>
        </w:rPr>
      </w:pPr>
      <w:r>
        <w:rPr>
          <w:rFonts w:hint="eastAsia" w:ascii="宋体" w:hAnsi="宋体" w:eastAsia="宋体"/>
          <w:b w:val="0"/>
          <w:color w:val="000000"/>
          <w:lang w:val="en-US" w:eastAsia="zh-CN"/>
        </w:rPr>
        <w:t>标项四建设为东片</w:t>
      </w:r>
      <w:r>
        <w:rPr>
          <w:rFonts w:hint="eastAsia" w:ascii="宋体" w:hAnsi="宋体" w:eastAsia="宋体"/>
          <w:b w:val="0"/>
          <w:color w:val="000000"/>
          <w:sz w:val="22"/>
          <w:lang w:val="en-US" w:eastAsia="zh-CN"/>
        </w:rPr>
        <w:t>182处视频监控及人脸识别建设及运维服务项目</w:t>
      </w:r>
      <w:r>
        <w:rPr>
          <w:rFonts w:hint="eastAsia" w:ascii="宋体" w:hAnsi="宋体" w:eastAsia="宋体"/>
          <w:b w:val="0"/>
          <w:color w:val="000000"/>
          <w:lang w:val="en-US" w:eastAsia="zh-CN"/>
        </w:rPr>
        <w:t>采购内容及具体要求。</w:t>
      </w:r>
    </w:p>
    <w:p>
      <w:pPr>
        <w:pStyle w:val="149"/>
        <w:spacing w:line="460" w:lineRule="exact"/>
        <w:ind w:firstLine="440" w:firstLineChars="200"/>
        <w:rPr>
          <w:rFonts w:hint="eastAsia" w:ascii="宋体" w:hAnsi="宋体" w:eastAsia="宋体"/>
          <w:b w:val="0"/>
          <w:color w:val="000000"/>
          <w:lang w:val="en-US" w:eastAsia="zh-CN"/>
        </w:rPr>
      </w:pPr>
      <w:r>
        <w:rPr>
          <w:rFonts w:hint="eastAsia" w:ascii="宋体" w:hAnsi="宋体" w:eastAsia="宋体"/>
          <w:b w:val="0"/>
          <w:color w:val="000000"/>
          <w:lang w:val="en-US" w:eastAsia="zh-CN"/>
        </w:rPr>
        <w:t>标项五建设为东片</w:t>
      </w:r>
      <w:r>
        <w:rPr>
          <w:rFonts w:hint="eastAsia" w:ascii="宋体" w:hAnsi="宋体" w:eastAsia="宋体"/>
          <w:b w:val="0"/>
          <w:color w:val="000000"/>
          <w:sz w:val="22"/>
          <w:lang w:val="en-US" w:eastAsia="zh-CN"/>
        </w:rPr>
        <w:t>78处视频监控及人脸识别建设及运维服务项目</w:t>
      </w:r>
      <w:r>
        <w:rPr>
          <w:rFonts w:hint="eastAsia" w:ascii="宋体" w:hAnsi="宋体" w:eastAsia="宋体"/>
          <w:b w:val="0"/>
          <w:color w:val="000000"/>
          <w:lang w:val="en-US" w:eastAsia="zh-CN"/>
        </w:rPr>
        <w:t>采购内容及具体要求。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szCs w:val="22"/>
        </w:rPr>
        <w:t>各标项采购内容及具体要求：</w:t>
      </w:r>
    </w:p>
    <w:p>
      <w:pPr>
        <w:spacing w:line="460" w:lineRule="exact"/>
        <w:ind w:firstLine="440" w:firstLineChars="200"/>
        <w:jc w:val="center"/>
        <w:rPr>
          <w:rFonts w:hint="eastAsia" w:ascii="宋体" w:hAnsi="宋体" w:eastAsia="宋体"/>
          <w:b w:val="0"/>
          <w:color w:val="000000"/>
          <w:sz w:val="22"/>
          <w:szCs w:val="22"/>
          <w:lang w:val="en-US" w:eastAsia="zh-CN"/>
        </w:rPr>
      </w:pPr>
      <w:r>
        <w:rPr>
          <w:rFonts w:hint="eastAsia" w:ascii="宋体" w:hAnsi="宋体" w:eastAsia="宋体"/>
          <w:b w:val="0"/>
          <w:bCs/>
          <w:color w:val="000000"/>
          <w:sz w:val="22"/>
          <w:szCs w:val="22"/>
        </w:rPr>
        <w:t>标项一</w:t>
      </w:r>
      <w:r>
        <w:rPr>
          <w:rFonts w:hint="eastAsia" w:ascii="宋体" w:hAnsi="宋体" w:eastAsia="宋体"/>
          <w:b w:val="0"/>
          <w:color w:val="000000"/>
          <w:sz w:val="22"/>
          <w:szCs w:val="22"/>
          <w:lang w:val="en-US" w:eastAsia="zh-CN"/>
        </w:rPr>
        <w:t>西片250处视频监控及人脸识别建设及运维服务项目采购内容及具体要求</w:t>
      </w:r>
    </w:p>
    <w:tbl>
      <w:tblPr>
        <w:tblStyle w:val="41"/>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623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序号</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采购内容</w:t>
            </w:r>
          </w:p>
        </w:tc>
        <w:tc>
          <w:tcPr>
            <w:tcW w:w="623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技术要求</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400单镜头抓拍机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1、采用高性能400万像素1/1.8英寸CMOS图像传感器，不低于4倍光学变焦，固定光圈且不小于F1.0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2、最大可输出400万(2688×1520)@30fps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3、支持H.265编码，压缩比高，实现超低码流传输</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4、内置2颗以上高效暖光补光灯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5、支持ROI，SMART H.264/H.265，AI H.264/H.265，灵活编码，适用不同带宽和存储环境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6、支持走廊模式，宽动态，3D降噪，强光抑制，背光补偿，数字水印，适用不同监控环境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7、支持以下功能切换：人脸抓拍模式、道路监控模式、Smart时间模式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8、支持人脸检测：支持跟踪，支持优选，支持抓拍，支持上报最优的人脸抓图，支持人脸增强，人脸曝光，支持人脸属性提取，支持7种属性，5种表情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9、支持绊线入侵，区域入侵，快速移动，物品遗留，物品搬移，徘徊检测，人员聚集，停车检测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10、最大支持256G Micro SD卡，内置MIC，扬声器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11、支持IP67防护等级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400万双镜头大感光抓拍机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双通道，双感光，硬件要求双变焦双抓拍形态。细节采用不低于超星光超低照度400万像素1/1.2英寸CMOS图像传感器场景,场景通道采用不低于超星光超低照度400万像素1/1.8英寸CMOS图像传感器，内置2个镜头及GPU，镜头焦距：场景镜头：8~32mm，细节不低于10-50mm，全景镜头调节角度不低于上下±10°；双抓拍硬件形态产品，双通道分别采用星光级低照度400万像素1/1.2英寸CMOS图像传感器和400万像素1/1.8英寸CMOS图像传感器，内置双GPU芯片，镜头焦距：全景：8~32mm； 细节：8~56mm，调整角度：通道1:上下角度均能调节；通道2:上下角度能调节；（针对1/1.2英寸CMOS图像传感器需提供公安部检测中心检验报告或投标时提供彩页中标后实施抽样拆机核验）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2、内置不少于8颗混合补光灯，每颗补光灯由红外灯、白光灯组成；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3、细节通道最低照度：彩色：≤0.0002lx；黑白：≤0.0001lx；信噪比不小于62dB；照度适应范围不小于140dB；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56套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400万普通双镜头抓拍机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1、双通道摄像机，可输出2路视频图像，2个COMS靶面尺寸分别不小于1/1.8英寸、1/2.8英寸；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2、像素通道分辨率分别不小于400万及200万，其中细节抓拍不小于4倍光学变焦；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3、具有1个CVBS模拟视频接口、1个RJ45接口、3个报警输入接口、2个报警输出接口、2个音频输入接口、1个音频输出接口、1个SD卡槽、1个复位按钮、1个RS232接口、1个RS485、内置扬声器、2个麦克风及不少于6颗补光灯；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4、通道1、通道2最低照度：彩色:≤0.0002lx；黑白:≤0.0001lx；水平中心分辨率不小于1500TVL；信噪比不小于65dB；照度适应范围不小于140dB；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5、支持人脸抓拍模式、车辆抓拍模式、人体抓拍模式等多种模式可切换。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6、可通过IE浏览器设置人脸抓拍区域、人脸抓拍数量(1-100张)和抓拍间隔(1-255帧)；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7、支持人脸属性显示功能，可在IE浏览器预览界面显示包括年龄、性别、有无戴眼镜、胡子、口罩等人脸属性；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8、支持人脸侦测功能，可对经过设定区域的行人进行人脸检测；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9、支持对齐刘海遮挡眉毛、头发遮挡眼镜、戴普通眼镜、戴墨镜、戴彩色眼镜、戴帽子、戴头戴式耳机、半边人脸、戴口罩人脸进行检测；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10、可对出现在监控场景内的两眼瞳距不小于20像素的人脸进行检测，同时叠加目标提示框；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11、可将视频图像存储至SD卡、FTP、NAS或客户端，支持SD卡热拔插，最大支持512GB SD卡，支持断点续传功能；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12、电源电压在DC12V±30%范围内变化时，应能正常工作；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243套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400万单云台双镜头抓拍机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1、支持智能资源模式切换：全结构化（默认）、人脸抓拍、人脸比对、道路监控、Smart事件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2、摄像机定焦镜头、变焦镜头靶面尺寸均不小于1/1.8英寸，定焦镜头焦距不低于4mm,变焦镜头焦距不低于8-32mm；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3、设备支持水平方向-90°~90°旋转，垂直方向一定角度调节。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4、断电后，设备可自动锁定垂直监控位置。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5、内置GPU芯片。内置麦克风、扬声器，支持双向语音对讲。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6、内置至少4颗混合补光灯，每颗灯由红外灯、白光灯组成，在开启白光灯或混合补光灯时，可输出彩色视频图像。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7、最低照度彩色不大于0.0002 lx，黑白不大于0.0001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8、支持检测区域内不低于32个移动目标（机动车、非机动车及行人）检测、框选跟踪、筛选、抓拍，可将人脸人体、车辆与车牌关联显示。支持侧脸过滤功能，可过滤上下、左右角度达到预设值的人脸。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9、不低于IP67防护等级。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11、提供完善的SDK开发包及示例源代码，合同期内免费提供软件功能升级。</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5</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400万双云台多镜头抓拍机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1、双通道均支持PT一体化云台，通道1和通道2的云台应可独立控制，可通过IE浏览器或客户端远程调节PT位置以实现监控场景的切换；可输出2个通道画面，通道1和通道2的码流分辨率均不小于2560*1440；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2、设备内置2个CMOS图像传感器，靶面尺寸均不小于1/1.8"；设备双通道均具有2颗远光混合补光灯和2颗近光补光灯，开启补光灯后，可采集2路彩色视频图像。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3、内置2个电动变焦镜头，焦距不小于8～32mm，支持一键聚焦功能；双镜头PT云台旋转角度均支持水平调节角度：0°～180°，垂直调节角度：-5°～30°。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4、最低照度彩色不大于0.0002 lx，黑白不大于0.0001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5、可同时对检测区域内的多个不同运动方向的行人、非机动车（自行车、三轮车、电瓶车等）、机动车进行检测、跟踪、筛选、抓拍和存储抓拍图片。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6、可持续对目标进行跟踪，并在轨迹中显示抓拍图片；可在客户端或IE 浏览器上将人脸和人体图片、车牌和机动车图片分别关联显示；并支持实时分析并显示行人、机动车、非机动车属性信息，可将属性信息叠加在抓拍的图片上。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 设备防护等级不低于IP67。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9、提供完善的SDK开发包及示例源代码，合同期内免费提供软件功能升级。</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70套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6</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400万高空抓拍机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1、400万不低于53倍球机，支持全结构化混合目标检测；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2、具有不小于1/1.8靶面尺寸，内置不少于2颗补光灯及一套激光器；支持不小于53倍光学变倍；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3、内置GPU芯片摄像机,可对镜头前盖玻璃进行加热；支持雨刷功能；；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4、支持最低照度不低于彩色0.0002 lx，黑白0.0001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5、支持水平旋转范围360°连续旋转，垂直旋转范围-20°~90°。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6、开启混合目标检测模式后，设备可同时对行人、非机动车、机动车进行检测、跟踪、抓拍；支持定制城管模式或其他常用算法。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7、支持前端建模比对：前端存储1万张人脸图片进行建模后，对场景中抓拍的人脸进行比对并输出结果；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9、提供完善的SDK开发包及示例源代码，合同期内免费提供软件功能升级。</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7</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400万双镜头枪球抓拍机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1、由全景摄像机和细节摄像机组成双400W高清相机，CMOS靶面尺寸全景不小于1/1.8英寸，光圈不低于F1.0，焦距4mm，细节不小于1/2.8英寸，光圈不低于F1.6，焦距不低于4.8-110mm，23倍光学变倍；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2、内置GPU芯片；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3、具备不少于8颗补光灯；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4、细节相机云台范围：水平范围：0°～360°，垂直范围： 不小于-20°～90；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5、最低照度: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【全景】不小于0.0005 Lux，黑白；0.0001 Lux彩色；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【细节】不小于0.005 Lux，黑白：0.001Lux 彩色；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6、动态检测范围≥106dB；信噪比不小于67dB；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7、当设置为联动态时，全景通道可进行周界检测并联动细节通道跟踪目标.当设置为独立态时，全景通道可独立进周界检测同时细节通道独立进行人脸检测；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当以下的智能分析行为达到设定的阈值时，可通过客户端软件或IE浏览器给出报警提示。a)区域入侵；b)停车；C)越界入侵；d)人员聚集；e)离开区域；f)快速移动；g)物品移除；h)物品遗留；i)徘徊；j)绊线入侵；k）穿越围栏；l）逆行检测；m）客流统计；n）进入区域；</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9、支持同时检测5张人脸，支持对运动人脸进行检测、跟踪、抓拍、评分、筛选，输出最优的人脸抓图。支持人脸抓拍功能，可时经过设定区域的行人进行人脸检测和人脸跟踪；</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10、可将视频图像存储至SD卡、FTP、NAS或客户端，支持SD卡热拔插，最大支持不小于256GB 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11、电源电压在DC36V±55%范围内变化时，能正常工作；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12、支持不低于IP66防护等级；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13、支持AC24V、DC36V供电，支持长时间±10%宽范围电压输入；支持电源及信号输入端防浪涌；在-20～70℃环境温度下长时间稳定工作，防护等级不低于IP67；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54套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8</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400万双镜头中位抓拍机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个以上图像采集模块（双传感器），不低于400万（细节）+400万（全景），1/1.8英寸CMOS（细节）+1/1.8英寸CMOS（全景），内置双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2、全景通道镜头光圈不低于F1.0，定焦镜头；细节通道镜头光圈不低于F1.4，焦距不低于6-225.5mm，40倍以上光学变倍；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3、云台水平支持0°~360°连续旋转，垂直支持-15°~90°旋转；</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4、开启混合目标检测模式后，细节通道可对监控画面中的行人、非机动车、机动车的一种或多种混合目标进行抓拍及属性显示；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5、可对设定区域单场景内120个目标进行检测、框选跟踪、抓拍和属性显示；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6、可通过IE浏览器抓拍人体目标图片并显示相关属性信息；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7、设备开启混合目标检测模式后，可支持人脸与人体，车辆与车牌的关联显示；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9、支持手动或自动雨刷功能；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11、支持城管及违停抓拍模式（可拆分），支持具备以下功能：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支持违法停车抓拍或占道经营等城管事件类场景侦测识别、抓拍及报警功能，且支持温州市违停处置首次警告提醒功能，城管及违停抓拍模式支持与其他抓拍模式同时开启；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12、具有1个RJ45网络接口、2路报警输入、1路报警输出、1路音频输入、1路音频输出、1个RS-485接口（支持数据透传功能）、1个SD卡插槽；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14、支持AC24V或DC36V供电，支持长时间±10%宽范围电压输入；支持电源及信号输入端防浪涌；在-20～70℃环境温度下长时间稳定工作，防护等级不低于IP67；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9</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400万三镜头枪云抓拍机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1、全结构化400万三通道摄像机，采用一体化设计，由三镜头相机与多高性能GPU模块组成；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2、可输出三路视频图像：全景通道、细节通道、球机通道；支持联动抓拍模式、 三路全结构化模式；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3、细节和球机光学变倍都不小于4倍，细节通道最大焦距不小于30mm，球机通道最大焦距不小于51mm；全景通道焦距不大于6mm。全景通道光圈不小于F1.0，细节和球机通道光圈不小于F1.6。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4、设备内置≥10颗补光灯。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5、三个通道均支持对镜头前盖玻璃加热，去除玻璃上的冰状和水状附着物。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6、支持最低照度可达彩色0.0002Lux，黑白0.0001Lux。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7、在联动模式下，细节通道和全景通道可进行全结构化抓拍和属性分析。在全景通道检测到移动目标后，可联动球机进行人脸、人体的抓拍和属性分析。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8、具备多通道旋转功能，球机通道：水平不小于0到330，垂直：-10到90；细节通道：垂直5可调节。球机镜头、全景镜头和细节镜头可分开进行水平垂直方向调节。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设备全景、细节和球机通道可分别或同时对行人、非机动车、机动车进行检测、跟踪、抓拍，可支持人脸、车牌、非机动车车牌抠图，可将人脸与人体、车牌与车辆关联显示。具备电瓶车牌识别功能，设备可在智能展示界面显示电瓶车的车牌，触发电瓶车报警时，可实时显示电瓶车小图、电瓶车大图和电瓶车车牌小图。</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11、提供完善的SDK开发包及示例源代码，合同期内免费提供软件功能升级。</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10</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400万场景监控</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1、采用400W像素，不小于1/2.7英寸CMOS；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2、镜头毫米数：3.6mm/6mm/8mm可选（根据现场设计确定）；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3、最低照度彩色：0.07 lx，黑白：0.0001 lx；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4、支持H.264、H265视频编码格式，其中H.264支持Baseline/Main/High Profile；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5、信噪比不小于53.5dB；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6、支持智能编码功能，摄像机开启智能编码功能后，码流节约1/2；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7、照度适应范围不小于130dB；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8、自带红外灯珠，红外补光距离不小于30米；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9、设备与客户端之间用150米网线进行传输，每次客户端发送1500个数据包，重复测试3次，每次丢包数不大于1个，具有抗丢包5%的处理能力；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10、具备1路100/1000M RJ45网络接口、2路报警输入、2路报警输出、1个SD卡插槽、1个RS-232接口、硬件恢复默认按钮；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11、支持视音频录像功能，视音频同步试验≤1秒；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12、支持IP66防护等级；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13、支持DC12V供电，电源电压在DC12V±30%范围内变化时设备可以正常工作；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14、含原装电源，按需提供原装铝合金支架；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15、▲符合最新GB/T 28181-2016标准及补充规定，兼容温州公安现有视频监控系统及设备，符合《温州市安全防范视频监控联网系统信息传输交换控制技术要求》；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17、提供原厂商针对本项目的5年质保函原件。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261套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11</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400万双镜头双云台球机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集成双镜头双感光双GPU模式双云台，根据场景应用镜头焦距分全景细节双镜头模块，双镜头模块均支持400万星光级超宽动态人脸抓拍单元，内置双高性能GPU模块，采用深度学习算法，支持人脸抓拍和车辆抓拍；全景镜头模块、细节镜头模块传感器均采用靶面尺寸不小于400万像素1/1.8"CMOS传感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2、▲全景镜头及细节镜头均支持自动变焦，其中全景镜头支持不低于4倍光学变焦，细节镜头不低20倍光学变焦。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3、▲全景镜头模块，感光最低照度彩色不低于0.00lx，黑白不低于0.000lx。细节镜头模块，感光最小照度不低于彩色 0.001Lux ,彩色0.0001 Lux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4、▲主镜头模块支持三种智能资源模式切换：混合目标检测（全结构化模式）、人脸抓拍（同时含人体抓拍特征数据提取）、车辆抓拍模式（同时含人体抓拍特征数据提取）；</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人脸抓拍模式：支持同时检测不少于23张人脸，对运动人脸进行检测、跟踪、抓拍、优选，输出最优的人脸抓图；支持人脸增强，人脸曝光，人脸属性提取，支持人脸属性识别功能，属性包括年龄、性别、眼镜、表情、胡子、口罩；抓拍图片可分为场景图和人脸图，场景图和人脸图可关联存储，并通过IT浏览器或客户端检索并查看存储的图片；在抓取人脸图片的同时，同图片支持人体特征提取并支持GBT1400国标协议对上衣颜色、性别、戴眼镜、戴口罩等特征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车辆抓拍模式：支持正向/背向行驶车辆抓拍，并跟踪、优选、抓拍，上报最优的抓图；支持车牌、车牌颜色、车标、车系、车身颜色、车辆类型，支持新能源车牌识别功能，支持视场倾斜情况下的车辆特征识别；含抓拍非机动车抓拍提取，包括支持上衣颜色、性别、戴眼镜、背包、戴帽子、戴口罩、长短袖、发型、骑车类型、骑车人数属性识别；</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7、混合目标检测（全结构化模式）：支持混合场景下同时抓拍人体、抓拍人脸、抓拍车辆、抓拍非机动车，提取特征符合GB/T1399、GB/T1400国标协议并分别输出；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9、支持定制城管模式或常用算法。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10、具有不少于1个RJ45网络接口、2路报警输入、1路报警输出、1路音频输入、1路音频输出、1个RS-485接口（支持数据透传功能）、1个SD卡插槽；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11、▲可内置CLASS10以上SD卡最大容量支持不小于64GB，并支持存储卡故障提示。在前端具备存储能力的情况下，应能在网络中断时存储所采集的视频和图片数据，故障排除后应能自动上传比对；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13、支持AC220V、DC24V或POE供电，支持长时间±10％宽范围电压输入；支持电源及信号输入端防浪涌；在-20～70℃环境温度下长时间稳定工作，防护等级不低于IP67；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12</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800万轻型双镜头抓拍机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1" name="Text_Box_22"/>
                  <wp:cNvGraphicFramePr/>
                  <a:graphic xmlns:a="http://schemas.openxmlformats.org/drawingml/2006/main">
                    <a:graphicData uri="http://schemas.openxmlformats.org/drawingml/2006/picture">
                      <pic:pic xmlns:pic="http://schemas.openxmlformats.org/drawingml/2006/picture">
                        <pic:nvPicPr>
                          <pic:cNvPr id="1" name="Text_Box_22"/>
                          <pic:cNvPicPr/>
                        </pic:nvPicPr>
                        <pic:blipFill>
                          <a:blip r:embed="rId9"/>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2" name="Text_Box_22_SpCnt_1"/>
                  <wp:cNvGraphicFramePr/>
                  <a:graphic xmlns:a="http://schemas.openxmlformats.org/drawingml/2006/main">
                    <a:graphicData uri="http://schemas.openxmlformats.org/drawingml/2006/picture">
                      <pic:pic xmlns:pic="http://schemas.openxmlformats.org/drawingml/2006/picture">
                        <pic:nvPicPr>
                          <pic:cNvPr id="2" name="Text_Box_22_SpCnt_1"/>
                          <pic:cNvPicPr/>
                        </pic:nvPicPr>
                        <pic:blipFill>
                          <a:blip r:embed="rId10"/>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3" name="Text_Box_22_SpCnt_2"/>
                  <wp:cNvGraphicFramePr/>
                  <a:graphic xmlns:a="http://schemas.openxmlformats.org/drawingml/2006/main">
                    <a:graphicData uri="http://schemas.openxmlformats.org/drawingml/2006/picture">
                      <pic:pic xmlns:pic="http://schemas.openxmlformats.org/drawingml/2006/picture">
                        <pic:nvPicPr>
                          <pic:cNvPr id="3" name="Text_Box_22_SpCnt_2"/>
                          <pic:cNvPicPr/>
                        </pic:nvPicPr>
                        <pic:blipFill>
                          <a:blip r:embed="rId11"/>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4" name="Text_Box_22_SpCnt_3"/>
                  <wp:cNvGraphicFramePr/>
                  <a:graphic xmlns:a="http://schemas.openxmlformats.org/drawingml/2006/main">
                    <a:graphicData uri="http://schemas.openxmlformats.org/drawingml/2006/picture">
                      <pic:pic xmlns:pic="http://schemas.openxmlformats.org/drawingml/2006/picture">
                        <pic:nvPicPr>
                          <pic:cNvPr id="4" name="Text_Box_22_SpCnt_3"/>
                          <pic:cNvPicPr/>
                        </pic:nvPicPr>
                        <pic:blipFill>
                          <a:blip r:embed="rId12"/>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val="0"/>
                <w:i w:val="0"/>
                <w:iCs w:val="0"/>
                <w:color w:val="000000"/>
                <w:kern w:val="0"/>
                <w:sz w:val="22"/>
                <w:szCs w:val="22"/>
                <w:u w:val="none"/>
                <w:lang w:val="en-US" w:eastAsia="zh-CN" w:bidi="ar"/>
              </w:rPr>
              <w:t>1、▲800万星光级超宽动态人脸抓拍单元，双镜头双感光，内置高性能GPU模块，采用深度学习算法，支持人脸抓拍和车辆抓拍；双传感器靶面尺寸分别不小于1/1.8"、1/1.2"；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可变焦镜头、护罩、万向节、电源适配器等附件及安装配件，镜头支持靶面尺寸不小于1/1.2"英寸，镜头焦距范围不小于10-50mm，镜头解析支持不小于800万像素，最大光圈孔径不小于F1.2，镜头支持自动变焦及对焦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3、▲细节镜头最低照度不低于彩色：0.001lx，黑白:0.0001lx，灰度等级不小于11级，信噪比不小于60dB，需具不小于105dB宽动态。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4、▲支持三种智能资源采集模式切换：混合目标检测（全结构化模式）、人脸抓拍（同时含人体抓拍数据提取）、车辆抓拍模式（同时含人体抓拍特征数据提取）；</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人脸抓拍模式：支持同时检测不少于23张人脸，对运动人脸进行检测、跟踪、抓拍、优选，输出最优的人脸抓图；支持人脸增强，人脸曝光，人脸属性提取，支持人脸属性识别功能，属性包括年龄、性别、眼镜、表情、胡子、口罩；抓拍图片可分为场景图和人脸图，场景图和人脸图可关联存储，并通过IT浏览器或客户端检索并查看存储的图片；在抓取人脸图片的同时，同图片支持人体特征提取并支持GBT1400国标协议对上衣颜色、性别、戴眼镜、戴口罩等特征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车辆抓拍模式：支持正向/背向行驶车辆抓拍，并跟踪、优选、抓拍，上报最优的抓图；支持车牌、车牌颜色、车标、车系、车身颜色、车辆类型，支持新能源车牌识别功能，支持视场倾斜情况下的车辆特征识别；含抓拍非机动车抓拍提取，包括支持上衣颜色、性别、戴眼镜、背包、戴帽子、戴口罩、长短袖、发型、骑车类型、骑车人数属性识别；</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7、混合目标检测（全结构化模式）：支持混合场景下同时抓拍人体、抓拍人脸、抓拍车辆、抓拍非机动车，提取特征符合GB/T1399、GB/T1400国标协议并分别输出；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9、具有1个RJ45网络接口、2路报警输入、1路报警输出、1路音频输入、1路音频输出、1个RS-485接口（支持数据透传功能）、1个SD卡插槽；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10、▲内置32GB CLASS10以上SD卡，并支持存储卡故障提示。在前端具备存储能力的情况下，应能在网络中断时存储所采集的视频和图片数据，故障排除后应能自动上传比对；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81套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13</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800万超广角双镜头抓拍机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3个以上图像采集模块（三传感器），800万（细节）+400万（全景）+400万（全景），不小于1/1.2英寸CMOS（细节）+1/1.8英寸CMOS（全景）+1/1.8英寸（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▲2、镜头焦距：细节镜头覆盖范围不小于10~50mm，全景镜头焦距：3.6mm或4mm；全景镜头最大光圈不小于F1.0，细节镜头最大光圈不小于F1.6；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5、细节模块最低照度不小于：彩色≤0.0003lx，黑白≤0.0001x，信噪比为不高于56dB，宽动态不小于120dB；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13、支持AC24V或DC12V供电，支持长时间±10%宽范围电压输入，配备电源适配器；支持电源及信号输入端防浪涌；在-20～70℃环境温度下长时间稳定工作，防护等级不低于IP67，含护罩、原装铝合金支架；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14</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800万双变焦双镜头抓拍机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1、2个以上图像采集模块(双传感器以上），800万（细节）+400万（全景），1/1.2英寸CMOS（细节）+1/1.8英寸CMOS（全景），内置GPU芯片；（提供公安部检测中心检验报告或投标时提供彩页中标后实施抽样拆机核验）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2、镜头焦距：细节覆盖范围不小于10~50mm，全景：8-32mm；全景不小于F1.6，细节不小于F1.2；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5、细节模块最低照度不小于：彩色≤0.001lx，黑白≤0.0001lx；信噪比为不高于56dB；宽动态不小于120dB；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13、支持AC24V或DC12V供电，支持长时间±10%宽范围电压输入；支持电源及信号输入端防浪涌；在-20～70℃环境温度下长时间稳定工作，防护等级不低于IP66；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15、满足现场要求，按需提供原装铝合金支架；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105套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15</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800万普通广角双镜头抓拍机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个以上图像采集模块（双传感器），800万（细节）+400万（全景），不小于1/1.2英寸CMOS（细节）+1/1.8英寸CMOS（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▲2、镜头焦距：细节镜头覆盖范围不小于10~50mm，全景镜头焦距：3.6mm或4mm；全景镜头最大光圈不小于F1.0，细节镜头最大光圈不小于F1.6；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5、细节模块最低照度不小于：彩色≤0.0003lx，黑白≤0.0001x，信噪比为不高于56dB，宽动态不小于120dB；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13、支持AC24V或DC12V供电，支持长时间±10%宽范围电压输入，配备电源适配器；支持电源及信号输入端防浪涌；在-20～70℃环境温度下长时间稳定工作，防护等级不低于IP67，含护罩、原装铝合金支架；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16</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LED补光灯1型</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1、LED常亮灯，原装进口白光新品LED灯珠，单颗功率5W，不少于32个灯珠；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2、功率不小于35W；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3、铝合金灯体，鳍片式散热结构，面罩采用钢化玻璃；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152只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17</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LED补光灯2型</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1、LED常亮灯，原装进口白光新品LED灯珠，单颗功率5W，不少于48个灯珠；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2、功率不小于35W；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3、铝合金灯体，鳍片式散热结构，面罩采用钢化玻璃，定制护罩，定制灯珠摆放设计；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4、对不同品牌摄像机均支持开关量可调节补光灯的亮度；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130只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18</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LED补光灯3型</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1、LED常亮灯，原装进口白光新品LED灯珠，单颗功率5W，不少于20个灯珠；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2、功率不小于20W；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3、铝合金灯体，面罩采用钢化玻璃，定制护罩，定制灯珠摆放设计；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4、对不同品牌摄像机均支持开关量可调节补光灯的亮度；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8、支持30度、45度、60度（可选）；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108只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19</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无极灯</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1、高效无极灯，通过国家3C认证或CQC认证；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2、有效补光区域：20m*10m，补光区域内任意点最低照度≥3Lux；平均功率不小于80W；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3、可通过集成或外置控制模块实现自动光敏控制补光；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4、灯具防护等级不小于IP65，适合室外安装使用，提供AC220v电源输入口，支持长时间±10%宽范围电压输入；支持电源输入防浪涌；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5、能在-20~60℃环境温度下长时间稳定工作；电源跟灯体之间以及电源输入端要求采用防水对接头。</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20</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电源保护器</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具备电源、数据接地防雷、漏电保护等功能，可自动实现重合闸，相关设备要求采用国内外知名品牌，具备智能功能，含相关平台费用，且无授权接入限制和使用期限限制。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250只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21</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人脸识别比对服务器</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 xml:space="preserve">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1、2U机架式服务器形态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2、内置芯片不低于Intel Xeon Gold 5120 x2；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3、不少于16GB DDR4 ECC内存 *8；</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4、不少于4TB 3.5吋 6Gbps SATA硬盘 x5；</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5、内置NVIDIA Tesla T4 不少于1块；</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6、具有双千兆/万兆自适应网口；</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7、具有1+1冗余电源；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8、支持200张/秒人脸图片并发处理，支持30万人脸库实时比对布控（最高支持200万布控库），支持1亿人脸抓拍库或静态库以脸搜脸秒级响应；</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9、支持人脸图片流检测分析，支持性别、年龄段、表情、眼镜、胡子、口罩、眼睛开闭等属性；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10、支持将抓拍人脸图片与指定人脸库进行实时比对，得到超过布控阈值的首位命中人员信息；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11、支持手动选取单张人脸图片与注册库比对，以图搜图出符合条件的人员，按相似度从高到低排列；</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12、支持手动选取单张人脸图片，按时间和通道过滤，与历史过人数据比对，以图搜图出符合条件的人员，按相似度从高到低排列；</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13、能够接入乐清市公安局专网比对服务群；</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14、含相关开发接入费用。</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22</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视频存储主机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1、19英寸标准机柜设备，单柜磁盘槽位不小于48盘，单盘容量不小于16T，配置GE接口数≥4个，配置10GE接口数≥2个，支持端口链路聚合、负载均衡，不少于400路4MB 1080P高清码流接入能力，并配置所有连接许可，且不受最新国标、SDK对接、ONIVF等任一接入方式影响；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2、符合最新《温州市安全防范视频监控联网系统信息传输交换控制技术要求》，直接接入云存储管理节点；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3、支持接入6T、8T、10T、16T磁盘 ，可混合支持SATA磁盘、SAS磁盘、SSD磁盘；在工作状态下，支持硬盘热插拔；</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4、支持视频、图片等多种数据混存，底层采用流存储格式，持续覆盖后能保持高效读写；</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5、内置16GB高速缓存，最大可扩容至64GB；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6、支持RAID0/1/5/6/10/50/60等标准，支持热备盘模式，RAID重建过程中对业务不中断、不卡顿；</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▲7、支持满足云存储最大视频写入功能，在磁盘发生故障导致RAID阵列处于降级/重建状态下，数据写入无任何影响；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满足云存储具备负载均衡机制和容灾备份功能，支持并具备硬盘RAID冗余、双风扇冗余、双电池冗余、双电源冗余；支持电源自动故障切换和在线故障电源的更换；支持设备异常停电重新启动后数据无丢失；</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▲9、支持满足云存储业务支持跨资源池、跨集群保护功能，当原有资源池、集群整体故障后，业务可被其他资源池、集群接管，切换期间录像不丢失；</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10、单台设备具备独立完成流媒体转发点播功能及能力；</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11、支持防尘、防震、防腐蚀、防硫化设计；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12、支持ISCSI存储技术；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13、支持DB33-Part6(SNMP)网管协议，提供完善的SDK开发包及示例源代码，免费提供5年内软件功能升级与需求定制服务；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15、含安装接入所使用配套光模块；</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23</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企业级硬盘</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1、48盘位存储专用3.5英寸硬盘，一体化SATA 16T 硬盘/SATA 3接口/256M缓存/7200转/速率6Gb/s，含一体化防震支架、硬盘防腐蚀设计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2、提供发生故障换新不返旧服务，并交由采购人报废。</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96块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24</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立杆1型、基础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杆件采用Q235优质钢，采用高热镀锌处理，高度4米及以下，杆件高度可以根据现场环境设计要求进行调整，主杆口径不小于121mm，厚度不小于4mm；横臂直径不得小于75mm，厚度不小于3mm，设计横挑长度0-3米（含3米），点位横臂数量及角度根据现场环境定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4、立杆底部用螺栓与基础固定，电源线和光缆从立杆底部进入，立杆杆的上部横臂设有设备安装位置，立杆的中上部预留网络箱出线口，具备良好的防护功能；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25</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立杆2型、基础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1、杆件采用Q235优质钢，采用高热镀锌处理，高度4.5米，主杆口径不小于140mm，厚度不小于4.5mm；横臂直径不得小于75mm，厚度不小于3mm，设计横挑长度0-3米（含3米），点位横挑数量及角度可根据现场环境定制；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4、立杆底部用螺栓与基础固定，电源线和光缆从立杆底部进入，立杆杆的上部横臂设有设备安装位置，立杆的中上部预留网络箱出线口，具备良好的防护功能；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26</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立杆3型、基础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立杆采用八角Q235优质钢采用高热镀锌处理，高度不低于6.5米，主杆下口径不低于250mm，上口径不低于220mm，厚度不低于6mm；横臂细端口径不低于90mm，粗端口径不低于180mm，厚度不低于4mm，具体点位横挑数量、长度及角度根据现场环境定制，以设计要求为准，设计长度0-6米（含6米）；</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4、立杆底部用螺栓与基础固定，电源线和光缆从立杆底部进入，在杆的上部设有摄像机安装横杆，杆的中下部有网络及电源设备箱，具备良好的防护、散热功能；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27</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定制支架</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1、根据现场环境定制，支持多摄像头安装，能够依托现场建筑体安装，支架标准需经采购人审核认可；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2、采用优质钢材，高热镀锌处理，支架应有较高强度抗台风、防摄像机抖动；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3、所有支架需一次成型不得嫁接；</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214套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28</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网络箱</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尺寸：650mm×450mm×210mm，采用不锈钢304材质，乳白色喷塑处理（部分点位按设计定制颜色），箱体厚度要求不小于1.2mm，机箱防护等级不低于IP54，箱体和配件采用防锈材质或防锈处理，5年内不得出现锈蚀或明显老化现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2、进线孔采用密封处理，底部进线，配进缆夹头、压缆配件、熔纤盘等，采取风扇散热；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3、机箱内部布局合理、模块化清晰，强电部分要进行区域绝缘隔离；所有机箱内部设备都需要安装固定，不得松散摆放；</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4、设备连接均要配置专业的接插件，设计目标是保证安全可靠的同时要求施工高效、质量可靠、维修方便；</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5、喷醒目的“公安监控”、警徽、定制编码、承建商名称及联系方式，保证5年内雨淋、日晒不脱落、不会明显褪色；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6、箱体外观和内部布局设计方案出具图纸，并经采购人审核认可；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7、立杆上挂机箱的，要求箱外没有多余线缆，机箱和立杆统一接地；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8、户外网络箱应提供额外电源输出接口用于公安业务拓展。</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250只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29</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窨井</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1、窨井内部尺寸不小于380mm*380mm*500mm；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2、井盖尺寸不小于400mm*400mm，混凝土井圈及混凝土井盖为预制件；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3、砌体使用砖块及普通硅酸盐水泥，窨井内外壁采用水泥砂浆抹面，厚度为2mm；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窨井采用明挖法施工，整平，夯实基底，严格控制标高，井盖与周边地面齐平，窨井底部应设有渗水孔，做窨井的同时敷设好线管，强、弱电线管分开敷设，预留1根PE25和2根PE32至立杆基础法兰盘的中间位置，管口伸出法兰盘10厘米，做好封堵，另一端伸出井壁位置5厘米，管口下沿位置在井壁40CM处，手井另一侧应预留室外管路接口，接口下沿位置应预留在井壁30厘米处；</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5、进出窨井所有管路必须做好封堵工作；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6、要求承建单位提供详细设计图纸；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7、确保质保期五年内不变形。</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30</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立杆施工费1、2</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配套杆件1型2型，包括老设备的拆除及新设备安装、立杆基础的开挖、做模、浇筑、路面平整、修补、回填、废土清运等工作及材料，设备调测，辅材、附件、工具、人工、验收等全部费用；</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46处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31</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立杆施工费3</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配套杆件3型，包括老设备的拆除及新设备安装、立杆基础的开挖、做模、浇筑、路面平整、修补、回填、废土清运等工作及材料，设备调测，辅材、附件、工具、人工、验收等全部费用；</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32</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借墙借杆施工费用</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借墙借杆设备安装、调测，辅材、附件、工具、人工、验收等全部费用。</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212处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33</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建设运维点位移机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1、建设周期内及五年质保期内（所有点位）按采购人要求提供移机服务；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13处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34</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建设运维点位移机2</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1、VPN建设点位，建设周期内及五年质保期内按采购人要求提供移机服务；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4、针对VPN专网点位移机。</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13处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35</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建设大杆移机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1、6.5米立杆点位在建设周期内（验收前）按采购人要求提供移机服务；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4、建设周期内未使用完成的点位数，按照1：2比例转为后续服务期内的运维移机。</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36</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加头集成服务费</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1、VPN专网云监控或云人脸点位加装一套摄像机、补光灯。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2、含安装及后续的运维、网络接入服务、电费等服务。</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37</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利旧点位运维费</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1、含日常清洁、巡检、维修、抢修、优化升级的全部费用，前端设备清洁（每年至少2次到前端对所有设备调试并清洁，清洁时间提前报备采购人同意）；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2、含摄像机、补光灯、网络设备等前端设备的电费（补光灯光照时长少小于10小时/天）；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3、杆件、网络箱等监控辅助设施出现外观损坏或安全隐患的，网络箱标志标识出现脱落、明显褪色等应立即修复或更换；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4、新增多设备在同一光点上的，按照单份（单点）计量。</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13点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38</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利旧点位安装费</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1、基于老项目点位根据设计需求进行加装摄像机、补光灯，含安装辅材、光猫等新增或更换相关费用；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2、单光点新增多设备的，工程量按照单份计量；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3、安装标准需按照规范施工；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4、含前端调试后端接入等费用；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5、根据采购人要求安装在指定位置。</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13点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39</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云监控集成服务</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1、云监控点位，使用VPN视频专网，其他包括网络带宽要求等同本项目视频专网网络服务要求。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2、含安装费用，包括辅材、摄像机、补光灯等。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3、含5年网络及运维服务。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4、前端提供不低于400万场景监控设备。</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40</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云人脸集成服务</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1、云监控点位，使用VPN视频专网，其他包括网络带宽要求等同本项目视频专网网络服务要求。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2、含安装费用，包括辅材、摄像机、补光灯等。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3、含5年网络及运维服务。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4、前端提供不低于400万人脸识别抓拍设备。</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41</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网络服务（1年）</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1、前端采用≥4电口网络设备适配器，方便公安业务拓展。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2、远程管理，支持OLT端的网管，可以实现端口流量、网络质量的远程监测。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3、高速转发，部分点位可能存在多个前端摄像头或其他网络设备，应提供足够的网络带宽，满足该点位所有视频同时实时浏览和存储，网络上联带宽不小于100Mbps。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4、局端采用可网管的交换机进行汇聚，保证后端能进行端口级的管理与监测。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5、包括视频专网运行所需的局端光网设备、交换机、网络配件等设备的配备使用等。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6、含从视频专网机房侧到前端监控网络箱的专网（与其他网络物理隔离）光纤链路租费与维护费。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7、每个光点按照单路计量。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含机房环境与中心设备电费，机房环境保障、机柜配套（网、电）整理、维护，机房日常管理及基础台帐维护，服务器、存储、网络设备等机器日常清洁、巡检、维修、抢修，基础资料、巡检维修记录维护的全部费用。</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250处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42</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系统运维（1年）</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1、含日常清洁、巡检、维修、抢修、优化升级的全部费用，前端设备清洁（每年至少2次，擦拭时间提前报备采购人同意）。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2、含摄像机、补光灯、网络设备等前端设备的电费（补光灯光照时长不小于10小时/天）。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3、杆件、网络箱等监控辅助设施出现外观损坏或安全隐患的，网络箱标志标识出现脱落、明显褪色等应立即修复或更换。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4、新增多设备在同一光点上的，按照单份（单点）计量。</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250处</w:t>
            </w:r>
          </w:p>
        </w:tc>
      </w:tr>
    </w:tbl>
    <w:p>
      <w:pPr>
        <w:pStyle w:val="2"/>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宋体" w:hAnsi="宋体" w:eastAsia="宋体"/>
          <w:b w:val="0"/>
          <w:color w:val="000000"/>
          <w:sz w:val="22"/>
          <w:szCs w:val="22"/>
          <w:lang w:val="en-US" w:eastAsia="zh-CN"/>
        </w:rPr>
      </w:pPr>
      <w:r>
        <w:rPr>
          <w:rFonts w:hint="eastAsia" w:ascii="宋体" w:hAnsi="宋体" w:eastAsia="宋体"/>
          <w:b w:val="0"/>
          <w:color w:val="000000"/>
          <w:sz w:val="22"/>
          <w:szCs w:val="22"/>
          <w:lang w:val="en-US" w:eastAsia="zh-CN"/>
        </w:rPr>
        <w:t>标项二中片240处视频监控及人脸识别建设及运维服务项目采购内容及具体要求</w:t>
      </w:r>
    </w:p>
    <w:tbl>
      <w:tblPr>
        <w:tblStyle w:val="41"/>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623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序号</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采购内容</w:t>
            </w:r>
          </w:p>
        </w:tc>
        <w:tc>
          <w:tcPr>
            <w:tcW w:w="623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技术要求</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400单镜头抓拍机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1、采用高性能400万像素1/1.8英寸CMOS图像传感器，不低于4倍光学变焦，固定光圈且不小于F1.0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2、最大可输出400万(2688×1520)@30fps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3、支持H.265编码，压缩比高，实现超低码流传输</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4、内置2颗以上高效暖光补光灯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5、支持ROI，SMART H.264/H.265，AI H.264/H.265，灵活编码，适用不同带宽和存储环境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6、支持走廊模式，宽动态，3D降噪，强光抑制，背光补偿，数字水印，适用不同监控环境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7、支持以下功能切换：人脸抓拍模式、道路监控模式、Smart时间模式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8、支持人脸检测：支持跟踪，支持优选，支持抓拍，支持上报最优的人脸抓图，支持人脸增强，人脸曝光，支持人脸属性提取，支持7种属性，5种表情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9、支持绊线入侵，区域入侵，快速移动，物品遗留，物品搬移，徘徊检测，人员聚集，停车检测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10、最大支持256G Micro SD卡，内置MIC，扬声器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11、支持IP67防护等级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400万双镜头大感光抓拍机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双通道，双感光，硬件要求双变焦双抓拍形态。细节采用不低于超星光超低照度400万像素1/1.2英寸CMOS图像传感器场景,场景通道采用不低于超星光超低照度400万像素1/1.8英寸CMOS图像传感器，内置2个镜头及GPU，镜头焦距：场景镜头：8~32mm，细节不低于10-50mm，全景镜头调节角度不低于上下±10°；双抓拍硬件形态产品，双通道分别采用星光级低照度400万像素1/1.2英寸CMOS图像传感器和400万像素1/1.8英寸CMOS图像传感器，内置双GPU芯片，镜头焦距：全景：8~32mm； 细节：8~56mm，调整角度：通道1:上下角度均能调节；通道2:上下角度能调节；（针对1/1.2英寸CMOS图像传感器需提供公安部检测中心检验报告或投标时提供彩页中标后实施抽样拆机核验）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2、内置不少于8颗混合补光灯，每颗补光灯由红外灯、白光灯组成；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3、细节通道最低照度：彩色：≤0.0002lx；黑白：≤0.0001lx；信噪比不小于62dB；照度适应范围不小于140dB；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52套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400万普通双镜头抓拍机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1、双通道摄像机，可输出2路视频图像，2个COMS靶面尺寸分别不小于1/1.8英寸、1/2.8英寸；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2、像素通道分辨率分别不小于400万及200万，其中细节抓拍不小于4倍光学变焦；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3、具有1个CVBS模拟视频接口、1个RJ45接口、3个报警输入接口、2个报警输出接口、2个音频输入接口、1个音频输出接口、1个SD卡槽、1个复位按钮、1个RS232接口、1个RS485、内置扬声器、2个麦克风及不少于6颗补光灯；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4、通道1、通道2最低照度：彩色:≤0.0002lx；黑白:≤0.0001lx；水平中心分辨率不小于1500TVL；信噪比不小于65dB；照度适应范围不小于140dB；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5、支持人脸抓拍模式、车辆抓拍模式、人体抓拍模式等多种模式可切换。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6、可通过IE浏览器设置人脸抓拍区域、人脸抓拍数量(1-100张)和抓拍间隔(1-255帧)；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7、支持人脸属性显示功能，可在IE浏览器预览界面显示包括年龄、性别、有无戴眼镜、胡子、口罩等人脸属性；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8、支持人脸侦测功能，可对经过设定区域的行人进行人脸检测；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9、支持对齐刘海遮挡眉毛、头发遮挡眼镜、戴普通眼镜、戴墨镜、戴彩色眼镜、戴帽子、戴头戴式耳机、半边人脸、戴口罩人脸进行检测；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10、可对出现在监控场景内的两眼瞳距不小于20像素的人脸进行检测，同时叠加目标提示框；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11、可将视频图像存储至SD卡、FTP、NAS或客户端，支持SD卡热拔插，最大支持512GB SD卡，支持断点续传功能；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12、电源电压在DC12V±30%范围内变化时，应能正常工作；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225套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400万单云台双镜头抓拍机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1、支持智能资源模式切换：全结构化（默认）、人脸抓拍、人脸比对、道路监控、Smart事件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2、摄像机定焦镜头、变焦镜头靶面尺寸均不小于1/1.8英寸，定焦镜头焦距不低于4mm,变焦镜头焦距不低于8-32mm；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3、设备支持水平方向-90°~90°旋转，垂直方向一定角度调节。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4、断电后，设备可自动锁定垂直监控位置。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5、内置GPU芯片。内置麦克风、扬声器，支持双向语音对讲。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6、内置至少4颗混合补光灯，每颗灯由红外灯、白光灯组成，在开启白光灯或混合补光灯时，可输出彩色视频图像。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7、最低照度彩色不大于0.0002 lx，黑白不大于0.0001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8、支持检测区域内不低于32个移动目标（机动车、非机动车及行人）检测、框选跟踪、筛选、抓拍，可将人脸人体、车辆与车牌关联显示。支持侧脸过滤功能，可过滤上下、左右角度达到预设值的人脸。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9、不低于IP67防护等级。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11、提供完善的SDK开发包及示例源代码，合同期内免费提供软件功能升级。</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5</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400万双云台多镜头抓拍机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1、双通道均支持PT一体化云台，通道1和通道2的云台应可独立控制，可通过IE浏览器或客户端远程调节PT位置以实现监控场景的切换；可输出2个通道画面，通道1和通道2的码流分辨率均不小于2560*1440；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2、设备内置2个CMOS图像传感器，靶面尺寸均不小于1/1.8"；设备双通道均具有2颗远光混合补光灯和2颗近光补光灯，开启补光灯后，可采集2路彩色视频图像。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3、内置2个电动变焦镜头，焦距不小于8～32mm，支持一键聚焦功能；双镜头PT云台旋转角度均支持水平调节角度：0°～180°，垂直调节角度：-5°～30°。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4、最低照度彩色不大于0.0002 lx，黑白不大于0.0001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5、可同时对检测区域内的多个不同运动方向的行人、非机动车（自行车、三轮车、电瓶车等）、机动车进行检测、跟踪、筛选、抓拍和存储抓拍图片。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6、可持续对目标进行跟踪，并在轨迹中显示抓拍图片；可在客户端或IE 浏览器上将人脸和人体图片、车牌和机动车图片分别关联显示；并支持实时分析并显示行人、机动车、非机动车属性信息，可将属性信息叠加在抓拍的图片上。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 设备防护等级不低于IP67。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9、提供完善的SDK开发包及示例源代码，合同期内免费提供软件功能升级。</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65套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6</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400万高空抓拍机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1、400万不低于53倍球机，支持全结构化混合目标检测；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2、具有不小于1/1.8靶面尺寸，内置不少于2颗补光灯及一套激光器；支持不小于53倍光学变倍；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3、内置GPU芯片摄像机,可对镜头前盖玻璃进行加热；支持雨刷功能；；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4、支持最低照度不低于彩色0.0002 lx，黑白0.0001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5、支持水平旋转范围360°连续旋转，垂直旋转范围-20°~90°。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6、开启混合目标检测模式后，设备可同时对行人、非机动车、机动车进行检测、跟踪、抓拍；支持定制城管模式或其他常用算法。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7、支持前端建模比对：前端存储1万张人脸图片进行建模后，对场景中抓拍的人脸进行比对并输出结果；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9、提供完善的SDK开发包及示例源代码，合同期内免费提供软件功能升级。</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7</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400万双镜头枪球抓拍机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1、由全景摄像机和细节摄像机组成双400W高清相机，CMOS靶面尺寸全景不小于1/1.8英寸，光圈不低于F1.0，焦距4mm，细节不小于1/2.8英寸，光圈不低于F1.6，焦距不低于4.8-110mm，23倍光学变倍；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2、内置GPU芯片；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3、具备不少于8颗补光灯；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4、细节相机云台范围：水平范围：0°～360°，垂直范围： 不小于-20°～90；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5、最低照度: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【全景】不小于0.0005 Lux，黑白；0.0001 Lux彩色；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【细节】不小于0.005 Lux，黑白：0.001Lux 彩色；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6、动态检测范围≥106dB；信噪比不小于67dB；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7、当设置为联动态时，全景通道可进行周界检测并联动细节通道跟踪目标.当设置为独立态时，全景通道可独立进周界检测同时细节通道独立进行人脸检测；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当以下的智能分析行为达到设定的阈值时，可通过客户端软件或IE浏览器给出报警提示。a)区域入侵；b)停车；C)越界入侵；d)人员聚集；e)离开区域；f)快速移动；g)物品移除；h)物品遗留；i)徘徊；j)绊线入侵；k）穿越围栏；l）逆行检测；m）客流统计；n）进入区域；</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9、支持同时检测5张人脸，支持对运动人脸进行检测、跟踪、抓拍、评分、筛选，输出最优的人脸抓图。支持人脸抓拍功能，可时经过设定区域的行人进行人脸检测和人脸跟踪；</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10、可将视频图像存储至SD卡、FTP、NAS或客户端，支持SD卡热拔插，最大支持不小于256GB 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11、电源电压在DC36V±55%范围内变化时，能正常工作；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12、支持不低于IP66防护等级；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13、支持AC24V、DC36V供电，支持长时间±10%宽范围电压输入；支持电源及信号输入端防浪涌；在-20～70℃环境温度下长时间稳定工作，防护等级不低于IP67；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8</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400万双镜头中位抓拍机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个以上图像采集模块（双传感器），不低于400万（细节）+400万（全景），1/1.8英寸CMOS（细节）+1/1.8英寸CMOS（全景），内置双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2、全景通道镜头光圈不低于F1.0，定焦镜头；细节通道镜头光圈不低于F1.4，焦距不低于6-225.5mm，40倍以上光学变倍；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3、云台水平支持0°~360°连续旋转，垂直支持-15°~90°旋转；</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4、开启混合目标检测模式后，细节通道可对监控画面中的行人、非机动车、机动车的一种或多种混合目标进行抓拍及属性显示；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5、可对设定区域单场景内120个目标进行检测、框选跟踪、抓拍和属性显示；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6、可通过IE浏览器抓拍人体目标图片并显示相关属性信息；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7、设备开启混合目标检测模式后，可支持人脸与人体，车辆与车牌的关联显示；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9、支持手动或自动雨刷功能；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11、支持城管及违停抓拍模式（可拆分），支持具备以下功能：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支持违法停车抓拍或占道经营等城管事件类场景侦测识别、抓拍及报警功能，且支持温州市违停处置首次警告提醒功能，城管及违停抓拍模式支持与其他抓拍模式同时开启；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12、具有1个RJ45网络接口、2路报警输入、1路报警输出、1路音频输入、1路音频输出、1个RS-485接口（支持数据透传功能）、1个SD卡插槽；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14、支持AC24V或DC36V供电，支持长时间±10%宽范围电压输入；支持电源及信号输入端防浪涌；在-20～70℃环境温度下长时间稳定工作，防护等级不低于IP67；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9</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400万三镜头枪云抓拍机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1、全结构化400万三通道摄像机，采用一体化设计，由三镜头相机与多高性能GPU模块组成；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2、可输出三路视频图像：全景通道、细节通道、球机通道；支持联动抓拍模式、 三路全结构化模式；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3、细节和球机光学变倍都不小于4倍，细节通道最大焦距不小于30mm，球机通道最大焦距不小于51mm；全景通道焦距不大于6mm。全景通道光圈不小于F1.0，细节和球机通道光圈不小于F1.6。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4、设备内置≥10颗补光灯。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5、三个通道均支持对镜头前盖玻璃加热，去除玻璃上的冰状和水状附着物。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6、支持最低照度可达彩色0.0002Lux，黑白0.0001Lux。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7、在联动模式下，细节通道和全景通道可进行全结构化抓拍和属性分析。在全景通道检测到移动目标后，可联动球机进行人脸、人体的抓拍和属性分析。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8、具备多通道旋转功能，球机通道：水平不小于0到330，垂直：-10到90；细节通道：垂直5可调节。球机镜头、全景镜头和细节镜头可分开进行水平垂直方向调节。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设备全景、细节和球机通道可分别或同时对行人、非机动车、机动车进行检测、跟踪、抓拍，可支持人脸、车牌、非机动车车牌抠图，可将人脸与人体、车牌与车辆关联显示。具备电瓶车牌识别功能，设备可在智能展示界面显示电瓶车的车牌，触发电瓶车报警时，可实时显示电瓶车小图、电瓶车大图和电瓶车车牌小图。</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11、提供完善的SDK开发包及示例源代码，合同期内免费提供软件功能升级。</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10</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400万场景监控</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1、采用400W像素，不小于1/2.7英寸CMOS；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2、镜头毫米数：3.6mm/6mm/8mm可选（根据现场设计确定）；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3、最低照度彩色：0.07 lx，黑白：0.0001 lx；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4、支持H.264、H265视频编码格式，其中H.264支持Baseline/Main/High Profile；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5、信噪比不小于53.5dB；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6、支持智能编码功能，摄像机开启智能编码功能后，码流节约1/2；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7、照度适应范围不小于130dB；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8、自带红外灯珠，红外补光距离不小于30米；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9、设备与客户端之间用150米网线进行传输，每次客户端发送1500个数据包，重复测试3次，每次丢包数不大于1个，具有抗丢包5%的处理能力；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10、具备1路100/1000M RJ45网络接口、2路报警输入、2路报警输出、1个SD卡插槽、1个RS-232接口、硬件恢复默认按钮；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11、支持视音频录像功能，视音频同步试验≤1秒；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12、支持IP66防护等级；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13、支持DC12V供电，电源电压在DC12V±30%范围内变化时设备可以正常工作；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14、含原装电源，按需提供原装铝合金支架；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15、▲符合最新GB/T 28181-2016标准及补充规定，兼容温州公安现有视频监控系统及设备，符合《温州市安全防范视频监控联网系统信息传输交换控制技术要求》；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17、提供原厂商针对本项目的5年质保函原件。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241套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11</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400万双镜头双云台球机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集成双镜头双感光双GPU模式双云台，根据场景应用镜头焦距分全景细节双镜头模块，双镜头模块均支持400万星光级超宽动态人脸抓拍单元，内置双高性能GPU模块，采用深度学习算法，支持人脸抓拍和车辆抓拍；全景镜头模块、细节镜头模块传感器均采用靶面尺寸不小于400万像素1/1.8"CMOS传感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2、▲全景镜头及细节镜头均支持自动变焦，其中全景镜头支持不低于4倍光学变焦，细节镜头不低20倍光学变焦。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3、▲全景镜头模块，感光最低照度彩色不低于0.00lx，黑白不低于0.000lx。细节镜头模块，感光最小照度不低于彩色 0.001Lux ,彩色0.0001 Lux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4、▲主镜头模块支持三种智能资源模式切换：混合目标检测（全结构化模式）、人脸抓拍（同时含人体抓拍特征数据提取）、车辆抓拍模式（同时含人体抓拍特征数据提取）；</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人脸抓拍模式：支持同时检测不少于23张人脸，对运动人脸进行检测、跟踪、抓拍、优选，输出最优的人脸抓图；支持人脸增强，人脸曝光，人脸属性提取，支持人脸属性识别功能，属性包括年龄、性别、眼镜、表情、胡子、口罩；抓拍图片可分为场景图和人脸图，场景图和人脸图可关联存储，并通过IT浏览器或客户端检索并查看存储的图片；在抓取人脸图片的同时，同图片支持人体特征提取并支持GBT1400国标协议对上衣颜色、性别、戴眼镜、戴口罩等特征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车辆抓拍模式：支持正向/背向行驶车辆抓拍，并跟踪、优选、抓拍，上报最优的抓图；支持车牌、车牌颜色、车标、车系、车身颜色、车辆类型，支持新能源车牌识别功能，支持视场倾斜情况下的车辆特征识别；含抓拍非机动车抓拍提取，包括支持上衣颜色、性别、戴眼镜、背包、戴帽子、戴口罩、长短袖、发型、骑车类型、骑车人数属性识别；</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7、混合目标检测（全结构化模式）：支持混合场景下同时抓拍人体、抓拍人脸、抓拍车辆、抓拍非机动车，提取特征符合GB/T1399、GB/T1400国标协议并分别输出；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9、支持定制城管模式或常用算法。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10、具有不少于1个RJ45网络接口、2路报警输入、1路报警输出、1路音频输入、1路音频输出、1个RS-485接口（支持数据透传功能）、1个SD卡插槽；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11、▲可内置CLASS10以上SD卡最大容量支持不小于64GB，并支持存储卡故障提示。在前端具备存储能力的情况下，应能在网络中断时存储所采集的视频和图片数据，故障排除后应能自动上传比对；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13、支持AC220V、DC24V或POE供电，支持长时间±10％宽范围电压输入；支持电源及信号输入端防浪涌；在-20～70℃环境温度下长时间稳定工作，防护等级不低于IP67；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12</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800万轻型双镜头抓拍机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5" name="Text_Box_22"/>
                  <wp:cNvGraphicFramePr/>
                  <a:graphic xmlns:a="http://schemas.openxmlformats.org/drawingml/2006/main">
                    <a:graphicData uri="http://schemas.openxmlformats.org/drawingml/2006/picture">
                      <pic:pic xmlns:pic="http://schemas.openxmlformats.org/drawingml/2006/picture">
                        <pic:nvPicPr>
                          <pic:cNvPr id="5" name="Text_Box_22"/>
                          <pic:cNvPicPr/>
                        </pic:nvPicPr>
                        <pic:blipFill>
                          <a:blip r:embed="rId13"/>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6" name="Text_Box_22_SpCnt_1"/>
                  <wp:cNvGraphicFramePr/>
                  <a:graphic xmlns:a="http://schemas.openxmlformats.org/drawingml/2006/main">
                    <a:graphicData uri="http://schemas.openxmlformats.org/drawingml/2006/picture">
                      <pic:pic xmlns:pic="http://schemas.openxmlformats.org/drawingml/2006/picture">
                        <pic:nvPicPr>
                          <pic:cNvPr id="6" name="Text_Box_22_SpCnt_1"/>
                          <pic:cNvPicPr/>
                        </pic:nvPicPr>
                        <pic:blipFill>
                          <a:blip r:embed="rId14"/>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val="0"/>
                <w:i w:val="0"/>
                <w:iCs w:val="0"/>
                <w:color w:val="000000"/>
                <w:kern w:val="0"/>
                <w:sz w:val="22"/>
                <w:szCs w:val="22"/>
                <w:u w:val="none"/>
                <w:lang w:val="en-US" w:eastAsia="zh-CN" w:bidi="ar"/>
              </w:rPr>
              <w:t>1、▲800万星光级超宽动态人脸抓拍单元，双镜头双感光，内置高性能GPU模块，采用深度学习算法，支持人脸抓拍和车辆抓拍；双传感器靶面尺寸分别不小于1/1.8"、1/1.2"；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可变焦镜头、护罩、万向节、电源适配器等附件及安装配件，镜头支持靶面尺寸不小于1/1.2"英寸，镜头焦距范围不小于10-50mm，镜头解析支持不小于800万像素，最大光圈孔径不小于F1.2，镜头支持自动变焦及对焦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3、▲细节镜头最低照度不低于彩色：0.001lx，黑白:0.0001lx，灰度等级不小于11级，信噪比不小于60dB，需具不小于105dB宽动态。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4、▲支持三种智能资源采集模式切换：混合目标检测（全结构化模式）、人脸抓拍（同时含人体抓拍数据提取）、车辆抓拍模式（同时含人体抓拍特征数据提取）；</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人脸抓拍模式：支持同时检测不少于23张人脸，对运动人脸进行检测、跟踪、抓拍、优选，输出最优的人脸抓图；支持人脸增强，人脸曝光，人脸属性提取，支持人脸属性识别功能，属性包括年龄、性别、眼镜、表情、胡子、口罩；抓拍图片可分为场景图和人脸图，场景图和人脸图可关联存储，并通过IT浏览器或客户端检索并查看存储的图片；在抓取人脸图片的同时，同图片支持人体特征提取并支持GBT1400国标协议对上衣颜色、性别、戴眼镜、戴口罩等特征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车辆抓拍模式：支持正向/背向行驶车辆抓拍，并跟踪、优选、抓拍，上报最优的抓图；支持车牌、车牌颜色、车标、车系、车身颜色、车辆类型，支持新能源车牌识别功能，支持视场倾斜情况下的车辆特征识别；含抓拍非机动车抓拍提取，包括支持上衣颜色、性别、戴眼镜、背包、戴帽子、戴口罩、长短袖、发型、骑车类型、骑车人数属性识别；</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7、混合目标检测（全结构化模式）：支持混合场景下同时抓拍人体、抓拍人脸、抓拍车辆、抓拍非机动车，提取特征符合GB/T1399、GB/T1400国标协议并分别输出；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9、具有1个RJ45网络接口、2路报警输入、1路报警输出、1路音频输入、1路音频输出、1个RS-485接口（支持数据透传功能）、1个SD卡插槽；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10、▲内置32GB CLASS10以上SD卡，并支持存储卡故障提示。在前端具备存储能力的情况下，应能在网络中断时存储所采集的视频和图片数据，故障排除后应能自动上传比对；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75套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13</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800万超广角双镜头抓拍机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3个以上图像采集模块（三传感器），800万（细节）+400万（全景）+400万（全景），不小于1/1.2英寸CMOS（细节）+1/1.8英寸CMOS（全景）+1/1.8英寸（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▲2、镜头焦距：细节镜头覆盖范围不小于10~50mm，全景镜头焦距：3.6mm或4mm；全景镜头最大光圈不小于F1.0，细节镜头最大光圈不小于F1.6；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5、细节模块最低照度不小于：彩色≤0.0003lx，黑白≤0.0001x，信噪比为不高于56dB，宽动态不小于120dB；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13、支持AC24V或DC12V供电，支持长时间±10%宽范围电压输入，配备电源适配器；支持电源及信号输入端防浪涌；在-20～70℃环境温度下长时间稳定工作，防护等级不低于IP67，含护罩、原装铝合金支架；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14</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800万双变焦双镜头抓拍机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1、2个以上图像采集模块(双传感器以上），800万（细节）+400万（全景），1/1.2英寸CMOS（细节）+1/1.8英寸CMOS（全景），内置GPU芯片；（提供公安部检测中心检验报告或投标时提供彩页中标后实施抽样拆机核验）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2、镜头焦距：细节覆盖范围不小于10~50mm，全景：8-32mm；全景不小于F1.6，细节不小于F1.2；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5、细节模块最低照度不小于：彩色≤0.001lx，黑白≤0.0001lx；信噪比为不高于56dB；宽动态不小于120dB；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13、支持AC24V或DC12V供电，支持长时间±10%宽范围电压输入；支持电源及信号输入端防浪涌；在-20～70℃环境温度下长时间稳定工作，防护等级不低于IP66；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15、满足现场要求，按需提供原装铝合金支架；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114套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15</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800万普通广角双镜头抓拍机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个以上图像采集模块（双传感器），800万（细节）+400万（全景），不小于1/1.2英寸CMOS（细节）+1/1.8英寸CMOS（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▲2、镜头焦距：细节镜头覆盖范围不小于10~50mm，全景镜头焦距：3.6mm或4mm；全景镜头最大光圈不小于F1.0，细节镜头最大光圈不小于F1.6；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5、细节模块最低照度不小于：彩色≤0.0003lx，黑白≤0.0001x，信噪比为不高于56dB，宽动态不小于120dB；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13、支持AC24V或DC12V供电，支持长时间±10%宽范围电压输入，配备电源适配器；支持电源及信号输入端防浪涌；在-20～70℃环境温度下长时间稳定工作，防护等级不低于IP67，含护罩、原装铝合金支架；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16</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LED补光灯1型</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1、LED常亮灯，原装进口白光新品LED灯珠，单颗功率5W，不少于32个灯珠；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2、功率不小于35W；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3、铝合金灯体，鳍片式散热结构，面罩采用钢化玻璃；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141只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17</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LED补光灯2型</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1、LED常亮灯，原装进口白光新品LED灯珠，单颗功率5W，不少于48个灯珠；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2、功率不小于35W；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3、铝合金灯体，鳍片式散热结构，面罩采用钢化玻璃，定制护罩，定制灯珠摆放设计；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4、对不同品牌摄像机均支持开关量可调节补光灯的亮度；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18</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LED补光灯3型</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1、LED常亮灯，原装进口白光新品LED灯珠，单颗功率5W，不少于20个灯珠；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2、功率不小于20W；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3、铝合金灯体，面罩采用钢化玻璃，定制护罩，定制灯珠摆放设计；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4、对不同品牌摄像机均支持开关量可调节补光灯的亮度；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8、支持30度、45度、60度（可选）；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19</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无极灯</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1、高效无极灯，通过国家3C认证或CQC认证；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2、有效补光区域：20m*10m，补光区域内任意点最低照度≥3Lux；平均功率不小于80W；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3、可通过集成或外置控制模块实现自动光敏控制补光；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4、灯具防护等级不小于IP65，适合室外安装使用，提供AC220v电源输入口，支持长时间±10%宽范围电压输入；支持电源输入防浪涌；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5、能在-20~60℃环境温度下长时间稳定工作；电源跟灯体之间以及电源输入端要求采用防水对接头。</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20</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电源保护器</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具备电源、数据接地防雷、漏电保护等功能，可自动实现重合闸，相关设备要求采用国内外知名品牌，具备智能功能，含相关平台费用，且无授权接入限制和使用期限限制。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240只</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45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人脸识别比对服务器</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1、2U机架式服务器形态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2、内置芯片不低于Intel Xeon Gold 5120 x2；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3、不少于16GB DDR4 ECC内存 *8；</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4、不少于4TB 3.5吋 6Gbps SATA硬盘 x5；</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5、内置NVIDIA Tesla T4 不少于1块；</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6、具有双千兆/万兆自适应网口；</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7、具有1+1冗余电源；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8、支持200张/秒人脸图片并发处理，支持30万人脸库实时比对布控（最高支持200万布控库），支持1亿人脸抓拍库或静态库以脸搜脸秒级响应；</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9、支持人脸图片流检测分析，支持性别、年龄段、表情、眼镜、胡子、口罩、眼睛开闭等属性；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10、支持将抓拍人脸图片与指定人脸库进行实时比对，得到超过布控阈值的首位命中人员信息；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11、支持手动选取单张人脸图片与注册库比对，以图搜图出符合条件的人员，按相似度从高到低排列；</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12、支持手动选取单张人脸图片，按时间和通道过滤，与历史过人数据比对，以图搜图出符合条件的人员，按相似度从高到低排列；</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13、能够接入乐清市公安局专网比对服务群；</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14、含相关开发接入费用。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22</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视频存储主机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1、19英寸标准机柜设备，单柜磁盘槽位不小于48盘，单盘容量不小于16T，配置GE接口数≥4个，配置10GE接口数≥2个，支持端口链路聚合、负载均衡，不少于400路4MB 1080P高清码流接入能力，并配置所有连接许可，且不受最新国标、SDK对接、ONIVF等任一接入方式影响；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2、符合最新《温州市安全防范视频监控联网系统信息传输交换控制技术要求》，直接接入云存储管理节点；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3、支持接入6T、8T、10T、16T磁盘 ，可混合支持SATA磁盘、SAS磁盘、SSD磁盘；在工作状态下，支持硬盘热插拔；</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4、支持视频、图片等多种数据混存，底层采用流存储格式，持续覆盖后能保持高效读写；</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5、内置16GB高速缓存，最大可扩容至64GB；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6、支持RAID0/1/5/6/10/50/60等标准，支持热备盘模式，RAID重建过程中对业务不中断、不卡顿；</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▲7、支持满足云存储最大视频写入功能，在磁盘发生故障导致RAID阵列处于降级/重建状态下，数据写入无任何影响；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满足云存储具备负载均衡机制和容灾备份功能，支持并具备硬盘RAID冗余、双风扇冗余、双电池冗余、双电源冗余；支持电源自动故障切换和在线故障电源的更换；支持设备异常停电重新启动后数据无丢失；</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▲9、支持满足云存储业务支持跨资源池、跨集群保护功能，当原有资源池、集群整体故障后，业务可被其他资源池、集群接管，切换期间录像不丢失；</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10、单台设备具备独立完成流媒体转发点播功能及能力；</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11、支持防尘、防震、防腐蚀、防硫化设计；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12、支持ISCSI存储技术；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13、支持DB33-Part6(SNMP)网管协议，提供完善的SDK开发包及示例源代码，免费提供5年内软件功能升级与需求定制服务；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15、含安装接入所使用配套光模块；</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23</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企业级硬盘</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1、48盘位存储专用3.5英寸硬盘，一体化SATA 16T 硬盘/SATA 3接口/256M缓存/7200转/速率6Gb/s，含一体化防震支架、硬盘防腐蚀设计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2、提供发生故障换新不返旧服务，并交由采购人报废。</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48块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24</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立杆1型、基础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杆件采用Q235优质钢，采用高热镀锌处理，高度4米及以下，杆件高度可以根据现场环境设计要求进行调整，主杆口径不小于121mm，厚度不小于4mm；横臂直径不得小于75mm，厚度不小于3mm，设计横挑长度0-3米（含3米），点位横臂数量及角度根据现场环境定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4、立杆底部用螺栓与基础固定，电源线和光缆从立杆底部进入，立杆杆的上部横臂设有设备安装位置，立杆的中上部预留网络箱出线口，具备良好的防护功能；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25</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立杆2型、基础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1、杆件采用Q235优质钢，采用高热镀锌处理，高度4.5米，主杆口径不小于140mm，厚度不小于4.5mm；横臂直径不得小于75mm，厚度不小于3mm，设计横挑长度0-3米（含3米），点位横挑数量及角度可根据现场环境定制；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4、立杆底部用螺栓与基础固定，电源线和光缆从立杆底部进入，立杆杆的上部横臂设有设备安装位置，立杆的中上部预留网络箱出线口，具备良好的防护功能；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26</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立杆3型、基础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立杆采用八角Q235优质钢采用高热镀锌处理，高度不低于6.5米，主杆下口径不低于250mm，上口径不低于220mm，厚度不低于6mm；横臂细端口径不低于90mm，粗端口径不低于180mm，厚度不低于4mm，具体点位横挑数量、长度及角度根据现场环境定制，以设计要求为准，设计长度0-6米（含6米）；</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4、立杆底部用螺栓与基础固定，电源线和光缆从立杆底部进入，在杆的上部设有摄像机安装横杆，杆的中下部有网络及电源设备箱，具备良好的防护、散热功能；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27</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定制支架</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1、根据现场环境定制，支持多摄像头安装，能够依托现场建筑体安装，支架标准需经采购人审核认可；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2、采用优质钢材，高热镀锌处理，支架应有较高强度抗台风、防摄像机抖动；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3、所有支架需一次成型不得嫁接；</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197套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28</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网络箱</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尺寸：650mm×450mm×210mm，采用不锈钢304材质，乳白色喷塑处理（部分点位按设计定制颜色），箱体厚度要求不小于1.2mm，机箱防护等级不低于IP54，箱体和配件采用防锈材质或防锈处理，5年内不得出现锈蚀或明显老化现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2、进线孔采用密封处理，底部进线，配进缆夹头、压缆配件、熔纤盘等，采取风扇散热；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3、机箱内部布局合理、模块化清晰，强电部分要进行区域绝缘隔离；所有机箱内部设备都需要安装固定，不得松散摆放；</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4、设备连接均要配置专业的接插件，设计目标是保证安全可靠的同时要求施工高效、质量可靠、维修方便；</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5、喷醒目的“公安监控”、警徽、定制编码、承建商名称及联系方式，保证5年内雨淋、日晒不脱落、不会明显褪色；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6、箱体外观和内部布局设计方案出具图纸，并经采购人审核认可；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7、立杆上挂机箱的，要求箱外没有多余线缆，机箱和立杆统一接地；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8、户外网络箱应提供额外电源输出接口用于公安业务拓展。</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240只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29</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窨井</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1、窨井内部尺寸不小于380mm*380mm*500mm；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2、井盖尺寸不小于400mm*400mm，混凝土井圈及混凝土井盖为预制件；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3、砌体使用砖块及普通硅酸盐水泥，窨井内外壁采用水泥砂浆抹面，厚度为2mm；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窨井采用明挖法施工，整平，夯实基底，严格控制标高，井盖与周边地面齐平，窨井底部应设有渗水孔，做窨井的同时敷设好线管，强、弱电线管分开敷设，预留1根PE25和2根PE32至立杆基础法兰盘的中间位置，管口伸出法兰盘10厘米，做好封堵，另一端伸出井壁位置5厘米，管口下沿位置在井壁40CM处，手井另一侧应预留室外管路接口，接口下沿位置应预留在井壁30厘米处；</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5、进出窨井所有管路必须做好封堵工作；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6、要求承建单位提供详细设计图纸；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7、确保质保期五年内不变形。</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30</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立杆施工费1、2</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配套杆件1型2型，包括老设备的拆除及新设备安装、立杆基础的开挖、做模、浇筑、路面平整、修补、回填、废土清运等工作及材料，设备调测，辅材、附件、工具、人工、验收等全部费用；</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42处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31</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立杆施工费3</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配套杆件3型，包括老设备的拆除及新设备安装、立杆基础的开挖、做模、浇筑、路面平整、修补、回填、废土清运等工作及材料，设备调测，辅材、附件、工具、人工、验收等全部费用；</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32</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借墙借杆施工费用</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借墙借杆设备安装、调测，辅材、附件、工具、人工、验收等全部费用。</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195处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33</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建设运维点位移机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1、建设周期内及五年质保期内（所有点位）按采购人要求提供移机服务；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34</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建设运维点位移机2</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1、VPN建设点位，建设周期内及五年质保期内按采购人要求提供移机服务；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4、针对VPN专网点位移机。</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35</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建设大杆移机</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1、6.5米立杆点位在建设周期内（验收前）按采购人要求提供移机服务；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4、建设周期内未使用完成的点位数，按照1：2比例转为后续服务期内的运维移机。</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36</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加头集成服务费</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1、VPN专网云监控或云人脸点位加装一套摄像机、补光灯。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2、含安装及后续的运维、网络接入服务、电费等服务。</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37</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利旧点位运维费</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1、含日常清洁、巡检、维修、抢修、优化升级的全部费用，前端设备清洁（每年至少2次到前端对所有设备调试并清洁，清洁时间提前报备采购人同意）；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2、含摄像机、补光灯、网络设备等前端设备的电费（补光灯光照时长少小于10小时/天）；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3、杆件、网络箱等监控辅助设施出现外观损坏或安全隐患的，网络箱标志标识出现脱落、明显褪色等应立即修复或更换；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4、新增多设备在同一光点上的，按照单份（单点）计量。</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38</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利旧点位安装费</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1、基于老项目点位根据设计需求进行加装摄像机、补光灯，含安装辅材、光猫等新增或更换相关费用；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2、单光点新增多设备的，工程量按照单份计量；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3、安装标准需按照规范施工；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4、含前端调试后端接入等费用；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5、根据采购人要求安装在指定位置。</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39</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云监控集成服务</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1、云监控点位，使用VPN视频专网，其他包括网络带宽要求等同本项目视频专网网络服务要求。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2、含安装费用，包括辅材、摄像机、补光灯等。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3、含5年网络及运维服务。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4、前端提供不低于400万场景监控设备。</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40</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云人脸集成服务</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1、云监控点位，使用VPN视频专网，其他包括网络带宽要求等同本项目视频专网网络服务要求。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2、含安装费用，包括辅材、摄像机、补光灯等。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3、含5年网络及运维服务。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4、前端提供不低于400万人脸识别抓拍设备。</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41</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网络服务（1年）</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1、前端采用≥4电口网络设备适配器，方便公安业务拓展。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2、远程管理，支持OLT端的网管，可以实现端口流量、网络质量的远程监测。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3、高速转发，部分点位可能存在多个前端摄像头或其他网络设备，应提供足够的网络带宽，满足该点位所有视频同时实时浏览和存储，网络上联带宽不小于100Mbps。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4、局端采用可网管的交换机进行汇聚，保证后端能进行端口级的管理与监测。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5、包括视频专网运行所需的局端光网设备、交换机、网络配件等设备的配备使用等。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6、含从视频专网机房侧到前端监控网络箱的专网（与其他网络物理隔离）光纤链路租费与维护费。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7、每个光点按照单路计量。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含机房环境与中心设备电费，机房环境保障、机柜配套（网、电）整理、维护，机房日常管理及基础台帐维护，服务器、存储、网络设备等机器日常清洁、巡检、维修、抢修，基础资料、巡检维修记录维护的全部费用。</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240处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42</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系统运维（1年）</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1、含日常清洁、巡检、维修、抢修、优化升级的全部费用，前端设备清洁（每年至少2次，擦拭时间提前报备采购人同意）。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2、含摄像机、补光灯、网络设备等前端设备的电费（补光灯光照时长不小于10小时/天）。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3、杆件、网络箱等监控辅助设施出现外观损坏或安全隐患的，网络箱标志标识出现脱落、明显褪色等应立即修复或更换。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4、新增多设备在同一光点上的，按照单份（单点）计量。</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rPr>
            </w:pPr>
            <w:r>
              <w:rPr>
                <w:rFonts w:hint="eastAsia" w:ascii="宋体" w:hAnsi="宋体" w:eastAsia="宋体" w:cs="宋体"/>
                <w:b w:val="0"/>
                <w:i w:val="0"/>
                <w:iCs w:val="0"/>
                <w:color w:val="000000"/>
                <w:kern w:val="0"/>
                <w:sz w:val="22"/>
                <w:szCs w:val="22"/>
                <w:u w:val="none"/>
                <w:lang w:val="en-US" w:eastAsia="zh-CN" w:bidi="ar"/>
              </w:rPr>
              <w:t>240处</w:t>
            </w:r>
          </w:p>
        </w:tc>
      </w:tr>
    </w:tbl>
    <w:p>
      <w:pPr>
        <w:keepNext w:val="0"/>
        <w:keepLines w:val="0"/>
        <w:pageBreakBefore w:val="0"/>
        <w:widowControl w:val="0"/>
        <w:kinsoku/>
        <w:wordWrap/>
        <w:overflowPunct/>
        <w:topLinePunct w:val="0"/>
        <w:autoSpaceDE/>
        <w:autoSpaceDN/>
        <w:bidi w:val="0"/>
        <w:adjustRightInd/>
        <w:snapToGrid/>
        <w:spacing w:line="460" w:lineRule="exact"/>
        <w:ind w:firstLine="440" w:firstLineChars="200"/>
        <w:jc w:val="center"/>
        <w:textAlignment w:val="auto"/>
        <w:rPr>
          <w:rFonts w:ascii="宋体" w:hAnsi="宋体" w:eastAsia="宋体"/>
          <w:b w:val="0"/>
          <w:color w:val="000000"/>
          <w:sz w:val="22"/>
          <w:szCs w:val="22"/>
        </w:rPr>
      </w:pPr>
      <w:r>
        <w:rPr>
          <w:rFonts w:hint="eastAsia" w:ascii="宋体" w:hAnsi="宋体" w:eastAsia="宋体"/>
          <w:b w:val="0"/>
          <w:color w:val="000000"/>
          <w:sz w:val="22"/>
          <w:szCs w:val="22"/>
        </w:rPr>
        <w:t>标项</w:t>
      </w:r>
      <w:r>
        <w:rPr>
          <w:rFonts w:hint="eastAsia" w:ascii="宋体" w:hAnsi="宋体" w:eastAsia="宋体"/>
          <w:b w:val="0"/>
          <w:color w:val="000000"/>
          <w:sz w:val="22"/>
          <w:szCs w:val="22"/>
          <w:lang w:val="en-US" w:eastAsia="zh-CN"/>
        </w:rPr>
        <w:t>三</w:t>
      </w:r>
      <w:r>
        <w:rPr>
          <w:rFonts w:hint="eastAsia" w:ascii="宋体" w:hAnsi="宋体" w:eastAsia="宋体"/>
          <w:b w:val="0"/>
          <w:color w:val="000000"/>
          <w:sz w:val="22"/>
          <w:szCs w:val="22"/>
        </w:rPr>
        <w:t xml:space="preserve"> </w:t>
      </w:r>
      <w:r>
        <w:rPr>
          <w:rFonts w:hint="eastAsia" w:ascii="宋体" w:hAnsi="宋体" w:eastAsia="宋体"/>
          <w:b w:val="0"/>
          <w:color w:val="000000"/>
          <w:sz w:val="22"/>
          <w:szCs w:val="22"/>
          <w:lang w:val="en-US" w:eastAsia="zh-CN"/>
        </w:rPr>
        <w:t>中片233处视频监控及人脸识别建设及运维服务项目采购内容及具体要求</w:t>
      </w:r>
    </w:p>
    <w:tbl>
      <w:tblPr>
        <w:tblStyle w:val="41"/>
        <w:tblW w:w="9467" w:type="dxa"/>
        <w:tblInd w:w="-1" w:type="dxa"/>
        <w:tblLayout w:type="autofit"/>
        <w:tblCellMar>
          <w:top w:w="0" w:type="dxa"/>
          <w:left w:w="108" w:type="dxa"/>
          <w:bottom w:w="0" w:type="dxa"/>
          <w:right w:w="108" w:type="dxa"/>
        </w:tblCellMar>
      </w:tblPr>
      <w:tblGrid>
        <w:gridCol w:w="720"/>
        <w:gridCol w:w="1604"/>
        <w:gridCol w:w="6169"/>
        <w:gridCol w:w="974"/>
      </w:tblGrid>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2"/>
                <w:szCs w:val="22"/>
              </w:rPr>
            </w:pPr>
            <w:r>
              <w:rPr>
                <w:rFonts w:hint="eastAsia" w:ascii="宋体" w:hAnsi="宋体" w:eastAsia="宋体" w:cs="宋体"/>
                <w:b w:val="0"/>
                <w:color w:val="000000"/>
                <w:sz w:val="22"/>
                <w:szCs w:val="22"/>
                <w:lang w:bidi="ar"/>
              </w:rPr>
              <w:t>序号</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2"/>
                <w:szCs w:val="22"/>
              </w:rPr>
            </w:pPr>
            <w:r>
              <w:rPr>
                <w:rFonts w:hint="eastAsia" w:ascii="宋体" w:hAnsi="宋体" w:eastAsia="宋体" w:cs="宋体"/>
                <w:b w:val="0"/>
                <w:color w:val="000000"/>
                <w:sz w:val="22"/>
                <w:szCs w:val="22"/>
                <w:lang w:bidi="ar"/>
              </w:rPr>
              <w:t>采购内容</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2"/>
                <w:szCs w:val="22"/>
              </w:rPr>
            </w:pPr>
            <w:r>
              <w:rPr>
                <w:rFonts w:hint="eastAsia" w:ascii="宋体" w:hAnsi="宋体" w:eastAsia="宋体" w:cs="宋体"/>
                <w:b w:val="0"/>
                <w:color w:val="000000"/>
                <w:sz w:val="22"/>
                <w:szCs w:val="22"/>
                <w:lang w:bidi="ar"/>
              </w:rPr>
              <w:t>技术要求</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2"/>
                <w:szCs w:val="22"/>
              </w:rPr>
            </w:pPr>
            <w:r>
              <w:rPr>
                <w:rFonts w:hint="eastAsia" w:ascii="宋体" w:hAnsi="宋体" w:eastAsia="宋体" w:cs="宋体"/>
                <w:b w:val="0"/>
                <w:color w:val="000000"/>
                <w:sz w:val="22"/>
                <w:szCs w:val="22"/>
                <w:lang w:bidi="ar"/>
              </w:rPr>
              <w:t>数量</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400单镜头抓拍机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1、采用高性能400万像素1/1.8英寸CMOS图像传感器，不低于4倍光学变焦，固定光圈且不小于F1.0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2、最大可输出400万(2688×1520)@30fps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3、支持H.265编码，压缩比高，实现超低码流传输</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4、内置2颗以上高效暖光补光灯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5、支持ROI，SMART H.264/H.265，AI H.264/H.265，灵活编码，适用不同带宽和存储环境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6、支持走廊模式，宽动态，3D降噪，强光抑制，背光补偿，数字水印，适用不同监控环境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7、支持以下功能切换：人脸抓拍模式、道路监控模式、Smart时间模式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8、支持人脸检测：支持跟踪，支持优选，支持抓拍，支持上报最优的人脸抓图，支持人脸增强，人脸曝光，支持人脸属性提取，支持7种属性，5种表情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9、支持绊线入侵，区域入侵，快速移动，物品遗留，物品搬移，徘徊检测，人员聚集，停车检测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10、最大支持256G Micro SD卡，内置MIC，扬声器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11、支持IP67防护等级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10套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400万双镜头大感光抓拍机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双通道，双感光，硬件要求双变焦双抓拍形态。细节采用不低于超星光超低照度400万像素1/1.2英寸CMOS图像传感器场景,场景通道采用不低于超星光超低照度400万像素1/1.8英寸CMOS图像传感器，内置2个镜头及GPU，镜头焦距：场景镜头：8~32mm，细节不低于10-50mm，全景镜头调节角度不低于上下±10°；双抓拍硬件形态产品，双通道分别采用星光级低照度400万像素1/1.2英寸CMOS图像传感器和400万像素1/1.8英寸CMOS图像传感器，内置双GPU芯片，镜头焦距：全景：8~32mm； 细节：8~56mm，调整角度：通道1:上下角度均能调节；通道2:上下角度能调节；（针对1/1.2英寸CMOS图像传感器需提供公安部检测中心检验报告或投标时提供彩页中标后实施抽样拆机核验）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2、内置不少于8颗混合补光灯，每颗补光灯由红外灯、白光灯组成；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3、细节通道最低照度：彩色：≤0.0002lx；黑白：≤0.0001lx；信噪比不小于62dB；照度适应范围不小于140dB；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41套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400万普通双镜头抓拍机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1、双通道摄像机，可输出2路视频图像，2个COMS靶面尺寸分别不小于1/1.8英寸、1/2.8英寸；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2、像素通道分辨率分别不小于400万及200万，其中细节抓拍不小于4倍光学变焦；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3、具有1个CVBS模拟视频接口、1个RJ45接口、3个报警输入接口、2个报警输出接口、2个音频输入接口、1个音频输出接口、1个SD卡槽、1个复位按钮、1个RS232接口、1个RS485、内置扬声器、2个麦克风及不少于6颗补光灯；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4、通道1、通道2最低照度：彩色:≤0.0002lx；黑白:≤0.0001lx；水平中心分辨率不小于1500TVL；信噪比不小于65dB；照度适应范围不小于140dB；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5、支持人脸抓拍模式、车辆抓拍模式、人体抓拍模式等多种模式可切换。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6、可通过IE浏览器设置人脸抓拍区域、人脸抓拍数量(1-100张)和抓拍间隔(1-255帧)；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7、支持人脸属性显示功能，可在IE浏览器预览界面显示包括年龄、性别、有无戴眼镜、胡子、口罩等人脸属性；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8、支持人脸侦测功能，可对经过设定区域的行人进行人脸检测；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9、支持对齐刘海遮挡眉毛、头发遮挡眼镜、戴普通眼镜、戴墨镜、戴彩色眼镜、戴帽子、戴头戴式耳机、半边人脸、戴口罩人脸进行检测；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10、可对出现在监控场景内的两眼瞳距不小于20像素的人脸进行检测，同时叠加目标提示框；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11、可将视频图像存储至SD卡、FTP、NAS或客户端，支持SD卡热拔插，最大支持512GB SD卡，支持断点续传功能；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12、电源电压在DC12V±30%范围内变化时，应能正常工作；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168套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400万单云台双镜头抓拍机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1、支持智能资源模式切换：全结构化（默认）、人脸抓拍、人脸比对、道路监控、Smart事件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2、摄像机定焦镜头、变焦镜头靶面尺寸均不小于1/1.8英寸，定焦镜头焦距不低于4mm,变焦镜头焦距不低于8-32mm；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3、设备支持水平方向-90°~90°旋转，垂直方向一定角度调节。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4、断电后，设备可自动锁定垂直监控位置。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5、内置GPU芯片。内置麦克风、扬声器，支持双向语音对讲。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6、内置至少4颗混合补光灯，每颗灯由红外灯、白光灯组成，在开启白光灯或混合补光灯时，可输出彩色视频图像。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7、最低照度彩色不大于0.0002 lx，黑白不大于0.0001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8、支持检测区域内不低于32个移动目标（机动车、非机动车及行人）检测、框选跟踪、筛选、抓拍，可将人脸人体、车辆与车牌关联显示。支持侧脸过滤功能，可过滤上下、左右角度达到预设值的人脸。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9、不低于IP67防护等级。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11、提供完善的SDK开发包及示例源代码，合同期内免费提供软件功能升级。</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18套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400万双云台多镜头抓拍机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1、双通道均支持PT一体化云台，通道1和通道2的云台应可独立控制，可通过IE浏览器或客户端远程调节PT位置以实现监控场景的切换；可输出2个通道画面，通道1和通道2的码流分辨率均不小于2560*1440；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2、设备内置2个CMOS图像传感器，靶面尺寸均不小于1/1.8"；设备双通道均具有2颗远光混合补光灯和2颗近光补光灯，开启补光灯后，可采集2路彩色视频图像。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3、内置2个电动变焦镜头，焦距不小于8～32mm，支持一键聚焦功能；双镜头PT云台旋转角度均支持水平调节角度：0°～180°，垂直调节角度：-5°～30°。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4、最低照度彩色不大于0.0002 lx，黑白不大于0.0001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5、可同时对检测区域内的多个不同运动方向的行人、非机动车（自行车、三轮车、电瓶车等）、机动车进行检测、跟踪、筛选、抓拍和存储抓拍图片。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6、可持续对目标进行跟踪，并在轨迹中显示抓拍图片；可在客户端或IE 浏览器上将人脸和人体图片、车牌和机动车图片分别关联显示；并支持实时分析并显示行人、机动车、非机动车属性信息，可将属性信息叠加在抓拍的图片上。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 设备防护等级不低于IP67。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9、提供完善的SDK开发包及示例源代码，合同期内免费提供软件功能升级。</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val="en-US" w:bidi="ar"/>
              </w:rPr>
            </w:pPr>
            <w:r>
              <w:rPr>
                <w:rFonts w:hint="eastAsia" w:ascii="宋体" w:hAnsi="宋体" w:eastAsia="宋体" w:cs="宋体"/>
                <w:b w:val="0"/>
                <w:i w:val="0"/>
                <w:iCs w:val="0"/>
                <w:color w:val="000000"/>
                <w:kern w:val="0"/>
                <w:sz w:val="22"/>
                <w:szCs w:val="22"/>
                <w:u w:val="none"/>
                <w:lang w:val="en-US" w:eastAsia="zh-CN" w:bidi="ar"/>
              </w:rPr>
              <w:t>77套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400万高空抓拍机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1、400万不低于53倍球机，支持全结构化混合目标检测；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2、具有不小于1/1.8靶面尺寸，内置不少于2颗补光灯及一套激光器；支持不小于53倍光学变倍；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3、内置GPU芯片摄像机,可对镜头前盖玻璃进行加热；支持雨刷功能；；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4、支持最低照度不低于彩色0.0002 lx，黑白0.0001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5、支持水平旋转范围360°连续旋转，垂直旋转范围-20°~90°。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6、开启混合目标检测模式后，设备可同时对行人、非机动车、机动车进行检测、跟踪、抓拍；支持定制城管模式或其他常用算法。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7、支持前端建模比对：前端存储1万张人脸图片进行建模后，对场景中抓拍的人脸进行比对并输出结果；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9、提供完善的SDK开发包及示例源代码，合同期内免费提供软件功能升级。</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400万双镜头枪球抓拍机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1、由全景摄像机和细节摄像机组成双400W高清相机，CMOS靶面尺寸全景不小于1/1.8英寸，光圈不低于F1.0，焦距4mm，细节不小于1/2.8英寸，光圈不低于F1.6，焦距不低于4.8-110mm，23倍光学变倍；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2、内置GPU芯片；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3、具备不少于8颗补光灯；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4、细节相机云台范围：水平范围：0°～360°，垂直范围： 不小于-20°～90；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5、最低照度: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【全景】不小于0.0005 Lux，黑白；0.0001 Lux彩色；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【细节】不小于0.005 Lux，黑白：0.001Lux 彩色；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6、动态检测范围≥106dB；信噪比不小于67dB；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7、当设置为联动态时，全景通道可进行周界检测并联动细节通道跟踪目标.当设置为独立态时，全景通道可独立进周界检测同时细节通道独立进行人脸检测；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当以下的智能分析行为达到设定的阈值时，可通过客户端软件或IE浏览器给出报警提示。a)区域入侵；b)停车；C)越界入侵；d)人员聚集；e)离开区域；f)快速移动；g)物品移除；h)物品遗留；i)徘徊；j)绊线入侵；k）穿越围栏；l）逆行检测；m）客流统计；n）进入区域；</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9、支持同时检测5张人脸，支持对运动人脸进行检测、跟踪、抓拍、评分、筛选，输出最优的人脸抓图。支持人脸抓拍功能，可时经过设定区域的行人进行人脸检测和人脸跟踪；</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10、可将视频图像存储至SD卡、FTP、NAS或客户端，支持SD卡热拔插，最大支持不小于256GB 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11、电源电压在DC36V±55%范围内变化时，能正常工作；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12、支持不低于IP66防护等级；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13、支持AC24V、DC36V供电，支持长时间±10%宽范围电压输入；支持电源及信号输入端防浪涌；在-20～70℃环境温度下长时间稳定工作，防护等级不低于IP67；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38套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400万双镜头中位抓拍机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2个以上图像采集模块（双传感器），不低于400万（细节）+400万（全景），1/1.8英寸CMOS（细节）+1/1.8英寸CMOS（全景），内置双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2、全景通道镜头光圈不低于F1.0，定焦镜头；细节通道镜头光圈不低于F1.4，焦距不低于6-225.5mm，40倍以上光学变倍；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3、云台水平支持0°~360°连续旋转，垂直支持-15°~90°旋转；</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4、开启混合目标检测模式后，细节通道可对监控画面中的行人、非机动车、机动车的一种或多种混合目标进行抓拍及属性显示；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5、可对设定区域单场景内120个目标进行检测、框选跟踪、抓拍和属性显示；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6、可通过IE浏览器抓拍人体目标图片并显示相关属性信息；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7、设备开启混合目标检测模式后，可支持人脸与人体，车辆与车牌的关联显示；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9、支持手动或自动雨刷功能；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11、支持城管及违停抓拍模式（可拆分），支持具备以下功能：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支持违法停车抓拍或占道经营等城管事件类场景侦测识别、抓拍及报警功能，且支持温州市违停处置首次警告提醒功能，城管及违停抓拍模式支持与其他抓拍模式同时开启；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12、具有1个RJ45网络接口、2路报警输入、1路报警输出、1路音频输入、1路音频输出、1个RS-485接口（支持数据透传功能）、1个SD卡插槽；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14、支持AC24V或DC36V供电，支持长时间±10%宽范围电压输入；支持电源及信号输入端防浪涌；在-20～70℃环境温度下长时间稳定工作，防护等级不低于IP67；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400万三镜头枪云抓拍机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1、全结构化400万三通道摄像机，采用一体化设计，由三镜头相机与多高性能GPU模块组成；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2、可输出三路视频图像：全景通道、细节通道、球机通道；支持联动抓拍模式、 三路全结构化模式；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3、细节和球机光学变倍都不小于4倍，细节通道最大焦距不小于30mm，球机通道最大焦距不小于51mm；全景通道焦距不大于6mm。全景通道光圈不小于F1.0，细节和球机通道光圈不小于F1.6。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4、设备内置≥10颗补光灯。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5、三个通道均支持对镜头前盖玻璃加热，去除玻璃上的冰状和水状附着物。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6、支持最低照度可达彩色0.0002Lux，黑白0.0001Lux。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7、在联动模式下，细节通道和全景通道可进行全结构化抓拍和属性分析。在全景通道检测到移动目标后，可联动球机进行人脸、人体的抓拍和属性分析。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8、具备多通道旋转功能，球机通道：水平不小于0到330，垂直：-10到90；细节通道：垂直5可调节。球机镜头、全景镜头和细节镜头可分开进行水平垂直方向调节。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设备全景、细节和球机通道可分别或同时对行人、非机动车、机动车进行检测、跟踪、抓拍，可支持人脸、车牌、非机动车车牌抠图，可将人脸与人体、车牌与车辆关联显示。具备电瓶车牌识别功能，设备可在智能展示界面显示电瓶车的车牌，触发电瓶车报警时，可实时显示电瓶车小图、电瓶车大图和电瓶车车牌小图。</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11、提供完善的SDK开发包及示例源代码，合同期内免费提供软件功能升级。</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6套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400万场景监控</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1、采用400W像素，不小于1/2.7英寸CMOS；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2、镜头毫米数：3.6mm/6mm/8mm可选（根据现场设计确定）；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3、最低照度彩色：0.07 lx，黑白：0.0001 lx；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4、支持H.264、H265视频编码格式，其中H.264支持Baseline/Main/High Profile；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5、信噪比不小于53.5dB；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6、支持智能编码功能，摄像机开启智能编码功能后，码流节约1/2；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7、照度适应范围不小于130dB；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8、自带红外灯珠，红外补光距离不小于30米；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9、设备与客户端之间用150米网线进行传输，每次客户端发送1500个数据包，重复测试3次，每次丢包数不大于1个，具有抗丢包5%的处理能力；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10、具备1路100/1000M RJ45网络接口、2路报警输入、2路报警输出、1个SD卡插槽、1个RS-232接口、硬件恢复默认按钮；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11、支持视音频录像功能，视音频同步试验≤1秒；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12、支持IP66防护等级；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13、支持DC12V供电，电源电压在DC12V±30%范围内变化时设备可以正常工作；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14、含原装电源，按需提供原装铝合金支架；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15、▲符合最新GB/T 28181-2016标准及补充规定，兼容温州公安现有视频监控系统及设备，符合《温州市安全防范视频监控联网系统信息传输交换控制技术要求》；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17、提供原厂商针对本项目的5年质保函原件。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180套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400万双镜头双云台球机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集成双镜头双感光双GPU模式双云台，根据场景应用镜头焦距分全景细节双镜头模块，双镜头模块均支持400万星光级超宽动态人脸抓拍单元，内置双高性能GPU模块，采用深度学习算法，支持人脸抓拍和车辆抓拍；全景镜头模块、细节镜头模块传感器均采用靶面尺寸不小于400万像素1/1.8"CMOS传感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2、▲全景镜头及细节镜头均支持自动变焦，其中全景镜头支持不低于4倍光学变焦，细节镜头不低20倍光学变焦。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3、▲全景镜头模块，感光最低照度彩色不低于0.00lx，黑白不低于0.000lx。细节镜头模块，感光最小照度不低于彩色 0.001Lux ,彩色0.0001 Lux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4、▲主镜头模块支持三种智能资源模式切换：混合目标检测（全结构化模式）、人脸抓拍（同时含人体抓拍特征数据提取）、车辆抓拍模式（同时含人体抓拍特征数据提取）；</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人脸抓拍模式：支持同时检测不少于23张人脸，对运动人脸进行检测、跟踪、抓拍、优选，输出最优的人脸抓图；支持人脸增强，人脸曝光，人脸属性提取，支持人脸属性识别功能，属性包括年龄、性别、眼镜、表情、胡子、口罩；抓拍图片可分为场景图和人脸图，场景图和人脸图可关联存储，并通过IT浏览器或客户端检索并查看存储的图片；在抓取人脸图片的同时，同图片支持人体特征提取并支持GBT1400国标协议对上衣颜色、性别、戴眼镜、戴口罩等特征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车辆抓拍模式：支持正向/背向行驶车辆抓拍，并跟踪、优选、抓拍，上报最优的抓图；支持车牌、车牌颜色、车标、车系、车身颜色、车辆类型，支持新能源车牌识别功能，支持视场倾斜情况下的车辆特征识别；含抓拍非机动车抓拍提取，包括支持上衣颜色、性别、戴眼镜、背包、戴帽子、戴口罩、长短袖、发型、骑车类型、骑车人数属性识别；</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7、混合目标检测（全结构化模式）：支持混合场景下同时抓拍人体、抓拍人脸、抓拍车辆、抓拍非机动车，提取特征符合GB/T1399、GB/T1400国标协议并分别输出；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9、支持定制城管模式或常用算法。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10、具有不少于1个RJ45网络接口、2路报警输入、1路报警输出、1路音频输入、1路音频输出、1个RS-485接口（支持数据透传功能）、1个SD卡插槽；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11、▲可内置CLASS10以上SD卡最大容量支持不小于64GB，并支持存储卡故障提示。在前端具备存储能力的情况下，应能在网络中断时存储所采集的视频和图片数据，故障排除后应能自动上传比对；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13、支持AC220V、DC24V或POE供电，支持长时间±10％宽范围电压输入；支持电源及信号输入端防浪涌；在-20～70℃环境温度下长时间稳定工作，防护等级不低于IP67；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18套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800万轻型双镜头抓拍机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7" name="Text_Box_22"/>
                  <wp:cNvGraphicFramePr/>
                  <a:graphic xmlns:a="http://schemas.openxmlformats.org/drawingml/2006/main">
                    <a:graphicData uri="http://schemas.openxmlformats.org/drawingml/2006/picture">
                      <pic:pic xmlns:pic="http://schemas.openxmlformats.org/drawingml/2006/picture">
                        <pic:nvPicPr>
                          <pic:cNvPr id="7" name="Text_Box_22"/>
                          <pic:cNvPicPr/>
                        </pic:nvPicPr>
                        <pic:blipFill>
                          <a:blip r:embed="rId9"/>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8" name="Text_Box_22_SpCnt_1"/>
                  <wp:cNvGraphicFramePr/>
                  <a:graphic xmlns:a="http://schemas.openxmlformats.org/drawingml/2006/main">
                    <a:graphicData uri="http://schemas.openxmlformats.org/drawingml/2006/picture">
                      <pic:pic xmlns:pic="http://schemas.openxmlformats.org/drawingml/2006/picture">
                        <pic:nvPicPr>
                          <pic:cNvPr id="8" name="Text_Box_22_SpCnt_1"/>
                          <pic:cNvPicPr/>
                        </pic:nvPicPr>
                        <pic:blipFill>
                          <a:blip r:embed="rId11"/>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val="0"/>
                <w:i w:val="0"/>
                <w:iCs w:val="0"/>
                <w:color w:val="000000"/>
                <w:kern w:val="0"/>
                <w:sz w:val="22"/>
                <w:szCs w:val="22"/>
                <w:u w:val="none"/>
                <w:lang w:val="en-US" w:eastAsia="zh-CN" w:bidi="ar"/>
              </w:rPr>
              <w:t>1、▲800万星光级超宽动态人脸抓拍单元，双镜头双感光，内置高性能GPU模块，采用深度学习算法，支持人脸抓拍和车辆抓拍；双传感器靶面尺寸分别不小于1/1.8"、1/1.2"；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可变焦镜头、护罩、万向节、电源适配器等附件及安装配件，镜头支持靶面尺寸不小于1/1.2"英寸，镜头焦距范围不小于10-50mm，镜头解析支持不小于800万像素，最大光圈孔径不小于F1.2，镜头支持自动变焦及对焦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3、▲细节镜头最低照度不低于彩色：0.001lx，黑白:0.0001lx，灰度等级不小于11级，信噪比不小于60dB，需具不小于105dB宽动态。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4、▲支持三种智能资源采集模式切换：混合目标检测（全结构化模式）、人脸抓拍（同时含人体抓拍数据提取）、车辆抓拍模式（同时含人体抓拍特征数据提取）；</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人脸抓拍模式：支持同时检测不少于23张人脸，对运动人脸进行检测、跟踪、抓拍、优选，输出最优的人脸抓图；支持人脸增强，人脸曝光，人脸属性提取，支持人脸属性识别功能，属性包括年龄、性别、眼镜、表情、胡子、口罩；抓拍图片可分为场景图和人脸图，场景图和人脸图可关联存储，并通过IT浏览器或客户端检索并查看存储的图片；在抓取人脸图片的同时，同图片支持人体特征提取并支持GBT1400国标协议对上衣颜色、性别、戴眼镜、戴口罩等特征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车辆抓拍模式：支持正向/背向行驶车辆抓拍，并跟踪、优选、抓拍，上报最优的抓图；支持车牌、车牌颜色、车标、车系、车身颜色、车辆类型，支持新能源车牌识别功能，支持视场倾斜情况下的车辆特征识别；含抓拍非机动车抓拍提取，包括支持上衣颜色、性别、戴眼镜、背包、戴帽子、戴口罩、长短袖、发型、骑车类型、骑车人数属性识别；</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7、混合目标检测（全结构化模式）：支持混合场景下同时抓拍人体、抓拍人脸、抓拍车辆、抓拍非机动车，提取特征符合GB/T1399、GB/T1400国标协议并分别输出；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9、具有1个RJ45网络接口、2路报警输入、1路报警输出、1路音频输入、1路音频输出、1个RS-485接口（支持数据透传功能）、1个SD卡插槽；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10、▲内置32GB CLASS10以上SD卡，并支持存储卡故障提示。在前端具备存储能力的情况下，应能在网络中断时存储所采集的视频和图片数据，故障排除后应能自动上传比对；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56套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800万超广角双镜头抓拍机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3个以上图像采集模块（三传感器），800万（细节）+400万（全景）+400万（全景），不小于1/1.2英寸CMOS（细节）+1/1.8英寸CMOS（全景）+1/1.8英寸（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▲2、镜头焦距：细节镜头覆盖范围不小于10~50mm，全景镜头焦距：3.6mm或4mm；全景镜头最大光圈不小于F1.0，细节镜头最大光圈不小于F1.6；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5、细节模块最低照度不小于：彩色≤0.0003lx，黑白≤0.0001x，信噪比为不高于56dB，宽动态不小于120dB；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13、支持AC24V或DC12V供电，支持长时间±10%宽范围电压输入，配备电源适配器；支持电源及信号输入端防浪涌；在-20～70℃环境温度下长时间稳定工作，防护等级不低于IP67，含护罩、原装铝合金支架；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11套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800万双变焦双镜头抓拍机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1、2个以上图像采集模块(双传感器以上），800万（细节）+400万（全景），1/1.2英寸CMOS（细节）+1/1.8英寸CMOS（全景），内置GPU芯片；（提供公安部检测中心检验报告或投标时提供彩页中标后实施抽样拆机核验）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2、镜头焦距：细节覆盖范围不小于10~50mm，全景：8-32mm；全景不小于F1.6，细节不小于F1.2；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5、细节模块最低照度不小于：彩色≤0.001lx，黑白≤0.0001lx；信噪比为不高于56dB；宽动态不小于120dB；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13、支持AC24V或DC12V供电，支持长时间±10%宽范围电压输入；支持电源及信号输入端防浪涌；在-20～70℃环境温度下长时间稳定工作，防护等级不低于IP66；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15、满足现场要求，按需提供原装铝合金支架；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134套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800万普通广角双镜头抓拍机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2个以上图像采集模块（双传感器），800万（细节）+400万（全景），不小于1/1.2英寸CMOS（细节）+1/1.8英寸CMOS（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▲2、镜头焦距：细节镜头覆盖范围不小于10~50mm，全景镜头焦距：3.6mm或4mm；全景镜头最大光圈不小于F1.0，细节镜头最大光圈不小于F1.6；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5、细节模块最低照度不小于：彩色≤0.0003lx，黑白≤0.0001x，信噪比为不高于56dB，宽动态不小于120dB；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13、支持AC24V或DC12V供电，支持长时间±10%宽范围电压输入，配备电源适配器；支持电源及信号输入端防浪涌；在-20～70℃环境温度下长时间稳定工作，防护等级不低于IP67，含护罩、原装铝合金支架；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16套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LED补光灯1型</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1、LED常亮灯，原装进口白光新品LED灯珠，单颗功率5W，不少于32个灯珠；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2、功率不小于35W；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3、铝合金灯体，鳍片式散热结构，面罩采用钢化玻璃；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106只</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LED补光灯2型</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1、LED常亮灯，原装进口白光新品LED灯珠，单颗功率5W，不少于48个灯珠；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2、功率不小于35W；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3、铝合金灯体，鳍片式散热结构，面罩采用钢化玻璃，定制护罩，定制灯珠摆放设计；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4、对不同品牌摄像机均支持开关量可调节补光灯的亮度；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89只</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LED补光灯3型</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1、LED常亮灯，原装进口白光新品LED灯珠，单颗功率5W，不少于20个灯珠；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2、功率不小于20W；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3、铝合金灯体，面罩采用钢化玻璃，定制护罩，定制灯珠摆放设计；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4、对不同品牌摄像机均支持开关量可调节补光灯的亮度；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8、支持30度、45度、60度（可选）；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75只</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无极灯</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1、高效无极灯，通过国家3C认证或CQC认证；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2、有效补光区域：20m*10m，补光区域内任意点最低照度≥3Lux；平均功率不小于80W；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3、可通过集成或外置控制模块实现自动光敏控制补光；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4、灯具防护等级不小于IP65，适合室外安装使用，提供AC220v电源输入口，支持长时间±10%宽范围电压输入；支持电源输入防浪涌；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5、能在-20~60℃环境温度下长时间稳定工作；电源跟灯体之间以及电源输入端要求采用防水对接头。</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11只</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电源保护器</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具备电源、数据接地防雷、漏电保护等功能，可自动实现重合闸，相关设备要求采用国内外知名品牌，具备智能功能，含相关平台费用，且无授权接入限制和使用期限限制。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233只</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数据安全交换系统</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双系统服务器部署架构，包括数据交换前置服务器和数据交换后置服务器两台设备；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标准2U机架式设备；冗余电源；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千兆网络电口≥4个，万兆光口≥4个；USB口≥2个；VGA接口≥1个；</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吞吐量≥6Gbps；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数据库同步速率（1KB）≥10000条/秒；</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FTP文件同步速率（40KB）≥2500个/秒；</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消息同步速率（1KB）≥6000个/秒；</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传输时延≤50ms；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1、指令交换：支持数据格式检查、 关键字过滤、 API调用方身份认证、请求报文完整性验证功能；（提供具有CMA及CNAS权威认可标识的测试报告证明）</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2、服务认证：支持HMAC签名认证、 SOAP头认证、 JWT令牌身份认证；（提供具有CMA及CNAS权威认可标识的测试报告证明）</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3、数据库同步：支持数据库同步， 兼容常用关系数据库、 非关系型数据库、 国产数据库； 支持不同类型数据库之间异构数据库同步；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4、FTP文件同步：支持FTP文件同步， 支持单向同步、 双向同步、 更新同步、 累加同步、 镜像同步、 移动同步、 文件同步重名等多种策略；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5、消息同步：支持基于Topic主题的消息同步和发布订阅， 兼容常用消息总线系统；</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6、格式检查：支持数据格式检查、 协议格式检查、 参数检查、 文件类型检查、 内容过滤、 长度大小过滤， 支持GA/T 1400协议；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7、访问控制：支持基于IP、 端口、 协议、 时间、 流量、 频次的访问控制；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8、集群功能：支持集群扩展部署， 内置集群管理功能， 具备集群节点并行交换、 负载均衡和故障规避迁移功能， 无需独立集群管理节点；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9、二次响应：请求业务能够得到请求到达前置和后置到达实际目标端的两次响应结果，方便监控传输延时和链路故障；（提供具有CMA及CNAS权威认可标识的测试报告证明）</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10、支持对数据库表中姓名、身份证号、手机号、详细地址等详细信息和带有个人隐私的字段加插数据水印，并可对含有水印的数据进行溯源；（提供具有CMA及CNAS权威认可标识的测试报告证明）</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11、支持对数据库表中姓名、身份证号码、手机号码、详细地址等敏感和带有个人隐私的字段进行数据脱敏处理。</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1套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双单向光闸</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460" w:lineRule="exact"/>
              <w:jc w:val="left"/>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U标准机架式设备，采用“2+1”硬件系统架构，单台设备由内、外网两个独立主机模块和一个单向传输专用硬件模块三部分组成，单向传输硬件模块基于光的物理单向传输特性实现数据0反馈单向传输，不存在反向通道。</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内网侧：千兆网络电口6个；2个万兆光口，支持扩展；2个USB口；1个Console口；</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外网侧：千兆网络电口6个；2个万兆光口，支持扩展；2个USB口；1个Console口；</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吞吐量≥6Gbps；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1、支持数据库同步，兼容适配Oracle、Mysql、DB2、Sybase、SQL Server等主流关系型数据库；</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2、支持数据库表多对一、一对多同步；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3、支持单主键、联合主键及无主键（无重复行）数据表同步；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4、支持FTP、SMB、NFS文件同步；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5、支持文件目录镜像同步、源端删除同步、更新同步、累加同步、文件同步重名等同步策略；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6、支持数据格式校验、类型检查、长度检查和内容过滤；</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7、支持内置病毒查杀引擎，支持手动更新病毒库；</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8、支持关键字典、正则匹配式方式进行敏感信息过滤；</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9、支持邮件同步，支持针对收发件人、邮件标题、正文内容，邮件大小、邮件附件类型等进行过滤；</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10、支持UDP代理，支持广播、单播和多播；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11、支持专用客户端、数字证书、口令密码、IP/MAC绑定等方式进行身份认证；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12、支持双机热备、双机主主分担、多机集群部署，支持根据配置参数进行任务分担。</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数据通道软件平台及配套对接服务</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1、支持海康、大华、宇视等设备厂家sdk无缝对接，支持网络层负载均衡策略，支持设备登入、登出、延迟日志记录。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2、支持GA/T 1400 2017标准协议平台对接，支持设备注册、保活、注销，采取http摘要认证方式防止恶意攻击，支持视图库时间校验。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3、支持公安现用的图片传输共享协议，如城道协议、省厅卡口平台协议，支持原厂家数据转换，提供多种模板转化方式，最大程度采集前端可用数据。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4、支持标准视图库协议发送接收，支持图片base64数据、url分开处理与发送，包含但不仅限于视图库对象（车辆、人脸、视频卡口、车道、采集设备）处理。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5、数据汇聚后发送给安全隔离设备，并提取成功和失败的记录，发送端根据接收端提取成功报告，重发或结束某一图片的传输任务，内网从安全隔离设备接收数据，提供数据转发及回滚功能。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6、网络两侧各搭建高效消息集群，实现削峰填谷、系统解耦、蓄流压测，可进行一周内异常消息缓存与消费，支持主从节点自动切换，支持服务器异常告警，支持消费堆积平台告警与短信告警。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7、支持主流的视图云存储设备，支持标准S3对象协议写入与读取。</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设备类型、区域、时间不同维度流量统计分析功能，支持安全隔离设备写入状态监测、支持第三方对接状态监测、支持消息服务器状态监测、支持消费状态监测，支持设备采集状态、在线状态分析与预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9、支持服务器工作状态监测，提供日志预警及短信预警功能。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10、提供基础用户、角色鉴权、区域点位鉴权，支持标准采集设备、视频卡口建档管理，支持批量导入导出，支持与第三方设备基础信息管理平台采用“一机一档”协议或视图库协议进行实时同步。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11、支持人脸数据、卡口数据订阅与分发，具备同时向二十个以上第三方平台实时共享数据，支持按不同订阅方的权限设置数据模板，并能独立维护每一个平台的数据传输状态，支持第三方平台的断线重传。"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12、提供SDK对接服务，可根据第三方厂家提供的设备文档进行协议定制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13、提供非标数据格式拟定服务，支持与第三方厂商共同协商非标数据格式，形成一致的规范要求；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14、提供非标数据开发对接服务，支持根据共同协商的非标数据格式对接文档做定制开发；</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15、提供非标数据部署联调服务，支持非标数据的汇聚接入与数据联调，确保数据传输的高效性和准确性；</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1套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视频存储主机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1、19英寸标准机柜设备，单柜磁盘槽位不小于48盘，单盘容量不小于16T，配置GE接口数≥4个，配置10GE接口数≥2个，支持端口链路聚合、负载均衡，不少于400路4MB 1080P高清码流接入能力，并配置所有连接许可，且不受最新国标、SDK对接、ONIVF等任一接入方式影响；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2、符合最新《温州市安全防范视频监控联网系统信息传输交换控制技术要求》，直接接入云存储管理节点；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3、支持接入6T、8T、10T、16T磁盘 ，可混合支持SATA磁盘、SAS磁盘、SSD磁盘；在工作状态下，支持硬盘热插拔；</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4、支持视频、图片等多种数据混存，底层采用流存储格式，持续覆盖后能保持高效读写；</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5、内置16GB高速缓存，最大可扩容至64GB；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6、支持RAID0/1/5/6/10/50/60等标准，支持热备盘模式，RAID重建过程中对业务不中断、不卡顿；</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▲7、支持满足云存储最大视频写入功能，在磁盘发生故障导致RAID阵列处于降级/重建状态下，数据写入无任何影响；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满足云存储具备负载均衡机制和容灾备份功能，支持并具备硬盘RAID冗余、双风扇冗余、双电池冗余、双电源冗余；支持电源自动故障切换和在线故障电源的更换；支持设备异常停电重新启动后数据无丢失；</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▲9、支持满足云存储业务支持跨资源池、跨集群保护功能，当原有资源池、集群整体故障后，业务可被其他资源池、集群接管，切换期间录像不丢失；</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10、单台设备具备独立完成流媒体转发点播功能及能力；</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11、支持防尘、防震、防腐蚀、防硫化设计；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12、支持ISCSI存储技术；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13、支持DB33-Part6(SNMP)网管协议，提供完善的SDK开发包及示例源代码，免费提供5年内软件功能升级与需求定制服务；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15、含安装接入所使用配套光模块；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2台</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企业级硬盘</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1、48盘位存储专用3.5英寸硬盘，一体化SATA 16T 硬盘/SATA 3接口/256M缓存/7200转/速率6Gb/s，含一体化防震支架、硬盘防腐蚀设计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2、提供发生故障换新不返旧服务，并交由采购人报废。</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96块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立杆1型、基础</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杆件采用Q235优质钢，采用高热镀锌处理，高度4米及以下，杆件高度可以根据现场环境设计要求进行调整，主杆口径不小于121mm，厚度不小于4mm；横臂直径不得小于75mm，厚度不小于3mm，设计横挑长度0-3米（含3米），点位横臂数量及角度根据现场环境定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4、立杆底部用螺栓与基础固定，电源线和光缆从立杆底部进入，立杆杆的上部横臂设有设备安装位置，立杆的中上部预留网络箱出线口，具备良好的防护功能；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19套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立杆2型、基础</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1、杆件采用Q235优质钢，采用高热镀锌处理，高度4.5米，主杆口径不小于140mm，厚度不小于4.5mm；横臂直径不得小于75mm，厚度不小于3mm，设计横挑长度0-3米（含3米），点位横挑数量及角度可根据现场环境定制；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4、立杆底部用螺栓与基础固定，电源线和光缆从立杆底部进入，立杆杆的上部横臂设有设备安装位置，立杆的中上部预留网络箱出线口，具备良好的防护功能；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14套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立杆3型、基础</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立杆采用八角Q235优质钢采用高热镀锌处理，高度不低于6.5米，主杆下口径不低于250mm，上口径不低于220mm，厚度不低于6mm；横臂细端口径不低于90mm，粗端口径不低于180mm，厚度不低于4mm，具体点位横挑数量、长度及角度根据现场环境定制，以设计要求为准，设计长度0-6米（含6米）；</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4、立杆底部用螺栓与基础固定，电源线和光缆从立杆底部进入，在杆的上部设有摄像机安装横杆，杆的中下部有网络及电源设备箱，具备良好的防护、散热功能；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定制支架</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1、根据现场环境定制，支持多摄像头安装，能够依托现场建筑体安装，支架标准需经采购人审核认可；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2、采用优质钢材，高热镀锌处理，支架应有较高强度抗台风、防摄像机抖动；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3、所有支架需一次成型不得嫁接；</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147套</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网络箱</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尺寸：650mm×450mm×210mm，采用不锈钢304材质，乳白色喷塑处理（部分点位按设计定制颜色），箱体厚度要求不小于1.2mm，机箱防护等级不低于IP54，箱体和配件采用防锈材质或防锈处理，5年内不得出现锈蚀或明显老化现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2、进线孔采用密封处理，底部进线，配进缆夹头、压缆配件、熔纤盘等，采取风扇散热；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3、机箱内部布局合理、模块化清晰，强电部分要进行区域绝缘隔离；所有机箱内部设备都需要安装固定，不得松散摆放；</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4、设备连接均要配置专业的接插件，设计目标是保证安全可靠的同时要求施工高效、质量可靠、维修方便；</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5、喷醒目的“公安监控”、警徽、定制编码、承建商名称及联系方式，保证5年内雨淋、日晒不脱落、不会明显褪色；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6、箱体外观和内部布局设计方案出具图纸，并经采购人审核认可；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7、立杆上挂机箱的，要求箱外没有多余线缆，机箱和立杆统一接地；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8、户外网络箱应提供额外电源输出接口用于公安业务拓展。</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233只</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窨井</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1、窨井内部尺寸不小于380mm*380mm*500mm；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2、井盖尺寸不小于400mm*400mm，混凝土井圈及混凝土井盖为预制件；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3、砌体使用砖块及普通硅酸盐水泥，窨井内外壁采用水泥砂浆抹面，厚度为2mm；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窨井采用明挖法施工，整平，夯实基底，严格控制标高，井盖与周边地面齐平，窨井底部应设有渗水孔，做窨井的同时敷设好线管，强、弱电线管分开敷设，预留1根PE25和2根PE32至立杆基础法兰盘的中间位置，管口伸出法兰盘10厘米，做好封堵，另一端伸出井壁位置5厘米，管口下沿位置在井壁40CM处，手井另一侧应预留室外管路接口，接口下沿位置应预留在井壁30厘米处；</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5、进出窨井所有管路必须做好封堵工作；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6、要求承建单位提供详细设计图纸；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7、确保质保期五年内不变形。</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35个</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立杆施工费1、2</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配套杆件1型2型，包括老设备的拆除及新设备安装、立杆基础的开挖、做模、浇筑、路面平整、修补、回填、废土清运等工作及材料，设备调测，辅材、附件、工具、人工、验收等全部费用；</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32处</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立杆施工费3</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配套杆件3型，包括老设备的拆除及新设备安装、立杆基础的开挖、做模、浇筑、路面平整、修补、回填、废土清运等工作及材料，设备调测，辅材、附件、工具、人工、验收等全部费用；</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3处</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借墙借杆施工费用</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借墙借杆设备安装、调测，辅材、附件、工具、人工、验收等全部费用。</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146处</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建设运维点位移机</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1、建设周期内及五年质保期内（所有点位）按采购人要求提供移机服务；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11处</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建设运维点位移机2</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1、VPN建设点位，建设周期内及五年质保期内按采购人要求提供移机服务；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4、针对VPN专网点位移机。</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11处</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加头集成服务费</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1、VPN专网云监控或云人脸点位加装一套摄像机、补光灯。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2、含安装及后续的运维、网络接入服务、电费等服务。</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4点</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利旧点位运维费</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1、含日常清洁、巡检、维修、抢修、优化升级的全部费用，前端设备清洁（每年至少2次到前端对所有设备调试并清洁，清洁时间提前报备采购人同意）；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2、含摄像机、补光灯、网络设备等前端设备的电费（补光灯光照时长少小于10小时/天）；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3、杆件、网络箱等监控辅助设施出现外观损坏或安全隐患的，网络箱标志标识出现脱落、明显褪色等应立即修复或更换；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4、新增多设备在同一光点上的，按照单份（单点）计量。</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11点</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利旧点位安装费</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1、基于老项目点位根据设计需求进行加装摄像机、补光灯，含安装辅材、光猫等新增或更换相关费用；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2、单光点新增多设备的，工程量按照单份计量；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3、安装标准需按照规范施工；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4、含前端调试后端接入等费用；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5、根据采购人要求安装在指定位置。</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11点</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云监控集成服务</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1、云监控点位，使用VPN视频专网，其他包括网络带宽要求等同本项目视频专网网络服务要求。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2、含安装费用，包括辅材、摄像机、补光灯等。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3、含5年网络及运维服务。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4、前端提供不低于400万场景监控设备。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5点</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云人脸集成服务</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1、云监控点位，使用VPN视频专网，其他包括网络带宽要求等同本项目视频专网网络服务要求。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2、含安装费用，包括辅材、摄像机、补光灯等。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3、含5年网络及运维服务。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4、前端提供不低于400万人脸识别抓拍设备。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5点</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网络服务（1年）</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1、前端采用≥4电口网络设备适配器，方便公安业务拓展。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2、远程管理，支持OLT端的网管，可以实现端口流量、网络质量的远程监测。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3、高速转发，部分点位可能存在多个前端摄像头或其他网络设备，应提供足够的网络带宽，满足该点位所有视频同时实时浏览和存储，网络上联带宽不小于100Mbps。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4、局端采用可网管的交换机进行汇聚，保证后端能进行端口级的管理与监测。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5、包括视频专网运行所需的局端光网设备、交换机、网络配件等设备的配备使用等。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6、含从视频专网机房侧到前端监控网络箱的专网（与其他网络物理隔离）光纤链路租费与维护费。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7、每个光点按照单路计量。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含机房环境与中心设备电费，机房环境保障、机柜配套（网、电）整理、维护，机房日常管理及基础台帐维护，服务器、存储、网络设备等机器日常清洁、巡检、维修、抢修，基础资料、巡检维修记录维护的全部费用。</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233处</w:t>
            </w:r>
          </w:p>
        </w:tc>
      </w:tr>
      <w:tr>
        <w:tblPrEx>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系统运维（1年）</w:t>
            </w:r>
          </w:p>
        </w:tc>
        <w:tc>
          <w:tcPr>
            <w:tcW w:w="6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1、含日常清洁、巡检、维修、抢修、优化升级的全部费用，前端设备清洁（每年至少2次，擦拭时间提前报备采购人同意）。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2、含摄像机、补光灯、网络设备等前端设备的电费（补光灯光照时长不小于10小时/天）。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3、杆件、网络箱等监控辅助设施出现外观损坏或安全隐患的，网络箱标志标识出现脱落、明显褪色等应立即修复或更换。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4、新增多设备在同一光点上的，按照单份（单点）计量。</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233处</w:t>
            </w:r>
          </w:p>
        </w:tc>
      </w:tr>
    </w:tbl>
    <w:p>
      <w:pPr>
        <w:keepNext w:val="0"/>
        <w:keepLines w:val="0"/>
        <w:pageBreakBefore w:val="0"/>
        <w:widowControl w:val="0"/>
        <w:kinsoku/>
        <w:wordWrap/>
        <w:overflowPunct/>
        <w:topLinePunct w:val="0"/>
        <w:autoSpaceDE/>
        <w:autoSpaceDN/>
        <w:bidi w:val="0"/>
        <w:adjustRightInd/>
        <w:snapToGrid/>
        <w:spacing w:line="460" w:lineRule="exact"/>
        <w:ind w:firstLine="440" w:firstLineChars="200"/>
        <w:jc w:val="center"/>
        <w:textAlignment w:val="auto"/>
        <w:rPr>
          <w:rFonts w:hint="eastAsia" w:ascii="宋体" w:hAnsi="宋体" w:eastAsia="宋体"/>
          <w:b w:val="0"/>
          <w:color w:val="000000"/>
          <w:sz w:val="22"/>
          <w:szCs w:val="22"/>
        </w:rPr>
      </w:pPr>
      <w:r>
        <w:rPr>
          <w:rFonts w:hint="eastAsia" w:ascii="宋体" w:hAnsi="宋体" w:eastAsia="宋体"/>
          <w:b w:val="0"/>
          <w:color w:val="000000"/>
          <w:sz w:val="22"/>
          <w:szCs w:val="22"/>
        </w:rPr>
        <w:t>标项</w:t>
      </w:r>
      <w:r>
        <w:rPr>
          <w:rFonts w:hint="eastAsia" w:ascii="宋体" w:hAnsi="宋体" w:eastAsia="宋体"/>
          <w:b w:val="0"/>
          <w:color w:val="000000"/>
          <w:sz w:val="22"/>
          <w:szCs w:val="22"/>
          <w:lang w:val="en-US" w:eastAsia="zh-CN"/>
        </w:rPr>
        <w:t>四 东片182处视频监控及人脸识别建设及运维服务项目采购内容及具体要求</w:t>
      </w:r>
    </w:p>
    <w:tbl>
      <w:tblPr>
        <w:tblStyle w:val="41"/>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624"/>
        <w:gridCol w:w="615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2"/>
                <w:szCs w:val="22"/>
              </w:rPr>
            </w:pPr>
            <w:r>
              <w:rPr>
                <w:rFonts w:hint="eastAsia" w:ascii="宋体" w:hAnsi="宋体" w:eastAsia="宋体" w:cs="宋体"/>
                <w:b w:val="0"/>
                <w:color w:val="000000"/>
                <w:sz w:val="22"/>
                <w:szCs w:val="22"/>
                <w:lang w:bidi="ar"/>
              </w:rPr>
              <w:t>序号</w:t>
            </w:r>
          </w:p>
        </w:tc>
        <w:tc>
          <w:tcPr>
            <w:tcW w:w="162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2"/>
                <w:szCs w:val="22"/>
              </w:rPr>
            </w:pPr>
            <w:r>
              <w:rPr>
                <w:rFonts w:hint="eastAsia" w:ascii="宋体" w:hAnsi="宋体" w:eastAsia="宋体" w:cs="宋体"/>
                <w:b w:val="0"/>
                <w:color w:val="000000"/>
                <w:sz w:val="22"/>
                <w:szCs w:val="22"/>
                <w:lang w:bidi="ar"/>
              </w:rPr>
              <w:t>采购内容</w:t>
            </w:r>
          </w:p>
        </w:tc>
        <w:tc>
          <w:tcPr>
            <w:tcW w:w="615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2"/>
                <w:szCs w:val="22"/>
              </w:rPr>
            </w:pPr>
            <w:r>
              <w:rPr>
                <w:rFonts w:hint="eastAsia" w:ascii="宋体" w:hAnsi="宋体" w:eastAsia="宋体" w:cs="宋体"/>
                <w:b w:val="0"/>
                <w:color w:val="000000"/>
                <w:sz w:val="22"/>
                <w:szCs w:val="22"/>
                <w:lang w:bidi="ar"/>
              </w:rPr>
              <w:t>技术要求</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000000"/>
                <w:sz w:val="22"/>
                <w:szCs w:val="22"/>
              </w:rPr>
            </w:pPr>
            <w:r>
              <w:rPr>
                <w:rFonts w:hint="eastAsia" w:ascii="宋体" w:hAnsi="宋体" w:eastAsia="宋体" w:cs="宋体"/>
                <w:b w:val="0"/>
                <w:color w:val="000000"/>
                <w:sz w:val="22"/>
                <w:szCs w:val="2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400单镜头抓拍机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1、采用高性能400万像素1/1.8英寸CMOS图像传感器，不低于4倍光学变焦，固定光圈且不小于F1.0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2、最大可输出400万(2688×1520)@30fps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3、支持H.265编码，压缩比高，实现超低码流传输</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4、内置2颗以上高效暖光补光灯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5、支持ROI，SMART H.264/H.265，AI H.264/H.265，灵活编码，适用不同带宽和存储环境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6、支持走廊模式，宽动态，3D降噪，强光抑制，背光补偿，数字水印，适用不同监控环境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7、支持以下功能切换：人脸抓拍模式、道路监控模式、Smart时间模式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8、支持人脸检测：支持跟踪，支持优选，支持抓拍，支持上报最优的人脸抓图，支持人脸增强，人脸曝光，支持人脸属性提取，支持7种属性，5种表情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9、支持绊线入侵，区域入侵，快速移动，物品遗留，物品搬移，徘徊检测，人员聚集，停车检测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10、最大支持256G Micro SD卡，内置MIC，扬声器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11、支持IP67防护等级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400万双镜头大感光抓拍机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双通道，双感光，硬件要求双变焦双抓拍形态。细节采用不低于超星光超低照度400万像素1/1.2英寸CMOS图像传感器场景,场景通道采用不低于超星光超低照度400万像素1/1.8英寸CMOS图像传感器，内置2个镜头及GPU，镜头焦距：场景镜头：8~32mm，细节不低于10-50mm，全景镜头调节角度不低于上下±10°；双抓拍硬件形态产品，双通道分别采用星光级低照度400万像素1/1.2英寸CMOS图像传感器和400万像素1/1.8英寸CMOS图像传感器，内置双GPU芯片，镜头焦距：全景：8~32mm； 细节：8~56mm，调整角度：通道1:上下角度均能调节；通道2:上下角度能调节；（针对1/1.2英寸CMOS图像传感器需提供公安部检测中心检验报告或投标时提供彩页中标后实施抽样拆机核验）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2、内置不少于8颗混合补光灯，每颗补光灯由红外灯、白光灯组成；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3、细节通道最低照度：彩色：≤0.0002lx；黑白：≤0.0001lx；信噪比不小于62dB；照度适应范围不小于140dB；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400万普通双镜头抓拍机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1、双通道摄像机，可输出2路视频图像，2个COMS靶面尺寸分别不小于1/1.8英寸、1/2.8英寸；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2、像素通道分辨率分别不小于400万及200万，其中细节抓拍不小于4倍光学变焦；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3、具有1个CVBS模拟视频接口、1个RJ45接口、3个报警输入接口、2个报警输出接口、2个音频输入接口、1个音频输出接口、1个SD卡槽、1个复位按钮、1个RS232接口、1个RS485、内置扬声器、2个麦克风及不少于6颗补光灯；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4、通道1、通道2最低照度：彩色:≤0.0002lx；黑白:≤0.0001lx；水平中心分辨率不小于1500TVL；信噪比不小于65dB；照度适应范围不小于140dB；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5、支持人脸抓拍模式、车辆抓拍模式、人体抓拍模式等多种模式可切换。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6、可通过IE浏览器设置人脸抓拍区域、人脸抓拍数量(1-100张)和抓拍间隔(1-255帧)；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7、支持人脸属性显示功能，可在IE浏览器预览界面显示包括年龄、性别、有无戴眼镜、胡子、口罩等人脸属性；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8、支持人脸侦测功能，可对经过设定区域的行人进行人脸检测；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9、支持对齐刘海遮挡眉毛、头发遮挡眼镜、戴普通眼镜、戴墨镜、戴彩色眼镜、戴帽子、戴头戴式耳机、半边人脸、戴口罩人脸进行检测；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10、可对出现在监控场景内的两眼瞳距不小于20像素的人脸进行检测，同时叠加目标提示框；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11、可将视频图像存储至SD卡、FTP、NAS或客户端，支持SD卡热拔插，最大支持512GB SD卡，支持断点续传功能；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12、电源电压在DC12V±30%范围内变化时，应能正常工作；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184套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400万单云台双镜头抓拍机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1、支持智能资源模式切换：全结构化（默认）、人脸抓拍、人脸比对、道路监控、Smart事件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2、摄像机定焦镜头、变焦镜头靶面尺寸均不小于1/1.8英寸，定焦镜头焦距不低于4mm,变焦镜头焦距不低于8-32mm；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3、设备支持水平方向-90°~90°旋转，垂直方向一定角度调节。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4、断电后，设备可自动锁定垂直监控位置。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5、内置GPU芯片。内置麦克风、扬声器，支持双向语音对讲。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6、内置至少4颗混合补光灯，每颗灯由红外灯、白光灯组成，在开启白光灯或混合补光灯时，可输出彩色视频图像。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7、最低照度彩色不大于0.0002 lx，黑白不大于0.0001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8、支持检测区域内不低于32个移动目标（机动车、非机动车及行人）检测、框选跟踪、筛选、抓拍，可将人脸人体、车辆与车牌关联显示。支持侧脸过滤功能，可过滤上下、左右角度达到预设值的人脸。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9、不低于IP67防护等级。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11、提供完善的SDK开发包及示例源代码，合同期内免费提供软件功能升级。</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5</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400万双云台多镜头抓拍机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1、双通道均支持PT一体化云台，通道1和通道2的云台应可独立控制，可通过IE浏览器或客户端远程调节PT位置以实现监控场景的切换；可输出2个通道画面，通道1和通道2的码流分辨率均不小于2560*1440；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2、设备内置2个CMOS图像传感器，靶面尺寸均不小于1/1.8"；设备双通道均具有2颗远光混合补光灯和2颗近光补光灯，开启补光灯后，可采集2路彩色视频图像。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3、内置2个电动变焦镜头，焦距不小于8～32mm，支持一键聚焦功能；双镜头PT云台旋转角度均支持水平调节角度：0°～180°，垂直调节角度：-5°～30°。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4、最低照度彩色不大于0.0002 lx，黑白不大于0.0001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5、可同时对检测区域内的多个不同运动方向的行人、非机动车（自行车、三轮车、电瓶车等）、机动车进行检测、跟踪、筛选、抓拍和存储抓拍图片。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6、可持续对目标进行跟踪，并在轨迹中显示抓拍图片；可在客户端或IE 浏览器上将人脸和人体图片、车牌和机动车图片分别关联显示；并支持实时分析并显示行人、机动车、非机动车属性信息，可将属性信息叠加在抓拍的图片上。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 设备防护等级不低于IP67。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9、提供完善的SDK开发包及示例源代码，合同期内免费提供软件功能升级。</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61套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6</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400万高空抓拍机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1、400万不低于53倍球机，支持全结构化混合目标检测；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2、具有不小于1/1.8靶面尺寸，内置不少于2颗补光灯及一套激光器；支持不小于53倍光学变倍；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3、内置GPU芯片摄像机,可对镜头前盖玻璃进行加热；支持雨刷功能；；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4、支持最低照度不低于彩色0.0002 lx，黑白0.0001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5、支持水平旋转范围360°连续旋转，垂直旋转范围-20°~90°。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6、开启混合目标检测模式后，设备可同时对行人、非机动车、机动车进行检测、跟踪、抓拍；支持定制城管模式或其他常用算法。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7、支持前端建模比对：前端存储1万张人脸图片进行建模后，对场景中抓拍的人脸进行比对并输出结果；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9、提供完善的SDK开发包及示例源代码，合同期内免费提供软件功能升级。</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7</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400万双镜头枪球抓拍机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1、由全景摄像机和细节摄像机组成双400W高清相机，CMOS靶面尺寸全景不小于1/1.8英寸，光圈不低于F1.0，焦距4mm，细节不小于1/2.8英寸，光圈不低于F1.6，焦距不低于4.8-110mm，23倍光学变倍；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2、内置GPU芯片；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3、具备不少于8颗补光灯；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4、细节相机云台范围：水平范围：0°～360°，垂直范围： 不小于-20°～90；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5、最低照度: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【全景】不小于0.0005 Lux，黑白；0.0001 Lux彩色；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【细节】不小于0.005 Lux，黑白：0.001Lux 彩色；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6、动态检测范围≥106dB；信噪比不小于67dB；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7、当设置为联动态时，全景通道可进行周界检测并联动细节通道跟踪目标.当设置为独立态时，全景通道可独立进周界检测同时细节通道独立进行人脸检测；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当以下的智能分析行为达到设定的阈值时，可通过客户端软件或IE浏览器给出报警提示。a)区域入侵；b)停车；C)越界入侵；d)人员聚集；e)离开区域；f)快速移动；g)物品移除；h)物品遗留；i)徘徊；j)绊线入侵；k）穿越围栏；l）逆行检测；m）客流统计；n）进入区域；</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9、支持同时检测5张人脸，支持对运动人脸进行检测、跟踪、抓拍、评分、筛选，输出最优的人脸抓图。支持人脸抓拍功能，可时经过设定区域的行人进行人脸检测和人脸跟踪；</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10、可将视频图像存储至SD卡、FTP、NAS或客户端，支持SD卡热拔插，最大支持不小于256GB 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11、电源电压在DC36V±55%范围内变化时，能正常工作；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12、支持不低于IP66防护等级；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13、支持AC24V、DC36V供电，支持长时间±10%宽范围电压输入；支持电源及信号输入端防浪涌；在-20～70℃环境温度下长时间稳定工作，防护等级不低于IP67；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8</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400万双镜头中位抓拍机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2个以上图像采集模块（双传感器），不低于400万（细节）+400万（全景），1/1.8英寸CMOS（细节）+1/1.8英寸CMOS（全景），内置双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2、全景通道镜头光圈不低于F1.0，定焦镜头；细节通道镜头光圈不低于F1.4，焦距不低于6-225.5mm，40倍以上光学变倍；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3、云台水平支持0°~360°连续旋转，垂直支持-15°~90°旋转；</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4、开启混合目标检测模式后，细节通道可对监控画面中的行人、非机动车、机动车的一种或多种混合目标进行抓拍及属性显示；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5、可对设定区域单场景内120个目标进行检测、框选跟踪、抓拍和属性显示；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6、可通过IE浏览器抓拍人体目标图片并显示相关属性信息；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7、设备开启混合目标检测模式后，可支持人脸与人体，车辆与车牌的关联显示；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9、支持手动或自动雨刷功能；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11、支持城管及违停抓拍模式（可拆分），支持具备以下功能：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支持违法停车抓拍或占道经营等城管事件类场景侦测识别、抓拍及报警功能，且支持温州市违停处置首次警告提醒功能，城管及违停抓拍模式支持与其他抓拍模式同时开启；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12、具有1个RJ45网络接口、2路报警输入、1路报警输出、1路音频输入、1路音频输出、1个RS-485接口（支持数据透传功能）、1个SD卡插槽；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14、支持AC24V或DC36V供电，支持长时间±10%宽范围电压输入；支持电源及信号输入端防浪涌；在-20～70℃环境温度下长时间稳定工作，防护等级不低于IP67；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9</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400万三镜头枪云抓拍机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1、全结构化400万三通道摄像机，采用一体化设计，由三镜头相机与多高性能GPU模块组成；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2、可输出三路视频图像：全景通道、细节通道、球机通道；支持联动抓拍模式、 三路全结构化模式；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3、细节和球机光学变倍都不小于4倍，细节通道最大焦距不小于30mm，球机通道最大焦距不小于51mm；全景通道焦距不大于6mm。全景通道光圈不小于F1.0，细节和球机通道光圈不小于F1.6。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4、设备内置≥10颗补光灯。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5、三个通道均支持对镜头前盖玻璃加热，去除玻璃上的冰状和水状附着物。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6、支持最低照度可达彩色0.0002Lux，黑白0.0001Lux。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7、在联动模式下，细节通道和全景通道可进行全结构化抓拍和属性分析。在全景通道检测到移动目标后，可联动球机进行人脸、人体的抓拍和属性分析。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8、具备多通道旋转功能，球机通道：水平不小于0到330，垂直：-10到90；细节通道：垂直5可调节。球机镜头、全景镜头和细节镜头可分开进行水平垂直方向调节。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设备全景、细节和球机通道可分别或同时对行人、非机动车、机动车进行检测、跟踪、抓拍，可支持人脸、车牌、非机动车车牌抠图，可将人脸与人体、车牌与车辆关联显示。具备电瓶车牌识别功能，设备可在智能展示界面显示电瓶车的车牌，触发电瓶车报警时，可实时显示电瓶车小图、电瓶车大图和电瓶车车牌小图。</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11、提供完善的SDK开发包及示例源代码，合同期内免费提供软件功能升级。</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10</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400万场景监控</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1、采用400W像素，不小于1/2.7英寸CMOS；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2、镜头毫米数：3.6mm/6mm/8mm可选（根据现场设计确定）；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3、最低照度彩色：0.07 lx，黑白：0.0001 lx；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4、支持H.264、H265视频编码格式，其中H.264支持Baseline/Main/High Profile；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5、信噪比不小于53.5dB；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6、支持智能编码功能，摄像机开启智能编码功能后，码流节约1/2；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7、照度适应范围不小于130dB；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8、自带红外灯珠，红外补光距离不小于30米；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9、设备与客户端之间用150米网线进行传输，每次客户端发送1500个数据包，重复测试3次，每次丢包数不大于1个，具有抗丢包5%的处理能力；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10、具备1路100/1000M RJ45网络接口、2路报警输入、2路报警输出、1个SD卡插槽、1个RS-232接口、硬件恢复默认按钮；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11、支持视音频录像功能，视音频同步试验≤1秒；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12、支持IP66防护等级；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13、支持DC12V供电，电源电压在DC12V±30%范围内变化时设备可以正常工作；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14、含原装电源，按需提供原装铝合金支架；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15、▲符合最新GB/T 28181-2016标准及补充规定，兼容温州公安现有视频监控系统及设备，符合《温州市安全防范视频监控联网系统信息传输交换控制技术要求》；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17、提供原厂商针对本项目的5年质保函原件。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198套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11</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400万双镜头双云台球机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集成双镜头双感光双GPU模式双云台，根据场景应用镜头焦距分全景细节双镜头模块，双镜头模块均支持400万星光级超宽动态人脸抓拍单元，内置双高性能GPU模块，采用深度学习算法，支持人脸抓拍和车辆抓拍；全景镜头模块、细节镜头模块传感器均采用靶面尺寸不小于400万像素1/1.8"CMOS传感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2、▲全景镜头及细节镜头均支持自动变焦，其中全景镜头支持不低于4倍光学变焦，细节镜头不低20倍光学变焦。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3、▲全景镜头模块，感光最低照度彩色不低于0.00lx，黑白不低于0.000lx。细节镜头模块，感光最小照度不低于彩色 0.001Lux ,彩色0.0001 Lux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4、▲主镜头模块支持三种智能资源模式切换：混合目标检测（全结构化模式）、人脸抓拍（同时含人体抓拍特征数据提取）、车辆抓拍模式（同时含人体抓拍特征数据提取）；</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人脸抓拍模式：支持同时检测不少于23张人脸，对运动人脸进行检测、跟踪、抓拍、优选，输出最优的人脸抓图；支持人脸增强，人脸曝光，人脸属性提取，支持人脸属性识别功能，属性包括年龄、性别、眼镜、表情、胡子、口罩；抓拍图片可分为场景图和人脸图，场景图和人脸图可关联存储，并通过IT浏览器或客户端检索并查看存储的图片；在抓取人脸图片的同时，同图片支持人体特征提取并支持GBT1400国标协议对上衣颜色、性别、戴眼镜、戴口罩等特征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车辆抓拍模式：支持正向/背向行驶车辆抓拍，并跟踪、优选、抓拍，上报最优的抓图；支持车牌、车牌颜色、车标、车系、车身颜色、车辆类型，支持新能源车牌识别功能，支持视场倾斜情况下的车辆特征识别；含抓拍非机动车抓拍提取，包括支持上衣颜色、性别、戴眼镜、背包、戴帽子、戴口罩、长短袖、发型、骑车类型、骑车人数属性识别；</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7、混合目标检测（全结构化模式）：支持混合场景下同时抓拍人体、抓拍人脸、抓拍车辆、抓拍非机动车，提取特征符合GB/T1399、GB/T1400国标协议并分别输出；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9、支持定制城管模式或常用算法。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10、具有不少于1个RJ45网络接口、2路报警输入、1路报警输出、1路音频输入、1路音频输出、1个RS-485接口（支持数据透传功能）、1个SD卡插槽；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11、▲可内置CLASS10以上SD卡最大容量支持不小于64GB，并支持存储卡故障提示。在前端具备存储能力的情况下，应能在网络中断时存储所采集的视频和图片数据，故障排除后应能自动上传比对；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13、支持AC220V、DC24V或POE供电，支持长时间±10％宽范围电压输入；支持电源及信号输入端防浪涌；在-20～70℃环境温度下长时间稳定工作，防护等级不低于IP67；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12</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800万轻型双镜头抓拍机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9" name="Text_Box_22"/>
                  <wp:cNvGraphicFramePr/>
                  <a:graphic xmlns:a="http://schemas.openxmlformats.org/drawingml/2006/main">
                    <a:graphicData uri="http://schemas.openxmlformats.org/drawingml/2006/picture">
                      <pic:pic xmlns:pic="http://schemas.openxmlformats.org/drawingml/2006/picture">
                        <pic:nvPicPr>
                          <pic:cNvPr id="9" name="Text_Box_22"/>
                          <pic:cNvPicPr/>
                        </pic:nvPicPr>
                        <pic:blipFill>
                          <a:blip r:embed="rId9"/>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10" name="Text_Box_22_SpCnt_1"/>
                  <wp:cNvGraphicFramePr/>
                  <a:graphic xmlns:a="http://schemas.openxmlformats.org/drawingml/2006/main">
                    <a:graphicData uri="http://schemas.openxmlformats.org/drawingml/2006/picture">
                      <pic:pic xmlns:pic="http://schemas.openxmlformats.org/drawingml/2006/picture">
                        <pic:nvPicPr>
                          <pic:cNvPr id="10" name="Text_Box_22_SpCnt_1"/>
                          <pic:cNvPicPr/>
                        </pic:nvPicPr>
                        <pic:blipFill>
                          <a:blip r:embed="rId12"/>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11" name="Text_Box_22_SpCnt_2"/>
                  <wp:cNvGraphicFramePr/>
                  <a:graphic xmlns:a="http://schemas.openxmlformats.org/drawingml/2006/main">
                    <a:graphicData uri="http://schemas.openxmlformats.org/drawingml/2006/picture">
                      <pic:pic xmlns:pic="http://schemas.openxmlformats.org/drawingml/2006/picture">
                        <pic:nvPicPr>
                          <pic:cNvPr id="11" name="Text_Box_22_SpCnt_2"/>
                          <pic:cNvPicPr/>
                        </pic:nvPicPr>
                        <pic:blipFill>
                          <a:blip r:embed="rId11"/>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12" name="Text_Box_22_SpCnt_3"/>
                  <wp:cNvGraphicFramePr/>
                  <a:graphic xmlns:a="http://schemas.openxmlformats.org/drawingml/2006/main">
                    <a:graphicData uri="http://schemas.openxmlformats.org/drawingml/2006/picture">
                      <pic:pic xmlns:pic="http://schemas.openxmlformats.org/drawingml/2006/picture">
                        <pic:nvPicPr>
                          <pic:cNvPr id="12" name="Text_Box_22_SpCnt_3"/>
                          <pic:cNvPicPr/>
                        </pic:nvPicPr>
                        <pic:blipFill>
                          <a:blip r:embed="rId10"/>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val="0"/>
                <w:i w:val="0"/>
                <w:iCs w:val="0"/>
                <w:color w:val="000000"/>
                <w:kern w:val="0"/>
                <w:sz w:val="22"/>
                <w:szCs w:val="22"/>
                <w:u w:val="none"/>
                <w:lang w:val="en-US" w:eastAsia="zh-CN" w:bidi="ar"/>
              </w:rPr>
              <w:t>1、▲800万星光级超宽动态人脸抓拍单元，双镜头双感光，内置高性能GPU模块，采用深度学习算法，支持人脸抓拍和车辆抓拍；双传感器靶面尺寸分别不小于1/1.8"、1/1.2"；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可变焦镜头、护罩、万向节、电源适配器等附件及安装配件，镜头支持靶面尺寸不小于1/1.2"英寸，镜头焦距范围不小于10-50mm，镜头解析支持不小于800万像素，最大光圈孔径不小于F1.2，镜头支持自动变焦及对焦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3、▲细节镜头最低照度不低于彩色：0.001lx，黑白:0.0001lx，灰度等级不小于11级，信噪比不小于60dB，需具不小于105dB宽动态。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4、▲支持三种智能资源采集模式切换：混合目标检测（全结构化模式）、人脸抓拍（同时含人体抓拍数据提取）、车辆抓拍模式（同时含人体抓拍特征数据提取）；</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人脸抓拍模式：支持同时检测不少于23张人脸，对运动人脸进行检测、跟踪、抓拍、优选，输出最优的人脸抓图；支持人脸增强，人脸曝光，人脸属性提取，支持人脸属性识别功能，属性包括年龄、性别、眼镜、表情、胡子、口罩；抓拍图片可分为场景图和人脸图，场景图和人脸图可关联存储，并通过IT浏览器或客户端检索并查看存储的图片；在抓取人脸图片的同时，同图片支持人体特征提取并支持GBT1400国标协议对上衣颜色、性别、戴眼镜、戴口罩等特征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车辆抓拍模式：支持正向/背向行驶车辆抓拍，并跟踪、优选、抓拍，上报最优的抓图；支持车牌、车牌颜色、车标、车系、车身颜色、车辆类型，支持新能源车牌识别功能，支持视场倾斜情况下的车辆特征识别；含抓拍非机动车抓拍提取，包括支持上衣颜色、性别、戴眼镜、背包、戴帽子、戴口罩、长短袖、发型、骑车类型、骑车人数属性识别；</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7、混合目标检测（全结构化模式）：支持混合场景下同时抓拍人体、抓拍人脸、抓拍车辆、抓拍非机动车，提取特征符合GB/T1399、GB/T1400国标协议并分别输出；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9、具有1个RJ45网络接口、2路报警输入、1路报警输出、1路音频输入、1路音频输出、1个RS-485接口（支持数据透传功能）、1个SD卡插槽；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10、▲内置32GB CLASS10以上SD卡，并支持存储卡故障提示。在前端具备存储能力的情况下，应能在网络中断时存储所采集的视频和图片数据，故障排除后应能自动上传比对；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61套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13</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800万超广角双镜头抓拍机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3个以上图像采集模块（三传感器），800万（细节）+400万（全景）+400万（全景），不小于1/1.2英寸CMOS（细节）+1/1.8英寸CMOS（全景）+1/1.8英寸（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▲2、镜头焦距：细节镜头覆盖范围不小于10~50mm，全景镜头焦距：3.6mm或4mm；全景镜头最大光圈不小于F1.0，细节镜头最大光圈不小于F1.6；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5、细节模块最低照度不小于：彩色≤0.0003lx，黑白≤0.0001x，信噪比为不高于56dB，宽动态不小于120dB；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13、支持AC24V或DC12V供电，支持长时间±10%宽范围电压输入，配备电源适配器；支持电源及信号输入端防浪涌；在-20～70℃环境温度下长时间稳定工作，防护等级不低于IP67，含护罩、原装铝合金支架；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14</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800万双变焦双镜头抓拍机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1、2个以上图像采集模块(双传感器以上），800万（细节）+400万（全景），1/1.2英寸CMOS（细节）+1/1.8英寸CMOS（全景），内置GPU芯片；（提供公安部检测中心检验报告或投标时提供彩页中标后实施抽样拆机核验）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2、镜头焦距：细节覆盖范围不小于10~50mm，全景：8-32mm；全景不小于F1.6，细节不小于F1.2；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5、细节模块最低照度不小于：彩色≤0.001lx，黑白≤0.0001lx；信噪比为不高于56dB；宽动态不小于120dB；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13、支持AC24V或DC12V供电，支持长时间±10%宽范围电压输入；支持电源及信号输入端防浪涌；在-20～70℃环境温度下长时间稳定工作，防护等级不低于IP66；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15、满足现场要求，按需提供原装铝合金支架；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102套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15</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800万普通广角双镜头抓拍机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2个以上图像采集模块（双传感器），800万（细节）+400万（全景），不小于1/1.2英寸CMOS（细节）+1/1.8英寸CMOS（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▲2、镜头焦距：细节镜头覆盖范围不小于10~50mm，全景镜头焦距：3.6mm或4mm；全景镜头最大光圈不小于F1.0，细节镜头最大光圈不小于F1.6；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5、细节模块最低照度不小于：彩色≤0.0003lx，黑白≤0.0001x，信噪比为不高于56dB，宽动态不小于120dB；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13、支持AC24V或DC12V供电，支持长时间±10%宽范围电压输入，配备电源适配器；支持电源及信号输入端防浪涌；在-20～70℃环境温度下长时间稳定工作，防护等级不低于IP67，含护罩、原装铝合金支架；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16</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LED补光灯1型</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1、LED常亮灯，原装进口白光新品LED灯珠，单颗功率5W，不少于32个灯珠；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2、功率不小于35W；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3、铝合金灯体，鳍片式散热结构，面罩采用钢化玻璃；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17</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LED补光灯2型</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79400" cy="123190"/>
                  <wp:effectExtent l="0" t="0" r="0" b="0"/>
                  <wp:wrapNone/>
                  <wp:docPr id="13" name="Text_Box_22_SpCnt_4"/>
                  <wp:cNvGraphicFramePr/>
                  <a:graphic xmlns:a="http://schemas.openxmlformats.org/drawingml/2006/main">
                    <a:graphicData uri="http://schemas.openxmlformats.org/drawingml/2006/picture">
                      <pic:pic xmlns:pic="http://schemas.openxmlformats.org/drawingml/2006/picture">
                        <pic:nvPicPr>
                          <pic:cNvPr id="13" name="Text_Box_22_SpCnt_4"/>
                          <pic:cNvPicPr/>
                        </pic:nvPicPr>
                        <pic:blipFill>
                          <a:blip r:embed="rId15"/>
                          <a:stretch>
                            <a:fillRect/>
                          </a:stretch>
                        </pic:blipFill>
                        <pic:spPr>
                          <a:xfrm>
                            <a:off x="0" y="0"/>
                            <a:ext cx="279400" cy="123190"/>
                          </a:xfrm>
                          <a:prstGeom prst="rect">
                            <a:avLst/>
                          </a:prstGeom>
                          <a:noFill/>
                          <a:ln>
                            <a:noFill/>
                          </a:ln>
                        </pic:spPr>
                      </pic:pic>
                    </a:graphicData>
                  </a:graphic>
                </wp:anchor>
              </w:drawing>
            </w: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79400" cy="123190"/>
                  <wp:effectExtent l="0" t="0" r="0" b="0"/>
                  <wp:wrapNone/>
                  <wp:docPr id="14" name="Text_Box_22_SpCnt_5"/>
                  <wp:cNvGraphicFramePr/>
                  <a:graphic xmlns:a="http://schemas.openxmlformats.org/drawingml/2006/main">
                    <a:graphicData uri="http://schemas.openxmlformats.org/drawingml/2006/picture">
                      <pic:pic xmlns:pic="http://schemas.openxmlformats.org/drawingml/2006/picture">
                        <pic:nvPicPr>
                          <pic:cNvPr id="14" name="Text_Box_22_SpCnt_5"/>
                          <pic:cNvPicPr/>
                        </pic:nvPicPr>
                        <pic:blipFill>
                          <a:blip r:embed="rId15"/>
                          <a:stretch>
                            <a:fillRect/>
                          </a:stretch>
                        </pic:blipFill>
                        <pic:spPr>
                          <a:xfrm>
                            <a:off x="0" y="0"/>
                            <a:ext cx="279400" cy="123190"/>
                          </a:xfrm>
                          <a:prstGeom prst="rect">
                            <a:avLst/>
                          </a:prstGeom>
                          <a:noFill/>
                          <a:ln>
                            <a:noFill/>
                          </a:ln>
                        </pic:spPr>
                      </pic:pic>
                    </a:graphicData>
                  </a:graphic>
                </wp:anchor>
              </w:drawing>
            </w: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1、LED常亮灯，原装进口白光新品LED灯珠，单颗功率5W，不少于48个灯珠；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2、功率不小于35W；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3、铝合金灯体，鳍片式散热结构，面罩采用钢化玻璃，定制护罩，定制灯珠摆放设计；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4、对不同品牌摄像机均支持开关量可调节补光灯的亮度；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99套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18</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LED补光灯3型</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1、LED常亮灯，原装进口白光新品LED灯珠，单颗功率5W，不少于20个灯珠；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2、功率不小于20W；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3、铝合金灯体，面罩采用钢化玻璃，定制护罩，定制灯珠摆放设计；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4、对不同品牌摄像机均支持开关量可调节补光灯的亮度；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8、支持30度、45度、60度（可选）；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19</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无极灯</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1、高效无极灯，通过国家3C认证或CQC认证；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2、有效补光区域：20m*10m，补光区域内任意点最低照度≥3Lux；平均功率不小于80W；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3、可通过集成或外置控制模块实现自动光敏控制补光；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4、灯具防护等级不小于IP65，适合室外安装使用，提供AC220v电源输入口，支持长时间±10%宽范围电压输入；支持电源输入防浪涌；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5、能在-20~60℃环境温度下长时间稳定工作；电源跟灯体之间以及电源输入端要求采用防水对接头。</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20</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电源保护器</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具备电源、数据接地防雷、漏电保护等功能，可自动实现重合闸，相关设备要求采用国内外知名品牌，具备智能功能，含相关平台费用，且无授权接入限制和使用期限限制。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182套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21</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超融合服务器硬件</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2U标准机架设备，配置不低于2颗Gold 6226R处理器，主频不低于2.9GHz，核数≥16，内存≥8*32G，系统盘≥2*240G ，缓存盘≥2*1.92T SSD，数据盘≥ 8*8T，标配盘位数≥12，电源：白金，冗余电源，接口：支持不低于6千兆电口+2万兆光口，配置本次项目所需要的配件辅料（如光模块/光纤等）。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投标供应商可根据自身产品特性进行配置，各项配置不得低于以上各项要求。</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22</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超融合服务器配套软件</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2、要求服务器虚拟化按照物理服务器CPU颗数进行授权，本次提供10颗正版CPU的服务器虚拟化授权。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3、支持配置动态资源扩展功能，系统支持自动评估虚拟机的性能，当虚拟机性能不足时自动为虚拟机添加CPU和内存资源，确保业务持续高效运行。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4、采用分布式管理架构，具备去中心化，管理平台不依赖于某一个虚拟机或物理机部署，采用分布式架构保障平台更可靠。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5、通过License激活的方式，实现网络虚拟化功能（分布式虚拟交换机、虚拟路由器、虚拟应用防火墙、虚拟应用负载均衡），支持Vxlan网络和现有的Vlan网络对接，实现虚拟化平台与原有网络的兼容性。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6、要求存储虚拟化按照物理服务器CPU颗数进行授权，本次总共提供10颗正版CPU的存储虚拟化授权，为了保证后期低成本的存储扩容需求，要求不受硬盘容量限制。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7、支持多种硬盘状态检测监控及告警，包括“健康”状态、“亚健康”状态、“故障”状态，不同状态的硬盘在UI上呈现不同的特征或告警，让用户能够区分处理。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8、支持云桌面部署模式，为了保证高可靠，桌面云接入管理平台需支持集群模式，在不增加第三方负载均衡的情况下，可实现桌面云控制器宕机切换会话不中断。</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23</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数据灾备单独软件</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1、配置50TB备软件容量授权。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2、提供基于磁盘数据块复制技术的整机备份，无需了解主机业务系统类型、部署方法、业务系统间的数据交互机制、数据结构/逻辑关系和数据库的品牌/版本。</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3、对X86架构下的物理机、虚拟机、超融合、私有云和公有云提供统一的将主机的操作系统、应用系统、数据库和数据/文件作为一个整体的一致性备份保护。</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4、用户日常运维过程中丢失单个文件/文件夹，备份系统支持将任意时间的备份点加载为网络共享路径或在WEB浏览器中直接URL访问的方式，管理员可轻松找到该文件并复制出来。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5、支持采用文件的直接恢复的方式，可指定恢复单个文件或文件夹到原机某个目录下。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6、用户日常运维过程中丢失单个表单，可通过备份系统结合数据库恢复工具，实现单表恢复。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7、当数据库系统出现任意灾难时，备份系统可通过自启验证系统，对备份的数据库系统进行验证，对任意一条数据的一致性、可靠性、可用性验证成功后，再进行整机恢复。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整机全场景恢复，无需部署配置操作系统、应用和数据库等系统环境，实现全场景带业务逻辑的整机灾难重建，无需人工手动安装驱动、更改注册表信息、应用配置信息等，极大降低灾难重建恢复难度和效率。</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24</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数据瘦终端</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1、本项目要求配备云终端与超融合服务器配套软件同一品牌。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2、ARM架构，CPU≥双核1.6Ghz、内存≥1G、存储≥4G、USB≥4个、1个HDMI、1个以太网口、1对音频口。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3、在瘦终端的管理方面，需支持分组管理、批量移动、删除、关闭瘦终端，支持配置定时开关机计划及加电自启动功能，支持自定义开机画面、配置自动登录和保存密码。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4、为了方便管理，管理方式为虚拟机和瘦终端统一管理，降低管理难度。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5、为了简化管理，要求瘦终端支持远程唤醒，管理员可以使用桌面云控制器或者第三方教学软件，例如极域等，远程开机瘦终端。</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25</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数据瘦终端vdi授权</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VDI接入授权（普通版）(*1套);软件升级(*5年);</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26</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视频存储主机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1、19英寸标准机柜设备，单柜磁盘槽位不小于48盘，单盘容量不小于16T，配置GE接口数≥4个，配置10GE接口数≥2个，支持端口链路聚合、负载均衡，不少于400路4MB 1080P高清码流接入能力，并配置所有连接许可，且不受最新国标、SDK对接、ONIVF等任一接入方式影响；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2、符合最新《温州市安全防范视频监控联网系统信息传输交换控制技术要求》，直接接入云存储管理节点；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3、支持接入6T、8T、10T、16T磁盘 ，可混合支持SATA磁盘、SAS磁盘、SSD磁盘；在工作状态下，支持硬盘热插拔；</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4、支持视频、图片等多种数据混存，底层采用流存储格式，持续覆盖后能保持高效读写；</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5、内置16GB高速缓存，最大可扩容至64GB；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6、支持RAID0/1/5/6/10/50/60等标准，支持热备盘模式，RAID重建过程中对业务不中断、不卡顿；</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▲7、支持满足云存储最大视频写入功能，在磁盘发生故障导致RAID阵列处于降级/重建状态下，数据写入无任何影响；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满足云存储具备负载均衡机制和容灾备份功能，支持并具备硬盘RAID冗余、双风扇冗余、双电池冗余、双电源冗余；支持电源自动故障切换和在线故障电源的更换；支持设备异常停电重新启动后数据无丢失；</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▲9、支持满足云存储业务支持跨资源池、跨集群保护功能，当原有资源池、集群整体故障后，业务可被其他资源池、集群接管，切换期间录像不丢失；</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10、单台设备具备独立完成流媒体转发点播功能及能力；</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11、支持防尘、防震、防腐蚀、防硫化设计；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12、支持ISCSI存储技术；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13、支持DB33-Part6(SNMP)网管协议，提供完善的SDK开发包及示例源代码，免费提供5年内软件功能升级与需求定制服务；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15、含安装接入所使用配套光模块；</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27</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企业级硬盘</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1、48盘位存储专用3.5英寸硬盘，一体化SATA 16T 硬盘/SATA 3接口/256M缓存/7200转/速率6Gb/s，含一体化防震支架、硬盘防腐蚀设计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2、提供发生故障换新不返旧服务，并交由采购人报废。</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48块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28</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立杆1型、基础</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杆件采用Q235优质钢，采用高热镀锌处理，高度4米及以下，杆件高度可以根据现场环境设计要求进行调整，主杆口径不小于121mm，厚度不小于4mm；横臂直径不得小于75mm，厚度不小于3mm，设计横挑长度0-3米（含3米），点位横臂数量及角度根据现场环境定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4、立杆底部用螺栓与基础固定，电源线和光缆从立杆底部进入，立杆杆的上部横臂设有设备安装位置，立杆的中上部预留网络箱出线口，具备良好的防护功能；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29</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立杆2型、基础</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1、杆件采用Q235优质钢，采用高热镀锌处理，高度4.5米，主杆口径不小于140mm，厚度不小于4.5mm；横臂直径不得小于75mm，厚度不小于3mm，设计横挑长度0-3米（含3米），点位横挑数量及角度可根据现场环境定制；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4、立杆底部用螺栓与基础固定，电源线和光缆从立杆底部进入，立杆杆的上部横臂设有设备安装位置，立杆的中上部预留网络箱出线口，具备良好的防护功能；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30</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立杆3型、基础</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立杆采用八角Q235优质钢采用高热镀锌处理，高度不低于6.5米，主杆下口径不低于250mm，上口径不低于220mm，厚度不低于6mm；横臂细端口径不低于90mm，粗端口径不低于180mm，厚度不低于4mm，具体点位横挑数量、长度及角度根据现场环境定制，以设计要求为准，设计长度0-6米（含6米）；</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4、立杆底部用螺栓与基础固定，电源线和光缆从立杆底部进入，在杆的上部设有摄像机安装横杆，杆的中下部有网络及电源设备箱，具备良好的防护、散热功能；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31</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定制支架</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1、根据现场环境定制，支持多摄像头安装，能够依托现场建筑体安装，支架标准需经采购人审核认可；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2、采用优质钢材，高热镀锌处理，支架应有较高强度抗台风、防摄像机抖动；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3、所有支架需一次成型不得嫁接；</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162套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32</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网络箱</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尺寸：650mm×450mm×210mm，采用不锈钢304材质，乳白色喷塑处理（部分点位按设计定制颜色），箱体厚度要求不小于1.2mm，机箱防护等级不低于IP54，箱体和配件采用防锈材质或防锈处理，5年内不得出现锈蚀或明显老化现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2、进线孔采用密封处理，底部进线，配进缆夹头、压缆配件、熔纤盘等，采取风扇散热；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3、机箱内部布局合理、模块化清晰，强电部分要进行区域绝缘隔离；所有机箱内部设备都需要安装固定，不得松散摆放；</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4、设备连接均要配置专业的接插件，设计目标是保证安全可靠的同时要求施工高效、质量可靠、维修方便；</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5、喷醒目的“公安监控”、警徽、定制编码、承建商名称及联系方式，保证5年内雨淋、日晒不脱落、不会明显褪色；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6、箱体外观和内部布局设计方案出具图纸，并经采购人审核认可；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7、立杆上挂机箱的，要求箱外没有多余线缆，机箱和立杆统一接地；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8、户外网络箱应提供额外电源输出接口用于公安业务拓展。</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202只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33</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窨井</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1、窨井内部尺寸不小于380mm*380mm*500mm；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2、井盖尺寸不小于400mm*400mm，混凝土井圈及混凝土井盖为预制件；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3、砌体使用砖块及普通硅酸盐水泥，窨井内外壁采用水泥砂浆抹面，厚度为2mm；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窨井采用明挖法施工，整平，夯实基底，严格控制标高，井盖与周边地面齐平，窨井底部应设有渗水孔，做窨井的同时敷设好线管，强、弱电线管分开敷设，预留1根PE25和2根PE32至立杆基础法兰盘的中间位置，管口伸出法兰盘10厘米，做好封堵，另一端伸出井壁位置5厘米，管口下沿位置在井壁40CM处，手井另一侧应预留室外管路接口，接口下沿位置应预留在井壁30厘米处；</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5、进出窨井所有管路必须做好封堵工作；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6、要求承建单位提供详细设计图纸；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7、确保质保期五年内不变形。</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34</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立杆施工费1、2</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配套杆件1型2型，包括老设备的拆除及新设备安装、立杆基础的开挖、做模、浇筑、路面平整、修补、回填、废土清运等工作及材料，设备调测，辅材、附件、工具、人工、验收等全部费用。</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35处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35</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立杆施工费3</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配套杆件3型，包括老设备的拆除及新设备安装、立杆基础的开挖、做模、浇筑、路面平整、修补、回填、废土清运等工作及材料，设备调测，辅材、附件、工具、人工、验收等全部费用。</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36</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借墙借杆施工费用</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借墙借杆设备安装、调测，辅材、附件、工具、人工、验收等全部费用。</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161处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37</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建设运维点位移机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1、建设周期内及五年质保期内（所有点位）按采购人要求提供移机服务；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10处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38</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建设运维点位移机2</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1、VPN建设点位，建设周期内及五年质保期内按采购人要求提供移机服务；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4、针对VPN专网点位移机。</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10处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39</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建设大杆移机</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1、6.5米立杆点位在建设周期内（验收前）按采购人要求提供移机服务；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4、建设周期内未使用完成的点位数，按照1：2比例转为后续服务期内的运维移机。</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40</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加头集成服务费</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1、VPN专网云监控或云人脸点位加装一套摄像机、补光灯。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2、含安装及后续的运维、网络接入服务、电费等服务。</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41</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利旧点位运维费</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1、含日常清洁、巡检、维修、抢修、优化升级的全部费用，前端设备清洁（每年至少2次到前端对所有设备调试并清洁，清洁时间提前报备采购人同意）；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2、含摄像机、补光灯、网络设备等前端设备的电费（补光灯光照时长少小于10小时/天）；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3、杆件、网络箱等监控辅助设施出现外观损坏或安全隐患的，网络箱标志标识出现脱落、明显褪色等应立即修复或更换；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4、新增多设备在同一光点上的，按照单份（单点）计量。</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42</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利旧点位安装费</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1、基于老项目点位根据设计需求进行加装摄像机、补光灯，含安装辅材、光猫等新增或更换相关费用；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2、单光点新增多设备的，工程量按照单份计量；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3、安装标准需按照规范施工；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4、含前端调试后端接入等费用；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5、根据采购人要求安装在指定位置。</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43</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云监控集成服务</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1、云监控点位，使用VPN视频专网，其他包括网络带宽要求等同本项目视频专网网络服务要求。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2、含安装费用，包括辅材、摄像机、补光灯等。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3、含5年网络及运维服务。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4、前端提供不低于400万场景监控设备。</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44</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云人脸集成服务</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1、云监控点位，使用VPN视频专网，其他包括网络带宽要求等同本项目视频专网网络服务要求。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2、含安装费用，包括辅材、摄像机、补光灯等。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3、含5年网络及运维服务。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4、前端提供不低于400万人脸识别抓拍设备。</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45</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网络服务（1年）</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1、前端采用≥4电口网络设备适配器，方便公安业务拓展。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2、远程管理，支持OLT端的网管，可以实现端口流量、网络质量的远程监测。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3、高速转发，部分点位可能存在多个前端摄像头或其他网络设备，应提供足够的网络带宽，满足该点位所有视频同时实时浏览和存储，网络上联带宽不小于100Mbps。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4、局端采用可网管的交换机进行汇聚，保证后端能进行端口级的管理与监测。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5、包括视频专网运行所需的局端光网设备、交换机、网络配件等设备的配备使用等。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6、含从视频专网机房侧到前端监控网络箱的专网（与其他网络物理隔离）光纤链路租费与维护费。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7、每个光点按照单路计量。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含机房环境与中心设备电费，机房环境保障、机柜配套（网、电）整理、维护，机房日常管理及基础台帐维护，服务器、存储、网络设备等机器日常清洁、巡检、维修、抢修，基础资料、巡检维修记录维护的全部费用。</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182处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46</w:t>
            </w:r>
          </w:p>
        </w:tc>
        <w:tc>
          <w:tcPr>
            <w:tcW w:w="1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系统运维（1年）</w:t>
            </w:r>
          </w:p>
        </w:tc>
        <w:tc>
          <w:tcPr>
            <w:tcW w:w="61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1、含日常清洁、巡检、维修、抢修、优化升级的全部费用，前端设备清洁（每年至少2次，擦拭时间提前报备采购人同意）。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2、含摄像机、补光灯、网络设备等前端设备的电费（补光灯光照时长不小于10小时/天）。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3、杆件、网络箱等监控辅助设施出现外观损坏或安全隐患的，网络箱标志标识出现脱落、明显褪色等应立即修复或更换。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4、新增多设备在同一光点上的，按照单份（单点）计量。</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182处</w:t>
            </w:r>
          </w:p>
        </w:tc>
      </w:tr>
    </w:tbl>
    <w:p>
      <w:pPr>
        <w:keepNext w:val="0"/>
        <w:keepLines w:val="0"/>
        <w:pageBreakBefore w:val="0"/>
        <w:widowControl w:val="0"/>
        <w:kinsoku/>
        <w:wordWrap/>
        <w:overflowPunct/>
        <w:topLinePunct w:val="0"/>
        <w:autoSpaceDE/>
        <w:autoSpaceDN/>
        <w:bidi w:val="0"/>
        <w:adjustRightInd/>
        <w:snapToGrid/>
        <w:spacing w:line="460" w:lineRule="exact"/>
        <w:ind w:firstLine="440" w:firstLineChars="200"/>
        <w:jc w:val="center"/>
        <w:textAlignment w:val="auto"/>
        <w:rPr>
          <w:rFonts w:hint="eastAsia" w:ascii="宋体" w:hAnsi="宋体" w:eastAsia="宋体"/>
          <w:color w:val="000000"/>
          <w:sz w:val="22"/>
          <w:szCs w:val="22"/>
        </w:rPr>
      </w:pPr>
      <w:r>
        <w:rPr>
          <w:rFonts w:hint="eastAsia" w:ascii="宋体" w:hAnsi="宋体" w:eastAsia="宋体"/>
          <w:b w:val="0"/>
          <w:color w:val="000000"/>
          <w:sz w:val="22"/>
          <w:szCs w:val="22"/>
        </w:rPr>
        <w:t>标项</w:t>
      </w:r>
      <w:r>
        <w:rPr>
          <w:rFonts w:hint="eastAsia" w:ascii="宋体" w:hAnsi="宋体" w:eastAsia="宋体"/>
          <w:b w:val="0"/>
          <w:color w:val="000000"/>
          <w:sz w:val="22"/>
          <w:szCs w:val="22"/>
          <w:lang w:val="en-US" w:eastAsia="zh-CN"/>
        </w:rPr>
        <w:t>五 东片150处视频监控及人脸识别建设及运维服务项目采购内容及具体要求</w:t>
      </w:r>
    </w:p>
    <w:tbl>
      <w:tblPr>
        <w:tblStyle w:val="4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369"/>
        <w:gridCol w:w="637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bidi="ar"/>
              </w:rPr>
              <w:t>序号</w:t>
            </w: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bidi="ar"/>
              </w:rPr>
              <w:t>采购内容</w:t>
            </w:r>
          </w:p>
        </w:tc>
        <w:tc>
          <w:tcPr>
            <w:tcW w:w="637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bidi="ar"/>
              </w:rPr>
              <w:t>技术要求</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400单镜头抓拍机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1、采用高性能400万像素1/1.8英寸CMOS图像传感器，不低于4倍光学变焦，固定光圈且不小于F1.0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2、最大可输出400万(2688×1520)@30fps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3、支持H.265编码，压缩比高，实现超低码流传输</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4、内置2颗以上高效暖光补光灯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5、支持ROI，SMART H.264/H.265，AI H.264/H.265，灵活编码，适用不同带宽和存储环境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6、支持走廊模式，宽动态，3D降噪，强光抑制，背光补偿，数字水印，适用不同监控环境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7、支持以下功能切换：人脸抓拍模式、道路监控模式、Smart时间模式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8、支持人脸检测：支持跟踪，支持优选，支持抓拍，支持上报最优的人脸抓图，支持人脸增强，人脸曝光，支持人脸属性提取，支持7种属性，5种表情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9、支持绊线入侵，区域入侵，快速移动，物品遗留，物品搬移，徘徊检测，人员聚集，停车检测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10、最大支持256G Micro SD卡，内置MIC，扬声器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11、支持IP67防护等级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400万双镜头大感光抓拍机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双通道，双感光，硬件要求双变焦双抓拍形态。细节采用不低于超星光超低照度400万像素1/1.2英寸CMOS图像传感器场景,场景通道采用不低于超星光超低照度400万像素1/1.8英寸CMOS图像传感器，内置2个镜头及GPU，镜头焦距：场景镜头：8~32mm，细节不低于10-50mm，全景镜头调节角度不低于上下±10°；双抓拍硬件形态产品，双通道分别采用星光级低照度400万像素1/1.2英寸CMOS图像传感器和400万像素1/1.8英寸CMOS图像传感器，内置双GPU芯片，镜头焦距：全景：8~32mm； 细节：8~56mm，调整角度：通道1:上下角度均能调节；通道2:上下角度能调节；（针对1/1.2英寸CMOS图像传感器需提供公安部检测中心检验报告或投标时提供彩页中标后实施抽样拆机核验）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2、内置不少于8颗混合补光灯，每颗补光灯由红外灯、白光灯组成；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3、细节通道最低照度：彩色：≤0.0002lx；黑白：≤0.0001lx；信噪比不小于62dB；照度适应范围不小于140dB；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400万普通双镜头抓拍机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1、双通道摄像机，可输出2路视频图像，2个COMS靶面尺寸分别不小于1/1.8英寸、1/2.8英寸；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2、像素通道分辨率分别不小于400万及200万，其中细节抓拍不小于4倍光学变焦；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3、具有1个CVBS模拟视频接口、1个RJ45接口、3个报警输入接口、2个报警输出接口、2个音频输入接口、1个音频输出接口、1个SD卡槽、1个复位按钮、1个RS232接口、1个RS485、内置扬声器、2个麦克风及不少于6颗补光灯；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4、通道1、通道2最低照度：彩色:≤0.0002lx；黑白:≤0.0001lx；水平中心分辨率不小于1500TVL；信噪比不小于65dB；照度适应范围不小于140dB；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5、支持人脸抓拍模式、车辆抓拍模式、人体抓拍模式等多种模式可切换。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6、可通过IE浏览器设置人脸抓拍区域、人脸抓拍数量(1-100张)和抓拍间隔(1-255帧)；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7、支持人脸属性显示功能，可在IE浏览器预览界面显示包括年龄、性别、有无戴眼镜、胡子、口罩等人脸属性；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8、支持人脸侦测功能，可对经过设定区域的行人进行人脸检测；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9、支持对齐刘海遮挡眉毛、头发遮挡眼镜、戴普通眼镜、戴墨镜、戴彩色眼镜、戴帽子、戴头戴式耳机、半边人脸、戴口罩人脸进行检测；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10、可对出现在监控场景内的两眼瞳距不小于20像素的人脸进行检测，同时叠加目标提示框；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11、可将视频图像存储至SD卡、FTP、NAS或客户端，支持SD卡热拔插，最大支持512GB SD卡，支持断点续传功能；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12、电源电压在DC12V±30%范围内变化时，应能正常工作；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400万单云台双镜头抓拍机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1、支持智能资源模式切换：全结构化（默认）、人脸抓拍、人脸比对、道路监控、Smart事件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2、摄像机定焦镜头、变焦镜头靶面尺寸均不小于1/1.8英寸，定焦镜头焦距不低于4mm,变焦镜头焦距不低于8-32mm；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3、设备支持水平方向-90°~90°旋转，垂直方向一定角度调节。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4、断电后，设备可自动锁定垂直监控位置。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5、内置GPU芯片。内置麦克风、扬声器，支持双向语音对讲。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6、内置至少4颗混合补光灯，每颗灯由红外灯、白光灯组成，在开启白光灯或混合补光灯时，可输出彩色视频图像。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7、最低照度彩色不大于0.0002 lx，黑白不大于0.0001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8、支持检测区域内不低于32个移动目标（机动车、非机动车及行人）检测、框选跟踪、筛选、抓拍，可将人脸人体、车辆与车牌关联显示。支持侧脸过滤功能，可过滤上下、左右角度达到预设值的人脸。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9、不低于IP67防护等级。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11、提供完善的SDK开发包及示例源代码，合同期内免费提供软件功能升级。</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5</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400万双云台多镜头抓拍机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1、双通道均支持PT一体化云台，通道1和通道2的云台应可独立控制，可通过IE浏览器或客户端远程调节PT位置以实现监控场景的切换；可输出2个通道画面，通道1和通道2的码流分辨率均不小于2560*1440；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2、设备内置2个CMOS图像传感器，靶面尺寸均不小于1/1.8"；设备双通道均具有2颗远光混合补光灯和2颗近光补光灯，开启补光灯后，可采集2路彩色视频图像。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3、内置2个电动变焦镜头，焦距不小于8～32mm，支持一键聚焦功能；双镜头PT云台旋转角度均支持水平调节角度：0°～180°，垂直调节角度：-5°～30°。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4、最低照度彩色不大于0.0002 lx，黑白不大于0.0001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5、可同时对检测区域内的多个不同运动方向的行人、非机动车（自行车、三轮车、电瓶车等）、机动车进行检测、跟踪、筛选、抓拍和存储抓拍图片。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6、可持续对目标进行跟踪，并在轨迹中显示抓拍图片；可在客户端或IE 浏览器上将人脸和人体图片、车牌和机动车图片分别关联显示；并支持实时分析并显示行人、机动车、非机动车属性信息，可将属性信息叠加在抓拍的图片上。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 设备防护等级不低于IP67。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9、提供完善的SDK开发包及示例源代码，合同期内免费提供软件功能升级。</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6</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400万高空抓拍机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1、400万不低于53倍球机，支持全结构化混合目标检测；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2、具有不小于1/1.8靶面尺寸，内置不少于2颗补光灯及一套激光器；支持不小于53倍光学变倍；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3、内置GPU芯片摄像机,可对镜头前盖玻璃进行加热；支持雨刷功能；；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4、支持最低照度不低于彩色0.0002 lx，黑白0.0001 lx；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5、支持水平旋转范围360°连续旋转，垂直旋转范围-20°~90°。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6、开启混合目标检测模式后，设备可同时对行人、非机动车、机动车进行检测、跟踪、抓拍；支持定制城管模式或其他常用算法。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7、支持前端建模比对：前端存储1万张人脸图片进行建模后，对场景中抓拍的人脸进行比对并输出结果；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9、提供完善的SDK开发包及示例源代码，合同期内免费提供软件功能升级。</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7</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400万双镜头枪球抓拍机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1、由全景摄像机和细节摄像机组成双400W高清相机，CMOS靶面尺寸全景不小于1/1.8英寸，光圈不低于F1.0，焦距4mm，细节不小于1/2.8英寸，光圈不低于F1.6，焦距不低于4.8-110mm，23倍光学变倍；</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2、内置GPU芯片；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3、具备不少于8颗补光灯；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4、细节相机云台范围：水平范围：0°～360°，垂直范围： 不小于-20°～90；</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5、最低照度: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【全景】不小于0.0005 Lux，黑白；0.0001 Lux彩色；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【细节】不小于0.005 Lux，黑白：0.001Lux 彩色；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6、动态检测范围≥106dB；信噪比不小于67dB；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7、当设置为联动态时，全景通道可进行周界检测并联动细节通道跟踪目标.当设置为独立态时，全景通道可独立进周界检测同时细节通道独立进行人脸检测；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当以下的智能分析行为达到设定的阈值时，可通过客户端软件或IE浏览器给出报警提示。a)区域入侵；b)停车；C)越界入侵；d)人员聚集；e)离开区域；f)快速移动；g)物品移除；h)物品遗留；i)徘徊；j)绊线入侵；k）穿越围栏；l）逆行检测；m）客流统计；n）进入区域；</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9、支持同时检测5张人脸，支持对运动人脸进行检测、跟踪、抓拍、评分、筛选，输出最优的人脸抓图。支持人脸抓拍功能，可时经过设定区域的行人进行人脸检测和人脸跟踪；</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10、可将视频图像存储至SD卡、FTP、NAS或客户端，支持SD卡热拔插，最大支持不小于256GB 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11、电源电压在DC36V±55%范围内变化时，能正常工作；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12、支持不低于IP66防护等级；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13、支持AC24V、DC36V供电，支持长时间±10%宽范围电压输入；支持电源及信号输入端防浪涌；在-20～70℃环境温度下长时间稳定工作，防护等级不低于IP67；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8</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400万三镜头枪云抓拍机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1、全结构化400万三通道摄像机，采用一体化设计，由三镜头相机与多高性能GPU模块组成；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2、可输出三路视频图像：全景通道、细节通道、球机通道；支持联动抓拍模式、 三路全结构化模式；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3、细节和球机光学变倍都不小于4倍，细节通道最大焦距不小于30mm，球机通道最大焦距不小于51mm；全景通道焦距不大于6mm。全景通道光圈不小于F1.0，细节和球机通道光圈不小于F1.6。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4、设备内置≥10颗补光灯。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5、三个通道均支持对镜头前盖玻璃加热，去除玻璃上的冰状和水状附着物。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6、支持最低照度可达彩色0.0002Lux，黑白0.0001Lux。</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7、在联动模式下，细节通道和全景通道可进行全结构化抓拍和属性分析。在全景通道检测到移动目标后，可联动球机进行人脸、人体的抓拍和属性分析。</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8、具备多通道旋转功能，球机通道：水平不小于0到330，垂直：-10到90；细节通道：垂直5可调节。球机镜头、全景镜头和细节镜头可分开进行水平垂直方向调节。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设备全景、细节和球机通道可分别或同时对行人、非机动车、机动车进行检测、跟踪、抓拍，可支持人脸、车牌、非机动车车牌抠图，可将人脸与人体、车牌与车辆关联显示。具备电瓶车牌识别功能，设备可在智能展示界面显示电瓶车的车牌，触发电瓶车报警时，可实时显示电瓶车小图、电瓶车大图和电瓶车车牌小图。</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10、产品必须具有生产登记批准书或具有权威部门出具的检验报告，符合最新GB/T 28181标准及补充规定，必须兼容温州公安现有视频监控系统及设备，必须符合《温州市安全防范视频监控联网系统信息传输交换控制技术要求》。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11、提供完善的SDK开发包及示例源代码，合同期内免费提供软件功能升级。</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9</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400万场景监控</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1、采用400W像素，不小于1/2.7英寸CMOS；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2、镜头毫米数：3.6mm/6mm/8mm可选（根据现场设计确定）；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3、最低照度彩色：0.07 lx，黑白：0.0001 lx；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4、支持H.264、H265视频编码格式，其中H.264支持Baseline/Main/High Profile；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5、信噪比不小于53.5dB；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6、支持智能编码功能，摄像机开启智能编码功能后，码流节约1/2；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7、照度适应范围不小于130dB；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8、自带红外灯珠，红外补光距离不小于30米；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9、设备与客户端之间用150米网线进行传输，每次客户端发送1500个数据包，重复测试3次，每次丢包数不大于1个，具有抗丢包5%的处理能力；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10、具备1路100/1000M RJ45网络接口、2路报警输入、2路报警输出、1个SD卡插槽、1个RS-232接口、硬件恢复默认按钮；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11、支持视音频录像功能，视音频同步试验≤1秒；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12、支持IP66防护等级；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13、支持DC12V供电，电源电压在DC12V±30%范围内变化时设备可以正常工作；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14、含原装电源，按需提供原装铝合金支架；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15、▲符合最新GB/T 28181-2016标准及补充规定，兼容温州公安现有视频监控系统及设备，符合《温州市安全防范视频监控联网系统信息传输交换控制技术要求》；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17、提供原厂商针对本项目的5年质保函原件。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10</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400万双镜头双云台球机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集成双镜头双感光双GPU模式双云台，根据场景应用镜头焦距分全景细节双镜头模块，双镜头模块均支持400万星光级超宽动态人脸抓拍单元，内置双高性能GPU模块，采用深度学习算法，支持人脸抓拍和车辆抓拍；全景镜头模块、细节镜头模块传感器均采用靶面尺寸不小于400万像素1/1.8"CMOS传感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2、▲全景镜头及细节镜头均支持自动变焦，其中全景镜头支持不低于4倍光学变焦，细节镜头不低20倍光学变焦。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3、▲全景镜头模块，感光最低照度彩色不低于0.00lx，黑白不低于0.000lx。细节镜头模块，感光最小照度不低于彩色 0.001Lux ,彩色0.0001 Lux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4、▲主镜头模块支持三种智能资源模式切换：混合目标检测（全结构化模式）、人脸抓拍（同时含人体抓拍特征数据提取）、车辆抓拍模式（同时含人体抓拍特征数据提取）；</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人脸抓拍模式：支持同时检测不少于23张人脸，对运动人脸进行检测、跟踪、抓拍、优选，输出最优的人脸抓图；支持人脸增强，人脸曝光，人脸属性提取，支持人脸属性识别功能，属性包括年龄、性别、眼镜、表情、胡子、口罩；抓拍图片可分为场景图和人脸图，场景图和人脸图可关联存储，并通过IT浏览器或客户端检索并查看存储的图片；在抓取人脸图片的同时，同图片支持人体特征提取并支持GBT1400国标协议对上衣颜色、性别、戴眼镜、戴口罩等特征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车辆抓拍模式：支持正向/背向行驶车辆抓拍，并跟踪、优选、抓拍，上报最优的抓图；支持车牌、车牌颜色、车标、车系、车身颜色、车辆类型，支持新能源车牌识别功能，支持视场倾斜情况下的车辆特征识别；含抓拍非机动车抓拍提取，包括支持上衣颜色、性别、戴眼镜、背包、戴帽子、戴口罩、长短袖、发型、骑车类型、骑车人数属性识别；</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7、混合目标检测（全结构化模式）：支持混合场景下同时抓拍人体、抓拍人脸、抓拍车辆、抓拍非机动车，提取特征符合GB/T1399、GB/T1400国标协议并分别输出；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9、支持定制城管模式或常用算法。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10、具有不少于1个RJ45网络接口、2路报警输入、1路报警输出、1路音频输入、1路音频输出、1个RS-485接口（支持数据透传功能）、1个SD卡插槽；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11、▲可内置CLASS10以上SD卡最大容量支持不小于64GB，并支持存储卡故障提示。在前端具备存储能力的情况下，应能在网络中断时存储所采集的视频和图片数据，故障排除后应能自动上传比对；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13、支持AC220V、DC24V或POE供电，支持长时间±10％宽范围电压输入；支持电源及信号输入端防浪涌；在-20～70℃环境温度下长时间稳定工作，防护等级不低于IP67；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11</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800万轻型双镜头抓拍机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15" name="Text_Box_22"/>
                  <wp:cNvGraphicFramePr/>
                  <a:graphic xmlns:a="http://schemas.openxmlformats.org/drawingml/2006/main">
                    <a:graphicData uri="http://schemas.openxmlformats.org/drawingml/2006/picture">
                      <pic:pic xmlns:pic="http://schemas.openxmlformats.org/drawingml/2006/picture">
                        <pic:nvPicPr>
                          <pic:cNvPr id="15" name="Text_Box_22"/>
                          <pic:cNvPicPr/>
                        </pic:nvPicPr>
                        <pic:blipFill>
                          <a:blip r:embed="rId9"/>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i w:val="0"/>
                <w:iCs w:val="0"/>
                <w:color w:val="000000"/>
                <w:kern w:val="0"/>
                <w:sz w:val="22"/>
                <w:szCs w:val="2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549275</wp:posOffset>
                  </wp:positionH>
                  <wp:positionV relativeFrom="paragraph">
                    <wp:posOffset>0</wp:posOffset>
                  </wp:positionV>
                  <wp:extent cx="281305" cy="121920"/>
                  <wp:effectExtent l="0" t="0" r="0" b="0"/>
                  <wp:wrapNone/>
                  <wp:docPr id="16" name="Text_Box_22_SpCnt_1"/>
                  <wp:cNvGraphicFramePr/>
                  <a:graphic xmlns:a="http://schemas.openxmlformats.org/drawingml/2006/main">
                    <a:graphicData uri="http://schemas.openxmlformats.org/drawingml/2006/picture">
                      <pic:pic xmlns:pic="http://schemas.openxmlformats.org/drawingml/2006/picture">
                        <pic:nvPicPr>
                          <pic:cNvPr id="16" name="Text_Box_22_SpCnt_1"/>
                          <pic:cNvPicPr/>
                        </pic:nvPicPr>
                        <pic:blipFill>
                          <a:blip r:embed="rId11"/>
                          <a:stretch>
                            <a:fillRect/>
                          </a:stretch>
                        </pic:blipFill>
                        <pic:spPr>
                          <a:xfrm>
                            <a:off x="0" y="0"/>
                            <a:ext cx="281305" cy="121920"/>
                          </a:xfrm>
                          <a:prstGeom prst="rect">
                            <a:avLst/>
                          </a:prstGeom>
                          <a:noFill/>
                          <a:ln>
                            <a:noFill/>
                          </a:ln>
                        </pic:spPr>
                      </pic:pic>
                    </a:graphicData>
                  </a:graphic>
                </wp:anchor>
              </w:drawing>
            </w:r>
            <w:r>
              <w:rPr>
                <w:rFonts w:hint="eastAsia" w:ascii="宋体" w:hAnsi="宋体" w:eastAsia="宋体" w:cs="宋体"/>
                <w:b w:val="0"/>
                <w:i w:val="0"/>
                <w:iCs w:val="0"/>
                <w:color w:val="000000"/>
                <w:kern w:val="0"/>
                <w:sz w:val="22"/>
                <w:szCs w:val="22"/>
                <w:u w:val="none"/>
                <w:lang w:val="en-US" w:eastAsia="zh-CN" w:bidi="ar"/>
              </w:rPr>
              <w:t>1、▲800万星光级超宽动态人脸抓拍单元，双镜头双感光，内置高性能GPU模块，采用深度学习算法，支持人脸抓拍和车辆抓拍；双传感器靶面尺寸分别不小于1/1.8"、1/1.2"；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可变焦镜头、护罩、万向节、电源适配器等附件及安装配件，镜头支持靶面尺寸不小于1/1.2"英寸，镜头焦距范围不小于10-50mm，镜头解析支持不小于800万像素，最大光圈孔径不小于F1.2，镜头支持自动变焦及对焦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3、▲细节镜头最低照度不低于彩色：0.001lx，黑白:0.0001lx，灰度等级不小于11级，信噪比不小于60dB，需具不小于105dB宽动态。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4、▲支持三种智能资源采集模式切换：混合目标检测（全结构化模式）、人脸抓拍（同时含人体抓拍数据提取）、车辆抓拍模式（同时含人体抓拍特征数据提取）；</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人脸抓拍模式：支持同时检测不少于23张人脸，对运动人脸进行检测、跟踪、抓拍、优选，输出最优的人脸抓图；支持人脸增强，人脸曝光，人脸属性提取，支持人脸属性识别功能，属性包括年龄、性别、眼镜、表情、胡子、口罩；抓拍图片可分为场景图和人脸图，场景图和人脸图可关联存储，并通过IT浏览器或客户端检索并查看存储的图片；在抓取人脸图片的同时，同图片支持人体特征提取并支持GBT1400国标协议对上衣颜色、性别、戴眼镜、戴口罩等特征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车辆抓拍模式：支持正向/背向行驶车辆抓拍，并跟踪、优选、抓拍，上报最优的抓图；支持车牌、车牌颜色、车标、车系、车身颜色、车辆类型，支持新能源车牌识别功能，支持视场倾斜情况下的车辆特征识别；含抓拍非机动车抓拍提取，包括支持上衣颜色、性别、戴眼镜、背包、戴帽子、戴口罩、长短袖、发型、骑车类型、骑车人数属性识别；</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7、混合目标检测（全结构化模式）：支持混合场景下同时抓拍人体、抓拍人脸、抓拍车辆、抓拍非机动车，提取特征符合GB/T1399、GB/T1400国标协议并分别输出；</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8、支持通用行为分析：支持区域入侵，绊线入侵，快速移动（三项均支持人车分类及精准检测），物品遗留，物品搬移，徘徊检测，人员聚集，停车检测；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9、具有1个RJ45网络接口、2路报警输入、1路报警输出、1路音频输入、1路音频输出、1个RS-485接口（支持数据透传功能）、1个SD卡插槽；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10、▲内置32GB CLASS10以上SD卡，并支持存储卡故障提示。在前端具备存储能力的情况下，应能在网络中断时存储所采集的视频和图片数据，故障排除后应能自动上传比对；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12、支持AC24V或DC12V供电，支持长时间±10%宽范围电压输入；支持电源及信号输入端防浪涌；在-20～70℃环境温度下长时间稳定工作，防护等级不低于IP67；</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12</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800万超广角双镜头抓拍机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3个以上图像采集模块（三传感器），800万（细节）+400万（全景）+400万（全景），不小于1/1.2英寸CMOS（细节）+1/1.8英寸CMOS（全景）+1/1.8英寸（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▲2、镜头焦距：细节镜头覆盖范围不小于10~50mm，全景镜头焦距：3.6mm或4mm；全景镜头最大光圈不小于F1.0，细节镜头最大光圈不小于F1.6；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5、细节模块最低照度不小于：彩色≤0.0003lx，黑白≤0.0001x，信噪比为不高于56dB，宽动态不小于120dB；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13、支持AC24V或DC12V供电，支持长时间±10%宽范围电压输入，配备电源适配器；支持电源及信号输入端防浪涌；在-20～70℃环境温度下长时间稳定工作，防护等级不低于IP67，含护罩、原装铝合金支架；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val="en-US" w:bidi="ar"/>
              </w:rPr>
            </w:pPr>
            <w:r>
              <w:rPr>
                <w:rFonts w:hint="eastAsia" w:ascii="宋体" w:hAnsi="宋体" w:eastAsia="宋体" w:cs="宋体"/>
                <w:b w:val="0"/>
                <w:i w:val="0"/>
                <w:iCs w:val="0"/>
                <w:color w:val="000000"/>
                <w:kern w:val="0"/>
                <w:sz w:val="22"/>
                <w:szCs w:val="22"/>
                <w:u w:val="none"/>
                <w:lang w:val="en-US" w:eastAsia="zh-CN" w:bidi="ar"/>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13</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800万双变焦双镜头抓拍机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1、2个以上图像采集模块(双传感器以上），800万（细节）+400万（全景），1/1.2英寸CMOS（细节）+1/1.8英寸CMOS（全景），内置GPU芯片；（提供公安部检测中心检验报告或投标时提供彩页中标后实施抽样拆机核验）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2、镜头焦距：细节覆盖范围不小于10~50mm，全景：8-32mm；全景不小于F1.6，细节不小于F1.2；</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5、细节模块最低照度不小于：彩色≤0.001lx，黑白≤0.0001lx；信噪比为不高于56dB；宽动态不小于120dB；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13、支持AC24V或DC12V供电，支持长时间±10%宽范围电压输入；支持电源及信号输入端防浪涌；在-20～70℃环境温度下长时间稳定工作，防护等级不低于IP66；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15、满足现场要求，按需提供原装铝合金支架；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16、提供原厂商针对本项目的5年质保函原件。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14</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800万普通广角双镜头抓拍机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2个以上图像采集模块（双传感器），800万（细节）+400万（全景），不小于1/1.2英寸CMOS（细节）+1/1.8英寸CMOS（全景），内置GPU芯片；（提供公安部检测中心检验报告或投标时提供彩页中标后实施抽样拆机核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▲2、镜头焦距：细节镜头覆盖范围不小于10~50mm，全景镜头焦距：3.6mm或4mm；全景镜头最大光圈不小于F1.0，细节镜头最大光圈不小于F1.6；</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▲3、镜头角度调整：细节支持垂直水平均能一定角度电动调节，全景需支持垂直角度电动调节；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4、内置混合补光灯，设备具有不少于8颗补光灯；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5、细节模块最低照度不小于：彩色≤0.0003lx，黑白≤0.0001x，信噪比为不高于56dB，宽动态不小于120dB；</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6、支持彩色及黑白人脸抓拍采集模式，支持计划切换；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人车抓拍、比对及智能行为分析功能。可同时开启机动车抓拍、非机动车抓拍、行人抓拍和人脸比对功能（全结构化模式）；可同时开启机动车抓拍、非机动车抓拍、行人抓拍功能（人体车辆抓拍模式）；单独人脸抓拍模式（人脸抓拍模式）；人脸抓拍、行人抓拍、非机动车抓拍模式（人脸人体抓拍模式）可同时开启智能行为分析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比对功能可同时开启机动车抓拍、非机动车抓拍、行人抓拍和人脸比对功能,人脸比对性能要求：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支持前端人脸比对，支持不少于5个人脸库的管理，支持最多15万张人脸的导入，支持不同人脸库不同时间布防，支持黑名单比对成功报警输出，支持人脸瞳距20像素以上的人脸检测。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抓拍模式可开启机动车抓拍、非机动车抓拍、行人抓拍功能，抓拍模式分析性能要求：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人脸侦测抓拍功能，可对经过设定区域的行人进行人脸检测，并抓拍提示，支持对齐刘海遮挡眉毛、头发遮挡眼睛、戴普通眼镜、戴墨镜、戴彩色眼镜、戴帽子、戴头戴式耳机、半边人脸、戴口罩的人脸进行检测；可对出现在监控场景内的两眼瞳距不小于20像素的人脸图片进行检测，同时叠加目标提示框；可对设定区域内120个移动的人脸图片进行检测、跟踪和抓拍；可对设定区域内45个移动的图片（包含人体、机动车和非机动车）进行检测和抓拍（提供公安部检测中心检验报告）；</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支持结构化属性显示功能：可通过IE浏览器显示并在抓拍图片上叠加目标属性信息，包括性别、年龄、发型、体型、是否打雨伞、是否戴帽子、是否戴口罩、是否背包、是否挎包、上衣类型、下衣类型、行进速度、行进方向、车辆类型、机动车号牌号码、车辆品牌等信息（提供公安部检验报告证明）；机动车属性包括：车牌、车辆类型、车身颜色、车标、车系、车内饰品、打电话、年检标识、抽烟、车牌颜色、安全带和遮阳板等属性；可在IE浏览器上显示机动车车型，包括:大客车、中型客车、大货车、中型货车、小货车、面包车、SUV、MPV、微型车、皮卡车共不少于10种；可识别不低于300种车辆品牌。车辆品牌识别白天准确率不小于98%，晚上准确率不小于97%。可识别不低于5000种车辆子品牌（提供公安部检验报告证明）；支持4车道以上划线抓拍及提取各车道车辆车牌，支持国标非机动车车牌数据提取（黄标、蓝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智能分析行为功能：当以下的智能分析行为达到设定的阈值时，可通过客户端软件或IE浏览器给出报警提示及上报。a）绊线入侵；b）区域入侵；c）物品遗留；d）物品消失；e）徘徊检测；f）非法停车；g）快速移动；h）人员聚集；i）进入区域；j）当发生绊线入侵、区域入侵、徘徊、停车、快速移动、人员聚集、进入区域和离开区域等行为时，样机可设置不少于5组布防时间，在布防时间内开启智能行为分析功能，可对人、车、人和车进行检测；可对人员和机动车的正面、侧面、北面进行检测；可对轿车、客车、面包车、重中型货车、轻微型货车进行检测；可对目标大小（像素值）进行设置；</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8、支持城管及违停抓拍模式（可拆分），同时应具备以下功能：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 xml:space="preserve">   支持违法停车抓拍或占道经营等城管事件类场景侦测识别、抓拍及报警功能，且支持温州市违停处置首次警告提醒功能，城管模式支持与其他抓拍模式可同时开启；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9、人脸区域自动曝光功能，可根据外部不同场景和光照变化自动调节曝光参数；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10、可将视频图像存储至本地SD卡、FTP、NAS或客户端，支持SD卡热插拔，内置≥64GB CLASS10以上SD卡且最大支持不小于256GB本地SD卡，支持断网续传功能；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11、设备具备BDS和GPS定位功能，并能在监控画面叠加设备所在的经纬度信息。支持自动校时功能，可通过自带的定位模块获取并解析卫星信号中的时间信息，定时、自动完成时间校准任务；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12、符合最新GB/T 28181-2016标准及补充规定，兼容温州公安现有视频监控系统及设备，符合《温州市安全防范视频监控联网系统信息传输交换控制技术要求》、《浙江省公安机关人像比对应用系统技术规范》，支持符合GAT1400 -2017标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13、支持AC24V或DC12V供电，支持长时间±10%宽范围电压输入，配备电源适配器；支持电源及信号输入端防浪涌；在-20～70℃环境温度下长时间稳定工作，防护等级不低于IP67，含护罩、原装铝合金支架；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14、提供完善的SDK开发包及示例源代码，免费提供5年内软件功能升级与需求定制服务；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15、提供原厂商针对本项目的5年质保函原件。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15</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LED补光灯1型</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1、LED常亮灯，原装进口白光新品LED灯珠，单颗功率5W，不少于32个灯珠；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2、功率不小于35W；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3、铝合金灯体，鳍片式散热结构，面罩采用钢化玻璃；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50只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16</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LED补光灯2型</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1、LED常亮灯，原装进口白光新品LED灯珠，单颗功率5W，不少于48个灯珠；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2、功率不小于35W；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3、铝合金灯体，鳍片式散热结构，面罩采用钢化玻璃，定制护罩，定制灯珠摆放设计；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4、对不同品牌摄像机均支持开关量可调节补光灯的亮度；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17</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LED补光灯3型</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1、LED常亮灯，原装进口白光新品LED灯珠，单颗功率5W，不少于20个灯珠；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2、功率不小于20W；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3、铝合金灯体，面罩采用钢化玻璃，定制护罩，定制灯珠摆放设计；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4、对不同品牌摄像机均支持开关量可调节补光灯的亮度；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5、支持光控自动开启关闭；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6.防护等级IP66，可靠防水、防尘；</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7、按需配置光栅；</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8、支持30度、45度、60度（可选）；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9、提供原厂商针对本项目的5年质保函原件。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18</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无极灯</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1、高效无极灯，通过国家3C认证或CQC认证；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2、有效补光区域：20m*10m，补光区域内任意点最低照度≥3Lux；平均功率不小于80W；</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3、可通过集成或外置控制模块实现自动光敏控制补光；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4、灯具防护等级不小于IP65，适合室外安装使用，提供AC220v电源输入口，支持长时间±10%宽范围电压输入；支持电源输入防浪涌；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5、能在-20~60℃环境温度下长时间稳定工作；电源跟灯体之间以及电源输入端要求采用防水对接头。</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19</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电源保护器</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具备电源、数据接地防雷、漏电保护等功能，可自动实现重合闸，相关设备要求采用国内外知名品牌，具备智能功能，含相关平台费用，且无授权接入限制和使用期限限制。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78只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20</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超融合服务器硬件</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2U标准机架设备，配置不低于2颗Gold 6226R处理器，主频不低于2.9GHz，核数≥16，内存≥8*32G，系统盘≥2*240G ，缓存盘≥2*1.92T SSD，数据盘≥ 8*8T，标配盘位数≥12，电源：白金，冗余电源，接口：支持不低于6千兆电口+2万兆光口，配置本次项目所需要的配件辅料（如光模块/光纤等）。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投标供应商可根据自身产品特性进行配置，各项配置不得低于以上各项要求。</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21</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超融合服务器配套软件</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2、要求服务器虚拟化按照物理服务器CPU颗数进行授权，本次提供10颗正版CPU的服务器虚拟化授权。</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3、支持配置动态资源扩展功能，系统支持自动评估虚拟机的性能，当虚拟机性能不足时自动为虚拟机添加CPU和内存资源，确保业务持续高效运行。</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4、采用分布式管理架构，具备去中心化，管理平台不依赖于某一个虚拟机或物理机部署，采用分布式架构保障平台更可靠。</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5、通过License激活的方式，实现网络虚拟化功能（分布式虚拟交换机、虚拟路由器、虚拟应用防火墙、虚拟应用负载均衡），支持Vxlan网络和现有的Vlan网络对接，实现虚拟化平台与原有网络的兼容性。</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6、要求存储虚拟化按照物理服务器CPU颗数进行授权，本次总共提供10颗正版CPU的存储虚拟化授权，为了保证后期低成本的存储扩容需求，要求不受硬盘容量限制。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7、支持多种硬盘状态检测监控及告警，包括“健康”状态、“亚健康”状态、“故障”状态，不同状态的硬盘在UI上呈现不同的特征或告警，让用户能够区分处理。</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8、支持云桌面部署模式，为了保证高可靠，桌面云接入管理平台需支持集群模式，在不增加第三方负载均衡的情况下，可实现桌面云控制器宕机切换会话不中断。</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22</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数据瘦终端</w:t>
            </w:r>
          </w:p>
        </w:tc>
        <w:tc>
          <w:tcPr>
            <w:tcW w:w="6379" w:type="dxa"/>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本项目要求配备云终端与超融合服务器配套软件同一品牌。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 xml:space="preserve">2、ARM架构，CPU≥双核1.6Ghz、内存≥1G、存储≥4G、USB≥4个、1个HDMI、1个以太网口、1对音频口。 </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3、在瘦终端的管理方面，需支持分组管理、批量移动、删除、关闭瘦终端，支持配置定时开关机计划及加电自启动功能，支持自定义开机画面、配置自动登录和保存密码。</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4、为了方便管理，管理方式为虚拟机和瘦终端统一管理，降低管理难度。</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5、为了简化管理，要求瘦终端支持远程唤醒，管理员可以使用桌面云控制器或者第三方教学软件，例如极域等，远程开机瘦终端。</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23</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数据瘦终端vdi授权</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VDI接入授权（普通版）(*1套);软件升级(*5年);</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24</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立杆1型、基础</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杆件采用Q235优质钢，采用高热镀锌处理，高度4米及以下，杆件高度可以根据现场环境设计要求进行调整，主杆口径不小于121mm，厚度不小于4mm；横臂直径不得小于75mm，厚度不小于3mm，设计横挑长度0-3米（含3米），点位横臂数量及角度根据现场环境定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4、立杆底部用螺栓与基础固定，电源线和光缆从立杆底部进入，立杆杆的上部横臂设有设备安装位置，立杆的中上部预留网络箱出线口，具备良好的防护功能；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25</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立杆2型、基础</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1、杆件采用Q235优质钢，采用高热镀锌处理，高度4.5米，主杆口径不小于140mm，厚度不小于4.5mm；横臂直径不得小于75mm，厚度不小于3mm，设计横挑长度0-3米（含3米），点位横挑数量及角度可根据现场环境定制；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4、立杆底部用螺栓与基础固定，电源线和光缆从立杆底部进入，立杆杆的上部横臂设有设备安装位置，立杆的中上部预留网络箱出线口，具备良好的防护功能；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26</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立杆3型、基础</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立杆采用八角Q235优质钢采用高热镀锌处理，高度不低于6.5米，主杆下口径不低于250mm，上口径不低于220mm，厚度不低于6mm；横臂细端口径不低于90mm，粗端口径不低于180mm，厚度不低于4mm，具体点位横挑数量、长度及角度根据现场环境定制，以设计要求为准，设计长度0-6米（含6米）；</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2、立杆应有较高强度抗台风、防摄像机抖动、防攀爬、防腐，安装好之后整体强度能防御12级以上台风、8级以上地震；</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3、杆底端焊接固定法兰盘，预留拉线孔，地基应是硬质；立杆安装应牢固，不得歪斜，需用水平仪来测定；制作要美观，其顶部应做防水帽；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4、立杆底部用螺栓与基础固定，电源线和光缆从立杆底部进入，在杆的上部设有摄像机安装横杆，杆的中下部有网络及电源设备箱，具备良好的防护、散热功能；</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5、没有特殊情况所有监控立杆预埋件混凝土为C25砼，所配钢筋符合国标及受风要求，其中水泥为425号普通硅酸盐水泥，混凝土的配比和最小水泥用量应符合GBJ204-83的规定；</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6、杆件要有明显的“雪亮工程”视频监控标志、杆件编号，颜色鲜艳、清晰，保证5年内雨淋、日晒不脱落、不会明显褪色。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7、杆件颜色应按需定制。</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27</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定制支架</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1、根据现场环境定制，支持多摄像头安装，能够依托现场建筑体安装，支架标准需经采购人审核认可；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2、采用优质钢材，高热镀锌处理，支架应有较高强度抗台风、防摄像机抖动；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3、所有支架需一次成型不得嫁接；</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70套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28</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网络箱</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尺寸：650mm×450mm×210mm，采用不锈钢304材质，乳白色喷塑处理（部分点位按设计定制颜色），箱体厚度要求不小于1.2mm，机箱防护等级不低于IP54，箱体和配件采用防锈材质或防锈处理，5年内不得出现锈蚀或明显老化现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2、进线孔采用密封处理，底部进线，配进缆夹头、压缆配件、熔纤盘等，采取风扇散热；</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3、机箱内部布局合理、模块化清晰，强电部分要进行区域绝缘隔离；所有机箱内部设备都需要安装固定，不得松散摆放；</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4、设备连接均要配置专业的接插件，设计目标是保证安全可靠的同时要求施工高效、质量可靠、维修方便；</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5、喷醒目的“公安监控”、警徽、定制编码、承建商名称及联系方式，保证5年内雨淋、日晒不脱落、不会明显褪色；</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6、箱体外观和内部布局设计方案出具图纸，并经采购人审核认可；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7、立杆上挂机箱的，要求箱外没有多余线缆，机箱和立杆统一接地；</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8、户外网络箱应提供额外电源输出接口用于公安业务拓展。</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58只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29</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窨井</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1、窨井内部尺寸不小于380mm*380mm*500mm；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2、井盖尺寸不小于400mm*400mm，混凝土井圈及混凝土井盖为预制件；</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3、砌体使用砖块及普通硅酸盐水泥，窨井内外壁采用水泥砂浆抹面，厚度为2mm；</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窨井采用明挖法施工，整平，夯实基底，严格控制标高，井盖与周边地面齐平，窨井底部应设有渗水孔，做窨井的同时敷设好线管，强、弱电线管分开敷设，预留1根PE25和2根PE32至立杆基础法兰盘的中间位置，管口伸出法兰盘10厘米，做好封堵，另一端伸出井壁位置5厘米，管口下沿位置在井壁40CM处，手井另一侧应预留室外管路接口，接口下沿位置应预留在井壁30厘米处；</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5、进出窨井所有管路必须做好封堵工作；</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6、要求承建单位提供详细设计图纸；</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7、确保质保期五年内不变形。</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30</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立杆施工费1、2</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配套杆件1型2型，包括老设备的拆除及新设备安装、立杆基础的开挖、做模、浇筑、路面平整、修补、回填、废土清运等工作及材料，设备调测，辅材、附件、工具、人工、验收等全部费用；</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15处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31</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立杆施工费3</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配套杆件3型，包括老设备的拆除及新设备安装、立杆基础的开挖、做模、浇筑、路面平整、修补、回填、废土清运等工作及材料，设备调测，辅材、附件、工具、人工、验收等全部费用；</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32</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借墙借杆施工费用</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借墙借杆设备安装、调测，辅材、附件、工具、人工、验收等全部费用。</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69处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33</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建设运维点位移机</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1、建设周期内及五年质保期内（所有点位）按采购人要求提供移机服务；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34</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建设运维点位移机2</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1、VPN建设点位，建设周期内及五年质保期内按采购人要求提供移机服务；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前端设备拆装，立杆基础的开挖、做模、浇筑，新旧点位的路面平整、修补、回填、废土清运等工作及材料，设备调测，辅材、附件、工具、人工等全部费用，以及审批开挖以及延伸的相关政策性收费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3、含网络线路的割接。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4、针对VPN专网点位移机。</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35</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加头集成服务费</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1、VPN专网云监控或云人脸点位加装一套摄像机、补光灯。</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2、含安装及后续的运维、网络接入服务、电费等服务。</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36</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利旧点位运维费</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1、含日常清洁、巡检、维修、抢修、优化升级的全部费用，前端设备清洁（每年至少2次到前端对所有设备调试并清洁，清洁时间提前报备采购人同意）；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2、含摄像机、补光灯、网络设备等前端设备的电费（补光灯光照时长少小于10小时/天）；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3、杆件、网络箱等监控辅助设施出现外观损坏或安全隐患的，网络箱标志标识出现脱落、明显褪色等应立即修复或更换；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4、新增多设备在同一光点上的，按照单份（单点）计量。</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37</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利旧点位安装费</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1、基于老项目点位根据设计需求进行加装摄像机、补光灯，含安装辅材、光猫等新增或更换相关费用；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2、单光点新增多设备的，工程量按照单份计量；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3、安装标准需按照规范施工；</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4、含前端调试后端接入等费用；</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5、根据采购人要求安装在指定位置。</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38</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云监控集成服务</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1、云监控点位，使用VPN视频专网，其他包括网络带宽要求等同本项目视频专网网络服务要求。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2、含安装费用，包括辅材、摄像机、补光灯等。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3、含5年网络及运维服务。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4、前端提供不低于400万场景监控设备。</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39</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云人脸集成服务</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1、云监控点位，使用VPN视频专网，其他包括网络带宽要求等同本项目视频专网网络服务要求。</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2、含安装费用，包括辅材、摄像机、补光灯等。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3、含5年网络及运维服务。</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4、前端提供不低于400万人脸识别抓拍设备。</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40</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网络服务（1年）</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1、前端采用≥4电口网络设备适配器，方便公安业务拓展。</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2、远程管理，支持OLT端的网管，可以实现端口流量、网络质量的远程监测。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3、高速转发，部分点位可能存在多个前端摄像头或其他网络设备，应提供足够的网络带宽，满足该点位所有视频同时实时浏览和存储，网络上联带宽不小于100Mbps。</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4、局端采用可网管的交换机进行汇聚，保证后端能进行端口级的管理与监测。</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5、包括视频专网运行所需的局端光网设备、交换机、网络配件等设备的配备使用等。</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6、含从视频专网机房侧到前端监控网络箱的专网（与其他网络物理隔离）光纤链路租费与维护费。</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7、每个光点按照单路计量。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8、含机房环境与中心设备电费，机房环境保障、机柜配套（网、电）整理、维护，机房日常管理及基础台帐维护，服务器、存储、网络设备等机器日常清洁、巡检、维修、抢修，基础资料、巡检维修记录维护的全部费用。</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78点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41</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系统运维（1年）</w:t>
            </w:r>
          </w:p>
        </w:tc>
        <w:tc>
          <w:tcPr>
            <w:tcW w:w="6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1、含日常清洁、巡检、维修、抢修、优化升级的全部费用，前端设备清洁（每年至少2次，擦拭时间提前报备采购人同意）。</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2、含摄像机、补光灯、网络设备等前端设备的电费（补光灯光照时长不小于10小时/天）。</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3、杆件、网络箱等监控辅助设施出现外观损坏或安全隐患的，网络箱标志标识出现脱落、明显褪色等应立即修复或更换。</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4、新增多设备在同一光点上的，按照单份（单点）计量。</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color w:val="000000"/>
                <w:sz w:val="22"/>
                <w:szCs w:val="22"/>
                <w:lang w:bidi="ar"/>
              </w:rPr>
            </w:pPr>
            <w:r>
              <w:rPr>
                <w:rFonts w:hint="eastAsia" w:ascii="宋体" w:hAnsi="宋体" w:eastAsia="宋体" w:cs="宋体"/>
                <w:b w:val="0"/>
                <w:i w:val="0"/>
                <w:iCs w:val="0"/>
                <w:color w:val="000000"/>
                <w:kern w:val="0"/>
                <w:sz w:val="22"/>
                <w:szCs w:val="22"/>
                <w:u w:val="none"/>
                <w:lang w:val="en-US" w:eastAsia="zh-CN" w:bidi="ar"/>
              </w:rPr>
              <w:t>78点</w:t>
            </w:r>
          </w:p>
        </w:tc>
      </w:tr>
    </w:tbl>
    <w:p>
      <w:pPr>
        <w:snapToGrid w:val="0"/>
        <w:spacing w:line="440" w:lineRule="atLeast"/>
        <w:ind w:firstLine="442" w:firstLineChars="200"/>
        <w:rPr>
          <w:rFonts w:ascii="宋体" w:hAnsi="宋体" w:eastAsia="宋体"/>
          <w:color w:val="000000"/>
          <w:sz w:val="22"/>
        </w:rPr>
      </w:pPr>
      <w:r>
        <w:rPr>
          <w:rFonts w:hint="eastAsia" w:ascii="宋体" w:hAnsi="宋体" w:eastAsia="宋体"/>
          <w:color w:val="000000"/>
          <w:sz w:val="22"/>
        </w:rPr>
        <w:t>说明：（1）本次采购的产品如属于政府强制采购节能产品范围的，投标供应商必须选用符合要求的产品并在投标文件中提供相关产品的认证证书扫描件，否则按无效投标处理，具体品目见《关于印发节能产品政府采购品目清单的通知》（财库〔</w:t>
      </w:r>
      <w:r>
        <w:rPr>
          <w:rFonts w:ascii="宋体" w:hAnsi="宋体" w:eastAsia="宋体"/>
          <w:color w:val="000000"/>
          <w:sz w:val="22"/>
        </w:rPr>
        <w:t>2019〕19号）。</w:t>
      </w:r>
    </w:p>
    <w:p>
      <w:pPr>
        <w:snapToGrid w:val="0"/>
        <w:spacing w:line="440" w:lineRule="atLeast"/>
        <w:ind w:firstLine="442" w:firstLineChars="200"/>
        <w:rPr>
          <w:rFonts w:ascii="宋体" w:hAnsi="宋体" w:eastAsia="宋体"/>
          <w:color w:val="000000"/>
          <w:sz w:val="22"/>
        </w:rPr>
      </w:pPr>
      <w:r>
        <w:rPr>
          <w:rFonts w:hint="eastAsia" w:ascii="宋体" w:hAnsi="宋体" w:eastAsia="宋体"/>
          <w:color w:val="000000"/>
          <w:sz w:val="22"/>
        </w:rPr>
        <w:t>（</w:t>
      </w:r>
      <w:r>
        <w:rPr>
          <w:rFonts w:ascii="宋体" w:hAnsi="宋体" w:eastAsia="宋体"/>
          <w:color w:val="000000"/>
          <w:sz w:val="22"/>
        </w:rPr>
        <w:t>2）中标供应商在签订合同时需提供招标文件要求的相关产品原厂商质保函。如原厂商无故不予授权，在中标供应商作出保证产品质量和售后服务的承诺后，可以不需授权文件将合同授予该供应商，但对此应在合同的验收、结算和违约责任中补充增加相应的制约性条款（如中标供应商不能取得质保函原件，则该项目的结算方式调整为：</w:t>
      </w:r>
      <w:r>
        <w:rPr>
          <w:rFonts w:hint="eastAsia" w:ascii="宋体" w:hAnsi="宋体" w:eastAsia="宋体"/>
          <w:b w:val="0"/>
          <w:color w:val="000000"/>
          <w:sz w:val="22"/>
        </w:rPr>
        <w:t>▲</w:t>
      </w:r>
      <w:r>
        <w:rPr>
          <w:rFonts w:ascii="宋体" w:hAnsi="宋体" w:eastAsia="宋体"/>
          <w:color w:val="000000"/>
          <w:sz w:val="22"/>
        </w:rPr>
        <w:t>合同签订后15日内支付合同金额的</w:t>
      </w:r>
      <w:r>
        <w:rPr>
          <w:rFonts w:hint="eastAsia" w:ascii="宋体" w:hAnsi="宋体" w:eastAsia="宋体"/>
          <w:color w:val="000000"/>
          <w:sz w:val="22"/>
        </w:rPr>
        <w:t>4</w:t>
      </w:r>
      <w:r>
        <w:rPr>
          <w:rFonts w:ascii="宋体" w:hAnsi="宋体" w:eastAsia="宋体"/>
          <w:color w:val="000000"/>
          <w:sz w:val="22"/>
        </w:rPr>
        <w:t>0%，项目通过整体验收后支付合同金额的</w:t>
      </w:r>
      <w:r>
        <w:rPr>
          <w:rFonts w:hint="eastAsia" w:ascii="宋体" w:hAnsi="宋体" w:eastAsia="宋体"/>
          <w:color w:val="000000"/>
          <w:sz w:val="22"/>
        </w:rPr>
        <w:t>40</w:t>
      </w:r>
      <w:r>
        <w:rPr>
          <w:rFonts w:ascii="宋体" w:hAnsi="宋体" w:eastAsia="宋体"/>
          <w:color w:val="000000"/>
          <w:sz w:val="22"/>
        </w:rPr>
        <w:t>%，运行维护服务期满支付合同金额的</w:t>
      </w:r>
      <w:r>
        <w:rPr>
          <w:rFonts w:hint="eastAsia" w:ascii="宋体" w:hAnsi="宋体" w:eastAsia="宋体"/>
          <w:color w:val="000000"/>
          <w:sz w:val="22"/>
        </w:rPr>
        <w:t>2</w:t>
      </w:r>
      <w:r>
        <w:rPr>
          <w:rFonts w:ascii="宋体" w:hAnsi="宋体" w:eastAsia="宋体"/>
          <w:color w:val="000000"/>
          <w:sz w:val="22"/>
        </w:rPr>
        <w:t>0%。）</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五、分项要求</w:t>
      </w:r>
    </w:p>
    <w:p>
      <w:pPr>
        <w:spacing w:line="460" w:lineRule="exact"/>
        <w:ind w:firstLine="440" w:firstLineChars="200"/>
        <w:rPr>
          <w:rFonts w:hint="eastAsia" w:ascii="宋体" w:hAnsi="宋体" w:eastAsia="宋体" w:cs="Times New Roman"/>
          <w:b w:val="0"/>
          <w:bCs/>
          <w:color w:val="000000"/>
          <w:sz w:val="22"/>
        </w:rPr>
      </w:pPr>
      <w:r>
        <w:rPr>
          <w:rFonts w:hint="eastAsia" w:ascii="宋体" w:hAnsi="宋体" w:eastAsia="宋体" w:cs="Times New Roman"/>
          <w:b w:val="0"/>
          <w:bCs/>
          <w:color w:val="000000"/>
          <w:sz w:val="22"/>
        </w:rPr>
        <w:t>1、主体设计及性能参数指标相关说明</w:t>
      </w:r>
    </w:p>
    <w:p>
      <w:pPr>
        <w:spacing w:line="460" w:lineRule="exact"/>
        <w:ind w:firstLine="440" w:firstLineChars="200"/>
        <w:rPr>
          <w:rFonts w:hint="eastAsia" w:ascii="宋体" w:hAnsi="宋体" w:eastAsia="宋体" w:cs="Times New Roman"/>
          <w:b w:val="0"/>
          <w:bCs/>
          <w:color w:val="000000"/>
          <w:sz w:val="22"/>
        </w:rPr>
      </w:pPr>
      <w:r>
        <w:rPr>
          <w:rFonts w:hint="eastAsia" w:ascii="宋体" w:hAnsi="宋体" w:eastAsia="宋体" w:cs="Times New Roman"/>
          <w:b w:val="0"/>
          <w:bCs/>
          <w:color w:val="000000"/>
          <w:sz w:val="22"/>
        </w:rPr>
        <w:t>1.1、前端摄像机及其他产品要求</w:t>
      </w:r>
    </w:p>
    <w:p>
      <w:pPr>
        <w:spacing w:line="460" w:lineRule="exact"/>
        <w:ind w:firstLine="440" w:firstLineChars="200"/>
        <w:rPr>
          <w:rFonts w:hint="eastAsia" w:ascii="宋体" w:hAnsi="宋体" w:eastAsia="宋体"/>
          <w:b w:val="0"/>
          <w:color w:val="000000"/>
          <w:sz w:val="22"/>
          <w:lang w:val="en-US" w:eastAsia="zh-CN"/>
        </w:rPr>
      </w:pPr>
      <w:r>
        <w:rPr>
          <w:rFonts w:hint="eastAsia" w:ascii="宋体" w:hAnsi="宋体" w:eastAsia="宋体"/>
          <w:b w:val="0"/>
          <w:color w:val="000000"/>
          <w:sz w:val="22"/>
        </w:rPr>
        <w:t>1.1.1</w:t>
      </w:r>
      <w:r>
        <w:rPr>
          <w:rFonts w:hint="eastAsia" w:ascii="宋体" w:hAnsi="宋体" w:eastAsia="宋体"/>
          <w:b w:val="0"/>
          <w:color w:val="000000"/>
          <w:sz w:val="22"/>
          <w:lang w:val="en-US" w:eastAsia="zh-CN"/>
        </w:rPr>
        <w:t>投标产品建设过程升级</w:t>
      </w:r>
      <w:r>
        <w:rPr>
          <w:rFonts w:hint="eastAsia" w:ascii="宋体" w:hAnsi="宋体" w:eastAsia="宋体"/>
          <w:b w:val="0"/>
          <w:color w:val="000000"/>
          <w:sz w:val="22"/>
        </w:rPr>
        <w:t>城市管理一体化设备</w:t>
      </w:r>
      <w:r>
        <w:rPr>
          <w:rFonts w:hint="eastAsia" w:ascii="宋体" w:hAnsi="宋体" w:eastAsia="宋体"/>
          <w:b w:val="0"/>
          <w:color w:val="000000"/>
          <w:sz w:val="22"/>
          <w:lang w:val="en-US" w:eastAsia="zh-CN"/>
        </w:rPr>
        <w:t>等情况时，结算问题处置说明。</w:t>
      </w:r>
    </w:p>
    <w:p>
      <w:pPr>
        <w:spacing w:line="460" w:lineRule="exact"/>
        <w:ind w:firstLine="440" w:firstLineChars="200"/>
        <w:rPr>
          <w:rFonts w:hint="default" w:ascii="宋体" w:hAnsi="宋体" w:eastAsia="宋体"/>
          <w:b w:val="0"/>
          <w:color w:val="000000"/>
          <w:sz w:val="22"/>
          <w:lang w:val="en-US" w:eastAsia="zh-CN"/>
        </w:rPr>
      </w:pPr>
      <w:r>
        <w:rPr>
          <w:rFonts w:hint="eastAsia" w:ascii="宋体" w:hAnsi="宋体" w:eastAsia="宋体"/>
          <w:b w:val="0"/>
          <w:color w:val="000000"/>
          <w:sz w:val="22"/>
        </w:rPr>
        <w:t>本招标文件所</w:t>
      </w:r>
      <w:r>
        <w:rPr>
          <w:rFonts w:hint="eastAsia" w:ascii="宋体" w:hAnsi="宋体" w:eastAsia="宋体"/>
          <w:b w:val="0"/>
          <w:color w:val="000000"/>
          <w:sz w:val="22"/>
          <w:lang w:val="en-US" w:eastAsia="zh-CN"/>
        </w:rPr>
        <w:t>采购的部分产品，建设过程中在满足投标基础上根据采购人需求进行升级以满足城市管理一体化建设、抓拍场景同时覆盖等工作需要，采购人可以进行另行结算，具体如下：</w:t>
      </w:r>
    </w:p>
    <w:p>
      <w:pPr>
        <w:spacing w:line="460" w:lineRule="exact"/>
        <w:ind w:firstLine="440" w:firstLineChars="200"/>
        <w:rPr>
          <w:rFonts w:hint="eastAsia" w:ascii="宋体" w:hAnsi="宋体" w:eastAsia="宋体"/>
          <w:b w:val="0"/>
          <w:color w:val="000000"/>
          <w:sz w:val="22"/>
        </w:rPr>
      </w:pPr>
      <w:r>
        <w:rPr>
          <w:rFonts w:hint="eastAsia" w:ascii="宋体" w:hAnsi="宋体" w:eastAsia="宋体"/>
          <w:b w:val="0"/>
          <w:color w:val="000000"/>
          <w:sz w:val="22"/>
        </w:rPr>
        <w:t>本项目400W枪球机，投标供应商在满足投标参数的基础上，建设过程中如通过升级增强芯片或移植算法等方式实现同时支持城管功能（要求等同项目各产品描述城管要求），在经采购人确认满足需求后，项目结算时可按照每只摄像机投标价增加200元进行结算。</w:t>
      </w:r>
    </w:p>
    <w:p>
      <w:pPr>
        <w:spacing w:line="460" w:lineRule="exact"/>
        <w:ind w:firstLine="440" w:firstLineChars="200"/>
        <w:rPr>
          <w:rFonts w:hint="eastAsia" w:ascii="宋体" w:hAnsi="宋体" w:eastAsia="宋体"/>
          <w:b w:val="0"/>
          <w:color w:val="000000"/>
          <w:sz w:val="22"/>
        </w:rPr>
      </w:pPr>
      <w:r>
        <w:rPr>
          <w:rFonts w:hint="eastAsia" w:ascii="宋体" w:hAnsi="宋体" w:eastAsia="宋体"/>
          <w:b w:val="0"/>
          <w:color w:val="000000"/>
          <w:sz w:val="22"/>
        </w:rPr>
        <w:t>本项目所采用的400万双云台多镜头摄像机</w:t>
      </w:r>
      <w:r>
        <w:rPr>
          <w:rFonts w:hint="eastAsia" w:ascii="宋体" w:hAnsi="宋体" w:eastAsia="宋体"/>
          <w:b w:val="0"/>
          <w:color w:val="000000"/>
          <w:sz w:val="22"/>
          <w:lang w:eastAsia="zh-CN"/>
        </w:rPr>
        <w:t>，</w:t>
      </w:r>
      <w:r>
        <w:rPr>
          <w:rFonts w:hint="eastAsia" w:ascii="宋体" w:hAnsi="宋体" w:eastAsia="宋体"/>
          <w:b w:val="0"/>
          <w:color w:val="000000"/>
          <w:sz w:val="22"/>
        </w:rPr>
        <w:t>投标供应商在满足投标参数的基础上，建设过程中</w:t>
      </w:r>
      <w:r>
        <w:rPr>
          <w:rFonts w:hint="eastAsia" w:ascii="宋体" w:hAnsi="宋体" w:eastAsia="宋体"/>
          <w:b w:val="0"/>
          <w:color w:val="000000"/>
          <w:sz w:val="22"/>
        </w:rPr>
        <w:t>如使用四镜头</w:t>
      </w:r>
      <w:r>
        <w:rPr>
          <w:rFonts w:hint="eastAsia" w:ascii="宋体" w:hAnsi="宋体" w:eastAsia="宋体"/>
          <w:b w:val="0"/>
          <w:color w:val="000000"/>
          <w:sz w:val="22"/>
          <w:lang w:val="en-US" w:eastAsia="zh-CN"/>
        </w:rPr>
        <w:t>并采用</w:t>
      </w:r>
      <w:r>
        <w:rPr>
          <w:rFonts w:hint="eastAsia" w:ascii="宋体" w:hAnsi="宋体" w:eastAsia="宋体" w:cs="宋体"/>
          <w:b w:val="0"/>
          <w:i w:val="0"/>
          <w:iCs w:val="0"/>
          <w:color w:val="000000"/>
          <w:kern w:val="0"/>
          <w:sz w:val="20"/>
          <w:szCs w:val="20"/>
          <w:u w:val="none"/>
          <w:lang w:val="en-US" w:eastAsia="zh-CN" w:bidi="ar"/>
        </w:rPr>
        <w:t>1/1.2英寸CMOS</w:t>
      </w:r>
      <w:r>
        <w:rPr>
          <w:rFonts w:hint="eastAsia" w:ascii="宋体" w:hAnsi="宋体" w:eastAsia="宋体"/>
          <w:b w:val="0"/>
          <w:color w:val="000000"/>
          <w:sz w:val="22"/>
        </w:rPr>
        <w:t>的前提下，</w:t>
      </w:r>
      <w:r>
        <w:rPr>
          <w:rFonts w:hint="eastAsia" w:ascii="宋体" w:hAnsi="宋体" w:eastAsia="宋体"/>
          <w:b w:val="0"/>
          <w:color w:val="000000"/>
          <w:sz w:val="22"/>
        </w:rPr>
        <w:t>在经采购人确认满足需求后</w:t>
      </w:r>
      <w:r>
        <w:rPr>
          <w:rFonts w:hint="eastAsia" w:ascii="宋体" w:hAnsi="宋体" w:eastAsia="宋体"/>
          <w:b w:val="0"/>
          <w:color w:val="000000"/>
          <w:sz w:val="22"/>
          <w:lang w:eastAsia="zh-CN"/>
        </w:rPr>
        <w:t>，</w:t>
      </w:r>
      <w:r>
        <w:rPr>
          <w:rFonts w:hint="eastAsia" w:ascii="宋体" w:hAnsi="宋体" w:eastAsia="宋体"/>
          <w:b w:val="0"/>
          <w:color w:val="000000"/>
          <w:sz w:val="22"/>
        </w:rPr>
        <w:t>项目结算时可按照</w:t>
      </w:r>
      <w:r>
        <w:rPr>
          <w:rFonts w:hint="eastAsia" w:ascii="宋体" w:hAnsi="宋体" w:eastAsia="宋体"/>
          <w:b w:val="0"/>
          <w:color w:val="000000"/>
          <w:sz w:val="22"/>
          <w:lang w:val="en-US" w:eastAsia="zh-CN"/>
        </w:rPr>
        <w:t>原</w:t>
      </w:r>
      <w:r>
        <w:rPr>
          <w:rFonts w:hint="eastAsia" w:ascii="宋体" w:hAnsi="宋体" w:eastAsia="宋体"/>
          <w:b w:val="0"/>
          <w:color w:val="000000"/>
          <w:sz w:val="22"/>
        </w:rPr>
        <w:t>每只摄像机投标价增加</w:t>
      </w:r>
      <w:r>
        <w:rPr>
          <w:rFonts w:hint="eastAsia" w:ascii="宋体" w:hAnsi="宋体" w:eastAsia="宋体"/>
          <w:b w:val="0"/>
          <w:color w:val="000000"/>
          <w:sz w:val="22"/>
          <w:lang w:val="en-US" w:eastAsia="zh-CN"/>
        </w:rPr>
        <w:t>11</w:t>
      </w:r>
      <w:r>
        <w:rPr>
          <w:rFonts w:hint="eastAsia" w:ascii="宋体" w:hAnsi="宋体" w:eastAsia="宋体"/>
          <w:b w:val="0"/>
          <w:color w:val="000000"/>
          <w:sz w:val="22"/>
        </w:rPr>
        <w:t>00元进行结算。</w:t>
      </w:r>
    </w:p>
    <w:p>
      <w:pPr>
        <w:spacing w:line="460" w:lineRule="exact"/>
        <w:ind w:firstLine="440" w:firstLineChars="200"/>
        <w:rPr>
          <w:rFonts w:hint="default" w:ascii="宋体" w:hAnsi="宋体" w:eastAsia="宋体"/>
          <w:b w:val="0"/>
          <w:color w:val="000000"/>
          <w:sz w:val="22"/>
          <w:lang w:val="en-US" w:eastAsia="zh-CN"/>
        </w:rPr>
      </w:pPr>
      <w:r>
        <w:rPr>
          <w:rFonts w:hint="eastAsia" w:ascii="宋体" w:hAnsi="宋体" w:eastAsia="宋体"/>
          <w:b w:val="0"/>
          <w:color w:val="000000"/>
          <w:sz w:val="22"/>
          <w:lang w:val="en-US" w:eastAsia="zh-CN"/>
        </w:rPr>
        <w:t>本项目所采购的云人脸集成服务，投标供应商在满足投标参数的基础上，建设过程如通过升级摄像机等方式实现双镜头人脸抓拍模式，每点可按投标价格增加600元进行结算。</w:t>
      </w:r>
    </w:p>
    <w:p>
      <w:pPr>
        <w:spacing w:line="460" w:lineRule="exact"/>
        <w:ind w:firstLine="440" w:firstLineChars="200"/>
        <w:rPr>
          <w:rFonts w:hint="eastAsia" w:ascii="宋体" w:hAnsi="宋体" w:eastAsia="宋体" w:cs="Times New Roman"/>
          <w:b w:val="0"/>
          <w:color w:val="000000"/>
          <w:sz w:val="22"/>
          <w:lang w:val="en-US" w:eastAsia="zh-CN"/>
        </w:rPr>
      </w:pPr>
      <w:r>
        <w:rPr>
          <w:rFonts w:hint="eastAsia" w:ascii="宋体" w:hAnsi="宋体" w:eastAsia="宋体" w:cs="Times New Roman"/>
          <w:b w:val="0"/>
          <w:color w:val="000000"/>
          <w:sz w:val="22"/>
        </w:rPr>
        <w:t>1.1.2</w:t>
      </w:r>
      <w:r>
        <w:rPr>
          <w:rFonts w:hint="eastAsia" w:ascii="宋体" w:hAnsi="宋体" w:eastAsia="宋体" w:cs="Times New Roman"/>
          <w:b w:val="0"/>
          <w:color w:val="000000"/>
          <w:sz w:val="22"/>
          <w:lang w:val="en-US" w:eastAsia="zh-CN"/>
        </w:rPr>
        <w:t xml:space="preserve"> 拟建区域使</w:t>
      </w:r>
      <w:r>
        <w:rPr>
          <w:rFonts w:hint="eastAsia" w:ascii="宋体" w:hAnsi="宋体" w:eastAsia="宋体" w:cs="Times New Roman"/>
          <w:b w:val="0"/>
          <w:color w:val="000000"/>
          <w:sz w:val="22"/>
        </w:rPr>
        <w:t>无物理隔离专网接入条件</w:t>
      </w:r>
      <w:r>
        <w:rPr>
          <w:rFonts w:hint="eastAsia" w:ascii="宋体" w:hAnsi="宋体" w:eastAsia="宋体" w:cs="Times New Roman"/>
          <w:b w:val="0"/>
          <w:color w:val="000000"/>
          <w:sz w:val="22"/>
          <w:lang w:val="en-US" w:eastAsia="zh-CN"/>
        </w:rPr>
        <w:t>，必须</w:t>
      </w:r>
      <w:r>
        <w:rPr>
          <w:rFonts w:hint="eastAsia" w:ascii="宋体" w:hAnsi="宋体" w:eastAsia="宋体" w:cs="Times New Roman"/>
          <w:b w:val="0"/>
          <w:color w:val="000000"/>
          <w:sz w:val="22"/>
        </w:rPr>
        <w:t>使用VPN专线建设接入</w:t>
      </w:r>
      <w:r>
        <w:rPr>
          <w:rFonts w:hint="eastAsia" w:ascii="宋体" w:hAnsi="宋体" w:eastAsia="宋体" w:cs="Times New Roman"/>
          <w:b w:val="0"/>
          <w:color w:val="000000"/>
          <w:sz w:val="22"/>
          <w:lang w:val="en-US" w:eastAsia="zh-CN"/>
        </w:rPr>
        <w:t>的说明。</w:t>
      </w:r>
    </w:p>
    <w:p>
      <w:pPr>
        <w:spacing w:line="460" w:lineRule="exact"/>
        <w:ind w:firstLine="440" w:firstLineChars="200"/>
        <w:rPr>
          <w:rFonts w:hint="default" w:ascii="宋体" w:hAnsi="宋体" w:eastAsia="宋体" w:cs="Times New Roman"/>
          <w:b w:val="0"/>
          <w:color w:val="000000"/>
          <w:sz w:val="22"/>
          <w:lang w:val="en-US" w:eastAsia="zh-CN"/>
        </w:rPr>
      </w:pPr>
      <w:r>
        <w:rPr>
          <w:rFonts w:hint="eastAsia" w:ascii="宋体" w:hAnsi="宋体" w:eastAsia="宋体" w:cs="Times New Roman"/>
          <w:b w:val="0"/>
          <w:color w:val="000000"/>
          <w:sz w:val="22"/>
          <w:lang w:val="en-US" w:eastAsia="zh-CN"/>
        </w:rPr>
        <w:t>本项目VPN专线点位建设的设计使用是在物理隔离专网点位建设方式无法实现全覆盖的基础上，可以使用本项目VPN专线点位进行覆盖，为此不排除在建设过程中，大量使用VPN专网点位进行覆盖，采购工程量的变更可能存在较大，投标供应商应注意投标风险， 且必须无条件满足采购人的具体设计需求。</w:t>
      </w:r>
    </w:p>
    <w:p>
      <w:pPr>
        <w:spacing w:line="460" w:lineRule="exact"/>
        <w:ind w:firstLine="440" w:firstLineChars="200"/>
        <w:rPr>
          <w:rFonts w:hint="eastAsia"/>
          <w:color w:val="000000"/>
        </w:rPr>
      </w:pPr>
      <w:r>
        <w:rPr>
          <w:rFonts w:hint="eastAsia" w:ascii="宋体" w:hAnsi="宋体" w:eastAsia="宋体" w:cs="Times New Roman"/>
          <w:b w:val="0"/>
          <w:color w:val="000000"/>
          <w:sz w:val="22"/>
        </w:rPr>
        <w:t>VPN专线点位建设</w:t>
      </w:r>
      <w:r>
        <w:rPr>
          <w:rFonts w:hint="eastAsia" w:ascii="宋体" w:hAnsi="宋体" w:eastAsia="宋体" w:cs="Times New Roman"/>
          <w:b w:val="0"/>
          <w:color w:val="000000"/>
          <w:sz w:val="22"/>
          <w:lang w:val="en-US" w:eastAsia="zh-CN"/>
        </w:rPr>
        <w:t>类型包括各标项的云监控集成服务及云人脸集成服务，其中云监控集成服务</w:t>
      </w:r>
      <w:r>
        <w:rPr>
          <w:rFonts w:hint="eastAsia" w:ascii="宋体" w:hAnsi="宋体" w:eastAsia="宋体" w:cs="Times New Roman"/>
          <w:b w:val="0"/>
          <w:color w:val="000000"/>
          <w:sz w:val="22"/>
        </w:rPr>
        <w:t>含网络租用、整体费用除存储外含安装、辅材、接入、电费、网络箱5年运维及5年网络服务等所有相关费用</w:t>
      </w:r>
      <w:r>
        <w:rPr>
          <w:rFonts w:hint="eastAsia" w:ascii="宋体" w:hAnsi="宋体" w:eastAsia="宋体" w:cs="Times New Roman"/>
          <w:b w:val="0"/>
          <w:color w:val="000000"/>
          <w:sz w:val="22"/>
          <w:lang w:eastAsia="zh-CN"/>
        </w:rPr>
        <w:t>，</w:t>
      </w:r>
      <w:r>
        <w:rPr>
          <w:rFonts w:hint="eastAsia" w:ascii="宋体" w:hAnsi="宋体" w:eastAsia="宋体" w:cs="Times New Roman"/>
          <w:b w:val="0"/>
          <w:color w:val="000000"/>
          <w:sz w:val="22"/>
          <w:lang w:val="en-US" w:eastAsia="zh-CN"/>
        </w:rPr>
        <w:t>投标报价</w:t>
      </w:r>
      <w:r>
        <w:rPr>
          <w:rFonts w:hint="eastAsia" w:ascii="宋体" w:hAnsi="宋体" w:eastAsia="宋体" w:cs="Times New Roman"/>
          <w:b w:val="0"/>
          <w:color w:val="000000"/>
          <w:sz w:val="22"/>
        </w:rPr>
        <w:t>不得超出4000元</w:t>
      </w:r>
      <w:r>
        <w:rPr>
          <w:rFonts w:hint="eastAsia" w:ascii="宋体" w:hAnsi="宋体" w:eastAsia="宋体" w:cs="Times New Roman"/>
          <w:b w:val="0"/>
          <w:color w:val="000000"/>
          <w:sz w:val="22"/>
          <w:lang w:eastAsia="zh-CN"/>
        </w:rPr>
        <w:t>；</w:t>
      </w:r>
      <w:r>
        <w:rPr>
          <w:rFonts w:hint="eastAsia" w:ascii="宋体" w:hAnsi="宋体" w:eastAsia="宋体" w:cs="Times New Roman"/>
          <w:b w:val="0"/>
          <w:color w:val="000000"/>
          <w:sz w:val="22"/>
          <w:lang w:val="en-US" w:eastAsia="zh-CN"/>
        </w:rPr>
        <w:t>云人脸集成服务</w:t>
      </w:r>
      <w:r>
        <w:rPr>
          <w:rFonts w:hint="eastAsia" w:ascii="宋体" w:hAnsi="宋体" w:eastAsia="宋体" w:cs="Times New Roman"/>
          <w:b w:val="0"/>
          <w:color w:val="000000"/>
          <w:sz w:val="22"/>
        </w:rPr>
        <w:t>含网络租用、整体费用除存储外含安装、辅材、接入、电费、网络箱5年运维及5年网络服务等所有相关费用</w:t>
      </w:r>
      <w:r>
        <w:rPr>
          <w:rFonts w:hint="eastAsia" w:ascii="宋体" w:hAnsi="宋体" w:eastAsia="宋体" w:cs="Times New Roman"/>
          <w:b w:val="0"/>
          <w:color w:val="000000"/>
          <w:sz w:val="22"/>
          <w:lang w:eastAsia="zh-CN"/>
        </w:rPr>
        <w:t>，</w:t>
      </w:r>
      <w:r>
        <w:rPr>
          <w:rFonts w:hint="eastAsia" w:ascii="宋体" w:hAnsi="宋体" w:eastAsia="宋体" w:cs="Times New Roman"/>
          <w:b w:val="0"/>
          <w:color w:val="000000"/>
          <w:sz w:val="22"/>
          <w:lang w:val="en-US" w:eastAsia="zh-CN"/>
        </w:rPr>
        <w:t>投标</w:t>
      </w:r>
      <w:r>
        <w:rPr>
          <w:rFonts w:hint="eastAsia" w:ascii="宋体" w:hAnsi="宋体" w:eastAsia="宋体" w:cs="Times New Roman"/>
          <w:b w:val="0"/>
          <w:color w:val="000000"/>
          <w:sz w:val="22"/>
        </w:rPr>
        <w:t>报价</w:t>
      </w:r>
      <w:r>
        <w:rPr>
          <w:rFonts w:hint="eastAsia" w:ascii="宋体" w:hAnsi="宋体" w:eastAsia="宋体" w:cs="Times New Roman"/>
          <w:b w:val="0"/>
          <w:color w:val="000000"/>
          <w:sz w:val="22"/>
          <w:lang w:val="en-US" w:eastAsia="zh-CN"/>
        </w:rPr>
        <w:t>分别</w:t>
      </w:r>
      <w:r>
        <w:rPr>
          <w:rFonts w:hint="eastAsia" w:ascii="宋体" w:hAnsi="宋体" w:eastAsia="宋体" w:cs="Times New Roman"/>
          <w:b w:val="0"/>
          <w:color w:val="000000"/>
          <w:sz w:val="22"/>
        </w:rPr>
        <w:t>不得超出</w:t>
      </w:r>
      <w:r>
        <w:rPr>
          <w:rFonts w:hint="eastAsia" w:ascii="宋体" w:hAnsi="宋体" w:eastAsia="宋体" w:cs="Times New Roman"/>
          <w:b w:val="0"/>
          <w:color w:val="000000"/>
          <w:sz w:val="22"/>
          <w:lang w:val="en-US" w:eastAsia="zh-CN"/>
        </w:rPr>
        <w:t>5400元</w:t>
      </w:r>
      <w:r>
        <w:rPr>
          <w:rFonts w:hint="eastAsia" w:ascii="宋体" w:hAnsi="宋体" w:eastAsia="宋体" w:cs="Times New Roman"/>
          <w:b w:val="0"/>
          <w:color w:val="000000"/>
          <w:sz w:val="22"/>
        </w:rPr>
        <w:t>。</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Times New Roman"/>
          <w:b w:val="0"/>
          <w:color w:val="000000"/>
          <w:sz w:val="22"/>
          <w:lang w:val="en-US" w:eastAsia="zh-CN"/>
        </w:rPr>
      </w:pPr>
      <w:r>
        <w:rPr>
          <w:rFonts w:hint="eastAsia" w:ascii="宋体" w:hAnsi="宋体" w:eastAsia="宋体" w:cs="Times New Roman"/>
          <w:b w:val="0"/>
          <w:color w:val="000000"/>
          <w:sz w:val="22"/>
        </w:rPr>
        <w:t>1.1.</w:t>
      </w:r>
      <w:r>
        <w:rPr>
          <w:rFonts w:hint="eastAsia" w:ascii="宋体" w:hAnsi="宋体" w:eastAsia="宋体" w:cs="Times New Roman"/>
          <w:b w:val="0"/>
          <w:color w:val="000000"/>
          <w:sz w:val="22"/>
          <w:lang w:val="en-US" w:eastAsia="zh-CN"/>
        </w:rPr>
        <w:t>3 云监控、云人脸集成服务点位服务期满后资产归属及拆除问题。</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宋体" w:hAnsi="宋体" w:eastAsia="宋体"/>
          <w:b w:val="0"/>
          <w:color w:val="000000"/>
          <w:sz w:val="22"/>
          <w:lang w:val="en-US" w:eastAsia="zh-CN"/>
        </w:rPr>
      </w:pPr>
      <w:r>
        <w:rPr>
          <w:rFonts w:hint="eastAsia" w:ascii="宋体" w:hAnsi="宋体" w:eastAsia="宋体" w:cs="Times New Roman"/>
          <w:b w:val="0"/>
          <w:color w:val="000000"/>
          <w:sz w:val="22"/>
          <w:lang w:val="en-US" w:eastAsia="zh-CN" w:bidi="ar-SA"/>
        </w:rPr>
        <w:t>本次项目采购的云监控、云人脸集成服务五年到期后，前端资产（摄像机、补光灯等设备）归属采购人。5年期满后如不予以改造，中标供应商应根据采购人要求，按需拆除，所有的费用已包含在本次招标项目中。</w:t>
      </w:r>
    </w:p>
    <w:p>
      <w:pPr>
        <w:pStyle w:val="2"/>
        <w:ind w:firstLine="440" w:firstLineChars="200"/>
        <w:rPr>
          <w:rFonts w:hint="eastAsia" w:ascii="宋体" w:hAnsi="宋体" w:eastAsia="宋体" w:cs="Times New Roman"/>
          <w:b w:val="0"/>
          <w:color w:val="000000"/>
          <w:sz w:val="22"/>
          <w:lang w:val="en-US" w:eastAsia="zh-CN" w:bidi="ar-SA"/>
        </w:rPr>
      </w:pPr>
      <w:r>
        <w:rPr>
          <w:rFonts w:hint="eastAsia" w:ascii="宋体" w:hAnsi="宋体" w:eastAsia="宋体" w:cs="Times New Roman"/>
          <w:b w:val="0"/>
          <w:color w:val="000000"/>
          <w:sz w:val="22"/>
          <w:lang w:val="en-US" w:eastAsia="zh-CN" w:bidi="ar-SA"/>
        </w:rPr>
        <w:t>1.1.4产品供货与投标检测报告关联说明</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投标供应商供货产品在投标时提供对应公安部检测报告时，应提供真实对应产品，采购人不排除通过拆机、交由第三方检测等方式确定真实性，对于认定虚假供货的产品所在项目，采购人将采取换新不退货等方式来保护合法权益，并依法提交相关部门惩处虚假投标行为。</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1.1.</w:t>
      </w:r>
      <w:r>
        <w:rPr>
          <w:rFonts w:hint="eastAsia" w:ascii="宋体" w:hAnsi="宋体" w:eastAsia="宋体"/>
          <w:b w:val="0"/>
          <w:color w:val="000000"/>
          <w:sz w:val="22"/>
          <w:lang w:val="en-US" w:eastAsia="zh-CN"/>
        </w:rPr>
        <w:t>5</w:t>
      </w:r>
      <w:r>
        <w:rPr>
          <w:rFonts w:hint="eastAsia" w:ascii="宋体" w:hAnsi="宋体" w:eastAsia="宋体"/>
          <w:b w:val="0"/>
          <w:color w:val="000000"/>
          <w:sz w:val="22"/>
        </w:rPr>
        <w:t>关于提供前端设备样机的相关要求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中标供应商中标后一个月内需提供与实际供货设备一致且正常使用的主要供货抓拍设备样机各一台（设备类型具体按采购人要求提供），如提供同一系列不同型号，默认性能参数一致，交由采购人保管。如项目在5年质保期内在出现疑似设备大面积出现不合理故障或性能衰退，样机将作为投标设备参照物提供检测数据或提供样图，设备可在项目五年质保期后返还</w:t>
      </w:r>
      <w:r>
        <w:rPr>
          <w:rFonts w:hint="eastAsia" w:ascii="宋体" w:hAnsi="宋体" w:eastAsia="宋体"/>
          <w:b w:val="0"/>
          <w:color w:val="000000"/>
          <w:sz w:val="22"/>
          <w:lang w:eastAsia="zh-CN"/>
        </w:rPr>
        <w:t>（</w:t>
      </w:r>
      <w:r>
        <w:rPr>
          <w:rFonts w:hint="eastAsia" w:ascii="宋体" w:hAnsi="宋体" w:eastAsia="宋体"/>
          <w:b w:val="0"/>
          <w:color w:val="000000"/>
          <w:sz w:val="22"/>
          <w:lang w:val="en-US" w:eastAsia="zh-CN"/>
        </w:rPr>
        <w:t>本项目如与其他项目一致的，其他项目已提供样品留存的，本次可以不予提供</w:t>
      </w:r>
      <w:r>
        <w:rPr>
          <w:rFonts w:hint="eastAsia" w:ascii="宋体" w:hAnsi="宋体" w:eastAsia="宋体"/>
          <w:b w:val="0"/>
          <w:color w:val="000000"/>
          <w:sz w:val="22"/>
          <w:lang w:eastAsia="zh-CN"/>
        </w:rPr>
        <w:t>）</w:t>
      </w:r>
      <w:r>
        <w:rPr>
          <w:rFonts w:hint="eastAsia" w:ascii="宋体" w:hAnsi="宋体" w:eastAsia="宋体"/>
          <w:b w:val="0"/>
          <w:color w:val="000000"/>
          <w:sz w:val="22"/>
        </w:rPr>
        <w:t>。</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1.2、视频存储要求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1.2.1视频存储总体要求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本项目所采购的视频存储，存储标准及时间为H264、4Mbps且不少于30天，同时车辆抓拍或人脸抓拍图像接入乐清公安局人脸识别实战平台（清风平台）库内。</w:t>
      </w:r>
    </w:p>
    <w:p>
      <w:pPr>
        <w:spacing w:line="460" w:lineRule="exact"/>
        <w:ind w:firstLine="440" w:firstLineChars="200"/>
        <w:rPr>
          <w:rFonts w:hint="eastAsia" w:ascii="宋体" w:hAnsi="宋体" w:eastAsia="宋体"/>
          <w:b w:val="0"/>
          <w:color w:val="000000"/>
          <w:sz w:val="22"/>
          <w:lang w:val="en-US" w:eastAsia="zh-CN"/>
        </w:rPr>
      </w:pPr>
      <w:r>
        <w:rPr>
          <w:rFonts w:hint="eastAsia" w:ascii="宋体" w:hAnsi="宋体" w:eastAsia="宋体"/>
          <w:b w:val="0"/>
          <w:color w:val="000000"/>
          <w:sz w:val="22"/>
        </w:rPr>
        <w:t>本项目的图片存储服务器、比对服务器及配套的硬盘需存放在乐清市公安局机房。视频存储服务器及配套硬盘需存放在中标供应商机房内</w:t>
      </w:r>
      <w:r>
        <w:rPr>
          <w:rFonts w:hint="eastAsia" w:ascii="宋体" w:hAnsi="宋体" w:eastAsia="宋体"/>
          <w:b w:val="0"/>
          <w:color w:val="000000"/>
          <w:sz w:val="22"/>
          <w:lang w:eastAsia="zh-CN"/>
        </w:rPr>
        <w:t>。</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1.2.2视频云存储要求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本次采购为新建云存储架构，供应商所投产品云存储跟云管理平台可以为不同品牌的，但应具备单独组云能力并接入总云平台统一管理，同时总平台应具备兼容其他品牌云节点接入，不同品牌均应开放接口。</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1.2.2视频存储利旧要求</w:t>
      </w:r>
    </w:p>
    <w:p>
      <w:pPr>
        <w:spacing w:line="460" w:lineRule="exact"/>
        <w:ind w:firstLine="440" w:firstLineChars="200"/>
        <w:rPr>
          <w:rFonts w:ascii="宋体" w:hAnsi="宋体" w:eastAsia="宋体"/>
          <w:color w:val="000000"/>
        </w:rPr>
      </w:pPr>
      <w:r>
        <w:rPr>
          <w:rFonts w:hint="eastAsia" w:ascii="宋体" w:hAnsi="宋体" w:eastAsia="宋体"/>
          <w:b w:val="0"/>
          <w:color w:val="000000"/>
          <w:sz w:val="22"/>
        </w:rPr>
        <w:t>本项目项目实施，每个标项均不排除根据项目需求进行实施存储利旧，利旧存储由采购人提供，并由中标供应商托管并接入公安视频专网网络内，及由采购人部署在指定机房里，相关实施的费用及维护费用已包含在每个标项中。</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1.3、视频专网技术要求</w:t>
      </w:r>
    </w:p>
    <w:p>
      <w:pPr>
        <w:spacing w:line="460" w:lineRule="exact"/>
        <w:ind w:firstLine="440" w:firstLineChars="200"/>
        <w:rPr>
          <w:rFonts w:hint="eastAsia" w:ascii="宋体" w:hAnsi="宋体" w:eastAsia="宋体"/>
          <w:b w:val="0"/>
          <w:color w:val="000000"/>
          <w:sz w:val="22"/>
        </w:rPr>
      </w:pPr>
      <w:r>
        <w:rPr>
          <w:rFonts w:hint="eastAsia" w:ascii="宋体" w:hAnsi="宋体" w:eastAsia="宋体"/>
          <w:b w:val="0"/>
          <w:color w:val="000000"/>
          <w:sz w:val="22"/>
        </w:rPr>
        <w:t>根据浙江省公安厅、温州市公安局的相关要求，此次建设的抓拍（监控点位）必须采用双网双平台的架构，使用公安视频专网及公安VPN视频专网，设备先接入乐清市公安视频专网共享平台，通过安全接入设备进公安信息网联网平台。中标供应商需提供接入所需的各类光纤传输线路和网络设备。</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标项中明确要求采用公安VPN视频专网需使用经过温州市公安局统一规划确认的</w:t>
      </w:r>
      <w:r>
        <w:rPr>
          <w:rFonts w:ascii="宋体" w:hAnsi="宋体" w:eastAsia="宋体"/>
          <w:b w:val="0"/>
          <w:color w:val="000000"/>
          <w:sz w:val="22"/>
        </w:rPr>
        <w:t>VPN专用链路</w:t>
      </w:r>
      <w:r>
        <w:rPr>
          <w:rFonts w:hint="eastAsia" w:ascii="宋体" w:hAnsi="宋体" w:eastAsia="宋体"/>
          <w:b w:val="0"/>
          <w:color w:val="000000"/>
          <w:sz w:val="22"/>
        </w:rPr>
        <w:t>，VPN专网除不采用物理隔离外，其他要求跟公安视频专网一致。</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公安视频专网必须与其他网络物理隔离，本项目全程采用光纤传输，根据实际情况可选择裸光纤组网或者</w:t>
      </w:r>
      <w:r>
        <w:rPr>
          <w:rFonts w:ascii="宋体" w:hAnsi="宋体" w:eastAsia="宋体"/>
          <w:b w:val="0"/>
          <w:color w:val="000000"/>
          <w:sz w:val="22"/>
        </w:rPr>
        <w:t>PON组网方式，</w:t>
      </w:r>
      <w:r>
        <w:rPr>
          <w:rFonts w:hint="eastAsia" w:ascii="宋体" w:hAnsi="宋体" w:eastAsia="宋体"/>
          <w:b w:val="0"/>
          <w:color w:val="000000"/>
          <w:sz w:val="22"/>
        </w:rPr>
        <w:t>使用的光网设备前端采用≥4电口网络设备适配器，</w:t>
      </w:r>
      <w:r>
        <w:rPr>
          <w:rFonts w:ascii="宋体" w:hAnsi="宋体" w:eastAsia="宋体"/>
          <w:b w:val="0"/>
          <w:color w:val="000000"/>
          <w:sz w:val="22"/>
        </w:rPr>
        <w:t>各网络提供商要保证所有网络设备专网专用，在工程交付时提供详细的网络拓扑图。网络提供商的OLT要提供网管接口，视频监控运维中心要实时监控OLT以及下联设备的网络状况。</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公安视频专网（含VPN专网）网络性能指标（网络时延、时延抖动、丢包率、包误差率）应达到《</w:t>
      </w:r>
      <w:r>
        <w:rPr>
          <w:rFonts w:ascii="宋体" w:hAnsi="宋体" w:eastAsia="宋体"/>
          <w:b w:val="0"/>
          <w:color w:val="000000"/>
          <w:sz w:val="22"/>
        </w:rPr>
        <w:t>YD/T 1171-2001 IP网络技术要求-网络性能参数与指标》中规定的0级服务质量等级。</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为满足接入点多个摄像头接入和后续扩展接入，本项目所采用的专网上联带宽应不小于100Mbps，满足该点位所有视频同时实时浏览、存储和业务扩展。</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中标供应商应提供双线聚合万兆带宽链路连接供应商和公安视频专网（包括公安VPN视频专网）的核心交换机，确保满足实战需要。</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本期建设的相关系统拍摄的图片、视频、数据须保证按照业主提供的标准有效接入乐清市公安局指定平台。其中视频、图像、数据通过视频专网或VPN专网汇聚后，集中存储于乐清市公安局指定机房。</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1.4、前端设备网络安全接入及数据安全要求</w:t>
      </w:r>
    </w:p>
    <w:p>
      <w:pPr>
        <w:spacing w:line="460" w:lineRule="exact"/>
        <w:ind w:firstLine="440" w:firstLineChars="200"/>
        <w:rPr>
          <w:rFonts w:hint="eastAsia" w:ascii="宋体" w:hAnsi="宋体" w:eastAsia="宋体"/>
          <w:b w:val="0"/>
          <w:bCs/>
          <w:color w:val="000000"/>
          <w:sz w:val="22"/>
        </w:rPr>
      </w:pPr>
      <w:r>
        <w:rPr>
          <w:rFonts w:hint="eastAsia" w:ascii="宋体" w:hAnsi="宋体" w:eastAsia="宋体"/>
          <w:b w:val="0"/>
          <w:bCs/>
          <w:color w:val="000000"/>
          <w:sz w:val="22"/>
        </w:rPr>
        <w:t>监控设备和系统必须严格遵循《公安信息通信网边界接入平台安全规范》（公科信[2011]5号）接入公安信息网络，同时接入本项目网络安全体系，数据必须符合公安保密安全要求，数据未经主管单位乐清市公安局同意不能挪作他用。</w:t>
      </w:r>
    </w:p>
    <w:p>
      <w:pPr>
        <w:spacing w:line="460" w:lineRule="exact"/>
        <w:ind w:firstLine="440" w:firstLineChars="200"/>
        <w:rPr>
          <w:rFonts w:ascii="宋体" w:hAnsi="宋体" w:eastAsia="宋体"/>
          <w:b w:val="0"/>
          <w:bCs/>
          <w:color w:val="000000"/>
          <w:sz w:val="22"/>
        </w:rPr>
      </w:pPr>
      <w:r>
        <w:rPr>
          <w:rFonts w:hint="eastAsia" w:ascii="宋体" w:hAnsi="宋体" w:eastAsia="宋体"/>
          <w:b w:val="0"/>
          <w:bCs/>
          <w:color w:val="000000"/>
          <w:sz w:val="22"/>
        </w:rPr>
        <w:t>为保护公民隐私及保护敏感公共区域视频图像安全，本项目采购的相关视频监控、人脸抓拍比对项目的数据存储介质（视频、图像存储硬盘为主）要求提供发生故障换新不返厂维修服务，故障设备交由采购人负责销毁。以上要求适用于投标供应商参与实施的乐清市所有类视频监控、人脸抓拍、智慧安防小区、智安单位等“雪亮工程”类项目，投标供应商如参与本项目投标，即认可并接受以上溯及既往条款，以上要求如涉及费用，均已含在本项目总体服务费用中，不再单独列项结算。维保期外的费用可以单独列项结算。</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1.5、机房要求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项目后端设备安装所需机房，原则上由采购人确定，并且机房及配套设施的相关费用已经包含在项目预算当中（技术配置表中已经列出），若针对本项目有网络架线、设备扩容等需求，由中标供应商解决，采购人不另外增加费用支出。</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1.6、杆件设计及立杆要求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监控点根据现场实际情况，可采用立杆安装、抱箍安装、壁挂安装以及吊杆安装等方式。其中抱箍、壁挂支架以及吊杆支架有成套产品，根据现场选择符合要求的产品即可。监控立杆设计需要考虑整体杆件的设计、立杆材质、杆型、焊接工艺、表面处理以及杆体颜色等。</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每个路口根据现场实际情况，确定立杆长度、基础大小和管线长度等，应尽量保证抓拍用摄像头能捕获最佳角度。</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6.5米杆件立杆、基础应符合DB33/T502-2018建设标准。同时本次采购的杆件，采购人将由</w:t>
      </w:r>
      <w:r>
        <w:rPr>
          <w:rFonts w:ascii="宋体" w:hAnsi="宋体" w:eastAsia="宋体"/>
          <w:b w:val="0"/>
          <w:color w:val="000000"/>
          <w:sz w:val="22"/>
        </w:rPr>
        <w:t>资质设计单位设计，出具设计图</w:t>
      </w:r>
      <w:r>
        <w:rPr>
          <w:rFonts w:hint="eastAsia" w:ascii="宋体" w:hAnsi="宋体" w:eastAsia="宋体"/>
          <w:b w:val="0"/>
          <w:color w:val="000000"/>
          <w:sz w:val="22"/>
        </w:rPr>
        <w:t>纸,本招标文件中涉及到的所有杆件与最终设计图纸不一致的，以最终设计为准，如标准超出此次招标要求的，中标方无条件履行合同，采购人不再增加相关费用。</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本项目所采购的杆件质保要求至少10年。</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1.6.1 杆件设计要求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整根杆(含基础)及其上配件应能抗台风袭击和行驶车辆的碰撞。立柱、法兰盘、抱箍、抱箍底衬、柱帽、加劲肋及连接螺栓、螺母、垫圈等钢铁件采用热浸镀锌进行防锈处理，所有的对接焊缝和贴角焊缝，其厚度和强度应与被焊构件相等，开口、边角、焊缝应打磨光滑，防止毛刺割伤人体或线材。使用过程中不会倾斜或倒塌。</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根据点位摄像头数量和架设方向的不同采用抱杆、L型、T型和多角立杆。</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没有立杆安装条件的巷口等区域可以设置挑杆或者在墙面进行安装。</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具体点位根据实地情况选择其他规格的立杆，建设过程中项目可以根据现场的实际变化对应设计及安装可以进行合理的变更。</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在立杆施工前需要做好以下工作：</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安装时要做好安全工作，必要时请当地交警协助操作指挥交通；</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清理地笼钢挡板上平面的水泥残留物，检查主筋螺纹是否完好、洁净；</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备齐杆体连接用的配件，准备一些杆体抄平用的垫铁；</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备齐专用工具和材料，如扳手、水平尺、钢丝绳、大绳、镀锌铁线等。</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杆件通用参数</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立杆装好摄像机后在≤12级风时应不晃动，保障监控输出图像不抖动。</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杆件采用Q235材质，焊接应采用自动合缝埋弧焊接，焊缝均匀，连续美观，渗透强，一次成型。</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杆件应无锈蚀现象，加工完毕做整体热镀锌处理。镀锌层表面应光滑美观，无褶皱、流坠及锌瘤、起皮、斑点、阴阳面缺陷存在。热镀锌按国家标准。立杆的防雷接地电阻应≤10Ω。</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立杆底部使用法兰盘/螺栓与基础固定，电源线和光缆从立杆底部进入，底部螺栓、螺丝应使用防腐高强度材料。</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1.7、机箱设计及参数</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尺寸：650mm×450mm×210mm，至少满足三个摄像机配接的要求，采用304不锈钢材质，喷塑处理，箱体厚度要求不小于1.2mm，机箱防护等级不低于IP54，箱体和配件采用防锈材质或防锈处理，5年内不得出现锈蚀或明显老化现象；进线孔采用密封处理，底部进线，配进缆夹头、压缆配件、熔纤盘等；机箱内部布局合理、模块化清晰，强电部分要进行区域绝缘隔离；所有机箱内部设备都需要安装固定，不得松散摆放；设备连接均要配置专业的接插件，设计目标是保证安全可靠的同时要求施工高效、质量可靠、维修方便；喷醒目的“公安监控”、警徽、定制编码、承建商名称及联系方式，保证5年内雨淋、日晒不脱落、不会明显褪色；箱体外观和内部布局设计方案出具图纸（含拾音器开孔设计），并经采购人审核认可；户外网络箱应提供额外电源输出接口用于公安业务拓展。</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1.8、补光灯设计及参数</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本项目采用无极灯及LED、氙气灯三种光源，技术标准参照CJJ45-2006《城市道路照明设计标准》</w:t>
      </w:r>
      <w:r>
        <w:rPr>
          <w:rFonts w:hint="eastAsia" w:ascii="宋体" w:hAnsi="宋体" w:eastAsia="宋体" w:cs="Times New Roman"/>
          <w:b w:val="0"/>
          <w:bCs/>
          <w:color w:val="000000"/>
          <w:sz w:val="22"/>
        </w:rPr>
        <w:t>，《交通技术监控成像补光装置通用技术条件》（GA/T 1202-2022）</w:t>
      </w:r>
      <w:r>
        <w:rPr>
          <w:rFonts w:hint="eastAsia" w:ascii="宋体" w:hAnsi="宋体" w:eastAsia="宋体"/>
          <w:b w:val="0"/>
          <w:color w:val="000000"/>
          <w:sz w:val="22"/>
        </w:rPr>
        <w:t>，所有环境补光设备不得影响驾驶人行驶安全，必需避免光污染。</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补光部分要求：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1、摄像头布点时应考虑最大限度利用已有光源。</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2、治安监控应使用稳定的连续照明设备，不得使用高频、频闪等设备。</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3、辅助光源安装位置及角度应避免对摄像头（抓拍机）的正常摄录或抓拍产生干扰。</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4、室内环境补光应配合环境合理选择照度等级，与环境相适应。</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1.9、前端防雷接地设计</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由于项目所在地雷雨多发，为了保证设备的安全，本项目需全面考虑整个监控网络的防雷问题，特别是前端设备的防雷。</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前端摄像头电源一般使用AC24V或DC12V，由摄像头电源适配器供电的，单相电源避雷器应串联或并联在变压器前端，如直流电源传输距离大于15米，则摄像头端还应串接低压直流避雷器。</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本项目所采用的所有机箱，均需在里面配置防浪涌功能的插座，交流电源经配置的插座引接入设备箱使用。</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本项目应严格执行国家的有关标准和规范，立杆防雷接地电阻≤10Ω。</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中标供应商应在项目进入试运行阶段之前，应自行采购经采购人确定过的电阻检测设备，实施检测采集并提供给采购人所有点位的接地电阻数据，采集过程及采集结果需提供图像等材料佐证以确保真实可信。</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1.10、前端设备供电设计</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系统前端设备通常采用两种供电方式，一种是集中供电，另一种是就近取电。本项目采取就近取电的方式为前端设备来进行供电。各摄像头终端在就近的公共供电网络取电，引到设备箱使用，保证引入部分电源线路的漏电及防雷防护。中标供应商在建设实施过程，应优先考虑申请独立电表确保取电长期稳定，中标供应商在运维期内不能以临时取电点位停止供电理由申请无责延期理由。</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1.11、防鼠要求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本项目内、外场土建工程部分，应当采取一切必要的工程措施、并落实相关管理规定，杜绝鼠害威胁，具体包括：</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1）要做好窖井、机箱、杆件、管线、机房等区域的密封工作，严防对外漏洞；</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2）要严格落实设备安装、维护规定，切实杜绝施工、维护期间井盖闭合不严、机柜关闭不严等问题。</w:t>
      </w:r>
    </w:p>
    <w:p>
      <w:pPr>
        <w:spacing w:line="460" w:lineRule="exact"/>
        <w:ind w:firstLine="440" w:firstLineChars="200"/>
        <w:rPr>
          <w:rFonts w:ascii="宋体" w:hAnsi="宋体" w:eastAsia="宋体"/>
          <w:b w:val="0"/>
          <w:color w:val="000000"/>
          <w:sz w:val="22"/>
        </w:rPr>
      </w:pPr>
      <w:r>
        <w:rPr>
          <w:rFonts w:ascii="宋体" w:hAnsi="宋体" w:eastAsia="宋体"/>
          <w:b w:val="0"/>
          <w:color w:val="000000"/>
          <w:sz w:val="22"/>
        </w:rPr>
        <w:t>1.12</w:t>
      </w:r>
      <w:r>
        <w:rPr>
          <w:rFonts w:hint="eastAsia" w:ascii="宋体" w:hAnsi="宋体" w:eastAsia="宋体"/>
          <w:b w:val="0"/>
          <w:color w:val="000000"/>
          <w:sz w:val="22"/>
        </w:rPr>
        <w:t>、</w:t>
      </w:r>
      <w:r>
        <w:rPr>
          <w:rFonts w:ascii="宋体" w:hAnsi="宋体" w:eastAsia="宋体"/>
          <w:b w:val="0"/>
          <w:color w:val="000000"/>
          <w:sz w:val="22"/>
        </w:rPr>
        <w:t>拾音器相关要求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本项目所采购的摄像机及配套存储应支持拾音器采录功能，根据项目招标要求对照配备拾音器，并在温州市视频监控共享平台（</w:t>
      </w:r>
      <w:r>
        <w:rPr>
          <w:rFonts w:ascii="宋体" w:hAnsi="宋体" w:eastAsia="宋体"/>
          <w:b w:val="0"/>
          <w:color w:val="000000"/>
          <w:sz w:val="22"/>
        </w:rPr>
        <w:t>V3）</w:t>
      </w:r>
      <w:r>
        <w:rPr>
          <w:rFonts w:hint="eastAsia" w:ascii="宋体" w:hAnsi="宋体" w:eastAsia="宋体"/>
          <w:b w:val="0"/>
          <w:color w:val="000000"/>
          <w:sz w:val="22"/>
        </w:rPr>
        <w:t>及其他相关核心实战平台上实现</w:t>
      </w:r>
      <w:r>
        <w:rPr>
          <w:rFonts w:ascii="宋体" w:hAnsi="宋体" w:eastAsia="宋体"/>
          <w:b w:val="0"/>
          <w:color w:val="000000"/>
          <w:sz w:val="22"/>
        </w:rPr>
        <w:t>实时播放及录像播放场景下正常播放音频</w:t>
      </w:r>
      <w:r>
        <w:rPr>
          <w:rFonts w:hint="eastAsia" w:ascii="宋体" w:hAnsi="宋体" w:eastAsia="宋体"/>
          <w:b w:val="0"/>
          <w:color w:val="000000"/>
          <w:sz w:val="22"/>
        </w:rPr>
        <w:t>功能</w:t>
      </w:r>
      <w:r>
        <w:rPr>
          <w:rFonts w:ascii="宋体" w:hAnsi="宋体" w:eastAsia="宋体"/>
          <w:b w:val="0"/>
          <w:color w:val="000000"/>
          <w:sz w:val="22"/>
        </w:rPr>
        <w:t>。</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2、其他要求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2.1、点位设计及点位确认</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本项目招标前未进行逐点设计，中标供应商在落地施工前，应完成现场勘验、设计资料制作、点位核定等点位施工设计落地流程工作。</w:t>
      </w:r>
      <w:r>
        <w:rPr>
          <w:rFonts w:hint="eastAsia" w:ascii="宋体" w:hAnsi="宋体" w:eastAsia="宋体"/>
          <w:color w:val="000000"/>
          <w:sz w:val="22"/>
        </w:rPr>
        <w:t>每个标项的中标供应商应具备独立设计能力，精准满足建设需求，提升建设效率，在点位设计阶段，需采购并使用正式授权的专用视频监控设计软件，对每个点位的最优杆件横挑、视角、像素进行精准设计</w:t>
      </w:r>
      <w:r>
        <w:rPr>
          <w:rFonts w:hint="eastAsia" w:ascii="宋体" w:hAnsi="宋体" w:eastAsia="宋体"/>
          <w:b w:val="0"/>
          <w:color w:val="000000"/>
          <w:sz w:val="22"/>
        </w:rPr>
        <w:t>。最终每个点位建设落地前建设方案需由采购人审核确定，每个点位必须按设计方案施工。</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各个标项的实际前端建设所采用的前端设备、杆件等数量，最终落地时不排除部分点位因道路规划、功能调整、点位设计变更、审批等原因进行调整，最终每个点位变更需由采购人审核确定；</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对于因工艺难度大、施工成本高等原因造成施工难的点位在经采购人确定设计后原则上不得予以更改或调换点位，中标供应商应自行克服相关影响工程实施的困难，对于确实无法实施的，经采购人评估后同意才能予以变更。</w:t>
      </w:r>
    </w:p>
    <w:p>
      <w:pPr>
        <w:spacing w:line="460" w:lineRule="exact"/>
        <w:ind w:firstLine="440" w:firstLineChars="200"/>
        <w:rPr>
          <w:rFonts w:hint="eastAsia" w:ascii="宋体" w:hAnsi="宋体" w:eastAsia="宋体"/>
          <w:b w:val="0"/>
          <w:color w:val="000000"/>
          <w:sz w:val="22"/>
        </w:rPr>
      </w:pPr>
      <w:r>
        <w:rPr>
          <w:rFonts w:hint="eastAsia" w:ascii="宋体" w:hAnsi="宋体" w:eastAsia="宋体"/>
          <w:b w:val="0"/>
          <w:color w:val="000000"/>
          <w:sz w:val="22"/>
        </w:rPr>
        <w:t>中标供应商在确认安装或联网接入点位时应以拍照等形式固定，同时按照《跨区域视频监控联网共享技术规范》（</w:t>
      </w:r>
      <w:r>
        <w:rPr>
          <w:rFonts w:ascii="宋体" w:hAnsi="宋体" w:eastAsia="宋体"/>
          <w:b w:val="0"/>
          <w:color w:val="000000"/>
          <w:sz w:val="22"/>
        </w:rPr>
        <w:t>DB33/T629</w:t>
      </w:r>
      <w:r>
        <w:rPr>
          <w:rFonts w:hint="eastAsia" w:ascii="宋体" w:hAnsi="宋体" w:eastAsia="宋体"/>
          <w:b w:val="0"/>
          <w:color w:val="000000"/>
          <w:sz w:val="22"/>
        </w:rPr>
        <w:t>-</w:t>
      </w:r>
      <w:r>
        <w:rPr>
          <w:rFonts w:ascii="宋体" w:hAnsi="宋体" w:eastAsia="宋体"/>
          <w:b w:val="0"/>
          <w:color w:val="000000"/>
          <w:sz w:val="22"/>
        </w:rPr>
        <w:t>2007</w:t>
      </w:r>
      <w:r>
        <w:rPr>
          <w:rFonts w:hint="eastAsia" w:ascii="宋体" w:hAnsi="宋体" w:eastAsia="宋体"/>
          <w:b w:val="0"/>
          <w:color w:val="000000"/>
          <w:sz w:val="22"/>
        </w:rPr>
        <w:t>）要求完成点位的编码工作、按照警用地理信息系统数据库视频监控图层数据的要求提供点位精确的经、纬度、通道编号等数据。</w:t>
      </w:r>
    </w:p>
    <w:p>
      <w:pPr>
        <w:spacing w:line="460" w:lineRule="exact"/>
        <w:ind w:firstLine="440" w:firstLineChars="200"/>
        <w:rPr>
          <w:rFonts w:ascii="宋体" w:hAnsi="宋体" w:eastAsia="宋体"/>
          <w:color w:val="000000"/>
        </w:rPr>
      </w:pPr>
      <w:r>
        <w:rPr>
          <w:rFonts w:hint="eastAsia" w:ascii="宋体" w:hAnsi="宋体" w:eastAsia="宋体"/>
          <w:b w:val="0"/>
          <w:color w:val="000000"/>
          <w:sz w:val="22"/>
        </w:rPr>
        <w:t>2.2、安装、调试、资质要求</w:t>
      </w:r>
    </w:p>
    <w:p>
      <w:pPr>
        <w:spacing w:line="460" w:lineRule="exact"/>
        <w:ind w:firstLine="440" w:firstLineChars="200"/>
        <w:rPr>
          <w:rFonts w:hint="default" w:ascii="宋体" w:hAnsi="宋体" w:eastAsia="宋体"/>
          <w:color w:val="000000"/>
          <w:sz w:val="22"/>
          <w:lang w:val="en-US" w:eastAsia="zh-CN"/>
        </w:rPr>
      </w:pPr>
      <w:r>
        <w:rPr>
          <w:rFonts w:hint="eastAsia" w:ascii="宋体" w:hAnsi="宋体" w:eastAsia="宋体"/>
          <w:b w:val="0"/>
          <w:color w:val="000000"/>
          <w:sz w:val="22"/>
        </w:rPr>
        <w:t>道路开挖审批、接电等由中标供应商负责，采购人协助，费用含在本项建设中标价中；设备的安装必须符合有关标准和规范，中标供应商必需由具备相关施工资质的队伍负责项目施工。设备安装就位、校准后，具备试运行条件后，中标供应商应按提交完工报告给采购人并启动初验工作，初验通过后开始至少连续一个月以上的系统试运行，并做好试运行记录</w:t>
      </w:r>
      <w:r>
        <w:rPr>
          <w:rFonts w:hint="eastAsia" w:ascii="宋体" w:hAnsi="宋体" w:eastAsia="宋体"/>
          <w:color w:val="000000"/>
          <w:sz w:val="22"/>
        </w:rPr>
        <w:t>，试运行条件需达到在线并调试完毕95%点位以上，对于工程复杂标项或子项目，采购人视情可以决定延长试运行时间。</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2.3、现场施工监察、道路、绿化开挖及复原、文明施工</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道路、绿化开挖和复原标准必须按政府相关部门的恢复要求执行，必须承诺设立该修复费用专项资金，做到专款专用，建设期及运维服务期间如接到相关部门投诉不及时规范处置，按2000元/次进行扣款。</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所有进入立杆点位的光电线路原则上采用地埋方式，从窨井进入杆件到达箱体，如因客观条件无法实现的，需报监理及采购人审核审批。</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安全文明施工制度：施工安全技术管理应遵照GB 50870、GB/T28181-2016和 GB50348-2018以及当地市政、道路交通、交警等相关主管部门的相关要求。业主、监理、政府监管部门等发现承建方及下属施工队违反以上文明规范施工要求的，按200元/次进行扣款。施工人员及现场巡查人员必须佩戴安全帽、穿反光背心，登高作业人员必须佩戴安全带等防护装置，施工作业时必须按要求在醒目位置设置围挡和警示牌、警示灯。现场泥土及施工垃圾必须及时清理，不能留余土过夜，确实无法当天处理的，按规范要求处置，摆放在围挡内，隔天进行清运。</w:t>
      </w:r>
    </w:p>
    <w:p>
      <w:pPr>
        <w:spacing w:line="460" w:lineRule="exact"/>
        <w:ind w:firstLine="440" w:firstLineChars="200"/>
        <w:rPr>
          <w:rFonts w:ascii="宋体" w:hAnsi="宋体" w:eastAsia="宋体"/>
          <w:b w:val="0"/>
          <w:color w:val="000000"/>
          <w:sz w:val="22"/>
        </w:rPr>
      </w:pPr>
      <w:r>
        <w:rPr>
          <w:rFonts w:ascii="宋体" w:hAnsi="宋体" w:eastAsia="宋体"/>
          <w:b w:val="0"/>
          <w:color w:val="000000"/>
          <w:sz w:val="22"/>
        </w:rPr>
        <w:t>本项目总价中包含安全措施和一切风险责任费用，在工程供货、施工、安装、维护等过程中发生的安全问题均由中标供应商负责。</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施工过程要严格按照有关规范，杆件、网络箱安装整齐，走线规范、布线整洁，标签标识规范、美观、完整。借杆及借墙点位线缆敷设时必须套相应的</w:t>
      </w:r>
      <w:r>
        <w:rPr>
          <w:rFonts w:ascii="宋体" w:hAnsi="宋体" w:eastAsia="宋体"/>
          <w:b w:val="0"/>
          <w:color w:val="000000"/>
          <w:sz w:val="22"/>
        </w:rPr>
        <w:t>PVC管及PE软管，整体管线敷设符合规范要求并考虑整体美观。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点位竣工时要提供完整的基础资料，包括网络箱编号、经纬度、摄像机类型、监控目标区域属性、设备清单、网络拓扑、现场照片、摄像机的原始朝向（水平、垂直）角度等；</w:t>
      </w:r>
    </w:p>
    <w:p>
      <w:pPr>
        <w:spacing w:line="460" w:lineRule="exact"/>
        <w:ind w:firstLine="440" w:firstLineChars="200"/>
        <w:rPr>
          <w:rFonts w:ascii="宋体" w:hAnsi="宋体" w:eastAsia="宋体"/>
          <w:color w:val="000000"/>
        </w:rPr>
      </w:pPr>
      <w:r>
        <w:rPr>
          <w:rFonts w:hint="eastAsia" w:ascii="宋体" w:hAnsi="宋体" w:eastAsia="宋体"/>
          <w:b w:val="0"/>
          <w:color w:val="000000"/>
          <w:sz w:val="22"/>
        </w:rPr>
        <w:t>整体施工过程，采购人不排除通过部署现场施工监控设备等方式对前端施工情况进行巡查，中标供应商应全面配合满足采购人现场监管要求，对于配合不到位的，每次视情扣200-500元。</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2.4、竣工验收</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w:t>
      </w:r>
      <w:r>
        <w:rPr>
          <w:rFonts w:ascii="宋体" w:hAnsi="宋体" w:eastAsia="宋体"/>
          <w:b w:val="0"/>
          <w:color w:val="000000"/>
          <w:sz w:val="22"/>
        </w:rPr>
        <w:t>.</w:t>
      </w:r>
      <w:r>
        <w:rPr>
          <w:rFonts w:hint="eastAsia" w:ascii="宋体" w:hAnsi="宋体" w:eastAsia="宋体"/>
          <w:b w:val="0"/>
          <w:color w:val="000000"/>
          <w:sz w:val="22"/>
        </w:rPr>
        <w:t>4</w:t>
      </w:r>
      <w:r>
        <w:rPr>
          <w:rFonts w:ascii="宋体" w:hAnsi="宋体" w:eastAsia="宋体"/>
          <w:b w:val="0"/>
          <w:color w:val="000000"/>
          <w:sz w:val="22"/>
        </w:rPr>
        <w:t>.1</w:t>
      </w:r>
      <w:r>
        <w:rPr>
          <w:rFonts w:hint="eastAsia" w:ascii="宋体" w:hAnsi="宋体" w:eastAsia="宋体"/>
          <w:b w:val="0"/>
          <w:color w:val="000000"/>
          <w:sz w:val="22"/>
        </w:rPr>
        <w:t>、系统调试开通后至少连续试运行一个月无故障或一个月试运行内已发现的故障和隐患均已全部排除（复杂标项及子项目可按需延长）。所有的技术资料和图纸已向采购人提交并被接受后，采购人应及时组织验收，验收合格后，出具验收合格证明。验收由技术验收、施工验收和资料审查三部分内容组成。系统验收应执行相关安防行业法规、政策、行业标准及本项目合同的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w:t>
      </w:r>
      <w:r>
        <w:rPr>
          <w:rFonts w:ascii="宋体" w:hAnsi="宋体" w:eastAsia="宋体"/>
          <w:b w:val="0"/>
          <w:color w:val="000000"/>
          <w:sz w:val="22"/>
        </w:rPr>
        <w:t>.</w:t>
      </w:r>
      <w:r>
        <w:rPr>
          <w:rFonts w:hint="eastAsia" w:ascii="宋体" w:hAnsi="宋体" w:eastAsia="宋体"/>
          <w:b w:val="0"/>
          <w:color w:val="000000"/>
          <w:sz w:val="22"/>
        </w:rPr>
        <w:t>4</w:t>
      </w:r>
      <w:r>
        <w:rPr>
          <w:rFonts w:ascii="宋体" w:hAnsi="宋体" w:eastAsia="宋体"/>
          <w:b w:val="0"/>
          <w:color w:val="000000"/>
          <w:sz w:val="22"/>
        </w:rPr>
        <w:t>.2</w:t>
      </w:r>
      <w:r>
        <w:rPr>
          <w:rFonts w:hint="eastAsia" w:ascii="宋体" w:hAnsi="宋体" w:eastAsia="宋体"/>
          <w:b w:val="0"/>
          <w:color w:val="000000"/>
          <w:sz w:val="22"/>
        </w:rPr>
        <w:t>、若因中标供应商产品质量或安装技术问题导致验收不合格，中标供应商应及时予以处理，直至验收合格，期间发生的一切相关费用由中标供应商承担，采购人保留向中标供应商索赔的权利。</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w:t>
      </w:r>
      <w:r>
        <w:rPr>
          <w:rFonts w:ascii="宋体" w:hAnsi="宋体" w:eastAsia="宋体"/>
          <w:b w:val="0"/>
          <w:color w:val="000000"/>
          <w:sz w:val="22"/>
        </w:rPr>
        <w:t>.</w:t>
      </w:r>
      <w:r>
        <w:rPr>
          <w:rFonts w:hint="eastAsia" w:ascii="宋体" w:hAnsi="宋体" w:eastAsia="宋体"/>
          <w:b w:val="0"/>
          <w:color w:val="000000"/>
          <w:sz w:val="22"/>
        </w:rPr>
        <w:t>4</w:t>
      </w:r>
      <w:r>
        <w:rPr>
          <w:rFonts w:ascii="宋体" w:hAnsi="宋体" w:eastAsia="宋体"/>
          <w:b w:val="0"/>
          <w:color w:val="000000"/>
          <w:sz w:val="22"/>
        </w:rPr>
        <w:t>.</w:t>
      </w:r>
      <w:r>
        <w:rPr>
          <w:rFonts w:hint="eastAsia" w:ascii="宋体" w:hAnsi="宋体" w:eastAsia="宋体"/>
          <w:b w:val="0"/>
          <w:color w:val="000000"/>
          <w:sz w:val="22"/>
        </w:rPr>
        <w:t>3、本次招标的货物如涉及国家规定强制认证的，供应商未在投标文件偏离表中用明显字体予以声明的，均视为供应商投标产品符合了</w:t>
      </w:r>
      <w:r>
        <w:rPr>
          <w:rFonts w:ascii="宋体" w:hAnsi="宋体" w:eastAsia="宋体"/>
          <w:b w:val="0"/>
          <w:color w:val="000000"/>
          <w:sz w:val="22"/>
        </w:rPr>
        <w:t>强制认证规定</w:t>
      </w:r>
      <w:r>
        <w:rPr>
          <w:rFonts w:hint="eastAsia" w:ascii="宋体" w:hAnsi="宋体" w:eastAsia="宋体"/>
          <w:b w:val="0"/>
          <w:color w:val="000000"/>
          <w:sz w:val="22"/>
        </w:rPr>
        <w:t>（如工业产品生产许可证，</w:t>
      </w:r>
      <w:r>
        <w:rPr>
          <w:rFonts w:ascii="宋体" w:hAnsi="宋体" w:eastAsia="宋体"/>
          <w:b w:val="0"/>
          <w:color w:val="000000"/>
          <w:sz w:val="22"/>
        </w:rPr>
        <w:t>3C认证</w:t>
      </w:r>
      <w:r>
        <w:rPr>
          <w:rFonts w:hint="eastAsia" w:ascii="宋体" w:hAnsi="宋体" w:eastAsia="宋体"/>
          <w:b w:val="0"/>
          <w:color w:val="000000"/>
          <w:sz w:val="22"/>
        </w:rPr>
        <w:t>等）</w:t>
      </w:r>
      <w:r>
        <w:rPr>
          <w:rFonts w:ascii="宋体" w:hAnsi="宋体" w:eastAsia="宋体"/>
          <w:b w:val="0"/>
          <w:color w:val="000000"/>
          <w:sz w:val="22"/>
        </w:rPr>
        <w:t>，中标供应商须在采购人对上述</w:t>
      </w:r>
      <w:r>
        <w:rPr>
          <w:rFonts w:hint="eastAsia" w:ascii="宋体" w:hAnsi="宋体" w:eastAsia="宋体"/>
          <w:b w:val="0"/>
          <w:color w:val="000000"/>
          <w:sz w:val="22"/>
        </w:rPr>
        <w:t>货物</w:t>
      </w:r>
      <w:r>
        <w:rPr>
          <w:rFonts w:ascii="宋体" w:hAnsi="宋体" w:eastAsia="宋体"/>
          <w:b w:val="0"/>
          <w:color w:val="000000"/>
          <w:sz w:val="22"/>
        </w:rPr>
        <w:t>验收时提供相关证书证明资料（上述</w:t>
      </w:r>
      <w:r>
        <w:rPr>
          <w:rFonts w:hint="eastAsia" w:ascii="宋体" w:hAnsi="宋体" w:eastAsia="宋体"/>
          <w:b w:val="0"/>
          <w:color w:val="000000"/>
          <w:sz w:val="22"/>
        </w:rPr>
        <w:t>产品</w:t>
      </w:r>
      <w:r>
        <w:rPr>
          <w:rFonts w:ascii="宋体" w:hAnsi="宋体" w:eastAsia="宋体"/>
          <w:b w:val="0"/>
          <w:color w:val="000000"/>
          <w:sz w:val="22"/>
        </w:rPr>
        <w:t>相关强制认证的证明文件投标时不需提供</w:t>
      </w:r>
      <w:r>
        <w:rPr>
          <w:rFonts w:hint="eastAsia" w:ascii="宋体" w:hAnsi="宋体" w:eastAsia="宋体"/>
          <w:b w:val="0"/>
          <w:color w:val="000000"/>
          <w:sz w:val="22"/>
        </w:rPr>
        <w:t>，招标文件另有要求的除外</w:t>
      </w:r>
      <w:r>
        <w:rPr>
          <w:rFonts w:ascii="宋体" w:hAnsi="宋体" w:eastAsia="宋体"/>
          <w:b w:val="0"/>
          <w:color w:val="000000"/>
          <w:sz w:val="22"/>
        </w:rPr>
        <w:t>），否则</w:t>
      </w:r>
      <w:r>
        <w:rPr>
          <w:rFonts w:hint="eastAsia" w:ascii="宋体" w:hAnsi="宋体" w:eastAsia="宋体"/>
          <w:b w:val="0"/>
          <w:color w:val="000000"/>
          <w:sz w:val="22"/>
        </w:rPr>
        <w:t>按</w:t>
      </w:r>
      <w:r>
        <w:rPr>
          <w:rFonts w:ascii="宋体" w:hAnsi="宋体" w:eastAsia="宋体"/>
          <w:b w:val="0"/>
          <w:color w:val="000000"/>
          <w:sz w:val="22"/>
        </w:rPr>
        <w:t>验收不能通过</w:t>
      </w:r>
      <w:r>
        <w:rPr>
          <w:rFonts w:hint="eastAsia" w:ascii="宋体" w:hAnsi="宋体" w:eastAsia="宋体"/>
          <w:b w:val="0"/>
          <w:color w:val="000000"/>
          <w:sz w:val="22"/>
        </w:rPr>
        <w:t>，采购人给予退货、解除合同或经采购人同意换货</w:t>
      </w:r>
      <w:r>
        <w:rPr>
          <w:rFonts w:ascii="宋体" w:hAnsi="宋体" w:eastAsia="宋体"/>
          <w:b w:val="0"/>
          <w:color w:val="000000"/>
          <w:sz w:val="22"/>
        </w:rPr>
        <w:t>处理，</w:t>
      </w:r>
      <w:r>
        <w:rPr>
          <w:rFonts w:hint="eastAsia" w:ascii="宋体" w:hAnsi="宋体" w:eastAsia="宋体"/>
          <w:b w:val="0"/>
          <w:color w:val="000000"/>
          <w:sz w:val="22"/>
        </w:rPr>
        <w:t>中标供应商自行承担由此造成的损失</w:t>
      </w:r>
      <w:r>
        <w:rPr>
          <w:rFonts w:ascii="宋体" w:hAnsi="宋体" w:eastAsia="宋体"/>
          <w:b w:val="0"/>
          <w:color w:val="000000"/>
          <w:sz w:val="22"/>
        </w:rPr>
        <w:t>。</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2.4.4、因以上条款因素导致工期延误的，采购人有权在支付合同款时进行扣款，采购人有权向供应商依法索赔。</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2.5、项目监理</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整个项目从点位勘查到竣工验收及运维过程由第三方监理公司全程监理，在工程竣工验收之前出具详细的监理报告。</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2.6、项目精细化管理</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为确保本项目项目管理科学高效实施，明确以下相关要求：</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2.6.1、文档资料整理及提交制度：资料员应根据项目实施进程及时协调并组织各职能人员整理和收集相应的文档资料，在采购人和监理单位的规定时间内提交审核确认，如不及时提交则经采购人确认按500元/次进行扣款。</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2.6.2、监理工作联系及监理通知单回复等监理指令性文件（含运维期间）的回复及执行制度：监理工作联系单及通知单等监理指令性文件必须在监理单位要求的规定时间内回复并按计划执行，如不及时回复或不及时执行的，经采购人确认后按500元/次进行扣款；对于实施过程中采购人或监理单位发现的问题，如重复出现类似问题，经采购人确认后按500-5000元/次（根据严重程度调整）进行扣款。</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2.6.3、施工单位项目经理工作要求及考核：本工程项目经理要做好人员、质量、进度、设备采购、文档审核和组织协调等方面的管理，在投标文件中必须提供对人员团队的详细考核制度，特别是对现场巡查人员的考核制度，要求配备对应数量的现场巡查人员，负责各区块施工队的进度、质量、施工安全文明的各项检查任务，做好与监理负责人的对接工作，项目经理必须每周对片区现场巡查人员进行考核，并在每周例会上提交经审核确认的考核表、上周进度检查表和下周工作进度计划交采</w:t>
      </w:r>
      <w:r>
        <w:rPr>
          <w:rFonts w:hint="eastAsia" w:ascii="宋体" w:hAnsi="宋体" w:eastAsia="宋体"/>
          <w:color w:val="000000"/>
          <w:sz w:val="22"/>
        </w:rPr>
        <w:t>购人和监理单位审核，如不及时提交经采购人确认后则按500元/次进行扣款。</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2.6.4、施工单位现场巡查工作要求及考核：现场巡查记录表的检查内容必须由技术负责人根据标书、合同、设计方案及相关规范要求制定，内容必须涵盖（检查事项、存在问题、整改措施、复查记录）等方面，且巡查记录表必须有技术负责人的审核确认意见及签字，要求图文结合， 必须及时提交，否则经</w:t>
      </w:r>
      <w:r>
        <w:rPr>
          <w:rFonts w:hint="eastAsia" w:ascii="宋体" w:hAnsi="宋体" w:eastAsia="宋体"/>
          <w:color w:val="000000"/>
          <w:sz w:val="22"/>
        </w:rPr>
        <w:t>采购人确认后</w:t>
      </w:r>
      <w:r>
        <w:rPr>
          <w:rFonts w:hint="eastAsia" w:ascii="宋体" w:hAnsi="宋体" w:eastAsia="宋体"/>
          <w:b w:val="0"/>
          <w:color w:val="000000"/>
          <w:sz w:val="22"/>
        </w:rPr>
        <w:t>按500元/次进行扣款。</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2.6.5、项目开工、延期、完工周期管控。中标供应商应保证其按承诺的建设进度计划执行。因中标供应商原因延误开工的，中标供应商应向采购人按1万元/天支付违约金，在支付相应阶段合同金额中扣除。若开工日期延误超过2个月的，采购人有权终止合同，中标供应商应全额退还前期采购人支付给中标供应商的相应款项，所有损失由中标供应商承担。若中标供应商未能按规定的时间完工并通过验收（包括各批次验收时间节点要求），中标供应商应向采购人按中标金额的0.05%/天支付违约金，在支付相应款项中扣除。若项目完工时间延误超过3个月的（不可抗力等因素除外），采购人有权终止合同，中标供应商应退还前期采购人支付给中标供应商的相应款项，损失由中标供应商自负。因不可抗力、政策审批等非主观问题造成延期的，经双方协商同意延期，不计入相关扣款或增项。</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项目中标后，中标供应商应按照采购人要求立即组织现场勘点设计及前期相关设备采购，工程施工工期以开工令发布当日起算，若中标供应商在开工之前因不提供足够勘点力量等主观错误造成施工工期延期（需经采购人确定）的，由其自行承担超期责任。</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项目整体工期每延期一个月按照月平均监理费的80%支付延期监理费。当月延期不超过15日的不需支付当月延期监理费，超过15日至30日的按月收取延期监理费，且延期费用不得超过单项监理费的50%，延期监理费用需经采购人审核确认后由本项目中标供应商支付。</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2.6.6、材料、设备到货检查及报验管控。材料、设备到货后必须先由技术负责人进行自检，签证自检确认书后报监理单位验收，在监理验收时必须提供设备清单、自检确认书及相关质量证明文件（合格证、检测报告、入网许可证等），否则监理有权拒绝验收，相关材料、设备不得进场，造成的后果由中标供应商承担。</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2.7、技术服务和人员培训</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项目运行维护期内，用户向中标供应商告知故障，中标供应商负责对出现故障的所有设备免费维修和更换，并提供终身优惠维修保养服务，每次维修都将形成的记录，为用户建立一套完整的运行记录。</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提供系统日巡检服务，确保每台服务器稳定；服务器出现异常情况应在</w:t>
      </w:r>
      <w:r>
        <w:rPr>
          <w:rFonts w:ascii="宋体" w:hAnsi="宋体" w:eastAsia="宋体"/>
          <w:b w:val="0"/>
          <w:color w:val="000000"/>
          <w:lang w:val="en-US" w:eastAsia="zh-CN"/>
        </w:rPr>
        <w:t>8</w:t>
      </w:r>
      <w:r>
        <w:rPr>
          <w:rFonts w:hint="eastAsia" w:ascii="宋体" w:hAnsi="宋体" w:eastAsia="宋体"/>
          <w:b w:val="0"/>
          <w:color w:val="000000"/>
          <w:lang w:val="en-US" w:eastAsia="zh-CN"/>
        </w:rPr>
        <w:t>小时内解决。</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要定期对整个系统进行巡检清洁，遇重大活动和重要保障任务时，接到采购人的通知时应立即进行检修保障，对系统存在的潜在安全或故障隐患进行分析并提出相应的解决方案加以排除。</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提供每周</w:t>
      </w:r>
      <w:r>
        <w:rPr>
          <w:rFonts w:ascii="宋体" w:hAnsi="宋体" w:eastAsia="宋体"/>
          <w:b w:val="0"/>
          <w:color w:val="000000"/>
          <w:lang w:val="en-US" w:eastAsia="zh-CN"/>
        </w:rPr>
        <w:t>7</w:t>
      </w:r>
      <w:r>
        <w:rPr>
          <w:rFonts w:hint="eastAsia" w:ascii="宋体" w:hAnsi="宋体" w:eastAsia="宋体"/>
          <w:b w:val="0"/>
          <w:color w:val="000000"/>
          <w:lang w:val="en-US" w:eastAsia="zh-CN"/>
        </w:rPr>
        <w:t>×</w:t>
      </w:r>
      <w:r>
        <w:rPr>
          <w:rFonts w:ascii="宋体" w:hAnsi="宋体" w:eastAsia="宋体"/>
          <w:b w:val="0"/>
          <w:color w:val="000000"/>
          <w:lang w:val="en-US" w:eastAsia="zh-CN"/>
        </w:rPr>
        <w:t>24</w:t>
      </w:r>
      <w:r>
        <w:rPr>
          <w:rFonts w:hint="eastAsia" w:ascii="宋体" w:hAnsi="宋体" w:eastAsia="宋体"/>
          <w:b w:val="0"/>
          <w:color w:val="000000"/>
          <w:lang w:val="en-US" w:eastAsia="zh-CN"/>
        </w:rPr>
        <w:t>小时电话技术服务、技术咨询或现场技术服务。</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提供系统所有故障排除服务，确保系统进行实时、有效的视频探测、视频监视，图像显示、记录与回放。</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提供系统及网络现状测试和评估服务，为客户远程网络视频监控系统提供详细系统测试报告。</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运行维护服务期内免费提供设备软件升级服务，在网络和设备扩容及软件升级时，中标供应商需派技术人员到场免费实施或指导。</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在系统验收时，中标供应商为用户提供详细的施工文档、设备操作使用指南和维护手册、以及详细的安装调试文档，并提供文档更新服务。</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在设备投入运行后，如对系统软件有所改进，增加新功能，将免费为采购人提供使用。</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中标供应商在用户所在地能提供长期售后服务配套设施。</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设备安装、调试结束后，中标供应商应立即派有经验的工程师对采购人的人员进行操作和日常管理的培训，并确保采购人参与培训的人员能独立、熟练地进行操作。</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中标供应商需对采购人、施工队伍、运维队伍等主体提供全面培训，培训内容由采购人根据项目建设需求确定，培训内容一般包括样板点位建设、规范施工、前端安装、后端调试、安全防范、维护保养等方面内容，培训所需费用包含在投标报价内。</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2.8、运维及相关应急、安全要求</w:t>
      </w:r>
    </w:p>
    <w:p>
      <w:pPr>
        <w:pStyle w:val="149"/>
        <w:spacing w:line="460" w:lineRule="exact"/>
        <w:ind w:firstLine="440" w:firstLineChars="200"/>
        <w:rPr>
          <w:rFonts w:ascii="宋体" w:hAnsi="宋体" w:eastAsia="宋体"/>
          <w:color w:val="000000"/>
          <w:lang w:val="en-US" w:eastAsia="zh-CN"/>
        </w:rPr>
      </w:pPr>
      <w:r>
        <w:rPr>
          <w:rFonts w:hint="eastAsia" w:ascii="宋体" w:hAnsi="宋体" w:eastAsia="宋体"/>
          <w:b w:val="0"/>
          <w:color w:val="000000"/>
          <w:lang w:val="en-US" w:eastAsia="zh-CN"/>
        </w:rPr>
        <w:t xml:space="preserve">2.8.1 </w:t>
      </w:r>
      <w:r>
        <w:rPr>
          <w:rFonts w:hint="eastAsia" w:ascii="宋体" w:hAnsi="宋体" w:eastAsia="宋体"/>
          <w:color w:val="000000"/>
          <w:lang w:val="en-US" w:eastAsia="zh-CN"/>
        </w:rPr>
        <w:t>运维服务期总体说明</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系统建设完成通过验收后进入</w:t>
      </w:r>
      <w:r>
        <w:rPr>
          <w:rFonts w:ascii="宋体" w:hAnsi="宋体" w:eastAsia="宋体"/>
          <w:b w:val="0"/>
          <w:color w:val="000000"/>
          <w:lang w:val="en-US" w:eastAsia="zh-CN"/>
        </w:rPr>
        <w:t>运维服务期和5年的软硬件产品质保期</w:t>
      </w:r>
      <w:r>
        <w:rPr>
          <w:rFonts w:hint="eastAsia" w:ascii="宋体" w:hAnsi="宋体" w:eastAsia="宋体"/>
          <w:b w:val="0"/>
          <w:color w:val="000000"/>
          <w:lang w:val="en-US" w:eastAsia="zh-CN"/>
        </w:rPr>
        <w:t>（招标文件另有规定的除外）</w:t>
      </w:r>
      <w:r>
        <w:rPr>
          <w:rFonts w:ascii="宋体" w:hAnsi="宋体" w:eastAsia="宋体"/>
          <w:b w:val="0"/>
          <w:color w:val="000000"/>
          <w:lang w:val="en-US" w:eastAsia="zh-CN"/>
        </w:rPr>
        <w:t>，运维服务期内运行维护包括前端设备维护、系统监控与维护。</w:t>
      </w:r>
      <w:r>
        <w:rPr>
          <w:rFonts w:hint="eastAsia" w:ascii="宋体" w:hAnsi="宋体" w:eastAsia="宋体"/>
          <w:b w:val="0"/>
          <w:color w:val="000000"/>
          <w:lang w:val="en-US" w:eastAsia="zh-CN"/>
        </w:rPr>
        <w:t>中标</w:t>
      </w:r>
      <w:r>
        <w:rPr>
          <w:rFonts w:ascii="宋体" w:hAnsi="宋体" w:eastAsia="宋体"/>
          <w:b w:val="0"/>
          <w:color w:val="000000"/>
          <w:lang w:val="en-US" w:eastAsia="zh-CN"/>
        </w:rPr>
        <w:t>供应商确保</w:t>
      </w:r>
      <w:r>
        <w:rPr>
          <w:rFonts w:hint="eastAsia" w:ascii="宋体" w:hAnsi="宋体" w:eastAsia="宋体"/>
          <w:b w:val="0"/>
          <w:color w:val="000000"/>
          <w:lang w:val="en-US" w:eastAsia="zh-CN"/>
        </w:rPr>
        <w:t>整体</w:t>
      </w:r>
      <w:r>
        <w:rPr>
          <w:rFonts w:ascii="宋体" w:hAnsi="宋体" w:eastAsia="宋体"/>
          <w:b w:val="0"/>
          <w:color w:val="000000"/>
          <w:lang w:val="en-US" w:eastAsia="zh-CN"/>
        </w:rPr>
        <w:t>系统的正常运行和维护工作，建立详实可行运维方案、制度以及应急措施；建立专业</w:t>
      </w:r>
      <w:r>
        <w:rPr>
          <w:rFonts w:hint="eastAsia" w:ascii="宋体" w:hAnsi="宋体" w:eastAsia="宋体"/>
          <w:b w:val="0"/>
          <w:color w:val="000000"/>
          <w:lang w:val="en-US" w:eastAsia="zh-CN"/>
        </w:rPr>
        <w:t>、</w:t>
      </w:r>
      <w:r>
        <w:rPr>
          <w:rFonts w:ascii="宋体" w:hAnsi="宋体" w:eastAsia="宋体"/>
          <w:b w:val="0"/>
          <w:color w:val="000000"/>
          <w:lang w:val="en-US" w:eastAsia="zh-CN"/>
        </w:rPr>
        <w:t>运维团队，每天针对各前端设备开展巡检，并建立巡检台帐，每季度各前端巡检和卫生清理、系统微调一次，每半年对各前端系统进行一次全系统调试；建立运行维护汇报制度，每月形成运维月报和每年形成</w:t>
      </w:r>
      <w:r>
        <w:rPr>
          <w:rFonts w:hint="eastAsia" w:ascii="宋体" w:hAnsi="宋体" w:eastAsia="宋体"/>
          <w:b w:val="0"/>
          <w:color w:val="000000"/>
          <w:lang w:val="en-US" w:eastAsia="zh-CN"/>
        </w:rPr>
        <w:t>设备</w:t>
      </w:r>
      <w:r>
        <w:rPr>
          <w:rFonts w:ascii="宋体" w:hAnsi="宋体" w:eastAsia="宋体"/>
          <w:b w:val="0"/>
          <w:color w:val="000000"/>
          <w:lang w:val="en-US" w:eastAsia="zh-CN"/>
        </w:rPr>
        <w:t>运维年报。本项目</w:t>
      </w:r>
      <w:r>
        <w:rPr>
          <w:rFonts w:hint="eastAsia" w:ascii="宋体" w:hAnsi="宋体" w:eastAsia="宋体"/>
          <w:b w:val="0"/>
          <w:color w:val="000000"/>
          <w:lang w:val="en-US" w:eastAsia="zh-CN"/>
        </w:rPr>
        <w:t>摄像</w:t>
      </w:r>
      <w:r>
        <w:rPr>
          <w:rFonts w:ascii="宋体" w:hAnsi="宋体" w:eastAsia="宋体"/>
          <w:b w:val="0"/>
          <w:color w:val="000000"/>
          <w:lang w:val="en-US" w:eastAsia="zh-CN"/>
        </w:rPr>
        <w:t>机、网络箱、</w:t>
      </w:r>
      <w:r>
        <w:rPr>
          <w:rFonts w:hint="eastAsia" w:ascii="宋体" w:hAnsi="宋体" w:eastAsia="宋体"/>
          <w:b w:val="0"/>
          <w:color w:val="000000"/>
          <w:lang w:val="en-US" w:eastAsia="zh-CN"/>
        </w:rPr>
        <w:t>光网设备</w:t>
      </w:r>
      <w:r>
        <w:rPr>
          <w:rFonts w:ascii="宋体" w:hAnsi="宋体" w:eastAsia="宋体"/>
          <w:b w:val="0"/>
          <w:color w:val="000000"/>
          <w:lang w:val="en-US" w:eastAsia="zh-CN"/>
        </w:rPr>
        <w:t>等前端设备以及</w:t>
      </w:r>
      <w:r>
        <w:rPr>
          <w:rFonts w:hint="eastAsia" w:ascii="宋体" w:hAnsi="宋体" w:eastAsia="宋体"/>
          <w:b w:val="0"/>
          <w:color w:val="000000"/>
          <w:lang w:val="en-US" w:eastAsia="zh-CN"/>
        </w:rPr>
        <w:t>服务器</w:t>
      </w:r>
      <w:r>
        <w:rPr>
          <w:rFonts w:ascii="宋体" w:hAnsi="宋体" w:eastAsia="宋体"/>
          <w:b w:val="0"/>
          <w:color w:val="000000"/>
          <w:lang w:val="en-US" w:eastAsia="zh-CN"/>
        </w:rPr>
        <w:t>等软</w:t>
      </w:r>
      <w:r>
        <w:rPr>
          <w:rFonts w:hint="eastAsia" w:ascii="宋体" w:hAnsi="宋体" w:eastAsia="宋体"/>
          <w:b w:val="0"/>
          <w:color w:val="000000"/>
          <w:lang w:val="en-US" w:eastAsia="zh-CN"/>
        </w:rPr>
        <w:t>硬件设备质保期为</w:t>
      </w:r>
      <w:r>
        <w:rPr>
          <w:rFonts w:ascii="宋体" w:hAnsi="宋体" w:eastAsia="宋体"/>
          <w:b w:val="0"/>
          <w:color w:val="000000"/>
          <w:lang w:val="en-US" w:eastAsia="zh-CN"/>
        </w:rPr>
        <w:t>5年</w:t>
      </w:r>
      <w:r>
        <w:rPr>
          <w:rFonts w:hint="eastAsia" w:ascii="宋体" w:hAnsi="宋体" w:eastAsia="宋体"/>
          <w:b w:val="0"/>
          <w:color w:val="000000"/>
          <w:lang w:val="en-US" w:eastAsia="zh-CN"/>
        </w:rPr>
        <w:t>（招标文件另有规定的除外）</w:t>
      </w:r>
      <w:r>
        <w:rPr>
          <w:rFonts w:ascii="宋体" w:hAnsi="宋体" w:eastAsia="宋体"/>
          <w:b w:val="0"/>
          <w:color w:val="000000"/>
          <w:lang w:val="en-US" w:eastAsia="zh-CN"/>
        </w:rPr>
        <w:t>，要确保</w:t>
      </w:r>
      <w:r>
        <w:rPr>
          <w:rFonts w:hint="eastAsia" w:ascii="宋体" w:hAnsi="宋体" w:eastAsia="宋体"/>
          <w:b w:val="0"/>
          <w:color w:val="000000"/>
          <w:lang w:val="en-US" w:eastAsia="zh-CN"/>
        </w:rPr>
        <w:t>5</w:t>
      </w:r>
      <w:r>
        <w:rPr>
          <w:rFonts w:ascii="宋体" w:hAnsi="宋体" w:eastAsia="宋体"/>
          <w:b w:val="0"/>
          <w:color w:val="000000"/>
          <w:lang w:val="en-US" w:eastAsia="zh-CN"/>
        </w:rPr>
        <w:t>年内正常稳定运行。运维服务期满</w:t>
      </w:r>
      <w:r>
        <w:rPr>
          <w:rFonts w:hint="eastAsia" w:ascii="宋体" w:hAnsi="宋体" w:eastAsia="宋体"/>
          <w:b w:val="0"/>
          <w:color w:val="000000"/>
          <w:lang w:val="en-US" w:eastAsia="zh-CN"/>
        </w:rPr>
        <w:t>，</w:t>
      </w:r>
      <w:r>
        <w:rPr>
          <w:rFonts w:ascii="宋体" w:hAnsi="宋体" w:eastAsia="宋体"/>
          <w:b w:val="0"/>
          <w:color w:val="000000"/>
          <w:lang w:val="en-US" w:eastAsia="zh-CN"/>
        </w:rPr>
        <w:t>双方无异议</w:t>
      </w:r>
      <w:r>
        <w:rPr>
          <w:rFonts w:hint="eastAsia" w:ascii="宋体" w:hAnsi="宋体" w:eastAsia="宋体"/>
          <w:b w:val="0"/>
          <w:color w:val="000000"/>
          <w:lang w:val="en-US" w:eastAsia="zh-CN"/>
        </w:rPr>
        <w:t>，</w:t>
      </w:r>
      <w:r>
        <w:rPr>
          <w:rFonts w:ascii="宋体" w:hAnsi="宋体" w:eastAsia="宋体"/>
          <w:b w:val="0"/>
          <w:color w:val="000000"/>
          <w:lang w:val="en-US" w:eastAsia="zh-CN"/>
        </w:rPr>
        <w:t>则续签运维服务合同</w:t>
      </w:r>
      <w:r>
        <w:rPr>
          <w:rFonts w:hint="eastAsia" w:ascii="宋体" w:hAnsi="宋体" w:eastAsia="宋体"/>
          <w:b w:val="0"/>
          <w:color w:val="000000"/>
          <w:lang w:val="en-US" w:eastAsia="zh-CN"/>
        </w:rPr>
        <w:t>，</w:t>
      </w:r>
      <w:r>
        <w:rPr>
          <w:rFonts w:ascii="宋体" w:hAnsi="宋体" w:eastAsia="宋体"/>
          <w:b w:val="0"/>
          <w:color w:val="000000"/>
          <w:lang w:val="en-US" w:eastAsia="zh-CN"/>
        </w:rPr>
        <w:t>费用参照本次投标中标金额</w:t>
      </w:r>
      <w:r>
        <w:rPr>
          <w:rFonts w:hint="eastAsia" w:ascii="宋体" w:hAnsi="宋体" w:eastAsia="宋体"/>
          <w:b w:val="0"/>
          <w:color w:val="000000"/>
          <w:lang w:val="en-US" w:eastAsia="zh-CN"/>
        </w:rPr>
        <w:t>，后续运维服务费用按年度于运维服务期满后结算支付。</w:t>
      </w:r>
      <w:r>
        <w:rPr>
          <w:rFonts w:hint="eastAsia" w:ascii="宋体" w:hAnsi="宋体" w:eastAsia="宋体" w:cs="宋体"/>
          <w:color w:val="000000"/>
          <w:lang w:val="en-US" w:eastAsia="zh-CN"/>
        </w:rPr>
        <w:t>各标项所有参与运维的车辆也必须安装由采购人可统一管理的卫星</w:t>
      </w:r>
      <w:r>
        <w:rPr>
          <w:rFonts w:hint="eastAsia" w:ascii="宋体" w:hAnsi="宋体" w:eastAsia="宋体" w:cs="宋体"/>
          <w:color w:val="000000"/>
        </w:rPr>
        <w:t>定位装置</w:t>
      </w:r>
      <w:r>
        <w:rPr>
          <w:rFonts w:hint="eastAsia" w:ascii="宋体" w:hAnsi="宋体" w:eastAsia="宋体" w:cs="宋体"/>
          <w:color w:val="000000"/>
          <w:lang w:eastAsia="zh-CN"/>
        </w:rPr>
        <w:t>。</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2.8.2 运维服务期要求及扣款规则</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中标供应商要确保本项目所有应用系统月平均在线率、可用率达到采购人考核要求。如果因非不可抗力造成月平均在线率、可用率达不到考核标准，采购人将视实际违约情况对中标供应商实施扣罚。</w:t>
      </w:r>
    </w:p>
    <w:p>
      <w:pPr>
        <w:pStyle w:val="149"/>
        <w:spacing w:line="460" w:lineRule="exact"/>
        <w:ind w:firstLine="442" w:firstLineChars="200"/>
        <w:rPr>
          <w:rFonts w:ascii="宋体" w:hAnsi="宋体" w:eastAsia="宋体"/>
          <w:color w:val="000000"/>
          <w:lang w:val="en-US" w:eastAsia="zh-CN"/>
        </w:rPr>
      </w:pPr>
      <w:r>
        <w:rPr>
          <w:rFonts w:hint="eastAsia" w:ascii="宋体" w:hAnsi="宋体" w:eastAsia="宋体"/>
          <w:color w:val="000000"/>
          <w:lang w:val="en-US" w:eastAsia="zh-CN"/>
        </w:rPr>
        <w:t>每日在线率、出图率考核监管，前端设备（包含视频监控、人脸识别抓拍、卡口抓拍）的在线率及出图率要求高于97%（指数范围包括中标供应商所有乐清在建公安雪亮工程监管点位，不包含云监控），存量高于4000路的中标供应商 ，在线率、出图率每低1%扣费0.5万元每天，存量低于4000路的中标供应商，正常率每低1%扣费0.3万元每天。采购人因工作需要中标供应商无法提供录像（前端设备故障在修、停电等已报修情况除外）附加扣除金额0.1万元每摄像机，存储维护不到位导致整机录像丢失事情扣除1万至5万。</w:t>
      </w:r>
      <w:r>
        <w:rPr>
          <w:rFonts w:hint="eastAsia" w:ascii="宋体" w:hAnsi="宋体" w:eastAsia="宋体"/>
          <w:b w:val="0"/>
          <w:color w:val="000000"/>
          <w:lang w:val="en-US" w:eastAsia="zh-CN"/>
        </w:rPr>
        <w:t>前端设备（含摄像机类、网络箱等）清洁每年至少两次（擦拭时间提前报备采购人同意，采集过程需举证）</w:t>
      </w:r>
      <w:r>
        <w:rPr>
          <w:rFonts w:ascii="宋体" w:hAnsi="宋体" w:eastAsia="宋体"/>
          <w:b w:val="0"/>
          <w:color w:val="000000"/>
          <w:lang w:val="en-US" w:eastAsia="zh-CN"/>
        </w:rPr>
        <w:t>，确保摄像机图像质量清晰。</w:t>
      </w:r>
      <w:r>
        <w:rPr>
          <w:rFonts w:hint="eastAsia" w:ascii="宋体" w:hAnsi="宋体" w:eastAsia="宋体"/>
          <w:b w:val="0"/>
          <w:color w:val="000000"/>
          <w:lang w:val="en-US" w:eastAsia="zh-CN"/>
        </w:rPr>
        <w:t>遇重大活动和重要保障任务时，接采购人通知时应立即进行巡检和擦拭，对系统存在的潜在安全或故障隐患进行分析并提出相应的解决方案加以排除。</w:t>
      </w:r>
      <w:r>
        <w:rPr>
          <w:rFonts w:ascii="宋体" w:hAnsi="宋体" w:eastAsia="宋体"/>
          <w:b w:val="0"/>
          <w:color w:val="000000"/>
          <w:lang w:val="en-US" w:eastAsia="zh-CN"/>
        </w:rPr>
        <w:t>未及时完成设备清洁的每次每</w:t>
      </w:r>
      <w:r>
        <w:rPr>
          <w:rFonts w:hint="eastAsia" w:ascii="宋体" w:hAnsi="宋体" w:eastAsia="宋体"/>
          <w:b w:val="0"/>
          <w:color w:val="000000"/>
          <w:lang w:val="en-US" w:eastAsia="zh-CN"/>
        </w:rPr>
        <w:t>路摄像机（单路按单只摄像机计）</w:t>
      </w:r>
      <w:r>
        <w:rPr>
          <w:rFonts w:ascii="宋体" w:hAnsi="宋体" w:eastAsia="宋体"/>
          <w:b w:val="0"/>
          <w:color w:val="000000"/>
          <w:lang w:val="en-US" w:eastAsia="zh-CN"/>
        </w:rPr>
        <w:t>扣费</w:t>
      </w:r>
      <w:r>
        <w:rPr>
          <w:rFonts w:hint="eastAsia" w:ascii="宋体" w:hAnsi="宋体" w:eastAsia="宋体"/>
          <w:b w:val="0"/>
          <w:color w:val="000000"/>
          <w:lang w:val="en-US" w:eastAsia="zh-CN"/>
        </w:rPr>
        <w:t>35</w:t>
      </w:r>
      <w:r>
        <w:rPr>
          <w:rFonts w:ascii="宋体" w:hAnsi="宋体" w:eastAsia="宋体"/>
          <w:b w:val="0"/>
          <w:color w:val="000000"/>
          <w:lang w:val="en-US" w:eastAsia="zh-CN"/>
        </w:rPr>
        <w:t>元。</w:t>
      </w:r>
      <w:r>
        <w:rPr>
          <w:rFonts w:hint="eastAsia" w:ascii="宋体" w:hAnsi="宋体" w:eastAsia="宋体"/>
          <w:b w:val="0"/>
          <w:color w:val="000000"/>
          <w:lang w:val="en-US" w:eastAsia="zh-CN"/>
        </w:rPr>
        <w:t>采购人人工或者委托监理发现的，每个点加扣100元/次。重点点位未按时修复的（修复时间由采购人根据实际情况设定），每日每点加扣200元，</w:t>
      </w:r>
      <w:r>
        <w:rPr>
          <w:rFonts w:ascii="宋体" w:hAnsi="宋体" w:eastAsia="宋体"/>
          <w:b w:val="0"/>
          <w:color w:val="000000"/>
          <w:lang w:val="en-US" w:eastAsia="zh-CN"/>
        </w:rPr>
        <w:t>杆件、网络箱等辅助设备出现外观破损、变异等非功能性损伤的应在</w:t>
      </w:r>
      <w:r>
        <w:rPr>
          <w:rFonts w:hint="eastAsia" w:ascii="宋体" w:hAnsi="宋体" w:eastAsia="宋体"/>
          <w:b w:val="0"/>
          <w:color w:val="000000"/>
          <w:lang w:val="en-US" w:eastAsia="zh-CN"/>
        </w:rPr>
        <w:t>24</w:t>
      </w:r>
      <w:r>
        <w:rPr>
          <w:rFonts w:ascii="宋体" w:hAnsi="宋体" w:eastAsia="宋体"/>
          <w:b w:val="0"/>
          <w:color w:val="000000"/>
          <w:lang w:val="en-US" w:eastAsia="zh-CN"/>
        </w:rPr>
        <w:t>小时内予以修复或恢复原状，确保整体外观整齐美观，超时修复的，按照10元/天/点的标准扣费。</w:t>
      </w:r>
      <w:r>
        <w:rPr>
          <w:rFonts w:hint="eastAsia" w:ascii="宋体" w:hAnsi="宋体" w:eastAsia="宋体"/>
          <w:color w:val="000000"/>
          <w:lang w:val="en-US" w:eastAsia="zh-CN"/>
        </w:rPr>
        <w:t>重点点位维护不到位，被上级考核扣分的，每点每次加扣1000元。</w:t>
      </w:r>
      <w:r>
        <w:rPr>
          <w:rFonts w:hint="eastAsia" w:ascii="宋体" w:hAnsi="宋体" w:eastAsia="宋体"/>
          <w:b w:val="0"/>
          <w:color w:val="000000"/>
          <w:lang w:val="en-US" w:eastAsia="zh-CN"/>
        </w:rPr>
        <w:t>因中标供应商原因违反公安网络信息安全规定而造成</w:t>
      </w:r>
      <w:r>
        <w:rPr>
          <w:rFonts w:ascii="宋体" w:hAnsi="宋体" w:eastAsia="宋体"/>
          <w:b w:val="0"/>
          <w:color w:val="000000"/>
          <w:lang w:val="en-US" w:eastAsia="zh-CN"/>
        </w:rPr>
        <w:t xml:space="preserve"> </w:t>
      </w:r>
      <w:r>
        <w:rPr>
          <w:rFonts w:hint="eastAsia" w:ascii="宋体" w:hAnsi="宋体" w:eastAsia="宋体"/>
          <w:b w:val="0"/>
          <w:color w:val="000000"/>
          <w:lang w:val="en-US" w:eastAsia="zh-CN"/>
        </w:rPr>
        <w:t>“一机两用”、病毒感染等安全事故的，每次对中标供应商扣款10</w:t>
      </w:r>
      <w:r>
        <w:rPr>
          <w:rFonts w:ascii="宋体" w:hAnsi="宋体" w:eastAsia="宋体"/>
          <w:b w:val="0"/>
          <w:color w:val="000000"/>
          <w:lang w:val="en-US" w:eastAsia="zh-CN"/>
        </w:rPr>
        <w:t>000</w:t>
      </w:r>
      <w:r>
        <w:rPr>
          <w:rFonts w:hint="eastAsia" w:ascii="宋体" w:hAnsi="宋体" w:eastAsia="宋体"/>
          <w:b w:val="0"/>
          <w:color w:val="000000"/>
          <w:lang w:val="en-US" w:eastAsia="zh-CN"/>
        </w:rPr>
        <w:t>-5</w:t>
      </w:r>
      <w:r>
        <w:rPr>
          <w:rFonts w:ascii="宋体" w:hAnsi="宋体" w:eastAsia="宋体"/>
          <w:b w:val="0"/>
          <w:color w:val="000000"/>
          <w:lang w:val="en-US" w:eastAsia="zh-CN"/>
        </w:rPr>
        <w:t>0000</w:t>
      </w:r>
      <w:r>
        <w:rPr>
          <w:rFonts w:hint="eastAsia" w:ascii="宋体" w:hAnsi="宋体" w:eastAsia="宋体"/>
          <w:b w:val="0"/>
          <w:color w:val="000000"/>
          <w:lang w:val="en-US" w:eastAsia="zh-CN"/>
        </w:rPr>
        <w:t>元。</w:t>
      </w:r>
    </w:p>
    <w:p>
      <w:pPr>
        <w:pStyle w:val="149"/>
        <w:spacing w:line="460" w:lineRule="exact"/>
        <w:ind w:firstLine="442" w:firstLineChars="200"/>
        <w:rPr>
          <w:rFonts w:ascii="宋体" w:hAnsi="宋体" w:eastAsia="宋体"/>
          <w:color w:val="000000"/>
          <w:lang w:val="en-US" w:eastAsia="zh-CN"/>
        </w:rPr>
      </w:pPr>
      <w:r>
        <w:rPr>
          <w:rFonts w:hint="eastAsia" w:ascii="宋体" w:hAnsi="宋体" w:eastAsia="宋体"/>
          <w:color w:val="000000"/>
          <w:lang w:val="en-US" w:eastAsia="zh-CN"/>
        </w:rPr>
        <w:t>建设运维考评关联奖惩：采购人将以每日、每月等周期发布运维考评成绩（乐清市公共视频监控运维数据评分表），采购人有权根据考评成绩关联总体运维网络服务费进行奖惩，考评成绩的具体使用规则由采购人根据项目总体运维情况设定。</w:t>
      </w:r>
    </w:p>
    <w:p>
      <w:pPr>
        <w:pStyle w:val="149"/>
        <w:spacing w:line="460" w:lineRule="exact"/>
        <w:ind w:firstLine="442" w:firstLineChars="200"/>
        <w:rPr>
          <w:rFonts w:ascii="宋体" w:hAnsi="宋体" w:eastAsia="宋体"/>
          <w:color w:val="000000"/>
          <w:lang w:val="en-US" w:eastAsia="zh-CN"/>
        </w:rPr>
      </w:pPr>
      <w:r>
        <w:rPr>
          <w:rFonts w:hint="eastAsia" w:ascii="宋体" w:hAnsi="宋体" w:eastAsia="宋体"/>
          <w:color w:val="000000"/>
          <w:lang w:val="en-US" w:eastAsia="zh-CN"/>
        </w:rPr>
        <w:t>同一光点多设备建设的点位，</w:t>
      </w:r>
      <w:r>
        <w:rPr>
          <w:rFonts w:hint="eastAsia" w:ascii="宋体" w:hAnsi="宋体" w:eastAsia="宋体"/>
          <w:b w:val="0"/>
          <w:color w:val="000000"/>
          <w:lang w:val="en-US" w:eastAsia="zh-CN"/>
        </w:rPr>
        <w:t>运维期间出现同时故障情况时，在乐清市公安局或者原项目采购方总体只支付一份运维款项的情况下，多设备故障损坏扣罚可按照一个点计算。</w:t>
      </w:r>
    </w:p>
    <w:p>
      <w:pPr>
        <w:pStyle w:val="149"/>
        <w:spacing w:line="460" w:lineRule="exact"/>
        <w:ind w:firstLine="442" w:firstLineChars="200"/>
        <w:rPr>
          <w:rFonts w:ascii="宋体" w:hAnsi="宋体" w:eastAsia="宋体"/>
          <w:b w:val="0"/>
          <w:color w:val="000000"/>
          <w:lang w:val="en-US" w:eastAsia="zh-CN"/>
        </w:rPr>
      </w:pPr>
      <w:r>
        <w:rPr>
          <w:rFonts w:hint="eastAsia" w:ascii="宋体" w:hAnsi="宋体" w:eastAsia="宋体"/>
          <w:color w:val="000000"/>
          <w:lang w:val="en-US" w:eastAsia="zh-CN"/>
        </w:rPr>
        <w:t>故障恢复时间及不达标关联扣款</w:t>
      </w:r>
      <w:r>
        <w:rPr>
          <w:rFonts w:hint="eastAsia" w:ascii="宋体" w:hAnsi="宋体" w:eastAsia="宋体"/>
          <w:b w:val="0"/>
          <w:color w:val="000000"/>
          <w:lang w:val="en-US" w:eastAsia="zh-CN"/>
        </w:rPr>
        <w:t>：对故障在60</w:t>
      </w:r>
      <w:r>
        <w:rPr>
          <w:rFonts w:ascii="宋体" w:hAnsi="宋体" w:eastAsia="宋体"/>
          <w:b w:val="0"/>
          <w:color w:val="000000"/>
          <w:lang w:val="en-US" w:eastAsia="zh-CN"/>
        </w:rPr>
        <w:t>分钟内响应，</w:t>
      </w:r>
      <w:r>
        <w:rPr>
          <w:rFonts w:hint="eastAsia" w:ascii="宋体" w:hAnsi="宋体" w:eastAsia="宋体"/>
          <w:b w:val="0"/>
          <w:color w:val="000000"/>
          <w:lang w:val="en-US" w:eastAsia="zh-CN"/>
        </w:rPr>
        <w:t>4</w:t>
      </w:r>
      <w:r>
        <w:rPr>
          <w:rFonts w:ascii="宋体" w:hAnsi="宋体" w:eastAsia="宋体"/>
          <w:b w:val="0"/>
          <w:color w:val="000000"/>
          <w:lang w:val="en-US" w:eastAsia="zh-CN"/>
        </w:rPr>
        <w:t>小时以内到现场，8小时以内解决问题；不能当场修复的，必须采取提供备品、备件或备机等措施，24小时内保证系统投入正常使用。超过上述修复时间后，</w:t>
      </w:r>
      <w:r>
        <w:rPr>
          <w:rFonts w:hint="eastAsia" w:ascii="宋体" w:hAnsi="宋体" w:eastAsia="宋体"/>
          <w:b w:val="0"/>
          <w:color w:val="000000"/>
          <w:lang w:val="en-US" w:eastAsia="zh-CN"/>
        </w:rPr>
        <w:t>采集设备</w:t>
      </w:r>
      <w:r>
        <w:rPr>
          <w:rFonts w:ascii="宋体" w:hAnsi="宋体" w:eastAsia="宋体"/>
          <w:b w:val="0"/>
          <w:color w:val="000000"/>
          <w:lang w:val="en-US" w:eastAsia="zh-CN"/>
        </w:rPr>
        <w:t>视频图像异常或功能缺失，采购人将按</w:t>
      </w:r>
      <w:r>
        <w:rPr>
          <w:rFonts w:hint="eastAsia" w:ascii="宋体" w:hAnsi="宋体" w:eastAsia="宋体"/>
          <w:b w:val="0"/>
          <w:color w:val="000000"/>
          <w:lang w:val="en-US" w:eastAsia="zh-CN"/>
        </w:rPr>
        <w:t>35</w:t>
      </w:r>
      <w:r>
        <w:rPr>
          <w:rFonts w:ascii="宋体" w:hAnsi="宋体" w:eastAsia="宋体"/>
          <w:b w:val="0"/>
          <w:color w:val="000000"/>
          <w:lang w:val="en-US" w:eastAsia="zh-CN"/>
        </w:rPr>
        <w:t>元/天/</w:t>
      </w:r>
      <w:r>
        <w:rPr>
          <w:rFonts w:hint="eastAsia" w:ascii="宋体" w:hAnsi="宋体" w:eastAsia="宋体"/>
          <w:b w:val="0"/>
          <w:color w:val="000000"/>
          <w:lang w:val="en-US" w:eastAsia="zh-CN"/>
        </w:rPr>
        <w:t>摄像机或功能点</w:t>
      </w:r>
      <w:r>
        <w:rPr>
          <w:rFonts w:ascii="宋体" w:hAnsi="宋体" w:eastAsia="宋体"/>
          <w:b w:val="0"/>
          <w:color w:val="000000"/>
          <w:lang w:val="en-US" w:eastAsia="zh-CN"/>
        </w:rPr>
        <w:t>的标准进行扣费</w:t>
      </w:r>
      <w:r>
        <w:rPr>
          <w:rFonts w:hint="eastAsia" w:ascii="宋体" w:hAnsi="宋体" w:eastAsia="宋体"/>
          <w:b w:val="0"/>
          <w:color w:val="000000"/>
          <w:lang w:val="en-US" w:eastAsia="zh-CN"/>
        </w:rPr>
        <w:t>（</w:t>
      </w:r>
      <w:r>
        <w:rPr>
          <w:rFonts w:hint="eastAsia" w:ascii="宋体" w:hAnsi="宋体" w:eastAsia="宋体"/>
          <w:b w:val="0"/>
          <w:color w:val="000000"/>
          <w:lang w:val="en-US" w:eastAsia="zh-CN"/>
        </w:rPr>
        <w:t>VPN专线建设点位按照10元/天/摄像机或功能点的标准扣款</w:t>
      </w:r>
      <w:r>
        <w:rPr>
          <w:rFonts w:hint="eastAsia" w:ascii="宋体" w:hAnsi="宋体" w:eastAsia="宋体"/>
          <w:b w:val="0"/>
          <w:color w:val="000000"/>
          <w:lang w:val="en-US" w:eastAsia="zh-CN"/>
        </w:rPr>
        <w:t>）</w:t>
      </w:r>
      <w:r>
        <w:rPr>
          <w:rFonts w:ascii="宋体" w:hAnsi="宋体" w:eastAsia="宋体"/>
          <w:b w:val="0"/>
          <w:color w:val="000000"/>
          <w:lang w:val="en-US" w:eastAsia="zh-CN"/>
        </w:rPr>
        <w:t>。因道路施工、借墙点拆建等非双方原因造成监控点位停止服务超过24小时的，中标供应商须在24小时内报备，并经采购人同意后，按照10元/天/</w:t>
      </w:r>
      <w:r>
        <w:rPr>
          <w:rFonts w:hint="eastAsia" w:ascii="宋体" w:hAnsi="宋体" w:eastAsia="宋体"/>
          <w:b w:val="0"/>
          <w:color w:val="000000"/>
          <w:lang w:val="en-US" w:eastAsia="zh-CN"/>
        </w:rPr>
        <w:t>摄像机</w:t>
      </w:r>
      <w:r>
        <w:rPr>
          <w:rFonts w:ascii="宋体" w:hAnsi="宋体" w:eastAsia="宋体"/>
          <w:b w:val="0"/>
          <w:color w:val="000000"/>
          <w:lang w:val="en-US" w:eastAsia="zh-CN"/>
        </w:rPr>
        <w:t>扣费</w:t>
      </w:r>
      <w:r>
        <w:rPr>
          <w:rFonts w:hint="eastAsia" w:ascii="宋体" w:hAnsi="宋体" w:eastAsia="宋体"/>
          <w:b w:val="0"/>
          <w:color w:val="000000"/>
          <w:lang w:val="en-US" w:eastAsia="zh-CN"/>
        </w:rPr>
        <w:t>（</w:t>
      </w:r>
      <w:r>
        <w:rPr>
          <w:rFonts w:hint="eastAsia" w:ascii="宋体" w:hAnsi="宋体" w:eastAsia="宋体"/>
          <w:b w:val="0"/>
          <w:color w:val="000000"/>
          <w:lang w:val="en-US" w:eastAsia="zh-CN"/>
        </w:rPr>
        <w:t>VPN专线建设点位按照5元/天/摄像机或功能点的标准扣款</w:t>
      </w:r>
      <w:r>
        <w:rPr>
          <w:rFonts w:hint="eastAsia" w:ascii="宋体" w:hAnsi="宋体" w:eastAsia="宋体"/>
          <w:b w:val="0"/>
          <w:color w:val="000000"/>
          <w:lang w:val="en-US" w:eastAsia="zh-CN"/>
        </w:rPr>
        <w:t>）</w:t>
      </w:r>
      <w:r>
        <w:rPr>
          <w:rFonts w:ascii="宋体" w:hAnsi="宋体" w:eastAsia="宋体"/>
          <w:b w:val="0"/>
          <w:color w:val="000000"/>
          <w:lang w:val="en-US" w:eastAsia="zh-CN"/>
        </w:rPr>
        <w:t>。</w:t>
      </w:r>
      <w:r>
        <w:rPr>
          <w:rFonts w:hint="eastAsia" w:ascii="宋体" w:hAnsi="宋体" w:eastAsia="宋体"/>
          <w:b w:val="0"/>
          <w:color w:val="000000"/>
          <w:lang w:val="en-US" w:eastAsia="zh-CN"/>
        </w:rPr>
        <w:t>重点点位故障修复时间根据采购人实际要求设定，可能会存在不定期调整以符合实战及上级考核要求。</w:t>
      </w:r>
    </w:p>
    <w:p>
      <w:pPr>
        <w:pStyle w:val="149"/>
        <w:spacing w:line="460" w:lineRule="exact"/>
        <w:ind w:firstLine="442" w:firstLineChars="200"/>
        <w:rPr>
          <w:rFonts w:ascii="宋体" w:hAnsi="宋体" w:eastAsia="宋体"/>
          <w:b w:val="0"/>
          <w:color w:val="000000"/>
          <w:lang w:val="en-US" w:eastAsia="zh-CN"/>
        </w:rPr>
      </w:pPr>
      <w:r>
        <w:rPr>
          <w:rFonts w:hint="eastAsia" w:ascii="宋体" w:hAnsi="宋体" w:eastAsia="宋体"/>
          <w:color w:val="000000"/>
          <w:lang w:val="en-US" w:eastAsia="zh-CN"/>
        </w:rPr>
        <w:t>不可抗力移机计量规则：</w:t>
      </w:r>
      <w:r>
        <w:rPr>
          <w:rFonts w:hint="eastAsia" w:ascii="宋体" w:hAnsi="宋体" w:eastAsia="宋体"/>
          <w:b w:val="0"/>
          <w:color w:val="000000"/>
          <w:lang w:val="en-US" w:eastAsia="zh-CN"/>
        </w:rPr>
        <w:t>因道路施工、借墙点拆建等非双方原因造成监控点位停止服务预计</w:t>
      </w:r>
      <w:r>
        <w:rPr>
          <w:rFonts w:ascii="宋体" w:hAnsi="宋体" w:eastAsia="宋体"/>
          <w:b w:val="0"/>
          <w:color w:val="000000"/>
          <w:lang w:val="en-US" w:eastAsia="zh-CN"/>
        </w:rPr>
        <w:t>30天以上的，采购人有权要求移机，移机费用由双方共同承担，采购人按点位移机费折半支付。</w:t>
      </w:r>
    </w:p>
    <w:p>
      <w:pPr>
        <w:pStyle w:val="149"/>
        <w:spacing w:line="460" w:lineRule="exact"/>
        <w:ind w:firstLine="440" w:firstLineChars="200"/>
        <w:rPr>
          <w:rFonts w:ascii="宋体" w:hAnsi="宋体" w:eastAsia="宋体"/>
          <w:color w:val="000000"/>
          <w:lang w:val="en-US" w:eastAsia="zh-CN"/>
        </w:rPr>
      </w:pPr>
      <w:r>
        <w:rPr>
          <w:rFonts w:hint="eastAsia" w:ascii="宋体" w:hAnsi="宋体" w:eastAsia="宋体"/>
          <w:b w:val="0"/>
          <w:color w:val="000000"/>
          <w:lang w:val="en-US" w:eastAsia="zh-CN"/>
        </w:rPr>
        <w:t>针对重大安保及重要点位抢修上线等应急供电保障抓拍点位场景，各中标供应商应配置大容量电池组应急电源，</w:t>
      </w:r>
      <w:r>
        <w:rPr>
          <w:rFonts w:hint="eastAsia" w:ascii="宋体" w:hAnsi="宋体" w:eastAsia="宋体"/>
          <w:b w:val="0"/>
          <w:color w:val="000000"/>
          <w:lang w:val="en-US" w:eastAsia="zh-CN"/>
        </w:rPr>
        <w:t>结合整体雪亮工程整体运维工作配齐足够的应急电源</w:t>
      </w:r>
      <w:r>
        <w:rPr>
          <w:rFonts w:hint="eastAsia" w:ascii="宋体" w:hAnsi="宋体" w:eastAsia="宋体"/>
          <w:b w:val="0"/>
          <w:color w:val="000000"/>
          <w:lang w:val="en-US" w:eastAsia="zh-CN"/>
        </w:rPr>
        <w:t>。</w:t>
      </w:r>
      <w:r>
        <w:rPr>
          <w:rFonts w:hint="eastAsia" w:ascii="宋体" w:hAnsi="宋体" w:eastAsia="宋体"/>
          <w:color w:val="000000"/>
          <w:lang w:val="en-US" w:eastAsia="zh-CN"/>
        </w:rPr>
        <w:t>同时针对采购人提出的应急要求（可包含其它建设项目及非中标供应商建设点位），</w:t>
      </w:r>
      <w:r>
        <w:rPr>
          <w:rFonts w:hint="eastAsia" w:ascii="宋体" w:hAnsi="宋体" w:eastAsia="宋体"/>
          <w:b w:val="0"/>
          <w:color w:val="000000"/>
          <w:lang w:val="en-US" w:eastAsia="zh-CN"/>
        </w:rPr>
        <w:t>中标供应商应在60分钟内响应，2小时以内到现场实现供电恢复并保障电源持续稳定供应。应急电源设备需作为备件根据乐清市公安局要求存放在指定位置，同时投标供应商应制定相应的应急方案并在本次投标文件中说明。</w:t>
      </w:r>
    </w:p>
    <w:p>
      <w:pPr>
        <w:pStyle w:val="149"/>
        <w:spacing w:line="460" w:lineRule="exact"/>
        <w:ind w:firstLine="442" w:firstLineChars="200"/>
        <w:rPr>
          <w:rFonts w:ascii="宋体" w:hAnsi="宋体" w:eastAsia="宋体"/>
          <w:color w:val="000000"/>
          <w:lang w:eastAsia="zh-CN"/>
        </w:rPr>
      </w:pPr>
      <w:r>
        <w:rPr>
          <w:rFonts w:hint="eastAsia" w:ascii="宋体" w:hAnsi="宋体" w:eastAsia="宋体"/>
          <w:color w:val="000000"/>
          <w:lang w:val="en-US" w:eastAsia="zh-CN"/>
        </w:rPr>
        <w:t>本项目需要供应商对</w:t>
      </w:r>
      <w:r>
        <w:rPr>
          <w:rFonts w:hint="eastAsia" w:ascii="宋体" w:hAnsi="宋体" w:eastAsia="宋体"/>
          <w:color w:val="000000"/>
        </w:rPr>
        <w:t>售后服务方案综合情况包括</w:t>
      </w:r>
      <w:r>
        <w:rPr>
          <w:rFonts w:hint="eastAsia" w:ascii="宋体" w:hAnsi="宋体" w:eastAsia="宋体"/>
          <w:color w:val="000000"/>
          <w:lang w:val="en-US" w:eastAsia="zh-CN"/>
        </w:rPr>
        <w:t>建设期间推进保障、</w:t>
      </w:r>
      <w:r>
        <w:rPr>
          <w:rFonts w:hint="eastAsia" w:ascii="宋体" w:hAnsi="宋体" w:eastAsia="宋体"/>
          <w:color w:val="000000"/>
        </w:rPr>
        <w:t>应急修复保障、响应修复时间、车辆、专职队伍力量配备、机制、保障措施、**保障等作出承诺说明，</w:t>
      </w:r>
      <w:r>
        <w:rPr>
          <w:rFonts w:hint="eastAsia" w:ascii="宋体" w:hAnsi="宋体" w:eastAsia="宋体"/>
          <w:b w:val="0"/>
          <w:color w:val="000000"/>
          <w:lang w:val="en-US" w:eastAsia="zh-CN"/>
        </w:rPr>
        <w:t>在运维期间发现服务承诺任何一项不到位的，可视情对中标供应商每周每项（次）扣5000元。</w:t>
      </w:r>
    </w:p>
    <w:p>
      <w:pPr>
        <w:pStyle w:val="149"/>
        <w:spacing w:line="460" w:lineRule="exact"/>
        <w:ind w:firstLine="442" w:firstLineChars="200"/>
        <w:rPr>
          <w:rFonts w:ascii="宋体" w:hAnsi="宋体" w:eastAsia="宋体"/>
          <w:color w:val="000000"/>
          <w:lang w:eastAsia="zh-CN"/>
        </w:rPr>
      </w:pPr>
      <w:r>
        <w:rPr>
          <w:rFonts w:hint="eastAsia" w:ascii="宋体" w:hAnsi="宋体" w:eastAsia="宋体"/>
          <w:color w:val="000000"/>
          <w:lang w:val="en-US" w:eastAsia="zh-CN"/>
        </w:rPr>
        <w:t>运维要求及奖惩规则关联项目：</w:t>
      </w:r>
      <w:r>
        <w:rPr>
          <w:rFonts w:hint="eastAsia" w:ascii="宋体" w:hAnsi="宋体" w:eastAsia="宋体"/>
          <w:b w:val="0"/>
          <w:color w:val="000000"/>
          <w:lang w:val="en-US" w:eastAsia="zh-CN"/>
        </w:rPr>
        <w:t>本项目的运维服务要求是作为乐清市公安局牵头实施的乐清市“雪亮工程”运维体系（运维内容含人脸识别、视频监控、智能卡口、综合采集、交通管理等）最新要求规则不仅限于本次招标项目，同时本项目建设运维奖惩规则，适用中标方所有接入乐清公安视频专网（包括VPN视频专网及无线视频专网）的项目（含非公安业主实施项目及公安历年采购项目），要求不一致的，按乐清市“雪亮工程”运营中心（设在乐清市公安局）发布的最新建设运维要求实施，遇特殊情况无法满足的，由采购人根据实际情况进行调整。同时本项目运维条款存在根据总体运维方案后期实施调整的可能性，不排除增加运维扣款幅度或提升运维要求，中标供应商应无条件接受，不得以任何理由拒绝。</w:t>
      </w:r>
    </w:p>
    <w:p>
      <w:pPr>
        <w:pStyle w:val="149"/>
        <w:spacing w:line="460" w:lineRule="exact"/>
        <w:ind w:firstLine="442" w:firstLineChars="200"/>
        <w:rPr>
          <w:rFonts w:hint="eastAsia" w:ascii="宋体" w:hAnsi="宋体" w:eastAsia="宋体"/>
          <w:b w:val="0"/>
          <w:color w:val="000000"/>
          <w:lang w:val="en-US" w:eastAsia="zh-CN"/>
        </w:rPr>
      </w:pPr>
      <w:r>
        <w:rPr>
          <w:rFonts w:hint="eastAsia" w:ascii="宋体" w:hAnsi="宋体" w:eastAsia="宋体"/>
          <w:color w:val="000000"/>
          <w:lang w:val="en-US" w:eastAsia="zh-CN"/>
        </w:rPr>
        <w:t>扣款结算资金使用规则：</w:t>
      </w:r>
      <w:r>
        <w:rPr>
          <w:rFonts w:hint="eastAsia" w:ascii="宋体" w:hAnsi="宋体" w:eastAsia="宋体"/>
          <w:b w:val="0"/>
          <w:color w:val="000000"/>
          <w:lang w:val="en-US" w:eastAsia="zh-CN"/>
        </w:rPr>
        <w:t>本项目运维期如产生扣款，所涉款项可直接转为购买服务或者设备用于乐清市整体雪亮工程运维实施，在项目运维结算支付阶段，由双方确认。</w:t>
      </w:r>
    </w:p>
    <w:p>
      <w:pPr>
        <w:pStyle w:val="149"/>
        <w:spacing w:line="460" w:lineRule="exact"/>
        <w:ind w:firstLine="442" w:firstLineChars="200"/>
        <w:rPr>
          <w:rFonts w:ascii="宋体" w:hAnsi="宋体" w:eastAsia="宋体"/>
          <w:color w:val="000000"/>
          <w:lang w:val="en-US" w:eastAsia="zh-CN"/>
        </w:rPr>
      </w:pPr>
      <w:r>
        <w:rPr>
          <w:rFonts w:hint="eastAsia" w:ascii="宋体" w:hAnsi="宋体" w:eastAsia="宋体"/>
          <w:color w:val="000000"/>
          <w:lang w:val="en-US" w:eastAsia="zh-CN"/>
        </w:rPr>
        <w:t>奖惩，考评成绩的具体使用规则由采购人根据项目总体运维情况设定。</w:t>
      </w:r>
    </w:p>
    <w:p>
      <w:pPr>
        <w:pStyle w:val="149"/>
        <w:spacing w:line="460" w:lineRule="exact"/>
        <w:ind w:firstLine="442" w:firstLineChars="200"/>
        <w:rPr>
          <w:rFonts w:ascii="宋体" w:hAnsi="宋体" w:eastAsia="宋体"/>
          <w:color w:val="000000"/>
          <w:lang w:val="en-US" w:eastAsia="zh-CN"/>
        </w:rPr>
      </w:pPr>
      <w:r>
        <w:rPr>
          <w:rFonts w:hint="eastAsia" w:ascii="宋体" w:hAnsi="宋体" w:eastAsia="宋体"/>
          <w:color w:val="000000"/>
          <w:lang w:val="en-US" w:eastAsia="zh-CN"/>
        </w:rPr>
        <w:t>2.9、项目变更</w:t>
      </w:r>
    </w:p>
    <w:p>
      <w:pPr>
        <w:pStyle w:val="149"/>
        <w:spacing w:line="460" w:lineRule="exact"/>
        <w:ind w:firstLine="440" w:firstLineChars="200"/>
        <w:rPr>
          <w:rFonts w:ascii="宋体" w:hAnsi="宋体" w:eastAsia="宋体"/>
          <w:color w:val="000000"/>
        </w:rPr>
      </w:pPr>
      <w:r>
        <w:rPr>
          <w:rFonts w:hint="eastAsia" w:ascii="宋体" w:hAnsi="宋体" w:eastAsia="宋体"/>
          <w:b w:val="0"/>
          <w:color w:val="000000"/>
          <w:lang w:val="en-US" w:eastAsia="zh-CN"/>
        </w:rPr>
        <w:t>本项目标书内容为初步设计，不排除因道路规划、产品升级、实战应用、政策审批等方面问题原因进行合理变更，变更金额允许在政府采购合理变更范围内实施。同时项目变更最终金额，采购人将委托第三方造价咨询公司确定，最终项目应支付金额款项应根据变更造价确定的金额支付。</w:t>
      </w:r>
      <w:r>
        <w:rPr>
          <w:rFonts w:hint="eastAsia" w:ascii="宋体" w:hAnsi="宋体" w:eastAsia="宋体"/>
          <w:color w:val="000000"/>
          <w:lang w:val="en-US" w:eastAsia="zh-CN"/>
        </w:rPr>
        <w:t xml:space="preserve"> </w:t>
      </w:r>
    </w:p>
    <w:p>
      <w:pPr>
        <w:pStyle w:val="149"/>
        <w:spacing w:line="460" w:lineRule="exact"/>
        <w:ind w:firstLine="442" w:firstLineChars="200"/>
        <w:rPr>
          <w:rFonts w:ascii="宋体" w:hAnsi="宋体" w:eastAsia="宋体"/>
          <w:bCs/>
          <w:color w:val="000000"/>
          <w:lang w:val="en-US" w:eastAsia="zh-CN"/>
        </w:rPr>
      </w:pPr>
      <w:r>
        <w:rPr>
          <w:rFonts w:hint="eastAsia" w:ascii="宋体" w:hAnsi="宋体" w:eastAsia="宋体"/>
          <w:bCs/>
          <w:color w:val="000000"/>
          <w:lang w:val="en-US" w:eastAsia="zh-CN"/>
        </w:rPr>
        <w:t>2.10、建设运维驻点</w:t>
      </w:r>
    </w:p>
    <w:p>
      <w:pPr>
        <w:pStyle w:val="149"/>
        <w:spacing w:line="460" w:lineRule="exact"/>
        <w:ind w:firstLine="440" w:firstLineChars="200"/>
        <w:rPr>
          <w:rFonts w:hint="default" w:ascii="宋体" w:hAnsi="宋体" w:eastAsia="宋体"/>
          <w:b w:val="0"/>
          <w:color w:val="000000"/>
          <w:lang w:val="en-US" w:eastAsia="zh-CN"/>
        </w:rPr>
      </w:pPr>
      <w:r>
        <w:rPr>
          <w:rFonts w:hint="eastAsia" w:ascii="宋体" w:hAnsi="宋体" w:eastAsia="宋体"/>
          <w:b w:val="0"/>
          <w:color w:val="000000"/>
          <w:lang w:val="en-US" w:eastAsia="zh-CN"/>
        </w:rPr>
        <w:t>临时驻点要求：本项目所有标项中标供应商在项目验收调试阶段需各派驻一人至乐清市公安局驻点提供服务工作，直至项目验收并进入正常运维状态，时长至少3个月，驻点人员名单需经采购人审核确定，驻点期间脱离原工作单位工作安排，并全程接受乐清市公安局管理安排，驻点期间主要从事本项目建设运维相关工作。</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长期驻点要求：所有标项中标供应商均需至少派驻一人驻点乐清市公安局提供驻点服务，为乐清市公安局牵头实施的乐清市“雪亮工程”运维体系提供服务，驻点人员名单需经采购人审核确定，一般要求具备中级工程师或同级资质，工作安排要求与原工作单位工作安排脱离，并全程接受乐清市公安局管理安排，驻点期间主要从事乐清市</w:t>
      </w:r>
      <w:r>
        <w:rPr>
          <w:rFonts w:hint="eastAsia" w:ascii="宋体" w:hAnsi="宋体" w:eastAsia="宋体"/>
          <w:b w:val="0"/>
          <w:color w:val="000000"/>
          <w:lang w:eastAsia="zh-CN"/>
        </w:rPr>
        <w:t>“雪亮工程”</w:t>
      </w:r>
      <w:r>
        <w:rPr>
          <w:rFonts w:hint="eastAsia" w:ascii="宋体" w:hAnsi="宋体" w:eastAsia="宋体"/>
          <w:b w:val="0"/>
          <w:color w:val="000000"/>
          <w:lang w:val="en-US" w:eastAsia="zh-CN"/>
        </w:rPr>
        <w:t>建设运维相关工作，时间随同运维周期，单供应商中标多标项的，人员数量及派驻要求不变。</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达标驻点要求：在运维周期内，任一中标供应商在视频专网（含VPN视频专网）内点位数达到4000个点（移动专网按照3：1打折计算），采购人有权要求其安排2名符合要求的人员常驻雪亮工程运管中心实施建设运维支撑工作，人员不到位的，采购人有权拒付相关运维款项。</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驻点人员需接受乐清市公安局考核管理，正常工作日上班，按需要提供7*24小时支持，节假日需由乐清市公安局安排，驻点人员如工作不到位或工作能力不足等原因不能满足采购人需要的应按要求予以更换。</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建设运维驻点人员（含临时驻点）按照以下要求进行考核。</w:t>
      </w:r>
    </w:p>
    <w:tbl>
      <w:tblPr>
        <w:tblStyle w:val="41"/>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51"/>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827"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序号</w:t>
            </w:r>
          </w:p>
        </w:tc>
        <w:tc>
          <w:tcPr>
            <w:tcW w:w="2151"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考核项目</w:t>
            </w:r>
          </w:p>
        </w:tc>
        <w:tc>
          <w:tcPr>
            <w:tcW w:w="6523"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3" w:hRule="atLeast"/>
        </w:trPr>
        <w:tc>
          <w:tcPr>
            <w:tcW w:w="827" w:type="dxa"/>
            <w:vMerge w:val="restart"/>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1</w:t>
            </w:r>
          </w:p>
        </w:tc>
        <w:tc>
          <w:tcPr>
            <w:tcW w:w="2151" w:type="dxa"/>
            <w:vMerge w:val="restart"/>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管理要求及扣款标准</w:t>
            </w:r>
          </w:p>
        </w:tc>
        <w:tc>
          <w:tcPr>
            <w:tcW w:w="6523"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如擅自调整建设运维驻点人员，发现一次扣3000元，常驻人员空缺每天扣1000元，临时驻点人员</w:t>
            </w:r>
            <w:r>
              <w:rPr>
                <w:rFonts w:hint="eastAsia" w:ascii="宋体" w:hAnsi="宋体" w:eastAsia="宋体"/>
                <w:b w:val="0"/>
                <w:color w:val="000000"/>
              </w:rPr>
              <w:t>，</w:t>
            </w:r>
            <w:r>
              <w:rPr>
                <w:rFonts w:hint="eastAsia" w:ascii="宋体" w:hAnsi="宋体" w:eastAsia="宋体"/>
                <w:b w:val="0"/>
                <w:color w:val="000000"/>
                <w:sz w:val="22"/>
              </w:rPr>
              <w:t>空缺每天扣</w:t>
            </w:r>
            <w:r>
              <w:rPr>
                <w:rFonts w:hint="eastAsia" w:ascii="宋体" w:hAnsi="宋体" w:eastAsia="宋体"/>
                <w:b w:val="0"/>
                <w:color w:val="000000"/>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3" w:hRule="atLeast"/>
        </w:trPr>
        <w:tc>
          <w:tcPr>
            <w:tcW w:w="827" w:type="dxa"/>
            <w:vMerge w:val="continue"/>
            <w:noWrap w:val="0"/>
            <w:vAlign w:val="center"/>
          </w:tcPr>
          <w:p>
            <w:pPr>
              <w:spacing w:line="460" w:lineRule="exact"/>
              <w:jc w:val="center"/>
              <w:rPr>
                <w:rFonts w:ascii="宋体" w:hAnsi="宋体" w:eastAsia="宋体"/>
                <w:b w:val="0"/>
                <w:color w:val="000000"/>
                <w:sz w:val="22"/>
              </w:rPr>
            </w:pPr>
          </w:p>
        </w:tc>
        <w:tc>
          <w:tcPr>
            <w:tcW w:w="2151" w:type="dxa"/>
            <w:vMerge w:val="continue"/>
            <w:noWrap w:val="0"/>
            <w:vAlign w:val="center"/>
          </w:tcPr>
          <w:p>
            <w:pPr>
              <w:spacing w:line="460" w:lineRule="exact"/>
              <w:rPr>
                <w:rFonts w:ascii="宋体" w:hAnsi="宋体" w:eastAsia="宋体"/>
                <w:b w:val="0"/>
                <w:color w:val="000000"/>
                <w:sz w:val="22"/>
              </w:rPr>
            </w:pPr>
          </w:p>
        </w:tc>
        <w:tc>
          <w:tcPr>
            <w:tcW w:w="6523"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驻点人员应严格遵守上下班时间，上班迟到的，每人每次扣100元；上班时间人员不在岗的，每人每次扣款500元。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3" w:hRule="atLeast"/>
        </w:trPr>
        <w:tc>
          <w:tcPr>
            <w:tcW w:w="827" w:type="dxa"/>
            <w:vMerge w:val="continue"/>
            <w:noWrap w:val="0"/>
            <w:vAlign w:val="center"/>
          </w:tcPr>
          <w:p>
            <w:pPr>
              <w:spacing w:line="460" w:lineRule="exact"/>
              <w:jc w:val="center"/>
              <w:rPr>
                <w:rFonts w:ascii="宋体" w:hAnsi="宋体" w:eastAsia="宋体"/>
                <w:b w:val="0"/>
                <w:color w:val="000000"/>
                <w:sz w:val="22"/>
              </w:rPr>
            </w:pPr>
          </w:p>
        </w:tc>
        <w:tc>
          <w:tcPr>
            <w:tcW w:w="2151" w:type="dxa"/>
            <w:vMerge w:val="continue"/>
            <w:noWrap w:val="0"/>
            <w:vAlign w:val="center"/>
          </w:tcPr>
          <w:p>
            <w:pPr>
              <w:spacing w:line="460" w:lineRule="exact"/>
              <w:rPr>
                <w:rFonts w:ascii="宋体" w:hAnsi="宋体" w:eastAsia="宋体"/>
                <w:b w:val="0"/>
                <w:color w:val="000000"/>
                <w:sz w:val="22"/>
              </w:rPr>
            </w:pPr>
          </w:p>
        </w:tc>
        <w:tc>
          <w:tcPr>
            <w:tcW w:w="6523"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运驻点人员需接受采购人工作调配，发现一次主观原因不配合的，一次扣500元。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3" w:hRule="atLeast"/>
        </w:trPr>
        <w:tc>
          <w:tcPr>
            <w:tcW w:w="827" w:type="dxa"/>
            <w:vMerge w:val="continue"/>
            <w:noWrap w:val="0"/>
            <w:vAlign w:val="center"/>
          </w:tcPr>
          <w:p>
            <w:pPr>
              <w:spacing w:line="460" w:lineRule="exact"/>
              <w:jc w:val="center"/>
              <w:rPr>
                <w:rFonts w:ascii="宋体" w:hAnsi="宋体" w:eastAsia="宋体"/>
                <w:b w:val="0"/>
                <w:color w:val="000000"/>
                <w:sz w:val="22"/>
              </w:rPr>
            </w:pPr>
          </w:p>
        </w:tc>
        <w:tc>
          <w:tcPr>
            <w:tcW w:w="2151" w:type="dxa"/>
            <w:vMerge w:val="continue"/>
            <w:noWrap w:val="0"/>
            <w:vAlign w:val="center"/>
          </w:tcPr>
          <w:p>
            <w:pPr>
              <w:spacing w:line="460" w:lineRule="exact"/>
              <w:rPr>
                <w:rFonts w:ascii="宋体" w:hAnsi="宋体" w:eastAsia="宋体"/>
                <w:b w:val="0"/>
                <w:color w:val="000000"/>
                <w:sz w:val="22"/>
              </w:rPr>
            </w:pPr>
          </w:p>
        </w:tc>
        <w:tc>
          <w:tcPr>
            <w:tcW w:w="6523"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每年驻点人员（只针对常驻）请假天数（不包含年休）不超过10天，超出天数每天扣款300元；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6" w:hRule="atLeast"/>
        </w:trPr>
        <w:tc>
          <w:tcPr>
            <w:tcW w:w="827"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2</w:t>
            </w:r>
          </w:p>
        </w:tc>
        <w:tc>
          <w:tcPr>
            <w:tcW w:w="2151"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扣罚执行</w:t>
            </w:r>
          </w:p>
        </w:tc>
        <w:tc>
          <w:tcPr>
            <w:tcW w:w="6523"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从每个项目应支付环节中对应扣除，范围包括建设经费结算以及运维服务费结算。</w:t>
            </w:r>
          </w:p>
        </w:tc>
      </w:tr>
    </w:tbl>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2.11、改建资产处理</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本项目所涉及到的各标项，均可能含有改建点位，对于改建所涉及到的原资产，在设计阶段及建设过程中，应明确标注利旧还是拆除并建立台账。对于属于采购人的老旧资产，如需拆除，中标供应商应自行解决保管场地及安排保管工作，并配合下步采购人安排固定资产处理工作。对于改建点位关联不属于采购人的无主资产，可能需拆除的，中标供应商需做好台账的基础上自行解决。对于改建点位关联不属于采购人的其他有主资产，可能需拆除的，中标供应商需做好台账的基础上跟原资产所有人做好配合对接工作。</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2.12、老旧点位集成安装要求</w:t>
      </w:r>
    </w:p>
    <w:p>
      <w:pPr>
        <w:pStyle w:val="149"/>
        <w:spacing w:line="460" w:lineRule="exact"/>
        <w:ind w:firstLine="440" w:firstLineChars="200"/>
        <w:rPr>
          <w:rFonts w:hint="eastAsia" w:ascii="宋体" w:hAnsi="宋体" w:eastAsia="宋体" w:cs="宋体"/>
          <w:b w:val="0"/>
          <w:color w:val="000000"/>
          <w:lang w:val="en-US" w:eastAsia="zh-CN"/>
        </w:rPr>
      </w:pPr>
      <w:r>
        <w:rPr>
          <w:rFonts w:hint="eastAsia" w:ascii="宋体" w:hAnsi="宋体" w:eastAsia="宋体"/>
          <w:b w:val="0"/>
          <w:color w:val="000000"/>
          <w:lang w:val="en-US" w:eastAsia="zh-CN"/>
        </w:rPr>
        <w:t>本项目所有标项的老旧点位新增安装调测及</w:t>
      </w:r>
      <w:r>
        <w:rPr>
          <w:rFonts w:hint="eastAsia" w:ascii="宋体" w:hAnsi="宋体" w:eastAsia="宋体" w:cs="宋体"/>
          <w:b w:val="0"/>
          <w:color w:val="000000"/>
          <w:lang w:val="en-US" w:eastAsia="zh-CN"/>
        </w:rPr>
        <w:t>老旧点位新增设备运维点位，由采购人指定安装在老旧点位上，不排除安装在非中标供应商点位上，中标供应商应自行解决对接其他运营商入网问题。</w:t>
      </w:r>
    </w:p>
    <w:p>
      <w:pPr>
        <w:pStyle w:val="149"/>
        <w:spacing w:line="460" w:lineRule="exact"/>
        <w:ind w:firstLine="440" w:firstLineChars="200"/>
        <w:rPr>
          <w:rFonts w:hint="eastAsia" w:ascii="宋体" w:hAnsi="宋体" w:eastAsia="宋体"/>
          <w:b w:val="0"/>
          <w:color w:val="000000"/>
          <w:lang w:val="en-US" w:eastAsia="zh-CN"/>
        </w:rPr>
      </w:pPr>
      <w:r>
        <w:rPr>
          <w:rFonts w:hint="eastAsia" w:ascii="宋体" w:hAnsi="宋体" w:eastAsia="宋体"/>
          <w:b w:val="0"/>
          <w:color w:val="000000"/>
          <w:lang w:val="en-US" w:eastAsia="zh-CN"/>
        </w:rPr>
        <w:t>2.13、公共区域视频监控建设一体化改革工作要求</w:t>
      </w:r>
    </w:p>
    <w:p>
      <w:pPr>
        <w:pStyle w:val="149"/>
        <w:spacing w:line="460" w:lineRule="exact"/>
        <w:ind w:firstLine="440" w:firstLineChars="200"/>
        <w:rPr>
          <w:rFonts w:hint="default" w:ascii="宋体" w:hAnsi="宋体" w:eastAsia="宋体"/>
          <w:b w:val="0"/>
          <w:color w:val="000000"/>
          <w:lang w:val="en-US" w:eastAsia="zh-CN"/>
        </w:rPr>
      </w:pPr>
      <w:r>
        <w:rPr>
          <w:rFonts w:hint="eastAsia" w:ascii="宋体" w:hAnsi="宋体" w:eastAsia="宋体"/>
          <w:b w:val="0"/>
          <w:color w:val="000000"/>
          <w:lang w:val="en-US" w:eastAsia="zh-CN"/>
        </w:rPr>
        <w:t>本次建设一并承担所建建设区域公共区域视频监控一体化改革工作任务，具体包括所在区域重复建设点位上报，简易拆除按照100元每处结算，复杂点位按照200元每处结算，应报未报的，每处按照100-200元进行扣款。</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六、分项通用技术说明及要求</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1、前端通用建设标准</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前端建设主要包括立杆、电源和机箱建设，具体应满足以下技术要求：</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1）根据部位与要求选择摄像机安装方式。采用立杆安装方式时，摄像机安装高度一般应根据视频监控选点位置及点位周边地理特性确定其安装高度、角度，建设在道路商的点位高度一般不低于5000mm，安装杆壁厚、安装基础应由有相应资质的设计单位按照地质情况及抗风等级等要求进行设计；</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（2）机箱应具备防尘和防湿，机箱中应能放置电源、接线架、网络传输、防雷模块等设备，可采取底部或背部进线；机箱和立杆应统一接地；</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（3）机箱安装高度应充分考虑暴雨天气的影响，立杆、机箱设备设置在易受外力碰撞位置时，应有醒目提示标志。</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前端基础施工要求如下：</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前端基础施工应符合公安交通管理外场设备基础施工通用要求（GA/T 652）标准的相关要求，还应符合项目所在地建设、市政、交通、园林等相关管理部门要求。</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前端补光要求如下：</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（1）补光目标区域的照度是指监控补光目标区域内，离地面50cm高度的实际照度，通常使用照度计在现场实测。监控补光目标区域的平均最低照度宜高于5Lux，但不得低于3Lux；</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（2）补光后的图像色彩还原性应保持原始场景特征，符合《安全技术防范(系统)工程检验规范》（DB33/T 334-2011）标准对显示或回放图像的要求。还应满足当监控目标距离监控相机15米之内距离时，图像画面一般显色性Ra&gt;90，能识别目标特征及真实颜色；</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（3）补光宜采用无极灯、LED暖光灯或者普通LED灯，灯具应满足IP65以上防护等级和国家强制性认证相关要求。</w:t>
      </w:r>
    </w:p>
    <w:p>
      <w:pPr>
        <w:pStyle w:val="149"/>
        <w:spacing w:line="460" w:lineRule="exact"/>
        <w:ind w:firstLine="440" w:firstLineChars="200"/>
        <w:rPr>
          <w:rFonts w:ascii="宋体" w:hAnsi="宋体" w:eastAsia="宋体"/>
          <w:b w:val="0"/>
          <w:color w:val="000000"/>
          <w:lang w:val="en-US" w:eastAsia="zh-CN"/>
        </w:rPr>
      </w:pPr>
      <w:bookmarkStart w:id="2" w:name="_Toc513190279"/>
      <w:bookmarkStart w:id="3" w:name="_Toc514080943"/>
      <w:bookmarkStart w:id="4" w:name="_Toc518732753"/>
      <w:bookmarkStart w:id="5" w:name="_Toc12513646"/>
      <w:bookmarkStart w:id="6" w:name="_Toc520102612"/>
      <w:r>
        <w:rPr>
          <w:rFonts w:hint="eastAsia" w:ascii="宋体" w:hAnsi="宋体" w:eastAsia="宋体"/>
          <w:b w:val="0"/>
          <w:color w:val="000000"/>
          <w:lang w:val="en-US" w:eastAsia="zh-CN"/>
        </w:rPr>
        <w:t>2、专业车辆人像抓拍</w:t>
      </w:r>
      <w:bookmarkEnd w:id="2"/>
      <w:bookmarkEnd w:id="3"/>
      <w:bookmarkEnd w:id="4"/>
      <w:bookmarkEnd w:id="5"/>
      <w:bookmarkEnd w:id="6"/>
      <w:bookmarkStart w:id="7" w:name="_Toc328578300"/>
      <w:r>
        <w:rPr>
          <w:rFonts w:hint="eastAsia" w:ascii="宋体" w:hAnsi="宋体" w:eastAsia="宋体"/>
          <w:b w:val="0"/>
          <w:color w:val="000000"/>
          <w:lang w:val="en-US" w:eastAsia="zh-CN"/>
        </w:rPr>
        <w:t>卡口通用标准</w:t>
      </w:r>
    </w:p>
    <w:bookmarkEnd w:id="7"/>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通过设置车辆抓拍点位可对途经的监控目标（机动车、前排司乘人员、非机动车、行人）进行24小时捕获，能提供高清晰的图片。所提供的图片能够清晰辨认车辆类型、车身颜色、所载货物和所处位置，对于人员能清晰辨别人脸（可供人脸识别）及人员衣着穿戴等主要特征，还可提供完整的车头信息，包括完整的牌照，清晰可辨的牌照颜色、驾驶前排乘坐情况等，对于驾驶前排乘坐人员能提供清晰可辨的人脸特征（可供人脸识别）。每车道配置对应900万像素抓拍单元，用于分析单向车道内的过往车辆，及车辆内部司乘人员特征图片，并对抓拍全景进行监控，其中车辆捕获、车牌识别、车型识别、车身颜色识别等关键技术均集成于智慧监控单元； 每个相机配置相应补光灯及爆闪灯作为辅助光源，在夜间亮度较差时，实现环境补光，有效提高夜间图像显示效果和标识标线的显示效果；每个卡口监控单元配置1根6.5米的监控立杆，挑臂伸出4-13米，卡口监控单元架设在挑臂上，与道路行车方向倾斜一定角度。</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专业人车卡口设计的点位，车牌抓拍率、识别率应不低于99%，人脸抓拍率、识别率应不低于80%</w:t>
      </w:r>
      <w:bookmarkStart w:id="8" w:name="_Toc513014295"/>
      <w:bookmarkStart w:id="9" w:name="_Toc514080944"/>
      <w:bookmarkStart w:id="10" w:name="_Toc520102613"/>
      <w:bookmarkStart w:id="11" w:name="_Toc513190280"/>
      <w:bookmarkStart w:id="12" w:name="_Toc518732754"/>
      <w:bookmarkStart w:id="13" w:name="_Toc12513647"/>
      <w:r>
        <w:rPr>
          <w:rFonts w:hint="eastAsia" w:ascii="宋体" w:hAnsi="宋体" w:eastAsia="宋体"/>
          <w:b w:val="0"/>
          <w:color w:val="000000"/>
          <w:lang w:val="en-US" w:eastAsia="zh-CN"/>
        </w:rPr>
        <w:t>。车辆抓拍功能需</w:t>
      </w:r>
      <w:r>
        <w:rPr>
          <w:rFonts w:hint="eastAsia" w:ascii="宋体" w:hAnsi="宋体" w:eastAsia="宋体" w:cs="宋体"/>
          <w:b w:val="0"/>
          <w:bCs/>
          <w:color w:val="000000"/>
          <w:szCs w:val="22"/>
        </w:rPr>
        <w:t>支持4车道以上划线抓拍及提取各车道车辆车牌，支持国标非机动车车牌数据提取（黄标、蓝标）</w:t>
      </w:r>
      <w:r>
        <w:rPr>
          <w:rFonts w:hint="eastAsia" w:ascii="宋体" w:hAnsi="宋体" w:eastAsia="宋体" w:cs="宋体"/>
          <w:b w:val="0"/>
          <w:bCs/>
          <w:color w:val="000000"/>
          <w:szCs w:val="22"/>
          <w:lang w:eastAsia="zh-CN"/>
        </w:rPr>
        <w:t>。</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3、普通微卡或人脸</w:t>
      </w:r>
      <w:bookmarkEnd w:id="8"/>
      <w:r>
        <w:rPr>
          <w:rFonts w:hint="eastAsia" w:ascii="宋体" w:hAnsi="宋体" w:eastAsia="宋体"/>
          <w:b w:val="0"/>
          <w:color w:val="000000"/>
          <w:lang w:val="en-US" w:eastAsia="zh-CN"/>
        </w:rPr>
        <w:t>抓拍</w:t>
      </w:r>
      <w:bookmarkEnd w:id="9"/>
      <w:bookmarkEnd w:id="10"/>
      <w:bookmarkEnd w:id="11"/>
      <w:bookmarkEnd w:id="12"/>
      <w:bookmarkEnd w:id="13"/>
      <w:r>
        <w:rPr>
          <w:rFonts w:hint="eastAsia" w:ascii="宋体" w:hAnsi="宋体" w:eastAsia="宋体"/>
          <w:b w:val="0"/>
          <w:color w:val="000000"/>
          <w:lang w:val="en-US" w:eastAsia="zh-CN"/>
        </w:rPr>
        <w:t>卡口通用标准</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点位设计应注意布点要求选点满足光照、补光、时间等要求。具体参数标准以采购人建设过程提供为准。</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以普通车辆微卡卡口、人脸卡口功能设计的点位，车牌抓拍率</w:t>
      </w:r>
      <w:r>
        <w:rPr>
          <w:rFonts w:hint="eastAsia" w:ascii="宋体" w:hAnsi="宋体" w:eastAsia="宋体"/>
          <w:b w:val="0"/>
          <w:color w:val="000000"/>
          <w:lang w:val="en-US" w:eastAsia="zh-CN"/>
        </w:rPr>
        <w:t>应不低于90%、</w:t>
      </w:r>
      <w:r>
        <w:rPr>
          <w:rFonts w:hint="eastAsia" w:ascii="宋体" w:hAnsi="宋体" w:eastAsia="宋体"/>
          <w:b w:val="0"/>
          <w:color w:val="000000"/>
          <w:lang w:val="en-US" w:eastAsia="zh-CN"/>
        </w:rPr>
        <w:t>识别有效率应不低于</w:t>
      </w:r>
      <w:r>
        <w:rPr>
          <w:rFonts w:hint="eastAsia" w:ascii="宋体" w:hAnsi="宋体" w:eastAsia="宋体"/>
          <w:b w:val="0"/>
          <w:color w:val="000000"/>
          <w:lang w:val="en-US" w:eastAsia="zh-CN"/>
        </w:rPr>
        <w:t>90</w:t>
      </w:r>
      <w:r>
        <w:rPr>
          <w:rFonts w:hint="eastAsia" w:ascii="宋体" w:hAnsi="宋体" w:eastAsia="宋体"/>
          <w:b w:val="0"/>
          <w:color w:val="000000"/>
          <w:lang w:val="en-US" w:eastAsia="zh-CN"/>
        </w:rPr>
        <w:t>%，人脸抓拍率应不低于</w:t>
      </w:r>
      <w:r>
        <w:rPr>
          <w:rFonts w:hint="eastAsia" w:ascii="宋体" w:hAnsi="宋体" w:eastAsia="宋体"/>
          <w:b w:val="0"/>
          <w:color w:val="000000"/>
          <w:lang w:val="en-US" w:eastAsia="zh-CN"/>
        </w:rPr>
        <w:t>90</w:t>
      </w:r>
      <w:r>
        <w:rPr>
          <w:rFonts w:hint="eastAsia" w:ascii="宋体" w:hAnsi="宋体" w:eastAsia="宋体"/>
          <w:b w:val="0"/>
          <w:color w:val="000000"/>
          <w:lang w:val="en-US" w:eastAsia="zh-CN"/>
        </w:rPr>
        <w:t>%、</w:t>
      </w:r>
      <w:r>
        <w:rPr>
          <w:rFonts w:hint="eastAsia" w:ascii="宋体" w:hAnsi="宋体" w:eastAsia="宋体"/>
          <w:b w:val="0"/>
          <w:color w:val="000000"/>
          <w:lang w:val="en-US" w:eastAsia="zh-CN"/>
        </w:rPr>
        <w:t>识别有效率应不低于80%</w:t>
      </w:r>
      <w:r>
        <w:rPr>
          <w:rFonts w:hint="eastAsia" w:ascii="宋体" w:hAnsi="宋体" w:eastAsia="宋体"/>
          <w:b w:val="0"/>
          <w:color w:val="000000"/>
          <w:lang w:val="en-US" w:eastAsia="zh-CN"/>
        </w:rPr>
        <w:t>。车辆抓拍功能需</w:t>
      </w:r>
      <w:r>
        <w:rPr>
          <w:rFonts w:hint="eastAsia" w:ascii="宋体" w:hAnsi="宋体" w:eastAsia="宋体" w:cs="宋体"/>
          <w:b w:val="0"/>
          <w:bCs/>
          <w:color w:val="000000"/>
          <w:szCs w:val="22"/>
        </w:rPr>
        <w:t>支持4车道以上划线抓拍及提取各车道车辆车牌，支持国标非机动车车牌数据提取（黄标、蓝标）</w:t>
      </w:r>
      <w:r>
        <w:rPr>
          <w:rFonts w:hint="eastAsia" w:ascii="宋体" w:hAnsi="宋体" w:eastAsia="宋体" w:cs="宋体"/>
          <w:b w:val="0"/>
          <w:bCs/>
          <w:color w:val="000000"/>
          <w:szCs w:val="22"/>
          <w:lang w:eastAsia="zh-CN"/>
        </w:rPr>
        <w:t>。</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4、抓拍数据检测要求</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中标供应商在项目完工后工程竣工前，应组织专人对前端设备对照功能设计要求进行逐一调试并记录抓拍数据，直至满足设计需求为止，对于确实因环境等原因造成无法实现设计要求的，由采购人审核确定。对于总体抓拍数据，采购人将通过第三方检测公司抽样检测验证。</w:t>
      </w:r>
    </w:p>
    <w:p>
      <w:pPr>
        <w:snapToGrid w:val="0"/>
        <w:spacing w:line="460" w:lineRule="exact"/>
        <w:ind w:firstLine="440" w:firstLineChars="200"/>
        <w:rPr>
          <w:rFonts w:ascii="宋体" w:hAnsi="宋体" w:eastAsia="宋体"/>
          <w:b w:val="0"/>
          <w:color w:val="000000"/>
        </w:rPr>
      </w:pPr>
      <w:r>
        <w:rPr>
          <w:rFonts w:hint="eastAsia" w:ascii="宋体" w:hAnsi="宋体" w:eastAsia="宋体"/>
          <w:b w:val="0"/>
          <w:color w:val="000000"/>
          <w:sz w:val="22"/>
        </w:rPr>
        <w:t>七、</w:t>
      </w:r>
      <w:bookmarkStart w:id="14" w:name="bookmark30"/>
      <w:bookmarkEnd w:id="14"/>
      <w:r>
        <w:rPr>
          <w:rFonts w:hint="eastAsia" w:ascii="宋体" w:hAnsi="宋体" w:eastAsia="宋体"/>
          <w:b w:val="0"/>
          <w:color w:val="000000"/>
        </w:rPr>
        <w:t>商务条款</w:t>
      </w:r>
    </w:p>
    <w:p>
      <w:pPr>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1、质保期</w:t>
      </w:r>
      <w:r>
        <w:rPr>
          <w:rFonts w:hint="eastAsia" w:ascii="宋体" w:hAnsi="宋体" w:eastAsia="宋体"/>
          <w:b w:val="0"/>
          <w:color w:val="000000"/>
          <w:sz w:val="22"/>
        </w:rPr>
        <w:t>和运维期</w:t>
      </w:r>
    </w:p>
    <w:p>
      <w:pPr>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1.1、本次采购</w:t>
      </w:r>
      <w:r>
        <w:rPr>
          <w:rFonts w:hint="eastAsia" w:ascii="宋体" w:hAnsi="宋体" w:eastAsia="宋体"/>
          <w:b w:val="0"/>
          <w:color w:val="000000"/>
          <w:sz w:val="22"/>
        </w:rPr>
        <w:t>所有设备（除招标文件另有要求外）质保期均为五年，运行维护服务期限根据实际采购为准。</w:t>
      </w:r>
      <w:r>
        <w:rPr>
          <w:rFonts w:ascii="宋体" w:hAnsi="宋体" w:eastAsia="宋体"/>
          <w:b w:val="0"/>
          <w:color w:val="000000"/>
          <w:sz w:val="22"/>
        </w:rPr>
        <w:t>质保期内因产品本身缺陷造成各种故障应由中标供应商免费技术服务和维修。质保期</w:t>
      </w:r>
      <w:r>
        <w:rPr>
          <w:rFonts w:hint="eastAsia" w:ascii="宋体" w:hAnsi="宋体" w:eastAsia="宋体"/>
          <w:b w:val="0"/>
          <w:color w:val="000000"/>
          <w:sz w:val="22"/>
        </w:rPr>
        <w:t>和运维期</w:t>
      </w:r>
      <w:r>
        <w:rPr>
          <w:rFonts w:ascii="宋体" w:hAnsi="宋体" w:eastAsia="宋体"/>
          <w:b w:val="0"/>
          <w:color w:val="000000"/>
          <w:sz w:val="22"/>
        </w:rPr>
        <w:t>自项目整体验收通过之日开始计算。</w:t>
      </w:r>
    </w:p>
    <w:p>
      <w:pPr>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1.2、在质保期内，中标供应商应负责对其提供的设备及时维修、损坏件免费更换，不得收取额外费用。</w:t>
      </w:r>
    </w:p>
    <w:p>
      <w:pPr>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1.3、供应商在投标文件中说明质保期内提供的服务计划。</w:t>
      </w:r>
    </w:p>
    <w:p>
      <w:pPr>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 xml:space="preserve">2、付款方式： </w:t>
      </w:r>
    </w:p>
    <w:p>
      <w:pPr>
        <w:snapToGrid w:val="0"/>
        <w:spacing w:line="460" w:lineRule="exact"/>
        <w:ind w:firstLine="440" w:firstLineChars="200"/>
        <w:rPr>
          <w:rFonts w:hint="default" w:eastAsia="宋体"/>
          <w:color w:val="000000"/>
          <w:lang w:val="en-US" w:eastAsia="zh-CN"/>
        </w:rPr>
      </w:pPr>
      <w:r>
        <w:rPr>
          <w:rFonts w:hint="eastAsia" w:ascii="宋体" w:hAnsi="宋体" w:eastAsia="宋体"/>
          <w:b w:val="0"/>
          <w:color w:val="000000"/>
          <w:sz w:val="22"/>
        </w:rPr>
        <w:t>本项目各标项付款方式如下：</w:t>
      </w:r>
    </w:p>
    <w:tbl>
      <w:tblPr>
        <w:tblStyle w:val="4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679"/>
        <w:gridCol w:w="2688"/>
        <w:gridCol w:w="2087"/>
        <w:gridCol w:w="208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序号</w:t>
            </w:r>
          </w:p>
        </w:tc>
        <w:tc>
          <w:tcPr>
            <w:tcW w:w="679"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标项</w:t>
            </w:r>
          </w:p>
        </w:tc>
        <w:tc>
          <w:tcPr>
            <w:tcW w:w="2688"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子项目</w:t>
            </w:r>
          </w:p>
        </w:tc>
        <w:tc>
          <w:tcPr>
            <w:tcW w:w="2087"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第一阶段支付数</w:t>
            </w:r>
          </w:p>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(合同生效以及具备实施条件后7个工作日内)</w:t>
            </w:r>
          </w:p>
        </w:tc>
        <w:tc>
          <w:tcPr>
            <w:tcW w:w="2088"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第二阶段支付数(验收后支付)</w:t>
            </w:r>
          </w:p>
        </w:tc>
        <w:tc>
          <w:tcPr>
            <w:tcW w:w="213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运维阶段支付数</w:t>
            </w:r>
          </w:p>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(每年运维期满后支付</w:t>
            </w:r>
            <w:r>
              <w:rPr>
                <w:rFonts w:hint="eastAsia" w:ascii="宋体" w:hAnsi="宋体" w:eastAsia="宋体"/>
                <w:b w:val="0"/>
                <w:color w:val="000000"/>
                <w:sz w:val="22"/>
                <w:szCs w:val="22"/>
                <w:lang w:val="en-US" w:eastAsia="zh-CN"/>
              </w:rPr>
              <w:t>或根据采购人根据资金安排需要提前在运维期间支付</w:t>
            </w:r>
            <w:r>
              <w:rPr>
                <w:rFonts w:hint="eastAsia" w:ascii="宋体" w:hAnsi="宋体" w:eastAsia="宋体"/>
                <w:b w:val="0"/>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83"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1</w:t>
            </w:r>
          </w:p>
        </w:tc>
        <w:tc>
          <w:tcPr>
            <w:tcW w:w="679"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一</w:t>
            </w:r>
          </w:p>
        </w:tc>
        <w:tc>
          <w:tcPr>
            <w:tcW w:w="2688"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lang w:val="en-US" w:eastAsia="zh-CN"/>
              </w:rPr>
              <w:t>西片</w:t>
            </w:r>
            <w:r>
              <w:rPr>
                <w:rFonts w:hint="eastAsia" w:ascii="宋体" w:hAnsi="宋体" w:eastAsia="宋体"/>
                <w:b w:val="0"/>
                <w:color w:val="000000"/>
                <w:sz w:val="22"/>
                <w:lang w:val="en-US" w:eastAsia="zh-CN"/>
              </w:rPr>
              <w:t>250处视频监控及人脸识别建设及运维服务项目</w:t>
            </w:r>
          </w:p>
        </w:tc>
        <w:tc>
          <w:tcPr>
            <w:tcW w:w="2087" w:type="dxa"/>
            <w:noWrap w:val="0"/>
            <w:vAlign w:val="center"/>
          </w:tcPr>
          <w:p>
            <w:pPr>
              <w:spacing w:line="460" w:lineRule="exact"/>
              <w:jc w:val="center"/>
              <w:rPr>
                <w:rFonts w:hint="default" w:ascii="宋体" w:hAnsi="宋体" w:eastAsia="宋体"/>
                <w:b w:val="0"/>
                <w:color w:val="000000"/>
                <w:sz w:val="22"/>
                <w:szCs w:val="22"/>
                <w:lang w:val="en-US" w:eastAsia="zh-CN"/>
              </w:rPr>
            </w:pPr>
            <w:r>
              <w:rPr>
                <w:rFonts w:hint="eastAsia" w:ascii="宋体" w:hAnsi="宋体" w:eastAsia="宋体"/>
                <w:b w:val="0"/>
                <w:color w:val="000000"/>
                <w:sz w:val="22"/>
                <w:szCs w:val="22"/>
              </w:rPr>
              <w:t>合同金额的50%</w:t>
            </w:r>
          </w:p>
        </w:tc>
        <w:tc>
          <w:tcPr>
            <w:tcW w:w="2088"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扣除网络及运维服务费和项目实施过程中相关扣款后的合同余款。</w:t>
            </w:r>
          </w:p>
        </w:tc>
        <w:tc>
          <w:tcPr>
            <w:tcW w:w="2130"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扣除运维过程中相关扣款后应付网络及运维服务费。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3</w:t>
            </w:r>
          </w:p>
        </w:tc>
        <w:tc>
          <w:tcPr>
            <w:tcW w:w="679"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二</w:t>
            </w:r>
          </w:p>
        </w:tc>
        <w:tc>
          <w:tcPr>
            <w:tcW w:w="2688"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lang w:val="en-US" w:eastAsia="zh-CN"/>
              </w:rPr>
              <w:t>中片</w:t>
            </w:r>
            <w:r>
              <w:rPr>
                <w:rFonts w:hint="eastAsia" w:ascii="宋体" w:hAnsi="宋体" w:eastAsia="宋体"/>
                <w:b w:val="0"/>
                <w:color w:val="000000"/>
                <w:sz w:val="22"/>
                <w:lang w:val="en-US" w:eastAsia="zh-CN"/>
              </w:rPr>
              <w:t>240处视频监控及人脸识别建设及运维服务项目</w:t>
            </w:r>
          </w:p>
        </w:tc>
        <w:tc>
          <w:tcPr>
            <w:tcW w:w="2087"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合同金额的50%</w:t>
            </w:r>
          </w:p>
        </w:tc>
        <w:tc>
          <w:tcPr>
            <w:tcW w:w="2088"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扣除网络及运维服务费和项目实施过程中相关扣款后的合同余款。</w:t>
            </w:r>
          </w:p>
        </w:tc>
        <w:tc>
          <w:tcPr>
            <w:tcW w:w="2130" w:type="dxa"/>
            <w:noWrap w:val="0"/>
            <w:vAlign w:val="center"/>
          </w:tcPr>
          <w:p>
            <w:pPr>
              <w:spacing w:line="460" w:lineRule="exact"/>
              <w:rPr>
                <w:rFonts w:ascii="宋体" w:hAnsi="宋体" w:eastAsia="宋体"/>
                <w:color w:val="000000"/>
                <w:sz w:val="22"/>
                <w:szCs w:val="22"/>
              </w:rPr>
            </w:pPr>
            <w:r>
              <w:rPr>
                <w:rFonts w:hint="eastAsia" w:ascii="宋体" w:hAnsi="宋体" w:eastAsia="宋体"/>
                <w:b w:val="0"/>
                <w:color w:val="000000"/>
                <w:sz w:val="22"/>
                <w:szCs w:val="22"/>
              </w:rPr>
              <w:t>扣除运维过程中相关扣款后应付网络及运维服务费。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83"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5</w:t>
            </w:r>
          </w:p>
        </w:tc>
        <w:tc>
          <w:tcPr>
            <w:tcW w:w="679"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三</w:t>
            </w:r>
          </w:p>
        </w:tc>
        <w:tc>
          <w:tcPr>
            <w:tcW w:w="2688"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lang w:val="en-US" w:eastAsia="zh-CN"/>
              </w:rPr>
              <w:t>中片</w:t>
            </w:r>
            <w:r>
              <w:rPr>
                <w:rFonts w:hint="eastAsia" w:ascii="宋体" w:hAnsi="宋体" w:eastAsia="宋体"/>
                <w:b w:val="0"/>
                <w:color w:val="000000"/>
                <w:sz w:val="22"/>
                <w:lang w:val="en-US" w:eastAsia="zh-CN"/>
              </w:rPr>
              <w:t>233处视频监控及人脸识别建设及运维服务项目</w:t>
            </w:r>
          </w:p>
        </w:tc>
        <w:tc>
          <w:tcPr>
            <w:tcW w:w="2087"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合同金额的50%</w:t>
            </w:r>
          </w:p>
        </w:tc>
        <w:tc>
          <w:tcPr>
            <w:tcW w:w="2088"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扣除网络及运维服务费和项目实施过程中相关扣款后的合同余款。</w:t>
            </w:r>
          </w:p>
        </w:tc>
        <w:tc>
          <w:tcPr>
            <w:tcW w:w="2130"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扣除运维过程中相关扣款后应付网络及运维服务费。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center"/>
          </w:tcPr>
          <w:p>
            <w:pPr>
              <w:spacing w:line="460" w:lineRule="exact"/>
              <w:jc w:val="center"/>
              <w:rPr>
                <w:rFonts w:hint="eastAsia" w:ascii="宋体" w:hAnsi="宋体" w:eastAsia="宋体"/>
                <w:b w:val="0"/>
                <w:color w:val="000000"/>
                <w:sz w:val="22"/>
                <w:szCs w:val="22"/>
              </w:rPr>
            </w:pPr>
            <w:r>
              <w:rPr>
                <w:rFonts w:hint="eastAsia" w:ascii="宋体" w:hAnsi="宋体" w:eastAsia="宋体"/>
                <w:b w:val="0"/>
                <w:color w:val="000000"/>
                <w:sz w:val="22"/>
                <w:szCs w:val="22"/>
              </w:rPr>
              <w:t>8</w:t>
            </w:r>
          </w:p>
        </w:tc>
        <w:tc>
          <w:tcPr>
            <w:tcW w:w="679"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四</w:t>
            </w:r>
          </w:p>
        </w:tc>
        <w:tc>
          <w:tcPr>
            <w:tcW w:w="2688"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lang w:val="en-US" w:eastAsia="zh-CN"/>
              </w:rPr>
              <w:t>东片</w:t>
            </w:r>
            <w:r>
              <w:rPr>
                <w:rFonts w:hint="eastAsia" w:ascii="宋体" w:hAnsi="宋体" w:eastAsia="宋体"/>
                <w:b w:val="0"/>
                <w:color w:val="000000"/>
                <w:sz w:val="22"/>
                <w:lang w:val="en-US" w:eastAsia="zh-CN"/>
              </w:rPr>
              <w:t>182处视频监控及人脸识别建设及运维服务项目</w:t>
            </w:r>
          </w:p>
        </w:tc>
        <w:tc>
          <w:tcPr>
            <w:tcW w:w="2087"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合同金额的50%</w:t>
            </w:r>
          </w:p>
        </w:tc>
        <w:tc>
          <w:tcPr>
            <w:tcW w:w="2088"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扣除网络及运维服务费和项目实施过程中相关扣款后的合同余款。</w:t>
            </w:r>
          </w:p>
        </w:tc>
        <w:tc>
          <w:tcPr>
            <w:tcW w:w="2130"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扣除运维过程中相关扣款后应付网络及运维服务费。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483" w:type="dxa"/>
            <w:noWrap w:val="0"/>
            <w:vAlign w:val="center"/>
          </w:tcPr>
          <w:p>
            <w:pPr>
              <w:spacing w:line="460" w:lineRule="exact"/>
              <w:jc w:val="center"/>
              <w:rPr>
                <w:rFonts w:hint="eastAsia" w:ascii="宋体" w:hAnsi="宋体" w:eastAsia="宋体"/>
                <w:b w:val="0"/>
                <w:color w:val="000000"/>
                <w:sz w:val="22"/>
                <w:szCs w:val="22"/>
              </w:rPr>
            </w:pPr>
            <w:r>
              <w:rPr>
                <w:rFonts w:hint="eastAsia" w:ascii="宋体" w:hAnsi="宋体" w:eastAsia="宋体"/>
                <w:b w:val="0"/>
                <w:color w:val="000000"/>
                <w:sz w:val="22"/>
                <w:szCs w:val="22"/>
              </w:rPr>
              <w:t>9</w:t>
            </w:r>
          </w:p>
        </w:tc>
        <w:tc>
          <w:tcPr>
            <w:tcW w:w="679"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五</w:t>
            </w:r>
          </w:p>
        </w:tc>
        <w:tc>
          <w:tcPr>
            <w:tcW w:w="2688"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lang w:val="en-US" w:eastAsia="zh-CN"/>
              </w:rPr>
              <w:t>东片</w:t>
            </w:r>
            <w:r>
              <w:rPr>
                <w:rFonts w:hint="eastAsia" w:ascii="宋体" w:hAnsi="宋体" w:eastAsia="宋体"/>
                <w:b w:val="0"/>
                <w:color w:val="000000"/>
                <w:sz w:val="22"/>
                <w:lang w:val="en-US" w:eastAsia="zh-CN"/>
              </w:rPr>
              <w:t>78处视频监控及人脸识别建设及运维服务项目</w:t>
            </w:r>
          </w:p>
        </w:tc>
        <w:tc>
          <w:tcPr>
            <w:tcW w:w="2087"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合同金额的50%</w:t>
            </w:r>
          </w:p>
        </w:tc>
        <w:tc>
          <w:tcPr>
            <w:tcW w:w="2088"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扣除网络及运维服务费和项目实施过程中相关扣款后的合同余款。</w:t>
            </w:r>
          </w:p>
        </w:tc>
        <w:tc>
          <w:tcPr>
            <w:tcW w:w="2130"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扣除运维过程中相关扣款后应付网络及运维服务费。</w:t>
            </w:r>
          </w:p>
        </w:tc>
      </w:tr>
    </w:tbl>
    <w:p>
      <w:pPr>
        <w:snapToGrid w:val="0"/>
        <w:spacing w:line="460" w:lineRule="exact"/>
        <w:ind w:firstLine="440" w:firstLineChars="200"/>
        <w:rPr>
          <w:rFonts w:hint="default" w:ascii="宋体" w:hAnsi="宋体" w:eastAsia="宋体"/>
          <w:b w:val="0"/>
          <w:color w:val="000000"/>
          <w:sz w:val="22"/>
          <w:lang w:val="en-US"/>
        </w:rPr>
      </w:pPr>
      <w:r>
        <w:rPr>
          <w:rFonts w:hint="eastAsia" w:ascii="宋体" w:hAnsi="宋体" w:eastAsia="宋体"/>
          <w:b w:val="0"/>
          <w:color w:val="000000"/>
          <w:sz w:val="22"/>
        </w:rPr>
        <w:t>支付说明：每</w:t>
      </w:r>
      <w:r>
        <w:rPr>
          <w:rFonts w:hint="eastAsia" w:ascii="宋体" w:hAnsi="宋体" w:eastAsia="宋体"/>
          <w:b w:val="0"/>
          <w:color w:val="000000"/>
          <w:sz w:val="22"/>
          <w:lang w:val="en-US" w:eastAsia="zh-CN"/>
        </w:rPr>
        <w:t>个标项的第三阶段费用（运维阶段）采购人可提前根据财政资金支付需要提前支付。</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1、扣罚标准按照本招标文件已明确的条款执行。</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2、城区开挖施工补助费用适用相关情况</w:t>
      </w:r>
      <w:r>
        <w:rPr>
          <w:rFonts w:hint="eastAsia" w:ascii="宋体" w:hAnsi="宋体" w:eastAsia="宋体"/>
          <w:b w:val="0"/>
          <w:color w:val="000000"/>
          <w:sz w:val="22"/>
          <w:lang w:val="en-US" w:eastAsia="zh-CN"/>
        </w:rPr>
        <w:t>及公共区域一体化改革拆除工作结算情况</w:t>
      </w:r>
      <w:r>
        <w:rPr>
          <w:rFonts w:hint="eastAsia" w:ascii="宋体" w:hAnsi="宋体" w:eastAsia="宋体"/>
          <w:b w:val="0"/>
          <w:color w:val="000000"/>
          <w:sz w:val="22"/>
        </w:rPr>
        <w:t>。</w:t>
      </w:r>
    </w:p>
    <w:p>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b w:val="0"/>
          <w:color w:val="000000"/>
          <w:sz w:val="22"/>
        </w:rPr>
      </w:pPr>
      <w:r>
        <w:rPr>
          <w:rFonts w:hint="eastAsia" w:ascii="宋体" w:hAnsi="宋体" w:eastAsia="宋体"/>
          <w:b w:val="0"/>
          <w:color w:val="000000"/>
          <w:sz w:val="22"/>
        </w:rPr>
        <w:t>城区开挖施工补助费用符合标准的点位经采购人确定按每处1500元结算，同时所有标项在实际建设过程中，如产生城区开挖情况且符合要求，采购人视情进行补贴。</w:t>
      </w:r>
    </w:p>
    <w:p>
      <w:pPr>
        <w:pStyle w:val="2"/>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宋体" w:hAnsi="宋体" w:eastAsia="宋体" w:cs="Times New Roman"/>
          <w:b w:val="0"/>
          <w:bCs/>
          <w:color w:val="000000"/>
          <w:sz w:val="22"/>
          <w:lang w:val="en-US" w:eastAsia="zh-CN" w:bidi="ar-SA"/>
        </w:rPr>
      </w:pPr>
      <w:r>
        <w:rPr>
          <w:rFonts w:hint="eastAsia" w:ascii="宋体" w:hAnsi="宋体" w:eastAsia="宋体" w:cs="Times New Roman"/>
          <w:b w:val="0"/>
          <w:bCs/>
          <w:color w:val="000000"/>
          <w:sz w:val="22"/>
          <w:lang w:val="en-US" w:eastAsia="zh-CN" w:bidi="ar-SA"/>
        </w:rPr>
        <w:t>简易拆除按照100元每处结算，复杂点位按照200元每处结算</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3、</w:t>
      </w:r>
      <w:r>
        <w:rPr>
          <w:rFonts w:ascii="宋体" w:hAnsi="宋体" w:eastAsia="宋体"/>
          <w:b w:val="0"/>
          <w:color w:val="000000"/>
          <w:sz w:val="22"/>
        </w:rPr>
        <w:t>完工期</w:t>
      </w:r>
    </w:p>
    <w:tbl>
      <w:tblPr>
        <w:tblStyle w:val="4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92"/>
        <w:gridCol w:w="2410"/>
        <w:gridCol w:w="463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序号</w:t>
            </w:r>
          </w:p>
        </w:tc>
        <w:tc>
          <w:tcPr>
            <w:tcW w:w="992"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标项</w:t>
            </w:r>
          </w:p>
        </w:tc>
        <w:tc>
          <w:tcPr>
            <w:tcW w:w="241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子项目</w:t>
            </w:r>
          </w:p>
        </w:tc>
        <w:tc>
          <w:tcPr>
            <w:tcW w:w="463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完工期说明</w:t>
            </w:r>
          </w:p>
        </w:tc>
        <w:tc>
          <w:tcPr>
            <w:tcW w:w="140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23"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1</w:t>
            </w:r>
          </w:p>
        </w:tc>
        <w:tc>
          <w:tcPr>
            <w:tcW w:w="992"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一</w:t>
            </w:r>
          </w:p>
        </w:tc>
        <w:tc>
          <w:tcPr>
            <w:tcW w:w="241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lang w:val="en-US" w:eastAsia="zh-CN"/>
              </w:rPr>
              <w:t>西片</w:t>
            </w:r>
            <w:r>
              <w:rPr>
                <w:rFonts w:hint="eastAsia" w:ascii="宋体" w:hAnsi="宋体" w:eastAsia="宋体"/>
                <w:b w:val="0"/>
                <w:color w:val="000000"/>
                <w:sz w:val="22"/>
                <w:lang w:val="en-US" w:eastAsia="zh-CN"/>
              </w:rPr>
              <w:t>250处视频监控及人脸识别建设及运维服务项目</w:t>
            </w:r>
          </w:p>
        </w:tc>
        <w:tc>
          <w:tcPr>
            <w:tcW w:w="4630"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签订合同并收到开工令后</w:t>
            </w:r>
            <w:r>
              <w:rPr>
                <w:rFonts w:hint="eastAsia" w:ascii="宋体" w:hAnsi="宋体" w:eastAsia="宋体"/>
                <w:b w:val="0"/>
                <w:color w:val="000000"/>
                <w:sz w:val="22"/>
                <w:szCs w:val="22"/>
                <w:lang w:val="en-US" w:eastAsia="zh-CN"/>
              </w:rPr>
              <w:t>1</w:t>
            </w:r>
            <w:r>
              <w:rPr>
                <w:rFonts w:hint="eastAsia" w:ascii="宋体" w:hAnsi="宋体" w:eastAsia="宋体"/>
                <w:b w:val="0"/>
                <w:color w:val="000000"/>
                <w:sz w:val="22"/>
                <w:szCs w:val="22"/>
                <w:lang w:val="en-US" w:eastAsia="zh-CN"/>
              </w:rPr>
              <w:t>80</w:t>
            </w:r>
            <w:r>
              <w:rPr>
                <w:rFonts w:hint="eastAsia" w:ascii="宋体" w:hAnsi="宋体" w:eastAsia="宋体"/>
                <w:b w:val="0"/>
                <w:color w:val="000000"/>
                <w:sz w:val="22"/>
                <w:szCs w:val="22"/>
              </w:rPr>
              <w:t>天内完成设备安装和系统调试并进入试运行阶段</w:t>
            </w:r>
          </w:p>
        </w:tc>
        <w:tc>
          <w:tcPr>
            <w:tcW w:w="140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3</w:t>
            </w:r>
          </w:p>
        </w:tc>
        <w:tc>
          <w:tcPr>
            <w:tcW w:w="992"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二</w:t>
            </w:r>
          </w:p>
        </w:tc>
        <w:tc>
          <w:tcPr>
            <w:tcW w:w="241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lang w:val="en-US" w:eastAsia="zh-CN"/>
              </w:rPr>
              <w:t>中片</w:t>
            </w:r>
            <w:r>
              <w:rPr>
                <w:rFonts w:hint="eastAsia" w:ascii="宋体" w:hAnsi="宋体" w:eastAsia="宋体"/>
                <w:b w:val="0"/>
                <w:color w:val="000000"/>
                <w:sz w:val="22"/>
                <w:lang w:val="en-US" w:eastAsia="zh-CN"/>
              </w:rPr>
              <w:t>240处视频监控及人脸识别建设及运维服务项目</w:t>
            </w:r>
          </w:p>
        </w:tc>
        <w:tc>
          <w:tcPr>
            <w:tcW w:w="4630"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签订合同并收到开工令后</w:t>
            </w:r>
            <w:r>
              <w:rPr>
                <w:rFonts w:hint="eastAsia" w:ascii="宋体" w:hAnsi="宋体" w:eastAsia="宋体"/>
                <w:b w:val="0"/>
                <w:color w:val="000000"/>
                <w:sz w:val="22"/>
                <w:szCs w:val="22"/>
                <w:lang w:val="en-US" w:eastAsia="zh-CN"/>
              </w:rPr>
              <w:t>1</w:t>
            </w:r>
            <w:r>
              <w:rPr>
                <w:rFonts w:hint="eastAsia" w:ascii="宋体" w:hAnsi="宋体" w:eastAsia="宋体"/>
                <w:b w:val="0"/>
                <w:color w:val="000000"/>
                <w:sz w:val="22"/>
                <w:szCs w:val="22"/>
                <w:lang w:val="en-US" w:eastAsia="zh-CN"/>
              </w:rPr>
              <w:t>80</w:t>
            </w:r>
            <w:r>
              <w:rPr>
                <w:rFonts w:hint="eastAsia" w:ascii="宋体" w:hAnsi="宋体" w:eastAsia="宋体"/>
                <w:b w:val="0"/>
                <w:color w:val="000000"/>
                <w:sz w:val="22"/>
                <w:szCs w:val="22"/>
              </w:rPr>
              <w:t>天内完成设备安装和系统调试并进入试运行阶段</w:t>
            </w:r>
          </w:p>
        </w:tc>
        <w:tc>
          <w:tcPr>
            <w:tcW w:w="1400" w:type="dxa"/>
            <w:noWrap w:val="0"/>
            <w:vAlign w:val="center"/>
          </w:tcPr>
          <w:p>
            <w:pPr>
              <w:spacing w:line="460" w:lineRule="exact"/>
              <w:jc w:val="center"/>
              <w:rPr>
                <w:rFonts w:ascii="宋体" w:hAnsi="宋体" w:eastAsia="宋体"/>
                <w:color w:val="000000"/>
                <w:sz w:val="22"/>
                <w:szCs w:val="22"/>
              </w:rPr>
            </w:pPr>
            <w:r>
              <w:rPr>
                <w:rFonts w:hint="eastAsia" w:ascii="宋体" w:hAnsi="宋体" w:eastAsia="宋体"/>
                <w:b w:val="0"/>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23"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5</w:t>
            </w:r>
          </w:p>
        </w:tc>
        <w:tc>
          <w:tcPr>
            <w:tcW w:w="992"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三</w:t>
            </w:r>
          </w:p>
        </w:tc>
        <w:tc>
          <w:tcPr>
            <w:tcW w:w="241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lang w:val="en-US" w:eastAsia="zh-CN"/>
              </w:rPr>
              <w:t>中片</w:t>
            </w:r>
            <w:r>
              <w:rPr>
                <w:rFonts w:hint="eastAsia" w:ascii="宋体" w:hAnsi="宋体" w:eastAsia="宋体"/>
                <w:b w:val="0"/>
                <w:color w:val="000000"/>
                <w:sz w:val="22"/>
                <w:lang w:val="en-US" w:eastAsia="zh-CN"/>
              </w:rPr>
              <w:t>233处视频监控及人脸识别建设及运维服务项目</w:t>
            </w:r>
          </w:p>
        </w:tc>
        <w:tc>
          <w:tcPr>
            <w:tcW w:w="4630"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签订合同并收到开工令后</w:t>
            </w:r>
            <w:r>
              <w:rPr>
                <w:rFonts w:hint="eastAsia" w:ascii="宋体" w:hAnsi="宋体" w:eastAsia="宋体"/>
                <w:b w:val="0"/>
                <w:color w:val="000000"/>
                <w:sz w:val="22"/>
                <w:szCs w:val="22"/>
                <w:lang w:val="en-US" w:eastAsia="zh-CN"/>
              </w:rPr>
              <w:t>1</w:t>
            </w:r>
            <w:r>
              <w:rPr>
                <w:rFonts w:hint="eastAsia" w:ascii="宋体" w:hAnsi="宋体" w:eastAsia="宋体"/>
                <w:b w:val="0"/>
                <w:color w:val="000000"/>
                <w:sz w:val="22"/>
                <w:szCs w:val="22"/>
                <w:lang w:val="en-US" w:eastAsia="zh-CN"/>
              </w:rPr>
              <w:t>80</w:t>
            </w:r>
            <w:r>
              <w:rPr>
                <w:rFonts w:hint="eastAsia" w:ascii="宋体" w:hAnsi="宋体" w:eastAsia="宋体"/>
                <w:b w:val="0"/>
                <w:color w:val="000000"/>
                <w:sz w:val="22"/>
                <w:szCs w:val="22"/>
              </w:rPr>
              <w:t>天内完成设备安装和系统调试并进入试运行阶段</w:t>
            </w:r>
          </w:p>
        </w:tc>
        <w:tc>
          <w:tcPr>
            <w:tcW w:w="140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pacing w:line="460" w:lineRule="exact"/>
              <w:jc w:val="center"/>
              <w:rPr>
                <w:rFonts w:hint="eastAsia" w:ascii="宋体" w:hAnsi="宋体" w:eastAsia="宋体"/>
                <w:b w:val="0"/>
                <w:color w:val="000000"/>
                <w:sz w:val="22"/>
                <w:szCs w:val="22"/>
              </w:rPr>
            </w:pPr>
            <w:r>
              <w:rPr>
                <w:rFonts w:hint="eastAsia" w:ascii="宋体" w:hAnsi="宋体" w:eastAsia="宋体"/>
                <w:b w:val="0"/>
                <w:color w:val="000000"/>
                <w:sz w:val="22"/>
                <w:szCs w:val="22"/>
              </w:rPr>
              <w:t>8</w:t>
            </w:r>
          </w:p>
        </w:tc>
        <w:tc>
          <w:tcPr>
            <w:tcW w:w="992"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四</w:t>
            </w:r>
          </w:p>
        </w:tc>
        <w:tc>
          <w:tcPr>
            <w:tcW w:w="241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lang w:val="en-US" w:eastAsia="zh-CN"/>
              </w:rPr>
              <w:t>东片</w:t>
            </w:r>
            <w:r>
              <w:rPr>
                <w:rFonts w:hint="eastAsia" w:ascii="宋体" w:hAnsi="宋体" w:eastAsia="宋体"/>
                <w:b w:val="0"/>
                <w:color w:val="000000"/>
                <w:sz w:val="22"/>
                <w:lang w:val="en-US" w:eastAsia="zh-CN"/>
              </w:rPr>
              <w:t>182处视频监控及人脸识别建设及运维服务项目</w:t>
            </w:r>
          </w:p>
        </w:tc>
        <w:tc>
          <w:tcPr>
            <w:tcW w:w="4630"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签订合同并收到开工令后</w:t>
            </w:r>
            <w:r>
              <w:rPr>
                <w:rFonts w:hint="eastAsia" w:ascii="宋体" w:hAnsi="宋体" w:eastAsia="宋体"/>
                <w:b w:val="0"/>
                <w:color w:val="000000"/>
                <w:sz w:val="22"/>
                <w:szCs w:val="22"/>
                <w:lang w:val="en-US" w:eastAsia="zh-CN"/>
              </w:rPr>
              <w:t>1</w:t>
            </w:r>
            <w:r>
              <w:rPr>
                <w:rFonts w:hint="eastAsia" w:ascii="宋体" w:hAnsi="宋体" w:eastAsia="宋体"/>
                <w:b w:val="0"/>
                <w:color w:val="000000"/>
                <w:sz w:val="22"/>
                <w:szCs w:val="22"/>
                <w:lang w:val="en-US" w:eastAsia="zh-CN"/>
              </w:rPr>
              <w:t>80</w:t>
            </w:r>
            <w:r>
              <w:rPr>
                <w:rFonts w:hint="eastAsia" w:ascii="宋体" w:hAnsi="宋体" w:eastAsia="宋体"/>
                <w:b w:val="0"/>
                <w:color w:val="000000"/>
                <w:sz w:val="22"/>
                <w:szCs w:val="22"/>
              </w:rPr>
              <w:t>天内完成设备安装和系统调试并进入试运行阶段</w:t>
            </w:r>
          </w:p>
        </w:tc>
        <w:tc>
          <w:tcPr>
            <w:tcW w:w="140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pacing w:line="460" w:lineRule="exact"/>
              <w:jc w:val="center"/>
              <w:rPr>
                <w:rFonts w:hint="eastAsia" w:ascii="宋体" w:hAnsi="宋体" w:eastAsia="宋体"/>
                <w:b w:val="0"/>
                <w:color w:val="000000"/>
                <w:sz w:val="22"/>
                <w:szCs w:val="22"/>
              </w:rPr>
            </w:pPr>
            <w:r>
              <w:rPr>
                <w:rFonts w:hint="eastAsia" w:ascii="宋体" w:hAnsi="宋体" w:eastAsia="宋体"/>
                <w:b w:val="0"/>
                <w:color w:val="000000"/>
                <w:sz w:val="22"/>
                <w:szCs w:val="22"/>
              </w:rPr>
              <w:t>9</w:t>
            </w:r>
          </w:p>
        </w:tc>
        <w:tc>
          <w:tcPr>
            <w:tcW w:w="992"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五</w:t>
            </w:r>
          </w:p>
        </w:tc>
        <w:tc>
          <w:tcPr>
            <w:tcW w:w="241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lang w:val="en-US" w:eastAsia="zh-CN"/>
              </w:rPr>
              <w:t>东片</w:t>
            </w:r>
            <w:r>
              <w:rPr>
                <w:rFonts w:hint="eastAsia" w:ascii="宋体" w:hAnsi="宋体" w:eastAsia="宋体"/>
                <w:b w:val="0"/>
                <w:color w:val="000000"/>
                <w:sz w:val="22"/>
                <w:lang w:val="en-US" w:eastAsia="zh-CN"/>
              </w:rPr>
              <w:t>78处视频监控及人脸识别建设及运维服务项目</w:t>
            </w:r>
          </w:p>
        </w:tc>
        <w:tc>
          <w:tcPr>
            <w:tcW w:w="4630" w:type="dxa"/>
            <w:noWrap w:val="0"/>
            <w:vAlign w:val="center"/>
          </w:tcPr>
          <w:p>
            <w:pPr>
              <w:spacing w:line="460" w:lineRule="exact"/>
              <w:rPr>
                <w:rFonts w:ascii="宋体" w:hAnsi="宋体" w:eastAsia="宋体"/>
                <w:b w:val="0"/>
                <w:color w:val="000000"/>
                <w:sz w:val="22"/>
                <w:szCs w:val="22"/>
              </w:rPr>
            </w:pPr>
            <w:r>
              <w:rPr>
                <w:rFonts w:hint="eastAsia" w:ascii="宋体" w:hAnsi="宋体" w:eastAsia="宋体"/>
                <w:b w:val="0"/>
                <w:color w:val="000000"/>
                <w:sz w:val="22"/>
                <w:szCs w:val="22"/>
              </w:rPr>
              <w:t>签订合同并收到开工令后</w:t>
            </w:r>
            <w:r>
              <w:rPr>
                <w:rFonts w:hint="eastAsia" w:ascii="宋体" w:hAnsi="宋体" w:eastAsia="宋体"/>
                <w:b w:val="0"/>
                <w:color w:val="000000"/>
                <w:sz w:val="22"/>
                <w:szCs w:val="22"/>
                <w:lang w:val="en-US" w:eastAsia="zh-CN"/>
              </w:rPr>
              <w:t>1</w:t>
            </w:r>
            <w:r>
              <w:rPr>
                <w:rFonts w:hint="eastAsia" w:ascii="宋体" w:hAnsi="宋体" w:eastAsia="宋体"/>
                <w:b w:val="0"/>
                <w:color w:val="000000"/>
                <w:sz w:val="22"/>
                <w:szCs w:val="22"/>
                <w:lang w:val="en-US" w:eastAsia="zh-CN"/>
              </w:rPr>
              <w:t>80</w:t>
            </w:r>
            <w:r>
              <w:rPr>
                <w:rFonts w:hint="eastAsia" w:ascii="宋体" w:hAnsi="宋体" w:eastAsia="宋体"/>
                <w:b w:val="0"/>
                <w:color w:val="000000"/>
                <w:sz w:val="22"/>
                <w:szCs w:val="22"/>
              </w:rPr>
              <w:t>天内完成设备安装和系统调试并进入试运行阶段</w:t>
            </w:r>
          </w:p>
        </w:tc>
        <w:tc>
          <w:tcPr>
            <w:tcW w:w="1400" w:type="dxa"/>
            <w:noWrap w:val="0"/>
            <w:vAlign w:val="center"/>
          </w:tcPr>
          <w:p>
            <w:pPr>
              <w:spacing w:line="460" w:lineRule="exact"/>
              <w:jc w:val="center"/>
              <w:rPr>
                <w:rFonts w:ascii="宋体" w:hAnsi="宋体" w:eastAsia="宋体"/>
                <w:b w:val="0"/>
                <w:color w:val="000000"/>
                <w:sz w:val="22"/>
                <w:szCs w:val="22"/>
              </w:rPr>
            </w:pPr>
            <w:r>
              <w:rPr>
                <w:rFonts w:hint="eastAsia" w:ascii="宋体" w:hAnsi="宋体" w:eastAsia="宋体"/>
                <w:b w:val="0"/>
                <w:color w:val="000000"/>
                <w:sz w:val="22"/>
                <w:szCs w:val="22"/>
              </w:rPr>
              <w:t>/</w:t>
            </w:r>
          </w:p>
        </w:tc>
      </w:tr>
    </w:tbl>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所有标项的子项目，</w:t>
      </w:r>
      <w:r>
        <w:rPr>
          <w:rFonts w:ascii="宋体" w:hAnsi="宋体" w:eastAsia="宋体"/>
          <w:b w:val="0"/>
          <w:color w:val="000000"/>
          <w:sz w:val="22"/>
        </w:rPr>
        <w:t>中标供应商应提供详细的实施计划、工期，要求以月为单位列出可量化的实施进度，方便采购人监督。</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4</w:t>
      </w:r>
      <w:r>
        <w:rPr>
          <w:rFonts w:ascii="宋体" w:hAnsi="宋体" w:eastAsia="宋体"/>
          <w:b w:val="0"/>
          <w:color w:val="000000"/>
          <w:sz w:val="22"/>
        </w:rPr>
        <w:t>、设备产权归属</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4</w:t>
      </w:r>
      <w:r>
        <w:rPr>
          <w:rFonts w:ascii="宋体" w:hAnsi="宋体" w:eastAsia="宋体"/>
          <w:b w:val="0"/>
          <w:color w:val="000000"/>
          <w:sz w:val="22"/>
        </w:rPr>
        <w:t>.1、采购人拥有整个项目涉及设备的永久使用权，</w:t>
      </w:r>
      <w:r>
        <w:rPr>
          <w:rFonts w:hint="eastAsia" w:ascii="宋体" w:hAnsi="宋体" w:eastAsia="宋体"/>
          <w:b w:val="0"/>
          <w:color w:val="000000"/>
          <w:sz w:val="22"/>
        </w:rPr>
        <w:t>乐清市公安局</w:t>
      </w:r>
      <w:r>
        <w:rPr>
          <w:rFonts w:ascii="宋体" w:hAnsi="宋体" w:eastAsia="宋体"/>
          <w:b w:val="0"/>
          <w:color w:val="000000"/>
          <w:sz w:val="22"/>
        </w:rPr>
        <w:t>有权在其他项目中使用该项目各类资源。</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4</w:t>
      </w:r>
      <w:r>
        <w:rPr>
          <w:rFonts w:ascii="宋体" w:hAnsi="宋体" w:eastAsia="宋体"/>
          <w:b w:val="0"/>
          <w:color w:val="000000"/>
          <w:sz w:val="22"/>
        </w:rPr>
        <w:t>.2、中标供应商在收到采购人支付的所有项目合同规定的支付</w:t>
      </w:r>
      <w:r>
        <w:rPr>
          <w:rFonts w:hint="eastAsia" w:ascii="宋体" w:hAnsi="宋体" w:eastAsia="宋体"/>
          <w:b w:val="0"/>
          <w:color w:val="000000"/>
          <w:sz w:val="22"/>
        </w:rPr>
        <w:t>建设部分</w:t>
      </w:r>
      <w:r>
        <w:rPr>
          <w:rFonts w:ascii="宋体" w:hAnsi="宋体" w:eastAsia="宋体"/>
          <w:b w:val="0"/>
          <w:color w:val="000000"/>
          <w:sz w:val="22"/>
        </w:rPr>
        <w:t>款项后，须将项目涉及的设备（以合同附件上注明的设备清单为准）所有权由中标供应商一次性全部移交给采购人。</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5</w:t>
      </w:r>
      <w:r>
        <w:rPr>
          <w:rFonts w:ascii="宋体" w:hAnsi="宋体" w:eastAsia="宋体"/>
          <w:b w:val="0"/>
          <w:color w:val="000000"/>
          <w:sz w:val="22"/>
        </w:rPr>
        <w:t>、</w:t>
      </w:r>
      <w:r>
        <w:rPr>
          <w:rFonts w:hint="eastAsia" w:ascii="宋体" w:hAnsi="宋体" w:eastAsia="宋体"/>
          <w:b w:val="0"/>
          <w:color w:val="000000"/>
          <w:sz w:val="22"/>
        </w:rPr>
        <w:t>项目</w:t>
      </w:r>
      <w:r>
        <w:rPr>
          <w:rFonts w:ascii="宋体" w:hAnsi="宋体" w:eastAsia="宋体"/>
          <w:b w:val="0"/>
          <w:color w:val="000000"/>
          <w:sz w:val="22"/>
        </w:rPr>
        <w:t>验收</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5</w:t>
      </w:r>
      <w:r>
        <w:rPr>
          <w:rFonts w:ascii="宋体" w:hAnsi="宋体" w:eastAsia="宋体"/>
          <w:b w:val="0"/>
          <w:color w:val="000000"/>
          <w:sz w:val="22"/>
        </w:rPr>
        <w:t>.1、中标供应商须提供符合招标文件和国家相关质量标准的全新合格货物。如发生所供货物与现行国家政策法规、合同约定不符，采购人有权拒收、退货、解除合同，或者中标供应商予以免费更换。</w:t>
      </w:r>
    </w:p>
    <w:p>
      <w:pPr>
        <w:pStyle w:val="149"/>
        <w:spacing w:line="460" w:lineRule="exact"/>
        <w:ind w:firstLine="440" w:firstLineChars="200"/>
        <w:rPr>
          <w:rFonts w:ascii="宋体" w:hAnsi="宋体" w:eastAsia="宋体"/>
          <w:b w:val="0"/>
          <w:color w:val="000000"/>
          <w:lang w:val="en-US" w:eastAsia="zh-CN"/>
        </w:rPr>
      </w:pPr>
      <w:r>
        <w:rPr>
          <w:rFonts w:hint="eastAsia" w:ascii="宋体" w:hAnsi="宋体" w:eastAsia="宋体"/>
          <w:b w:val="0"/>
          <w:color w:val="000000"/>
          <w:lang w:val="en-US" w:eastAsia="zh-CN"/>
        </w:rPr>
        <w:t>5</w:t>
      </w:r>
      <w:r>
        <w:rPr>
          <w:rFonts w:ascii="宋体" w:hAnsi="宋体" w:eastAsia="宋体"/>
          <w:b w:val="0"/>
          <w:color w:val="000000"/>
          <w:lang w:val="en-US" w:eastAsia="zh-CN"/>
        </w:rPr>
        <w:t>.2、</w:t>
      </w:r>
      <w:r>
        <w:rPr>
          <w:rFonts w:ascii="宋体" w:hAnsi="宋体" w:eastAsia="宋体"/>
          <w:color w:val="000000"/>
          <w:lang w:val="en-US" w:eastAsia="zh-CN"/>
        </w:rPr>
        <w:t>本项目采用用户单位现场验收方式进行</w:t>
      </w:r>
      <w:r>
        <w:rPr>
          <w:rFonts w:hint="eastAsia" w:ascii="宋体" w:hAnsi="宋体" w:eastAsia="宋体"/>
          <w:color w:val="000000"/>
          <w:lang w:val="en-US" w:eastAsia="zh-CN"/>
        </w:rPr>
        <w:t>，但不排除结合邀请</w:t>
      </w:r>
      <w:r>
        <w:rPr>
          <w:rFonts w:ascii="宋体" w:hAnsi="宋体" w:eastAsia="宋体"/>
          <w:color w:val="000000"/>
          <w:lang w:val="en-US" w:eastAsia="zh-CN"/>
        </w:rPr>
        <w:t>具有法定资质的第三方检测机构按招标文件规定要求进行检测（查）并提供</w:t>
      </w:r>
      <w:r>
        <w:rPr>
          <w:rFonts w:hint="eastAsia" w:ascii="宋体" w:hAnsi="宋体" w:eastAsia="宋体"/>
          <w:color w:val="000000"/>
          <w:lang w:val="en-US" w:eastAsia="zh-CN"/>
        </w:rPr>
        <w:t>的</w:t>
      </w:r>
      <w:r>
        <w:rPr>
          <w:rFonts w:ascii="宋体" w:hAnsi="宋体" w:eastAsia="宋体"/>
          <w:color w:val="000000"/>
          <w:lang w:val="en-US" w:eastAsia="zh-CN"/>
        </w:rPr>
        <w:t>检测（查）报告的方式进行</w:t>
      </w:r>
      <w:r>
        <w:rPr>
          <w:rFonts w:ascii="宋体" w:hAnsi="宋体" w:eastAsia="宋体"/>
          <w:b w:val="0"/>
          <w:color w:val="000000"/>
          <w:lang w:val="en-US" w:eastAsia="zh-CN"/>
        </w:rPr>
        <w:t>。</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5.3、</w:t>
      </w:r>
      <w:r>
        <w:rPr>
          <w:rFonts w:hint="eastAsia" w:ascii="宋体" w:hAnsi="宋体" w:eastAsia="宋体"/>
          <w:color w:val="000000"/>
          <w:sz w:val="22"/>
        </w:rPr>
        <w:t>本次招标的货物如涉及国家规定强制认证的，供应商未在投标文件偏离表中用明显字体予以声明的，均视为供应商投标产品符合了</w:t>
      </w:r>
      <w:r>
        <w:rPr>
          <w:rFonts w:ascii="宋体" w:hAnsi="宋体" w:eastAsia="宋体"/>
          <w:color w:val="000000"/>
          <w:sz w:val="22"/>
        </w:rPr>
        <w:t>强制认证规定</w:t>
      </w:r>
      <w:r>
        <w:rPr>
          <w:rFonts w:hint="eastAsia" w:ascii="宋体" w:hAnsi="宋体" w:eastAsia="宋体"/>
          <w:color w:val="000000"/>
          <w:sz w:val="22"/>
        </w:rPr>
        <w:t>（如工业产品生产许可证，</w:t>
      </w:r>
      <w:r>
        <w:rPr>
          <w:rFonts w:ascii="宋体" w:hAnsi="宋体" w:eastAsia="宋体"/>
          <w:color w:val="000000"/>
          <w:sz w:val="22"/>
        </w:rPr>
        <w:t>3C认证</w:t>
      </w:r>
      <w:r>
        <w:rPr>
          <w:rFonts w:hint="eastAsia" w:ascii="宋体" w:hAnsi="宋体" w:eastAsia="宋体"/>
          <w:color w:val="000000"/>
          <w:sz w:val="22"/>
        </w:rPr>
        <w:t>，</w:t>
      </w:r>
      <w:r>
        <w:rPr>
          <w:rFonts w:ascii="宋体" w:hAnsi="宋体" w:eastAsia="宋体"/>
          <w:color w:val="000000"/>
          <w:sz w:val="22"/>
        </w:rPr>
        <w:t>等</w:t>
      </w:r>
      <w:r>
        <w:rPr>
          <w:rFonts w:hint="eastAsia" w:ascii="宋体" w:hAnsi="宋体" w:eastAsia="宋体"/>
          <w:color w:val="000000"/>
          <w:sz w:val="22"/>
        </w:rPr>
        <w:t>等）</w:t>
      </w:r>
      <w:r>
        <w:rPr>
          <w:rFonts w:ascii="宋体" w:hAnsi="宋体" w:eastAsia="宋体"/>
          <w:color w:val="000000"/>
          <w:sz w:val="22"/>
        </w:rPr>
        <w:t>，中标供应商须在采购人对上述</w:t>
      </w:r>
      <w:r>
        <w:rPr>
          <w:rFonts w:hint="eastAsia" w:ascii="宋体" w:hAnsi="宋体" w:eastAsia="宋体"/>
          <w:color w:val="000000"/>
          <w:sz w:val="22"/>
        </w:rPr>
        <w:t>货物</w:t>
      </w:r>
      <w:r>
        <w:rPr>
          <w:rFonts w:ascii="宋体" w:hAnsi="宋体" w:eastAsia="宋体"/>
          <w:color w:val="000000"/>
          <w:sz w:val="22"/>
        </w:rPr>
        <w:t>验收时提供相关证书证明资料（上述</w:t>
      </w:r>
      <w:r>
        <w:rPr>
          <w:rFonts w:hint="eastAsia" w:ascii="宋体" w:hAnsi="宋体" w:eastAsia="宋体"/>
          <w:color w:val="000000"/>
          <w:sz w:val="22"/>
        </w:rPr>
        <w:t>产品</w:t>
      </w:r>
      <w:r>
        <w:rPr>
          <w:rFonts w:ascii="宋体" w:hAnsi="宋体" w:eastAsia="宋体"/>
          <w:color w:val="000000"/>
          <w:sz w:val="22"/>
        </w:rPr>
        <w:t>相关强制认证的证明文件投标时不需提供</w:t>
      </w:r>
      <w:r>
        <w:rPr>
          <w:rFonts w:hint="eastAsia" w:ascii="宋体" w:hAnsi="宋体" w:eastAsia="宋体"/>
          <w:color w:val="000000"/>
          <w:sz w:val="22"/>
        </w:rPr>
        <w:t>，招标文件另有要求的除外</w:t>
      </w:r>
      <w:r>
        <w:rPr>
          <w:rFonts w:ascii="宋体" w:hAnsi="宋体" w:eastAsia="宋体"/>
          <w:color w:val="000000"/>
          <w:sz w:val="22"/>
        </w:rPr>
        <w:t>），否则</w:t>
      </w:r>
      <w:r>
        <w:rPr>
          <w:rFonts w:hint="eastAsia" w:ascii="宋体" w:hAnsi="宋体" w:eastAsia="宋体"/>
          <w:color w:val="000000"/>
          <w:sz w:val="22"/>
        </w:rPr>
        <w:t>按</w:t>
      </w:r>
      <w:r>
        <w:rPr>
          <w:rFonts w:ascii="宋体" w:hAnsi="宋体" w:eastAsia="宋体"/>
          <w:color w:val="000000"/>
          <w:sz w:val="22"/>
        </w:rPr>
        <w:t>验收不能通过</w:t>
      </w:r>
      <w:r>
        <w:rPr>
          <w:rFonts w:hint="eastAsia" w:ascii="宋体" w:hAnsi="宋体" w:eastAsia="宋体"/>
          <w:color w:val="000000"/>
          <w:sz w:val="22"/>
        </w:rPr>
        <w:t>，采购人给予退货、解除合同或经采购人同意换货</w:t>
      </w:r>
      <w:r>
        <w:rPr>
          <w:rFonts w:ascii="宋体" w:hAnsi="宋体" w:eastAsia="宋体"/>
          <w:color w:val="000000"/>
          <w:sz w:val="22"/>
        </w:rPr>
        <w:t>处理，</w:t>
      </w:r>
      <w:r>
        <w:rPr>
          <w:rFonts w:hint="eastAsia" w:ascii="宋体" w:hAnsi="宋体" w:eastAsia="宋体"/>
          <w:color w:val="000000"/>
          <w:sz w:val="22"/>
        </w:rPr>
        <w:t>中标供应商自行承担由此造成的损失</w:t>
      </w:r>
      <w:r>
        <w:rPr>
          <w:rFonts w:ascii="宋体" w:hAnsi="宋体" w:eastAsia="宋体"/>
          <w:b w:val="0"/>
          <w:color w:val="000000"/>
          <w:sz w:val="22"/>
        </w:rPr>
        <w:t>。</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5.4、因以上条款因素导致工期延误的，采购人有权在支付合同款时进行扣款，采购人有权向供应商依法索赔。</w:t>
      </w:r>
    </w:p>
    <w:p>
      <w:pPr>
        <w:widowControl/>
        <w:autoSpaceDE w:val="0"/>
        <w:autoSpaceDN w:val="0"/>
        <w:snapToGrid w:val="0"/>
        <w:spacing w:line="460" w:lineRule="exact"/>
        <w:ind w:firstLine="440" w:firstLineChars="200"/>
        <w:rPr>
          <w:rFonts w:ascii="宋体" w:hAnsi="宋体" w:eastAsia="宋体"/>
          <w:b w:val="0"/>
          <w:color w:val="000000"/>
          <w:sz w:val="22"/>
        </w:rPr>
      </w:pPr>
      <w:bookmarkStart w:id="15" w:name="_Toc157410887"/>
      <w:r>
        <w:rPr>
          <w:rFonts w:hint="eastAsia" w:ascii="宋体" w:hAnsi="宋体" w:eastAsia="宋体"/>
          <w:b w:val="0"/>
          <w:color w:val="000000"/>
          <w:sz w:val="22"/>
        </w:rPr>
        <w:t>八、工作范围：</w:t>
      </w:r>
      <w:bookmarkEnd w:id="15"/>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根据招标文件，各供应商须按国家有关标准及规范完成下列工作：</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1、提供完整成套的设备；</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2、产品及相关附件的提供、运输、装卸、就位、安装、调试、检验、通过验收；</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3、完成各项安装调试、检验、测试工作，并在采购人的配合下通过的验收；提供各种数据资料；直至通过验收；</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4、对最终使用单位的操作人员及维修人员进行技术培训；</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5、质保期内的维保及维修；</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6、售后服务的措施及承诺。</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以上工作内容的费用均包含在投标总价中。</w:t>
      </w:r>
    </w:p>
    <w:p>
      <w:pPr>
        <w:snapToGrid w:val="0"/>
        <w:spacing w:line="460" w:lineRule="atLeast"/>
        <w:ind w:firstLine="480"/>
        <w:jc w:val="center"/>
        <w:rPr>
          <w:rFonts w:ascii="宋体" w:hAnsi="宋体" w:eastAsia="宋体"/>
          <w:b w:val="0"/>
          <w:color w:val="000000"/>
          <w:sz w:val="36"/>
          <w:lang w:val="zh-CN"/>
        </w:rPr>
      </w:pPr>
      <w:r>
        <w:rPr>
          <w:rFonts w:ascii="宋体" w:hAnsi="宋体" w:eastAsia="宋体"/>
          <w:color w:val="000000"/>
        </w:rPr>
        <w:br w:type="page"/>
      </w:r>
      <w:r>
        <w:rPr>
          <w:rFonts w:hint="eastAsia" w:ascii="宋体" w:hAnsi="宋体" w:eastAsia="宋体"/>
          <w:b w:val="0"/>
          <w:color w:val="000000"/>
          <w:sz w:val="36"/>
          <w:lang w:val="zh-CN"/>
        </w:rPr>
        <w:t>第三部分</w:t>
      </w:r>
      <w:r>
        <w:rPr>
          <w:rFonts w:ascii="宋体" w:hAnsi="宋体" w:eastAsia="宋体"/>
          <w:b w:val="0"/>
          <w:color w:val="000000"/>
          <w:sz w:val="36"/>
          <w:lang w:val="zh-CN"/>
        </w:rPr>
        <w:t xml:space="preserve">   </w:t>
      </w:r>
      <w:r>
        <w:rPr>
          <w:rFonts w:hint="eastAsia" w:ascii="宋体" w:hAnsi="宋体" w:eastAsia="宋体"/>
          <w:b w:val="0"/>
          <w:color w:val="000000"/>
          <w:sz w:val="36"/>
          <w:lang w:val="zh-CN"/>
        </w:rPr>
        <w:t>投标供应商须知</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一、说明</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1、本次采购工作是按照《中华人民共和国政府采购法》及相关法律规章组织和实施。</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2、</w:t>
      </w:r>
      <w:r>
        <w:rPr>
          <w:rFonts w:hint="eastAsia" w:ascii="宋体" w:hAnsi="宋体" w:eastAsia="宋体"/>
          <w:color w:val="000000"/>
          <w:sz w:val="22"/>
        </w:rPr>
        <w:t>本次采购，投标供应商可以选择标项参与投标，但必须针对所投标项的全部内容进行投标，否则按无效投标处理</w:t>
      </w:r>
      <w:r>
        <w:rPr>
          <w:rFonts w:hint="eastAsia" w:ascii="宋体" w:hAnsi="宋体" w:eastAsia="宋体"/>
          <w:b w:val="0"/>
          <w:color w:val="000000"/>
          <w:sz w:val="22"/>
        </w:rPr>
        <w:t>。</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3、无论投标过程中的作法和结果如何，投标供应商自行承担投标活动中所发生的全部费用。</w:t>
      </w:r>
    </w:p>
    <w:p>
      <w:pPr>
        <w:widowControl/>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p>
    <w:p>
      <w:pPr>
        <w:widowControl/>
        <w:autoSpaceDE w:val="0"/>
        <w:autoSpaceDN w:val="0"/>
        <w:snapToGrid w:val="0"/>
        <w:spacing w:line="460" w:lineRule="exact"/>
        <w:ind w:firstLine="440" w:firstLineChars="200"/>
        <w:rPr>
          <w:rFonts w:ascii="宋体" w:hAnsi="宋体" w:eastAsia="宋体"/>
          <w:color w:val="000000"/>
          <w:sz w:val="22"/>
        </w:rPr>
      </w:pPr>
      <w:r>
        <w:rPr>
          <w:rFonts w:hint="eastAsia" w:ascii="宋体" w:hAnsi="宋体" w:eastAsia="宋体"/>
          <w:b w:val="0"/>
          <w:color w:val="000000"/>
          <w:sz w:val="22"/>
        </w:rPr>
        <w:t>5、</w:t>
      </w:r>
      <w:r>
        <w:rPr>
          <w:rFonts w:hint="eastAsia" w:ascii="宋体" w:hAnsi="宋体" w:eastAsia="宋体"/>
          <w:color w:val="000000"/>
          <w:sz w:val="22"/>
        </w:rPr>
        <w:t>本项目采购总预算为</w:t>
      </w:r>
      <w:r>
        <w:rPr>
          <w:rFonts w:ascii="宋体" w:hAnsi="宋体" w:eastAsia="宋体"/>
          <w:color w:val="000000"/>
          <w:sz w:val="22"/>
        </w:rPr>
        <w:t>¥</w:t>
      </w:r>
      <w:r>
        <w:rPr>
          <w:rFonts w:hint="eastAsia" w:ascii="宋体" w:hAnsi="宋体" w:eastAsia="宋体"/>
          <w:color w:val="000000"/>
          <w:sz w:val="22"/>
          <w:lang w:val="en-US" w:eastAsia="zh-CN"/>
        </w:rPr>
        <w:t>17351600</w:t>
      </w:r>
      <w:r>
        <w:rPr>
          <w:rFonts w:hint="eastAsia" w:ascii="宋体" w:hAnsi="宋体" w:eastAsia="宋体"/>
          <w:color w:val="000000"/>
          <w:sz w:val="22"/>
        </w:rPr>
        <w:t>元（其</w:t>
      </w:r>
      <w:r>
        <w:rPr>
          <w:rFonts w:hint="eastAsia" w:ascii="宋体" w:hAnsi="宋体" w:eastAsia="宋体" w:cs="Times New Roman"/>
          <w:b/>
          <w:color w:val="000000"/>
          <w:sz w:val="22"/>
        </w:rPr>
        <w:t>中标项一</w:t>
      </w:r>
      <w:r>
        <w:rPr>
          <w:rFonts w:hint="cs" w:ascii="宋体" w:hAnsi="宋体" w:eastAsia="宋体" w:cs="Times New Roman"/>
          <w:b/>
          <w:color w:val="000000"/>
          <w:sz w:val="22"/>
          <w:cs/>
        </w:rPr>
        <w:t>¥</w:t>
      </w:r>
      <w:r>
        <w:rPr>
          <w:rFonts w:hint="eastAsia" w:ascii="宋体" w:hAnsi="宋体" w:eastAsia="宋体" w:cs="Times New Roman"/>
          <w:b/>
          <w:color w:val="000000"/>
          <w:sz w:val="22"/>
          <w:lang w:val="en-US" w:eastAsia="zh-CN"/>
        </w:rPr>
        <w:t>4309910</w:t>
      </w:r>
      <w:r>
        <w:rPr>
          <w:rFonts w:hint="eastAsia" w:ascii="宋体" w:hAnsi="宋体" w:eastAsia="宋体" w:cs="Times New Roman"/>
          <w:b/>
          <w:color w:val="000000"/>
          <w:sz w:val="22"/>
        </w:rPr>
        <w:t>、标项二</w:t>
      </w:r>
      <w:r>
        <w:rPr>
          <w:rFonts w:hint="cs" w:ascii="宋体" w:hAnsi="宋体" w:eastAsia="宋体" w:cs="Times New Roman"/>
          <w:b/>
          <w:color w:val="000000"/>
          <w:sz w:val="22"/>
          <w:cs/>
        </w:rPr>
        <w:t>¥</w:t>
      </w:r>
      <w:r>
        <w:rPr>
          <w:rFonts w:hint="eastAsia" w:ascii="宋体" w:hAnsi="宋体" w:eastAsia="宋体" w:cs="Times New Roman"/>
          <w:b/>
          <w:color w:val="000000"/>
          <w:sz w:val="22"/>
          <w:lang w:val="en-US" w:eastAsia="zh-CN"/>
        </w:rPr>
        <w:t>4005350</w:t>
      </w:r>
      <w:r>
        <w:rPr>
          <w:rFonts w:hint="eastAsia" w:ascii="宋体" w:hAnsi="宋体" w:eastAsia="宋体" w:cs="Times New Roman"/>
          <w:b/>
          <w:color w:val="000000"/>
          <w:sz w:val="22"/>
        </w:rPr>
        <w:t>、标项三</w:t>
      </w:r>
      <w:r>
        <w:rPr>
          <w:rFonts w:hint="cs" w:ascii="宋体" w:hAnsi="宋体" w:eastAsia="宋体" w:cs="Times New Roman"/>
          <w:b/>
          <w:color w:val="000000"/>
          <w:sz w:val="22"/>
          <w:cs/>
        </w:rPr>
        <w:t>¥</w:t>
      </w:r>
      <w:r>
        <w:rPr>
          <w:rFonts w:hint="eastAsia" w:ascii="宋体" w:hAnsi="宋体" w:eastAsia="宋体" w:cs="Times New Roman"/>
          <w:b/>
          <w:color w:val="000000"/>
          <w:sz w:val="22"/>
          <w:lang w:val="en-US" w:eastAsia="zh-CN"/>
        </w:rPr>
        <w:t>4002840</w:t>
      </w:r>
      <w:r>
        <w:rPr>
          <w:rFonts w:hint="eastAsia" w:ascii="宋体" w:hAnsi="宋体" w:eastAsia="宋体" w:cs="Times New Roman"/>
          <w:b/>
          <w:color w:val="000000"/>
          <w:sz w:val="22"/>
        </w:rPr>
        <w:t>、标项四</w:t>
      </w:r>
      <w:r>
        <w:rPr>
          <w:rFonts w:hint="cs" w:ascii="宋体" w:hAnsi="宋体" w:eastAsia="宋体" w:cs="Times New Roman"/>
          <w:b/>
          <w:color w:val="000000"/>
          <w:sz w:val="22"/>
          <w:cs/>
        </w:rPr>
        <w:t>¥</w:t>
      </w:r>
      <w:r>
        <w:rPr>
          <w:rFonts w:hint="eastAsia" w:ascii="宋体" w:hAnsi="宋体" w:eastAsia="宋体" w:cs="Times New Roman"/>
          <w:b/>
          <w:color w:val="000000"/>
          <w:sz w:val="22"/>
          <w:lang w:val="en-US" w:eastAsia="zh-CN"/>
        </w:rPr>
        <w:t>3539740</w:t>
      </w:r>
      <w:r>
        <w:rPr>
          <w:rFonts w:hint="eastAsia" w:ascii="宋体" w:hAnsi="宋体" w:eastAsia="宋体" w:cs="Times New Roman"/>
          <w:b/>
          <w:color w:val="000000"/>
          <w:sz w:val="22"/>
        </w:rPr>
        <w:t>、标项五</w:t>
      </w:r>
      <w:r>
        <w:rPr>
          <w:rFonts w:hint="cs" w:ascii="宋体" w:hAnsi="宋体" w:eastAsia="宋体" w:cs="Times New Roman"/>
          <w:b/>
          <w:color w:val="000000"/>
          <w:sz w:val="22"/>
          <w:cs/>
        </w:rPr>
        <w:t>¥</w:t>
      </w:r>
      <w:r>
        <w:rPr>
          <w:rFonts w:hint="eastAsia" w:ascii="宋体" w:hAnsi="宋体" w:eastAsia="宋体" w:cs="Times New Roman"/>
          <w:b/>
          <w:color w:val="000000"/>
          <w:sz w:val="22"/>
          <w:lang w:val="en-US" w:eastAsia="zh-CN"/>
        </w:rPr>
        <w:t>1493760</w:t>
      </w:r>
      <w:r>
        <w:rPr>
          <w:rFonts w:hint="eastAsia" w:ascii="宋体" w:hAnsi="宋体" w:eastAsia="宋体"/>
          <w:color w:val="000000"/>
          <w:sz w:val="22"/>
        </w:rPr>
        <w:t>）。如果某个标项的某个（些）供应商投标</w:t>
      </w:r>
      <w:r>
        <w:rPr>
          <w:rFonts w:hint="eastAsia" w:ascii="宋体" w:hAnsi="宋体" w:eastAsia="宋体"/>
          <w:color w:val="000000"/>
          <w:sz w:val="22"/>
          <w:lang w:val="en-US" w:eastAsia="zh-CN"/>
        </w:rPr>
        <w:t>报价</w:t>
      </w:r>
      <w:r>
        <w:rPr>
          <w:rFonts w:hint="eastAsia" w:ascii="宋体" w:hAnsi="宋体" w:eastAsia="宋体"/>
          <w:color w:val="000000"/>
          <w:sz w:val="22"/>
        </w:rPr>
        <w:t>超出采购预算或</w:t>
      </w:r>
      <w:r>
        <w:rPr>
          <w:rFonts w:hint="eastAsia" w:ascii="宋体" w:hAnsi="宋体" w:eastAsia="宋体"/>
          <w:color w:val="000000"/>
          <w:sz w:val="22"/>
          <w:lang w:val="en-US" w:eastAsia="zh-CN"/>
        </w:rPr>
        <w:t>分项报价超出</w:t>
      </w:r>
      <w:r>
        <w:rPr>
          <w:rFonts w:hint="eastAsia" w:ascii="宋体" w:hAnsi="宋体" w:eastAsia="宋体"/>
          <w:color w:val="000000"/>
          <w:sz w:val="22"/>
        </w:rPr>
        <w:t>分项预算的，则拒绝接受该供应商该标项的投标报价，其该标项投标按无效投标处理。</w:t>
      </w:r>
    </w:p>
    <w:tbl>
      <w:tblPr>
        <w:tblStyle w:val="4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49"/>
              <w:spacing w:line="460" w:lineRule="exact"/>
              <w:ind w:firstLine="0"/>
              <w:jc w:val="center"/>
              <w:rPr>
                <w:rFonts w:ascii="宋体" w:hAnsi="宋体" w:eastAsia="宋体"/>
                <w:b w:val="0"/>
                <w:color w:val="000000"/>
                <w:szCs w:val="22"/>
                <w:highlight w:val="none"/>
                <w:lang w:val="en-US" w:eastAsia="zh-CN"/>
              </w:rPr>
            </w:pPr>
            <w:r>
              <w:rPr>
                <w:rFonts w:hint="eastAsia" w:ascii="宋体" w:hAnsi="宋体" w:eastAsia="宋体"/>
                <w:b w:val="0"/>
                <w:color w:val="000000"/>
                <w:szCs w:val="22"/>
                <w:highlight w:val="none"/>
                <w:lang w:val="en-US" w:eastAsia="zh-CN"/>
              </w:rPr>
              <w:t>序号</w:t>
            </w:r>
          </w:p>
        </w:tc>
        <w:tc>
          <w:tcPr>
            <w:tcW w:w="2268" w:type="dxa"/>
            <w:noWrap w:val="0"/>
            <w:vAlign w:val="center"/>
          </w:tcPr>
          <w:p>
            <w:pPr>
              <w:pStyle w:val="149"/>
              <w:spacing w:line="460" w:lineRule="exact"/>
              <w:ind w:firstLine="0"/>
              <w:jc w:val="center"/>
              <w:rPr>
                <w:rFonts w:ascii="宋体" w:hAnsi="宋体" w:eastAsia="宋体"/>
                <w:b w:val="0"/>
                <w:color w:val="000000"/>
                <w:szCs w:val="22"/>
                <w:highlight w:val="none"/>
                <w:lang w:val="en-US" w:eastAsia="zh-CN"/>
              </w:rPr>
            </w:pPr>
            <w:r>
              <w:rPr>
                <w:rFonts w:hint="eastAsia" w:ascii="宋体" w:hAnsi="宋体" w:eastAsia="宋体"/>
                <w:b w:val="0"/>
                <w:color w:val="000000"/>
                <w:szCs w:val="22"/>
                <w:highlight w:val="none"/>
                <w:lang w:val="en-US" w:eastAsia="zh-CN"/>
              </w:rPr>
              <w:t>标项预算</w:t>
            </w:r>
          </w:p>
        </w:tc>
        <w:tc>
          <w:tcPr>
            <w:tcW w:w="6521" w:type="dxa"/>
            <w:noWrap w:val="0"/>
            <w:vAlign w:val="center"/>
          </w:tcPr>
          <w:p>
            <w:pPr>
              <w:pStyle w:val="149"/>
              <w:spacing w:line="460" w:lineRule="exact"/>
              <w:ind w:firstLine="440" w:firstLineChars="200"/>
              <w:jc w:val="center"/>
              <w:rPr>
                <w:rFonts w:ascii="宋体" w:hAnsi="宋体" w:eastAsia="宋体"/>
                <w:b w:val="0"/>
                <w:color w:val="000000"/>
                <w:szCs w:val="22"/>
                <w:highlight w:val="none"/>
                <w:lang w:val="en-US" w:eastAsia="zh-CN"/>
              </w:rPr>
            </w:pPr>
            <w:r>
              <w:rPr>
                <w:rFonts w:hint="eastAsia" w:ascii="宋体" w:hAnsi="宋体" w:eastAsia="宋体"/>
                <w:b w:val="0"/>
                <w:color w:val="000000"/>
                <w:szCs w:val="22"/>
                <w:highlight w:val="none"/>
                <w:lang w:val="en-US" w:eastAsia="zh-CN"/>
              </w:rPr>
              <w:t>分项预算情况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1</w:t>
            </w:r>
          </w:p>
        </w:tc>
        <w:tc>
          <w:tcPr>
            <w:tcW w:w="2268" w:type="dxa"/>
            <w:noWrap w:val="0"/>
            <w:vAlign w:val="center"/>
          </w:tcPr>
          <w:p>
            <w:pPr>
              <w:autoSpaceDE w:val="0"/>
              <w:autoSpaceDN w:val="0"/>
              <w:snapToGrid w:val="0"/>
              <w:spacing w:line="460" w:lineRule="exact"/>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标项一</w:t>
            </w:r>
            <w:r>
              <w:rPr>
                <w:rFonts w:hint="eastAsia" w:ascii="宋体" w:hAnsi="宋体" w:eastAsia="宋体" w:cs="宋体"/>
                <w:b w:val="0"/>
                <w:bCs/>
                <w:color w:val="000000"/>
                <w:sz w:val="22"/>
                <w:szCs w:val="22"/>
                <w:highlight w:val="none"/>
                <w:lang w:val="en-US" w:eastAsia="zh-CN"/>
              </w:rPr>
              <w:t>4309910</w:t>
            </w:r>
            <w:r>
              <w:rPr>
                <w:rFonts w:hint="eastAsia" w:ascii="宋体" w:hAnsi="宋体" w:eastAsia="宋体" w:cs="宋体"/>
                <w:b w:val="0"/>
                <w:bCs/>
                <w:color w:val="000000"/>
                <w:sz w:val="22"/>
                <w:szCs w:val="22"/>
                <w:highlight w:val="none"/>
              </w:rPr>
              <w:t>元</w:t>
            </w:r>
          </w:p>
        </w:tc>
        <w:tc>
          <w:tcPr>
            <w:tcW w:w="6521" w:type="dxa"/>
            <w:noWrap w:val="0"/>
            <w:vAlign w:val="center"/>
          </w:tcPr>
          <w:p>
            <w:pPr>
              <w:autoSpaceDE w:val="0"/>
              <w:autoSpaceDN w:val="0"/>
              <w:snapToGrid w:val="0"/>
              <w:spacing w:line="460" w:lineRule="exact"/>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1、网络服务、系统运维服务两项分项预算合计为2000元/</w:t>
            </w:r>
            <w:r>
              <w:rPr>
                <w:rFonts w:hint="eastAsia" w:ascii="宋体" w:hAnsi="宋体" w:eastAsia="宋体" w:cs="宋体"/>
                <w:b w:val="0"/>
                <w:bCs/>
                <w:color w:val="000000"/>
                <w:sz w:val="22"/>
                <w:szCs w:val="22"/>
                <w:highlight w:val="none"/>
                <w:lang w:val="en-US" w:eastAsia="zh-CN"/>
              </w:rPr>
              <w:t>处</w:t>
            </w:r>
            <w:r>
              <w:rPr>
                <w:rFonts w:hint="eastAsia" w:ascii="宋体" w:hAnsi="宋体" w:eastAsia="宋体" w:cs="宋体"/>
                <w:b w:val="0"/>
                <w:bCs/>
                <w:color w:val="000000"/>
                <w:sz w:val="22"/>
                <w:szCs w:val="22"/>
                <w:highlight w:val="none"/>
              </w:rPr>
              <w:t>/年；</w:t>
            </w:r>
          </w:p>
          <w:p>
            <w:pPr>
              <w:autoSpaceDE w:val="0"/>
              <w:autoSpaceDN w:val="0"/>
              <w:snapToGrid w:val="0"/>
              <w:spacing w:line="460" w:lineRule="exact"/>
              <w:rPr>
                <w:rFonts w:hint="default"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2、加头集成服务费600元/处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3、利旧点位运维费300元/处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4、利旧点位安装费600元/处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5、云监控集成服务4000元/处（含5年）</w:t>
            </w:r>
          </w:p>
          <w:p>
            <w:pPr>
              <w:autoSpaceDE w:val="0"/>
              <w:autoSpaceDN w:val="0"/>
              <w:snapToGrid w:val="0"/>
              <w:spacing w:line="460" w:lineRule="exact"/>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6、云人脸集成服务5400元/处（含5年）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2</w:t>
            </w:r>
          </w:p>
        </w:tc>
        <w:tc>
          <w:tcPr>
            <w:tcW w:w="2268" w:type="dxa"/>
            <w:noWrap w:val="0"/>
            <w:vAlign w:val="center"/>
          </w:tcPr>
          <w:p>
            <w:pPr>
              <w:pStyle w:val="3"/>
              <w:spacing w:line="460" w:lineRule="exact"/>
              <w:jc w:val="center"/>
              <w:rPr>
                <w:rFonts w:ascii="宋体" w:hAnsi="宋体" w:eastAsia="宋体"/>
                <w:color w:val="000000"/>
                <w:sz w:val="22"/>
                <w:szCs w:val="22"/>
                <w:highlight w:val="none"/>
              </w:rPr>
            </w:pPr>
            <w:r>
              <w:rPr>
                <w:rFonts w:hint="eastAsia" w:ascii="宋体" w:hAnsi="宋体" w:eastAsia="宋体"/>
                <w:color w:val="000000"/>
                <w:sz w:val="22"/>
                <w:szCs w:val="22"/>
                <w:highlight w:val="none"/>
              </w:rPr>
              <w:t>标项二</w:t>
            </w:r>
            <w:r>
              <w:rPr>
                <w:rFonts w:hint="eastAsia" w:ascii="宋体" w:hAnsi="宋体" w:eastAsia="宋体"/>
                <w:b w:val="0"/>
                <w:color w:val="000000"/>
                <w:sz w:val="22"/>
                <w:highlight w:val="none"/>
                <w:lang w:val="en-US" w:eastAsia="zh-CN"/>
              </w:rPr>
              <w:t>4005350</w:t>
            </w:r>
            <w:r>
              <w:rPr>
                <w:rFonts w:hint="eastAsia" w:ascii="宋体" w:hAnsi="宋体" w:eastAsia="宋体"/>
                <w:color w:val="000000"/>
                <w:sz w:val="22"/>
                <w:szCs w:val="22"/>
                <w:highlight w:val="none"/>
              </w:rPr>
              <w:t>元</w:t>
            </w:r>
          </w:p>
        </w:tc>
        <w:tc>
          <w:tcPr>
            <w:tcW w:w="6521" w:type="dxa"/>
            <w:noWrap w:val="0"/>
            <w:vAlign w:val="center"/>
          </w:tcPr>
          <w:p>
            <w:pPr>
              <w:autoSpaceDE w:val="0"/>
              <w:autoSpaceDN w:val="0"/>
              <w:snapToGrid w:val="0"/>
              <w:spacing w:line="460" w:lineRule="exact"/>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1、网络服务、系统运维服务两项分项预算合计为2000元/</w:t>
            </w:r>
            <w:r>
              <w:rPr>
                <w:rFonts w:hint="eastAsia" w:ascii="宋体" w:hAnsi="宋体" w:eastAsia="宋体" w:cs="宋体"/>
                <w:b w:val="0"/>
                <w:bCs/>
                <w:color w:val="000000"/>
                <w:sz w:val="22"/>
                <w:szCs w:val="22"/>
                <w:highlight w:val="none"/>
                <w:lang w:val="en-US" w:eastAsia="zh-CN"/>
              </w:rPr>
              <w:t>处</w:t>
            </w:r>
            <w:r>
              <w:rPr>
                <w:rFonts w:hint="eastAsia" w:ascii="宋体" w:hAnsi="宋体" w:eastAsia="宋体" w:cs="宋体"/>
                <w:b w:val="0"/>
                <w:bCs/>
                <w:color w:val="000000"/>
                <w:sz w:val="22"/>
                <w:szCs w:val="22"/>
                <w:highlight w:val="none"/>
              </w:rPr>
              <w:t>/年；</w:t>
            </w:r>
          </w:p>
          <w:p>
            <w:pPr>
              <w:autoSpaceDE w:val="0"/>
              <w:autoSpaceDN w:val="0"/>
              <w:snapToGrid w:val="0"/>
              <w:spacing w:line="460" w:lineRule="exact"/>
              <w:rPr>
                <w:rFonts w:hint="default"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2、加头集成服务费600元/处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3、利旧点位运维费300元/处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4、利旧点位安装费600元/处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5、云监控集成服务4000元/处（含5年）</w:t>
            </w:r>
          </w:p>
          <w:p>
            <w:pPr>
              <w:autoSpaceDE w:val="0"/>
              <w:autoSpaceDN w:val="0"/>
              <w:snapToGrid w:val="0"/>
              <w:spacing w:line="460" w:lineRule="exact"/>
              <w:rPr>
                <w:rFonts w:ascii="宋体" w:hAnsi="宋体" w:eastAsia="宋体"/>
                <w:color w:val="000000"/>
                <w:sz w:val="22"/>
                <w:szCs w:val="22"/>
                <w:highlight w:val="none"/>
              </w:rPr>
            </w:pPr>
            <w:r>
              <w:rPr>
                <w:rFonts w:hint="eastAsia" w:ascii="宋体" w:hAnsi="宋体" w:eastAsia="宋体" w:cs="宋体"/>
                <w:b w:val="0"/>
                <w:bCs/>
                <w:color w:val="000000"/>
                <w:sz w:val="22"/>
                <w:szCs w:val="22"/>
                <w:highlight w:val="none"/>
                <w:lang w:val="en-US" w:eastAsia="zh-CN"/>
              </w:rPr>
              <w:t>6、云人脸集成服务5400元/处（含5年）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3</w:t>
            </w:r>
          </w:p>
        </w:tc>
        <w:tc>
          <w:tcPr>
            <w:tcW w:w="2268" w:type="dxa"/>
            <w:noWrap w:val="0"/>
            <w:vAlign w:val="center"/>
          </w:tcPr>
          <w:p>
            <w:pPr>
              <w:spacing w:line="460" w:lineRule="exact"/>
              <w:jc w:val="center"/>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标项三</w:t>
            </w:r>
            <w:r>
              <w:rPr>
                <w:rFonts w:hint="eastAsia" w:ascii="宋体" w:hAnsi="宋体" w:eastAsia="宋体"/>
                <w:b w:val="0"/>
                <w:color w:val="000000"/>
                <w:sz w:val="22"/>
                <w:highlight w:val="none"/>
                <w:lang w:val="en-US" w:eastAsia="zh-CN"/>
              </w:rPr>
              <w:t>4002840</w:t>
            </w:r>
            <w:r>
              <w:rPr>
                <w:rFonts w:hint="eastAsia" w:ascii="宋体" w:hAnsi="宋体" w:eastAsia="宋体"/>
                <w:b w:val="0"/>
                <w:color w:val="000000"/>
                <w:sz w:val="22"/>
                <w:szCs w:val="22"/>
                <w:highlight w:val="none"/>
              </w:rPr>
              <w:t>元</w:t>
            </w:r>
          </w:p>
        </w:tc>
        <w:tc>
          <w:tcPr>
            <w:tcW w:w="6521" w:type="dxa"/>
            <w:noWrap w:val="0"/>
            <w:vAlign w:val="center"/>
          </w:tcPr>
          <w:p>
            <w:pPr>
              <w:autoSpaceDE w:val="0"/>
              <w:autoSpaceDN w:val="0"/>
              <w:snapToGrid w:val="0"/>
              <w:spacing w:line="460" w:lineRule="exact"/>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1、网络服务、系统运维服务两项分项预算合计为2000元/</w:t>
            </w:r>
            <w:r>
              <w:rPr>
                <w:rFonts w:hint="eastAsia" w:ascii="宋体" w:hAnsi="宋体" w:eastAsia="宋体" w:cs="宋体"/>
                <w:b w:val="0"/>
                <w:bCs/>
                <w:color w:val="000000"/>
                <w:sz w:val="22"/>
                <w:szCs w:val="22"/>
                <w:highlight w:val="none"/>
                <w:lang w:val="en-US" w:eastAsia="zh-CN"/>
              </w:rPr>
              <w:t>处</w:t>
            </w:r>
            <w:r>
              <w:rPr>
                <w:rFonts w:hint="eastAsia" w:ascii="宋体" w:hAnsi="宋体" w:eastAsia="宋体" w:cs="宋体"/>
                <w:b w:val="0"/>
                <w:bCs/>
                <w:color w:val="000000"/>
                <w:sz w:val="22"/>
                <w:szCs w:val="22"/>
                <w:highlight w:val="none"/>
              </w:rPr>
              <w:t>/年；</w:t>
            </w:r>
          </w:p>
          <w:p>
            <w:pPr>
              <w:autoSpaceDE w:val="0"/>
              <w:autoSpaceDN w:val="0"/>
              <w:snapToGrid w:val="0"/>
              <w:spacing w:line="460" w:lineRule="exact"/>
              <w:rPr>
                <w:rFonts w:hint="default"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2、加头集成服务费600元/处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3、利旧点位运维费300元/处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4、利旧点位安装费600元/处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5、云监控集成服务4000元/处（含5年）</w:t>
            </w:r>
          </w:p>
          <w:p>
            <w:pPr>
              <w:autoSpaceDE w:val="0"/>
              <w:autoSpaceDN w:val="0"/>
              <w:snapToGrid w:val="0"/>
              <w:spacing w:line="460" w:lineRule="exact"/>
              <w:rPr>
                <w:rFonts w:ascii="宋体" w:hAnsi="宋体" w:eastAsia="宋体"/>
                <w:color w:val="000000"/>
                <w:sz w:val="22"/>
                <w:szCs w:val="22"/>
                <w:highlight w:val="none"/>
              </w:rPr>
            </w:pPr>
            <w:r>
              <w:rPr>
                <w:rFonts w:hint="eastAsia" w:ascii="宋体" w:hAnsi="宋体" w:eastAsia="宋体" w:cs="宋体"/>
                <w:b w:val="0"/>
                <w:bCs/>
                <w:color w:val="000000"/>
                <w:sz w:val="22"/>
                <w:szCs w:val="22"/>
                <w:highlight w:val="none"/>
                <w:lang w:val="en-US" w:eastAsia="zh-CN"/>
              </w:rPr>
              <w:t>6、云人脸集成服务5400元/处（含5年）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7" w:type="dxa"/>
            <w:noWrap w:val="0"/>
            <w:vAlign w:val="center"/>
          </w:tcPr>
          <w:p>
            <w:pPr>
              <w:spacing w:line="460" w:lineRule="exact"/>
              <w:jc w:val="center"/>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4</w:t>
            </w:r>
          </w:p>
        </w:tc>
        <w:tc>
          <w:tcPr>
            <w:tcW w:w="2268" w:type="dxa"/>
            <w:noWrap w:val="0"/>
            <w:vAlign w:val="center"/>
          </w:tcPr>
          <w:p>
            <w:pPr>
              <w:spacing w:line="460" w:lineRule="exact"/>
              <w:jc w:val="center"/>
              <w:rPr>
                <w:rFonts w:ascii="宋体" w:hAnsi="宋体" w:eastAsia="宋体" w:cs="宋体"/>
                <w:b w:val="0"/>
                <w:color w:val="000000"/>
                <w:kern w:val="2"/>
                <w:sz w:val="22"/>
                <w:szCs w:val="22"/>
                <w:highlight w:val="none"/>
              </w:rPr>
            </w:pPr>
            <w:r>
              <w:rPr>
                <w:rFonts w:hint="eastAsia" w:ascii="宋体" w:hAnsi="宋体" w:eastAsia="宋体" w:cs="宋体"/>
                <w:b w:val="0"/>
                <w:color w:val="000000"/>
                <w:kern w:val="2"/>
                <w:sz w:val="22"/>
                <w:szCs w:val="22"/>
                <w:highlight w:val="none"/>
              </w:rPr>
              <w:t>标项四</w:t>
            </w:r>
            <w:r>
              <w:rPr>
                <w:rFonts w:hint="eastAsia" w:ascii="宋体" w:hAnsi="宋体" w:eastAsia="宋体"/>
                <w:b w:val="0"/>
                <w:color w:val="000000"/>
                <w:sz w:val="22"/>
                <w:highlight w:val="none"/>
                <w:lang w:val="en-US" w:eastAsia="zh-CN"/>
              </w:rPr>
              <w:t>3539740</w:t>
            </w:r>
            <w:r>
              <w:rPr>
                <w:rFonts w:hint="eastAsia" w:ascii="宋体" w:hAnsi="宋体" w:eastAsia="宋体" w:cs="宋体"/>
                <w:b w:val="0"/>
                <w:color w:val="000000"/>
                <w:sz w:val="22"/>
                <w:szCs w:val="22"/>
                <w:highlight w:val="none"/>
              </w:rPr>
              <w:t>元</w:t>
            </w:r>
          </w:p>
        </w:tc>
        <w:tc>
          <w:tcPr>
            <w:tcW w:w="6521" w:type="dxa"/>
            <w:noWrap w:val="0"/>
            <w:vAlign w:val="center"/>
          </w:tcPr>
          <w:p>
            <w:pPr>
              <w:autoSpaceDE w:val="0"/>
              <w:autoSpaceDN w:val="0"/>
              <w:snapToGrid w:val="0"/>
              <w:spacing w:line="460" w:lineRule="exact"/>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1、网络服务、系统运维服务两项分项预算合计为2000元/</w:t>
            </w:r>
            <w:r>
              <w:rPr>
                <w:rFonts w:hint="eastAsia" w:ascii="宋体" w:hAnsi="宋体" w:eastAsia="宋体" w:cs="宋体"/>
                <w:b w:val="0"/>
                <w:bCs/>
                <w:color w:val="000000"/>
                <w:sz w:val="22"/>
                <w:szCs w:val="22"/>
                <w:highlight w:val="none"/>
                <w:lang w:val="en-US" w:eastAsia="zh-CN"/>
              </w:rPr>
              <w:t>处</w:t>
            </w:r>
            <w:r>
              <w:rPr>
                <w:rFonts w:hint="eastAsia" w:ascii="宋体" w:hAnsi="宋体" w:eastAsia="宋体" w:cs="宋体"/>
                <w:b w:val="0"/>
                <w:bCs/>
                <w:color w:val="000000"/>
                <w:sz w:val="22"/>
                <w:szCs w:val="22"/>
                <w:highlight w:val="none"/>
              </w:rPr>
              <w:t>/年；</w:t>
            </w:r>
          </w:p>
          <w:p>
            <w:pPr>
              <w:autoSpaceDE w:val="0"/>
              <w:autoSpaceDN w:val="0"/>
              <w:snapToGrid w:val="0"/>
              <w:spacing w:line="460" w:lineRule="exact"/>
              <w:rPr>
                <w:rFonts w:hint="default"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2、加头集成服务费600元/处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3、利旧点位运维费300元/处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4、利旧点位安装费600元/处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5、云监控集成服务4000元/处（含5年）</w:t>
            </w:r>
          </w:p>
          <w:p>
            <w:pPr>
              <w:autoSpaceDE w:val="0"/>
              <w:autoSpaceDN w:val="0"/>
              <w:snapToGrid w:val="0"/>
              <w:spacing w:line="460" w:lineRule="exact"/>
              <w:rPr>
                <w:rFonts w:ascii="宋体" w:hAnsi="宋体" w:eastAsia="宋体"/>
                <w:color w:val="000000"/>
                <w:sz w:val="22"/>
                <w:szCs w:val="22"/>
                <w:highlight w:val="none"/>
              </w:rPr>
            </w:pPr>
            <w:r>
              <w:rPr>
                <w:rFonts w:hint="eastAsia" w:ascii="宋体" w:hAnsi="宋体" w:eastAsia="宋体" w:cs="宋体"/>
                <w:b w:val="0"/>
                <w:bCs/>
                <w:color w:val="000000"/>
                <w:sz w:val="22"/>
                <w:szCs w:val="22"/>
                <w:highlight w:val="none"/>
                <w:lang w:val="en-US" w:eastAsia="zh-CN"/>
              </w:rPr>
              <w:t>6、云人脸集成服务5400元/处（含5年）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5</w:t>
            </w:r>
          </w:p>
        </w:tc>
        <w:tc>
          <w:tcPr>
            <w:tcW w:w="2268" w:type="dxa"/>
            <w:noWrap w:val="0"/>
            <w:vAlign w:val="center"/>
          </w:tcPr>
          <w:p>
            <w:pPr>
              <w:spacing w:line="460" w:lineRule="exact"/>
              <w:jc w:val="center"/>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标项五</w:t>
            </w:r>
            <w:r>
              <w:rPr>
                <w:rFonts w:hint="eastAsia" w:ascii="宋体" w:hAnsi="宋体" w:eastAsia="宋体"/>
                <w:b w:val="0"/>
                <w:color w:val="000000"/>
                <w:sz w:val="22"/>
                <w:highlight w:val="none"/>
                <w:lang w:val="en-US" w:eastAsia="zh-CN"/>
              </w:rPr>
              <w:t>1493760</w:t>
            </w:r>
            <w:r>
              <w:rPr>
                <w:rFonts w:hint="eastAsia" w:ascii="宋体" w:hAnsi="宋体" w:eastAsia="宋体"/>
                <w:b w:val="0"/>
                <w:color w:val="000000"/>
                <w:sz w:val="22"/>
                <w:szCs w:val="22"/>
                <w:highlight w:val="none"/>
              </w:rPr>
              <w:t>元</w:t>
            </w:r>
          </w:p>
        </w:tc>
        <w:tc>
          <w:tcPr>
            <w:tcW w:w="6521" w:type="dxa"/>
            <w:noWrap w:val="0"/>
            <w:vAlign w:val="center"/>
          </w:tcPr>
          <w:p>
            <w:pPr>
              <w:autoSpaceDE w:val="0"/>
              <w:autoSpaceDN w:val="0"/>
              <w:snapToGrid w:val="0"/>
              <w:spacing w:line="460" w:lineRule="exact"/>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1、网络服务、系统运维服务两项分项预算合计为2000元/</w:t>
            </w:r>
            <w:r>
              <w:rPr>
                <w:rFonts w:hint="eastAsia" w:ascii="宋体" w:hAnsi="宋体" w:eastAsia="宋体" w:cs="宋体"/>
                <w:b w:val="0"/>
                <w:bCs/>
                <w:color w:val="000000"/>
                <w:sz w:val="22"/>
                <w:szCs w:val="22"/>
                <w:highlight w:val="none"/>
                <w:lang w:val="en-US" w:eastAsia="zh-CN"/>
              </w:rPr>
              <w:t>处</w:t>
            </w:r>
            <w:r>
              <w:rPr>
                <w:rFonts w:hint="eastAsia" w:ascii="宋体" w:hAnsi="宋体" w:eastAsia="宋体" w:cs="宋体"/>
                <w:b w:val="0"/>
                <w:bCs/>
                <w:color w:val="000000"/>
                <w:sz w:val="22"/>
                <w:szCs w:val="22"/>
                <w:highlight w:val="none"/>
              </w:rPr>
              <w:t>/年；</w:t>
            </w:r>
          </w:p>
          <w:p>
            <w:pPr>
              <w:autoSpaceDE w:val="0"/>
              <w:autoSpaceDN w:val="0"/>
              <w:snapToGrid w:val="0"/>
              <w:spacing w:line="460" w:lineRule="exact"/>
              <w:rPr>
                <w:rFonts w:hint="default"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2、加头集成服务费600元/处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3、利旧点位运维费300元/处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4、利旧点位安装费600元/处</w:t>
            </w:r>
          </w:p>
          <w:p>
            <w:pPr>
              <w:autoSpaceDE w:val="0"/>
              <w:autoSpaceDN w:val="0"/>
              <w:snapToGrid w:val="0"/>
              <w:spacing w:line="460" w:lineRule="exact"/>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5、云监控集成服务4000元/处（含5年）</w:t>
            </w:r>
          </w:p>
          <w:p>
            <w:pPr>
              <w:autoSpaceDE w:val="0"/>
              <w:autoSpaceDN w:val="0"/>
              <w:snapToGrid w:val="0"/>
              <w:spacing w:line="460" w:lineRule="exact"/>
              <w:rPr>
                <w:rFonts w:ascii="宋体" w:hAnsi="宋体" w:eastAsia="宋体" w:cs="宋体"/>
                <w:b w:val="0"/>
                <w:color w:val="000000"/>
                <w:kern w:val="2"/>
                <w:sz w:val="22"/>
                <w:szCs w:val="22"/>
                <w:highlight w:val="none"/>
              </w:rPr>
            </w:pPr>
            <w:r>
              <w:rPr>
                <w:rFonts w:hint="eastAsia" w:ascii="宋体" w:hAnsi="宋体" w:eastAsia="宋体" w:cs="宋体"/>
                <w:b w:val="0"/>
                <w:bCs/>
                <w:color w:val="000000"/>
                <w:sz w:val="22"/>
                <w:szCs w:val="22"/>
                <w:highlight w:val="none"/>
                <w:lang w:val="en-US" w:eastAsia="zh-CN"/>
              </w:rPr>
              <w:t>6、云人脸集成服务5400元/处（含5年）</w:t>
            </w:r>
          </w:p>
        </w:tc>
      </w:tr>
    </w:tbl>
    <w:p>
      <w:pPr>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6、知识产权</w:t>
      </w:r>
    </w:p>
    <w:p>
      <w:pPr>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6.1供应商应保证，采购人在中华人民共和国使用货物和服务的任何一部分时，免受第三方提出侵犯其专利权、商标权或其它知识产权的起诉。</w:t>
      </w:r>
    </w:p>
    <w:p>
      <w:pPr>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6.2投标供应商应对采购人在使用该产品时所涉及到的专利权负责，不损害采购人的利益。</w:t>
      </w:r>
    </w:p>
    <w:p>
      <w:pPr>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6.3投标报价应包括所有应支付的对专利权和版权、设计或其他知识产权而需要向其他方支付的版税。</w:t>
      </w:r>
    </w:p>
    <w:p>
      <w:pPr>
        <w:autoSpaceDE w:val="0"/>
        <w:autoSpaceDN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6.4投标供应商提供的货物中如使用其他公司的相关专利，应在标书中出示相关授权，如未出示但使用了其他公司的专利，导致供应商中标而引起相关诉讼，由投标供应商承担。</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7、招标文件中所列的货物品牌型号仅为参考，是为了对拟报价的货物、材料的技术指标和功能要求更好的说明，欢迎其他能满足本项目技术需求且性能与所明确品牌相当的产品参加。</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8、</w:t>
      </w:r>
      <w:r>
        <w:rPr>
          <w:rFonts w:ascii="宋体" w:hAnsi="宋体" w:eastAsia="宋体"/>
          <w:b w:val="0"/>
          <w:color w:val="000000"/>
          <w:sz w:val="22"/>
        </w:rPr>
        <w:t>采用最低评标价法的采购项目，提供相同品牌产品的不同投标人参加同一合同项下投标的，以其中通过资格审查、符合性审查且报价最低的参加评标；报价相同的，采取随机抽取方式确定，其他投标无效。</w:t>
      </w:r>
    </w:p>
    <w:p>
      <w:pPr>
        <w:spacing w:line="460" w:lineRule="exact"/>
        <w:ind w:firstLine="440" w:firstLineChars="200"/>
        <w:rPr>
          <w:rFonts w:ascii="宋体" w:hAnsi="宋体" w:eastAsia="宋体"/>
          <w:b w:val="0"/>
          <w:color w:val="000000"/>
          <w:sz w:val="22"/>
        </w:rPr>
      </w:pPr>
      <w:r>
        <w:rPr>
          <w:rFonts w:ascii="宋体" w:hAnsi="宋体" w:eastAsia="宋体"/>
          <w:b w:val="0"/>
          <w:color w:val="000000"/>
          <w:sz w:val="22"/>
        </w:rPr>
        <w:t>使用综合评分法的采购项目，提供相同品牌产品且通过资格审查、符合性审查的不同投标</w:t>
      </w:r>
      <w:r>
        <w:rPr>
          <w:rFonts w:hint="eastAsia" w:ascii="宋体" w:hAnsi="宋体" w:eastAsia="宋体"/>
          <w:b w:val="0"/>
          <w:color w:val="000000"/>
          <w:sz w:val="22"/>
        </w:rPr>
        <w:t>供应商</w:t>
      </w:r>
      <w:r>
        <w:rPr>
          <w:rFonts w:ascii="宋体" w:hAnsi="宋体" w:eastAsia="宋体"/>
          <w:b w:val="0"/>
          <w:color w:val="000000"/>
          <w:sz w:val="22"/>
        </w:rPr>
        <w:t>参加同一合同项下投标的，按一家投标</w:t>
      </w:r>
      <w:r>
        <w:rPr>
          <w:rFonts w:hint="eastAsia" w:ascii="宋体" w:hAnsi="宋体" w:eastAsia="宋体"/>
          <w:b w:val="0"/>
          <w:color w:val="000000"/>
          <w:sz w:val="22"/>
        </w:rPr>
        <w:t>供应商</w:t>
      </w:r>
      <w:r>
        <w:rPr>
          <w:rFonts w:ascii="宋体" w:hAnsi="宋体" w:eastAsia="宋体"/>
          <w:b w:val="0"/>
          <w:color w:val="000000"/>
          <w:sz w:val="22"/>
        </w:rPr>
        <w:t>计算，评审后得分最高的同品牌投标</w:t>
      </w:r>
      <w:r>
        <w:rPr>
          <w:rFonts w:hint="eastAsia" w:ascii="宋体" w:hAnsi="宋体" w:eastAsia="宋体"/>
          <w:b w:val="0"/>
          <w:color w:val="000000"/>
          <w:sz w:val="22"/>
        </w:rPr>
        <w:t>供应商</w:t>
      </w:r>
      <w:r>
        <w:rPr>
          <w:rFonts w:ascii="宋体" w:hAnsi="宋体" w:eastAsia="宋体"/>
          <w:b w:val="0"/>
          <w:color w:val="000000"/>
          <w:sz w:val="22"/>
        </w:rPr>
        <w:t>获得中标供应商推荐资格；评审得分相同的，采取随机抽取方式确定，其他同品牌投标</w:t>
      </w:r>
      <w:r>
        <w:rPr>
          <w:rFonts w:hint="eastAsia" w:ascii="宋体" w:hAnsi="宋体" w:eastAsia="宋体"/>
          <w:b w:val="0"/>
          <w:color w:val="000000"/>
          <w:sz w:val="22"/>
        </w:rPr>
        <w:t>供应商</w:t>
      </w:r>
      <w:r>
        <w:rPr>
          <w:rFonts w:ascii="宋体" w:hAnsi="宋体" w:eastAsia="宋体"/>
          <w:b w:val="0"/>
          <w:color w:val="000000"/>
          <w:sz w:val="22"/>
        </w:rPr>
        <w:t>不作为中标候选人。</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eastAsia="宋体"/>
          <w:color w:val="000000"/>
          <w:sz w:val="22"/>
        </w:rPr>
        <w:t>本项目无核心产品</w:t>
      </w:r>
      <w:r>
        <w:rPr>
          <w:rFonts w:hint="eastAsia" w:ascii="宋体" w:hAnsi="宋体" w:eastAsia="宋体"/>
          <w:b w:val="0"/>
          <w:color w:val="000000"/>
          <w:sz w:val="22"/>
        </w:rPr>
        <w:t>。</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9、单位负责人为同一人或者存在直接控股、管理关系的不同供应商，不得参加同一合同项下的政府采购活动。</w:t>
      </w:r>
      <w:r>
        <w:rPr>
          <w:rFonts w:ascii="宋体" w:hAnsi="宋体" w:eastAsia="宋体"/>
          <w:b w:val="0"/>
          <w:color w:val="000000"/>
          <w:sz w:val="22"/>
        </w:rPr>
        <w:t>如在评标过程（或标后质疑投诉期内）中发现供应商间存在上述关系，存在上述关系的全部供应商均做无效投标（无效中标）处理。</w:t>
      </w:r>
    </w:p>
    <w:p>
      <w:pPr>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除单一来源采购项目外，为采购项目提供整体设计、规范编制或者项目管理、监理、检测等服务的供应商，不得再参加该采购项目的其他采购活动。</w:t>
      </w:r>
    </w:p>
    <w:p>
      <w:pPr>
        <w:spacing w:line="460" w:lineRule="exact"/>
        <w:ind w:firstLine="440" w:firstLineChars="200"/>
        <w:jc w:val="left"/>
        <w:rPr>
          <w:rFonts w:ascii="宋体" w:hAnsi="宋体" w:eastAsia="宋体" w:cs="Cambria"/>
          <w:b w:val="0"/>
          <w:color w:val="000000"/>
          <w:sz w:val="22"/>
          <w:lang w:val="zh-CN"/>
        </w:rPr>
      </w:pPr>
      <w:r>
        <w:rPr>
          <w:rFonts w:hint="eastAsia" w:ascii="宋体" w:hAnsi="宋体" w:eastAsia="宋体"/>
          <w:b w:val="0"/>
          <w:color w:val="000000"/>
          <w:sz w:val="22"/>
        </w:rPr>
        <w:t>10、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pPr>
        <w:autoSpaceDE w:val="0"/>
        <w:autoSpaceDN w:val="0"/>
        <w:snapToGrid w:val="0"/>
        <w:spacing w:line="460" w:lineRule="exact"/>
        <w:ind w:firstLine="440" w:firstLineChars="200"/>
        <w:rPr>
          <w:rFonts w:ascii="宋体" w:hAnsi="宋体" w:eastAsia="宋体" w:cs="黑体"/>
          <w:b w:val="0"/>
          <w:color w:val="000000"/>
          <w:sz w:val="22"/>
        </w:rPr>
      </w:pPr>
      <w:r>
        <w:rPr>
          <w:rFonts w:hint="eastAsia" w:ascii="宋体" w:hAnsi="宋体" w:eastAsia="宋体" w:cs="黑体"/>
          <w:b w:val="0"/>
          <w:color w:val="000000"/>
          <w:sz w:val="22"/>
        </w:rPr>
        <w:t>11、</w:t>
      </w:r>
      <w:r>
        <w:rPr>
          <w:rFonts w:hint="eastAsia" w:ascii="宋体" w:hAnsi="宋体" w:eastAsia="宋体" w:cs="黑体"/>
          <w:color w:val="000000"/>
          <w:sz w:val="22"/>
        </w:rPr>
        <w:t>中标供应商负责整个项目的安装调试需要的全部人工和附件，建议各投标供应商前往实地进行踏勘</w:t>
      </w:r>
      <w:r>
        <w:rPr>
          <w:rFonts w:hint="eastAsia" w:ascii="宋体" w:hAnsi="宋体" w:eastAsia="宋体"/>
          <w:color w:val="000000"/>
          <w:sz w:val="22"/>
          <w:lang w:val="zh-CN"/>
        </w:rPr>
        <w:t>以获取准确的投标依据</w:t>
      </w:r>
      <w:r>
        <w:rPr>
          <w:rFonts w:ascii="宋体" w:hAnsi="宋体" w:eastAsia="宋体"/>
          <w:color w:val="000000"/>
          <w:sz w:val="22"/>
        </w:rPr>
        <w:t>。</w:t>
      </w:r>
    </w:p>
    <w:p>
      <w:pPr>
        <w:autoSpaceDE w:val="0"/>
        <w:autoSpaceDN w:val="0"/>
        <w:snapToGrid w:val="0"/>
        <w:spacing w:line="460" w:lineRule="exact"/>
        <w:ind w:firstLine="440" w:firstLineChars="200"/>
        <w:rPr>
          <w:rFonts w:ascii="宋体" w:hAnsi="宋体" w:eastAsia="宋体" w:cs="黑体"/>
          <w:b w:val="0"/>
          <w:color w:val="000000"/>
          <w:sz w:val="22"/>
        </w:rPr>
      </w:pPr>
      <w:r>
        <w:rPr>
          <w:rFonts w:hint="eastAsia" w:ascii="宋体" w:hAnsi="宋体" w:eastAsia="宋体" w:cs="黑体"/>
          <w:b w:val="0"/>
          <w:color w:val="000000"/>
          <w:sz w:val="22"/>
        </w:rPr>
        <w:t>12、</w:t>
      </w:r>
      <w:r>
        <w:rPr>
          <w:rFonts w:hint="eastAsia" w:ascii="宋体" w:hAnsi="宋体" w:eastAsia="宋体" w:cs="黑体"/>
          <w:color w:val="000000"/>
          <w:sz w:val="22"/>
        </w:rPr>
        <w:t>本项目采用在线投标响应方式，执行《浙江省财政厅关于印发浙江省政府采购项目电子交易管理暂行办法的通知》（浙财采监〔</w:t>
      </w:r>
      <w:r>
        <w:rPr>
          <w:rFonts w:ascii="宋体" w:hAnsi="宋体" w:eastAsia="宋体" w:cs="黑体"/>
          <w:color w:val="000000"/>
          <w:sz w:val="22"/>
        </w:rPr>
        <w:t>2019〕10 号）等相关规定</w:t>
      </w:r>
      <w:r>
        <w:rPr>
          <w:rFonts w:ascii="宋体" w:hAnsi="宋体" w:eastAsia="宋体" w:cs="黑体"/>
          <w:b w:val="0"/>
          <w:color w:val="000000"/>
          <w:sz w:val="22"/>
        </w:rPr>
        <w:t>。</w:t>
      </w:r>
    </w:p>
    <w:p>
      <w:pPr>
        <w:autoSpaceDE w:val="0"/>
        <w:autoSpaceDN w:val="0"/>
        <w:snapToGrid w:val="0"/>
        <w:spacing w:line="460" w:lineRule="exact"/>
        <w:ind w:firstLine="440" w:firstLineChars="200"/>
        <w:rPr>
          <w:rFonts w:ascii="宋体" w:hAnsi="宋体" w:eastAsia="宋体" w:cs="黑体"/>
          <w:b w:val="0"/>
          <w:color w:val="000000"/>
          <w:sz w:val="22"/>
        </w:rPr>
      </w:pPr>
      <w:r>
        <w:rPr>
          <w:rFonts w:hint="eastAsia" w:ascii="宋体" w:hAnsi="宋体" w:eastAsia="宋体" w:cs="黑体"/>
          <w:b w:val="0"/>
          <w:color w:val="000000"/>
          <w:sz w:val="22"/>
        </w:rPr>
        <w:t>13、</w:t>
      </w:r>
      <w:r>
        <w:rPr>
          <w:rFonts w:ascii="宋体" w:hAnsi="宋体" w:eastAsia="宋体" w:cs="黑体"/>
          <w:color w:val="000000"/>
          <w:sz w:val="22"/>
        </w:rPr>
        <w:t>本项目在线开评标进行时，供应商授权代表需自行关注平台提示信息，期间如有发出“询标/澄清函”等相关线上函件时，因供应商自身原因逾期/错过回复时间，由此造成的后果由供应商自行承担</w:t>
      </w:r>
      <w:r>
        <w:rPr>
          <w:rFonts w:ascii="宋体" w:hAnsi="宋体" w:eastAsia="宋体" w:cs="黑体"/>
          <w:b w:val="0"/>
          <w:color w:val="000000"/>
          <w:sz w:val="22"/>
        </w:rPr>
        <w:t>。</w:t>
      </w:r>
    </w:p>
    <w:p>
      <w:pPr>
        <w:autoSpaceDE w:val="0"/>
        <w:autoSpaceDN w:val="0"/>
        <w:snapToGrid w:val="0"/>
        <w:spacing w:line="460" w:lineRule="exact"/>
        <w:ind w:firstLine="440" w:firstLineChars="200"/>
        <w:rPr>
          <w:rFonts w:ascii="宋体" w:hAnsi="宋体" w:eastAsia="宋体" w:cs="黑体"/>
          <w:color w:val="000000"/>
          <w:sz w:val="22"/>
        </w:rPr>
      </w:pPr>
      <w:r>
        <w:rPr>
          <w:rFonts w:hint="eastAsia" w:ascii="宋体" w:hAnsi="宋体" w:eastAsia="宋体" w:cs="黑体"/>
          <w:b w:val="0"/>
          <w:color w:val="000000"/>
          <w:sz w:val="22"/>
        </w:rPr>
        <w:t>14、</w:t>
      </w:r>
      <w:r>
        <w:rPr>
          <w:rFonts w:hint="eastAsia" w:ascii="宋体" w:hAnsi="宋体" w:eastAsia="宋体" w:cs="黑体"/>
          <w:color w:val="000000"/>
          <w:sz w:val="22"/>
        </w:rPr>
        <w:t>本次采购的产品如属于政府强制采购节能产品范围的，投标供应商必须选用符合要求的产品并在投标文件中提供相关产品的认证证书扫描件，否则按无效投标处理，具体品目见《关于印发节能产品政府采购品目清单的通知》（财库〔</w:t>
      </w:r>
      <w:r>
        <w:rPr>
          <w:rFonts w:ascii="宋体" w:hAnsi="宋体" w:eastAsia="宋体" w:cs="黑体"/>
          <w:color w:val="000000"/>
          <w:sz w:val="22"/>
        </w:rPr>
        <w:t>2019〕19号）</w:t>
      </w:r>
      <w:r>
        <w:rPr>
          <w:rFonts w:hint="eastAsia" w:ascii="宋体" w:hAnsi="宋体" w:eastAsia="宋体" w:cs="黑体"/>
          <w:color w:val="000000"/>
          <w:sz w:val="22"/>
        </w:rPr>
        <w:t>。</w:t>
      </w:r>
    </w:p>
    <w:p>
      <w:pPr>
        <w:autoSpaceDE w:val="0"/>
        <w:autoSpaceDN w:val="0"/>
        <w:snapToGrid w:val="0"/>
        <w:spacing w:line="460" w:lineRule="exact"/>
        <w:ind w:firstLine="440" w:firstLineChars="200"/>
        <w:rPr>
          <w:rFonts w:ascii="宋体" w:hAnsi="宋体" w:eastAsia="宋体" w:cs="黑体"/>
          <w:b w:val="0"/>
          <w:color w:val="000000"/>
          <w:sz w:val="22"/>
        </w:rPr>
      </w:pPr>
      <w:r>
        <w:rPr>
          <w:rFonts w:hint="eastAsia" w:ascii="宋体" w:hAnsi="宋体" w:eastAsia="宋体" w:cs="黑体"/>
          <w:b w:val="0"/>
          <w:color w:val="000000"/>
          <w:sz w:val="22"/>
        </w:rPr>
        <w:t>15、</w:t>
      </w:r>
      <w:r>
        <w:rPr>
          <w:rFonts w:hint="eastAsia" w:ascii="宋体" w:hAnsi="宋体" w:eastAsia="宋体" w:cs="黑体"/>
          <w:color w:val="000000"/>
          <w:sz w:val="22"/>
        </w:rPr>
        <w:t>根据《工业和信息化部、国家统计局、国家发展和改革委员会、财政部关于印发中小企业划型标准规定的通知》（工信部联企业</w:t>
      </w:r>
      <w:r>
        <w:rPr>
          <w:rFonts w:ascii="宋体" w:hAnsi="宋体" w:eastAsia="宋体" w:cs="黑体"/>
          <w:color w:val="000000"/>
          <w:sz w:val="22"/>
        </w:rPr>
        <w:t>[2011]300</w:t>
      </w:r>
      <w:r>
        <w:rPr>
          <w:rFonts w:hint="eastAsia" w:ascii="宋体" w:hAnsi="宋体" w:eastAsia="宋体" w:cs="黑体"/>
          <w:color w:val="000000"/>
          <w:sz w:val="22"/>
        </w:rPr>
        <w:t>号），本项目采购的产品制造商所属行业为工业（包括采矿业，制造业，电力、热力、燃气及水生产和供应业），投标供应商所投产品的制造商属于招标文件中明确的行业所对应的小微企业享受价格优惠折扣。</w:t>
      </w:r>
    </w:p>
    <w:p>
      <w:pPr>
        <w:autoSpaceDE w:val="0"/>
        <w:autoSpaceDN w:val="0"/>
        <w:snapToGrid w:val="0"/>
        <w:spacing w:line="460" w:lineRule="exact"/>
        <w:ind w:firstLine="440" w:firstLineChars="200"/>
        <w:rPr>
          <w:rFonts w:ascii="宋体" w:hAnsi="宋体" w:eastAsia="宋体" w:cs="黑体"/>
          <w:b w:val="0"/>
          <w:color w:val="000000"/>
          <w:sz w:val="22"/>
        </w:rPr>
      </w:pPr>
      <w:r>
        <w:rPr>
          <w:rFonts w:hint="eastAsia" w:ascii="宋体" w:hAnsi="宋体" w:eastAsia="宋体" w:cs="黑体"/>
          <w:b w:val="0"/>
          <w:color w:val="000000"/>
          <w:sz w:val="22"/>
        </w:rPr>
        <w:t>16、</w:t>
      </w:r>
      <w:r>
        <w:rPr>
          <w:rFonts w:hint="eastAsia" w:ascii="宋体" w:hAnsi="宋体" w:eastAsia="宋体" w:cs="黑体"/>
          <w:color w:val="000000"/>
          <w:sz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二、招标文件</w:t>
      </w:r>
    </w:p>
    <w:p>
      <w:pPr>
        <w:autoSpaceDE w:val="0"/>
        <w:autoSpaceDN w:val="0"/>
        <w:snapToGrid w:val="0"/>
        <w:spacing w:line="460" w:lineRule="exact"/>
        <w:ind w:firstLine="440" w:firstLineChars="200"/>
        <w:rPr>
          <w:rFonts w:ascii="宋体" w:hAnsi="宋体" w:eastAsia="宋体"/>
          <w:b w:val="0"/>
          <w:color w:val="000000"/>
          <w:sz w:val="22"/>
          <w:lang w:val="zh-CN"/>
        </w:rPr>
      </w:pPr>
      <w:r>
        <w:rPr>
          <w:rFonts w:hint="eastAsia" w:ascii="宋体" w:hAnsi="宋体" w:eastAsia="宋体"/>
          <w:b w:val="0"/>
          <w:color w:val="000000"/>
          <w:sz w:val="22"/>
          <w:lang w:val="zh-CN"/>
        </w:rPr>
        <w:t>1、招标文件</w:t>
      </w:r>
    </w:p>
    <w:p>
      <w:pPr>
        <w:autoSpaceDE w:val="0"/>
        <w:autoSpaceDN w:val="0"/>
        <w:snapToGrid w:val="0"/>
        <w:spacing w:line="460" w:lineRule="exact"/>
        <w:ind w:firstLine="440" w:firstLineChars="200"/>
        <w:rPr>
          <w:rFonts w:ascii="宋体" w:hAnsi="宋体" w:eastAsia="宋体"/>
          <w:b w:val="0"/>
          <w:color w:val="000000"/>
          <w:sz w:val="22"/>
          <w:lang w:val="zh-CN"/>
        </w:rPr>
      </w:pPr>
      <w:r>
        <w:rPr>
          <w:rFonts w:hint="eastAsia" w:ascii="宋体" w:hAnsi="宋体" w:eastAsia="宋体"/>
          <w:b w:val="0"/>
          <w:color w:val="000000"/>
          <w:sz w:val="22"/>
          <w:lang w:val="zh-CN"/>
        </w:rPr>
        <w:t>1.1、招标文件发放</w:t>
      </w:r>
    </w:p>
    <w:p>
      <w:pPr>
        <w:autoSpaceDE w:val="0"/>
        <w:autoSpaceDN w:val="0"/>
        <w:snapToGrid w:val="0"/>
        <w:spacing w:line="460" w:lineRule="exact"/>
        <w:ind w:firstLine="440" w:firstLineChars="200"/>
        <w:rPr>
          <w:rFonts w:ascii="宋体" w:hAnsi="宋体" w:eastAsia="宋体"/>
          <w:b w:val="0"/>
          <w:color w:val="000000"/>
          <w:sz w:val="22"/>
          <w:lang w:val="zh-CN"/>
        </w:rPr>
      </w:pPr>
      <w:r>
        <w:rPr>
          <w:rFonts w:hint="eastAsia" w:ascii="宋体" w:hAnsi="宋体" w:eastAsia="宋体"/>
          <w:b w:val="0"/>
          <w:color w:val="000000"/>
          <w:sz w:val="22"/>
          <w:lang w:val="zh-CN"/>
        </w:rPr>
        <w:t>投标供应商网上自行下载招标文件。</w:t>
      </w:r>
    </w:p>
    <w:p>
      <w:pPr>
        <w:autoSpaceDE w:val="0"/>
        <w:autoSpaceDN w:val="0"/>
        <w:snapToGrid w:val="0"/>
        <w:spacing w:line="460" w:lineRule="exact"/>
        <w:ind w:firstLine="440" w:firstLineChars="200"/>
        <w:rPr>
          <w:rFonts w:ascii="宋体" w:hAnsi="宋体" w:eastAsia="宋体"/>
          <w:b w:val="0"/>
          <w:color w:val="000000"/>
          <w:sz w:val="22"/>
          <w:lang w:val="zh-CN"/>
        </w:rPr>
      </w:pPr>
      <w:r>
        <w:rPr>
          <w:rFonts w:ascii="宋体" w:hAnsi="宋体" w:eastAsia="宋体"/>
          <w:b w:val="0"/>
          <w:color w:val="000000"/>
          <w:sz w:val="22"/>
          <w:lang w:val="zh-CN"/>
        </w:rPr>
        <w:t>1.2、招标文件约束力</w:t>
      </w:r>
    </w:p>
    <w:p>
      <w:pPr>
        <w:autoSpaceDE w:val="0"/>
        <w:autoSpaceDN w:val="0"/>
        <w:snapToGrid w:val="0"/>
        <w:spacing w:line="460" w:lineRule="exact"/>
        <w:ind w:firstLine="440" w:firstLineChars="200"/>
        <w:rPr>
          <w:rFonts w:ascii="宋体" w:hAnsi="宋体" w:eastAsia="宋体"/>
          <w:b w:val="0"/>
          <w:color w:val="000000"/>
          <w:sz w:val="22"/>
          <w:lang w:val="zh-CN"/>
        </w:rPr>
      </w:pPr>
      <w:r>
        <w:rPr>
          <w:rFonts w:hint="eastAsia" w:ascii="宋体" w:hAnsi="宋体" w:eastAsia="宋体"/>
          <w:b w:val="0"/>
          <w:color w:val="000000"/>
          <w:sz w:val="22"/>
          <w:lang w:val="zh-CN"/>
        </w:rPr>
        <w:t>投标供应商参加投标，即被认为接受了本招标文件中所有条款和规定。</w:t>
      </w:r>
    </w:p>
    <w:p>
      <w:pPr>
        <w:autoSpaceDE w:val="0"/>
        <w:autoSpaceDN w:val="0"/>
        <w:snapToGrid w:val="0"/>
        <w:spacing w:line="460" w:lineRule="exact"/>
        <w:ind w:firstLine="440" w:firstLineChars="200"/>
        <w:rPr>
          <w:rFonts w:ascii="宋体" w:hAnsi="宋体" w:eastAsia="宋体"/>
          <w:b w:val="0"/>
          <w:color w:val="000000"/>
          <w:sz w:val="22"/>
          <w:lang w:val="zh-CN"/>
        </w:rPr>
      </w:pPr>
      <w:r>
        <w:rPr>
          <w:rFonts w:hint="eastAsia" w:ascii="宋体" w:hAnsi="宋体" w:eastAsia="宋体"/>
          <w:b w:val="0"/>
          <w:color w:val="000000"/>
          <w:sz w:val="22"/>
          <w:lang w:val="zh-CN"/>
        </w:rPr>
        <w:t>2、招标文件的澄清</w:t>
      </w:r>
    </w:p>
    <w:p>
      <w:pPr>
        <w:autoSpaceDE w:val="0"/>
        <w:autoSpaceDN w:val="0"/>
        <w:snapToGrid w:val="0"/>
        <w:spacing w:line="460" w:lineRule="exact"/>
        <w:ind w:firstLine="440" w:firstLineChars="200"/>
        <w:rPr>
          <w:rFonts w:ascii="宋体" w:hAnsi="宋体" w:eastAsia="宋体"/>
          <w:b w:val="0"/>
          <w:color w:val="000000"/>
          <w:sz w:val="22"/>
          <w:lang w:val="zh-CN"/>
        </w:rPr>
      </w:pPr>
      <w:r>
        <w:rPr>
          <w:rFonts w:hint="eastAsia" w:ascii="宋体" w:hAnsi="宋体" w:eastAsia="宋体"/>
          <w:b w:val="0"/>
          <w:color w:val="000000"/>
          <w:sz w:val="22"/>
          <w:lang w:val="zh-CN"/>
        </w:rPr>
        <w:t>2.1、投标供应商对招标文件如有疑点要求澄清，或认为有必要与采购人进行技术交流，可用书面形式（包括信函、传真，下同）通知采购代理机构，但通知不得迟于招标文件规定时间使采购代理机构收到，采购代理机构将用书面形式予以答复。如有必要，可将不说明来源的答复发给各有关投标供应商</w:t>
      </w:r>
      <w:r>
        <w:rPr>
          <w:rFonts w:hint="eastAsia" w:ascii="宋体" w:hAnsi="宋体" w:eastAsia="宋体"/>
          <w:b w:val="0"/>
          <w:color w:val="000000"/>
          <w:sz w:val="22"/>
        </w:rPr>
        <w:t>并予以公告。</w:t>
      </w:r>
      <w:r>
        <w:rPr>
          <w:rFonts w:hint="eastAsia" w:ascii="宋体" w:hAnsi="宋体" w:eastAsia="宋体"/>
          <w:color w:val="000000"/>
          <w:sz w:val="22"/>
        </w:rPr>
        <w:t>任何口头答复均不作为投标依据</w:t>
      </w:r>
      <w:r>
        <w:rPr>
          <w:rFonts w:hint="eastAsia" w:ascii="宋体" w:hAnsi="宋体" w:eastAsia="宋体"/>
          <w:b w:val="0"/>
          <w:color w:val="000000"/>
          <w:sz w:val="22"/>
        </w:rPr>
        <w:t>。</w:t>
      </w:r>
    </w:p>
    <w:p>
      <w:pPr>
        <w:autoSpaceDE w:val="0"/>
        <w:autoSpaceDN w:val="0"/>
        <w:snapToGrid w:val="0"/>
        <w:spacing w:line="460" w:lineRule="exact"/>
        <w:ind w:firstLine="440" w:firstLineChars="200"/>
        <w:rPr>
          <w:rFonts w:ascii="宋体" w:hAnsi="宋体" w:eastAsia="宋体"/>
          <w:b w:val="0"/>
          <w:color w:val="000000"/>
          <w:sz w:val="22"/>
          <w:lang w:val="zh-CN"/>
        </w:rPr>
      </w:pPr>
      <w:r>
        <w:rPr>
          <w:rFonts w:hint="eastAsia" w:ascii="宋体" w:hAnsi="宋体" w:eastAsia="宋体"/>
          <w:b w:val="0"/>
          <w:color w:val="000000"/>
          <w:sz w:val="22"/>
          <w:lang w:val="zh-CN"/>
        </w:rPr>
        <w:t>3、招标文件的修改</w:t>
      </w:r>
    </w:p>
    <w:p>
      <w:pPr>
        <w:autoSpaceDE w:val="0"/>
        <w:autoSpaceDN w:val="0"/>
        <w:snapToGrid w:val="0"/>
        <w:spacing w:line="460" w:lineRule="exact"/>
        <w:ind w:firstLine="440" w:firstLineChars="200"/>
        <w:rPr>
          <w:rFonts w:ascii="宋体" w:hAnsi="宋体" w:eastAsia="宋体"/>
          <w:b w:val="0"/>
          <w:color w:val="000000"/>
          <w:sz w:val="22"/>
          <w:lang w:val="zh-CN"/>
        </w:rPr>
      </w:pPr>
      <w:r>
        <w:rPr>
          <w:rFonts w:hint="eastAsia" w:ascii="宋体" w:hAnsi="宋体" w:eastAsia="宋体"/>
          <w:b w:val="0"/>
          <w:color w:val="000000"/>
          <w:sz w:val="22"/>
          <w:lang w:val="zh-CN"/>
        </w:rPr>
        <w:t>3.1、在投标截止时间前，采购人或采购代理机构有权修改招标文件，并通知投标供应商。补充文件作为招标文件的补充和组成部分，对所有投标供应商均有约束力。</w:t>
      </w:r>
    </w:p>
    <w:p>
      <w:pPr>
        <w:autoSpaceDE w:val="0"/>
        <w:autoSpaceDN w:val="0"/>
        <w:snapToGrid w:val="0"/>
        <w:spacing w:line="460" w:lineRule="exact"/>
        <w:ind w:firstLine="440" w:firstLineChars="200"/>
        <w:rPr>
          <w:rFonts w:ascii="宋体" w:hAnsi="宋体" w:eastAsia="宋体"/>
          <w:b w:val="0"/>
          <w:color w:val="000000"/>
          <w:sz w:val="22"/>
          <w:lang w:val="zh-CN"/>
        </w:rPr>
      </w:pPr>
      <w:r>
        <w:rPr>
          <w:rFonts w:hint="eastAsia" w:ascii="宋体" w:hAnsi="宋体" w:eastAsia="宋体"/>
          <w:b w:val="0"/>
          <w:color w:val="000000"/>
          <w:sz w:val="22"/>
          <w:lang w:val="zh-CN"/>
        </w:rPr>
        <w:t>3.2、为使投标供应商有足够的时间按招标文件要求修正投标文件，采购人可酌情推迟投标截止时间和开标时间，并将此变更通知投标供应商。</w:t>
      </w:r>
    </w:p>
    <w:p>
      <w:pPr>
        <w:autoSpaceDE w:val="0"/>
        <w:autoSpaceDN w:val="0"/>
        <w:snapToGrid w:val="0"/>
        <w:spacing w:line="460" w:lineRule="exact"/>
        <w:ind w:firstLine="440" w:firstLineChars="200"/>
        <w:rPr>
          <w:rFonts w:ascii="宋体" w:hAnsi="宋体" w:eastAsia="宋体"/>
          <w:b w:val="0"/>
          <w:color w:val="000000"/>
          <w:sz w:val="22"/>
          <w:lang w:val="zh-CN"/>
        </w:rPr>
      </w:pPr>
      <w:r>
        <w:rPr>
          <w:rFonts w:hint="eastAsia" w:ascii="宋体" w:hAnsi="宋体" w:eastAsia="宋体"/>
          <w:b w:val="0"/>
          <w:color w:val="000000"/>
          <w:sz w:val="22"/>
          <w:lang w:val="zh-CN"/>
        </w:rPr>
        <w:t>3.3、</w:t>
      </w:r>
      <w:r>
        <w:rPr>
          <w:rFonts w:hint="eastAsia" w:ascii="宋体" w:hAnsi="宋体" w:eastAsia="宋体" w:cs="Cambria"/>
          <w:color w:val="000000"/>
          <w:sz w:val="22"/>
          <w:lang w:val="zh-CN"/>
        </w:rPr>
        <w:t>本项目招标文件如有补充、更正、澄清均见浙江政府采购网</w:t>
      </w:r>
      <w:r>
        <w:rPr>
          <w:rFonts w:hint="eastAsia" w:ascii="宋体" w:hAnsi="宋体" w:eastAsia="宋体" w:cs="Cambria"/>
          <w:color w:val="000000"/>
          <w:sz w:val="22"/>
        </w:rPr>
        <w:t>、乐清市公共资源交易网</w:t>
      </w:r>
      <w:r>
        <w:rPr>
          <w:rFonts w:hint="eastAsia" w:ascii="宋体" w:hAnsi="宋体" w:eastAsia="宋体" w:cs="Cambria"/>
          <w:color w:val="000000"/>
          <w:sz w:val="22"/>
          <w:lang w:val="zh-CN"/>
        </w:rPr>
        <w:t>。投标供应商须在投标截止前自行查看是否有补充、更正、澄清文件，并按补充、更正、澄清文件要求投标，否则责任自负。</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三、投标文件</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1、投标文件</w:t>
      </w:r>
    </w:p>
    <w:p>
      <w:pPr>
        <w:autoSpaceDE w:val="0"/>
        <w:autoSpaceDN w:val="0"/>
        <w:snapToGrid w:val="0"/>
        <w:spacing w:line="460" w:lineRule="exact"/>
        <w:ind w:firstLine="440" w:firstLineChars="200"/>
        <w:rPr>
          <w:rFonts w:ascii="宋体" w:hAnsi="宋体" w:eastAsia="宋体"/>
          <w:b w:val="0"/>
          <w:color w:val="000000"/>
          <w:sz w:val="22"/>
          <w:lang w:val="zh-CN"/>
        </w:rPr>
      </w:pPr>
      <w:r>
        <w:rPr>
          <w:rFonts w:ascii="宋体" w:hAnsi="宋体" w:eastAsia="宋体"/>
          <w:b w:val="0"/>
          <w:color w:val="000000"/>
          <w:sz w:val="22"/>
          <w:lang w:val="zh-CN"/>
        </w:rPr>
        <w:t>1.1</w:t>
      </w:r>
      <w:r>
        <w:rPr>
          <w:rFonts w:hint="eastAsia" w:ascii="宋体" w:hAnsi="宋体" w:eastAsia="宋体"/>
          <w:b w:val="0"/>
          <w:color w:val="000000"/>
          <w:sz w:val="22"/>
          <w:lang w:val="zh-CN"/>
        </w:rPr>
        <w:t>、</w:t>
      </w:r>
      <w:r>
        <w:rPr>
          <w:rFonts w:ascii="宋体" w:hAnsi="宋体" w:eastAsia="宋体"/>
          <w:b w:val="0"/>
          <w:color w:val="000000"/>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snapToGrid w:val="0"/>
        <w:spacing w:line="460" w:lineRule="exact"/>
        <w:ind w:firstLine="440" w:firstLineChars="200"/>
        <w:rPr>
          <w:rFonts w:ascii="宋体" w:hAnsi="宋体" w:eastAsia="宋体"/>
          <w:b w:val="0"/>
          <w:color w:val="000000"/>
          <w:sz w:val="22"/>
          <w:lang w:val="zh-CN"/>
        </w:rPr>
      </w:pPr>
      <w:r>
        <w:rPr>
          <w:rFonts w:ascii="宋体" w:hAnsi="宋体" w:eastAsia="宋体"/>
          <w:b w:val="0"/>
          <w:color w:val="000000"/>
          <w:sz w:val="22"/>
          <w:lang w:val="zh-CN"/>
        </w:rPr>
        <w:t>1.2</w:t>
      </w:r>
      <w:r>
        <w:rPr>
          <w:rFonts w:hint="eastAsia" w:ascii="宋体" w:hAnsi="宋体" w:eastAsia="宋体"/>
          <w:b w:val="0"/>
          <w:color w:val="000000"/>
          <w:sz w:val="22"/>
          <w:lang w:val="zh-CN"/>
        </w:rPr>
        <w:t>、</w:t>
      </w:r>
      <w:r>
        <w:rPr>
          <w:rFonts w:ascii="宋体" w:hAnsi="宋体" w:eastAsia="宋体"/>
          <w:b w:val="0"/>
          <w:color w:val="000000"/>
          <w:sz w:val="22"/>
          <w:lang w:val="zh-CN"/>
        </w:rPr>
        <w:t>投标供应商提交的投标文件报价均采用人民币报价。</w:t>
      </w:r>
    </w:p>
    <w:p>
      <w:pPr>
        <w:autoSpaceDE w:val="0"/>
        <w:autoSpaceDN w:val="0"/>
        <w:snapToGrid w:val="0"/>
        <w:spacing w:line="460" w:lineRule="exact"/>
        <w:ind w:firstLine="440" w:firstLineChars="200"/>
        <w:rPr>
          <w:rFonts w:ascii="宋体" w:hAnsi="宋体" w:eastAsia="宋体"/>
          <w:b w:val="0"/>
          <w:color w:val="000000"/>
          <w:sz w:val="22"/>
          <w:lang w:val="zh-CN"/>
        </w:rPr>
      </w:pPr>
      <w:r>
        <w:rPr>
          <w:rFonts w:ascii="宋体" w:hAnsi="宋体" w:eastAsia="宋体"/>
          <w:b w:val="0"/>
          <w:color w:val="000000"/>
          <w:sz w:val="22"/>
          <w:lang w:val="zh-CN"/>
        </w:rPr>
        <w:t>1.3</w:t>
      </w:r>
      <w:r>
        <w:rPr>
          <w:rFonts w:hint="eastAsia" w:ascii="宋体" w:hAnsi="宋体" w:eastAsia="宋体"/>
          <w:b w:val="0"/>
          <w:color w:val="000000"/>
          <w:sz w:val="22"/>
          <w:lang w:val="zh-CN"/>
        </w:rPr>
        <w:t>、</w:t>
      </w:r>
      <w:r>
        <w:rPr>
          <w:rFonts w:ascii="宋体" w:hAnsi="宋体" w:eastAsia="宋体"/>
          <w:b w:val="0"/>
          <w:color w:val="000000"/>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snapToGrid w:val="0"/>
        <w:spacing w:line="460" w:lineRule="exact"/>
        <w:ind w:firstLine="440" w:firstLineChars="200"/>
        <w:rPr>
          <w:rFonts w:ascii="宋体" w:hAnsi="宋体" w:eastAsia="宋体"/>
          <w:b w:val="0"/>
          <w:color w:val="000000"/>
          <w:sz w:val="22"/>
          <w:lang w:val="zh-CN"/>
        </w:rPr>
      </w:pPr>
      <w:r>
        <w:rPr>
          <w:rFonts w:ascii="宋体" w:hAnsi="宋体" w:eastAsia="宋体"/>
          <w:b w:val="0"/>
          <w:color w:val="000000"/>
          <w:sz w:val="22"/>
          <w:lang w:val="zh-CN"/>
        </w:rPr>
        <w:t>1.4</w:t>
      </w:r>
      <w:r>
        <w:rPr>
          <w:rFonts w:hint="eastAsia" w:ascii="宋体" w:hAnsi="宋体" w:eastAsia="宋体"/>
          <w:b w:val="0"/>
          <w:color w:val="000000"/>
          <w:sz w:val="22"/>
          <w:lang w:val="zh-CN"/>
        </w:rPr>
        <w:t>、</w:t>
      </w:r>
      <w:r>
        <w:rPr>
          <w:rFonts w:ascii="宋体" w:hAnsi="宋体" w:eastAsia="宋体"/>
          <w:b w:val="0"/>
          <w:color w:val="000000"/>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snapToGrid w:val="0"/>
        <w:spacing w:line="460" w:lineRule="exact"/>
        <w:ind w:firstLine="440" w:firstLineChars="200"/>
        <w:rPr>
          <w:rFonts w:ascii="宋体" w:hAnsi="宋体" w:eastAsia="宋体"/>
          <w:b w:val="0"/>
          <w:color w:val="000000"/>
          <w:sz w:val="22"/>
          <w:lang w:val="zh-CN"/>
        </w:rPr>
      </w:pPr>
      <w:r>
        <w:rPr>
          <w:rFonts w:ascii="宋体" w:hAnsi="宋体" w:eastAsia="宋体"/>
          <w:b w:val="0"/>
          <w:color w:val="000000"/>
          <w:sz w:val="22"/>
          <w:lang w:val="zh-CN"/>
        </w:rPr>
        <w:t>1.5</w:t>
      </w:r>
      <w:r>
        <w:rPr>
          <w:rFonts w:hint="eastAsia" w:ascii="宋体" w:hAnsi="宋体" w:eastAsia="宋体"/>
          <w:b w:val="0"/>
          <w:color w:val="000000"/>
          <w:sz w:val="22"/>
          <w:lang w:val="zh-CN"/>
        </w:rPr>
        <w:t>、</w:t>
      </w:r>
      <w:r>
        <w:rPr>
          <w:rFonts w:ascii="宋体" w:hAnsi="宋体" w:eastAsia="宋体"/>
          <w:b w:val="0"/>
          <w:color w:val="000000"/>
          <w:sz w:val="22"/>
          <w:lang w:val="zh-CN"/>
        </w:rPr>
        <w:t>投标供应商应仔细阅读招标文件中的所有内容，按照招标文件要求，详细编制投标文件，所有文件资料必须是针对本次投标。不按招标文件的要求提供的投标文件可能导致被拒绝。</w:t>
      </w:r>
    </w:p>
    <w:p>
      <w:pPr>
        <w:autoSpaceDE w:val="0"/>
        <w:autoSpaceDN w:val="0"/>
        <w:snapToGrid w:val="0"/>
        <w:spacing w:line="460" w:lineRule="exact"/>
        <w:ind w:firstLine="440" w:firstLineChars="200"/>
        <w:rPr>
          <w:rFonts w:ascii="宋体" w:hAnsi="宋体" w:eastAsia="宋体"/>
          <w:b w:val="0"/>
          <w:color w:val="000000"/>
          <w:sz w:val="22"/>
          <w:lang w:val="zh-CN"/>
        </w:rPr>
      </w:pPr>
      <w:r>
        <w:rPr>
          <w:rFonts w:hint="eastAsia" w:ascii="宋体" w:hAnsi="宋体" w:eastAsia="宋体"/>
          <w:b w:val="0"/>
          <w:color w:val="000000"/>
          <w:sz w:val="22"/>
          <w:lang w:val="zh-CN"/>
        </w:rPr>
        <w:t>2、投标文件的组成</w:t>
      </w:r>
    </w:p>
    <w:p>
      <w:pPr>
        <w:autoSpaceDE w:val="0"/>
        <w:autoSpaceDN w:val="0"/>
        <w:snapToGrid w:val="0"/>
        <w:spacing w:line="460" w:lineRule="exact"/>
        <w:ind w:firstLine="442" w:firstLineChars="200"/>
        <w:rPr>
          <w:rFonts w:ascii="宋体" w:hAnsi="宋体" w:eastAsia="宋体"/>
          <w:color w:val="000000"/>
          <w:sz w:val="22"/>
          <w:u w:val="single"/>
        </w:rPr>
      </w:pPr>
      <w:r>
        <w:rPr>
          <w:rFonts w:hint="eastAsia" w:ascii="宋体" w:hAnsi="宋体" w:eastAsia="宋体"/>
          <w:color w:val="000000"/>
          <w:sz w:val="22"/>
          <w:u w:val="single"/>
        </w:rPr>
        <w:t>投标文件由资格文件、报价文件、商务技术文件组成。</w:t>
      </w:r>
    </w:p>
    <w:p>
      <w:pPr>
        <w:autoSpaceDE w:val="0"/>
        <w:autoSpaceDN w:val="0"/>
        <w:snapToGrid w:val="0"/>
        <w:spacing w:line="460" w:lineRule="exact"/>
        <w:ind w:firstLine="442" w:firstLineChars="200"/>
        <w:rPr>
          <w:rFonts w:ascii="宋体" w:hAnsi="宋体" w:eastAsia="宋体"/>
          <w:color w:val="000000"/>
          <w:sz w:val="22"/>
          <w:u w:val="single"/>
        </w:rPr>
      </w:pPr>
      <w:r>
        <w:rPr>
          <w:rFonts w:hint="eastAsia" w:ascii="宋体" w:hAnsi="宋体" w:eastAsia="宋体"/>
          <w:color w:val="000000"/>
          <w:sz w:val="22"/>
          <w:lang w:val="zh-CN"/>
        </w:rPr>
        <w:t>2.1、</w:t>
      </w:r>
      <w:r>
        <w:rPr>
          <w:rFonts w:hint="eastAsia" w:ascii="宋体" w:hAnsi="宋体" w:eastAsia="宋体"/>
          <w:color w:val="000000"/>
          <w:sz w:val="22"/>
          <w:u w:val="single"/>
        </w:rPr>
        <w:t>资格文件组成</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773" w:type="dxa"/>
            <w:noWrap w:val="0"/>
            <w:vAlign w:val="center"/>
          </w:tcPr>
          <w:p>
            <w:pPr>
              <w:autoSpaceDE w:val="0"/>
              <w:autoSpaceDN w:val="0"/>
              <w:snapToGrid w:val="0"/>
              <w:spacing w:line="460" w:lineRule="exact"/>
              <w:jc w:val="center"/>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序号</w:t>
            </w:r>
          </w:p>
        </w:tc>
        <w:tc>
          <w:tcPr>
            <w:tcW w:w="8747" w:type="dxa"/>
            <w:noWrap w:val="0"/>
            <w:vAlign w:val="top"/>
          </w:tcPr>
          <w:p>
            <w:pPr>
              <w:autoSpaceDE w:val="0"/>
              <w:autoSpaceDN w:val="0"/>
              <w:snapToGrid w:val="0"/>
              <w:spacing w:line="460" w:lineRule="exact"/>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内容（</w:t>
            </w:r>
            <w:r>
              <w:rPr>
                <w:rFonts w:hint="eastAsia" w:ascii="宋体" w:hAnsi="宋体" w:eastAsia="宋体" w:cs="Courier New"/>
                <w:color w:val="000000"/>
                <w:sz w:val="22"/>
                <w:lang w:val="zh-CN"/>
              </w:rPr>
              <w:t>以下内容投标供应商必须提供，否则不能通过资格审查的，责任自负。</w:t>
            </w:r>
            <w:r>
              <w:rPr>
                <w:rFonts w:hint="eastAsia" w:ascii="宋体" w:hAnsi="宋体" w:eastAsia="宋体" w:cs="Courier New"/>
                <w:b w:val="0"/>
                <w:color w:val="00000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773" w:type="dxa"/>
            <w:noWrap w:val="0"/>
            <w:vAlign w:val="center"/>
          </w:tcPr>
          <w:p>
            <w:pPr>
              <w:autoSpaceDE w:val="0"/>
              <w:autoSpaceDN w:val="0"/>
              <w:snapToGrid w:val="0"/>
              <w:spacing w:line="460" w:lineRule="exact"/>
              <w:jc w:val="center"/>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1</w:t>
            </w:r>
          </w:p>
        </w:tc>
        <w:tc>
          <w:tcPr>
            <w:tcW w:w="8747" w:type="dxa"/>
            <w:noWrap w:val="0"/>
            <w:vAlign w:val="top"/>
          </w:tcPr>
          <w:p>
            <w:pPr>
              <w:autoSpaceDE w:val="0"/>
              <w:autoSpaceDN w:val="0"/>
              <w:snapToGrid w:val="0"/>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投标供应商的营业执照（扫描件加盖公章）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773" w:type="dxa"/>
            <w:noWrap w:val="0"/>
            <w:vAlign w:val="center"/>
          </w:tcPr>
          <w:p>
            <w:pPr>
              <w:autoSpaceDE w:val="0"/>
              <w:autoSpaceDN w:val="0"/>
              <w:snapToGrid w:val="0"/>
              <w:spacing w:line="460" w:lineRule="exact"/>
              <w:jc w:val="center"/>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2</w:t>
            </w:r>
          </w:p>
        </w:tc>
        <w:tc>
          <w:tcPr>
            <w:tcW w:w="8747" w:type="dxa"/>
            <w:noWrap w:val="0"/>
            <w:vAlign w:val="top"/>
          </w:tcPr>
          <w:p>
            <w:pPr>
              <w:autoSpaceDE w:val="0"/>
              <w:autoSpaceDN w:val="0"/>
              <w:snapToGrid w:val="0"/>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投标供应商参与政府采购活动投标资格声明函（附件一）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773" w:type="dxa"/>
            <w:noWrap w:val="0"/>
            <w:vAlign w:val="center"/>
          </w:tcPr>
          <w:p>
            <w:pPr>
              <w:autoSpaceDE w:val="0"/>
              <w:autoSpaceDN w:val="0"/>
              <w:snapToGrid w:val="0"/>
              <w:spacing w:line="460" w:lineRule="exact"/>
              <w:jc w:val="center"/>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3</w:t>
            </w:r>
          </w:p>
        </w:tc>
        <w:tc>
          <w:tcPr>
            <w:tcW w:w="8747" w:type="dxa"/>
            <w:noWrap w:val="0"/>
            <w:vAlign w:val="top"/>
          </w:tcPr>
          <w:p>
            <w:pPr>
              <w:autoSpaceDE w:val="0"/>
              <w:autoSpaceDN w:val="0"/>
              <w:snapToGrid w:val="0"/>
              <w:spacing w:line="460" w:lineRule="exact"/>
              <w:rPr>
                <w:rFonts w:ascii="宋体" w:hAnsi="宋体" w:eastAsia="宋体" w:cs="宋体"/>
                <w:b w:val="0"/>
                <w:color w:val="000000"/>
                <w:sz w:val="22"/>
              </w:rPr>
            </w:pPr>
            <w:r>
              <w:rPr>
                <w:rFonts w:hint="eastAsia" w:ascii="宋体" w:hAnsi="宋体" w:eastAsia="宋体" w:cs="宋体"/>
                <w:b w:val="0"/>
                <w:color w:val="000000"/>
                <w:sz w:val="22"/>
              </w:rPr>
              <w:t>投标供应商特定资格条件证明：1、投标供应商的《基础电信业务经营许可证》或《广播电视节目传送经营许可证》；（扫描件加盖公章）</w:t>
            </w:r>
          </w:p>
          <w:p>
            <w:pPr>
              <w:autoSpaceDE w:val="0"/>
              <w:autoSpaceDN w:val="0"/>
              <w:snapToGrid w:val="0"/>
              <w:spacing w:line="460" w:lineRule="exact"/>
              <w:rPr>
                <w:rFonts w:ascii="宋体" w:hAnsi="宋体" w:eastAsia="宋体" w:cs="宋体"/>
                <w:b w:val="0"/>
                <w:color w:val="000000"/>
                <w:sz w:val="22"/>
              </w:rPr>
            </w:pPr>
            <w:r>
              <w:rPr>
                <w:rFonts w:hint="eastAsia" w:ascii="宋体" w:hAnsi="宋体" w:eastAsia="宋体" w:cs="宋体"/>
                <w:b w:val="0"/>
                <w:color w:val="000000"/>
                <w:sz w:val="22"/>
              </w:rPr>
              <w:t>2、供应商在本项目建设区域拥有整体运行、维护的自有管道光纤资源情况说明</w:t>
            </w:r>
            <w:r>
              <w:rPr>
                <w:rFonts w:ascii="宋体" w:hAnsi="宋体" w:eastAsia="宋体" w:cs="宋体"/>
                <w:b w:val="0"/>
                <w:color w:val="000000"/>
                <w:sz w:val="22"/>
              </w:rPr>
              <w:t>；</w:t>
            </w:r>
          </w:p>
          <w:p>
            <w:pPr>
              <w:autoSpaceDE w:val="0"/>
              <w:autoSpaceDN w:val="0"/>
              <w:snapToGrid w:val="0"/>
              <w:spacing w:line="460" w:lineRule="exact"/>
              <w:rPr>
                <w:rFonts w:ascii="宋体" w:hAnsi="宋体" w:eastAsia="宋体" w:cs="Courier New"/>
                <w:b w:val="0"/>
                <w:color w:val="000000"/>
                <w:sz w:val="22"/>
              </w:rPr>
            </w:pPr>
            <w:r>
              <w:rPr>
                <w:rFonts w:hint="eastAsia" w:ascii="宋体" w:hAnsi="宋体" w:eastAsia="宋体" w:cs="宋体"/>
                <w:b w:val="0"/>
                <w:color w:val="000000"/>
                <w:sz w:val="22"/>
              </w:rPr>
              <w:t>3、</w:t>
            </w:r>
            <w:r>
              <w:rPr>
                <w:rFonts w:ascii="宋体" w:hAnsi="宋体" w:eastAsia="宋体" w:cs="宋体"/>
                <w:b w:val="0"/>
                <w:color w:val="000000"/>
                <w:sz w:val="22"/>
              </w:rPr>
              <w:t>若投标</w:t>
            </w:r>
            <w:r>
              <w:rPr>
                <w:rFonts w:hint="eastAsia" w:ascii="宋体" w:hAnsi="宋体" w:eastAsia="宋体" w:cs="宋体"/>
                <w:b w:val="0"/>
                <w:color w:val="000000"/>
                <w:sz w:val="22"/>
              </w:rPr>
              <w:t>供应商</w:t>
            </w:r>
            <w:r>
              <w:rPr>
                <w:rFonts w:ascii="宋体" w:hAnsi="宋体" w:eastAsia="宋体" w:cs="宋体"/>
                <w:b w:val="0"/>
                <w:color w:val="000000"/>
                <w:sz w:val="22"/>
              </w:rPr>
              <w:t>无法人资格参与本项目投标的，须取得其总公司的书面授权，且同一法人针对本项目的书面授权只能授予其所属的一个分（支）公司</w:t>
            </w:r>
            <w:r>
              <w:rPr>
                <w:rFonts w:hint="eastAsia" w:ascii="宋体" w:hAnsi="宋体" w:eastAsia="宋体" w:cs="宋体"/>
                <w:b w:val="0"/>
                <w:color w:val="000000"/>
                <w:sz w:val="22"/>
              </w:rPr>
              <w:t>；（格式自拟，扫描件加盖公章）</w:t>
            </w:r>
          </w:p>
        </w:tc>
      </w:tr>
    </w:tbl>
    <w:p>
      <w:pPr>
        <w:autoSpaceDE w:val="0"/>
        <w:autoSpaceDN w:val="0"/>
        <w:snapToGrid w:val="0"/>
        <w:spacing w:line="460" w:lineRule="exact"/>
        <w:ind w:firstLine="442" w:firstLineChars="200"/>
        <w:rPr>
          <w:rFonts w:ascii="宋体" w:hAnsi="宋体" w:eastAsia="宋体"/>
          <w:b w:val="0"/>
          <w:color w:val="000000"/>
          <w:sz w:val="22"/>
          <w:lang w:val="zh-CN"/>
        </w:rPr>
      </w:pPr>
      <w:r>
        <w:rPr>
          <w:rFonts w:hint="eastAsia" w:ascii="宋体" w:hAnsi="宋体" w:eastAsia="宋体"/>
          <w:color w:val="000000"/>
          <w:sz w:val="22"/>
        </w:rPr>
        <w:t>2.2、报价文件</w:t>
      </w:r>
      <w:r>
        <w:rPr>
          <w:rFonts w:hint="eastAsia" w:ascii="宋体" w:hAnsi="宋体" w:eastAsia="宋体"/>
          <w:color w:val="000000"/>
          <w:sz w:val="22"/>
          <w:lang w:val="zh-CN"/>
        </w:rPr>
        <w:t>组成</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84" w:type="dxa"/>
            <w:noWrap w:val="0"/>
            <w:vAlign w:val="center"/>
          </w:tcPr>
          <w:p>
            <w:pPr>
              <w:autoSpaceDE w:val="0"/>
              <w:autoSpaceDN w:val="0"/>
              <w:snapToGrid w:val="0"/>
              <w:spacing w:line="460" w:lineRule="exact"/>
              <w:jc w:val="center"/>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序号</w:t>
            </w:r>
          </w:p>
        </w:tc>
        <w:tc>
          <w:tcPr>
            <w:tcW w:w="8736" w:type="dxa"/>
            <w:noWrap w:val="0"/>
            <w:vAlign w:val="top"/>
          </w:tcPr>
          <w:p>
            <w:pPr>
              <w:autoSpaceDE w:val="0"/>
              <w:autoSpaceDN w:val="0"/>
              <w:snapToGrid w:val="0"/>
              <w:spacing w:line="460" w:lineRule="exact"/>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内容（▲</w:t>
            </w:r>
            <w:r>
              <w:rPr>
                <w:rFonts w:hint="eastAsia" w:ascii="宋体" w:hAnsi="宋体" w:eastAsia="宋体" w:cs="Courier New"/>
                <w:color w:val="000000"/>
                <w:sz w:val="22"/>
                <w:lang w:val="zh-CN"/>
              </w:rPr>
              <w:t>序号2-3项投标供应商必须提供，否则不能通过符合性审查的，责任自负。</w:t>
            </w:r>
            <w:r>
              <w:rPr>
                <w:rFonts w:hint="eastAsia" w:ascii="宋体" w:hAnsi="宋体" w:eastAsia="宋体" w:cs="Courier New"/>
                <w:b w:val="0"/>
                <w:color w:val="00000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84" w:type="dxa"/>
            <w:noWrap w:val="0"/>
            <w:vAlign w:val="center"/>
          </w:tcPr>
          <w:p>
            <w:pPr>
              <w:autoSpaceDE w:val="0"/>
              <w:autoSpaceDN w:val="0"/>
              <w:snapToGrid w:val="0"/>
              <w:spacing w:line="460" w:lineRule="exact"/>
              <w:jc w:val="center"/>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1</w:t>
            </w:r>
          </w:p>
        </w:tc>
        <w:tc>
          <w:tcPr>
            <w:tcW w:w="8736" w:type="dxa"/>
            <w:noWrap w:val="0"/>
            <w:vAlign w:val="top"/>
          </w:tcPr>
          <w:p>
            <w:pPr>
              <w:autoSpaceDE w:val="0"/>
              <w:autoSpaceDN w:val="0"/>
              <w:snapToGrid w:val="0"/>
              <w:spacing w:line="460" w:lineRule="exact"/>
              <w:rPr>
                <w:rFonts w:ascii="宋体" w:hAnsi="宋体" w:eastAsia="宋体" w:cs="Courier New"/>
                <w:b w:val="0"/>
                <w:color w:val="000000"/>
                <w:sz w:val="22"/>
                <w:lang w:val="zh-CN"/>
              </w:rPr>
            </w:pPr>
            <w:r>
              <w:rPr>
                <w:rFonts w:hint="eastAsia" w:ascii="宋体" w:hAnsi="宋体" w:eastAsia="宋体"/>
                <w:b w:val="0"/>
                <w:color w:val="000000"/>
                <w:sz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84" w:type="dxa"/>
            <w:noWrap w:val="0"/>
            <w:vAlign w:val="center"/>
          </w:tcPr>
          <w:p>
            <w:pPr>
              <w:autoSpaceDE w:val="0"/>
              <w:autoSpaceDN w:val="0"/>
              <w:snapToGrid w:val="0"/>
              <w:spacing w:line="460" w:lineRule="exact"/>
              <w:jc w:val="center"/>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2</w:t>
            </w:r>
          </w:p>
        </w:tc>
        <w:tc>
          <w:tcPr>
            <w:tcW w:w="8736" w:type="dxa"/>
            <w:noWrap w:val="0"/>
            <w:vAlign w:val="top"/>
          </w:tcPr>
          <w:p>
            <w:pPr>
              <w:autoSpaceDE w:val="0"/>
              <w:autoSpaceDN w:val="0"/>
              <w:spacing w:line="460" w:lineRule="exact"/>
              <w:rPr>
                <w:rFonts w:ascii="宋体" w:hAnsi="宋体" w:eastAsia="宋体" w:cs="Courier New"/>
                <w:b w:val="0"/>
                <w:color w:val="000000"/>
                <w:sz w:val="22"/>
              </w:rPr>
            </w:pPr>
            <w:r>
              <w:rPr>
                <w:rFonts w:hint="eastAsia" w:ascii="宋体" w:hAnsi="宋体" w:eastAsia="宋体" w:cs="Courier New"/>
                <w:b w:val="0"/>
                <w:color w:val="000000"/>
                <w:sz w:val="22"/>
              </w:rPr>
              <w:t>开标一览表（附件二）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84" w:type="dxa"/>
            <w:noWrap w:val="0"/>
            <w:vAlign w:val="center"/>
          </w:tcPr>
          <w:p>
            <w:pPr>
              <w:autoSpaceDE w:val="0"/>
              <w:autoSpaceDN w:val="0"/>
              <w:snapToGrid w:val="0"/>
              <w:spacing w:line="460" w:lineRule="exact"/>
              <w:jc w:val="center"/>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3</w:t>
            </w:r>
          </w:p>
        </w:tc>
        <w:tc>
          <w:tcPr>
            <w:tcW w:w="8736" w:type="dxa"/>
            <w:noWrap w:val="0"/>
            <w:vAlign w:val="top"/>
          </w:tcPr>
          <w:p>
            <w:pPr>
              <w:autoSpaceDE w:val="0"/>
              <w:autoSpaceDN w:val="0"/>
              <w:spacing w:line="460" w:lineRule="exact"/>
              <w:rPr>
                <w:rFonts w:ascii="宋体" w:hAnsi="宋体" w:eastAsia="宋体"/>
                <w:b w:val="0"/>
                <w:color w:val="000000"/>
                <w:lang w:val="zh-CN"/>
              </w:rPr>
            </w:pPr>
            <w:r>
              <w:rPr>
                <w:rFonts w:hint="eastAsia" w:ascii="宋体" w:hAnsi="宋体" w:eastAsia="宋体"/>
                <w:b w:val="0"/>
                <w:color w:val="000000"/>
                <w:sz w:val="22"/>
              </w:rPr>
              <w:t>投标设备数量、价格表</w:t>
            </w:r>
            <w:r>
              <w:rPr>
                <w:rFonts w:hint="eastAsia" w:ascii="宋体" w:hAnsi="宋体" w:eastAsia="宋体"/>
                <w:b w:val="0"/>
                <w:color w:val="000000"/>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84" w:type="dxa"/>
            <w:noWrap w:val="0"/>
            <w:vAlign w:val="center"/>
          </w:tcPr>
          <w:p>
            <w:pPr>
              <w:autoSpaceDE w:val="0"/>
              <w:autoSpaceDN w:val="0"/>
              <w:snapToGrid w:val="0"/>
              <w:spacing w:line="460" w:lineRule="exact"/>
              <w:jc w:val="center"/>
              <w:rPr>
                <w:rFonts w:ascii="宋体" w:hAnsi="宋体" w:eastAsia="宋体" w:cs="Courier New"/>
                <w:b w:val="0"/>
                <w:color w:val="000000"/>
                <w:sz w:val="22"/>
                <w:lang w:val="zh-CN"/>
              </w:rPr>
            </w:pPr>
            <w:r>
              <w:rPr>
                <w:rFonts w:hint="eastAsia" w:ascii="宋体" w:hAnsi="宋体" w:eastAsia="宋体" w:cs="Courier New"/>
                <w:b w:val="0"/>
                <w:color w:val="000000"/>
                <w:sz w:val="22"/>
                <w:lang w:val="zh-CN"/>
              </w:rPr>
              <w:t>4</w:t>
            </w:r>
          </w:p>
        </w:tc>
        <w:tc>
          <w:tcPr>
            <w:tcW w:w="8736" w:type="dxa"/>
            <w:noWrap w:val="0"/>
            <w:vAlign w:val="top"/>
          </w:tcPr>
          <w:p>
            <w:pPr>
              <w:autoSpaceDE w:val="0"/>
              <w:autoSpaceDN w:val="0"/>
              <w:snapToGrid w:val="0"/>
              <w:spacing w:line="460" w:lineRule="exact"/>
              <w:rPr>
                <w:rFonts w:ascii="宋体" w:hAnsi="宋体" w:eastAsia="宋体"/>
                <w:b w:val="0"/>
                <w:color w:val="000000"/>
                <w:sz w:val="22"/>
                <w:lang w:val="zh-CN"/>
              </w:rPr>
            </w:pPr>
            <w:r>
              <w:rPr>
                <w:rFonts w:hint="eastAsia" w:ascii="宋体" w:hAnsi="宋体" w:eastAsia="宋体"/>
                <w:b w:val="0"/>
                <w:color w:val="000000"/>
                <w:sz w:val="22"/>
              </w:rPr>
              <w:t>随机备品备件、专用工具清单(如有)（附件四）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84"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5</w:t>
            </w:r>
          </w:p>
        </w:tc>
        <w:tc>
          <w:tcPr>
            <w:tcW w:w="8736" w:type="dxa"/>
            <w:noWrap w:val="0"/>
            <w:vAlign w:val="top"/>
          </w:tcPr>
          <w:p>
            <w:pPr>
              <w:autoSpaceDE w:val="0"/>
              <w:autoSpaceDN w:val="0"/>
              <w:snapToGrid w:val="0"/>
              <w:spacing w:line="460" w:lineRule="exact"/>
              <w:rPr>
                <w:rFonts w:ascii="宋体" w:hAnsi="宋体" w:eastAsia="宋体"/>
                <w:b w:val="0"/>
                <w:color w:val="000000"/>
                <w:sz w:val="22"/>
                <w:lang w:val="zh-CN"/>
              </w:rPr>
            </w:pPr>
            <w:r>
              <w:rPr>
                <w:rFonts w:hint="eastAsia" w:ascii="宋体" w:hAnsi="宋体" w:eastAsia="宋体"/>
                <w:b w:val="0"/>
                <w:color w:val="000000"/>
                <w:sz w:val="22"/>
              </w:rPr>
              <w:t>产品零件、易损件、备品备件报价表（如有）（附件五）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84" w:type="dxa"/>
            <w:noWrap w:val="0"/>
            <w:vAlign w:val="center"/>
          </w:tcPr>
          <w:p>
            <w:pPr>
              <w:autoSpaceDE w:val="0"/>
              <w:autoSpaceDN w:val="0"/>
              <w:snapToGrid w:val="0"/>
              <w:spacing w:line="460" w:lineRule="exact"/>
              <w:jc w:val="center"/>
              <w:rPr>
                <w:rFonts w:ascii="宋体" w:hAnsi="宋体" w:eastAsia="宋体" w:cs="Courier New"/>
                <w:b w:val="0"/>
                <w:color w:val="000000"/>
                <w:sz w:val="22"/>
              </w:rPr>
            </w:pPr>
            <w:r>
              <w:rPr>
                <w:rFonts w:hint="eastAsia" w:ascii="宋体" w:hAnsi="宋体" w:eastAsia="宋体" w:cs="Courier New"/>
                <w:b w:val="0"/>
                <w:color w:val="000000"/>
                <w:sz w:val="22"/>
              </w:rPr>
              <w:t>6</w:t>
            </w:r>
          </w:p>
        </w:tc>
        <w:tc>
          <w:tcPr>
            <w:tcW w:w="8736" w:type="dxa"/>
            <w:noWrap w:val="0"/>
            <w:vAlign w:val="top"/>
          </w:tcPr>
          <w:p>
            <w:pPr>
              <w:snapToGrid w:val="0"/>
              <w:spacing w:line="460" w:lineRule="exact"/>
              <w:rPr>
                <w:rFonts w:ascii="宋体" w:hAnsi="宋体" w:eastAsia="宋体"/>
                <w:color w:val="000000"/>
                <w:sz w:val="22"/>
              </w:rPr>
            </w:pPr>
            <w:r>
              <w:rPr>
                <w:rFonts w:hint="eastAsia" w:ascii="宋体" w:hAnsi="宋体" w:eastAsia="宋体"/>
                <w:color w:val="000000"/>
                <w:sz w:val="22"/>
              </w:rPr>
              <w:t>1、投标供应商采用的产品制造商均为符合招标文件规定的小微企业制造的享受小微企业价格折扣，应提供以下证明材料（放在报价文件中，不提供的不享受价格折扣）：</w:t>
            </w:r>
          </w:p>
          <w:p>
            <w:pPr>
              <w:snapToGrid w:val="0"/>
              <w:spacing w:line="460" w:lineRule="exact"/>
              <w:rPr>
                <w:rFonts w:ascii="宋体" w:hAnsi="宋体" w:eastAsia="宋体"/>
                <w:color w:val="000000"/>
                <w:sz w:val="22"/>
              </w:rPr>
            </w:pPr>
            <w:r>
              <w:rPr>
                <w:rFonts w:hint="eastAsia" w:ascii="宋体" w:hAnsi="宋体" w:eastAsia="宋体"/>
                <w:color w:val="000000"/>
                <w:sz w:val="22"/>
              </w:rPr>
              <w:t>（</w:t>
            </w:r>
            <w:r>
              <w:rPr>
                <w:rFonts w:ascii="宋体" w:hAnsi="宋体" w:eastAsia="宋体"/>
                <w:color w:val="000000"/>
                <w:sz w:val="22"/>
              </w:rPr>
              <w:t>1）《中小企业声明函》（加盖供应商公章，</w:t>
            </w:r>
            <w:r>
              <w:rPr>
                <w:rFonts w:hint="eastAsia" w:ascii="宋体" w:hAnsi="宋体" w:eastAsia="宋体"/>
                <w:color w:val="000000"/>
                <w:sz w:val="22"/>
              </w:rPr>
              <w:t>格式见招标文件第四部分</w:t>
            </w:r>
            <w:r>
              <w:rPr>
                <w:rFonts w:ascii="宋体" w:hAnsi="宋体" w:eastAsia="宋体"/>
                <w:color w:val="000000"/>
                <w:sz w:val="22"/>
              </w:rPr>
              <w:t>附件1）</w:t>
            </w:r>
            <w:r>
              <w:rPr>
                <w:rFonts w:hint="eastAsia" w:ascii="宋体" w:hAnsi="宋体" w:eastAsia="宋体"/>
                <w:color w:val="000000"/>
                <w:sz w:val="22"/>
              </w:rPr>
              <w:t>。</w:t>
            </w:r>
          </w:p>
          <w:p>
            <w:pPr>
              <w:snapToGrid w:val="0"/>
              <w:spacing w:line="460" w:lineRule="exact"/>
              <w:rPr>
                <w:rFonts w:ascii="宋体" w:hAnsi="宋体" w:eastAsia="宋体"/>
                <w:color w:val="000000"/>
                <w:sz w:val="22"/>
              </w:rPr>
            </w:pPr>
            <w:r>
              <w:rPr>
                <w:rFonts w:hint="eastAsia" w:ascii="宋体" w:hAnsi="宋体" w:eastAsia="宋体"/>
                <w:color w:val="000000"/>
                <w:sz w:val="22"/>
              </w:rPr>
              <w:t>2、投标供应商</w:t>
            </w:r>
            <w:r>
              <w:rPr>
                <w:rFonts w:ascii="宋体" w:hAnsi="宋体" w:eastAsia="宋体"/>
                <w:color w:val="000000"/>
                <w:sz w:val="22"/>
              </w:rPr>
              <w:t>享受监狱企业价格折扣应提供以下证明材料（</w:t>
            </w:r>
            <w:r>
              <w:rPr>
                <w:rFonts w:hint="eastAsia" w:ascii="宋体" w:hAnsi="宋体" w:eastAsia="宋体"/>
                <w:color w:val="000000"/>
                <w:sz w:val="22"/>
              </w:rPr>
              <w:t>放在报价文件中，</w:t>
            </w:r>
            <w:r>
              <w:rPr>
                <w:rFonts w:ascii="宋体" w:hAnsi="宋体" w:eastAsia="宋体"/>
                <w:color w:val="000000"/>
                <w:sz w:val="22"/>
              </w:rPr>
              <w:t>不提供的不享受价格折扣）：</w:t>
            </w:r>
          </w:p>
          <w:p>
            <w:pPr>
              <w:snapToGrid w:val="0"/>
              <w:spacing w:line="460" w:lineRule="exact"/>
              <w:rPr>
                <w:rFonts w:ascii="宋体" w:hAnsi="宋体" w:eastAsia="宋体"/>
                <w:color w:val="000000"/>
                <w:sz w:val="22"/>
              </w:rPr>
            </w:pPr>
            <w:r>
              <w:rPr>
                <w:rFonts w:hint="eastAsia" w:ascii="宋体" w:hAnsi="宋体" w:eastAsia="宋体"/>
                <w:color w:val="000000"/>
                <w:sz w:val="22"/>
              </w:rPr>
              <w:t>（</w:t>
            </w:r>
            <w:r>
              <w:rPr>
                <w:rFonts w:ascii="宋体" w:hAnsi="宋体" w:eastAsia="宋体"/>
                <w:color w:val="000000"/>
                <w:sz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snapToGrid w:val="0"/>
              <w:spacing w:line="460" w:lineRule="exact"/>
              <w:rPr>
                <w:rFonts w:ascii="宋体" w:hAnsi="宋体" w:eastAsia="宋体"/>
                <w:color w:val="000000"/>
                <w:sz w:val="22"/>
              </w:rPr>
            </w:pPr>
            <w:r>
              <w:rPr>
                <w:rFonts w:hint="eastAsia" w:ascii="宋体" w:hAnsi="宋体" w:eastAsia="宋体"/>
                <w:color w:val="000000"/>
                <w:sz w:val="22"/>
              </w:rPr>
              <w:t>3、投标供应商享受</w:t>
            </w:r>
            <w:r>
              <w:rPr>
                <w:rFonts w:ascii="宋体" w:hAnsi="宋体" w:eastAsia="宋体"/>
                <w:color w:val="000000"/>
                <w:sz w:val="22"/>
              </w:rPr>
              <w:t>残疾人福利性单位价格折扣应提供以下证明材料（</w:t>
            </w:r>
            <w:r>
              <w:rPr>
                <w:rFonts w:hint="eastAsia" w:ascii="宋体" w:hAnsi="宋体" w:eastAsia="宋体"/>
                <w:color w:val="000000"/>
                <w:sz w:val="22"/>
              </w:rPr>
              <w:t>放在报价文件中，</w:t>
            </w:r>
            <w:r>
              <w:rPr>
                <w:rFonts w:ascii="宋体" w:hAnsi="宋体" w:eastAsia="宋体"/>
                <w:color w:val="000000"/>
                <w:sz w:val="22"/>
              </w:rPr>
              <w:t>不提供的不享受价格折扣）：</w:t>
            </w:r>
          </w:p>
          <w:p>
            <w:pPr>
              <w:autoSpaceDE w:val="0"/>
              <w:autoSpaceDN w:val="0"/>
              <w:snapToGrid w:val="0"/>
              <w:spacing w:line="460" w:lineRule="exact"/>
              <w:rPr>
                <w:rFonts w:ascii="宋体" w:hAnsi="宋体" w:eastAsia="宋体" w:cs="Courier New"/>
                <w:color w:val="000000"/>
                <w:sz w:val="22"/>
              </w:rPr>
            </w:pPr>
            <w:r>
              <w:rPr>
                <w:rFonts w:hint="eastAsia" w:ascii="宋体" w:hAnsi="宋体" w:eastAsia="宋体"/>
                <w:color w:val="000000"/>
                <w:sz w:val="22"/>
              </w:rPr>
              <w:t>（</w:t>
            </w:r>
            <w:r>
              <w:rPr>
                <w:rFonts w:ascii="宋体" w:hAnsi="宋体" w:eastAsia="宋体"/>
                <w:color w:val="000000"/>
                <w:sz w:val="22"/>
              </w:rPr>
              <w:t>1）残疾人福利性单位声明函（加盖投标供应商公章，</w:t>
            </w:r>
            <w:r>
              <w:rPr>
                <w:rFonts w:hint="eastAsia" w:ascii="宋体" w:hAnsi="宋体" w:eastAsia="宋体"/>
                <w:color w:val="000000"/>
                <w:sz w:val="22"/>
              </w:rPr>
              <w:t>格式见招标文件第四部分</w:t>
            </w:r>
            <w:r>
              <w:rPr>
                <w:rFonts w:ascii="宋体" w:hAnsi="宋体" w:eastAsia="宋体"/>
                <w:color w:val="000000"/>
                <w:sz w:val="22"/>
              </w:rPr>
              <w:t>附件</w:t>
            </w:r>
            <w:r>
              <w:rPr>
                <w:rFonts w:hint="eastAsia" w:ascii="宋体" w:hAnsi="宋体" w:eastAsia="宋体"/>
                <w:color w:val="000000"/>
                <w:sz w:val="22"/>
              </w:rPr>
              <w:t>2</w:t>
            </w:r>
            <w:r>
              <w:rPr>
                <w:rFonts w:ascii="宋体" w:hAnsi="宋体" w:eastAsia="宋体"/>
                <w:color w:val="000000"/>
                <w:sz w:val="22"/>
              </w:rPr>
              <w:t>）</w:t>
            </w:r>
            <w:r>
              <w:rPr>
                <w:rFonts w:hint="eastAsia" w:ascii="宋体" w:hAnsi="宋体" w:eastAsia="宋体"/>
                <w:color w:val="000000"/>
                <w:sz w:val="22"/>
              </w:rPr>
              <w:t>。</w:t>
            </w:r>
            <w:r>
              <w:rPr>
                <w:rFonts w:ascii="宋体" w:hAnsi="宋体" w:eastAsia="宋体" w:cs="Courier New"/>
                <w:color w:val="000000"/>
                <w:sz w:val="22"/>
              </w:rPr>
              <w:t>在政府采购活动中，残疾人福利性单位视同小型、微型企业，享受评审中价格扣除政策。</w:t>
            </w:r>
          </w:p>
          <w:p>
            <w:pPr>
              <w:autoSpaceDE w:val="0"/>
              <w:autoSpaceDN w:val="0"/>
              <w:snapToGrid w:val="0"/>
              <w:spacing w:line="460" w:lineRule="exact"/>
              <w:rPr>
                <w:rFonts w:ascii="宋体" w:hAnsi="宋体" w:eastAsia="宋体"/>
                <w:b w:val="0"/>
                <w:color w:val="000000"/>
                <w:sz w:val="22"/>
              </w:rPr>
            </w:pPr>
            <w:r>
              <w:rPr>
                <w:rFonts w:ascii="宋体" w:hAnsi="宋体" w:eastAsia="宋体"/>
                <w:color w:val="000000"/>
                <w:sz w:val="22"/>
              </w:rPr>
              <w:t>4</w:t>
            </w:r>
            <w:r>
              <w:rPr>
                <w:rFonts w:hint="eastAsia" w:ascii="宋体" w:hAnsi="宋体" w:eastAsia="宋体"/>
                <w:color w:val="000000"/>
                <w:sz w:val="22"/>
              </w:rPr>
              <w:t>、非单一产品采购，无法核实（按投标文件资料）全部货物均为小微企业制造的或残疾人福利性单位提供其他制造商制造的货物且无法核实（按投标文件资料）制造商是否为残疾人福利性单位的，不享受价格折扣。</w:t>
            </w:r>
          </w:p>
        </w:tc>
      </w:tr>
    </w:tbl>
    <w:p>
      <w:pPr>
        <w:autoSpaceDE w:val="0"/>
        <w:autoSpaceDN w:val="0"/>
        <w:snapToGrid w:val="0"/>
        <w:spacing w:line="460" w:lineRule="exact"/>
        <w:ind w:firstLine="442" w:firstLineChars="200"/>
        <w:rPr>
          <w:rFonts w:ascii="宋体" w:hAnsi="宋体" w:eastAsia="宋体"/>
          <w:color w:val="000000"/>
          <w:sz w:val="22"/>
        </w:rPr>
      </w:pPr>
      <w:r>
        <w:rPr>
          <w:rFonts w:hint="eastAsia" w:ascii="宋体" w:hAnsi="宋体" w:eastAsia="宋体"/>
          <w:color w:val="000000"/>
          <w:sz w:val="22"/>
        </w:rPr>
        <w:t>2.3、商务技术文件组成</w:t>
      </w:r>
    </w:p>
    <w:tbl>
      <w:tblPr>
        <w:tblStyle w:val="41"/>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autoSpaceDE w:val="0"/>
              <w:autoSpaceDN w:val="0"/>
              <w:snapToGrid w:val="0"/>
              <w:spacing w:line="460" w:lineRule="exact"/>
              <w:rPr>
                <w:rFonts w:hint="eastAsia" w:ascii="宋体" w:hAnsi="宋体" w:eastAsia="宋体" w:cs="宋体"/>
                <w:b w:val="0"/>
                <w:color w:val="000000"/>
                <w:sz w:val="22"/>
                <w:szCs w:val="22"/>
                <w:lang w:val="zh-CN"/>
              </w:rPr>
            </w:pPr>
            <w:r>
              <w:rPr>
                <w:rFonts w:hint="eastAsia" w:ascii="宋体" w:hAnsi="宋体" w:eastAsia="宋体" w:cs="宋体"/>
                <w:b w:val="0"/>
                <w:color w:val="000000"/>
                <w:sz w:val="22"/>
                <w:szCs w:val="22"/>
                <w:lang w:val="zh-CN"/>
              </w:rPr>
              <w:t>序号</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lang w:val="zh-CN"/>
              </w:rPr>
            </w:pPr>
            <w:r>
              <w:rPr>
                <w:rFonts w:hint="eastAsia" w:ascii="宋体" w:hAnsi="宋体" w:eastAsia="宋体" w:cs="宋体"/>
                <w:b w:val="0"/>
                <w:color w:val="000000"/>
                <w:sz w:val="22"/>
                <w:szCs w:val="22"/>
                <w:lang w:val="zh-CN"/>
              </w:rPr>
              <w:t>内容（</w:t>
            </w:r>
            <w:r>
              <w:rPr>
                <w:rFonts w:hint="eastAsia" w:ascii="宋体" w:hAnsi="宋体" w:eastAsia="宋体" w:cs="宋体"/>
                <w:color w:val="000000"/>
                <w:sz w:val="22"/>
                <w:szCs w:val="22"/>
                <w:lang w:val="zh-CN"/>
              </w:rPr>
              <w:t>投标供应商应提供相关内容，否则不能通过符合性审查的，责任自负。</w:t>
            </w:r>
            <w:r>
              <w:rPr>
                <w:rFonts w:hint="eastAsia" w:ascii="宋体" w:hAnsi="宋体" w:eastAsia="宋体" w:cs="宋体"/>
                <w:b w:val="0"/>
                <w:color w:val="000000"/>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lang w:val="zh-CN"/>
              </w:rPr>
            </w:pPr>
            <w:r>
              <w:rPr>
                <w:rFonts w:hint="eastAsia" w:ascii="宋体" w:hAnsi="宋体" w:eastAsia="宋体" w:cs="宋体"/>
                <w:b w:val="0"/>
                <w:color w:val="000000"/>
                <w:sz w:val="22"/>
                <w:szCs w:val="22"/>
                <w:lang w:val="zh-CN"/>
              </w:rPr>
              <w:t>1</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lang w:val="zh-CN"/>
              </w:rPr>
            </w:pPr>
            <w:r>
              <w:rPr>
                <w:rFonts w:hint="eastAsia" w:ascii="宋体" w:hAnsi="宋体" w:eastAsia="宋体" w:cs="宋体"/>
                <w:b w:val="0"/>
                <w:color w:val="000000"/>
                <w:sz w:val="22"/>
                <w:szCs w:val="22"/>
              </w:rPr>
              <w:t>商务技术文件封面（格式自拟）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lang w:val="zh-CN"/>
              </w:rPr>
            </w:pPr>
            <w:r>
              <w:rPr>
                <w:rFonts w:hint="eastAsia" w:ascii="宋体" w:hAnsi="宋体" w:eastAsia="宋体" w:cs="宋体"/>
                <w:b w:val="0"/>
                <w:color w:val="000000"/>
                <w:sz w:val="22"/>
                <w:szCs w:val="22"/>
                <w:lang w:val="zh-CN"/>
              </w:rPr>
              <w:t>2</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lang w:val="zh-CN"/>
              </w:rPr>
            </w:pPr>
            <w:r>
              <w:rPr>
                <w:rFonts w:hint="eastAsia" w:ascii="宋体" w:hAnsi="宋体" w:eastAsia="宋体" w:cs="宋体"/>
                <w:b w:val="0"/>
                <w:color w:val="000000"/>
                <w:sz w:val="22"/>
                <w:szCs w:val="22"/>
              </w:rPr>
              <w:t>投标函（附件六）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lang w:val="zh-CN"/>
              </w:rPr>
            </w:pPr>
            <w:r>
              <w:rPr>
                <w:rFonts w:hint="eastAsia" w:ascii="宋体" w:hAnsi="宋体" w:eastAsia="宋体" w:cs="宋体"/>
                <w:b w:val="0"/>
                <w:color w:val="000000"/>
                <w:sz w:val="22"/>
                <w:szCs w:val="22"/>
                <w:lang w:val="zh-CN"/>
              </w:rPr>
              <w:t>3</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投标供应商法定代表人授权书（附件七），法定代表人作为授权代表参与投标的仅需提供法定代表人的身份证扫描件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4</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法定代表人诚信投标承诺书（附件八）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5</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投标供应商质量体系认证证书（如有则提供，扫描件加盖公章）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6</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投标供应商环境体系认证证书（如有则提供，扫描件加盖公章）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7</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投标供应商职业健康体系认证证书（如有则提供，扫描件加盖公章）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8</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投标供应商资信等级证明等（如有则提供，扫描件加盖公章）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9</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投标供应商曾获得的政府部门或行业协会颁发的荣誉证书（如有则提供，扫描件加盖公章）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10</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投标供应商具有的其它相关资质证书（如有则提供，扫描件加盖公章）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11</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投标供应商业绩（附件九，如有则提供）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12</w:t>
            </w:r>
          </w:p>
        </w:tc>
        <w:tc>
          <w:tcPr>
            <w:tcW w:w="8747" w:type="dxa"/>
            <w:noWrap w:val="0"/>
            <w:vAlign w:val="center"/>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偏离表（附件十一）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13</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技术方案（具体内容见评标办法）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14</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基础设施能力（具体内容见评标办法）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15</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人员及精细化实施方案（具体内容见评标办法）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16</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运维保障能力（具体内容见评标办法）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17</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lang w:val="en-US" w:eastAsia="zh-CN" w:bidi="ar-SA"/>
              </w:rPr>
            </w:pPr>
            <w:r>
              <w:rPr>
                <w:rFonts w:hint="eastAsia" w:ascii="宋体" w:hAnsi="宋体" w:eastAsia="宋体" w:cs="宋体"/>
                <w:b w:val="0"/>
                <w:color w:val="000000"/>
                <w:sz w:val="22"/>
                <w:szCs w:val="22"/>
              </w:rPr>
              <w:t>产品数量、配置及主要技术参数（附件十）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lang w:val="zh-CN"/>
              </w:rPr>
            </w:pPr>
            <w:r>
              <w:rPr>
                <w:rFonts w:hint="eastAsia" w:ascii="宋体" w:hAnsi="宋体" w:eastAsia="宋体" w:cs="宋体"/>
                <w:b w:val="0"/>
                <w:color w:val="000000"/>
                <w:sz w:val="22"/>
                <w:szCs w:val="22"/>
                <w:lang w:val="zh-CN"/>
              </w:rPr>
              <w:t>1</w:t>
            </w:r>
            <w:r>
              <w:rPr>
                <w:rFonts w:hint="eastAsia" w:ascii="宋体" w:hAnsi="宋体" w:eastAsia="宋体" w:cs="宋体"/>
                <w:b w:val="0"/>
                <w:color w:val="000000"/>
                <w:sz w:val="22"/>
                <w:szCs w:val="22"/>
              </w:rPr>
              <w:t>8</w:t>
            </w:r>
          </w:p>
        </w:tc>
        <w:tc>
          <w:tcPr>
            <w:tcW w:w="8747" w:type="dxa"/>
            <w:noWrap w:val="0"/>
            <w:vAlign w:val="center"/>
          </w:tcPr>
          <w:p>
            <w:pPr>
              <w:autoSpaceDE w:val="0"/>
              <w:autoSpaceDN w:val="0"/>
              <w:snapToGrid w:val="0"/>
              <w:spacing w:line="460" w:lineRule="exact"/>
              <w:rPr>
                <w:rFonts w:hint="eastAsia" w:ascii="宋体" w:hAnsi="宋体" w:eastAsia="宋体" w:cs="宋体"/>
                <w:b w:val="0"/>
                <w:color w:val="000000"/>
                <w:sz w:val="22"/>
                <w:szCs w:val="22"/>
                <w:lang w:val="en-US" w:eastAsia="zh-CN" w:bidi="ar-SA"/>
              </w:rPr>
            </w:pPr>
            <w:r>
              <w:rPr>
                <w:rFonts w:hint="eastAsia" w:ascii="宋体" w:hAnsi="宋体" w:eastAsia="宋体" w:cs="宋体"/>
                <w:b w:val="0"/>
                <w:color w:val="000000"/>
                <w:sz w:val="22"/>
                <w:szCs w:val="22"/>
              </w:rPr>
              <w:t>投标产品的主要技术、配置、性能、特点和质量水平的详细描述（包括配置、部件来源说明等）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19</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lang w:val="en-US" w:eastAsia="zh-CN" w:bidi="ar-SA"/>
              </w:rPr>
            </w:pPr>
            <w:r>
              <w:rPr>
                <w:rFonts w:hint="eastAsia" w:ascii="宋体" w:hAnsi="宋体" w:eastAsia="宋体" w:cs="宋体"/>
                <w:b w:val="0"/>
                <w:color w:val="000000"/>
                <w:sz w:val="22"/>
                <w:szCs w:val="22"/>
              </w:rPr>
              <w:t>相关所投产品的相关检测报告、认证证书；自主创新、节能、绿色环保方面认证等；（如有则提供，扫描件加盖公章）；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rPr>
            </w:pPr>
            <w:r>
              <w:rPr>
                <w:rFonts w:hint="eastAsia" w:ascii="宋体" w:hAnsi="宋体" w:eastAsia="宋体" w:cs="宋体"/>
                <w:b w:val="0"/>
                <w:color w:val="000000"/>
                <w:sz w:val="22"/>
                <w:szCs w:val="22"/>
              </w:rPr>
              <w:t>20</w:t>
            </w:r>
          </w:p>
        </w:tc>
        <w:tc>
          <w:tcPr>
            <w:tcW w:w="8747" w:type="dxa"/>
            <w:noWrap w:val="0"/>
            <w:vAlign w:val="center"/>
          </w:tcPr>
          <w:p>
            <w:pPr>
              <w:autoSpaceDE w:val="0"/>
              <w:autoSpaceDN w:val="0"/>
              <w:snapToGrid w:val="0"/>
              <w:spacing w:line="460" w:lineRule="exact"/>
              <w:rPr>
                <w:rFonts w:hint="eastAsia" w:ascii="宋体" w:hAnsi="宋体" w:eastAsia="宋体" w:cs="宋体"/>
                <w:b w:val="0"/>
                <w:color w:val="000000"/>
                <w:sz w:val="22"/>
                <w:szCs w:val="22"/>
                <w:lang w:val="en-US" w:eastAsia="zh-CN" w:bidi="ar-SA"/>
              </w:rPr>
            </w:pPr>
            <w:r>
              <w:rPr>
                <w:rFonts w:hint="eastAsia" w:ascii="宋体" w:hAnsi="宋体" w:eastAsia="宋体" w:cs="宋体"/>
                <w:b w:val="0"/>
                <w:color w:val="000000"/>
                <w:sz w:val="22"/>
                <w:szCs w:val="22"/>
              </w:rPr>
              <w:t>节能环保产品声明函（附件十二，如有则提供）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lang w:val="zh-CN"/>
              </w:rPr>
            </w:pPr>
            <w:r>
              <w:rPr>
                <w:rFonts w:hint="eastAsia" w:ascii="宋体" w:hAnsi="宋体" w:eastAsia="宋体" w:cs="宋体"/>
                <w:b w:val="0"/>
                <w:color w:val="000000"/>
                <w:sz w:val="22"/>
                <w:szCs w:val="22"/>
                <w:lang w:val="zh-CN"/>
              </w:rPr>
              <w:t>2</w:t>
            </w:r>
            <w:r>
              <w:rPr>
                <w:rFonts w:hint="eastAsia" w:ascii="宋体" w:hAnsi="宋体" w:eastAsia="宋体" w:cs="宋体"/>
                <w:b w:val="0"/>
                <w:color w:val="000000"/>
                <w:sz w:val="22"/>
                <w:szCs w:val="22"/>
              </w:rPr>
              <w:t>1</w:t>
            </w:r>
          </w:p>
        </w:tc>
        <w:tc>
          <w:tcPr>
            <w:tcW w:w="8747" w:type="dxa"/>
            <w:noWrap w:val="0"/>
            <w:vAlign w:val="center"/>
          </w:tcPr>
          <w:p>
            <w:pPr>
              <w:autoSpaceDE w:val="0"/>
              <w:autoSpaceDN w:val="0"/>
              <w:snapToGrid w:val="0"/>
              <w:spacing w:line="460" w:lineRule="exact"/>
              <w:rPr>
                <w:rFonts w:hint="eastAsia" w:ascii="宋体" w:hAnsi="宋体" w:eastAsia="宋体" w:cs="宋体"/>
                <w:b w:val="0"/>
                <w:color w:val="000000"/>
                <w:sz w:val="22"/>
                <w:szCs w:val="22"/>
                <w:lang w:val="en-US" w:eastAsia="zh-CN" w:bidi="ar-SA"/>
              </w:rPr>
            </w:pPr>
            <w:r>
              <w:rPr>
                <w:rFonts w:hint="eastAsia" w:ascii="宋体" w:hAnsi="宋体" w:eastAsia="宋体" w:cs="宋体"/>
                <w:b w:val="0"/>
                <w:color w:val="000000"/>
                <w:sz w:val="22"/>
                <w:szCs w:val="22"/>
              </w:rPr>
              <w:t>节能环保产品清单（附件十三，如有则提供）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lang w:val="zh-CN"/>
              </w:rPr>
            </w:pPr>
            <w:r>
              <w:rPr>
                <w:rFonts w:hint="eastAsia" w:ascii="宋体" w:hAnsi="宋体" w:eastAsia="宋体" w:cs="宋体"/>
                <w:b w:val="0"/>
                <w:color w:val="000000"/>
                <w:sz w:val="22"/>
                <w:szCs w:val="22"/>
                <w:lang w:val="zh-CN"/>
              </w:rPr>
              <w:t>2</w:t>
            </w:r>
            <w:r>
              <w:rPr>
                <w:rFonts w:hint="eastAsia" w:ascii="宋体" w:hAnsi="宋体" w:eastAsia="宋体" w:cs="宋体"/>
                <w:b w:val="0"/>
                <w:color w:val="000000"/>
                <w:sz w:val="22"/>
                <w:szCs w:val="22"/>
              </w:rPr>
              <w:t>2</w:t>
            </w:r>
          </w:p>
        </w:tc>
        <w:tc>
          <w:tcPr>
            <w:tcW w:w="8747" w:type="dxa"/>
            <w:noWrap w:val="0"/>
            <w:vAlign w:val="center"/>
          </w:tcPr>
          <w:p>
            <w:pPr>
              <w:autoSpaceDE w:val="0"/>
              <w:autoSpaceDN w:val="0"/>
              <w:snapToGrid w:val="0"/>
              <w:spacing w:line="460" w:lineRule="exact"/>
              <w:rPr>
                <w:rFonts w:hint="eastAsia" w:ascii="宋体" w:hAnsi="宋体" w:eastAsia="宋体" w:cs="宋体"/>
                <w:b w:val="0"/>
                <w:color w:val="000000"/>
                <w:sz w:val="22"/>
                <w:szCs w:val="22"/>
                <w:lang w:val="en-US" w:eastAsia="zh-CN" w:bidi="ar-SA"/>
              </w:rPr>
            </w:pPr>
            <w:r>
              <w:rPr>
                <w:rFonts w:hint="eastAsia" w:ascii="宋体" w:hAnsi="宋体" w:eastAsia="宋体" w:cs="宋体"/>
                <w:b w:val="0"/>
                <w:color w:val="000000"/>
                <w:sz w:val="22"/>
                <w:szCs w:val="22"/>
              </w:rPr>
              <w:t>相关节能环保产品认证证书（</w:t>
            </w:r>
            <w:r>
              <w:rPr>
                <w:rFonts w:hint="eastAsia" w:ascii="宋体" w:hAnsi="宋体" w:eastAsia="宋体" w:cs="宋体"/>
                <w:color w:val="000000"/>
                <w:sz w:val="22"/>
                <w:szCs w:val="22"/>
              </w:rPr>
              <w:t>本次采购的产品如属于政府强制采购节能产品范围的，投标供应商必须选用符合要求的产品并在投标文件中提供相关产品的认证证书扫描件，否则按无效投标处理，具体品目见《关于印发节能产品政府采购品目清单的通知》（财库〔2019〕19号）。投标文件中必须提供属于政府强制采购的节能产品的认证证书扫描件，否则按无效投标处理。</w:t>
            </w:r>
            <w:r>
              <w:rPr>
                <w:rFonts w:hint="eastAsia" w:ascii="宋体" w:hAnsi="宋体" w:eastAsia="宋体" w:cs="宋体"/>
                <w:b w:val="0"/>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snapToGrid w:val="0"/>
              <w:spacing w:line="460" w:lineRule="exact"/>
              <w:jc w:val="center"/>
              <w:rPr>
                <w:rFonts w:hint="eastAsia" w:ascii="宋体" w:hAnsi="宋体" w:eastAsia="宋体" w:cs="宋体"/>
                <w:b w:val="0"/>
                <w:color w:val="000000"/>
                <w:sz w:val="22"/>
                <w:szCs w:val="22"/>
                <w:lang w:val="zh-CN"/>
              </w:rPr>
            </w:pPr>
            <w:r>
              <w:rPr>
                <w:rFonts w:hint="eastAsia" w:ascii="宋体" w:hAnsi="宋体" w:eastAsia="宋体" w:cs="宋体"/>
                <w:b w:val="0"/>
                <w:color w:val="000000"/>
                <w:sz w:val="22"/>
                <w:szCs w:val="22"/>
                <w:lang w:val="zh-CN"/>
              </w:rPr>
              <w:t>2</w:t>
            </w:r>
            <w:r>
              <w:rPr>
                <w:rFonts w:hint="eastAsia" w:ascii="宋体" w:hAnsi="宋体" w:eastAsia="宋体" w:cs="宋体"/>
                <w:b w:val="0"/>
                <w:color w:val="000000"/>
                <w:sz w:val="22"/>
                <w:szCs w:val="22"/>
              </w:rPr>
              <w:t>3</w:t>
            </w:r>
          </w:p>
        </w:tc>
        <w:tc>
          <w:tcPr>
            <w:tcW w:w="8747" w:type="dxa"/>
            <w:noWrap w:val="0"/>
            <w:vAlign w:val="top"/>
          </w:tcPr>
          <w:p>
            <w:pPr>
              <w:autoSpaceDE w:val="0"/>
              <w:autoSpaceDN w:val="0"/>
              <w:snapToGrid w:val="0"/>
              <w:spacing w:line="460" w:lineRule="exact"/>
              <w:rPr>
                <w:rFonts w:hint="eastAsia" w:ascii="宋体" w:hAnsi="宋体" w:eastAsia="宋体" w:cs="宋体"/>
                <w:b w:val="0"/>
                <w:color w:val="000000"/>
                <w:sz w:val="22"/>
                <w:szCs w:val="22"/>
                <w:lang w:val="en-US" w:eastAsia="zh-CN" w:bidi="ar-SA"/>
              </w:rPr>
            </w:pPr>
            <w:r>
              <w:rPr>
                <w:rFonts w:hint="eastAsia" w:ascii="宋体" w:hAnsi="宋体" w:eastAsia="宋体" w:cs="宋体"/>
                <w:b w:val="0"/>
                <w:color w:val="000000"/>
                <w:sz w:val="22"/>
                <w:szCs w:val="22"/>
              </w:rPr>
              <w:t>根据招标文件中的采购内容与技术要求、评标细则，需要提供的其它文件和资料。</w:t>
            </w:r>
          </w:p>
        </w:tc>
      </w:tr>
    </w:tbl>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3、投标内容填写说明</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3.1、投标文件格式</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投标供应商应按照</w:t>
      </w:r>
      <w:r>
        <w:rPr>
          <w:rFonts w:hint="eastAsia" w:ascii="宋体" w:hAnsi="宋体" w:eastAsia="宋体" w:cs="黑体"/>
          <w:b w:val="0"/>
          <w:color w:val="000000"/>
          <w:sz w:val="22"/>
        </w:rPr>
        <w:t>第三部分第三条第2款</w:t>
      </w:r>
      <w:r>
        <w:rPr>
          <w:rFonts w:hint="eastAsia" w:ascii="宋体" w:hAnsi="宋体" w:eastAsia="宋体"/>
          <w:b w:val="0"/>
          <w:color w:val="000000"/>
          <w:sz w:val="22"/>
        </w:rPr>
        <w:t>所列出的内容及格式</w:t>
      </w:r>
      <w:r>
        <w:rPr>
          <w:rFonts w:hint="eastAsia" w:ascii="宋体" w:hAnsi="宋体" w:eastAsia="宋体"/>
          <w:b w:val="0"/>
          <w:color w:val="000000"/>
          <w:sz w:val="22"/>
          <w:u w:val="thick"/>
        </w:rPr>
        <w:t>逐一按顺序</w:t>
      </w:r>
      <w:r>
        <w:rPr>
          <w:rFonts w:hint="eastAsia" w:ascii="宋体" w:hAnsi="宋体" w:eastAsia="宋体"/>
          <w:b w:val="0"/>
          <w:color w:val="000000"/>
          <w:sz w:val="22"/>
        </w:rPr>
        <w:t>组成投标文件。</w:t>
      </w:r>
      <w:bookmarkStart w:id="16" w:name="_Toc132122412"/>
      <w:bookmarkStart w:id="17" w:name="_Toc132122115"/>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4、投标报价</w:t>
      </w:r>
      <w:bookmarkEnd w:id="16"/>
      <w:bookmarkEnd w:id="17"/>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4.1、投标供应商应按招标文件中《开标一览表》填写投标总价。</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4.2、本次招标只允许有一个报价，有选择的报价将不予接受。</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4.4、投标报价应包含以下内容：</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a.产品价格</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b.关税、增值税等其它税（包括产品报关、商检等）</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c.随机工具、随机易损件费（计入产品价格）</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d.国内运杂费（包括产品到最终用户的装货、卸车、就位费等）</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e.国内运输保险费（是否保险由供应商负责）</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 xml:space="preserve">f.产品安装、调试、检验、检测验收费（包括调试人员的食宿、交通等） </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g.服务费</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投标供应商在投标报价中应充分考虑所有可能发生的费用，否则采购人将视投标总价中已包括所有费用。</w:t>
      </w:r>
    </w:p>
    <w:p>
      <w:pPr>
        <w:autoSpaceDE w:val="0"/>
        <w:autoSpaceDN w:val="0"/>
        <w:snapToGrid w:val="0"/>
        <w:spacing w:line="460" w:lineRule="atLeast"/>
        <w:ind w:firstLine="442" w:firstLineChars="200"/>
        <w:rPr>
          <w:rFonts w:ascii="宋体" w:hAnsi="宋体" w:eastAsia="宋体"/>
          <w:color w:val="000000"/>
          <w:sz w:val="22"/>
        </w:rPr>
      </w:pPr>
      <w:r>
        <w:rPr>
          <w:rFonts w:hint="eastAsia" w:ascii="宋体" w:hAnsi="宋体" w:eastAsia="宋体"/>
          <w:color w:val="000000"/>
          <w:sz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5、采购人要求分类报价是为了方便评标，但在任何情况下不限制采购人以其认为最合适的条款签订合同的权利。</w:t>
      </w:r>
      <w:bookmarkStart w:id="18" w:name="_Toc132122413"/>
      <w:bookmarkStart w:id="19" w:name="_Toc132122116"/>
    </w:p>
    <w:p>
      <w:pPr>
        <w:autoSpaceDE w:val="0"/>
        <w:autoSpaceDN w:val="0"/>
        <w:adjustRightInd w:val="0"/>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6、投标保证金</w:t>
      </w:r>
      <w:bookmarkEnd w:id="18"/>
      <w:bookmarkEnd w:id="19"/>
    </w:p>
    <w:p>
      <w:pPr>
        <w:autoSpaceDE w:val="0"/>
        <w:autoSpaceDN w:val="0"/>
        <w:adjustRightInd w:val="0"/>
        <w:snapToGrid w:val="0"/>
        <w:spacing w:line="460" w:lineRule="exact"/>
        <w:ind w:firstLine="440" w:firstLineChars="200"/>
        <w:rPr>
          <w:rFonts w:ascii="宋体" w:hAnsi="宋体" w:eastAsia="宋体"/>
          <w:color w:val="000000"/>
          <w:sz w:val="22"/>
        </w:rPr>
      </w:pPr>
      <w:r>
        <w:rPr>
          <w:rFonts w:hint="eastAsia" w:ascii="宋体" w:hAnsi="宋体" w:eastAsia="宋体"/>
          <w:b w:val="0"/>
          <w:color w:val="000000"/>
          <w:sz w:val="22"/>
        </w:rPr>
        <w:t>无</w:t>
      </w:r>
    </w:p>
    <w:p>
      <w:pPr>
        <w:pStyle w:val="25"/>
        <w:adjustRightInd w:val="0"/>
        <w:snapToGrid w:val="0"/>
        <w:spacing w:line="460" w:lineRule="exact"/>
        <w:ind w:firstLine="440" w:firstLineChars="200"/>
        <w:rPr>
          <w:rFonts w:hint="default" w:ascii="宋体" w:hAnsi="宋体" w:eastAsia="宋体"/>
          <w:b w:val="0"/>
          <w:color w:val="000000"/>
          <w:sz w:val="22"/>
        </w:rPr>
      </w:pPr>
      <w:bookmarkStart w:id="20" w:name="_Toc132122117"/>
      <w:bookmarkStart w:id="21" w:name="_Toc132122414"/>
      <w:r>
        <w:rPr>
          <w:rFonts w:ascii="宋体" w:hAnsi="宋体" w:eastAsia="宋体"/>
          <w:b w:val="0"/>
          <w:color w:val="000000"/>
          <w:sz w:val="22"/>
        </w:rPr>
        <w:t>7、投标文件的有效期</w:t>
      </w:r>
      <w:bookmarkEnd w:id="20"/>
      <w:bookmarkEnd w:id="21"/>
    </w:p>
    <w:p>
      <w:pPr>
        <w:pStyle w:val="25"/>
        <w:adjustRightInd w:val="0"/>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7.1、自</w:t>
      </w:r>
      <w:r>
        <w:rPr>
          <w:rFonts w:ascii="宋体" w:hAnsi="宋体" w:eastAsia="宋体" w:cs="Courier New"/>
          <w:b w:val="0"/>
          <w:color w:val="000000"/>
          <w:sz w:val="22"/>
        </w:rPr>
        <w:t>提交投标文件截止时间起90天</w:t>
      </w:r>
      <w:r>
        <w:rPr>
          <w:rFonts w:ascii="宋体" w:hAnsi="宋体" w:eastAsia="宋体"/>
          <w:b w:val="0"/>
          <w:color w:val="000000"/>
          <w:sz w:val="22"/>
        </w:rPr>
        <w:t>内，投标文件应保持有效。有效期短于这个规定期限的投标将被拒绝。</w:t>
      </w:r>
    </w:p>
    <w:p>
      <w:pPr>
        <w:pStyle w:val="25"/>
        <w:adjustRightInd w:val="0"/>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7.2、在特殊情况下，采购人可与投标供应商协商延长投标文件的有效期，这种要求和答复均应以书面形式进行。</w:t>
      </w:r>
    </w:p>
    <w:p>
      <w:pPr>
        <w:pStyle w:val="25"/>
        <w:adjustRightInd w:val="0"/>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7.3、投标供应商可拒绝接受延期要求，同意延长有效期的投标供应商不能修改投标文件。</w:t>
      </w:r>
      <w:bookmarkStart w:id="22" w:name="_Toc132122118"/>
      <w:bookmarkStart w:id="23" w:name="_Toc132122415"/>
    </w:p>
    <w:p>
      <w:pPr>
        <w:pStyle w:val="25"/>
        <w:adjustRightInd w:val="0"/>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8、投标文件的</w:t>
      </w:r>
      <w:bookmarkEnd w:id="22"/>
      <w:bookmarkEnd w:id="23"/>
      <w:r>
        <w:rPr>
          <w:rFonts w:ascii="宋体" w:hAnsi="宋体" w:eastAsia="宋体"/>
          <w:b w:val="0"/>
          <w:color w:val="000000"/>
          <w:sz w:val="22"/>
        </w:rPr>
        <w:t>编制</w:t>
      </w:r>
    </w:p>
    <w:p>
      <w:pPr>
        <w:autoSpaceDE w:val="0"/>
        <w:autoSpaceDN w:val="0"/>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8.1、本项目通过“政府采购云平台（www.zcygov.cn）”实行在线投标响应（电子投标）。供应商应通过“政采云电子交易客户端”，并按照本招标文件和“政府采购云平台”的要求编制并加密投标文件。</w:t>
      </w:r>
    </w:p>
    <w:p>
      <w:pPr>
        <w:autoSpaceDE w:val="0"/>
        <w:autoSpaceDN w:val="0"/>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pPr>
        <w:autoSpaceDE w:val="0"/>
        <w:autoSpaceDN w:val="0"/>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pPr>
        <w:autoSpaceDE w:val="0"/>
        <w:autoSpaceDN w:val="0"/>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8.4、《投标文件》内容不完整、编排混乱导致《投标文件》被误读、漏读或者查找不到相关内容的，相关责任由投标供应商自负。</w:t>
      </w:r>
    </w:p>
    <w:p>
      <w:pPr>
        <w:autoSpaceDE w:val="0"/>
        <w:autoSpaceDN w:val="0"/>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8.5、《投标文件》因字迹潦草或表达不清所引起的后果由投标供应商负责。</w:t>
      </w:r>
    </w:p>
    <w:p>
      <w:pPr>
        <w:autoSpaceDE w:val="0"/>
        <w:autoSpaceDN w:val="0"/>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8.6、投标供应商没有按照本章节“投标文件组成”要求提供全部资料，或者没有仔细阅读招标文件，或者没有对招标文件在各方面的要求作出实质性响应，由此造成的一切后果由投标供应商自行承担。</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9、投标文件的签章</w:t>
      </w:r>
    </w:p>
    <w:p>
      <w:pPr>
        <w:autoSpaceDE w:val="0"/>
        <w:autoSpaceDN w:val="0"/>
        <w:snapToGrid w:val="0"/>
        <w:spacing w:line="460" w:lineRule="exact"/>
        <w:ind w:firstLine="442" w:firstLineChars="200"/>
        <w:rPr>
          <w:rFonts w:ascii="宋体" w:hAnsi="宋体" w:eastAsia="宋体"/>
          <w:color w:val="000000"/>
          <w:sz w:val="22"/>
        </w:rPr>
      </w:pPr>
      <w:r>
        <w:rPr>
          <w:rFonts w:ascii="宋体" w:hAnsi="宋体" w:eastAsia="宋体"/>
          <w:color w:val="000000"/>
          <w:sz w:val="22"/>
        </w:rPr>
        <w:t>9.1、《投标文件》的签章：见《第一部分    投标邀请函（投标须知前附表）》；</w:t>
      </w:r>
    </w:p>
    <w:p>
      <w:pPr>
        <w:autoSpaceDE w:val="0"/>
        <w:autoSpaceDN w:val="0"/>
        <w:snapToGrid w:val="0"/>
        <w:spacing w:line="460" w:lineRule="exact"/>
        <w:ind w:firstLine="442" w:firstLineChars="200"/>
        <w:rPr>
          <w:rFonts w:ascii="宋体" w:hAnsi="宋体" w:eastAsia="宋体"/>
          <w:color w:val="000000"/>
          <w:sz w:val="22"/>
        </w:rPr>
      </w:pPr>
      <w:r>
        <w:rPr>
          <w:rFonts w:ascii="宋体" w:hAnsi="宋体" w:eastAsia="宋体"/>
          <w:color w:val="000000"/>
          <w:sz w:val="22"/>
        </w:rPr>
        <w:t>9.2、《投标文件》</w:t>
      </w:r>
      <w:r>
        <w:rPr>
          <w:rFonts w:hint="eastAsia" w:ascii="宋体" w:hAnsi="宋体" w:eastAsia="宋体"/>
          <w:color w:val="000000"/>
          <w:sz w:val="22"/>
        </w:rPr>
        <w:t>：</w:t>
      </w:r>
      <w:r>
        <w:rPr>
          <w:rFonts w:ascii="宋体" w:hAnsi="宋体" w:eastAsia="宋体"/>
          <w:color w:val="000000"/>
          <w:sz w:val="22"/>
        </w:rPr>
        <w:t>根据招标文件要求在投标文件相应位置由投标供应商法定代表人或授权代表签字（或盖章）</w:t>
      </w:r>
      <w:r>
        <w:rPr>
          <w:rFonts w:hint="eastAsia" w:ascii="宋体" w:hAnsi="宋体" w:eastAsia="宋体"/>
          <w:color w:val="000000"/>
          <w:sz w:val="22"/>
        </w:rPr>
        <w:t>，需要加盖投标供应商公章的采用</w:t>
      </w:r>
      <w:r>
        <w:rPr>
          <w:rFonts w:ascii="宋体" w:hAnsi="宋体" w:eastAsia="宋体"/>
          <w:color w:val="000000"/>
          <w:sz w:val="22"/>
        </w:rPr>
        <w:t>CA电子签章。</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10、投标文件的形式</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10.1、投标文件的形式：见《第一部分    投标邀请函（投标须知前附表）》；</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10.2、“电子加密投标文件”：“电子加密投标文件”是指通过“政采云电子交易客户端”完成投标文件编制后生成并加密的数据电文形式的投标文件。</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10.3、投标文件的份数</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投标文件的份数：见《第一部分    投标邀请函（投标须知前附表）》。</w:t>
      </w:r>
    </w:p>
    <w:p>
      <w:pPr>
        <w:snapToGrid w:val="0"/>
        <w:spacing w:line="460" w:lineRule="exact"/>
        <w:ind w:firstLine="440" w:firstLineChars="200"/>
        <w:rPr>
          <w:rFonts w:ascii="宋体" w:hAnsi="宋体" w:eastAsia="宋体"/>
          <w:b w:val="0"/>
          <w:color w:val="000000"/>
          <w:sz w:val="22"/>
        </w:rPr>
      </w:pPr>
      <w:bookmarkStart w:id="24" w:name="_Toc132125574"/>
      <w:bookmarkStart w:id="25" w:name="_Toc132123547"/>
      <w:bookmarkStart w:id="26" w:name="_Toc132123634"/>
      <w:bookmarkStart w:id="27" w:name="_Toc132122416"/>
      <w:bookmarkStart w:id="28" w:name="_Toc132122119"/>
      <w:bookmarkStart w:id="29" w:name="_Toc132125151"/>
      <w:bookmarkStart w:id="30" w:name="_Toc132124594"/>
      <w:bookmarkStart w:id="31" w:name="_Toc132123838"/>
      <w:bookmarkStart w:id="32" w:name="_Toc132123439"/>
      <w:bookmarkStart w:id="33" w:name="_Toc132125037"/>
      <w:bookmarkStart w:id="34" w:name="_Toc132123881"/>
      <w:bookmarkStart w:id="35" w:name="_Toc132126154"/>
      <w:bookmarkStart w:id="36" w:name="_Toc132125095"/>
      <w:bookmarkStart w:id="37" w:name="_Toc132655776"/>
      <w:bookmarkStart w:id="38" w:name="_Toc132125983"/>
      <w:r>
        <w:rPr>
          <w:rFonts w:hint="eastAsia" w:ascii="宋体" w:hAnsi="宋体" w:eastAsia="宋体"/>
          <w:b w:val="0"/>
          <w:color w:val="000000"/>
          <w:sz w:val="22"/>
        </w:rPr>
        <w:t>四、投标文件递交</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snapToGrid w:val="0"/>
        <w:spacing w:line="460" w:lineRule="exact"/>
        <w:ind w:firstLine="442" w:firstLineChars="200"/>
        <w:rPr>
          <w:rFonts w:ascii="宋体" w:hAnsi="宋体" w:eastAsia="宋体"/>
          <w:color w:val="000000"/>
          <w:sz w:val="22"/>
        </w:rPr>
      </w:pPr>
      <w:bookmarkStart w:id="39" w:name="_Toc132125984"/>
      <w:bookmarkStart w:id="40" w:name="_Toc132125096"/>
      <w:bookmarkStart w:id="41" w:name="_Toc132123440"/>
      <w:bookmarkStart w:id="42" w:name="_Toc132125575"/>
      <w:bookmarkStart w:id="43" w:name="_Toc132125152"/>
      <w:bookmarkStart w:id="44" w:name="_Toc132123548"/>
      <w:bookmarkStart w:id="45" w:name="_Toc132125038"/>
      <w:bookmarkStart w:id="46" w:name="_Toc132123882"/>
      <w:bookmarkStart w:id="47" w:name="_Toc132122417"/>
      <w:bookmarkStart w:id="48" w:name="_Toc132123839"/>
      <w:bookmarkStart w:id="49" w:name="_Toc132123635"/>
      <w:bookmarkStart w:id="50" w:name="_Toc132122120"/>
      <w:bookmarkStart w:id="51" w:name="_Toc132124595"/>
      <w:bookmarkStart w:id="52" w:name="_Toc132126155"/>
      <w:bookmarkStart w:id="53" w:name="_Toc132655777"/>
      <w:r>
        <w:rPr>
          <w:rFonts w:hint="eastAsia" w:ascii="宋体" w:hAnsi="宋体" w:eastAsia="宋体"/>
          <w:color w:val="000000"/>
          <w:sz w:val="22"/>
        </w:rPr>
        <w:t>1、投标文件的上传和递交</w:t>
      </w:r>
    </w:p>
    <w:p>
      <w:pPr>
        <w:snapToGrid w:val="0"/>
        <w:spacing w:line="460" w:lineRule="exact"/>
        <w:ind w:firstLine="442" w:firstLineChars="200"/>
        <w:rPr>
          <w:rFonts w:ascii="宋体" w:hAnsi="宋体" w:eastAsia="宋体"/>
          <w:color w:val="000000"/>
          <w:sz w:val="22"/>
        </w:rPr>
      </w:pPr>
      <w:r>
        <w:rPr>
          <w:rFonts w:ascii="宋体" w:hAnsi="宋体" w:eastAsia="宋体"/>
          <w:color w:val="000000"/>
          <w:sz w:val="22"/>
        </w:rPr>
        <w:t>“投标文件”的上传、递交：见《</w:t>
      </w:r>
      <w:r>
        <w:rPr>
          <w:rFonts w:hint="eastAsia" w:ascii="宋体" w:hAnsi="宋体" w:eastAsia="宋体"/>
          <w:color w:val="000000"/>
          <w:sz w:val="22"/>
        </w:rPr>
        <w:t>第一部分</w:t>
      </w:r>
      <w:r>
        <w:rPr>
          <w:rFonts w:ascii="宋体" w:hAnsi="宋体" w:eastAsia="宋体"/>
          <w:color w:val="000000"/>
          <w:sz w:val="22"/>
        </w:rPr>
        <w:t xml:space="preserve">    投标邀请函（投标须知前附表）》。</w:t>
      </w:r>
    </w:p>
    <w:p>
      <w:pPr>
        <w:snapToGrid w:val="0"/>
        <w:spacing w:line="460" w:lineRule="exact"/>
        <w:ind w:firstLine="442" w:firstLineChars="200"/>
        <w:rPr>
          <w:rFonts w:ascii="宋体" w:hAnsi="宋体" w:eastAsia="宋体"/>
          <w:color w:val="000000"/>
          <w:sz w:val="22"/>
        </w:rPr>
      </w:pPr>
      <w:r>
        <w:rPr>
          <w:rFonts w:hint="eastAsia" w:ascii="宋体" w:hAnsi="宋体" w:eastAsia="宋体"/>
          <w:color w:val="000000"/>
          <w:sz w:val="22"/>
        </w:rPr>
        <w:t>2、“电子加密投标文件”解密和异常情况处理</w:t>
      </w:r>
    </w:p>
    <w:p>
      <w:pPr>
        <w:snapToGrid w:val="0"/>
        <w:spacing w:line="460" w:lineRule="exact"/>
        <w:ind w:firstLine="442" w:firstLineChars="200"/>
        <w:rPr>
          <w:rFonts w:ascii="宋体" w:hAnsi="宋体" w:eastAsia="宋体"/>
          <w:color w:val="000000"/>
          <w:sz w:val="22"/>
        </w:rPr>
      </w:pPr>
      <w:r>
        <w:rPr>
          <w:rFonts w:ascii="宋体" w:hAnsi="宋体" w:eastAsia="宋体"/>
          <w:color w:val="000000"/>
          <w:sz w:val="22"/>
        </w:rPr>
        <w:t>“电子加密投标文件”解密：见《</w:t>
      </w:r>
      <w:r>
        <w:rPr>
          <w:rFonts w:hint="eastAsia" w:ascii="宋体" w:hAnsi="宋体" w:eastAsia="宋体"/>
          <w:color w:val="000000"/>
          <w:sz w:val="22"/>
        </w:rPr>
        <w:t>第一部分</w:t>
      </w:r>
      <w:r>
        <w:rPr>
          <w:rFonts w:ascii="宋体" w:hAnsi="宋体" w:eastAsia="宋体"/>
          <w:color w:val="000000"/>
          <w:sz w:val="22"/>
        </w:rPr>
        <w:t xml:space="preserve">    投标邀请函（投标须知前附表）》。</w:t>
      </w:r>
    </w:p>
    <w:p>
      <w:pPr>
        <w:tabs>
          <w:tab w:val="center" w:pos="4810"/>
        </w:tabs>
        <w:snapToGrid w:val="0"/>
        <w:spacing w:line="460" w:lineRule="exact"/>
        <w:ind w:firstLine="442" w:firstLineChars="200"/>
        <w:rPr>
          <w:rFonts w:ascii="宋体" w:hAnsi="宋体" w:eastAsia="宋体"/>
          <w:color w:val="000000"/>
          <w:sz w:val="22"/>
        </w:rPr>
      </w:pPr>
      <w:r>
        <w:rPr>
          <w:rFonts w:hint="eastAsia" w:ascii="宋体" w:hAnsi="宋体" w:eastAsia="宋体"/>
          <w:color w:val="000000"/>
          <w:sz w:val="22"/>
        </w:rPr>
        <w:t>3、投标文件的补充、修改或撤回</w:t>
      </w:r>
      <w:r>
        <w:rPr>
          <w:rFonts w:ascii="宋体" w:hAnsi="宋体" w:eastAsia="宋体"/>
          <w:color w:val="000000"/>
          <w:sz w:val="22"/>
        </w:rPr>
        <w:tab/>
      </w:r>
    </w:p>
    <w:p>
      <w:pPr>
        <w:snapToGrid w:val="0"/>
        <w:spacing w:line="460" w:lineRule="exact"/>
        <w:ind w:firstLine="442" w:firstLineChars="200"/>
        <w:rPr>
          <w:rFonts w:ascii="宋体" w:hAnsi="宋体" w:eastAsia="宋体"/>
          <w:color w:val="000000"/>
          <w:sz w:val="22"/>
        </w:rPr>
      </w:pPr>
      <w:r>
        <w:rPr>
          <w:rFonts w:ascii="宋体" w:hAnsi="宋体" w:eastAsia="宋体"/>
          <w:color w:val="000000"/>
          <w:sz w:val="22"/>
        </w:rPr>
        <w:t>3.1</w:t>
      </w:r>
      <w:r>
        <w:rPr>
          <w:rFonts w:hint="eastAsia" w:ascii="宋体" w:hAnsi="宋体" w:eastAsia="宋体"/>
          <w:color w:val="000000"/>
          <w:sz w:val="22"/>
        </w:rPr>
        <w:t>、</w:t>
      </w:r>
      <w:r>
        <w:rPr>
          <w:rFonts w:ascii="宋体" w:hAnsi="宋体" w:eastAsia="宋体"/>
          <w:color w:val="000000"/>
          <w:sz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460" w:lineRule="exact"/>
        <w:ind w:firstLine="442" w:firstLineChars="200"/>
        <w:rPr>
          <w:rFonts w:ascii="宋体" w:hAnsi="宋体" w:eastAsia="宋体"/>
          <w:color w:val="000000"/>
          <w:sz w:val="22"/>
        </w:rPr>
      </w:pPr>
      <w:r>
        <w:rPr>
          <w:rFonts w:ascii="宋体" w:hAnsi="宋体" w:eastAsia="宋体"/>
          <w:color w:val="000000"/>
          <w:sz w:val="22"/>
        </w:rPr>
        <w:t>3.2</w:t>
      </w:r>
      <w:r>
        <w:rPr>
          <w:rFonts w:hint="eastAsia" w:ascii="宋体" w:hAnsi="宋体" w:eastAsia="宋体"/>
          <w:color w:val="000000"/>
          <w:sz w:val="22"/>
        </w:rPr>
        <w:t>、</w:t>
      </w:r>
      <w:r>
        <w:rPr>
          <w:rFonts w:ascii="宋体" w:hAnsi="宋体" w:eastAsia="宋体"/>
          <w:color w:val="000000"/>
          <w:sz w:val="22"/>
        </w:rPr>
        <w:t>投标截止时间后，投标供应商不得撤回、修改《投标文件》。</w:t>
      </w:r>
    </w:p>
    <w:p>
      <w:pPr>
        <w:snapToGrid w:val="0"/>
        <w:spacing w:line="460" w:lineRule="exact"/>
        <w:ind w:firstLine="442" w:firstLineChars="200"/>
        <w:rPr>
          <w:rFonts w:ascii="宋体" w:hAnsi="宋体" w:eastAsia="宋体"/>
          <w:color w:val="000000"/>
          <w:sz w:val="22"/>
        </w:rPr>
      </w:pPr>
      <w:r>
        <w:rPr>
          <w:rFonts w:hint="eastAsia" w:ascii="宋体" w:hAnsi="宋体" w:eastAsia="宋体"/>
          <w:color w:val="000000"/>
          <w:sz w:val="22"/>
        </w:rPr>
        <w:t>4、投标文件的备选方案</w:t>
      </w:r>
    </w:p>
    <w:p>
      <w:pPr>
        <w:snapToGrid w:val="0"/>
        <w:spacing w:line="460" w:lineRule="exact"/>
        <w:ind w:firstLine="442" w:firstLineChars="200"/>
        <w:rPr>
          <w:rFonts w:ascii="宋体" w:hAnsi="宋体" w:eastAsia="宋体"/>
          <w:b w:val="0"/>
          <w:color w:val="000000"/>
          <w:sz w:val="22"/>
        </w:rPr>
      </w:pPr>
      <w:r>
        <w:rPr>
          <w:rFonts w:ascii="宋体" w:hAnsi="宋体" w:eastAsia="宋体"/>
          <w:color w:val="000000"/>
          <w:sz w:val="22"/>
        </w:rPr>
        <w:t>投标供应商不得递交任何的投标备选（替代）方案，否则其投标文件将作无效标处理。</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五、开标和评标</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1、开标</w:t>
      </w:r>
    </w:p>
    <w:p>
      <w:pPr>
        <w:pStyle w:val="25"/>
        <w:snapToGrid w:val="0"/>
        <w:spacing w:line="460" w:lineRule="exact"/>
        <w:ind w:firstLine="440" w:firstLineChars="200"/>
        <w:rPr>
          <w:rFonts w:hint="default" w:ascii="宋体" w:hAnsi="宋体" w:eastAsia="宋体"/>
          <w:color w:val="000000"/>
          <w:sz w:val="22"/>
        </w:rPr>
      </w:pPr>
      <w:r>
        <w:rPr>
          <w:rFonts w:ascii="宋体" w:hAnsi="宋体" w:eastAsia="宋体"/>
          <w:b w:val="0"/>
          <w:color w:val="000000"/>
          <w:sz w:val="22"/>
        </w:rPr>
        <w:t>1.1、</w:t>
      </w:r>
      <w:r>
        <w:rPr>
          <w:rFonts w:ascii="宋体" w:hAnsi="宋体" w:eastAsia="宋体"/>
          <w:color w:val="000000"/>
          <w:sz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1.2、开标流程</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（1）向各投标供应商发出电子加密投标文件【开始解密】通知，由供应商按招标文件规定的时间内自行进行投标文件解密。</w:t>
      </w:r>
      <w:r>
        <w:rPr>
          <w:rFonts w:ascii="宋体" w:hAnsi="宋体" w:eastAsia="宋体"/>
          <w:color w:val="000000"/>
          <w:sz w:val="22"/>
        </w:rPr>
        <w:t>投标供应商在规定的时间内无法完成已递交的“电子加密投标文件”解密的，其投标文件按拒收处理</w:t>
      </w:r>
      <w:r>
        <w:rPr>
          <w:rFonts w:ascii="宋体" w:hAnsi="宋体" w:eastAsia="宋体"/>
          <w:b w:val="0"/>
          <w:color w:val="000000"/>
          <w:sz w:val="22"/>
        </w:rPr>
        <w:t>。</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（2）投标文件解密结束，开启资格文件，进入资格审查环节，采购人或采购代理机构将对依法对投标供应商的资格进行审查，具体见本章节“投标供应商资格审查”相关规定。</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（3）开启资格审查通过的投标供应商的商务技术文件进入符合性审查及商务技术评审；</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（4）符合性审查、商务技术评审结束后，开启符合性审查、商务技术评审有效投标供应商的《报价文件》。由评标委员会对报价文件的符合性等进行审查核实。</w:t>
      </w:r>
      <w:r>
        <w:rPr>
          <w:rFonts w:ascii="宋体" w:hAnsi="宋体" w:eastAsia="宋体"/>
          <w:color w:val="000000"/>
          <w:sz w:val="22"/>
        </w:rPr>
        <w:t>投标供应商在线制作投标文件时《开标一览表》中填写的金额与解密后“电子加密投标文件”中《开标一览表》填写的金额不一致的，以解密后“电子加密投标文件”中《开标一览表》填写的金额为准并按此进行修正</w:t>
      </w:r>
      <w:r>
        <w:rPr>
          <w:rFonts w:ascii="宋体" w:hAnsi="宋体" w:eastAsia="宋体"/>
          <w:b w:val="0"/>
          <w:color w:val="000000"/>
          <w:sz w:val="22"/>
        </w:rPr>
        <w:t>。</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开标时，报价文件中投标报价出现前后不一致的，按照下列规定修正：</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（一）投标文件中开标一览表内容与投标文件中相应内容不一致的，以开标一览表为准；</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（二）大写金额和小写金额不一致的，以大写金额为准；</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（三）单价金额小数点或者百分比有明显错位的，以开标一览表的总价为准，并修改单价；</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（四）总价金额与按单价汇总金额不一致的，以单价金额计算结果为准。</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（5）评审结束后，公布采购结果。</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特别说明：如遇“政府采购云平台”电子化开标或评审程序调整的，按调整后程序执行。</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2、投标供应商资格审查</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5"/>
        <w:snapToGrid w:val="0"/>
        <w:spacing w:line="460" w:lineRule="exact"/>
        <w:ind w:firstLine="442" w:firstLineChars="200"/>
        <w:rPr>
          <w:rFonts w:hint="default" w:ascii="宋体" w:hAnsi="宋体" w:eastAsia="宋体"/>
          <w:b w:val="0"/>
          <w:color w:val="000000"/>
          <w:sz w:val="22"/>
        </w:rPr>
      </w:pPr>
      <w:r>
        <w:rPr>
          <w:rFonts w:ascii="宋体" w:hAnsi="宋体" w:eastAsia="宋体"/>
          <w:color w:val="000000"/>
          <w:sz w:val="22"/>
        </w:rPr>
        <w:t>2.3、单位负责人为同一人或者存在直接控股、管理关系的不同供应商参加同一合同项下的政府采购活动的，相关投标供应商均作资格无效处理。</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3、评标</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3.1、评标由采购人依法组建的评标委员会负责，并独立履行下列职责：</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1）审查投标文件是否符合招标文件要求，并作出评价；</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2）要求投标供应商对投标文件有关事项作出解释或者澄清；</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3）按照招标文件确定的评标办法对各标项投标供应商进行排序，推荐中标候选供应商；</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4）向采购人推荐各标项综合得分第一名的供应商为中标供应商，并提交书面评审报告。如果第一名得分相同，以投标报价低的优先；投标报价也相同，以抽签随机决定。</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5）向采购代理机构或者有关部门报告非法干预评标工作的行为。</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3.2、评标应当遵循下列工作程序：</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1）投标文件符合性审查。依据招标文件的规定，从投标文件的有效性、完整性和对招标文件的响应程度进行审查，以确定是否对招标文件的实质性要求作出响应。</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2）澄清有关问题。对投标文件中含义不明确、同类问题表述不一致或者有明显文字和计算错误的内容，评标委员会可以书面形式要求投标供应商作出必要的澄清、说明或者纠正。投标供应商的澄清、说明应当采用书面形式，由其授权的代表签字，并不得超出投标文件的范围或者改变投标文件的实质性内容。</w:t>
      </w:r>
    </w:p>
    <w:p>
      <w:pPr>
        <w:pStyle w:val="25"/>
        <w:snapToGrid w:val="0"/>
        <w:spacing w:line="460" w:lineRule="atLeast"/>
        <w:ind w:firstLine="440" w:firstLineChars="200"/>
        <w:rPr>
          <w:rFonts w:hint="default" w:ascii="宋体" w:hAnsi="宋体" w:eastAsia="宋体"/>
          <w:b w:val="0"/>
          <w:color w:val="000000"/>
          <w:sz w:val="22"/>
        </w:rPr>
      </w:pPr>
      <w:r>
        <w:rPr>
          <w:rFonts w:ascii="宋体" w:hAnsi="宋体" w:eastAsia="宋体"/>
          <w:b w:val="0"/>
          <w:color w:val="000000"/>
          <w:sz w:val="22"/>
        </w:rPr>
        <w:t>3）比较与评价。按招标文件中规定的评标方法和标准，对资格审查和符合性审查合格的投标文件进行商务和技术评估，综合比较与评价。</w:t>
      </w:r>
    </w:p>
    <w:p>
      <w:pPr>
        <w:pStyle w:val="25"/>
        <w:adjustRightInd w:val="0"/>
        <w:snapToGrid w:val="0"/>
        <w:spacing w:line="460" w:lineRule="exact"/>
        <w:ind w:firstLine="440" w:firstLineChars="200"/>
        <w:rPr>
          <w:rFonts w:hint="default" w:ascii="宋体" w:hAnsi="宋体" w:eastAsia="宋体"/>
          <w:color w:val="000000"/>
          <w:sz w:val="22"/>
        </w:rPr>
      </w:pPr>
      <w:r>
        <w:rPr>
          <w:rFonts w:ascii="宋体" w:hAnsi="宋体" w:eastAsia="宋体"/>
          <w:b w:val="0"/>
          <w:color w:val="000000"/>
          <w:sz w:val="22"/>
        </w:rPr>
        <w:t>3.3、</w:t>
      </w:r>
      <w:r>
        <w:rPr>
          <w:rFonts w:ascii="宋体" w:hAnsi="宋体" w:eastAsia="宋体"/>
          <w:color w:val="000000"/>
          <w:sz w:val="22"/>
        </w:rPr>
        <w:t>▲投标供应商存在下列情况之一的，投标无效：</w:t>
      </w:r>
    </w:p>
    <w:p>
      <w:pPr>
        <w:pStyle w:val="25"/>
        <w:adjustRightInd w:val="0"/>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1）投标文件未按招标文件要求签署或CA电子签章的；</w:t>
      </w:r>
    </w:p>
    <w:p>
      <w:pPr>
        <w:pStyle w:val="25"/>
        <w:adjustRightInd w:val="0"/>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2）不具备招标文件中规定的资格要求的；</w:t>
      </w:r>
    </w:p>
    <w:p>
      <w:pPr>
        <w:pStyle w:val="25"/>
        <w:adjustRightInd w:val="0"/>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3）报价超过招标文件中规定的预算金额或者最高限价的；</w:t>
      </w:r>
    </w:p>
    <w:p>
      <w:pPr>
        <w:pStyle w:val="25"/>
        <w:adjustRightInd w:val="0"/>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4）供应商递交两份或两份以上内容不同的投标文件，未声明哪一份有效的；</w:t>
      </w:r>
    </w:p>
    <w:p>
      <w:pPr>
        <w:pStyle w:val="25"/>
        <w:adjustRightInd w:val="0"/>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5）对关键条文的偏离、保留或反对，例如关于付款方式、完工期、免费质保期、适用法律法规、标准、税费等其他内容；</w:t>
      </w:r>
    </w:p>
    <w:p>
      <w:pPr>
        <w:pStyle w:val="25"/>
        <w:adjustRightInd w:val="0"/>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6）存在串标或弄虚作假情况的；</w:t>
      </w:r>
    </w:p>
    <w:p>
      <w:pPr>
        <w:pStyle w:val="25"/>
        <w:adjustRightInd w:val="0"/>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7）供应商所投产品属于政府强制采购节能产品，投标时未提供相关产品的认证证书的；（具体品目见《关于印发节能产品政府采购品目清单的通知》（财库〔2019〕19号）</w:t>
      </w:r>
    </w:p>
    <w:p>
      <w:pPr>
        <w:pStyle w:val="25"/>
        <w:adjustRightInd w:val="0"/>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8）参与本项目的不同供应商单位负责人为同一人或者存在直接控股、管理关系的；</w:t>
      </w:r>
    </w:p>
    <w:p>
      <w:pPr>
        <w:pStyle w:val="25"/>
        <w:adjustRightInd w:val="0"/>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9）供应商的资格文件或者商务技术文件中出现投标报价的；</w:t>
      </w:r>
    </w:p>
    <w:p>
      <w:pPr>
        <w:pStyle w:val="25"/>
        <w:adjustRightInd w:val="0"/>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10）法律、法规和招标文件规定的其他无效情形（或出现重大偏差）。</w:t>
      </w:r>
    </w:p>
    <w:p>
      <w:pPr>
        <w:pStyle w:val="25"/>
        <w:snapToGrid w:val="0"/>
        <w:spacing w:line="460" w:lineRule="atLeast"/>
        <w:ind w:firstLine="440" w:firstLineChars="200"/>
        <w:rPr>
          <w:rFonts w:hint="default" w:ascii="宋体" w:hAnsi="宋体" w:eastAsia="宋体"/>
          <w:b w:val="0"/>
          <w:color w:val="000000"/>
          <w:sz w:val="22"/>
        </w:rPr>
      </w:pPr>
      <w:r>
        <w:rPr>
          <w:rFonts w:ascii="宋体" w:hAnsi="宋体" w:eastAsia="宋体"/>
          <w:b w:val="0"/>
          <w:color w:val="000000"/>
          <w:sz w:val="22"/>
        </w:rPr>
        <w:t>3.4、 ▲</w:t>
      </w:r>
      <w:r>
        <w:rPr>
          <w:rFonts w:ascii="宋体" w:hAnsi="宋体" w:eastAsia="宋体"/>
          <w:color w:val="000000"/>
          <w:sz w:val="22"/>
        </w:rPr>
        <w:t>评标委员会发现投标文件有下列情形之一的属于重大偏差(评标委员会按少数服从多数原则认定)，按照无效投标处理：</w:t>
      </w:r>
    </w:p>
    <w:p>
      <w:pPr>
        <w:pStyle w:val="25"/>
        <w:snapToGrid w:val="0"/>
        <w:spacing w:line="460" w:lineRule="atLeast"/>
        <w:ind w:firstLine="440" w:firstLineChars="200"/>
        <w:rPr>
          <w:rFonts w:hint="default" w:ascii="宋体" w:hAnsi="宋体" w:eastAsia="宋体"/>
          <w:b w:val="0"/>
          <w:color w:val="000000"/>
          <w:sz w:val="22"/>
        </w:rPr>
      </w:pPr>
      <w:r>
        <w:rPr>
          <w:rFonts w:ascii="宋体" w:hAnsi="宋体" w:eastAsia="宋体"/>
          <w:b w:val="0"/>
          <w:color w:val="000000"/>
          <w:sz w:val="22"/>
        </w:rPr>
        <w:t>1）未按招标文件要求编制或字迹模糊、辨认不清的投标文件；</w:t>
      </w:r>
    </w:p>
    <w:p>
      <w:pPr>
        <w:pStyle w:val="25"/>
        <w:snapToGrid w:val="0"/>
        <w:spacing w:line="460" w:lineRule="atLeast"/>
        <w:ind w:firstLine="440" w:firstLineChars="200"/>
        <w:rPr>
          <w:rFonts w:hint="default" w:ascii="宋体" w:hAnsi="宋体" w:eastAsia="宋体"/>
          <w:b w:val="0"/>
          <w:color w:val="000000"/>
          <w:sz w:val="22"/>
        </w:rPr>
      </w:pPr>
      <w:r>
        <w:rPr>
          <w:rFonts w:ascii="宋体" w:hAnsi="宋体" w:eastAsia="宋体"/>
          <w:b w:val="0"/>
          <w:color w:val="000000"/>
          <w:sz w:val="22"/>
        </w:rPr>
        <w:t>2）除3.3条款以外，出现其它明显不符合技术规格、技术标准的要求或不满足招标文件技术规格书中的主要参数的投标文件；</w:t>
      </w:r>
    </w:p>
    <w:p>
      <w:pPr>
        <w:pStyle w:val="25"/>
        <w:snapToGrid w:val="0"/>
        <w:spacing w:line="460" w:lineRule="atLeast"/>
        <w:ind w:firstLine="440" w:firstLineChars="200"/>
        <w:rPr>
          <w:rFonts w:hint="default" w:ascii="宋体" w:hAnsi="宋体" w:eastAsia="宋体"/>
          <w:b w:val="0"/>
          <w:color w:val="000000"/>
          <w:sz w:val="22"/>
        </w:rPr>
      </w:pPr>
      <w:r>
        <w:rPr>
          <w:rFonts w:ascii="宋体" w:hAnsi="宋体" w:eastAsia="宋体"/>
          <w:b w:val="0"/>
          <w:color w:val="000000"/>
          <w:sz w:val="22"/>
        </w:rPr>
        <w:t>3）除3.3条款以外，出现投标货物数量与招标文件对比出现较大偏差或商务报价明细表计算错误，出现较大差错；</w:t>
      </w:r>
    </w:p>
    <w:p>
      <w:pPr>
        <w:pStyle w:val="25"/>
        <w:snapToGrid w:val="0"/>
        <w:spacing w:line="460" w:lineRule="atLeast"/>
        <w:ind w:firstLine="440" w:firstLineChars="200"/>
        <w:rPr>
          <w:rFonts w:hint="default" w:ascii="宋体" w:hAnsi="宋体" w:eastAsia="宋体"/>
          <w:b w:val="0"/>
          <w:color w:val="000000"/>
          <w:sz w:val="22"/>
        </w:rPr>
      </w:pPr>
      <w:r>
        <w:rPr>
          <w:rFonts w:ascii="宋体" w:hAnsi="宋体" w:eastAsia="宋体"/>
          <w:b w:val="0"/>
          <w:color w:val="000000"/>
          <w:sz w:val="22"/>
        </w:rPr>
        <w:t>4）除3.3条款以外，出现其它不符合招标文件中规定的实质性要求的投标文件，是否为偏离实质性要求由评标委员会认定。</w:t>
      </w:r>
    </w:p>
    <w:p>
      <w:pPr>
        <w:pStyle w:val="25"/>
        <w:snapToGrid w:val="0"/>
        <w:spacing w:line="460" w:lineRule="atLeast"/>
        <w:ind w:firstLine="440" w:firstLineChars="200"/>
        <w:rPr>
          <w:rFonts w:hint="default" w:ascii="宋体" w:hAnsi="宋体" w:eastAsia="宋体"/>
          <w:color w:val="000000"/>
          <w:sz w:val="22"/>
        </w:rPr>
      </w:pPr>
      <w:r>
        <w:rPr>
          <w:rFonts w:ascii="宋体" w:hAnsi="宋体" w:eastAsia="宋体"/>
          <w:b w:val="0"/>
          <w:color w:val="000000"/>
          <w:sz w:val="22"/>
        </w:rPr>
        <w:t>3.5、</w:t>
      </w:r>
      <w:r>
        <w:rPr>
          <w:rFonts w:ascii="宋体" w:hAnsi="宋体" w:eastAsia="宋体"/>
          <w:color w:val="000000"/>
          <w:sz w:val="22"/>
        </w:rPr>
        <w:t>本次采购，如果某个标项的投标供应商的投标报价均超出该标项采购预算或</w:t>
      </w:r>
      <w:r>
        <w:rPr>
          <w:rFonts w:hint="eastAsia" w:ascii="宋体" w:hAnsi="宋体" w:eastAsia="宋体"/>
          <w:color w:val="000000"/>
          <w:sz w:val="22"/>
          <w:lang w:val="en-US" w:eastAsia="zh-CN"/>
        </w:rPr>
        <w:t>分项报价均超出</w:t>
      </w:r>
      <w:r>
        <w:rPr>
          <w:rFonts w:ascii="宋体" w:hAnsi="宋体" w:eastAsia="宋体"/>
          <w:color w:val="000000"/>
          <w:sz w:val="22"/>
        </w:rPr>
        <w:t>分项预算的，本次招标该标项做流标处理。</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3.6、评标委员会对投标供应商报价文件评审时发现价格、数量有误，其投标价将按下述原则处理：</w:t>
      </w:r>
    </w:p>
    <w:p>
      <w:pPr>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1）任何有漏去一些小项货物或服务的投标将被视为其费用已包含在投标总价中，投标价格不予调整。</w:t>
      </w:r>
    </w:p>
    <w:p>
      <w:pPr>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2）任何有多报一些小项工程或货物的投标其投标价不予调整，如果该投标供应商中标，则合同价格必须为核减掉多报的一些小项工程或货物后的价格。</w:t>
      </w:r>
    </w:p>
    <w:p>
      <w:pPr>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3）</w:t>
      </w:r>
      <w:r>
        <w:rPr>
          <w:rFonts w:hint="eastAsia" w:ascii="宋体" w:hAnsi="宋体" w:eastAsia="宋体"/>
          <w:b w:val="0"/>
          <w:color w:val="000000"/>
          <w:sz w:val="22"/>
        </w:rPr>
        <w:t>对于计算错误的其投标价不予调整，如果该投标供应商中标，如其投标价格计算错误导致多报者合同价格予以据实核减，少报者合同价格不予调整。</w:t>
      </w:r>
    </w:p>
    <w:p>
      <w:pPr>
        <w:pStyle w:val="25"/>
        <w:snapToGrid w:val="0"/>
        <w:spacing w:line="460" w:lineRule="exact"/>
        <w:ind w:firstLine="431" w:firstLineChars="196"/>
        <w:rPr>
          <w:rFonts w:hint="default" w:ascii="宋体" w:hAnsi="宋体" w:eastAsia="宋体"/>
          <w:b w:val="0"/>
          <w:color w:val="000000"/>
          <w:sz w:val="22"/>
        </w:rPr>
      </w:pPr>
      <w:r>
        <w:rPr>
          <w:rFonts w:ascii="宋体" w:hAnsi="宋体" w:eastAsia="宋体"/>
          <w:b w:val="0"/>
          <w:color w:val="000000"/>
          <w:sz w:val="22"/>
        </w:rPr>
        <w:t>4）对于计算错误，多报或漏报的一些小项工程或货物、服务的仅仅为非实质性重大偏差范围内的偏离，并经过评标委员会按少数服从多数原则认定为细微偏差，评审时其投标价不予调整。</w:t>
      </w:r>
    </w:p>
    <w:p>
      <w:pPr>
        <w:pStyle w:val="25"/>
        <w:snapToGrid w:val="0"/>
        <w:spacing w:line="460" w:lineRule="exact"/>
        <w:ind w:firstLine="431" w:firstLineChars="196"/>
        <w:rPr>
          <w:rFonts w:hint="default" w:ascii="宋体" w:hAnsi="宋体" w:eastAsia="宋体"/>
          <w:b w:val="0"/>
          <w:color w:val="000000"/>
          <w:sz w:val="22"/>
        </w:rPr>
      </w:pPr>
      <w:r>
        <w:rPr>
          <w:rFonts w:ascii="宋体" w:hAnsi="宋体" w:eastAsia="宋体"/>
          <w:b w:val="0"/>
          <w:color w:val="000000"/>
          <w:sz w:val="22"/>
        </w:rPr>
        <w:t>5）</w:t>
      </w:r>
      <w:r>
        <w:rPr>
          <w:rFonts w:ascii="宋体" w:hAnsi="宋体" w:eastAsia="宋体"/>
          <w:color w:val="000000"/>
          <w:sz w:val="22"/>
        </w:rPr>
        <w:t>供应商不接受上述处理方式，将按无效投标处理</w:t>
      </w:r>
      <w:r>
        <w:rPr>
          <w:rFonts w:ascii="宋体" w:hAnsi="宋体" w:eastAsia="宋体"/>
          <w:b w:val="0"/>
          <w:color w:val="000000"/>
          <w:sz w:val="22"/>
        </w:rPr>
        <w:t>。</w:t>
      </w:r>
    </w:p>
    <w:p>
      <w:pPr>
        <w:snapToGrid w:val="0"/>
        <w:spacing w:line="460" w:lineRule="exact"/>
        <w:ind w:firstLine="440" w:firstLineChars="200"/>
        <w:rPr>
          <w:rFonts w:ascii="宋体" w:hAnsi="宋体" w:eastAsia="宋体"/>
          <w:color w:val="000000"/>
          <w:sz w:val="22"/>
        </w:rPr>
      </w:pPr>
      <w:r>
        <w:rPr>
          <w:rFonts w:hint="eastAsia" w:ascii="宋体" w:hAnsi="宋体" w:eastAsia="宋体"/>
          <w:b w:val="0"/>
          <w:color w:val="000000"/>
          <w:sz w:val="22"/>
        </w:rPr>
        <w:t>3</w:t>
      </w:r>
      <w:r>
        <w:rPr>
          <w:rFonts w:ascii="宋体" w:hAnsi="宋体" w:eastAsia="宋体"/>
          <w:b w:val="0"/>
          <w:color w:val="000000"/>
          <w:sz w:val="22"/>
        </w:rPr>
        <w:t>.</w:t>
      </w:r>
      <w:r>
        <w:rPr>
          <w:rFonts w:hint="eastAsia" w:ascii="宋体" w:hAnsi="宋体" w:eastAsia="宋体"/>
          <w:b w:val="0"/>
          <w:color w:val="000000"/>
          <w:sz w:val="22"/>
        </w:rPr>
        <w:t>7</w:t>
      </w:r>
      <w:r>
        <w:rPr>
          <w:rFonts w:hint="eastAsia" w:ascii="宋体" w:hAnsi="宋体" w:eastAsia="宋体"/>
          <w:color w:val="000000"/>
          <w:sz w:val="22"/>
        </w:rPr>
        <w:t>、▲</w:t>
      </w:r>
      <w:r>
        <w:rPr>
          <w:rFonts w:ascii="宋体" w:hAnsi="宋体" w:eastAsia="宋体"/>
          <w:color w:val="000000"/>
          <w:sz w:val="22"/>
        </w:rPr>
        <w:t>评标委员会认为投标</w:t>
      </w:r>
      <w:r>
        <w:rPr>
          <w:rFonts w:hint="eastAsia" w:ascii="宋体" w:hAnsi="宋体" w:eastAsia="宋体"/>
          <w:color w:val="000000"/>
          <w:sz w:val="22"/>
        </w:rPr>
        <w:t>供应商</w:t>
      </w:r>
      <w:r>
        <w:rPr>
          <w:rFonts w:ascii="宋体" w:hAnsi="宋体" w:eastAsia="宋体"/>
          <w:color w:val="000000"/>
          <w:sz w:val="22"/>
        </w:rPr>
        <w:t>的报价明显低于其他通过符合性审查投标</w:t>
      </w:r>
      <w:r>
        <w:rPr>
          <w:rFonts w:hint="eastAsia" w:ascii="宋体" w:hAnsi="宋体" w:eastAsia="宋体"/>
          <w:color w:val="000000"/>
          <w:sz w:val="22"/>
        </w:rPr>
        <w:t>供应商</w:t>
      </w:r>
      <w:r>
        <w:rPr>
          <w:rFonts w:ascii="宋体" w:hAnsi="宋体" w:eastAsia="宋体"/>
          <w:color w:val="000000"/>
          <w:sz w:val="22"/>
        </w:rPr>
        <w:t>的报价，有可能影响产品质量或者不能诚信履约的，应当要求其在合理的时间内提供书面说明，必要时提交相关证明材料；投标</w:t>
      </w:r>
      <w:r>
        <w:rPr>
          <w:rFonts w:hint="eastAsia" w:ascii="宋体" w:hAnsi="宋体" w:eastAsia="宋体"/>
          <w:color w:val="000000"/>
          <w:sz w:val="22"/>
        </w:rPr>
        <w:t>供应商</w:t>
      </w:r>
      <w:r>
        <w:rPr>
          <w:rFonts w:ascii="宋体" w:hAnsi="宋体" w:eastAsia="宋体"/>
          <w:color w:val="000000"/>
          <w:sz w:val="22"/>
        </w:rPr>
        <w:t>不能证明其报价合理性的，评标委员会应当将其作为无效投标处理。</w:t>
      </w:r>
    </w:p>
    <w:p>
      <w:pPr>
        <w:snapToGrid w:val="0"/>
        <w:spacing w:line="460" w:lineRule="exact"/>
        <w:ind w:firstLine="440" w:firstLineChars="200"/>
        <w:rPr>
          <w:rFonts w:ascii="宋体" w:hAnsi="宋体" w:eastAsia="宋体" w:cs="黑体"/>
          <w:color w:val="000000"/>
          <w:sz w:val="22"/>
        </w:rPr>
      </w:pPr>
      <w:r>
        <w:rPr>
          <w:rFonts w:hint="eastAsia" w:ascii="宋体" w:hAnsi="宋体" w:eastAsia="宋体"/>
          <w:b w:val="0"/>
          <w:color w:val="000000"/>
          <w:sz w:val="22"/>
        </w:rPr>
        <w:t>3.8、</w:t>
      </w:r>
      <w:r>
        <w:rPr>
          <w:rFonts w:hint="eastAsia" w:ascii="宋体" w:hAnsi="宋体" w:eastAsia="宋体" w:cs="黑体"/>
          <w:color w:val="000000"/>
          <w:sz w:val="22"/>
        </w:rPr>
        <w:t>评标过程中遇到特殊情况，由评标委员会遵循公开、公正原则，采取投票方式按照少数服从多数原则决定。</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3.9、实质上没有响应招标文件要求的投标将被拒绝。评标委员会不得通过询标使投标供应商修正或撤消不合要求的偏离从而使其投标成为实质上响应的投标。</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3.10、评标委员会对投标文件的判定，只依据投标内容本身，不依靠开标后的任何外来证明。</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3.11、评标委员会在评标中，不得改变招标文件中规定的评标标准、方法和中标条件。</w:t>
      </w:r>
    </w:p>
    <w:p>
      <w:pPr>
        <w:snapToGrid w:val="0"/>
        <w:spacing w:line="460" w:lineRule="exact"/>
        <w:ind w:firstLine="440" w:firstLineChars="200"/>
        <w:rPr>
          <w:rFonts w:ascii="宋体" w:hAnsi="宋体" w:eastAsia="宋体"/>
          <w:color w:val="000000"/>
          <w:sz w:val="22"/>
        </w:rPr>
      </w:pPr>
      <w:r>
        <w:rPr>
          <w:rFonts w:hint="eastAsia" w:ascii="宋体" w:hAnsi="宋体" w:eastAsia="宋体"/>
          <w:b w:val="0"/>
          <w:color w:val="000000"/>
          <w:sz w:val="22"/>
        </w:rPr>
        <w:t>3</w:t>
      </w:r>
      <w:r>
        <w:rPr>
          <w:rFonts w:ascii="宋体" w:hAnsi="宋体" w:eastAsia="宋体"/>
          <w:b w:val="0"/>
          <w:color w:val="000000"/>
          <w:sz w:val="22"/>
        </w:rPr>
        <w:t>.</w:t>
      </w:r>
      <w:r>
        <w:rPr>
          <w:rFonts w:hint="eastAsia" w:ascii="宋体" w:hAnsi="宋体" w:eastAsia="宋体"/>
          <w:b w:val="0"/>
          <w:color w:val="000000"/>
          <w:sz w:val="22"/>
        </w:rPr>
        <w:t>12、</w:t>
      </w:r>
      <w:r>
        <w:rPr>
          <w:rFonts w:ascii="宋体" w:hAnsi="宋体" w:eastAsia="宋体"/>
          <w:color w:val="000000"/>
          <w:sz w:val="22"/>
        </w:rPr>
        <w:t>评标委员会对未中标的供应商不作解释。</w:t>
      </w:r>
    </w:p>
    <w:p>
      <w:pPr>
        <w:snapToGrid w:val="0"/>
        <w:spacing w:line="460" w:lineRule="exact"/>
        <w:ind w:firstLine="440" w:firstLineChars="200"/>
        <w:rPr>
          <w:rFonts w:ascii="宋体" w:hAnsi="宋体" w:eastAsia="宋体"/>
          <w:b w:val="0"/>
          <w:color w:val="000000"/>
          <w:sz w:val="22"/>
        </w:rPr>
      </w:pPr>
      <w:r>
        <w:rPr>
          <w:rFonts w:ascii="宋体" w:hAnsi="宋体" w:eastAsia="宋体"/>
          <w:b w:val="0"/>
          <w:color w:val="000000"/>
          <w:sz w:val="22"/>
        </w:rPr>
        <w:t>4、投标文件的澄清</w:t>
      </w:r>
    </w:p>
    <w:p>
      <w:pPr>
        <w:snapToGrid w:val="0"/>
        <w:spacing w:line="460" w:lineRule="exact"/>
        <w:ind w:firstLine="442" w:firstLineChars="200"/>
        <w:rPr>
          <w:rFonts w:ascii="宋体" w:hAnsi="宋体" w:eastAsia="宋体"/>
          <w:color w:val="000000"/>
          <w:sz w:val="22"/>
        </w:rPr>
      </w:pPr>
      <w:r>
        <w:rPr>
          <w:rFonts w:hint="eastAsia" w:ascii="宋体" w:hAnsi="宋体" w:eastAsia="宋体"/>
          <w:color w:val="000000"/>
          <w:sz w:val="22"/>
        </w:rPr>
        <w:t>4.1、为有利于对投标文件的比较和评议，必要时评标委员会可要求投标供应商对投标文件相关事宜进行澄清。评标委员会将通过“政府采购云平台”在线询标的形式要求</w:t>
      </w:r>
      <w:r>
        <w:rPr>
          <w:rFonts w:ascii="宋体" w:hAnsi="宋体" w:eastAsia="宋体"/>
          <w:color w:val="000000"/>
          <w:sz w:val="22"/>
        </w:rPr>
        <w:t>投标供应商</w:t>
      </w:r>
      <w:r>
        <w:rPr>
          <w:rFonts w:hint="eastAsia" w:ascii="宋体" w:hAnsi="宋体" w:eastAsia="宋体"/>
          <w:color w:val="000000"/>
          <w:sz w:val="22"/>
        </w:rPr>
        <w:t>在规定的时间内作出必要的澄清、说明，供投标供应商澄清、说明时间不少于30分钟，投标供应商未在规定的时间内作出必要的澄清、说明可能导致对其不利的评定。</w:t>
      </w:r>
    </w:p>
    <w:p>
      <w:pPr>
        <w:snapToGrid w:val="0"/>
        <w:spacing w:line="460" w:lineRule="exact"/>
        <w:ind w:firstLine="442" w:firstLineChars="200"/>
        <w:rPr>
          <w:rFonts w:ascii="宋体" w:hAnsi="宋体" w:eastAsia="宋体"/>
          <w:color w:val="000000"/>
        </w:rPr>
      </w:pPr>
      <w:r>
        <w:rPr>
          <w:rFonts w:hint="eastAsia" w:ascii="宋体" w:hAnsi="宋体" w:eastAsia="宋体"/>
          <w:color w:val="000000"/>
          <w:sz w:val="22"/>
        </w:rPr>
        <w:t>4.2、</w:t>
      </w:r>
      <w:r>
        <w:rPr>
          <w:rFonts w:ascii="宋体" w:hAnsi="宋体" w:eastAsia="宋体"/>
          <w:color w:val="000000"/>
          <w:sz w:val="22"/>
        </w:rPr>
        <w:t>投标供应商</w:t>
      </w:r>
      <w:r>
        <w:rPr>
          <w:rFonts w:hint="eastAsia" w:ascii="宋体" w:hAnsi="宋体" w:eastAsia="宋体"/>
          <w:color w:val="000000"/>
          <w:sz w:val="22"/>
        </w:rPr>
        <w:t>的澄清、说明应当通过“政府采购云平台”在线答复形式提交。</w:t>
      </w:r>
      <w:r>
        <w:rPr>
          <w:rFonts w:ascii="宋体" w:hAnsi="宋体" w:eastAsia="宋体"/>
          <w:color w:val="000000"/>
          <w:sz w:val="22"/>
        </w:rPr>
        <w:t>投标供应商</w:t>
      </w:r>
      <w:r>
        <w:rPr>
          <w:rFonts w:hint="eastAsia" w:ascii="宋体" w:hAnsi="宋体" w:eastAsia="宋体"/>
          <w:color w:val="000000"/>
          <w:sz w:val="22"/>
        </w:rPr>
        <w:t>的澄清、说明不得超出投标文件的范围或者改变投标文件的实质性内容。</w:t>
      </w:r>
    </w:p>
    <w:p>
      <w:pPr>
        <w:snapToGrid w:val="0"/>
        <w:spacing w:line="460" w:lineRule="exact"/>
        <w:ind w:firstLine="440" w:firstLineChars="200"/>
        <w:rPr>
          <w:rFonts w:ascii="宋体" w:hAnsi="宋体" w:eastAsia="宋体"/>
          <w:color w:val="000000"/>
          <w:sz w:val="22"/>
        </w:rPr>
      </w:pPr>
      <w:r>
        <w:rPr>
          <w:rFonts w:hint="eastAsia" w:ascii="宋体" w:hAnsi="宋体" w:eastAsia="宋体"/>
          <w:b w:val="0"/>
          <w:color w:val="000000"/>
          <w:sz w:val="22"/>
        </w:rPr>
        <w:t>5</w:t>
      </w:r>
      <w:r>
        <w:rPr>
          <w:rFonts w:ascii="宋体" w:hAnsi="宋体" w:eastAsia="宋体"/>
          <w:b w:val="0"/>
          <w:color w:val="000000"/>
          <w:sz w:val="22"/>
        </w:rPr>
        <w:t>、</w:t>
      </w:r>
      <w:r>
        <w:rPr>
          <w:rFonts w:ascii="宋体" w:hAnsi="宋体" w:eastAsia="宋体"/>
          <w:color w:val="000000"/>
          <w:sz w:val="22"/>
        </w:rPr>
        <w:t>有下列情形之一的，视为投标供应商相互串通投标：</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5</w:t>
      </w:r>
      <w:r>
        <w:rPr>
          <w:rFonts w:ascii="宋体" w:hAnsi="宋体" w:eastAsia="宋体"/>
          <w:b w:val="0"/>
          <w:color w:val="000000"/>
          <w:sz w:val="22"/>
        </w:rPr>
        <w:t>.1不同投标供应商的投标文件由同一单位或者个人编制；</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5</w:t>
      </w:r>
      <w:r>
        <w:rPr>
          <w:rFonts w:ascii="宋体" w:hAnsi="宋体" w:eastAsia="宋体"/>
          <w:b w:val="0"/>
          <w:color w:val="000000"/>
          <w:sz w:val="22"/>
        </w:rPr>
        <w:t>.2不同投标供应商委托同一单位或者个人办理投标事宜；</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5</w:t>
      </w:r>
      <w:r>
        <w:rPr>
          <w:rFonts w:ascii="宋体" w:hAnsi="宋体" w:eastAsia="宋体"/>
          <w:b w:val="0"/>
          <w:color w:val="000000"/>
          <w:sz w:val="22"/>
        </w:rPr>
        <w:t>.3不同投标供应商的投标文件载明的项目管理成员为同一人；</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5</w:t>
      </w:r>
      <w:r>
        <w:rPr>
          <w:rFonts w:ascii="宋体" w:hAnsi="宋体" w:eastAsia="宋体"/>
          <w:b w:val="0"/>
          <w:color w:val="000000"/>
          <w:sz w:val="22"/>
        </w:rPr>
        <w:t>.4不同投标供应商的投标文件异常一致或者投标报价呈规律性差异；</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5</w:t>
      </w:r>
      <w:r>
        <w:rPr>
          <w:rFonts w:ascii="宋体" w:hAnsi="宋体" w:eastAsia="宋体"/>
          <w:b w:val="0"/>
          <w:color w:val="000000"/>
          <w:sz w:val="22"/>
        </w:rPr>
        <w:t>.5不同投标供应商的投标文件相互混装；</w:t>
      </w:r>
    </w:p>
    <w:p>
      <w:pPr>
        <w:snapToGrid w:val="0"/>
        <w:spacing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6、</w:t>
      </w:r>
      <w:r>
        <w:rPr>
          <w:rFonts w:ascii="宋体" w:hAnsi="宋体" w:eastAsia="宋体"/>
          <w:b w:val="0"/>
          <w:color w:val="000000"/>
          <w:sz w:val="22"/>
        </w:rPr>
        <w:t>经评标委员会认定投标供应商进行串通投标的，评标委员会可以对相关投标供应商做出无效投标处理，并上报政府采购管理部门进行进一步处理。</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7、评标原则</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w:t>
      </w:r>
      <w:r>
        <w:rPr>
          <w:rFonts w:ascii="宋体" w:hAnsi="宋体" w:eastAsia="宋体"/>
          <w:color w:val="000000"/>
          <w:sz w:val="22"/>
        </w:rPr>
        <w:t>投标截止时或评审过程中有效投标供应商不足三家的，不予开标或评标。</w:t>
      </w:r>
    </w:p>
    <w:p>
      <w:pPr>
        <w:pStyle w:val="25"/>
        <w:snapToGrid w:val="0"/>
        <w:spacing w:line="460" w:lineRule="exact"/>
        <w:ind w:firstLine="440" w:firstLineChars="200"/>
        <w:rPr>
          <w:rFonts w:hint="default" w:ascii="宋体" w:hAnsi="宋体" w:eastAsia="宋体"/>
          <w:b w:val="0"/>
          <w:color w:val="000000"/>
          <w:sz w:val="22"/>
        </w:rPr>
      </w:pPr>
      <w:r>
        <w:rPr>
          <w:rFonts w:ascii="宋体" w:hAnsi="宋体" w:eastAsia="宋体"/>
          <w:b w:val="0"/>
          <w:color w:val="000000"/>
          <w:sz w:val="22"/>
        </w:rPr>
        <w:t>评标委员会按照招标文件的要求和条件对投标文件进行商务和技术评估，综合比较与评价。</w:t>
      </w:r>
      <w:r>
        <w:rPr>
          <w:rFonts w:ascii="宋体" w:hAnsi="宋体" w:eastAsia="宋体" w:cs="黑体"/>
          <w:b w:val="0"/>
          <w:color w:val="000000"/>
          <w:sz w:val="22"/>
        </w:rPr>
        <w:t>评标办法具体见本招标文件第七部分。</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8、可中止电子交易活动的情形</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采购过程中出现以下情形，导致电子交易平台无法正常运行，或者无法保证电子交易的公平、公正和安全时，采购组织机构可中止电子交易活动：</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1）电子交易平台发生故障而无法登录访问的；</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2）电子交易平台应用或数据库出现错误，不能进行正常操作的；</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3）电子交易平台发现严重安全漏洞，有潜在泄密危险的；</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4）病毒发作导致不能进行正常操作的；</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5）其他无法保证电子交易的公平、公正和安全的情况。</w:t>
      </w:r>
    </w:p>
    <w:p>
      <w:pPr>
        <w:pStyle w:val="25"/>
        <w:snapToGrid w:val="0"/>
        <w:spacing w:line="460" w:lineRule="exact"/>
        <w:ind w:firstLine="442" w:firstLineChars="200"/>
        <w:rPr>
          <w:rFonts w:hint="default" w:ascii="宋体" w:hAnsi="宋体" w:eastAsia="宋体"/>
          <w:color w:val="000000"/>
          <w:sz w:val="22"/>
        </w:rPr>
      </w:pPr>
      <w:r>
        <w:rPr>
          <w:rFonts w:ascii="宋体" w:hAnsi="宋体" w:eastAsia="宋体"/>
          <w:color w:val="000000"/>
          <w:sz w:val="22"/>
        </w:rPr>
        <w:t>出现前款规定情形，不影响采购公平、公正性的，采购组织机构可以待上述情形消除后继续组织电子交易活动；影响或可能影响采购公平、公正性的，应当重新采购。</w:t>
      </w:r>
    </w:p>
    <w:p>
      <w:pPr>
        <w:snapToGrid w:val="0"/>
        <w:spacing w:line="460" w:lineRule="exact"/>
        <w:ind w:firstLine="440" w:firstLineChars="200"/>
        <w:rPr>
          <w:rFonts w:ascii="宋体" w:hAnsi="宋体" w:eastAsia="宋体"/>
          <w:b w:val="0"/>
          <w:color w:val="000000"/>
          <w:sz w:val="22"/>
        </w:rPr>
      </w:pPr>
      <w:bookmarkStart w:id="54" w:name="_Toc132655778"/>
      <w:bookmarkStart w:id="55" w:name="_Toc132124596"/>
      <w:bookmarkStart w:id="56" w:name="_Toc132125985"/>
      <w:bookmarkStart w:id="57" w:name="_Toc132125576"/>
      <w:bookmarkStart w:id="58" w:name="_Toc132125097"/>
      <w:bookmarkStart w:id="59" w:name="_Toc132126156"/>
      <w:bookmarkStart w:id="60" w:name="_Toc132122418"/>
      <w:bookmarkStart w:id="61" w:name="_Toc132125153"/>
      <w:bookmarkStart w:id="62" w:name="_Toc132123441"/>
      <w:bookmarkStart w:id="63" w:name="_Toc132123636"/>
      <w:bookmarkStart w:id="64" w:name="_Toc132123883"/>
      <w:bookmarkStart w:id="65" w:name="_Toc132123840"/>
      <w:bookmarkStart w:id="66" w:name="_Toc132122121"/>
      <w:bookmarkStart w:id="67" w:name="_Toc132123549"/>
      <w:bookmarkStart w:id="68" w:name="_Toc132125039"/>
      <w:r>
        <w:rPr>
          <w:rFonts w:hint="eastAsia" w:ascii="宋体" w:hAnsi="宋体" w:eastAsia="宋体"/>
          <w:b w:val="0"/>
          <w:color w:val="000000"/>
          <w:sz w:val="22"/>
        </w:rPr>
        <w:t>六、授予合同</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1、中标条件</w:t>
      </w:r>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1）投标文件基本符合招标文件要求，能够最大限度满足招标文件中规定的各项综合评价标准；</w:t>
      </w:r>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2）投标供应商有很好的执行合同的能力；</w:t>
      </w:r>
      <w:bookmarkStart w:id="69" w:name="_Toc132122122"/>
      <w:bookmarkStart w:id="70" w:name="_Toc132122419"/>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3）投标供应商能够提供质量技术、商务经济占综合优势的产品及服务；</w:t>
      </w:r>
      <w:bookmarkEnd w:id="69"/>
      <w:bookmarkEnd w:id="70"/>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4）中标供应商商务报价为中标价，作为中标供应商与采购人签订合同的合同价。</w:t>
      </w:r>
    </w:p>
    <w:p>
      <w:pPr>
        <w:pStyle w:val="25"/>
        <w:snapToGrid w:val="0"/>
        <w:spacing w:line="460" w:lineRule="exact"/>
        <w:ind w:firstLine="442" w:firstLineChars="200"/>
        <w:outlineLvl w:val="1"/>
        <w:rPr>
          <w:rFonts w:hint="default" w:ascii="宋体" w:hAnsi="宋体" w:eastAsia="宋体"/>
          <w:b w:val="0"/>
          <w:color w:val="000000"/>
          <w:sz w:val="22"/>
        </w:rPr>
      </w:pPr>
      <w:r>
        <w:rPr>
          <w:rFonts w:ascii="宋体" w:hAnsi="宋体" w:eastAsia="宋体"/>
          <w:color w:val="000000"/>
          <w:sz w:val="22"/>
          <w:u w:val="single"/>
        </w:rPr>
        <w:t>采购代理机构将把中标通知书授予最佳投标者，但最低报价不是中标的唯一保证。</w:t>
      </w:r>
      <w:bookmarkStart w:id="71" w:name="_Toc132122420"/>
      <w:bookmarkStart w:id="72" w:name="_Toc132122123"/>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2、中标通知</w:t>
      </w:r>
      <w:bookmarkEnd w:id="71"/>
      <w:bookmarkEnd w:id="72"/>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2.1、采购人依法确认中标供应商后，采购代理机构在浙江政府采购网、乐清市公共资源交易网公告中标结果，同时发出中标通知书，中标公告期限为1个工作日。</w:t>
      </w:r>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2.2、中标通知书对采购单位和中标供应商具有法律约束力。中标通知书发出后，采购人改变中标结果或者中标供应商放弃中标的，应当承担法律责任。</w:t>
      </w:r>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2.3、中标无效</w:t>
      </w:r>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1）发现中标供应商资格无效或中标供应商放弃中标或拒绝与采购人签订合同的，按相关规定执行。</w:t>
      </w:r>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2）有《中华人民共和国政府采购法实施条例》第七十一条、第七十二条、第七十三条、第七十四条规定的违法行为之一，由政府采购监管部门依法处理。</w:t>
      </w:r>
    </w:p>
    <w:p>
      <w:pPr>
        <w:pStyle w:val="25"/>
        <w:snapToGrid w:val="0"/>
        <w:spacing w:line="460" w:lineRule="exact"/>
        <w:ind w:firstLine="440" w:firstLineChars="200"/>
        <w:outlineLvl w:val="1"/>
        <w:rPr>
          <w:rFonts w:hint="default" w:ascii="宋体" w:hAnsi="宋体" w:eastAsia="宋体"/>
          <w:b w:val="0"/>
          <w:color w:val="000000"/>
          <w:sz w:val="22"/>
        </w:rPr>
      </w:pPr>
      <w:bookmarkStart w:id="73" w:name="_Toc132122421"/>
      <w:bookmarkStart w:id="74" w:name="_Toc132122124"/>
      <w:r>
        <w:rPr>
          <w:rFonts w:ascii="宋体" w:hAnsi="宋体" w:eastAsia="宋体"/>
          <w:b w:val="0"/>
          <w:color w:val="000000"/>
          <w:sz w:val="22"/>
        </w:rPr>
        <w:t>3、签订合同</w:t>
      </w:r>
      <w:bookmarkEnd w:id="73"/>
      <w:bookmarkEnd w:id="74"/>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3.1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3.2、招标文件、中标供应商的投标文件及投标修改文件、评标过程中有关澄清文件及经双方签字的询标纪要和中标通知书均作为合同附件。</w:t>
      </w:r>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3.3、拒签合同的责任</w:t>
      </w:r>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中标供应商在规定时间内借故否认已经承诺的条件、拒签合同者，以投标违约处理，并赔偿采购人由此造成的直接经济损失；采购人重新组织招标的，所需费用由原中标供应商承担。</w:t>
      </w:r>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4、履约保证金</w:t>
      </w:r>
    </w:p>
    <w:p>
      <w:pPr>
        <w:pStyle w:val="25"/>
        <w:snapToGrid w:val="0"/>
        <w:spacing w:line="460" w:lineRule="exact"/>
        <w:ind w:firstLine="440" w:firstLineChars="200"/>
        <w:outlineLvl w:val="1"/>
        <w:rPr>
          <w:rFonts w:hint="default" w:ascii="宋体" w:hAnsi="宋体" w:eastAsia="宋体"/>
          <w:b w:val="0"/>
          <w:color w:val="000000"/>
          <w:sz w:val="22"/>
        </w:rPr>
      </w:pPr>
      <w:r>
        <w:rPr>
          <w:rFonts w:ascii="宋体" w:hAnsi="宋体" w:eastAsia="宋体"/>
          <w:b w:val="0"/>
          <w:color w:val="000000"/>
          <w:sz w:val="22"/>
        </w:rPr>
        <w:t>无</w:t>
      </w:r>
    </w:p>
    <w:p>
      <w:pPr>
        <w:snapToGrid w:val="0"/>
        <w:spacing w:line="460" w:lineRule="atLeast"/>
        <w:jc w:val="center"/>
        <w:rPr>
          <w:rFonts w:ascii="宋体" w:hAnsi="宋体" w:eastAsia="宋体"/>
          <w:b w:val="0"/>
          <w:color w:val="000000"/>
          <w:sz w:val="36"/>
        </w:rPr>
      </w:pPr>
      <w:bookmarkStart w:id="75" w:name="_Toc14766"/>
      <w:r>
        <w:rPr>
          <w:rFonts w:ascii="宋体" w:hAnsi="宋体" w:eastAsia="宋体"/>
          <w:color w:val="000000"/>
        </w:rPr>
        <w:br w:type="page"/>
      </w:r>
      <w:r>
        <w:rPr>
          <w:rFonts w:hint="eastAsia" w:ascii="宋体" w:hAnsi="宋体" w:eastAsia="宋体"/>
          <w:b w:val="0"/>
          <w:color w:val="000000"/>
          <w:sz w:val="36"/>
        </w:rPr>
        <w:t>第四部分   政府采购政策功能相关说明</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一、小、微企业（含监狱企业、残疾人福利性单位）扶持政策说明</w:t>
      </w:r>
    </w:p>
    <w:p>
      <w:pPr>
        <w:snapToGrid w:val="0"/>
        <w:spacing w:line="460" w:lineRule="atLeast"/>
        <w:ind w:firstLine="440" w:firstLineChars="200"/>
        <w:rPr>
          <w:rFonts w:ascii="宋体" w:hAnsi="宋体" w:eastAsia="宋体"/>
          <w:b w:val="0"/>
          <w:color w:val="000000"/>
          <w:sz w:val="22"/>
        </w:rPr>
      </w:pPr>
      <w:r>
        <w:rPr>
          <w:rFonts w:ascii="宋体" w:hAnsi="宋体" w:eastAsia="宋体"/>
          <w:b w:val="0"/>
          <w:color w:val="000000"/>
          <w:sz w:val="22"/>
        </w:rPr>
        <w:t>1</w:t>
      </w:r>
      <w:r>
        <w:rPr>
          <w:rFonts w:hint="eastAsia" w:ascii="宋体" w:hAnsi="宋体" w:eastAsia="宋体"/>
          <w:b w:val="0"/>
          <w:color w:val="000000"/>
          <w:sz w:val="22"/>
        </w:rPr>
        <w:t>、文件依据</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w:t>
      </w:r>
      <w:r>
        <w:rPr>
          <w:rFonts w:ascii="宋体" w:hAnsi="宋体" w:eastAsia="宋体"/>
          <w:b w:val="0"/>
          <w:color w:val="000000"/>
          <w:sz w:val="22"/>
        </w:rPr>
        <w:t>1</w:t>
      </w:r>
      <w:r>
        <w:rPr>
          <w:rFonts w:hint="eastAsia" w:ascii="宋体" w:hAnsi="宋体" w:eastAsia="宋体"/>
          <w:b w:val="0"/>
          <w:color w:val="000000"/>
          <w:sz w:val="22"/>
        </w:rPr>
        <w:t>）关于印发《政府采购促进中小企业发展管理办法》的通知（财库〔</w:t>
      </w:r>
      <w:r>
        <w:rPr>
          <w:rFonts w:ascii="宋体" w:hAnsi="宋体" w:eastAsia="宋体"/>
          <w:b w:val="0"/>
          <w:color w:val="000000"/>
          <w:sz w:val="22"/>
        </w:rPr>
        <w:t>2020</w:t>
      </w:r>
      <w:r>
        <w:rPr>
          <w:rFonts w:hint="eastAsia" w:ascii="宋体" w:hAnsi="宋体" w:eastAsia="宋体"/>
          <w:b w:val="0"/>
          <w:color w:val="000000"/>
          <w:sz w:val="22"/>
        </w:rPr>
        <w:t>〕</w:t>
      </w:r>
      <w:r>
        <w:rPr>
          <w:rFonts w:ascii="宋体" w:hAnsi="宋体" w:eastAsia="宋体"/>
          <w:b w:val="0"/>
          <w:color w:val="000000"/>
          <w:sz w:val="22"/>
        </w:rPr>
        <w:t>46</w:t>
      </w:r>
      <w:r>
        <w:rPr>
          <w:rFonts w:hint="eastAsia" w:ascii="宋体" w:hAnsi="宋体" w:eastAsia="宋体"/>
          <w:b w:val="0"/>
          <w:color w:val="000000"/>
          <w:sz w:val="22"/>
        </w:rPr>
        <w:t>号）</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w:t>
      </w:r>
      <w:r>
        <w:rPr>
          <w:rFonts w:ascii="宋体" w:hAnsi="宋体" w:eastAsia="宋体"/>
          <w:b w:val="0"/>
          <w:color w:val="000000"/>
          <w:sz w:val="22"/>
        </w:rPr>
        <w:t>2</w:t>
      </w:r>
      <w:r>
        <w:rPr>
          <w:rFonts w:hint="eastAsia" w:ascii="宋体" w:hAnsi="宋体" w:eastAsia="宋体"/>
          <w:b w:val="0"/>
          <w:color w:val="000000"/>
          <w:sz w:val="22"/>
        </w:rPr>
        <w:t>）浙江省省财政厅《关于开展政府采购供应商网上注册登记和诚信管理工作的通知》（浙财采监〔</w:t>
      </w:r>
      <w:r>
        <w:rPr>
          <w:rFonts w:ascii="宋体" w:hAnsi="宋体" w:eastAsia="宋体"/>
          <w:b w:val="0"/>
          <w:color w:val="000000"/>
          <w:sz w:val="22"/>
        </w:rPr>
        <w:t>2010</w:t>
      </w:r>
      <w:r>
        <w:rPr>
          <w:rFonts w:hint="eastAsia" w:ascii="宋体" w:hAnsi="宋体" w:eastAsia="宋体"/>
          <w:b w:val="0"/>
          <w:color w:val="000000"/>
          <w:sz w:val="22"/>
        </w:rPr>
        <w:t>〕</w:t>
      </w:r>
      <w:r>
        <w:rPr>
          <w:rFonts w:ascii="宋体" w:hAnsi="宋体" w:eastAsia="宋体"/>
          <w:b w:val="0"/>
          <w:color w:val="000000"/>
          <w:sz w:val="22"/>
        </w:rPr>
        <w:t>8</w:t>
      </w:r>
      <w:r>
        <w:rPr>
          <w:rFonts w:hint="eastAsia" w:ascii="宋体" w:hAnsi="宋体" w:eastAsia="宋体"/>
          <w:b w:val="0"/>
          <w:color w:val="000000"/>
          <w:sz w:val="22"/>
        </w:rPr>
        <w:t>号</w:t>
      </w:r>
      <w:r>
        <w:rPr>
          <w:rFonts w:ascii="宋体" w:hAnsi="宋体" w:eastAsia="宋体"/>
          <w:b w:val="0"/>
          <w:color w:val="000000"/>
          <w:sz w:val="22"/>
        </w:rPr>
        <w:t>)</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w:t>
      </w:r>
      <w:r>
        <w:rPr>
          <w:rFonts w:ascii="宋体" w:hAnsi="宋体" w:eastAsia="宋体"/>
          <w:b w:val="0"/>
          <w:color w:val="000000"/>
          <w:sz w:val="22"/>
        </w:rPr>
        <w:t>3</w:t>
      </w:r>
      <w:r>
        <w:rPr>
          <w:rFonts w:hint="eastAsia" w:ascii="宋体" w:hAnsi="宋体" w:eastAsia="宋体"/>
          <w:b w:val="0"/>
          <w:color w:val="000000"/>
          <w:sz w:val="22"/>
        </w:rPr>
        <w:t>）《工业和信息化部、国家统计局、国家发展和改革委员会、财政部关于印发中小企业划型标准规定的通知》（工信部联企业</w:t>
      </w:r>
      <w:r>
        <w:rPr>
          <w:rFonts w:ascii="宋体" w:hAnsi="宋体" w:eastAsia="宋体"/>
          <w:b w:val="0"/>
          <w:color w:val="000000"/>
          <w:sz w:val="22"/>
        </w:rPr>
        <w:t>[2011]300</w:t>
      </w:r>
      <w:r>
        <w:rPr>
          <w:rFonts w:hint="eastAsia" w:ascii="宋体" w:hAnsi="宋体" w:eastAsia="宋体"/>
          <w:b w:val="0"/>
          <w:color w:val="000000"/>
          <w:sz w:val="22"/>
        </w:rPr>
        <w:t>号）</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w:t>
      </w:r>
      <w:r>
        <w:rPr>
          <w:rFonts w:ascii="宋体" w:hAnsi="宋体" w:eastAsia="宋体"/>
          <w:b w:val="0"/>
          <w:color w:val="000000"/>
          <w:sz w:val="22"/>
        </w:rPr>
        <w:t>4</w:t>
      </w:r>
      <w:r>
        <w:rPr>
          <w:rFonts w:hint="eastAsia" w:ascii="宋体" w:hAnsi="宋体" w:eastAsia="宋体"/>
          <w:b w:val="0"/>
          <w:color w:val="000000"/>
          <w:sz w:val="22"/>
        </w:rPr>
        <w:t>）财政部、司法部《关于政府采购支持监狱企业发展有关问题的通知》（财库〔</w:t>
      </w:r>
      <w:r>
        <w:rPr>
          <w:rFonts w:ascii="宋体" w:hAnsi="宋体" w:eastAsia="宋体"/>
          <w:b w:val="0"/>
          <w:color w:val="000000"/>
          <w:sz w:val="22"/>
        </w:rPr>
        <w:t>2014</w:t>
      </w:r>
      <w:r>
        <w:rPr>
          <w:rFonts w:hint="eastAsia" w:ascii="宋体" w:hAnsi="宋体" w:eastAsia="宋体"/>
          <w:b w:val="0"/>
          <w:color w:val="000000"/>
          <w:sz w:val="22"/>
        </w:rPr>
        <w:t>〕</w:t>
      </w:r>
      <w:r>
        <w:rPr>
          <w:rFonts w:ascii="宋体" w:hAnsi="宋体" w:eastAsia="宋体"/>
          <w:b w:val="0"/>
          <w:color w:val="000000"/>
          <w:sz w:val="22"/>
        </w:rPr>
        <w:t>68</w:t>
      </w:r>
      <w:r>
        <w:rPr>
          <w:rFonts w:hint="eastAsia" w:ascii="宋体" w:hAnsi="宋体" w:eastAsia="宋体"/>
          <w:b w:val="0"/>
          <w:color w:val="000000"/>
          <w:sz w:val="22"/>
        </w:rPr>
        <w:t>号）</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w:t>
      </w:r>
      <w:r>
        <w:rPr>
          <w:rFonts w:ascii="宋体" w:hAnsi="宋体" w:eastAsia="宋体"/>
          <w:b w:val="0"/>
          <w:color w:val="000000"/>
          <w:sz w:val="22"/>
        </w:rPr>
        <w:t>5</w:t>
      </w:r>
      <w:r>
        <w:rPr>
          <w:rFonts w:hint="eastAsia" w:ascii="宋体" w:hAnsi="宋体" w:eastAsia="宋体"/>
          <w:b w:val="0"/>
          <w:color w:val="000000"/>
          <w:sz w:val="22"/>
        </w:rPr>
        <w:t>）《财政部</w:t>
      </w:r>
      <w:r>
        <w:rPr>
          <w:rFonts w:ascii="宋体" w:hAnsi="宋体" w:eastAsia="宋体"/>
          <w:b w:val="0"/>
          <w:color w:val="000000"/>
          <w:sz w:val="22"/>
        </w:rPr>
        <w:t xml:space="preserve"> </w:t>
      </w:r>
      <w:r>
        <w:rPr>
          <w:rFonts w:hint="eastAsia" w:ascii="宋体" w:hAnsi="宋体" w:eastAsia="宋体"/>
          <w:b w:val="0"/>
          <w:color w:val="000000"/>
          <w:sz w:val="22"/>
        </w:rPr>
        <w:t>民政部</w:t>
      </w:r>
      <w:r>
        <w:rPr>
          <w:rFonts w:ascii="宋体" w:hAnsi="宋体" w:eastAsia="宋体"/>
          <w:b w:val="0"/>
          <w:color w:val="000000"/>
          <w:sz w:val="22"/>
        </w:rPr>
        <w:t xml:space="preserve"> </w:t>
      </w:r>
      <w:r>
        <w:rPr>
          <w:rFonts w:hint="eastAsia" w:ascii="宋体" w:hAnsi="宋体" w:eastAsia="宋体"/>
          <w:b w:val="0"/>
          <w:color w:val="000000"/>
          <w:sz w:val="22"/>
        </w:rPr>
        <w:t>中国残疾人联合会关于促进残疾人就业政府采购政策的通知》（财库〔</w:t>
      </w:r>
      <w:r>
        <w:rPr>
          <w:rFonts w:ascii="宋体" w:hAnsi="宋体" w:eastAsia="宋体"/>
          <w:b w:val="0"/>
          <w:color w:val="000000"/>
          <w:sz w:val="22"/>
        </w:rPr>
        <w:t>2017</w:t>
      </w:r>
      <w:r>
        <w:rPr>
          <w:rFonts w:hint="eastAsia" w:ascii="宋体" w:hAnsi="宋体" w:eastAsia="宋体"/>
          <w:b w:val="0"/>
          <w:color w:val="000000"/>
          <w:sz w:val="22"/>
        </w:rPr>
        <w:t>〕</w:t>
      </w:r>
      <w:r>
        <w:rPr>
          <w:rFonts w:ascii="宋体" w:hAnsi="宋体" w:eastAsia="宋体"/>
          <w:b w:val="0"/>
          <w:color w:val="000000"/>
          <w:sz w:val="22"/>
        </w:rPr>
        <w:t xml:space="preserve"> 141</w:t>
      </w:r>
      <w:r>
        <w:rPr>
          <w:rFonts w:hint="eastAsia" w:ascii="宋体" w:hAnsi="宋体" w:eastAsia="宋体"/>
          <w:b w:val="0"/>
          <w:color w:val="000000"/>
          <w:sz w:val="22"/>
        </w:rPr>
        <w:t>号）</w:t>
      </w:r>
    </w:p>
    <w:p>
      <w:pPr>
        <w:snapToGrid w:val="0"/>
        <w:spacing w:line="460" w:lineRule="atLeast"/>
        <w:ind w:firstLine="440" w:firstLineChars="200"/>
        <w:rPr>
          <w:rFonts w:ascii="宋体" w:hAnsi="宋体" w:eastAsia="宋体"/>
          <w:b w:val="0"/>
          <w:color w:val="000000"/>
          <w:sz w:val="22"/>
        </w:rPr>
      </w:pPr>
      <w:r>
        <w:rPr>
          <w:rFonts w:ascii="宋体" w:hAnsi="宋体" w:eastAsia="宋体"/>
          <w:b w:val="0"/>
          <w:color w:val="000000"/>
          <w:sz w:val="22"/>
        </w:rPr>
        <w:t>2</w:t>
      </w:r>
      <w:r>
        <w:rPr>
          <w:rFonts w:hint="eastAsia" w:ascii="宋体" w:hAnsi="宋体" w:eastAsia="宋体"/>
          <w:b w:val="0"/>
          <w:color w:val="000000"/>
          <w:sz w:val="22"/>
        </w:rPr>
        <w:t>、在政府采购活动中，供应商提供的货物、工程或者服务符合下列情形的，享受《政府采购促进中小企业发展管理办法》规定的中小企业扶持政策：</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（一）在货物采购项目中，货物由中小企业制造，即货物由中小企业生产且使用该中小企业商号或者注册商标；</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（二）在工程采购项目中，工程由中小企业承建，即工程施工单位为中小企业；</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（三）在服务采购项目中，服务由中小企业承接，即提供服务的人员为中小企业依照《中华人民共和国劳动合同法》订立劳动合同的从业人员。</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在货物采购项目中，供应商提供的货物既有中小企业制造货物，也有大型企业制造货物的，不享受本办法规定的中小企业扶持政策。</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以联合体形式参加政府采购活动，联合体各方均为中小企业的，联合体视同中小企业。其中，联合体各方均为小微企业的，联合体视同小微企业。</w:t>
      </w:r>
    </w:p>
    <w:p>
      <w:pPr>
        <w:snapToGrid w:val="0"/>
        <w:spacing w:line="460" w:lineRule="atLeast"/>
        <w:ind w:firstLine="440" w:firstLineChars="200"/>
        <w:rPr>
          <w:rFonts w:ascii="宋体" w:hAnsi="宋体" w:eastAsia="宋体"/>
          <w:b w:val="0"/>
          <w:color w:val="000000"/>
          <w:sz w:val="22"/>
        </w:rPr>
      </w:pPr>
      <w:r>
        <w:rPr>
          <w:rFonts w:ascii="宋体" w:hAnsi="宋体" w:eastAsia="宋体"/>
          <w:b w:val="0"/>
          <w:color w:val="000000"/>
          <w:sz w:val="22"/>
        </w:rPr>
        <w:t>3</w:t>
      </w:r>
      <w:r>
        <w:rPr>
          <w:rFonts w:hint="eastAsia" w:ascii="宋体" w:hAnsi="宋体" w:eastAsia="宋体"/>
          <w:b w:val="0"/>
          <w:color w:val="000000"/>
          <w:sz w:val="22"/>
        </w:rPr>
        <w:t>、投标供应商享受小微企业价格折扣应提供以下证明材料（放在报价文件中，不提供的不享受价格折扣）：</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w:t>
      </w:r>
      <w:r>
        <w:rPr>
          <w:rFonts w:ascii="宋体" w:hAnsi="宋体" w:eastAsia="宋体"/>
          <w:b w:val="0"/>
          <w:color w:val="000000"/>
          <w:sz w:val="22"/>
        </w:rPr>
        <w:t>1</w:t>
      </w:r>
      <w:r>
        <w:rPr>
          <w:rFonts w:hint="eastAsia" w:ascii="宋体" w:hAnsi="宋体" w:eastAsia="宋体"/>
          <w:b w:val="0"/>
          <w:color w:val="000000"/>
          <w:sz w:val="22"/>
        </w:rPr>
        <w:t>）《中小企业声明函》（原件，加盖供应商公章，格式见附件</w:t>
      </w:r>
      <w:r>
        <w:rPr>
          <w:rFonts w:ascii="宋体" w:hAnsi="宋体" w:eastAsia="宋体"/>
          <w:b w:val="0"/>
          <w:color w:val="000000"/>
          <w:sz w:val="22"/>
        </w:rPr>
        <w:t>1</w:t>
      </w:r>
      <w:r>
        <w:rPr>
          <w:rFonts w:hint="eastAsia" w:ascii="宋体" w:hAnsi="宋体" w:eastAsia="宋体"/>
          <w:b w:val="0"/>
          <w:color w:val="000000"/>
          <w:sz w:val="22"/>
        </w:rPr>
        <w:t>）；</w:t>
      </w:r>
    </w:p>
    <w:p>
      <w:pPr>
        <w:snapToGrid w:val="0"/>
        <w:spacing w:line="460" w:lineRule="atLeast"/>
        <w:ind w:firstLine="440" w:firstLineChars="200"/>
        <w:rPr>
          <w:rFonts w:ascii="宋体" w:hAnsi="宋体" w:eastAsia="宋体"/>
          <w:b w:val="0"/>
          <w:color w:val="000000"/>
          <w:sz w:val="22"/>
        </w:rPr>
      </w:pPr>
      <w:r>
        <w:rPr>
          <w:rFonts w:ascii="宋体" w:hAnsi="宋体" w:eastAsia="宋体"/>
          <w:b w:val="0"/>
          <w:color w:val="000000"/>
          <w:sz w:val="22"/>
        </w:rPr>
        <w:t>4</w:t>
      </w:r>
      <w:r>
        <w:rPr>
          <w:rFonts w:hint="eastAsia" w:ascii="宋体" w:hAnsi="宋体" w:eastAsia="宋体"/>
          <w:b w:val="0"/>
          <w:color w:val="000000"/>
          <w:sz w:val="22"/>
        </w:rPr>
        <w:t>、投标供应商享受监狱企业价格折扣应提供以下证明材料（放在报价文件中，不提供的不享受价格折扣）：</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w:t>
      </w:r>
      <w:r>
        <w:rPr>
          <w:rFonts w:ascii="宋体" w:hAnsi="宋体" w:eastAsia="宋体"/>
          <w:b w:val="0"/>
          <w:color w:val="000000"/>
          <w:sz w:val="22"/>
        </w:rPr>
        <w:t>1</w:t>
      </w:r>
      <w:r>
        <w:rPr>
          <w:rFonts w:hint="eastAsia" w:ascii="宋体" w:hAnsi="宋体" w:eastAsia="宋体"/>
          <w:b w:val="0"/>
          <w:color w:val="000000"/>
          <w:sz w:val="22"/>
        </w:rPr>
        <w:t>）监狱企业参加政府采购活动时，应当提供由省级及以上监狱管理局、戒毒管理局</w:t>
      </w:r>
      <w:r>
        <w:rPr>
          <w:rFonts w:ascii="宋体" w:hAnsi="宋体" w:eastAsia="宋体"/>
          <w:b w:val="0"/>
          <w:color w:val="000000"/>
          <w:sz w:val="22"/>
        </w:rPr>
        <w:t>(</w:t>
      </w:r>
      <w:r>
        <w:rPr>
          <w:rFonts w:hint="eastAsia" w:ascii="宋体" w:hAnsi="宋体" w:eastAsia="宋体"/>
          <w:b w:val="0"/>
          <w:color w:val="000000"/>
          <w:sz w:val="22"/>
        </w:rPr>
        <w:t>含新疆生产建设兵团</w:t>
      </w:r>
      <w:r>
        <w:rPr>
          <w:rFonts w:ascii="宋体" w:hAnsi="宋体" w:eastAsia="宋体"/>
          <w:b w:val="0"/>
          <w:color w:val="000000"/>
          <w:sz w:val="22"/>
        </w:rPr>
        <w:t>)</w:t>
      </w:r>
      <w:r>
        <w:rPr>
          <w:rFonts w:hint="eastAsia" w:ascii="宋体" w:hAnsi="宋体" w:eastAsia="宋体"/>
          <w:b w:val="0"/>
          <w:color w:val="000000"/>
          <w:sz w:val="22"/>
        </w:rPr>
        <w:t>出具的属于监狱企业的证明文件（扫描件加盖供应商公章）。在政府采购活动中，监狱企业视同小型、微型企业，享受评审中价格扣除政策。</w:t>
      </w:r>
    </w:p>
    <w:p>
      <w:pPr>
        <w:snapToGrid w:val="0"/>
        <w:spacing w:line="460" w:lineRule="atLeast"/>
        <w:ind w:firstLine="440" w:firstLineChars="200"/>
        <w:rPr>
          <w:rFonts w:ascii="宋体" w:hAnsi="宋体" w:eastAsia="宋体"/>
          <w:b w:val="0"/>
          <w:color w:val="000000"/>
          <w:sz w:val="22"/>
        </w:rPr>
      </w:pPr>
      <w:r>
        <w:rPr>
          <w:rFonts w:ascii="宋体" w:hAnsi="宋体" w:eastAsia="宋体"/>
          <w:b w:val="0"/>
          <w:color w:val="000000"/>
          <w:sz w:val="22"/>
        </w:rPr>
        <w:t>5</w:t>
      </w:r>
      <w:r>
        <w:rPr>
          <w:rFonts w:hint="eastAsia" w:ascii="宋体" w:hAnsi="宋体" w:eastAsia="宋体"/>
          <w:b w:val="0"/>
          <w:color w:val="000000"/>
          <w:sz w:val="22"/>
        </w:rPr>
        <w:t>、投标供应商享受残疾人福利性单位价格折扣应提供以下证明材料（放在报价文件中，不提供的不享受价格折扣）：</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w:t>
      </w:r>
      <w:r>
        <w:rPr>
          <w:rFonts w:ascii="宋体" w:hAnsi="宋体" w:eastAsia="宋体"/>
          <w:b w:val="0"/>
          <w:color w:val="000000"/>
          <w:sz w:val="22"/>
        </w:rPr>
        <w:t>1</w:t>
      </w:r>
      <w:r>
        <w:rPr>
          <w:rFonts w:hint="eastAsia" w:ascii="宋体" w:hAnsi="宋体" w:eastAsia="宋体"/>
          <w:b w:val="0"/>
          <w:color w:val="000000"/>
          <w:sz w:val="22"/>
        </w:rPr>
        <w:t>）残疾人福利性单位声明函（原件，加盖投标供应商公章，格式见附件</w:t>
      </w:r>
      <w:r>
        <w:rPr>
          <w:rFonts w:ascii="宋体" w:hAnsi="宋体" w:eastAsia="宋体"/>
          <w:b w:val="0"/>
          <w:color w:val="000000"/>
          <w:sz w:val="22"/>
        </w:rPr>
        <w:t>2</w:t>
      </w:r>
      <w:r>
        <w:rPr>
          <w:rFonts w:hint="eastAsia" w:ascii="宋体" w:hAnsi="宋体" w:eastAsia="宋体"/>
          <w:b w:val="0"/>
          <w:color w:val="000000"/>
          <w:sz w:val="22"/>
        </w:rPr>
        <w:t>。在政府采购活动中，残疾人福利性单位视同小型、微型企业，享受评审中价格扣除政策。</w:t>
      </w:r>
    </w:p>
    <w:p>
      <w:pPr>
        <w:snapToGrid w:val="0"/>
        <w:spacing w:line="460" w:lineRule="atLeast"/>
        <w:ind w:firstLine="440" w:firstLineChars="200"/>
        <w:rPr>
          <w:rFonts w:ascii="宋体" w:hAnsi="宋体" w:eastAsia="宋体"/>
          <w:b w:val="0"/>
          <w:color w:val="000000"/>
          <w:sz w:val="22"/>
        </w:rPr>
      </w:pPr>
      <w:r>
        <w:rPr>
          <w:rFonts w:ascii="宋体" w:hAnsi="宋体" w:eastAsia="宋体"/>
          <w:b w:val="0"/>
          <w:color w:val="000000"/>
          <w:sz w:val="22"/>
        </w:rPr>
        <w:t>6</w:t>
      </w:r>
      <w:r>
        <w:rPr>
          <w:rFonts w:hint="eastAsia" w:ascii="宋体" w:hAnsi="宋体" w:eastAsia="宋体"/>
          <w:b w:val="0"/>
          <w:color w:val="000000"/>
          <w:sz w:val="22"/>
        </w:rPr>
        <w:t>、</w:t>
      </w:r>
      <w:r>
        <w:rPr>
          <w:rFonts w:hint="eastAsia" w:ascii="宋体" w:hAnsi="宋体" w:eastAsia="宋体"/>
          <w:color w:val="000000"/>
          <w:sz w:val="22"/>
        </w:rPr>
        <w:t>非单一产品采购，无法核实（按响应文件资料）全部货物均为小微企业制造的或残疾人福利性单位提供其他制造商制造的货物且无法核实（按响应文件资料）制造商是否为残疾人福利性单位的，不享受价格折扣。</w:t>
      </w:r>
    </w:p>
    <w:p>
      <w:pPr>
        <w:spacing w:line="460" w:lineRule="atLeast"/>
        <w:rPr>
          <w:rFonts w:ascii="宋体" w:hAnsi="宋体" w:eastAsia="宋体"/>
          <w:b w:val="0"/>
          <w:color w:val="000000"/>
          <w:sz w:val="24"/>
        </w:rPr>
      </w:pPr>
      <w:r>
        <w:rPr>
          <w:rFonts w:ascii="宋体" w:hAnsi="宋体" w:eastAsia="宋体"/>
          <w:color w:val="000000"/>
        </w:rPr>
        <w:br w:type="page"/>
      </w:r>
    </w:p>
    <w:p>
      <w:pPr>
        <w:spacing w:line="460" w:lineRule="atLeast"/>
        <w:rPr>
          <w:rFonts w:ascii="宋体" w:hAnsi="宋体" w:eastAsia="宋体"/>
          <w:b w:val="0"/>
          <w:color w:val="000000"/>
          <w:sz w:val="24"/>
          <w:szCs w:val="24"/>
        </w:rPr>
      </w:pPr>
      <w:r>
        <w:rPr>
          <w:rFonts w:hint="eastAsia" w:ascii="宋体" w:hAnsi="宋体" w:eastAsia="宋体" w:cs="Courier New"/>
          <w:b w:val="0"/>
          <w:color w:val="000000"/>
          <w:sz w:val="24"/>
          <w:szCs w:val="24"/>
        </w:rPr>
        <w:t>附件1：</w:t>
      </w:r>
    </w:p>
    <w:p>
      <w:pPr>
        <w:spacing w:line="460" w:lineRule="atLeast"/>
        <w:jc w:val="center"/>
        <w:rPr>
          <w:rFonts w:ascii="宋体" w:hAnsi="宋体" w:eastAsia="宋体"/>
          <w:b w:val="0"/>
          <w:color w:val="000000"/>
          <w:sz w:val="24"/>
          <w:szCs w:val="24"/>
        </w:rPr>
      </w:pPr>
      <w:r>
        <w:rPr>
          <w:rFonts w:hint="eastAsia" w:ascii="宋体" w:hAnsi="宋体" w:eastAsia="宋体"/>
          <w:b w:val="0"/>
          <w:color w:val="000000"/>
          <w:sz w:val="24"/>
          <w:szCs w:val="24"/>
        </w:rPr>
        <w:t>中小企业声明函（货物）</w:t>
      </w:r>
    </w:p>
    <w:p>
      <w:pPr>
        <w:spacing w:line="460" w:lineRule="atLeast"/>
        <w:ind w:firstLine="720" w:firstLineChars="300"/>
        <w:rPr>
          <w:rFonts w:ascii="宋体" w:hAnsi="宋体" w:eastAsia="宋体"/>
          <w:b w:val="0"/>
          <w:color w:val="000000"/>
          <w:sz w:val="24"/>
          <w:szCs w:val="24"/>
        </w:rPr>
      </w:pPr>
      <w:r>
        <w:rPr>
          <w:rFonts w:hint="eastAsia" w:ascii="宋体" w:hAnsi="宋体" w:eastAsia="宋体"/>
          <w:b w:val="0"/>
          <w:color w:val="00000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460" w:lineRule="atLeast"/>
        <w:ind w:firstLine="720" w:firstLineChars="300"/>
        <w:rPr>
          <w:rFonts w:ascii="宋体" w:hAnsi="宋体" w:eastAsia="宋体"/>
          <w:b w:val="0"/>
          <w:color w:val="000000"/>
          <w:sz w:val="24"/>
          <w:szCs w:val="24"/>
        </w:rPr>
      </w:pPr>
      <w:r>
        <w:rPr>
          <w:rFonts w:hint="eastAsia" w:ascii="宋体" w:hAnsi="宋体" w:eastAsia="宋体"/>
          <w:b w:val="0"/>
          <w:color w:val="000000"/>
          <w:sz w:val="24"/>
          <w:szCs w:val="24"/>
        </w:rPr>
        <w:t>1.</w:t>
      </w:r>
      <w:r>
        <w:rPr>
          <w:rFonts w:hint="eastAsia" w:ascii="宋体" w:hAnsi="宋体" w:eastAsia="宋体"/>
          <w:b w:val="0"/>
          <w:color w:val="000000"/>
          <w:sz w:val="24"/>
          <w:szCs w:val="24"/>
          <w:u w:val="single"/>
        </w:rPr>
        <w:t>（标的名称）</w:t>
      </w:r>
      <w:r>
        <w:rPr>
          <w:rFonts w:hint="eastAsia" w:ascii="宋体" w:hAnsi="宋体" w:eastAsia="宋体"/>
          <w:b w:val="0"/>
          <w:color w:val="000000"/>
          <w:sz w:val="24"/>
          <w:szCs w:val="24"/>
        </w:rPr>
        <w:t xml:space="preserve"> ，属于</w:t>
      </w:r>
      <w:r>
        <w:rPr>
          <w:rFonts w:hint="eastAsia" w:ascii="宋体" w:hAnsi="宋体" w:eastAsia="宋体"/>
          <w:b w:val="0"/>
          <w:color w:val="000000"/>
          <w:sz w:val="24"/>
          <w:szCs w:val="24"/>
          <w:u w:val="single"/>
        </w:rPr>
        <w:t>（采购文件中明确的所属行业）</w:t>
      </w:r>
      <w:r>
        <w:rPr>
          <w:rFonts w:hint="eastAsia" w:ascii="宋体" w:hAnsi="宋体" w:eastAsia="宋体"/>
          <w:b w:val="0"/>
          <w:color w:val="000000"/>
          <w:sz w:val="24"/>
          <w:szCs w:val="24"/>
        </w:rPr>
        <w:t>行业；制造商为</w:t>
      </w:r>
      <w:r>
        <w:rPr>
          <w:rFonts w:hint="eastAsia" w:ascii="宋体" w:hAnsi="宋体" w:eastAsia="宋体"/>
          <w:b w:val="0"/>
          <w:color w:val="000000"/>
          <w:sz w:val="24"/>
          <w:szCs w:val="24"/>
          <w:u w:val="single"/>
        </w:rPr>
        <w:t>（企业名称）</w:t>
      </w:r>
      <w:r>
        <w:rPr>
          <w:rFonts w:hint="eastAsia" w:ascii="宋体" w:hAnsi="宋体" w:eastAsia="宋体"/>
          <w:b w:val="0"/>
          <w:color w:val="000000"/>
          <w:sz w:val="24"/>
          <w:szCs w:val="24"/>
        </w:rPr>
        <w:t>，从业人员</w:t>
      </w:r>
      <w:r>
        <w:rPr>
          <w:rFonts w:hint="eastAsia" w:ascii="宋体" w:hAnsi="宋体" w:eastAsia="宋体"/>
          <w:b w:val="0"/>
          <w:color w:val="000000"/>
          <w:sz w:val="24"/>
          <w:szCs w:val="24"/>
          <w:u w:val="single"/>
        </w:rPr>
        <w:t xml:space="preserve">     </w:t>
      </w:r>
      <w:r>
        <w:rPr>
          <w:rFonts w:hint="eastAsia" w:ascii="宋体" w:hAnsi="宋体" w:eastAsia="宋体"/>
          <w:b w:val="0"/>
          <w:color w:val="000000"/>
          <w:sz w:val="24"/>
          <w:szCs w:val="24"/>
        </w:rPr>
        <w:t>人，营业收入为</w:t>
      </w:r>
      <w:r>
        <w:rPr>
          <w:rFonts w:hint="eastAsia" w:ascii="宋体" w:hAnsi="宋体" w:eastAsia="宋体"/>
          <w:b w:val="0"/>
          <w:color w:val="000000"/>
          <w:sz w:val="24"/>
          <w:szCs w:val="24"/>
          <w:u w:val="single"/>
        </w:rPr>
        <w:t xml:space="preserve">    </w:t>
      </w:r>
      <w:r>
        <w:rPr>
          <w:rFonts w:hint="eastAsia" w:ascii="宋体" w:hAnsi="宋体" w:eastAsia="宋体"/>
          <w:b w:val="0"/>
          <w:color w:val="000000"/>
          <w:sz w:val="24"/>
          <w:szCs w:val="24"/>
        </w:rPr>
        <w:t>万元，资产总额为</w:t>
      </w:r>
      <w:r>
        <w:rPr>
          <w:rFonts w:hint="eastAsia" w:ascii="宋体" w:hAnsi="宋体" w:eastAsia="宋体"/>
          <w:b w:val="0"/>
          <w:color w:val="000000"/>
          <w:sz w:val="24"/>
          <w:szCs w:val="24"/>
          <w:u w:val="single"/>
        </w:rPr>
        <w:t xml:space="preserve">     </w:t>
      </w:r>
      <w:r>
        <w:rPr>
          <w:rFonts w:hint="eastAsia" w:ascii="宋体" w:hAnsi="宋体" w:eastAsia="宋体"/>
          <w:b w:val="0"/>
          <w:color w:val="000000"/>
          <w:sz w:val="24"/>
          <w:szCs w:val="24"/>
        </w:rPr>
        <w:t>万元</w:t>
      </w:r>
      <w:r>
        <w:rPr>
          <w:rFonts w:hint="eastAsia" w:ascii="宋体" w:hAnsi="宋体" w:eastAsia="宋体"/>
          <w:b w:val="0"/>
          <w:color w:val="000000"/>
          <w:sz w:val="24"/>
          <w:szCs w:val="24"/>
          <w:vertAlign w:val="superscript"/>
        </w:rPr>
        <w:t>1</w:t>
      </w:r>
      <w:r>
        <w:rPr>
          <w:rFonts w:hint="eastAsia" w:ascii="宋体" w:hAnsi="宋体" w:eastAsia="宋体"/>
          <w:b w:val="0"/>
          <w:color w:val="000000"/>
          <w:sz w:val="24"/>
          <w:szCs w:val="24"/>
        </w:rPr>
        <w:t>，属于</w:t>
      </w:r>
      <w:r>
        <w:rPr>
          <w:rFonts w:hint="eastAsia" w:ascii="宋体" w:hAnsi="宋体" w:eastAsia="宋体"/>
          <w:b w:val="0"/>
          <w:color w:val="000000"/>
          <w:sz w:val="24"/>
          <w:szCs w:val="24"/>
          <w:u w:val="single"/>
        </w:rPr>
        <w:t xml:space="preserve">   （中型企业、小型企业、微型企业）</w:t>
      </w:r>
      <w:r>
        <w:rPr>
          <w:rFonts w:hint="eastAsia" w:ascii="宋体" w:hAnsi="宋体" w:eastAsia="宋体"/>
          <w:b w:val="0"/>
          <w:color w:val="000000"/>
          <w:sz w:val="24"/>
          <w:szCs w:val="24"/>
        </w:rPr>
        <w:t>；</w:t>
      </w:r>
    </w:p>
    <w:p>
      <w:pPr>
        <w:spacing w:line="460" w:lineRule="atLeast"/>
        <w:ind w:firstLine="720" w:firstLineChars="300"/>
        <w:rPr>
          <w:rFonts w:ascii="宋体" w:hAnsi="宋体" w:eastAsia="宋体"/>
          <w:b w:val="0"/>
          <w:color w:val="000000"/>
          <w:sz w:val="24"/>
          <w:szCs w:val="24"/>
        </w:rPr>
      </w:pPr>
      <w:r>
        <w:rPr>
          <w:rFonts w:hint="eastAsia" w:ascii="宋体" w:hAnsi="宋体" w:eastAsia="宋体"/>
          <w:b w:val="0"/>
          <w:color w:val="000000"/>
          <w:sz w:val="24"/>
          <w:szCs w:val="24"/>
        </w:rPr>
        <w:t>2.</w:t>
      </w:r>
      <w:r>
        <w:rPr>
          <w:rFonts w:hint="eastAsia" w:ascii="宋体" w:hAnsi="宋体" w:eastAsia="宋体"/>
          <w:b w:val="0"/>
          <w:color w:val="000000"/>
          <w:sz w:val="24"/>
          <w:szCs w:val="24"/>
          <w:u w:val="single"/>
        </w:rPr>
        <w:t xml:space="preserve">（标的名称） </w:t>
      </w:r>
      <w:r>
        <w:rPr>
          <w:rFonts w:hint="eastAsia" w:ascii="宋体" w:hAnsi="宋体" w:eastAsia="宋体"/>
          <w:b w:val="0"/>
          <w:color w:val="000000"/>
          <w:sz w:val="24"/>
          <w:szCs w:val="24"/>
        </w:rPr>
        <w:t>，属于</w:t>
      </w:r>
      <w:r>
        <w:rPr>
          <w:rFonts w:hint="eastAsia" w:ascii="宋体" w:hAnsi="宋体" w:eastAsia="宋体"/>
          <w:b w:val="0"/>
          <w:color w:val="000000"/>
          <w:sz w:val="24"/>
          <w:szCs w:val="24"/>
          <w:u w:val="single"/>
        </w:rPr>
        <w:t>（采购文件中明确的所属行业）</w:t>
      </w:r>
      <w:r>
        <w:rPr>
          <w:rFonts w:hint="eastAsia" w:ascii="宋体" w:hAnsi="宋体" w:eastAsia="宋体"/>
          <w:b w:val="0"/>
          <w:color w:val="000000"/>
          <w:sz w:val="24"/>
          <w:szCs w:val="24"/>
        </w:rPr>
        <w:t>行业；制造商为</w:t>
      </w:r>
      <w:r>
        <w:rPr>
          <w:rFonts w:hint="eastAsia" w:ascii="宋体" w:hAnsi="宋体" w:eastAsia="宋体"/>
          <w:b w:val="0"/>
          <w:color w:val="000000"/>
          <w:sz w:val="24"/>
          <w:szCs w:val="24"/>
          <w:u w:val="single"/>
        </w:rPr>
        <w:t>（企业名称）</w:t>
      </w:r>
      <w:r>
        <w:rPr>
          <w:rFonts w:hint="eastAsia" w:ascii="宋体" w:hAnsi="宋体" w:eastAsia="宋体"/>
          <w:b w:val="0"/>
          <w:color w:val="000000"/>
          <w:sz w:val="24"/>
          <w:szCs w:val="24"/>
        </w:rPr>
        <w:t>，从业人员</w:t>
      </w:r>
      <w:r>
        <w:rPr>
          <w:rFonts w:hint="eastAsia" w:ascii="宋体" w:hAnsi="宋体" w:eastAsia="宋体"/>
          <w:b w:val="0"/>
          <w:color w:val="000000"/>
          <w:sz w:val="24"/>
          <w:szCs w:val="24"/>
          <w:u w:val="single"/>
        </w:rPr>
        <w:t xml:space="preserve">   </w:t>
      </w:r>
      <w:r>
        <w:rPr>
          <w:rFonts w:hint="eastAsia" w:ascii="宋体" w:hAnsi="宋体" w:eastAsia="宋体"/>
          <w:b w:val="0"/>
          <w:color w:val="000000"/>
          <w:sz w:val="24"/>
          <w:szCs w:val="24"/>
        </w:rPr>
        <w:t>人，营业收入为</w:t>
      </w:r>
      <w:r>
        <w:rPr>
          <w:rFonts w:hint="eastAsia" w:ascii="宋体" w:hAnsi="宋体" w:eastAsia="宋体"/>
          <w:b w:val="0"/>
          <w:color w:val="000000"/>
          <w:sz w:val="24"/>
          <w:szCs w:val="24"/>
          <w:u w:val="single"/>
        </w:rPr>
        <w:t xml:space="preserve">     </w:t>
      </w:r>
      <w:r>
        <w:rPr>
          <w:rFonts w:hint="eastAsia" w:ascii="宋体" w:hAnsi="宋体" w:eastAsia="宋体"/>
          <w:b w:val="0"/>
          <w:color w:val="000000"/>
          <w:sz w:val="24"/>
          <w:szCs w:val="24"/>
        </w:rPr>
        <w:t>万元，资产总额为</w:t>
      </w:r>
      <w:r>
        <w:rPr>
          <w:rFonts w:hint="eastAsia" w:ascii="宋体" w:hAnsi="宋体" w:eastAsia="宋体"/>
          <w:b w:val="0"/>
          <w:color w:val="000000"/>
          <w:sz w:val="24"/>
          <w:szCs w:val="24"/>
          <w:u w:val="single"/>
        </w:rPr>
        <w:t xml:space="preserve">       </w:t>
      </w:r>
      <w:r>
        <w:rPr>
          <w:rFonts w:hint="eastAsia" w:ascii="宋体" w:hAnsi="宋体" w:eastAsia="宋体"/>
          <w:b w:val="0"/>
          <w:color w:val="000000"/>
          <w:sz w:val="24"/>
          <w:szCs w:val="24"/>
        </w:rPr>
        <w:t>万元，属于</w:t>
      </w:r>
      <w:r>
        <w:rPr>
          <w:rFonts w:hint="eastAsia" w:ascii="宋体" w:hAnsi="宋体" w:eastAsia="宋体"/>
          <w:b w:val="0"/>
          <w:color w:val="000000"/>
          <w:sz w:val="24"/>
          <w:szCs w:val="24"/>
          <w:u w:val="single"/>
        </w:rPr>
        <w:t xml:space="preserve">        （中型企业、小型企业、微型企业）</w:t>
      </w:r>
      <w:r>
        <w:rPr>
          <w:rFonts w:hint="eastAsia" w:ascii="宋体" w:hAnsi="宋体" w:eastAsia="宋体"/>
          <w:b w:val="0"/>
          <w:color w:val="000000"/>
          <w:sz w:val="24"/>
          <w:szCs w:val="24"/>
        </w:rPr>
        <w:t>；</w:t>
      </w:r>
    </w:p>
    <w:p>
      <w:pPr>
        <w:spacing w:line="460" w:lineRule="atLeast"/>
        <w:ind w:firstLine="720" w:firstLineChars="300"/>
        <w:rPr>
          <w:rFonts w:ascii="宋体" w:hAnsi="宋体" w:eastAsia="宋体"/>
          <w:b w:val="0"/>
          <w:color w:val="000000"/>
          <w:sz w:val="24"/>
          <w:szCs w:val="24"/>
        </w:rPr>
      </w:pPr>
      <w:r>
        <w:rPr>
          <w:rFonts w:hint="eastAsia" w:ascii="宋体" w:hAnsi="宋体" w:eastAsia="宋体"/>
          <w:b w:val="0"/>
          <w:color w:val="000000"/>
          <w:sz w:val="24"/>
          <w:szCs w:val="24"/>
        </w:rPr>
        <w:t>……</w:t>
      </w:r>
    </w:p>
    <w:p>
      <w:pPr>
        <w:spacing w:line="460" w:lineRule="atLeast"/>
        <w:ind w:firstLine="720" w:firstLineChars="300"/>
        <w:rPr>
          <w:rFonts w:ascii="宋体" w:hAnsi="宋体" w:eastAsia="宋体"/>
          <w:b w:val="0"/>
          <w:color w:val="000000"/>
          <w:sz w:val="24"/>
          <w:szCs w:val="24"/>
        </w:rPr>
      </w:pPr>
      <w:r>
        <w:rPr>
          <w:rFonts w:hint="eastAsia" w:ascii="宋体" w:hAnsi="宋体" w:eastAsia="宋体"/>
          <w:b w:val="0"/>
          <w:color w:val="000000"/>
          <w:sz w:val="24"/>
          <w:szCs w:val="24"/>
        </w:rPr>
        <w:t>以上企业，不属于大企业的分支机构，不存在控股股东为大企业的情形，也不存在与大企业的负责人为同一人的情形。</w:t>
      </w:r>
    </w:p>
    <w:p>
      <w:pPr>
        <w:spacing w:line="460" w:lineRule="atLeast"/>
        <w:ind w:firstLine="720" w:firstLineChars="300"/>
        <w:rPr>
          <w:rFonts w:ascii="宋体" w:hAnsi="宋体" w:eastAsia="宋体"/>
          <w:b w:val="0"/>
          <w:color w:val="000000"/>
          <w:sz w:val="24"/>
          <w:szCs w:val="24"/>
        </w:rPr>
      </w:pPr>
      <w:r>
        <w:rPr>
          <w:rFonts w:hint="eastAsia" w:ascii="宋体" w:hAnsi="宋体" w:eastAsia="宋体"/>
          <w:b w:val="0"/>
          <w:color w:val="000000"/>
          <w:sz w:val="24"/>
          <w:szCs w:val="24"/>
        </w:rPr>
        <w:t>本企业对上述声明内容的真实性负责。如有虚假，将依法承担相应责任。</w:t>
      </w:r>
    </w:p>
    <w:p>
      <w:pPr>
        <w:spacing w:line="460" w:lineRule="atLeast"/>
        <w:ind w:firstLine="5760" w:firstLineChars="2400"/>
        <w:rPr>
          <w:rFonts w:ascii="宋体" w:hAnsi="宋体" w:eastAsia="宋体"/>
          <w:b w:val="0"/>
          <w:color w:val="000000"/>
          <w:sz w:val="24"/>
          <w:szCs w:val="24"/>
        </w:rPr>
      </w:pPr>
      <w:r>
        <w:rPr>
          <w:rFonts w:hint="eastAsia" w:ascii="宋体" w:hAnsi="宋体" w:eastAsia="宋体"/>
          <w:b w:val="0"/>
          <w:color w:val="000000"/>
          <w:sz w:val="24"/>
          <w:szCs w:val="24"/>
        </w:rPr>
        <w:t>企业名称（盖章）：</w:t>
      </w:r>
    </w:p>
    <w:p>
      <w:pPr>
        <w:spacing w:line="460" w:lineRule="atLeast"/>
        <w:ind w:firstLine="6000" w:firstLineChars="2500"/>
        <w:rPr>
          <w:rFonts w:ascii="宋体" w:hAnsi="宋体" w:eastAsia="宋体"/>
          <w:b w:val="0"/>
          <w:color w:val="000000"/>
          <w:sz w:val="24"/>
          <w:szCs w:val="24"/>
        </w:rPr>
      </w:pPr>
      <w:r>
        <w:rPr>
          <w:rFonts w:hint="eastAsia" w:ascii="宋体" w:hAnsi="宋体" w:eastAsia="宋体"/>
          <w:b w:val="0"/>
          <w:color w:val="000000"/>
          <w:sz w:val="24"/>
          <w:szCs w:val="24"/>
        </w:rPr>
        <w:t>日期：</w:t>
      </w:r>
    </w:p>
    <w:p>
      <w:pPr>
        <w:spacing w:line="460" w:lineRule="atLeast"/>
        <w:rPr>
          <w:rFonts w:ascii="宋体" w:hAnsi="宋体" w:eastAsia="宋体"/>
          <w:b w:val="0"/>
          <w:color w:val="000000"/>
          <w:sz w:val="24"/>
          <w:szCs w:val="24"/>
        </w:rPr>
      </w:pPr>
      <w:r>
        <w:rPr>
          <w:rFonts w:hint="eastAsia" w:ascii="宋体" w:hAnsi="宋体" w:eastAsia="宋体"/>
          <w:b w:val="0"/>
          <w:color w:val="000000"/>
          <w:sz w:val="24"/>
          <w:szCs w:val="24"/>
        </w:rPr>
        <w:t>说明：</w:t>
      </w:r>
    </w:p>
    <w:p>
      <w:pPr>
        <w:spacing w:line="460" w:lineRule="atLeast"/>
        <w:ind w:firstLine="480" w:firstLineChars="200"/>
        <w:rPr>
          <w:rFonts w:ascii="宋体" w:hAnsi="宋体" w:eastAsia="宋体"/>
          <w:b w:val="0"/>
          <w:color w:val="000000"/>
          <w:sz w:val="24"/>
          <w:szCs w:val="24"/>
        </w:rPr>
      </w:pPr>
      <w:r>
        <w:rPr>
          <w:rFonts w:hint="eastAsia" w:ascii="宋体" w:hAnsi="宋体" w:eastAsia="宋体"/>
          <w:b w:val="0"/>
          <w:color w:val="000000"/>
          <w:sz w:val="24"/>
          <w:szCs w:val="24"/>
        </w:rPr>
        <w:t>1、从业人员、营业收入、资产总额填报上一年度数据，无上一年度数据的新成立企业可不填报。</w:t>
      </w:r>
    </w:p>
    <w:p>
      <w:pPr>
        <w:spacing w:line="460" w:lineRule="atLeast"/>
        <w:ind w:firstLine="480" w:firstLineChars="200"/>
        <w:rPr>
          <w:rFonts w:ascii="宋体" w:hAnsi="宋体" w:eastAsia="宋体"/>
          <w:b w:val="0"/>
          <w:color w:val="000000"/>
          <w:sz w:val="24"/>
          <w:szCs w:val="24"/>
        </w:rPr>
      </w:pPr>
      <w:r>
        <w:rPr>
          <w:rFonts w:hint="eastAsia" w:ascii="宋体" w:hAnsi="宋体" w:eastAsia="宋体"/>
          <w:b w:val="0"/>
          <w:color w:val="000000"/>
          <w:sz w:val="24"/>
          <w:szCs w:val="24"/>
        </w:rPr>
        <w:t>2、如中标，将在中标公告中将此中小企业声明函予以公示，接受社会监督。</w:t>
      </w:r>
    </w:p>
    <w:p>
      <w:pPr>
        <w:spacing w:line="460" w:lineRule="exact"/>
        <w:rPr>
          <w:rFonts w:ascii="宋体" w:hAnsi="宋体" w:eastAsia="宋体" w:cs="Courier New"/>
          <w:b w:val="0"/>
          <w:color w:val="000000"/>
          <w:sz w:val="24"/>
          <w:szCs w:val="24"/>
        </w:rPr>
      </w:pPr>
      <w:r>
        <w:rPr>
          <w:rFonts w:ascii="宋体" w:hAnsi="宋体" w:eastAsia="宋体"/>
          <w:color w:val="000000"/>
          <w:sz w:val="24"/>
          <w:szCs w:val="24"/>
        </w:rPr>
        <w:br w:type="page"/>
      </w:r>
      <w:r>
        <w:rPr>
          <w:rFonts w:hint="eastAsia" w:ascii="宋体" w:hAnsi="宋体" w:eastAsia="宋体" w:cs="Courier New"/>
          <w:b w:val="0"/>
          <w:color w:val="000000"/>
          <w:sz w:val="24"/>
          <w:szCs w:val="24"/>
        </w:rPr>
        <w:t>附件2：</w:t>
      </w:r>
    </w:p>
    <w:p>
      <w:pPr>
        <w:spacing w:line="460" w:lineRule="exact"/>
        <w:jc w:val="center"/>
        <w:rPr>
          <w:rFonts w:ascii="宋体" w:hAnsi="宋体" w:eastAsia="宋体" w:cs="Courier New"/>
          <w:b w:val="0"/>
          <w:color w:val="000000"/>
          <w:sz w:val="24"/>
          <w:szCs w:val="24"/>
        </w:rPr>
      </w:pPr>
      <w:bookmarkStart w:id="76" w:name="OLE_LINK14"/>
      <w:bookmarkStart w:id="77" w:name="OLE_LINK13"/>
      <w:r>
        <w:rPr>
          <w:rFonts w:hint="eastAsia" w:ascii="宋体" w:hAnsi="宋体" w:eastAsia="宋体" w:cs="Courier New"/>
          <w:b w:val="0"/>
          <w:color w:val="000000"/>
          <w:sz w:val="24"/>
          <w:szCs w:val="24"/>
        </w:rPr>
        <w:t>残疾人福利性单位声明函</w:t>
      </w:r>
    </w:p>
    <w:bookmarkEnd w:id="76"/>
    <w:bookmarkEnd w:id="77"/>
    <w:p>
      <w:pPr>
        <w:spacing w:line="588" w:lineRule="exact"/>
        <w:rPr>
          <w:rFonts w:ascii="宋体" w:hAnsi="宋体" w:eastAsia="宋体"/>
          <w:b w:val="0"/>
          <w:color w:val="000000"/>
          <w:spacing w:val="6"/>
          <w:sz w:val="24"/>
          <w:szCs w:val="24"/>
        </w:rPr>
      </w:pPr>
    </w:p>
    <w:p>
      <w:pPr>
        <w:spacing w:line="588" w:lineRule="exact"/>
        <w:ind w:firstLine="480" w:firstLineChars="200"/>
        <w:rPr>
          <w:rFonts w:ascii="宋体" w:hAnsi="宋体" w:eastAsia="宋体" w:cs="Courier New"/>
          <w:b w:val="0"/>
          <w:color w:val="000000"/>
          <w:sz w:val="24"/>
          <w:szCs w:val="24"/>
        </w:rPr>
      </w:pPr>
      <w:r>
        <w:rPr>
          <w:rFonts w:hint="eastAsia" w:ascii="宋体" w:hAnsi="宋体" w:eastAsia="宋体" w:cs="Courier New"/>
          <w:b w:val="0"/>
          <w:color w:val="000000"/>
          <w:sz w:val="24"/>
          <w:szCs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eastAsia="宋体" w:cs="Courier New"/>
          <w:b w:val="0"/>
          <w:color w:val="000000"/>
          <w:sz w:val="24"/>
          <w:szCs w:val="24"/>
        </w:rPr>
        <w:t>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eastAsia="宋体" w:cs="Courier New"/>
          <w:b w:val="0"/>
          <w:color w:val="000000"/>
          <w:sz w:val="24"/>
          <w:szCs w:val="24"/>
        </w:rPr>
      </w:pPr>
      <w:r>
        <w:rPr>
          <w:rFonts w:hint="eastAsia" w:ascii="宋体" w:hAnsi="宋体" w:eastAsia="宋体" w:cs="Courier New"/>
          <w:b w:val="0"/>
          <w:color w:val="000000"/>
          <w:sz w:val="24"/>
          <w:szCs w:val="24"/>
        </w:rPr>
        <w:t>本单位对上述声明的真实性负责。如有虚假，将依法承担相应责任。</w:t>
      </w:r>
    </w:p>
    <w:p>
      <w:pPr>
        <w:spacing w:line="588" w:lineRule="exact"/>
        <w:ind w:firstLine="506" w:firstLineChars="200"/>
        <w:rPr>
          <w:rFonts w:ascii="宋体" w:hAnsi="宋体" w:eastAsia="宋体"/>
          <w:color w:val="000000"/>
          <w:spacing w:val="6"/>
          <w:sz w:val="24"/>
          <w:szCs w:val="24"/>
        </w:rPr>
      </w:pPr>
    </w:p>
    <w:p>
      <w:pPr>
        <w:spacing w:line="588" w:lineRule="exact"/>
        <w:ind w:firstLine="506" w:firstLineChars="200"/>
        <w:rPr>
          <w:rFonts w:ascii="宋体" w:hAnsi="宋体" w:eastAsia="宋体"/>
          <w:color w:val="000000"/>
          <w:spacing w:val="6"/>
          <w:sz w:val="24"/>
          <w:szCs w:val="24"/>
        </w:rPr>
      </w:pPr>
    </w:p>
    <w:p>
      <w:pPr>
        <w:spacing w:line="460" w:lineRule="atLeast"/>
        <w:rPr>
          <w:rFonts w:ascii="宋体" w:hAnsi="宋体" w:eastAsia="宋体" w:cs="Courier New"/>
          <w:b w:val="0"/>
          <w:color w:val="000000"/>
          <w:sz w:val="24"/>
          <w:szCs w:val="24"/>
        </w:rPr>
      </w:pPr>
      <w:r>
        <w:rPr>
          <w:rFonts w:hint="eastAsia" w:ascii="宋体" w:hAnsi="宋体" w:eastAsia="宋体" w:cs="Courier New"/>
          <w:b w:val="0"/>
          <w:color w:val="000000"/>
          <w:sz w:val="24"/>
          <w:szCs w:val="24"/>
        </w:rPr>
        <w:t>投标供应商名称（盖章）：                </w:t>
      </w:r>
    </w:p>
    <w:p>
      <w:pPr>
        <w:spacing w:line="460" w:lineRule="atLeast"/>
        <w:rPr>
          <w:rFonts w:ascii="宋体" w:hAnsi="宋体" w:eastAsia="宋体" w:cs="Courier New"/>
          <w:b w:val="0"/>
          <w:color w:val="000000"/>
          <w:sz w:val="24"/>
          <w:szCs w:val="24"/>
        </w:rPr>
      </w:pPr>
      <w:r>
        <w:rPr>
          <w:rFonts w:hint="eastAsia" w:ascii="宋体" w:hAnsi="宋体" w:eastAsia="宋体" w:cs="Courier New"/>
          <w:b w:val="0"/>
          <w:color w:val="000000"/>
          <w:sz w:val="24"/>
          <w:szCs w:val="24"/>
        </w:rPr>
        <w:t>日期：</w:t>
      </w:r>
    </w:p>
    <w:p>
      <w:pPr>
        <w:tabs>
          <w:tab w:val="left" w:pos="4860"/>
        </w:tabs>
        <w:spacing w:line="588" w:lineRule="exact"/>
        <w:ind w:right="1560" w:firstLine="506" w:firstLineChars="200"/>
        <w:jc w:val="center"/>
        <w:rPr>
          <w:rFonts w:ascii="宋体" w:hAnsi="宋体" w:eastAsia="宋体"/>
          <w:color w:val="000000"/>
          <w:spacing w:val="6"/>
          <w:sz w:val="24"/>
          <w:szCs w:val="24"/>
        </w:rPr>
      </w:pPr>
    </w:p>
    <w:p>
      <w:pPr>
        <w:tabs>
          <w:tab w:val="left" w:pos="4860"/>
        </w:tabs>
        <w:spacing w:line="588" w:lineRule="exact"/>
        <w:ind w:right="1560" w:firstLine="506" w:firstLineChars="200"/>
        <w:jc w:val="center"/>
        <w:rPr>
          <w:rFonts w:ascii="宋体" w:hAnsi="宋体" w:eastAsia="宋体"/>
          <w:color w:val="000000"/>
          <w:spacing w:val="6"/>
          <w:sz w:val="24"/>
          <w:szCs w:val="24"/>
        </w:rPr>
      </w:pPr>
    </w:p>
    <w:p>
      <w:pPr>
        <w:tabs>
          <w:tab w:val="left" w:pos="4860"/>
        </w:tabs>
        <w:spacing w:line="588" w:lineRule="exact"/>
        <w:ind w:right="1560"/>
        <w:jc w:val="left"/>
        <w:rPr>
          <w:rFonts w:ascii="宋体" w:hAnsi="宋体" w:eastAsia="宋体"/>
          <w:b w:val="0"/>
          <w:color w:val="000000"/>
          <w:sz w:val="24"/>
          <w:szCs w:val="24"/>
        </w:rPr>
      </w:pPr>
      <w:r>
        <w:rPr>
          <w:rFonts w:hint="eastAsia" w:ascii="宋体" w:hAnsi="宋体" w:eastAsia="宋体"/>
          <w:b w:val="0"/>
          <w:color w:val="000000"/>
          <w:sz w:val="24"/>
          <w:szCs w:val="24"/>
        </w:rPr>
        <w:t>备注说明：</w:t>
      </w:r>
    </w:p>
    <w:p>
      <w:pPr>
        <w:spacing w:line="588" w:lineRule="exact"/>
        <w:ind w:firstLine="480" w:firstLineChars="200"/>
        <w:rPr>
          <w:rFonts w:ascii="宋体" w:hAnsi="宋体" w:eastAsia="宋体" w:cs="Courier New"/>
          <w:b w:val="0"/>
          <w:color w:val="000000"/>
          <w:sz w:val="24"/>
          <w:szCs w:val="24"/>
        </w:rPr>
      </w:pPr>
      <w:r>
        <w:rPr>
          <w:rFonts w:hint="eastAsia" w:ascii="宋体" w:hAnsi="宋体" w:eastAsia="宋体" w:cs="Courier New"/>
          <w:b w:val="0"/>
          <w:color w:val="000000"/>
          <w:sz w:val="24"/>
          <w:szCs w:val="24"/>
        </w:rPr>
        <w:t>1、如中标，将在中标公告中将此残疾人福利性单位声明函予以公示，接受社会监督；</w:t>
      </w:r>
    </w:p>
    <w:p>
      <w:pPr>
        <w:snapToGrid w:val="0"/>
        <w:spacing w:line="460" w:lineRule="atLeast"/>
        <w:ind w:firstLine="480" w:firstLineChars="200"/>
        <w:rPr>
          <w:rFonts w:ascii="宋体" w:hAnsi="宋体" w:eastAsia="宋体" w:cs="Courier New"/>
          <w:b w:val="0"/>
          <w:color w:val="000000"/>
          <w:sz w:val="24"/>
          <w:szCs w:val="24"/>
        </w:rPr>
      </w:pPr>
      <w:r>
        <w:rPr>
          <w:rFonts w:ascii="宋体" w:hAnsi="宋体" w:eastAsia="宋体" w:cs="Courier New"/>
          <w:b w:val="0"/>
          <w:color w:val="000000"/>
          <w:sz w:val="24"/>
          <w:szCs w:val="24"/>
        </w:rPr>
        <w:t>2</w:t>
      </w:r>
      <w:r>
        <w:rPr>
          <w:rFonts w:hint="eastAsia" w:ascii="宋体" w:hAnsi="宋体" w:eastAsia="宋体" w:cs="Courier New"/>
          <w:b w:val="0"/>
          <w:color w:val="000000"/>
          <w:sz w:val="24"/>
          <w:szCs w:val="24"/>
        </w:rPr>
        <w:t>、供应商提供的《残疾人福利性单位声明函》与事实不符的，依照《政府采购法》第七十七条第一款的规定追究法律责任。</w:t>
      </w:r>
    </w:p>
    <w:p>
      <w:pPr>
        <w:snapToGrid w:val="0"/>
        <w:spacing w:line="460" w:lineRule="atLeast"/>
        <w:ind w:firstLine="422" w:firstLineChars="200"/>
        <w:rPr>
          <w:rFonts w:ascii="宋体" w:hAnsi="宋体" w:eastAsia="宋体"/>
          <w:b w:val="0"/>
          <w:color w:val="000000"/>
          <w:sz w:val="22"/>
        </w:rPr>
      </w:pPr>
      <w:r>
        <w:rPr>
          <w:rFonts w:ascii="宋体" w:hAnsi="宋体" w:eastAsia="宋体"/>
          <w:color w:val="000000"/>
        </w:rPr>
        <w:br w:type="page"/>
      </w:r>
      <w:r>
        <w:rPr>
          <w:rFonts w:hint="eastAsia" w:ascii="宋体" w:hAnsi="宋体" w:eastAsia="宋体"/>
          <w:b w:val="0"/>
          <w:color w:val="000000"/>
          <w:sz w:val="22"/>
        </w:rPr>
        <w:t>二、节能、环保产品优先（强制）采购政策说明</w:t>
      </w:r>
    </w:p>
    <w:p>
      <w:pPr>
        <w:snapToGrid w:val="0"/>
        <w:spacing w:line="460" w:lineRule="atLeast"/>
        <w:ind w:firstLine="440" w:firstLineChars="200"/>
        <w:rPr>
          <w:rFonts w:ascii="宋体" w:hAnsi="宋体" w:eastAsia="宋体"/>
          <w:b w:val="0"/>
          <w:color w:val="000000"/>
          <w:sz w:val="22"/>
        </w:rPr>
      </w:pPr>
      <w:r>
        <w:rPr>
          <w:rFonts w:ascii="宋体" w:hAnsi="宋体" w:eastAsia="宋体"/>
          <w:b w:val="0"/>
          <w:color w:val="000000"/>
          <w:sz w:val="22"/>
        </w:rPr>
        <w:t>1、政策依据</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（一）《国务院办公厅关于建立政府强制采购节能产品制度的通知》</w:t>
      </w:r>
      <w:r>
        <w:rPr>
          <w:rFonts w:ascii="宋体" w:hAnsi="宋体" w:eastAsia="宋体"/>
          <w:b w:val="0"/>
          <w:color w:val="000000"/>
          <w:sz w:val="22"/>
        </w:rPr>
        <w:t>(国办发[2007]51号)</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（二）财政部、发展改革委发布的《节能产品政府采购实施意见》</w:t>
      </w:r>
      <w:r>
        <w:rPr>
          <w:rFonts w:ascii="宋体" w:hAnsi="宋体" w:eastAsia="宋体"/>
          <w:b w:val="0"/>
          <w:color w:val="000000"/>
          <w:sz w:val="22"/>
        </w:rPr>
        <w:t>(财库[2004]185号)</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（三）财政部、原环保总局印发的《环境标志产品政府采购实施的意见》（财库</w:t>
      </w:r>
      <w:r>
        <w:rPr>
          <w:rFonts w:ascii="宋体" w:hAnsi="宋体" w:eastAsia="宋体"/>
          <w:b w:val="0"/>
          <w:color w:val="000000"/>
          <w:sz w:val="22"/>
        </w:rPr>
        <w:t xml:space="preserve"> [2006]90号）</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（四）《关于调整优化节能产品、环境标志产品政府采购执行机制的通知》（财库〔</w:t>
      </w:r>
      <w:r>
        <w:rPr>
          <w:rFonts w:ascii="宋体" w:hAnsi="宋体" w:eastAsia="宋体"/>
          <w:b w:val="0"/>
          <w:color w:val="000000"/>
          <w:sz w:val="22"/>
        </w:rPr>
        <w:t>2019〕9号</w:t>
      </w:r>
      <w:r>
        <w:rPr>
          <w:rFonts w:hint="eastAsia" w:ascii="宋体" w:hAnsi="宋体" w:eastAsia="宋体"/>
          <w:b w:val="0"/>
          <w:color w:val="000000"/>
          <w:sz w:val="22"/>
        </w:rPr>
        <w:t>）</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（五）《关于印发节能产品政府采购品目清单的通知》（财库〔</w:t>
      </w:r>
      <w:r>
        <w:rPr>
          <w:rFonts w:ascii="宋体" w:hAnsi="宋体" w:eastAsia="宋体"/>
          <w:b w:val="0"/>
          <w:color w:val="000000"/>
          <w:sz w:val="22"/>
        </w:rPr>
        <w:t>2019〕1</w:t>
      </w:r>
      <w:r>
        <w:rPr>
          <w:rFonts w:hint="eastAsia" w:ascii="宋体" w:hAnsi="宋体" w:eastAsia="宋体"/>
          <w:b w:val="0"/>
          <w:color w:val="000000"/>
          <w:sz w:val="22"/>
        </w:rPr>
        <w:t>9</w:t>
      </w:r>
      <w:r>
        <w:rPr>
          <w:rFonts w:ascii="宋体" w:hAnsi="宋体" w:eastAsia="宋体"/>
          <w:b w:val="0"/>
          <w:color w:val="000000"/>
          <w:sz w:val="22"/>
        </w:rPr>
        <w:t>号</w:t>
      </w:r>
      <w:r>
        <w:rPr>
          <w:rFonts w:hint="eastAsia" w:ascii="宋体" w:hAnsi="宋体" w:eastAsia="宋体"/>
          <w:b w:val="0"/>
          <w:color w:val="000000"/>
          <w:sz w:val="22"/>
        </w:rPr>
        <w:t>）</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（六）《关于印发环境标志产品政府采购品目清单的通知》（财库〔</w:t>
      </w:r>
      <w:r>
        <w:rPr>
          <w:rFonts w:ascii="宋体" w:hAnsi="宋体" w:eastAsia="宋体"/>
          <w:b w:val="0"/>
          <w:color w:val="000000"/>
          <w:sz w:val="22"/>
        </w:rPr>
        <w:t>2019〕18号</w:t>
      </w:r>
      <w:r>
        <w:rPr>
          <w:rFonts w:hint="eastAsia" w:ascii="宋体" w:hAnsi="宋体" w:eastAsia="宋体"/>
          <w:b w:val="0"/>
          <w:color w:val="000000"/>
          <w:sz w:val="22"/>
        </w:rPr>
        <w:t>）</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（七）《市场监管总局关于发布参与实施政府采购节能产品、环境标志产品认证机构名录的公告》（</w:t>
      </w:r>
      <w:r>
        <w:rPr>
          <w:rFonts w:ascii="宋体" w:hAnsi="宋体" w:eastAsia="宋体"/>
          <w:b w:val="0"/>
          <w:color w:val="000000"/>
          <w:sz w:val="22"/>
        </w:rPr>
        <w:t>2019年第16号</w:t>
      </w:r>
      <w:r>
        <w:rPr>
          <w:rFonts w:hint="eastAsia" w:ascii="宋体" w:hAnsi="宋体" w:eastAsia="宋体"/>
          <w:b w:val="0"/>
          <w:color w:val="000000"/>
          <w:sz w:val="22"/>
        </w:rPr>
        <w:t>）</w:t>
      </w:r>
    </w:p>
    <w:p>
      <w:pPr>
        <w:snapToGrid w:val="0"/>
        <w:spacing w:line="460" w:lineRule="atLeast"/>
        <w:ind w:firstLine="440" w:firstLineChars="200"/>
        <w:rPr>
          <w:rFonts w:ascii="宋体" w:hAnsi="宋体" w:eastAsia="宋体"/>
          <w:b w:val="0"/>
          <w:color w:val="000000"/>
          <w:sz w:val="24"/>
        </w:rPr>
      </w:pPr>
      <w:r>
        <w:rPr>
          <w:rFonts w:hint="eastAsia" w:ascii="宋体" w:hAnsi="宋体" w:eastAsia="宋体"/>
          <w:b w:val="0"/>
          <w:color w:val="000000"/>
          <w:sz w:val="22"/>
        </w:rPr>
        <w:t>2</w:t>
      </w:r>
      <w:r>
        <w:rPr>
          <w:rFonts w:ascii="宋体" w:hAnsi="宋体" w:eastAsia="宋体"/>
          <w:b w:val="0"/>
          <w:color w:val="000000"/>
          <w:sz w:val="22"/>
        </w:rPr>
        <w:t>、供应商投标货物属于节能、环保优先（强制）采购范围的，须提供相关证明材料。</w:t>
      </w:r>
      <w:r>
        <w:rPr>
          <w:rFonts w:ascii="宋体" w:hAnsi="宋体" w:eastAsia="宋体"/>
          <w:b w:val="0"/>
          <w:color w:val="000000"/>
          <w:sz w:val="24"/>
        </w:rPr>
        <w:t xml:space="preserve"> </w:t>
      </w:r>
    </w:p>
    <w:p>
      <w:pPr>
        <w:snapToGrid w:val="0"/>
        <w:spacing w:line="460" w:lineRule="atLeast"/>
        <w:ind w:firstLine="422" w:firstLineChars="200"/>
        <w:jc w:val="center"/>
        <w:rPr>
          <w:rFonts w:ascii="宋体" w:hAnsi="宋体" w:eastAsia="宋体"/>
          <w:b w:val="0"/>
          <w:color w:val="000000"/>
          <w:sz w:val="36"/>
        </w:rPr>
      </w:pPr>
      <w:r>
        <w:rPr>
          <w:rFonts w:ascii="宋体" w:hAnsi="宋体" w:eastAsia="宋体"/>
          <w:color w:val="000000"/>
        </w:rPr>
        <w:br w:type="page"/>
      </w:r>
      <w:r>
        <w:rPr>
          <w:rFonts w:hint="eastAsia" w:ascii="宋体" w:hAnsi="宋体" w:eastAsia="宋体"/>
          <w:b w:val="0"/>
          <w:color w:val="000000"/>
          <w:sz w:val="36"/>
        </w:rPr>
        <w:t xml:space="preserve">第五部分   </w:t>
      </w:r>
      <w:bookmarkEnd w:id="75"/>
      <w:r>
        <w:rPr>
          <w:rFonts w:hint="eastAsia" w:ascii="宋体" w:hAnsi="宋体" w:eastAsia="宋体"/>
          <w:b w:val="0"/>
          <w:color w:val="000000"/>
          <w:sz w:val="36"/>
        </w:rPr>
        <w:t xml:space="preserve">    合同格式（参考格式）</w:t>
      </w:r>
    </w:p>
    <w:p>
      <w:pPr>
        <w:snapToGrid w:val="0"/>
        <w:spacing w:line="460" w:lineRule="atLeast"/>
        <w:ind w:firstLine="442" w:firstLineChars="200"/>
        <w:rPr>
          <w:rFonts w:ascii="宋体" w:hAnsi="宋体" w:eastAsia="宋体"/>
          <w:color w:val="000000"/>
          <w:sz w:val="22"/>
        </w:rPr>
      </w:pPr>
      <w:r>
        <w:rPr>
          <w:rFonts w:hint="eastAsia" w:ascii="宋体" w:hAnsi="宋体" w:eastAsia="宋体"/>
          <w:color w:val="000000"/>
          <w:kern w:val="2"/>
          <w:sz w:val="22"/>
        </w:rPr>
        <w:t xml:space="preserve"> </w:t>
      </w:r>
      <w:r>
        <w:rPr>
          <w:rFonts w:hint="eastAsia" w:ascii="宋体" w:hAnsi="宋体" w:eastAsia="宋体"/>
          <w:b w:val="0"/>
          <w:bCs/>
          <w:color w:val="000000"/>
          <w:kern w:val="2"/>
          <w:sz w:val="22"/>
        </w:rPr>
        <w:t>（</w:t>
      </w:r>
      <w:r>
        <w:rPr>
          <w:rFonts w:hint="eastAsia" w:ascii="宋体" w:hAnsi="宋体" w:eastAsia="宋体"/>
          <w:b w:val="0"/>
          <w:bCs/>
          <w:color w:val="000000"/>
          <w:sz w:val="22"/>
        </w:rPr>
        <w:t>本项目</w:t>
      </w:r>
      <w:r>
        <w:rPr>
          <w:rFonts w:hint="eastAsia" w:ascii="宋体" w:hAnsi="宋体" w:eastAsia="宋体"/>
          <w:b w:val="0"/>
          <w:bCs/>
          <w:color w:val="000000"/>
          <w:sz w:val="22"/>
          <w:lang w:val="en-US" w:eastAsia="zh-CN"/>
        </w:rPr>
        <w:t>五</w:t>
      </w:r>
      <w:r>
        <w:rPr>
          <w:rFonts w:hint="eastAsia" w:ascii="宋体" w:hAnsi="宋体" w:eastAsia="宋体"/>
          <w:b w:val="0"/>
          <w:bCs/>
          <w:color w:val="000000"/>
          <w:sz w:val="22"/>
        </w:rPr>
        <w:t>个标项，每个标项在中标后可根据本合同基础上，可以根据具体分项签订子项目合同</w:t>
      </w:r>
      <w:r>
        <w:rPr>
          <w:rFonts w:hint="eastAsia" w:ascii="宋体" w:hAnsi="宋体" w:eastAsia="宋体"/>
          <w:b w:val="0"/>
          <w:bCs/>
          <w:color w:val="000000"/>
          <w:kern w:val="2"/>
          <w:sz w:val="22"/>
        </w:rPr>
        <w:t>）</w:t>
      </w:r>
    </w:p>
    <w:p>
      <w:pPr>
        <w:pStyle w:val="38"/>
        <w:widowControl w:val="0"/>
        <w:snapToGrid w:val="0"/>
        <w:spacing w:after="120" w:line="440" w:lineRule="atLeast"/>
        <w:jc w:val="both"/>
        <w:rPr>
          <w:rFonts w:ascii="宋体" w:hAnsi="宋体" w:eastAsia="宋体"/>
          <w:color w:val="000000"/>
          <w:sz w:val="22"/>
        </w:rPr>
      </w:pPr>
      <w:r>
        <w:rPr>
          <w:rFonts w:hint="eastAsia" w:ascii="宋体" w:hAnsi="宋体" w:eastAsia="宋体"/>
          <w:color w:val="000000"/>
          <w:kern w:val="2"/>
          <w:sz w:val="22"/>
        </w:rPr>
        <w:t>甲方：乐清市公安局（采购人）</w:t>
      </w:r>
    </w:p>
    <w:p>
      <w:pPr>
        <w:pStyle w:val="38"/>
        <w:widowControl w:val="0"/>
        <w:snapToGrid w:val="0"/>
        <w:spacing w:after="120" w:line="440" w:lineRule="atLeast"/>
        <w:jc w:val="both"/>
        <w:rPr>
          <w:rFonts w:ascii="宋体" w:hAnsi="宋体" w:eastAsia="宋体"/>
          <w:color w:val="000000"/>
          <w:sz w:val="22"/>
        </w:rPr>
      </w:pPr>
      <w:r>
        <w:rPr>
          <w:rFonts w:hint="eastAsia" w:ascii="宋体" w:hAnsi="宋体" w:eastAsia="宋体"/>
          <w:color w:val="000000"/>
          <w:kern w:val="2"/>
          <w:sz w:val="22"/>
        </w:rPr>
        <w:t>乙方：本次采购的中标供应商</w:t>
      </w:r>
    </w:p>
    <w:p>
      <w:pPr>
        <w:numPr>
          <w:ilvl w:val="0"/>
          <w:numId w:val="2"/>
        </w:numPr>
        <w:tabs>
          <w:tab w:val="left" w:pos="1080"/>
          <w:tab w:val="clear" w:pos="900"/>
        </w:tabs>
        <w:spacing w:line="440" w:lineRule="atLeast"/>
        <w:ind w:left="1080" w:hanging="1080"/>
        <w:rPr>
          <w:rFonts w:ascii="宋体" w:hAnsi="宋体" w:eastAsia="宋体"/>
          <w:b w:val="0"/>
          <w:color w:val="000000"/>
          <w:kern w:val="2"/>
          <w:sz w:val="22"/>
        </w:rPr>
      </w:pPr>
      <w:r>
        <w:rPr>
          <w:rFonts w:hint="eastAsia" w:ascii="宋体" w:hAnsi="宋体" w:eastAsia="宋体"/>
          <w:b w:val="0"/>
          <w:color w:val="000000"/>
          <w:kern w:val="2"/>
          <w:sz w:val="22"/>
        </w:rPr>
        <w:t>合作标的</w:t>
      </w:r>
    </w:p>
    <w:p>
      <w:pPr>
        <w:spacing w:line="440" w:lineRule="atLeast"/>
        <w:ind w:firstLine="440" w:firstLineChars="200"/>
        <w:jc w:val="left"/>
        <w:rPr>
          <w:rFonts w:ascii="宋体" w:hAnsi="宋体" w:eastAsia="宋体"/>
          <w:b w:val="0"/>
          <w:color w:val="000000"/>
          <w:kern w:val="2"/>
          <w:sz w:val="22"/>
        </w:rPr>
      </w:pPr>
      <w:r>
        <w:rPr>
          <w:rFonts w:hint="eastAsia" w:ascii="宋体" w:hAnsi="宋体" w:eastAsia="宋体"/>
          <w:b w:val="0"/>
          <w:color w:val="000000"/>
          <w:kern w:val="2"/>
          <w:sz w:val="22"/>
        </w:rPr>
        <w:t>1、甲方委托乙方整体承包建设</w:t>
      </w:r>
      <w:r>
        <w:rPr>
          <w:rFonts w:hint="eastAsia" w:ascii="宋体" w:hAnsi="宋体" w:eastAsia="宋体"/>
          <w:b w:val="0"/>
          <w:color w:val="000000"/>
          <w:kern w:val="2"/>
          <w:sz w:val="22"/>
          <w:lang w:eastAsia="zh-CN"/>
        </w:rPr>
        <w:t>乐清市人员密集场所人脸识别抓拍建设项目</w:t>
      </w:r>
      <w:r>
        <w:rPr>
          <w:rFonts w:hint="eastAsia" w:ascii="宋体" w:hAnsi="宋体" w:eastAsia="宋体"/>
          <w:b w:val="0"/>
          <w:color w:val="000000"/>
          <w:kern w:val="2"/>
          <w:sz w:val="22"/>
        </w:rPr>
        <w:t>标项</w:t>
      </w:r>
      <w:r>
        <w:rPr>
          <w:rFonts w:hint="eastAsia" w:ascii="宋体" w:hAnsi="宋体" w:eastAsia="宋体"/>
          <w:b w:val="0"/>
          <w:color w:val="000000"/>
          <w:kern w:val="2"/>
          <w:sz w:val="22"/>
          <w:u w:val="single"/>
        </w:rPr>
        <w:t xml:space="preserve">    </w:t>
      </w:r>
      <w:r>
        <w:rPr>
          <w:rFonts w:hint="eastAsia" w:ascii="宋体" w:hAnsi="宋体" w:eastAsia="宋体"/>
          <w:b w:val="0"/>
          <w:color w:val="000000"/>
          <w:kern w:val="2"/>
          <w:sz w:val="22"/>
        </w:rPr>
        <w:t>的建设及运维服务。</w:t>
      </w:r>
    </w:p>
    <w:p>
      <w:pPr>
        <w:spacing w:line="440" w:lineRule="atLeast"/>
        <w:ind w:firstLine="440" w:firstLineChars="200"/>
        <w:jc w:val="left"/>
        <w:rPr>
          <w:rFonts w:ascii="宋体" w:hAnsi="宋体" w:eastAsia="宋体"/>
          <w:b w:val="0"/>
          <w:color w:val="000000"/>
          <w:kern w:val="2"/>
          <w:sz w:val="22"/>
        </w:rPr>
      </w:pPr>
      <w:r>
        <w:rPr>
          <w:rFonts w:hint="eastAsia" w:ascii="宋体" w:hAnsi="宋体" w:eastAsia="宋体"/>
          <w:b w:val="0"/>
          <w:color w:val="000000"/>
          <w:kern w:val="2"/>
          <w:sz w:val="22"/>
        </w:rPr>
        <w:t>2、甲方委托乙方对</w:t>
      </w:r>
      <w:r>
        <w:rPr>
          <w:rFonts w:hint="eastAsia" w:ascii="宋体" w:hAnsi="宋体" w:eastAsia="宋体"/>
          <w:b w:val="0"/>
          <w:color w:val="000000"/>
          <w:kern w:val="2"/>
          <w:sz w:val="22"/>
          <w:lang w:eastAsia="zh-CN"/>
        </w:rPr>
        <w:t>乐清市人员密集场所人脸识别抓拍建设项目</w:t>
      </w:r>
      <w:r>
        <w:rPr>
          <w:rFonts w:hint="eastAsia" w:ascii="宋体" w:hAnsi="宋体" w:eastAsia="宋体"/>
          <w:b w:val="0"/>
          <w:color w:val="000000"/>
          <w:kern w:val="2"/>
          <w:sz w:val="22"/>
        </w:rPr>
        <w:t>标项</w:t>
      </w:r>
      <w:r>
        <w:rPr>
          <w:rFonts w:hint="eastAsia" w:ascii="宋体" w:hAnsi="宋体" w:eastAsia="宋体"/>
          <w:b w:val="0"/>
          <w:color w:val="000000"/>
          <w:kern w:val="2"/>
          <w:sz w:val="22"/>
          <w:u w:val="single"/>
        </w:rPr>
        <w:t xml:space="preserve">    </w:t>
      </w:r>
      <w:r>
        <w:rPr>
          <w:rFonts w:hint="eastAsia" w:ascii="宋体" w:hAnsi="宋体" w:eastAsia="宋体"/>
          <w:b w:val="0"/>
          <w:color w:val="000000"/>
          <w:kern w:val="2"/>
          <w:sz w:val="22"/>
        </w:rPr>
        <w:t>所涉及的设备、网络进行规范化维护。</w:t>
      </w:r>
    </w:p>
    <w:p>
      <w:pPr>
        <w:numPr>
          <w:ilvl w:val="0"/>
          <w:numId w:val="2"/>
        </w:numPr>
        <w:tabs>
          <w:tab w:val="left" w:pos="1080"/>
          <w:tab w:val="clear" w:pos="900"/>
        </w:tabs>
        <w:spacing w:line="440" w:lineRule="atLeast"/>
        <w:ind w:left="1080" w:hanging="1080"/>
        <w:rPr>
          <w:rFonts w:ascii="宋体" w:hAnsi="宋体" w:eastAsia="宋体"/>
          <w:b w:val="0"/>
          <w:color w:val="000000"/>
          <w:kern w:val="2"/>
          <w:sz w:val="22"/>
        </w:rPr>
      </w:pPr>
      <w:r>
        <w:rPr>
          <w:rFonts w:hint="eastAsia" w:ascii="宋体" w:hAnsi="宋体" w:eastAsia="宋体"/>
          <w:b w:val="0"/>
          <w:color w:val="000000"/>
          <w:kern w:val="2"/>
          <w:sz w:val="22"/>
        </w:rPr>
        <w:t>双方权利和义务</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1、 甲方权利</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1.1、</w:t>
      </w:r>
      <w:r>
        <w:rPr>
          <w:rFonts w:hint="eastAsia" w:ascii="宋体" w:hAnsi="宋体" w:eastAsia="宋体"/>
          <w:b w:val="0"/>
          <w:color w:val="000000"/>
          <w:kern w:val="2"/>
          <w:sz w:val="22"/>
          <w:lang w:eastAsia="zh-CN"/>
        </w:rPr>
        <w:t>乐清市人员密集场所人脸识别抓拍建设项目</w:t>
      </w:r>
      <w:r>
        <w:rPr>
          <w:rFonts w:hint="eastAsia" w:ascii="宋体" w:hAnsi="宋体" w:eastAsia="宋体"/>
          <w:b w:val="0"/>
          <w:color w:val="000000"/>
          <w:kern w:val="2"/>
          <w:sz w:val="22"/>
        </w:rPr>
        <w:t>的总体架构和技术标准由乐清市公安局确定。</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1.2、</w:t>
      </w:r>
      <w:r>
        <w:rPr>
          <w:rFonts w:hint="eastAsia" w:ascii="宋体" w:hAnsi="宋体" w:eastAsia="宋体"/>
          <w:b w:val="0"/>
          <w:color w:val="000000"/>
          <w:kern w:val="2"/>
          <w:sz w:val="22"/>
          <w:lang w:eastAsia="zh-CN"/>
        </w:rPr>
        <w:t>乐清市人员密集场所人脸识别抓拍建设项目</w:t>
      </w:r>
      <w:r>
        <w:rPr>
          <w:rFonts w:hint="eastAsia" w:ascii="宋体" w:hAnsi="宋体" w:eastAsia="宋体"/>
          <w:b w:val="0"/>
          <w:color w:val="000000"/>
          <w:kern w:val="2"/>
          <w:sz w:val="22"/>
        </w:rPr>
        <w:t>涉及系统应遵循开放系统的原则，能提供符合国际标准和软件、硬件、通信、网络、操作系统和数据库管理系统等方面的接口和协议，并为今后的二次开发预留接口和开放协议。</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1.3、</w:t>
      </w:r>
      <w:r>
        <w:rPr>
          <w:rFonts w:hint="eastAsia" w:ascii="宋体" w:hAnsi="宋体" w:eastAsia="宋体"/>
          <w:b w:val="0"/>
          <w:color w:val="000000"/>
          <w:kern w:val="2"/>
          <w:sz w:val="22"/>
          <w:lang w:eastAsia="zh-CN"/>
        </w:rPr>
        <w:t>乐清市人员密集场所人脸识别抓拍建设项目</w:t>
      </w:r>
      <w:r>
        <w:rPr>
          <w:rFonts w:hint="eastAsia" w:ascii="宋体" w:hAnsi="宋体" w:eastAsia="宋体"/>
          <w:b w:val="0"/>
          <w:color w:val="000000"/>
          <w:kern w:val="2"/>
          <w:sz w:val="22"/>
        </w:rPr>
        <w:t>涉及系统中图像数据的所有权归属甲方，未经甲方同意，乙方不得私自泄露、转让给第三方使用。</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1.4、</w:t>
      </w:r>
      <w:r>
        <w:rPr>
          <w:rFonts w:hint="eastAsia" w:ascii="宋体" w:hAnsi="宋体" w:eastAsia="宋体"/>
          <w:b w:val="0"/>
          <w:color w:val="000000"/>
          <w:kern w:val="2"/>
          <w:sz w:val="22"/>
          <w:lang w:eastAsia="zh-CN"/>
        </w:rPr>
        <w:t>乐清市人员密集场所人脸识别抓拍建设项目</w:t>
      </w:r>
      <w:r>
        <w:rPr>
          <w:rFonts w:hint="eastAsia" w:ascii="宋体" w:hAnsi="宋体" w:eastAsia="宋体"/>
          <w:b w:val="0"/>
          <w:color w:val="000000"/>
          <w:kern w:val="2"/>
          <w:sz w:val="22"/>
        </w:rPr>
        <w:t>涉及的账号管理权、图像应用及管理权归属甲方。</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1.5、</w:t>
      </w:r>
      <w:r>
        <w:rPr>
          <w:rFonts w:hint="eastAsia" w:ascii="宋体" w:hAnsi="宋体" w:eastAsia="宋体"/>
          <w:b w:val="0"/>
          <w:color w:val="000000"/>
          <w:kern w:val="2"/>
          <w:sz w:val="22"/>
          <w:lang w:eastAsia="zh-CN"/>
        </w:rPr>
        <w:t>乐清市人员密集场所人脸识别抓拍建设项目</w:t>
      </w:r>
      <w:r>
        <w:rPr>
          <w:rFonts w:hint="eastAsia" w:ascii="宋体" w:hAnsi="宋体" w:eastAsia="宋体"/>
          <w:b w:val="0"/>
          <w:color w:val="000000"/>
          <w:kern w:val="2"/>
          <w:sz w:val="22"/>
        </w:rPr>
        <w:t>涉及的杆件使用权归属甲方，未经甲方同意，乙方不得在杆件上安装任何与本项目无关设备。</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1.6、甲方对乙方的平台不能正常运行或因平台技术维护原因造成图像数据丢失有权要求乙方及时改进和承担违约责任。如遇乙方平台技术升级、承载网链路割接等，并在征得甲方同意的基础上，乙方应提前48小时通知甲方，说明可能造成的影响和范围，并确保每次平台技术升级和承载网链路割接在6小时内完成，在此时间内所造成的图像数据丢失，乙方不承担违约责任。</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2、甲方的义务</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2.1、甲方应合理使用相关的电路，不得将用于</w:t>
      </w:r>
      <w:r>
        <w:rPr>
          <w:rFonts w:hint="eastAsia" w:ascii="宋体" w:hAnsi="宋体" w:eastAsia="宋体"/>
          <w:b w:val="0"/>
          <w:color w:val="000000"/>
          <w:kern w:val="2"/>
          <w:sz w:val="22"/>
          <w:lang w:eastAsia="zh-CN"/>
        </w:rPr>
        <w:t>乐清市人员密集场所人脸识别抓拍建设项目</w:t>
      </w:r>
      <w:r>
        <w:rPr>
          <w:rFonts w:hint="eastAsia" w:ascii="宋体" w:hAnsi="宋体" w:eastAsia="宋体"/>
          <w:b w:val="0"/>
          <w:color w:val="000000"/>
          <w:kern w:val="2"/>
          <w:sz w:val="22"/>
        </w:rPr>
        <w:t>涉及的电路进行经营性活动或转租、转让给其他任何单位或个人使用。</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2.2、保证由甲方投资并连接到本项目的有关设备符合国家主管部门规定的质量标准和技术要求，保证符合相关的技术标准和规范。</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2.3、甲方应当遵守双方商定的协议资费标准，按时交纳相关费用。</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2.4、甲方应做好乙方进行</w:t>
      </w:r>
      <w:r>
        <w:rPr>
          <w:rFonts w:hint="eastAsia" w:ascii="宋体" w:hAnsi="宋体" w:eastAsia="宋体"/>
          <w:b w:val="0"/>
          <w:color w:val="000000"/>
          <w:kern w:val="2"/>
          <w:sz w:val="22"/>
          <w:lang w:eastAsia="zh-CN"/>
        </w:rPr>
        <w:t>乐清市人员密集场所人脸识别抓拍建设项目</w:t>
      </w:r>
      <w:r>
        <w:rPr>
          <w:rFonts w:hint="eastAsia" w:ascii="宋体" w:hAnsi="宋体" w:eastAsia="宋体"/>
          <w:b w:val="0"/>
          <w:color w:val="000000"/>
          <w:kern w:val="2"/>
          <w:sz w:val="22"/>
        </w:rPr>
        <w:t>涉及安装工作中的相关协调事宜和各项准备工作。主要包括：</w:t>
      </w:r>
    </w:p>
    <w:p>
      <w:pPr>
        <w:numPr>
          <w:ilvl w:val="0"/>
          <w:numId w:val="3"/>
        </w:numPr>
        <w:tabs>
          <w:tab w:val="left" w:pos="1050"/>
        </w:tabs>
        <w:autoSpaceDE w:val="0"/>
        <w:autoSpaceDN w:val="0"/>
        <w:spacing w:line="440" w:lineRule="atLeast"/>
        <w:ind w:left="1049"/>
        <w:rPr>
          <w:rFonts w:ascii="宋体" w:hAnsi="宋体" w:eastAsia="宋体"/>
          <w:b w:val="0"/>
          <w:color w:val="000000"/>
          <w:kern w:val="2"/>
          <w:sz w:val="22"/>
        </w:rPr>
      </w:pPr>
      <w:r>
        <w:rPr>
          <w:rFonts w:hint="eastAsia" w:ascii="宋体" w:hAnsi="宋体" w:eastAsia="宋体"/>
          <w:b w:val="0"/>
          <w:color w:val="000000"/>
          <w:kern w:val="2"/>
          <w:sz w:val="22"/>
        </w:rPr>
        <w:t>入网的组织、协调、勘查工作，保证其入网的各机构配合乙方的安装调测工作；</w:t>
      </w:r>
    </w:p>
    <w:p>
      <w:pPr>
        <w:numPr>
          <w:ilvl w:val="0"/>
          <w:numId w:val="3"/>
        </w:numPr>
        <w:tabs>
          <w:tab w:val="left" w:pos="1050"/>
        </w:tabs>
        <w:autoSpaceDE w:val="0"/>
        <w:autoSpaceDN w:val="0"/>
        <w:spacing w:line="460" w:lineRule="exact"/>
        <w:ind w:left="1049"/>
        <w:rPr>
          <w:rFonts w:ascii="宋体" w:hAnsi="宋体" w:eastAsia="宋体"/>
          <w:b w:val="0"/>
          <w:color w:val="000000"/>
          <w:kern w:val="2"/>
          <w:sz w:val="22"/>
        </w:rPr>
      </w:pPr>
      <w:r>
        <w:rPr>
          <w:rFonts w:hint="eastAsia" w:ascii="宋体" w:hAnsi="宋体" w:eastAsia="宋体"/>
          <w:b w:val="0"/>
          <w:color w:val="000000"/>
          <w:kern w:val="2"/>
          <w:sz w:val="22"/>
        </w:rPr>
        <w:t>甲方仅提供施工安装审批证明材料。</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2.5、甲方应当保证置于甲方场地内的乙方设备的安全，如因甲方原因损坏，由甲方负责赔偿。</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2.6、协议期内如遇点位需移机，具体费用根据实际外勘后核算。</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因道路施工、借墙点拆建等非甲乙双方原因造成监控点位停止服务预计30天以上的，甲方有权要求移机，移机费用由甲乙双方共同承担，甲方按点位移机费折半支付。</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3、乙方的权利</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3.1、乙方有权按照与甲方签署的协议，收取有关资费，以保证各系统的正常运营。</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3.2、甲方在本协议期内，不能按时履行付款义务时，乙方按照协议约定，有权停止欠费方的本协议项下有关的服务和业务，并有权对所欠费用进行追缴。</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3.3、协议期内如遇点位需移机，则乙方按照甲方要求进行移机，具体费用根据实际外勘后核算。</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因道路施工、借墙点拆建等非甲乙双方原因造成监控点位停止服务预计30天以上的，甲方有权要求移机，移机费用由甲乙双方共同承担，甲方按点位移机费折半支付。</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4、乙方的义务</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4.1、保证所提供设备达到整套系统运行质量要求，符合国家、省、市、文件相关标准、规范和建设要求，保证满足甲方正常工作需求。</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4.2、乙方应建立健全技术档案和维护档案并提供给甲方。</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4.3、乙方应负责监控图像集中存储设备级的配置和管理，不具有监控图像浏览、录像调用权限。乙方应做好运行维护人员的保密安全教育和管理，未经甲方允许不得对视频图像系统中的图像数据进行下载和传播。</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4.4、乙方应指定专门的联络人，负责本项目的技术咨询、业务开通、平台维护、前端及监控中心软硬件维护的接洽工作。</w:t>
      </w:r>
    </w:p>
    <w:p>
      <w:pPr>
        <w:snapToGrid w:val="0"/>
        <w:spacing w:line="440" w:lineRule="atLeast"/>
        <w:ind w:firstLine="440" w:firstLineChars="200"/>
        <w:rPr>
          <w:rFonts w:ascii="宋体" w:hAnsi="宋体" w:eastAsia="宋体"/>
          <w:b w:val="0"/>
          <w:color w:val="000000"/>
          <w:sz w:val="22"/>
        </w:rPr>
      </w:pPr>
      <w:r>
        <w:rPr>
          <w:rFonts w:hint="eastAsia" w:ascii="宋体" w:hAnsi="宋体" w:eastAsia="宋体"/>
          <w:b w:val="0"/>
          <w:color w:val="000000"/>
          <w:kern w:val="2"/>
          <w:sz w:val="22"/>
        </w:rPr>
        <w:t>4.5、乙方应保证提供的</w:t>
      </w:r>
      <w:r>
        <w:rPr>
          <w:rFonts w:hint="eastAsia" w:ascii="宋体" w:hAnsi="宋体" w:eastAsia="宋体"/>
          <w:b w:val="0"/>
          <w:color w:val="000000"/>
          <w:kern w:val="2"/>
          <w:sz w:val="22"/>
          <w:lang w:eastAsia="zh-CN"/>
        </w:rPr>
        <w:t>乐清市人员密集场所人脸识别抓拍建设项目</w:t>
      </w:r>
      <w:r>
        <w:rPr>
          <w:rFonts w:hint="eastAsia" w:ascii="宋体" w:hAnsi="宋体" w:eastAsia="宋体"/>
          <w:b w:val="0"/>
          <w:color w:val="000000"/>
          <w:kern w:val="2"/>
          <w:sz w:val="22"/>
        </w:rPr>
        <w:t>涉及的图像以及比对结果符合省市相关人像比对技术标准要求，视频采集压缩采用MPEG-4、H.264的方式，支持1080p/25fps/1.5~4Mbps码流（可调）。</w:t>
      </w:r>
      <w:r>
        <w:rPr>
          <w:rFonts w:hint="eastAsia" w:ascii="宋体" w:hAnsi="宋体" w:eastAsia="宋体"/>
          <w:b w:val="0"/>
          <w:color w:val="000000"/>
          <w:sz w:val="22"/>
        </w:rPr>
        <w:t>存储标准及时间为4Mbps且不少于30天，同时车辆抓拍或人脸抓拍图像接入乐清市公安局“清风”平台库内。</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不同监控点可选择不同时间长度、不同录像方式进行录像，且可动态更改。</w:t>
      </w:r>
    </w:p>
    <w:p>
      <w:pPr>
        <w:snapToGrid w:val="0"/>
        <w:spacing w:line="440" w:lineRule="atLeast"/>
        <w:ind w:firstLine="440" w:firstLineChars="200"/>
        <w:rPr>
          <w:rFonts w:ascii="宋体" w:hAnsi="宋体" w:eastAsia="宋体"/>
          <w:b w:val="0"/>
          <w:color w:val="000000"/>
          <w:sz w:val="22"/>
        </w:rPr>
      </w:pPr>
      <w:r>
        <w:rPr>
          <w:rFonts w:hint="eastAsia" w:ascii="宋体" w:hAnsi="宋体" w:eastAsia="宋体"/>
          <w:b w:val="0"/>
          <w:color w:val="000000"/>
          <w:kern w:val="2"/>
          <w:sz w:val="22"/>
        </w:rPr>
        <w:t>4.6、乙方</w:t>
      </w:r>
      <w:r>
        <w:rPr>
          <w:rFonts w:hint="eastAsia" w:ascii="宋体" w:hAnsi="宋体" w:eastAsia="宋体"/>
          <w:b w:val="0"/>
          <w:color w:val="000000"/>
          <w:sz w:val="22"/>
        </w:rPr>
        <w:t>需提供接入所需的各类光纤传输线路和网络设备。</w:t>
      </w:r>
    </w:p>
    <w:p>
      <w:pPr>
        <w:snapToGrid w:val="0"/>
        <w:spacing w:line="440" w:lineRule="atLeast"/>
        <w:ind w:firstLine="440" w:firstLineChars="200"/>
        <w:rPr>
          <w:rFonts w:ascii="宋体" w:hAnsi="宋体" w:eastAsia="宋体"/>
          <w:b w:val="0"/>
          <w:color w:val="000000"/>
          <w:sz w:val="22"/>
        </w:rPr>
      </w:pPr>
      <w:r>
        <w:rPr>
          <w:rFonts w:hint="eastAsia" w:ascii="宋体" w:hAnsi="宋体" w:eastAsia="宋体"/>
          <w:b w:val="0"/>
          <w:color w:val="000000"/>
          <w:sz w:val="22"/>
        </w:rPr>
        <w:t>公安视频专网必须与其他网络物理隔离，各节点光网传输设备均要独立提供，专网专用，本项目全程采用光纤传输，</w:t>
      </w:r>
      <w:r>
        <w:rPr>
          <w:rFonts w:hint="eastAsia" w:ascii="宋体" w:hAnsi="宋体" w:eastAsia="宋体"/>
          <w:b w:val="0"/>
          <w:color w:val="000000"/>
          <w:kern w:val="2"/>
          <w:sz w:val="22"/>
        </w:rPr>
        <w:t>达到与公安内网互连的安全性要求，要求使用公安视频专网专用OLT及光分等设备。如发现网络不是与其他网络物理隔离，网络设备、光纤链路与其它网络混用，采购人有权拒付不合规项目的网络服务费。</w:t>
      </w:r>
    </w:p>
    <w:p>
      <w:pPr>
        <w:snapToGrid w:val="0"/>
        <w:spacing w:line="440" w:lineRule="atLeast"/>
        <w:ind w:firstLine="440" w:firstLineChars="200"/>
        <w:rPr>
          <w:rFonts w:ascii="宋体" w:hAnsi="宋体" w:eastAsia="宋体"/>
          <w:b w:val="0"/>
          <w:color w:val="000000"/>
          <w:sz w:val="22"/>
        </w:rPr>
      </w:pPr>
      <w:r>
        <w:rPr>
          <w:rFonts w:hint="eastAsia" w:ascii="宋体" w:hAnsi="宋体" w:eastAsia="宋体"/>
          <w:b w:val="0"/>
          <w:color w:val="000000"/>
          <w:sz w:val="22"/>
        </w:rPr>
        <w:t>公安视频专网网络性能指标（网络时延、时延抖动、丢包率、包误差率）应达到《</w:t>
      </w:r>
      <w:r>
        <w:rPr>
          <w:rFonts w:ascii="宋体" w:hAnsi="宋体" w:eastAsia="宋体"/>
          <w:b w:val="0"/>
          <w:color w:val="000000"/>
          <w:sz w:val="22"/>
        </w:rPr>
        <w:t>YD/T 1171-2001 IP网络技术要求-网络性能参数与指标》中规定的0级服务质量等级。</w:t>
      </w:r>
    </w:p>
    <w:p>
      <w:pPr>
        <w:snapToGrid w:val="0"/>
        <w:spacing w:line="440" w:lineRule="atLeast"/>
        <w:ind w:firstLine="440" w:firstLineChars="200"/>
        <w:rPr>
          <w:rFonts w:ascii="宋体" w:hAnsi="宋体" w:eastAsia="宋体"/>
          <w:b w:val="0"/>
          <w:color w:val="000000"/>
          <w:sz w:val="22"/>
        </w:rPr>
      </w:pPr>
      <w:r>
        <w:rPr>
          <w:rFonts w:hint="eastAsia" w:ascii="宋体" w:hAnsi="宋体" w:eastAsia="宋体"/>
          <w:b w:val="0"/>
          <w:color w:val="000000"/>
          <w:sz w:val="22"/>
        </w:rPr>
        <w:t>为满足接入点多个摄像头接入和后续扩展接入，上联带宽应不小于100Mbps，满足该点位所有视频同时实时浏览、存储和业务扩展。</w:t>
      </w:r>
    </w:p>
    <w:p>
      <w:pPr>
        <w:pStyle w:val="149"/>
        <w:spacing w:line="471" w:lineRule="exact"/>
        <w:ind w:firstLine="380"/>
        <w:rPr>
          <w:rFonts w:ascii="宋体" w:hAnsi="宋体" w:eastAsia="宋体"/>
          <w:b w:val="0"/>
          <w:color w:val="000000"/>
          <w:lang w:val="en-US" w:eastAsia="zh-CN"/>
        </w:rPr>
      </w:pPr>
      <w:r>
        <w:rPr>
          <w:rFonts w:hint="eastAsia" w:ascii="宋体" w:hAnsi="宋体" w:eastAsia="宋体"/>
          <w:b w:val="0"/>
          <w:color w:val="000000"/>
          <w:kern w:val="2"/>
        </w:rPr>
        <w:t>4.7、乙方</w:t>
      </w:r>
      <w:r>
        <w:rPr>
          <w:rFonts w:hint="eastAsia" w:ascii="宋体" w:hAnsi="宋体" w:eastAsia="宋体"/>
          <w:b w:val="0"/>
          <w:color w:val="000000"/>
          <w:lang w:val="en-US" w:eastAsia="zh-CN"/>
        </w:rPr>
        <w:t>要确保本项目所有应用系统月平均在线率、可用率达到甲方考核要求。如果因非不可抗力造成月平均在线率、可用率达不到考核标准，甲方将视实际违约情况对中标供应商实施扣罚。</w:t>
      </w:r>
    </w:p>
    <w:p>
      <w:pPr>
        <w:spacing w:line="440" w:lineRule="atLeast"/>
        <w:ind w:firstLine="422" w:firstLineChars="200"/>
        <w:rPr>
          <w:rFonts w:ascii="宋体" w:hAnsi="宋体" w:eastAsia="宋体"/>
          <w:b w:val="0"/>
          <w:color w:val="000000"/>
          <w:sz w:val="22"/>
        </w:rPr>
      </w:pPr>
      <w:r>
        <w:rPr>
          <w:rFonts w:hint="eastAsia" w:ascii="宋体" w:hAnsi="宋体" w:eastAsia="宋体"/>
          <w:color w:val="000000"/>
        </w:rPr>
        <w:t>每日在线率、出图率考核监管，前端设备（包含视频监控、人脸识别抓拍、卡口抓拍）的在线率及出图率要求高于97%（指数范围包括中标供应商所有乐清在建公安雪亮工程监管点位，不包含云监控），存量高于4000路的中标供应商 ，在线率、出图率每低1%扣费0.5万元每天，存量低于4000路的中标供应商，正常率每低1%扣费0.3万元每天。采购人因工作需要中标供应商无法提供录像（前端设备故障在修、停电等已报修情况除外）附加扣除金额0.1万元每摄像机，存储维护不到位导致整机录像丢失事情扣除1万至5万。</w:t>
      </w:r>
      <w:r>
        <w:rPr>
          <w:rFonts w:hint="eastAsia" w:ascii="宋体" w:hAnsi="宋体" w:eastAsia="宋体"/>
          <w:b w:val="0"/>
          <w:color w:val="000000"/>
          <w:sz w:val="22"/>
        </w:rPr>
        <w:t>日常采集前端设备前端清洁每年至少两次（擦拭时间提前报备采购人同意</w:t>
      </w:r>
      <w:r>
        <w:rPr>
          <w:rFonts w:ascii="宋体" w:hAnsi="宋体" w:eastAsia="宋体"/>
          <w:b w:val="0"/>
          <w:color w:val="000000"/>
          <w:sz w:val="22"/>
        </w:rPr>
        <w:t>，采集过程需举证），确保摄像机图像质量清晰。遇重大活动和重要保障任务时，接</w:t>
      </w:r>
      <w:r>
        <w:rPr>
          <w:rFonts w:hint="eastAsia" w:ascii="宋体" w:hAnsi="宋体" w:eastAsia="宋体"/>
          <w:b w:val="0"/>
          <w:color w:val="000000"/>
          <w:sz w:val="22"/>
        </w:rPr>
        <w:t>甲方</w:t>
      </w:r>
      <w:r>
        <w:rPr>
          <w:rFonts w:ascii="宋体" w:hAnsi="宋体" w:eastAsia="宋体"/>
          <w:b w:val="0"/>
          <w:color w:val="000000"/>
          <w:sz w:val="22"/>
        </w:rPr>
        <w:t>通知时应立即进行巡检和擦拭，对系统存在的潜在安全或故障隐患进行分析并提出相应的解决方案加以排除。未及时完成设备清洁的每次每路摄像机扣费35元。杆件、网络箱等辅助设备出现外观破损、变异等非功能性损伤的应在24小时内予以修复或恢复原状，确保整体外观整齐美观，超时修复的，按照10元/天/点的标准扣费。</w:t>
      </w:r>
    </w:p>
    <w:p>
      <w:pPr>
        <w:spacing w:line="440" w:lineRule="atLeast"/>
        <w:ind w:firstLine="440" w:firstLineChars="200"/>
        <w:rPr>
          <w:rFonts w:ascii="宋体" w:hAnsi="宋体" w:eastAsia="宋体"/>
          <w:b w:val="0"/>
          <w:color w:val="000000"/>
          <w:sz w:val="22"/>
        </w:rPr>
      </w:pPr>
      <w:r>
        <w:rPr>
          <w:rFonts w:hint="eastAsia" w:ascii="宋体" w:hAnsi="宋体" w:eastAsia="宋体"/>
          <w:b w:val="0"/>
          <w:color w:val="000000"/>
          <w:sz w:val="22"/>
        </w:rPr>
        <w:t>故障恢复时间：对故障在60</w:t>
      </w:r>
      <w:r>
        <w:rPr>
          <w:rFonts w:ascii="宋体" w:hAnsi="宋体" w:eastAsia="宋体"/>
          <w:b w:val="0"/>
          <w:color w:val="000000"/>
          <w:sz w:val="22"/>
        </w:rPr>
        <w:t>分钟内响应，</w:t>
      </w:r>
      <w:r>
        <w:rPr>
          <w:rFonts w:hint="eastAsia" w:ascii="宋体" w:hAnsi="宋体" w:eastAsia="宋体"/>
          <w:b w:val="0"/>
          <w:color w:val="000000"/>
          <w:sz w:val="22"/>
        </w:rPr>
        <w:t>4</w:t>
      </w:r>
      <w:r>
        <w:rPr>
          <w:rFonts w:ascii="宋体" w:hAnsi="宋体" w:eastAsia="宋体"/>
          <w:b w:val="0"/>
          <w:color w:val="000000"/>
          <w:sz w:val="22"/>
        </w:rPr>
        <w:t>小时以内到现场，8小时以内解决问题；不能当场修复的，必须采取提供备品、备件或备机等措施，24小时内保证系统投入正常使用。超过上述修复时间后，</w:t>
      </w:r>
      <w:r>
        <w:rPr>
          <w:rFonts w:hint="eastAsia" w:ascii="宋体" w:hAnsi="宋体" w:eastAsia="宋体"/>
          <w:b w:val="0"/>
          <w:color w:val="000000"/>
          <w:sz w:val="22"/>
        </w:rPr>
        <w:t>采集设备</w:t>
      </w:r>
      <w:r>
        <w:rPr>
          <w:rFonts w:ascii="宋体" w:hAnsi="宋体" w:eastAsia="宋体"/>
          <w:b w:val="0"/>
          <w:color w:val="000000"/>
          <w:sz w:val="22"/>
        </w:rPr>
        <w:t>视频图像异常或功能缺失，采购人将按</w:t>
      </w:r>
      <w:r>
        <w:rPr>
          <w:rFonts w:hint="eastAsia" w:ascii="宋体" w:hAnsi="宋体" w:eastAsia="宋体"/>
          <w:b w:val="0"/>
          <w:color w:val="000000"/>
          <w:sz w:val="22"/>
        </w:rPr>
        <w:t>35</w:t>
      </w:r>
      <w:r>
        <w:rPr>
          <w:rFonts w:ascii="宋体" w:hAnsi="宋体" w:eastAsia="宋体"/>
          <w:b w:val="0"/>
          <w:color w:val="000000"/>
          <w:sz w:val="22"/>
        </w:rPr>
        <w:t>元/天/</w:t>
      </w:r>
      <w:r>
        <w:rPr>
          <w:rFonts w:hint="eastAsia" w:ascii="宋体" w:hAnsi="宋体" w:eastAsia="宋体"/>
          <w:b w:val="0"/>
          <w:color w:val="000000"/>
          <w:sz w:val="22"/>
        </w:rPr>
        <w:t>摄像机或功能点</w:t>
      </w:r>
      <w:r>
        <w:rPr>
          <w:rFonts w:ascii="宋体" w:hAnsi="宋体" w:eastAsia="宋体"/>
          <w:b w:val="0"/>
          <w:color w:val="000000"/>
          <w:sz w:val="22"/>
        </w:rPr>
        <w:t>的标准进行扣费。因道路施工、借墙点拆建等非双方原因造成监控点位停止服务超过24小时的，中标供应商须在24小时内报备，并经采购人同意后，按照10元/天/</w:t>
      </w:r>
      <w:r>
        <w:rPr>
          <w:rFonts w:hint="eastAsia" w:ascii="宋体" w:hAnsi="宋体" w:eastAsia="宋体"/>
          <w:b w:val="0"/>
          <w:color w:val="000000"/>
          <w:sz w:val="22"/>
        </w:rPr>
        <w:t>摄像机</w:t>
      </w:r>
      <w:r>
        <w:rPr>
          <w:rFonts w:ascii="宋体" w:hAnsi="宋体" w:eastAsia="宋体"/>
          <w:b w:val="0"/>
          <w:color w:val="000000"/>
          <w:sz w:val="22"/>
        </w:rPr>
        <w:t>扣费。在</w:t>
      </w:r>
      <w:r>
        <w:rPr>
          <w:rFonts w:hint="eastAsia" w:ascii="宋体" w:hAnsi="宋体" w:eastAsia="宋体"/>
          <w:b w:val="0"/>
          <w:color w:val="000000"/>
          <w:sz w:val="22"/>
        </w:rPr>
        <w:t>本项目服务期内如产生</w:t>
      </w:r>
      <w:r>
        <w:rPr>
          <w:rFonts w:ascii="宋体" w:hAnsi="宋体" w:eastAsia="宋体"/>
          <w:b w:val="0"/>
          <w:color w:val="000000"/>
          <w:sz w:val="22"/>
        </w:rPr>
        <w:t>扣除的费用</w:t>
      </w:r>
      <w:r>
        <w:rPr>
          <w:rFonts w:hint="eastAsia" w:ascii="宋体" w:hAnsi="宋体" w:eastAsia="宋体"/>
          <w:b w:val="0"/>
          <w:color w:val="000000"/>
          <w:sz w:val="22"/>
        </w:rPr>
        <w:t>，可从项目分期建设费或运维费余款中扣除。如期间扣款超出可扣资金，则从乐清市公安局与中标供应商合作“雪亮工程”类项目（包括人脸识别、视频监控、智能卡口、综合采集、交通管理）的运维协议中甲方应支付给乙方的运维费或分期建设费中扣除。</w:t>
      </w:r>
      <w:r>
        <w:rPr>
          <w:rFonts w:ascii="宋体" w:hAnsi="宋体" w:eastAsia="宋体"/>
          <w:b w:val="0"/>
          <w:color w:val="000000"/>
          <w:sz w:val="22"/>
        </w:rPr>
        <w:t>（</w:t>
      </w:r>
      <w:r>
        <w:rPr>
          <w:rFonts w:hint="eastAsia" w:ascii="宋体" w:hAnsi="宋体" w:eastAsia="宋体"/>
          <w:b w:val="0"/>
          <w:color w:val="000000"/>
          <w:sz w:val="22"/>
        </w:rPr>
        <w:t>甲方</w:t>
      </w:r>
      <w:r>
        <w:rPr>
          <w:rFonts w:ascii="宋体" w:hAnsi="宋体" w:eastAsia="宋体"/>
          <w:b w:val="0"/>
          <w:color w:val="000000"/>
          <w:sz w:val="22"/>
        </w:rPr>
        <w:t>定时向</w:t>
      </w:r>
      <w:r>
        <w:rPr>
          <w:rFonts w:hint="eastAsia" w:ascii="宋体" w:hAnsi="宋体" w:eastAsia="宋体"/>
          <w:b w:val="0"/>
          <w:color w:val="000000"/>
          <w:sz w:val="22"/>
        </w:rPr>
        <w:t>乙方</w:t>
      </w:r>
      <w:r>
        <w:rPr>
          <w:rFonts w:ascii="宋体" w:hAnsi="宋体" w:eastAsia="宋体"/>
          <w:b w:val="0"/>
          <w:color w:val="000000"/>
          <w:sz w:val="22"/>
        </w:rPr>
        <w:t>告知系统运行情况记录，故障</w:t>
      </w:r>
      <w:r>
        <w:rPr>
          <w:rFonts w:hint="eastAsia" w:ascii="宋体" w:hAnsi="宋体" w:eastAsia="宋体"/>
          <w:b w:val="0"/>
          <w:color w:val="000000"/>
          <w:sz w:val="22"/>
        </w:rPr>
        <w:t>时间以甲方告知乙方为准）。</w:t>
      </w:r>
    </w:p>
    <w:p>
      <w:pPr>
        <w:spacing w:line="440" w:lineRule="atLeast"/>
        <w:ind w:firstLine="440" w:firstLineChars="200"/>
        <w:rPr>
          <w:rFonts w:ascii="宋体" w:hAnsi="宋体" w:eastAsia="宋体"/>
          <w:b w:val="0"/>
          <w:color w:val="000000"/>
          <w:sz w:val="22"/>
        </w:rPr>
      </w:pPr>
      <w:r>
        <w:rPr>
          <w:rFonts w:hint="eastAsia" w:ascii="宋体" w:hAnsi="宋体" w:eastAsia="宋体"/>
          <w:b w:val="0"/>
          <w:color w:val="000000"/>
          <w:sz w:val="22"/>
        </w:rPr>
        <w:t>因道路施工、借墙点拆建等非双方原因造成监控点位停止服务预计</w:t>
      </w:r>
      <w:r>
        <w:rPr>
          <w:rFonts w:ascii="宋体" w:hAnsi="宋体" w:eastAsia="宋体"/>
          <w:b w:val="0"/>
          <w:color w:val="000000"/>
          <w:sz w:val="22"/>
        </w:rPr>
        <w:t>30天以上的，采购人有权要求移机，移机费用由双方共同承担，采购人按点位移机费折半支付。</w:t>
      </w:r>
    </w:p>
    <w:p>
      <w:pPr>
        <w:pStyle w:val="149"/>
        <w:spacing w:line="460" w:lineRule="exact"/>
        <w:ind w:firstLine="440" w:firstLineChars="200"/>
        <w:rPr>
          <w:rFonts w:ascii="宋体" w:hAnsi="宋体" w:eastAsia="宋体"/>
          <w:b w:val="0"/>
          <w:color w:val="000000"/>
          <w:lang w:val="en-US"/>
        </w:rPr>
      </w:pPr>
      <w:r>
        <w:rPr>
          <w:rFonts w:hint="eastAsia" w:ascii="宋体" w:hAnsi="宋体" w:eastAsia="宋体"/>
          <w:b w:val="0"/>
          <w:color w:val="000000"/>
        </w:rPr>
        <w:t>因本项目网络部署在公安视频专网上，因乙方原因违反公安网络信息安全规定而造成</w:t>
      </w:r>
      <w:r>
        <w:rPr>
          <w:rFonts w:ascii="宋体" w:hAnsi="宋体" w:eastAsia="宋体"/>
          <w:b w:val="0"/>
          <w:color w:val="000000"/>
        </w:rPr>
        <w:t xml:space="preserve"> “一机两用”、病毒感染等安全事故的，每次对</w:t>
      </w:r>
      <w:r>
        <w:rPr>
          <w:rFonts w:hint="eastAsia" w:ascii="宋体" w:hAnsi="宋体" w:eastAsia="宋体"/>
          <w:b w:val="0"/>
          <w:color w:val="000000"/>
        </w:rPr>
        <w:t>乙方</w:t>
      </w:r>
      <w:r>
        <w:rPr>
          <w:rFonts w:ascii="宋体" w:hAnsi="宋体" w:eastAsia="宋体"/>
          <w:b w:val="0"/>
          <w:color w:val="000000"/>
        </w:rPr>
        <w:t>扣款10000元；造成重大安全事故的，每次对乙方</w:t>
      </w:r>
      <w:r>
        <w:rPr>
          <w:rFonts w:hint="eastAsia" w:ascii="宋体" w:hAnsi="宋体" w:eastAsia="宋体"/>
          <w:b w:val="0"/>
          <w:color w:val="000000"/>
          <w:lang w:val="en-US" w:eastAsia="zh-CN"/>
        </w:rPr>
        <w:t>视情</w:t>
      </w:r>
      <w:r>
        <w:rPr>
          <w:rFonts w:ascii="宋体" w:hAnsi="宋体" w:eastAsia="宋体"/>
          <w:b w:val="0"/>
          <w:color w:val="000000"/>
        </w:rPr>
        <w:t>扣款</w:t>
      </w:r>
      <w:r>
        <w:rPr>
          <w:rFonts w:hint="eastAsia" w:ascii="宋体" w:hAnsi="宋体" w:eastAsia="宋体"/>
          <w:b w:val="0"/>
          <w:color w:val="000000"/>
          <w:lang w:val="en-US" w:eastAsia="zh-CN"/>
        </w:rPr>
        <w:t>10000-</w:t>
      </w:r>
      <w:r>
        <w:rPr>
          <w:rFonts w:ascii="宋体" w:hAnsi="宋体" w:eastAsia="宋体"/>
          <w:b w:val="0"/>
          <w:color w:val="000000"/>
        </w:rPr>
        <w:t>50000元。</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4.8、乙方应为甲方提供及时优质的服务，保障网络的运行稳定，负责故障的全程处理，乙方将提供365天7</w:t>
      </w:r>
      <w:r>
        <w:rPr>
          <w:rFonts w:ascii="宋体" w:hAnsi="宋体" w:eastAsia="宋体"/>
          <w:b w:val="0"/>
          <w:color w:val="000000"/>
          <w:kern w:val="2"/>
          <w:sz w:val="22"/>
        </w:rPr>
        <w:t>×</w:t>
      </w:r>
      <w:r>
        <w:rPr>
          <w:rFonts w:hint="eastAsia" w:ascii="宋体" w:hAnsi="宋体" w:eastAsia="宋体"/>
          <w:b w:val="0"/>
          <w:color w:val="000000"/>
          <w:kern w:val="2"/>
          <w:sz w:val="22"/>
        </w:rPr>
        <w:t>24小时热线电话服务，并确定专人联系。</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4.9、</w:t>
      </w:r>
      <w:r>
        <w:rPr>
          <w:rFonts w:hint="eastAsia" w:ascii="宋体" w:hAnsi="宋体" w:eastAsia="宋体"/>
          <w:b w:val="0"/>
          <w:color w:val="000000"/>
          <w:sz w:val="22"/>
        </w:rPr>
        <w:t>项目开工、延期、完工周期管控。乙方应保证其按承诺的建设进度计划执行。因乙方原因延误开工的，乙方应向采购人按1万元/天支付违约金，在支付相应阶段合同金额中扣除。若开工日期延误超过2个月的，甲方有权终止合同，乙方应全额退还前期甲方支付给乙方的相应款项，所有损失由乙方承担。若乙方未能按规定的时间完工并通过验收（包括各批次验收时间节点要求），乙方应向甲方按5000元/天支付违约金，在支付相应款项中扣除。若项目完工时间延误超过3个月的（不可抗力等因素除外），甲方有权终止合同，乙方应退还前期甲方支付给乙方的相应款项，损失由乙方自负。因台风、政策审批等非主观问题造成延期的，经双方协商同意延期，不计入相关扣款或增项。工程施工工期以开工日期起算，若乙方主观错误造成施工工期延期（需经甲方确定），每延期一个月按照月平均监理费的80%支付延期监理费。当月延期不超过15日的不需支付当月延期监理费，超过15日至30日的按月收取延期监理费，且延期费用不得超过总监理费的30%，延期监理费由乙方支付。</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4.10、若乙方提供的日常运维服务未能达到要求或不能满足甲方的运维实战需求，甲方有权按照有关规定予以调整。</w:t>
      </w:r>
    </w:p>
    <w:p>
      <w:pPr>
        <w:spacing w:line="460" w:lineRule="exac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4.11、乙方应提供详细的实施计划、工期，要求以月为单位列出可量化的实施进度，方便采购人监督。项目主要部分实施进度出现一个月以上的延期，甲方有权终止合同，由此造成的损失由乙方赔偿。</w:t>
      </w:r>
    </w:p>
    <w:p>
      <w:pPr>
        <w:numPr>
          <w:ilvl w:val="0"/>
          <w:numId w:val="2"/>
        </w:numPr>
        <w:tabs>
          <w:tab w:val="left" w:pos="1080"/>
          <w:tab w:val="clear" w:pos="900"/>
        </w:tabs>
        <w:spacing w:line="440" w:lineRule="atLeast"/>
        <w:ind w:left="1080" w:hanging="1080"/>
        <w:rPr>
          <w:rFonts w:ascii="宋体" w:hAnsi="宋体" w:eastAsia="宋体"/>
          <w:b w:val="0"/>
          <w:color w:val="000000"/>
          <w:kern w:val="2"/>
          <w:sz w:val="22"/>
        </w:rPr>
      </w:pPr>
      <w:r>
        <w:rPr>
          <w:rFonts w:hint="eastAsia" w:ascii="宋体" w:hAnsi="宋体" w:eastAsia="宋体"/>
          <w:b w:val="0"/>
          <w:color w:val="000000"/>
          <w:kern w:val="2"/>
          <w:sz w:val="22"/>
        </w:rPr>
        <w:t>工程进度安排</w:t>
      </w:r>
    </w:p>
    <w:p>
      <w:pPr>
        <w:spacing w:line="440" w:lineRule="atLeast"/>
        <w:ind w:firstLine="330" w:firstLineChars="150"/>
        <w:rPr>
          <w:rFonts w:ascii="宋体" w:hAnsi="宋体" w:eastAsia="宋体"/>
          <w:b w:val="0"/>
          <w:color w:val="000000"/>
          <w:kern w:val="2"/>
          <w:sz w:val="22"/>
        </w:rPr>
      </w:pPr>
      <w:r>
        <w:rPr>
          <w:rFonts w:hint="eastAsia" w:ascii="宋体" w:hAnsi="宋体" w:eastAsia="宋体"/>
          <w:b w:val="0"/>
          <w:color w:val="000000"/>
          <w:kern w:val="2"/>
          <w:sz w:val="22"/>
        </w:rPr>
        <w:t>项目内容至少应包含：现场勘点、光纤施工、主要设备备货、取电施工、杆件基础施工、立杆、前端设备安装、平台调试接入、试运行等。</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29"/>
        <w:gridCol w:w="2048"/>
        <w:gridCol w:w="1779"/>
        <w:gridCol w:w="19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495" w:hRule="atLeast"/>
        </w:trPr>
        <w:tc>
          <w:tcPr>
            <w:tcW w:w="2929" w:type="dxa"/>
            <w:tcBorders>
              <w:top w:val="single" w:color="auto" w:sz="4" w:space="0"/>
              <w:left w:val="single" w:color="auto" w:sz="4" w:space="0"/>
              <w:bottom w:val="single" w:color="auto" w:sz="6" w:space="0"/>
              <w:right w:val="single" w:color="auto" w:sz="6" w:space="0"/>
            </w:tcBorders>
            <w:noWrap w:val="0"/>
            <w:vAlign w:val="center"/>
          </w:tcPr>
          <w:p>
            <w:pPr>
              <w:widowControl/>
              <w:spacing w:line="440" w:lineRule="atLeast"/>
              <w:jc w:val="center"/>
              <w:rPr>
                <w:rFonts w:ascii="宋体" w:hAnsi="宋体" w:eastAsia="宋体"/>
                <w:b w:val="0"/>
                <w:color w:val="000000"/>
                <w:sz w:val="22"/>
              </w:rPr>
            </w:pPr>
            <w:r>
              <w:rPr>
                <w:rFonts w:hint="eastAsia" w:ascii="宋体" w:hAnsi="宋体" w:eastAsia="宋体"/>
                <w:b w:val="0"/>
                <w:color w:val="000000"/>
                <w:sz w:val="22"/>
              </w:rPr>
              <w:t>项目内容</w:t>
            </w:r>
          </w:p>
        </w:tc>
        <w:tc>
          <w:tcPr>
            <w:tcW w:w="2048" w:type="dxa"/>
            <w:tcBorders>
              <w:top w:val="single" w:color="auto" w:sz="4" w:space="0"/>
              <w:left w:val="single" w:color="auto" w:sz="6" w:space="0"/>
              <w:bottom w:val="single" w:color="auto" w:sz="6" w:space="0"/>
              <w:right w:val="single" w:color="auto" w:sz="6" w:space="0"/>
            </w:tcBorders>
            <w:noWrap w:val="0"/>
            <w:vAlign w:val="center"/>
          </w:tcPr>
          <w:p>
            <w:pPr>
              <w:widowControl/>
              <w:spacing w:line="440" w:lineRule="atLeast"/>
              <w:jc w:val="center"/>
              <w:rPr>
                <w:rFonts w:ascii="宋体" w:hAnsi="宋体" w:eastAsia="宋体"/>
                <w:b w:val="0"/>
                <w:color w:val="000000"/>
                <w:sz w:val="22"/>
              </w:rPr>
            </w:pPr>
            <w:r>
              <w:rPr>
                <w:rFonts w:hint="eastAsia" w:ascii="宋体" w:hAnsi="宋体" w:eastAsia="宋体"/>
                <w:b w:val="0"/>
                <w:color w:val="000000"/>
                <w:sz w:val="22"/>
              </w:rPr>
              <w:t>预计时间</w:t>
            </w:r>
          </w:p>
        </w:tc>
        <w:tc>
          <w:tcPr>
            <w:tcW w:w="1779" w:type="dxa"/>
            <w:tcBorders>
              <w:top w:val="single" w:color="auto" w:sz="4" w:space="0"/>
              <w:left w:val="single" w:color="auto" w:sz="6" w:space="0"/>
              <w:bottom w:val="single" w:color="auto" w:sz="6" w:space="0"/>
              <w:right w:val="single" w:color="auto" w:sz="6" w:space="0"/>
            </w:tcBorders>
            <w:noWrap w:val="0"/>
            <w:vAlign w:val="center"/>
          </w:tcPr>
          <w:p>
            <w:pPr>
              <w:widowControl/>
              <w:spacing w:line="440" w:lineRule="atLeast"/>
              <w:jc w:val="center"/>
              <w:rPr>
                <w:rFonts w:ascii="宋体" w:hAnsi="宋体" w:eastAsia="宋体"/>
                <w:b w:val="0"/>
                <w:color w:val="000000"/>
                <w:sz w:val="22"/>
              </w:rPr>
            </w:pPr>
            <w:r>
              <w:rPr>
                <w:rFonts w:hint="eastAsia" w:ascii="宋体" w:hAnsi="宋体" w:eastAsia="宋体"/>
                <w:b w:val="0"/>
                <w:color w:val="000000"/>
                <w:sz w:val="22"/>
              </w:rPr>
              <w:t>完成时间</w:t>
            </w:r>
          </w:p>
        </w:tc>
        <w:tc>
          <w:tcPr>
            <w:tcW w:w="1906" w:type="dxa"/>
            <w:tcBorders>
              <w:top w:val="single" w:color="auto" w:sz="4" w:space="0"/>
              <w:left w:val="single" w:color="auto" w:sz="6" w:space="0"/>
              <w:bottom w:val="single" w:color="auto" w:sz="6" w:space="0"/>
              <w:right w:val="single" w:color="auto" w:sz="4" w:space="0"/>
            </w:tcBorders>
            <w:noWrap w:val="0"/>
            <w:vAlign w:val="center"/>
          </w:tcPr>
          <w:p>
            <w:pPr>
              <w:widowControl/>
              <w:spacing w:line="440" w:lineRule="atLeast"/>
              <w:jc w:val="center"/>
              <w:rPr>
                <w:rFonts w:ascii="宋体" w:hAnsi="宋体" w:eastAsia="宋体"/>
                <w:b w:val="0"/>
                <w:color w:val="000000"/>
                <w:sz w:val="22"/>
              </w:rPr>
            </w:pPr>
            <w:r>
              <w:rPr>
                <w:rFonts w:hint="eastAsia" w:ascii="宋体" w:hAnsi="宋体" w:eastAsia="宋体"/>
                <w:b w:val="0"/>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401" w:hRule="atLeast"/>
        </w:trPr>
        <w:tc>
          <w:tcPr>
            <w:tcW w:w="2929" w:type="dxa"/>
            <w:tcBorders>
              <w:top w:val="single" w:color="auto" w:sz="6" w:space="0"/>
              <w:left w:val="single" w:color="auto" w:sz="4" w:space="0"/>
              <w:bottom w:val="single" w:color="auto" w:sz="6" w:space="0"/>
              <w:right w:val="single" w:color="auto" w:sz="6" w:space="0"/>
            </w:tcBorders>
            <w:noWrap w:val="0"/>
            <w:vAlign w:val="center"/>
          </w:tcPr>
          <w:p>
            <w:pPr>
              <w:widowControl/>
              <w:spacing w:line="440" w:lineRule="atLeast"/>
              <w:jc w:val="left"/>
              <w:rPr>
                <w:rFonts w:ascii="宋体" w:hAnsi="宋体" w:eastAsia="宋体"/>
                <w:b w:val="0"/>
                <w:color w:val="000000"/>
                <w:sz w:val="22"/>
              </w:rPr>
            </w:pPr>
          </w:p>
        </w:tc>
        <w:tc>
          <w:tcPr>
            <w:tcW w:w="2048" w:type="dxa"/>
            <w:tcBorders>
              <w:top w:val="single" w:color="auto" w:sz="6" w:space="0"/>
              <w:left w:val="single" w:color="auto" w:sz="6" w:space="0"/>
              <w:bottom w:val="single" w:color="auto" w:sz="6" w:space="0"/>
              <w:right w:val="single" w:color="auto" w:sz="6" w:space="0"/>
            </w:tcBorders>
            <w:noWrap w:val="0"/>
            <w:vAlign w:val="center"/>
          </w:tcPr>
          <w:p>
            <w:pPr>
              <w:widowControl/>
              <w:spacing w:line="440" w:lineRule="atLeast"/>
              <w:rPr>
                <w:rFonts w:ascii="宋体" w:hAnsi="宋体" w:eastAsia="宋体"/>
                <w:b w:val="0"/>
                <w:color w:val="000000"/>
                <w:sz w:val="22"/>
              </w:rPr>
            </w:pPr>
          </w:p>
        </w:tc>
        <w:tc>
          <w:tcPr>
            <w:tcW w:w="1779" w:type="dxa"/>
            <w:tcBorders>
              <w:top w:val="single" w:color="auto" w:sz="6" w:space="0"/>
              <w:left w:val="single" w:color="auto" w:sz="6" w:space="0"/>
              <w:bottom w:val="single" w:color="auto" w:sz="6" w:space="0"/>
              <w:right w:val="single" w:color="auto" w:sz="6" w:space="0"/>
            </w:tcBorders>
            <w:noWrap w:val="0"/>
            <w:vAlign w:val="center"/>
          </w:tcPr>
          <w:p>
            <w:pPr>
              <w:widowControl/>
              <w:spacing w:line="440" w:lineRule="atLeast"/>
              <w:jc w:val="left"/>
              <w:rPr>
                <w:rFonts w:ascii="宋体" w:hAnsi="宋体" w:eastAsia="宋体"/>
                <w:b w:val="0"/>
                <w:color w:val="000000"/>
                <w:sz w:val="22"/>
              </w:rPr>
            </w:pPr>
          </w:p>
        </w:tc>
        <w:tc>
          <w:tcPr>
            <w:tcW w:w="190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atLeast"/>
              <w:jc w:val="left"/>
              <w:rPr>
                <w:rFonts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250" w:hRule="atLeast"/>
        </w:trPr>
        <w:tc>
          <w:tcPr>
            <w:tcW w:w="2929" w:type="dxa"/>
            <w:tcBorders>
              <w:top w:val="single" w:color="auto" w:sz="6" w:space="0"/>
              <w:left w:val="single" w:color="auto" w:sz="4" w:space="0"/>
              <w:bottom w:val="single" w:color="auto" w:sz="4" w:space="0"/>
              <w:right w:val="single" w:color="auto" w:sz="6" w:space="0"/>
            </w:tcBorders>
            <w:noWrap w:val="0"/>
            <w:vAlign w:val="center"/>
          </w:tcPr>
          <w:p>
            <w:pPr>
              <w:widowControl/>
              <w:spacing w:line="440" w:lineRule="atLeast"/>
              <w:jc w:val="left"/>
              <w:rPr>
                <w:rFonts w:ascii="宋体" w:hAnsi="宋体" w:eastAsia="宋体"/>
                <w:b w:val="0"/>
                <w:color w:val="000000"/>
                <w:sz w:val="22"/>
              </w:rPr>
            </w:pPr>
          </w:p>
        </w:tc>
        <w:tc>
          <w:tcPr>
            <w:tcW w:w="2048" w:type="dxa"/>
            <w:tcBorders>
              <w:top w:val="single" w:color="auto" w:sz="6" w:space="0"/>
              <w:left w:val="single" w:color="auto" w:sz="6" w:space="0"/>
              <w:bottom w:val="single" w:color="auto" w:sz="4" w:space="0"/>
              <w:right w:val="single" w:color="auto" w:sz="6" w:space="0"/>
            </w:tcBorders>
            <w:noWrap w:val="0"/>
            <w:vAlign w:val="center"/>
          </w:tcPr>
          <w:p>
            <w:pPr>
              <w:widowControl/>
              <w:spacing w:line="440" w:lineRule="atLeast"/>
              <w:rPr>
                <w:rFonts w:ascii="宋体" w:hAnsi="宋体" w:eastAsia="宋体"/>
                <w:b w:val="0"/>
                <w:color w:val="000000"/>
                <w:sz w:val="22"/>
              </w:rPr>
            </w:pPr>
          </w:p>
        </w:tc>
        <w:tc>
          <w:tcPr>
            <w:tcW w:w="1779" w:type="dxa"/>
            <w:tcBorders>
              <w:top w:val="single" w:color="auto" w:sz="6" w:space="0"/>
              <w:left w:val="single" w:color="auto" w:sz="6" w:space="0"/>
              <w:bottom w:val="single" w:color="auto" w:sz="4" w:space="0"/>
              <w:right w:val="single" w:color="auto" w:sz="6" w:space="0"/>
            </w:tcBorders>
            <w:noWrap w:val="0"/>
            <w:vAlign w:val="center"/>
          </w:tcPr>
          <w:p>
            <w:pPr>
              <w:widowControl/>
              <w:spacing w:line="440" w:lineRule="atLeast"/>
              <w:jc w:val="left"/>
              <w:rPr>
                <w:rFonts w:ascii="宋体" w:hAnsi="宋体" w:eastAsia="宋体"/>
                <w:b w:val="0"/>
                <w:color w:val="000000"/>
                <w:sz w:val="22"/>
              </w:rPr>
            </w:pPr>
          </w:p>
        </w:tc>
        <w:tc>
          <w:tcPr>
            <w:tcW w:w="1906" w:type="dxa"/>
            <w:tcBorders>
              <w:top w:val="single" w:color="auto" w:sz="6" w:space="0"/>
              <w:left w:val="single" w:color="auto" w:sz="6" w:space="0"/>
              <w:bottom w:val="single" w:color="auto" w:sz="4" w:space="0"/>
              <w:right w:val="single" w:color="auto" w:sz="4" w:space="0"/>
            </w:tcBorders>
            <w:noWrap w:val="0"/>
            <w:vAlign w:val="center"/>
          </w:tcPr>
          <w:p>
            <w:pPr>
              <w:widowControl/>
              <w:spacing w:line="440" w:lineRule="atLeast"/>
              <w:jc w:val="left"/>
              <w:rPr>
                <w:rFonts w:ascii="宋体" w:hAnsi="宋体" w:eastAsia="宋体"/>
                <w:b w:val="0"/>
                <w:color w:val="000000"/>
                <w:sz w:val="22"/>
              </w:rPr>
            </w:pPr>
          </w:p>
        </w:tc>
      </w:tr>
    </w:tbl>
    <w:p>
      <w:pPr>
        <w:numPr>
          <w:ilvl w:val="0"/>
          <w:numId w:val="2"/>
        </w:numPr>
        <w:tabs>
          <w:tab w:val="left" w:pos="1080"/>
          <w:tab w:val="clear" w:pos="900"/>
        </w:tabs>
        <w:spacing w:line="440" w:lineRule="atLeast"/>
        <w:ind w:left="1080" w:hanging="1080"/>
        <w:rPr>
          <w:rFonts w:ascii="宋体" w:hAnsi="宋体" w:eastAsia="宋体"/>
          <w:b w:val="0"/>
          <w:color w:val="000000"/>
          <w:kern w:val="2"/>
          <w:sz w:val="22"/>
        </w:rPr>
      </w:pPr>
      <w:r>
        <w:rPr>
          <w:rFonts w:hint="eastAsia" w:ascii="宋体" w:hAnsi="宋体" w:eastAsia="宋体"/>
          <w:b w:val="0"/>
          <w:color w:val="000000"/>
          <w:kern w:val="2"/>
          <w:sz w:val="22"/>
        </w:rPr>
        <w:t>费用及支付方式</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1、工程总造价计人民币              元，大写：              元整。</w:t>
      </w:r>
    </w:p>
    <w:p>
      <w:pPr>
        <w:widowControl/>
        <w:autoSpaceDE w:val="0"/>
        <w:autoSpaceDN w:val="0"/>
        <w:snapToGrid w:val="0"/>
        <w:spacing w:line="46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2、履约保证金</w:t>
      </w:r>
    </w:p>
    <w:p>
      <w:pPr>
        <w:widowControl/>
        <w:autoSpaceDE w:val="0"/>
        <w:autoSpaceDN w:val="0"/>
        <w:snapToGrid w:val="0"/>
        <w:spacing w:line="46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无</w:t>
      </w:r>
    </w:p>
    <w:p>
      <w:pPr>
        <w:widowControl/>
        <w:autoSpaceDE w:val="0"/>
        <w:autoSpaceDN w:val="0"/>
        <w:snapToGrid w:val="0"/>
        <w:spacing w:line="46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 xml:space="preserve">3、付款方式： </w:t>
      </w:r>
    </w:p>
    <w:p>
      <w:pPr>
        <w:snapToGrid w:val="0"/>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按招标文件约定。</w:t>
      </w:r>
    </w:p>
    <w:p>
      <w:pPr>
        <w:spacing w:line="46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4、扣罚标准</w:t>
      </w:r>
    </w:p>
    <w:p>
      <w:pPr>
        <w:pStyle w:val="149"/>
        <w:spacing w:line="471" w:lineRule="exact"/>
        <w:ind w:firstLine="380"/>
        <w:rPr>
          <w:rFonts w:ascii="宋体" w:hAnsi="宋体" w:eastAsia="宋体"/>
          <w:b w:val="0"/>
          <w:color w:val="000000"/>
          <w:lang w:val="en-US" w:eastAsia="zh-CN"/>
        </w:rPr>
      </w:pPr>
      <w:r>
        <w:rPr>
          <w:rFonts w:hint="eastAsia" w:ascii="宋体" w:hAnsi="宋体" w:eastAsia="宋体"/>
          <w:b w:val="0"/>
          <w:color w:val="000000"/>
          <w:lang w:val="en-US" w:eastAsia="zh-CN"/>
        </w:rPr>
        <w:t>扣罚标准按照招标文件已明确的条款执行。</w:t>
      </w:r>
    </w:p>
    <w:p>
      <w:pPr>
        <w:numPr>
          <w:ilvl w:val="0"/>
          <w:numId w:val="2"/>
        </w:numPr>
        <w:tabs>
          <w:tab w:val="left" w:pos="1080"/>
          <w:tab w:val="clear" w:pos="900"/>
        </w:tabs>
        <w:spacing w:line="440" w:lineRule="atLeast"/>
        <w:ind w:left="1080" w:hanging="1080"/>
        <w:rPr>
          <w:rFonts w:ascii="宋体" w:hAnsi="宋体" w:eastAsia="宋体"/>
          <w:b w:val="0"/>
          <w:color w:val="000000"/>
          <w:kern w:val="2"/>
          <w:sz w:val="22"/>
        </w:rPr>
      </w:pPr>
      <w:r>
        <w:rPr>
          <w:rFonts w:hint="eastAsia" w:ascii="宋体" w:hAnsi="宋体" w:eastAsia="宋体"/>
          <w:b w:val="0"/>
          <w:color w:val="000000"/>
          <w:kern w:val="2"/>
          <w:sz w:val="22"/>
        </w:rPr>
        <w:t>保密</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1、未经对方书面许可，任何一方不得向第三方提供或披露与对方业务有关的资料和信息，法律另有规定的除外。</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2、甲乙双方通过本合同实施了解到对方的有关网络组织、业务发展、价格策略等商业机密时，双方均有义务为对方保密。</w:t>
      </w:r>
    </w:p>
    <w:p>
      <w:pPr>
        <w:numPr>
          <w:ilvl w:val="0"/>
          <w:numId w:val="2"/>
        </w:numPr>
        <w:tabs>
          <w:tab w:val="left" w:pos="1080"/>
          <w:tab w:val="clear" w:pos="900"/>
        </w:tabs>
        <w:spacing w:line="440" w:lineRule="atLeast"/>
        <w:ind w:left="1080" w:hanging="1080"/>
        <w:rPr>
          <w:rFonts w:ascii="宋体" w:hAnsi="宋体" w:eastAsia="宋体"/>
          <w:b w:val="0"/>
          <w:color w:val="000000"/>
          <w:kern w:val="2"/>
          <w:sz w:val="22"/>
        </w:rPr>
      </w:pPr>
      <w:r>
        <w:rPr>
          <w:rFonts w:hint="eastAsia" w:ascii="宋体" w:hAnsi="宋体" w:eastAsia="宋体"/>
          <w:b w:val="0"/>
          <w:color w:val="000000"/>
          <w:kern w:val="2"/>
          <w:sz w:val="22"/>
        </w:rPr>
        <w:t>违约</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1、任何一方未履行本合同项下的任何一项条款均被视为违约。任何一方在收到对方的具体说明违约情况的书面通知后，如确认违约行为存在，则应在二十日内对违约行为予以纠正并书面通知对方；如认为违约行为不存在，则应在二十日内向对方提出书面异议或说明。在此情形下，甲乙双方可就此问题进行协商，协商不成，按本合同争议条款解决。违约方应承担因自己的违约行为而造成的法律责任。</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2、无论本合同其他条款是否有相反约定，一方对另一方因本合同项下行为而导致的收益或利润损失、未实现预期的节约、商业信誉损失以及数据丢失等其他损失不承担责任。</w:t>
      </w:r>
    </w:p>
    <w:p>
      <w:pPr>
        <w:numPr>
          <w:ilvl w:val="0"/>
          <w:numId w:val="2"/>
        </w:numPr>
        <w:tabs>
          <w:tab w:val="left" w:pos="1080"/>
          <w:tab w:val="clear" w:pos="900"/>
        </w:tabs>
        <w:spacing w:line="440" w:lineRule="atLeast"/>
        <w:ind w:left="1080" w:hanging="1080"/>
        <w:rPr>
          <w:rFonts w:ascii="宋体" w:hAnsi="宋体" w:eastAsia="宋体"/>
          <w:b w:val="0"/>
          <w:color w:val="000000"/>
          <w:kern w:val="2"/>
          <w:sz w:val="22"/>
        </w:rPr>
      </w:pPr>
      <w:r>
        <w:rPr>
          <w:rFonts w:hint="eastAsia" w:ascii="宋体" w:hAnsi="宋体" w:eastAsia="宋体"/>
          <w:b w:val="0"/>
          <w:color w:val="000000"/>
          <w:kern w:val="2"/>
          <w:sz w:val="22"/>
        </w:rPr>
        <w:t>争议解决</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双方因本合同的履行而发生的争议，应由双方友好协商解决。协商不成，任何一方均可向被告所在地人民法院提起诉讼。在诉讼期间，本合同不涉及争议的条款仍须履行。</w:t>
      </w:r>
    </w:p>
    <w:p>
      <w:pPr>
        <w:numPr>
          <w:ilvl w:val="0"/>
          <w:numId w:val="2"/>
        </w:numPr>
        <w:tabs>
          <w:tab w:val="left" w:pos="1080"/>
          <w:tab w:val="clear" w:pos="900"/>
        </w:tabs>
        <w:spacing w:line="440" w:lineRule="atLeast"/>
        <w:ind w:left="1080" w:hanging="1080"/>
        <w:rPr>
          <w:rFonts w:ascii="宋体" w:hAnsi="宋体" w:eastAsia="宋体"/>
          <w:b w:val="0"/>
          <w:color w:val="000000"/>
          <w:kern w:val="2"/>
          <w:sz w:val="22"/>
        </w:rPr>
      </w:pPr>
      <w:r>
        <w:rPr>
          <w:rFonts w:hint="eastAsia" w:ascii="宋体" w:hAnsi="宋体" w:eastAsia="宋体"/>
          <w:b w:val="0"/>
          <w:color w:val="000000"/>
          <w:kern w:val="2"/>
          <w:sz w:val="22"/>
        </w:rPr>
        <w:t>免责条款</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1、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由于不可抗力导致合同不能或者没有必要继续履行的，本合同可由乙方解除。</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2、不可抗力指地震、台风、水灾、火灾、战争以及其他不能预见、不能避免并不能克服的客观情况。</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3、若因一方延迟履行后发生不可抗力导致不能履行，不能免除责任。</w:t>
      </w:r>
    </w:p>
    <w:p>
      <w:pPr>
        <w:numPr>
          <w:ilvl w:val="0"/>
          <w:numId w:val="2"/>
        </w:numPr>
        <w:tabs>
          <w:tab w:val="left" w:pos="1080"/>
          <w:tab w:val="clear" w:pos="900"/>
        </w:tabs>
        <w:spacing w:line="440" w:lineRule="atLeast"/>
        <w:ind w:left="1080" w:hanging="1080"/>
        <w:rPr>
          <w:rFonts w:ascii="宋体" w:hAnsi="宋体" w:eastAsia="宋体"/>
          <w:b w:val="0"/>
          <w:color w:val="000000"/>
          <w:kern w:val="2"/>
          <w:sz w:val="22"/>
        </w:rPr>
      </w:pPr>
      <w:r>
        <w:rPr>
          <w:rFonts w:hint="eastAsia" w:ascii="宋体" w:hAnsi="宋体" w:eastAsia="宋体"/>
          <w:b w:val="0"/>
          <w:color w:val="000000"/>
          <w:kern w:val="2"/>
          <w:sz w:val="22"/>
        </w:rPr>
        <w:t>合同的变更、解除</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在合同有效期内双方中任何一方欲变更或解除合同必须采取书面形式，口头无效。解除合同需提前一个月向对方提出。</w:t>
      </w:r>
    </w:p>
    <w:p>
      <w:pPr>
        <w:numPr>
          <w:ilvl w:val="0"/>
          <w:numId w:val="2"/>
        </w:numPr>
        <w:tabs>
          <w:tab w:val="left" w:pos="1080"/>
          <w:tab w:val="clear" w:pos="900"/>
        </w:tabs>
        <w:spacing w:line="440" w:lineRule="atLeast"/>
        <w:ind w:left="1080" w:hanging="1080"/>
        <w:rPr>
          <w:rFonts w:ascii="宋体" w:hAnsi="宋体" w:eastAsia="宋体"/>
          <w:b w:val="0"/>
          <w:color w:val="000000"/>
          <w:kern w:val="2"/>
          <w:sz w:val="22"/>
        </w:rPr>
      </w:pPr>
      <w:r>
        <w:rPr>
          <w:rFonts w:hint="eastAsia" w:ascii="宋体" w:hAnsi="宋体" w:eastAsia="宋体"/>
          <w:b w:val="0"/>
          <w:color w:val="000000"/>
          <w:kern w:val="2"/>
          <w:sz w:val="22"/>
        </w:rPr>
        <w:t xml:space="preserve">附则   </w:t>
      </w:r>
    </w:p>
    <w:p>
      <w:pPr>
        <w:spacing w:line="440" w:lineRule="atLeast"/>
        <w:ind w:firstLine="440" w:firstLineChars="200"/>
        <w:rPr>
          <w:rFonts w:ascii="宋体" w:hAnsi="宋体" w:eastAsia="宋体"/>
          <w:b w:val="0"/>
          <w:color w:val="000000"/>
          <w:kern w:val="2"/>
          <w:sz w:val="22"/>
        </w:rPr>
      </w:pPr>
      <w:r>
        <w:rPr>
          <w:rFonts w:hint="eastAsia" w:ascii="宋体" w:hAnsi="宋体" w:eastAsia="宋体"/>
          <w:b w:val="0"/>
          <w:color w:val="000000"/>
          <w:kern w:val="2"/>
          <w:sz w:val="22"/>
        </w:rPr>
        <w:t>1、合同正本以及附件其条款受《中华人民共和国民法典》的保护，附件作为合同正本的有效补充，与合同正本具有同等的法律效力。本合同附件有：</w:t>
      </w:r>
    </w:p>
    <w:p>
      <w:pPr>
        <w:snapToGrid w:val="0"/>
        <w:spacing w:line="440" w:lineRule="atLeast"/>
        <w:ind w:firstLine="431" w:firstLineChars="196"/>
        <w:rPr>
          <w:rFonts w:ascii="宋体" w:hAnsi="宋体" w:eastAsia="宋体"/>
          <w:b w:val="0"/>
          <w:color w:val="000000"/>
          <w:kern w:val="2"/>
          <w:sz w:val="22"/>
        </w:rPr>
      </w:pPr>
      <w:r>
        <w:rPr>
          <w:rFonts w:hint="eastAsia" w:ascii="宋体" w:hAnsi="宋体" w:eastAsia="宋体"/>
          <w:b w:val="0"/>
          <w:color w:val="000000"/>
          <w:kern w:val="2"/>
          <w:sz w:val="22"/>
        </w:rPr>
        <w:t>（1）采购人的招标文件与补充文件（如有）；</w:t>
      </w:r>
    </w:p>
    <w:p>
      <w:pPr>
        <w:snapToGrid w:val="0"/>
        <w:spacing w:line="440" w:lineRule="atLeast"/>
        <w:ind w:firstLine="431" w:firstLineChars="196"/>
        <w:rPr>
          <w:rFonts w:ascii="宋体" w:hAnsi="宋体" w:eastAsia="宋体"/>
          <w:b w:val="0"/>
          <w:color w:val="000000"/>
          <w:kern w:val="2"/>
          <w:sz w:val="22"/>
        </w:rPr>
      </w:pPr>
      <w:r>
        <w:rPr>
          <w:rFonts w:hint="eastAsia" w:ascii="宋体" w:hAnsi="宋体" w:eastAsia="宋体"/>
          <w:b w:val="0"/>
          <w:color w:val="000000"/>
          <w:kern w:val="2"/>
          <w:sz w:val="22"/>
        </w:rPr>
        <w:t>（2）中标供应商投标文件；</w:t>
      </w:r>
    </w:p>
    <w:p>
      <w:pPr>
        <w:snapToGrid w:val="0"/>
        <w:spacing w:line="440" w:lineRule="atLeast"/>
        <w:ind w:firstLine="431" w:firstLineChars="196"/>
        <w:rPr>
          <w:rFonts w:ascii="宋体" w:hAnsi="宋体" w:eastAsia="宋体"/>
          <w:b w:val="0"/>
          <w:color w:val="000000"/>
          <w:kern w:val="2"/>
          <w:sz w:val="22"/>
        </w:rPr>
      </w:pPr>
      <w:r>
        <w:rPr>
          <w:rFonts w:hint="eastAsia" w:ascii="宋体" w:hAnsi="宋体" w:eastAsia="宋体"/>
          <w:b w:val="0"/>
          <w:color w:val="000000"/>
          <w:kern w:val="2"/>
          <w:sz w:val="22"/>
        </w:rPr>
        <w:t>（3）询标纪要和承诺书；</w:t>
      </w:r>
    </w:p>
    <w:p>
      <w:pPr>
        <w:snapToGrid w:val="0"/>
        <w:spacing w:line="440" w:lineRule="atLeast"/>
        <w:ind w:firstLine="431" w:firstLineChars="196"/>
        <w:rPr>
          <w:rFonts w:ascii="宋体" w:hAnsi="宋体" w:eastAsia="宋体"/>
          <w:b w:val="0"/>
          <w:color w:val="000000"/>
          <w:kern w:val="2"/>
          <w:sz w:val="22"/>
        </w:rPr>
      </w:pPr>
      <w:r>
        <w:rPr>
          <w:rFonts w:hint="eastAsia" w:ascii="宋体" w:hAnsi="宋体" w:eastAsia="宋体"/>
          <w:b w:val="0"/>
          <w:color w:val="000000"/>
          <w:kern w:val="2"/>
          <w:sz w:val="22"/>
        </w:rPr>
        <w:t>（4）中标通知书。</w:t>
      </w:r>
    </w:p>
    <w:p>
      <w:pPr>
        <w:spacing w:line="460" w:lineRule="atLeast"/>
        <w:ind w:firstLine="323" w:firstLineChars="147"/>
        <w:rPr>
          <w:rFonts w:ascii="宋体" w:hAnsi="宋体" w:eastAsia="宋体"/>
          <w:b w:val="0"/>
          <w:color w:val="000000"/>
          <w:kern w:val="2"/>
          <w:sz w:val="22"/>
        </w:rPr>
      </w:pPr>
      <w:r>
        <w:rPr>
          <w:rFonts w:hint="eastAsia" w:ascii="宋体" w:hAnsi="宋体" w:eastAsia="宋体"/>
          <w:b w:val="0"/>
          <w:color w:val="000000"/>
          <w:kern w:val="2"/>
          <w:sz w:val="22"/>
        </w:rPr>
        <w:t>2、本合同一式  份，甲乙双方各执  份，自双方法定代表或授权代表签字并加盖公章之日起生效。其中一份合同原件交乐清市公共资源交易中心备案。</w:t>
      </w:r>
    </w:p>
    <w:p>
      <w:pPr>
        <w:snapToGrid w:val="0"/>
        <w:spacing w:line="460" w:lineRule="atLeast"/>
        <w:ind w:firstLine="440"/>
        <w:rPr>
          <w:rFonts w:ascii="宋体" w:hAnsi="宋体" w:eastAsia="宋体"/>
          <w:b w:val="0"/>
          <w:color w:val="000000"/>
          <w:sz w:val="22"/>
        </w:rPr>
      </w:pPr>
      <w:r>
        <w:rPr>
          <w:rFonts w:hint="eastAsia" w:ascii="宋体" w:hAnsi="宋体" w:eastAsia="宋体"/>
          <w:b w:val="0"/>
          <w:color w:val="000000"/>
          <w:kern w:val="2"/>
          <w:sz w:val="22"/>
        </w:rPr>
        <w:t>3、本合同包含一年系统运维服务，五年软硬件质保，两项时间从验收完毕次日开始计算。合同期满后，所有硬件设备所有权归甲方所有。</w:t>
      </w:r>
    </w:p>
    <w:p>
      <w:pPr>
        <w:spacing w:line="460" w:lineRule="atLeast"/>
        <w:rPr>
          <w:rFonts w:ascii="宋体" w:hAnsi="宋体" w:eastAsia="宋体"/>
          <w:b w:val="0"/>
          <w:color w:val="000000"/>
          <w:kern w:val="2"/>
          <w:sz w:val="22"/>
        </w:rPr>
      </w:pPr>
    </w:p>
    <w:p>
      <w:pPr>
        <w:spacing w:line="460" w:lineRule="atLeast"/>
        <w:rPr>
          <w:rFonts w:ascii="宋体" w:hAnsi="宋体" w:eastAsia="宋体"/>
          <w:b w:val="0"/>
          <w:color w:val="000000"/>
          <w:kern w:val="2"/>
          <w:sz w:val="22"/>
        </w:rPr>
      </w:pPr>
      <w:r>
        <w:rPr>
          <w:rFonts w:hint="eastAsia" w:ascii="宋体" w:hAnsi="宋体" w:eastAsia="宋体"/>
          <w:b w:val="0"/>
          <w:color w:val="000000"/>
          <w:kern w:val="2"/>
          <w:sz w:val="22"/>
        </w:rPr>
        <w:t>甲方(盖章)：                                   乙方（盖章）</w:t>
      </w:r>
    </w:p>
    <w:p>
      <w:pPr>
        <w:spacing w:line="460" w:lineRule="atLeast"/>
        <w:rPr>
          <w:rFonts w:ascii="宋体" w:hAnsi="宋体" w:eastAsia="宋体"/>
          <w:b w:val="0"/>
          <w:color w:val="000000"/>
          <w:kern w:val="2"/>
          <w:sz w:val="22"/>
        </w:rPr>
      </w:pPr>
      <w:r>
        <w:rPr>
          <w:rFonts w:hint="eastAsia" w:ascii="宋体" w:hAnsi="宋体" w:eastAsia="宋体"/>
          <w:b w:val="0"/>
          <w:color w:val="000000"/>
          <w:kern w:val="2"/>
          <w:sz w:val="22"/>
        </w:rPr>
        <w:t>法定代表人或授权代表：                         法定代表人或授权代表：</w:t>
      </w:r>
    </w:p>
    <w:p>
      <w:pPr>
        <w:spacing w:line="460" w:lineRule="atLeast"/>
        <w:rPr>
          <w:rFonts w:ascii="宋体" w:hAnsi="宋体" w:eastAsia="宋体"/>
          <w:b w:val="0"/>
          <w:color w:val="000000"/>
          <w:kern w:val="2"/>
          <w:sz w:val="22"/>
        </w:rPr>
      </w:pPr>
      <w:r>
        <w:rPr>
          <w:rFonts w:hint="eastAsia" w:ascii="宋体" w:hAnsi="宋体" w:eastAsia="宋体"/>
          <w:b w:val="0"/>
          <w:color w:val="000000"/>
          <w:kern w:val="2"/>
          <w:sz w:val="22"/>
        </w:rPr>
        <w:t>开户银行：                                     开户银行：</w:t>
      </w:r>
    </w:p>
    <w:p>
      <w:pPr>
        <w:spacing w:line="460" w:lineRule="atLeast"/>
        <w:rPr>
          <w:rFonts w:ascii="宋体" w:hAnsi="宋体" w:eastAsia="宋体"/>
          <w:b w:val="0"/>
          <w:color w:val="000000"/>
          <w:kern w:val="2"/>
          <w:sz w:val="22"/>
        </w:rPr>
      </w:pPr>
      <w:r>
        <w:rPr>
          <w:rFonts w:hint="eastAsia" w:ascii="宋体" w:hAnsi="宋体" w:eastAsia="宋体"/>
          <w:b w:val="0"/>
          <w:color w:val="000000"/>
          <w:kern w:val="2"/>
          <w:sz w:val="22"/>
        </w:rPr>
        <w:t>开户名称：                                     开户名称：</w:t>
      </w:r>
    </w:p>
    <w:p>
      <w:pPr>
        <w:spacing w:line="460" w:lineRule="atLeast"/>
        <w:rPr>
          <w:rFonts w:ascii="宋体" w:hAnsi="宋体" w:eastAsia="宋体"/>
          <w:b w:val="0"/>
          <w:color w:val="000000"/>
          <w:kern w:val="2"/>
          <w:sz w:val="22"/>
        </w:rPr>
      </w:pPr>
      <w:r>
        <w:rPr>
          <w:rFonts w:hint="eastAsia" w:ascii="宋体" w:hAnsi="宋体" w:eastAsia="宋体"/>
          <w:b w:val="0"/>
          <w:color w:val="000000"/>
          <w:kern w:val="2"/>
          <w:sz w:val="22"/>
        </w:rPr>
        <w:t>账号：                                         账号：</w:t>
      </w:r>
    </w:p>
    <w:p>
      <w:pPr>
        <w:spacing w:line="460" w:lineRule="atLeast"/>
        <w:rPr>
          <w:rFonts w:ascii="宋体" w:hAnsi="宋体" w:eastAsia="宋体"/>
          <w:b w:val="0"/>
          <w:color w:val="000000"/>
          <w:kern w:val="2"/>
          <w:sz w:val="22"/>
        </w:rPr>
      </w:pPr>
      <w:r>
        <w:rPr>
          <w:rFonts w:hint="eastAsia" w:ascii="宋体" w:hAnsi="宋体" w:eastAsia="宋体"/>
          <w:b w:val="0"/>
          <w:color w:val="000000"/>
          <w:kern w:val="2"/>
          <w:sz w:val="22"/>
        </w:rPr>
        <w:t>签约日期：                                     签约地点：</w:t>
      </w:r>
    </w:p>
    <w:p>
      <w:pPr>
        <w:autoSpaceDE w:val="0"/>
        <w:autoSpaceDN w:val="0"/>
        <w:spacing w:line="460" w:lineRule="atLeast"/>
        <w:jc w:val="center"/>
        <w:rPr>
          <w:rFonts w:ascii="宋体" w:hAnsi="宋体" w:eastAsia="宋体"/>
          <w:b w:val="0"/>
          <w:color w:val="000000"/>
          <w:sz w:val="36"/>
          <w:lang w:val="zh-CN"/>
        </w:rPr>
      </w:pPr>
      <w:r>
        <w:rPr>
          <w:rFonts w:ascii="宋体" w:hAnsi="宋体" w:eastAsia="宋体"/>
          <w:color w:val="000000"/>
        </w:rPr>
        <w:br w:type="page"/>
      </w:r>
      <w:r>
        <w:rPr>
          <w:rFonts w:hint="eastAsia" w:ascii="宋体" w:hAnsi="宋体" w:eastAsia="宋体"/>
          <w:b w:val="0"/>
          <w:color w:val="000000"/>
          <w:sz w:val="36"/>
          <w:lang w:val="zh-CN"/>
        </w:rPr>
        <w:t>第六部分</w:t>
      </w:r>
      <w:r>
        <w:rPr>
          <w:rFonts w:ascii="宋体" w:hAnsi="宋体" w:eastAsia="宋体"/>
          <w:b w:val="0"/>
          <w:color w:val="000000"/>
          <w:sz w:val="36"/>
          <w:lang w:val="zh-CN"/>
        </w:rPr>
        <w:t xml:space="preserve">    </w:t>
      </w:r>
      <w:r>
        <w:rPr>
          <w:rFonts w:hint="eastAsia" w:ascii="宋体" w:hAnsi="宋体" w:eastAsia="宋体"/>
          <w:b w:val="0"/>
          <w:color w:val="000000"/>
          <w:sz w:val="36"/>
          <w:lang w:val="zh-CN"/>
        </w:rPr>
        <w:t>附件</w:t>
      </w:r>
      <w:r>
        <w:rPr>
          <w:rFonts w:ascii="宋体" w:hAnsi="宋体" w:eastAsia="宋体"/>
          <w:b w:val="0"/>
          <w:color w:val="000000"/>
          <w:sz w:val="36"/>
        </w:rPr>
        <w:t>—</w:t>
      </w:r>
      <w:r>
        <w:rPr>
          <w:rFonts w:hint="eastAsia" w:ascii="宋体" w:hAnsi="宋体" w:eastAsia="宋体"/>
          <w:b w:val="0"/>
          <w:color w:val="000000"/>
          <w:sz w:val="36"/>
          <w:lang w:val="zh-CN"/>
        </w:rPr>
        <w:t>投标文件格式</w:t>
      </w:r>
    </w:p>
    <w:p>
      <w:pPr>
        <w:autoSpaceDE w:val="0"/>
        <w:autoSpaceDN w:val="0"/>
        <w:spacing w:line="460" w:lineRule="atLeast"/>
        <w:jc w:val="center"/>
        <w:rPr>
          <w:rFonts w:hint="eastAsia" w:ascii="宋体" w:hAnsi="宋体" w:eastAsia="宋体"/>
          <w:b w:val="0"/>
          <w:color w:val="000000"/>
          <w:sz w:val="36"/>
        </w:rPr>
      </w:pPr>
      <w:bookmarkStart w:id="78" w:name="_Toc10294"/>
      <w:r>
        <w:rPr>
          <w:rFonts w:hint="eastAsia" w:ascii="宋体" w:hAnsi="宋体" w:eastAsia="宋体"/>
          <w:b w:val="0"/>
          <w:color w:val="000000"/>
          <w:sz w:val="36"/>
        </w:rPr>
        <w:t>一、资格文件格式</w:t>
      </w:r>
    </w:p>
    <w:p>
      <w:pPr>
        <w:autoSpaceDE w:val="0"/>
        <w:autoSpaceDN w:val="0"/>
        <w:spacing w:line="460" w:lineRule="atLeast"/>
        <w:jc w:val="left"/>
        <w:rPr>
          <w:rFonts w:ascii="宋体" w:hAnsi="宋体" w:eastAsia="宋体"/>
          <w:b w:val="0"/>
          <w:color w:val="000000"/>
          <w:sz w:val="36"/>
        </w:rPr>
      </w:pPr>
      <w:r>
        <w:rPr>
          <w:rFonts w:hint="eastAsia" w:ascii="宋体" w:hAnsi="宋体" w:eastAsia="宋体"/>
          <w:b w:val="0"/>
          <w:color w:val="000000"/>
          <w:sz w:val="32"/>
          <w:szCs w:val="32"/>
          <w:lang w:val="zh-CN"/>
        </w:rPr>
        <w:t>附件一</w:t>
      </w:r>
    </w:p>
    <w:p>
      <w:pPr>
        <w:tabs>
          <w:tab w:val="left" w:pos="1080"/>
        </w:tabs>
        <w:autoSpaceDE w:val="0"/>
        <w:autoSpaceDN w:val="0"/>
        <w:spacing w:line="460" w:lineRule="atLeast"/>
        <w:jc w:val="center"/>
        <w:rPr>
          <w:rFonts w:ascii="宋体" w:hAnsi="宋体" w:eastAsia="宋体" w:cs="仿宋_GB2312"/>
          <w:b w:val="0"/>
          <w:color w:val="000000"/>
          <w:sz w:val="36"/>
          <w:lang w:val="zh-CN"/>
        </w:rPr>
      </w:pPr>
      <w:r>
        <w:rPr>
          <w:rFonts w:hint="eastAsia" w:ascii="宋体" w:hAnsi="宋体" w:eastAsia="宋体" w:cs="仿宋_GB2312"/>
          <w:b w:val="0"/>
          <w:color w:val="000000"/>
          <w:sz w:val="36"/>
          <w:lang w:val="zh-CN"/>
        </w:rPr>
        <w:t>投标供应商参与政府采购活动投标资格声明函</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2" w:hRule="atLeast"/>
        </w:trPr>
        <w:tc>
          <w:tcPr>
            <w:tcW w:w="1620" w:type="dxa"/>
            <w:noWrap w:val="0"/>
            <w:vAlign w:val="top"/>
          </w:tcPr>
          <w:p>
            <w:pPr>
              <w:pStyle w:val="25"/>
              <w:snapToGrid w:val="0"/>
              <w:spacing w:line="440" w:lineRule="exact"/>
              <w:rPr>
                <w:rFonts w:hint="default" w:ascii="宋体" w:hAnsi="宋体" w:eastAsia="宋体"/>
                <w:b w:val="0"/>
                <w:color w:val="000000"/>
                <w:sz w:val="22"/>
              </w:rPr>
            </w:pPr>
            <w:r>
              <w:rPr>
                <w:rFonts w:ascii="宋体" w:hAnsi="宋体" w:eastAsia="宋体"/>
                <w:b w:val="0"/>
                <w:color w:val="000000"/>
                <w:sz w:val="22"/>
              </w:rPr>
              <w:t>项目名称</w:t>
            </w:r>
          </w:p>
        </w:tc>
        <w:tc>
          <w:tcPr>
            <w:tcW w:w="7992" w:type="dxa"/>
            <w:noWrap w:val="0"/>
            <w:vAlign w:val="top"/>
          </w:tcPr>
          <w:p>
            <w:pPr>
              <w:pStyle w:val="25"/>
              <w:snapToGrid w:val="0"/>
              <w:spacing w:line="440" w:lineRule="exact"/>
              <w:ind w:left="422" w:firstLine="331"/>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3" w:hRule="atLeast"/>
        </w:trPr>
        <w:tc>
          <w:tcPr>
            <w:tcW w:w="1620" w:type="dxa"/>
            <w:noWrap w:val="0"/>
            <w:vAlign w:val="top"/>
          </w:tcPr>
          <w:p>
            <w:pPr>
              <w:pStyle w:val="25"/>
              <w:snapToGrid w:val="0"/>
              <w:spacing w:line="440" w:lineRule="exact"/>
              <w:rPr>
                <w:rFonts w:hint="default" w:ascii="宋体" w:hAnsi="宋体" w:eastAsia="宋体"/>
                <w:b w:val="0"/>
                <w:color w:val="000000"/>
                <w:sz w:val="22"/>
              </w:rPr>
            </w:pPr>
            <w:r>
              <w:rPr>
                <w:rFonts w:ascii="宋体" w:hAnsi="宋体" w:eastAsia="宋体"/>
                <w:b w:val="0"/>
                <w:color w:val="000000"/>
                <w:sz w:val="22"/>
              </w:rPr>
              <w:t>项目编号</w:t>
            </w:r>
          </w:p>
        </w:tc>
        <w:tc>
          <w:tcPr>
            <w:tcW w:w="7992" w:type="dxa"/>
            <w:noWrap w:val="0"/>
            <w:vAlign w:val="top"/>
          </w:tcPr>
          <w:p>
            <w:pPr>
              <w:pStyle w:val="25"/>
              <w:snapToGrid w:val="0"/>
              <w:spacing w:line="440" w:lineRule="exact"/>
              <w:ind w:left="422" w:firstLine="361"/>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620" w:type="dxa"/>
            <w:noWrap w:val="0"/>
            <w:vAlign w:val="top"/>
          </w:tcPr>
          <w:p>
            <w:pPr>
              <w:pStyle w:val="25"/>
              <w:snapToGrid w:val="0"/>
              <w:spacing w:line="440" w:lineRule="exact"/>
              <w:rPr>
                <w:rFonts w:hint="default" w:ascii="宋体" w:hAnsi="宋体" w:eastAsia="宋体"/>
                <w:b w:val="0"/>
                <w:color w:val="000000"/>
                <w:sz w:val="22"/>
              </w:rPr>
            </w:pPr>
            <w:r>
              <w:rPr>
                <w:rFonts w:ascii="宋体" w:hAnsi="宋体" w:eastAsia="宋体"/>
                <w:b w:val="0"/>
                <w:color w:val="000000"/>
                <w:sz w:val="22"/>
              </w:rPr>
              <w:t>时    间</w:t>
            </w:r>
          </w:p>
        </w:tc>
        <w:tc>
          <w:tcPr>
            <w:tcW w:w="7992" w:type="dxa"/>
            <w:noWrap w:val="0"/>
            <w:vAlign w:val="top"/>
          </w:tcPr>
          <w:p>
            <w:pPr>
              <w:pStyle w:val="25"/>
              <w:snapToGrid w:val="0"/>
              <w:spacing w:line="440" w:lineRule="exact"/>
              <w:rPr>
                <w:rFonts w:hint="default" w:ascii="宋体" w:hAnsi="宋体" w:eastAsia="宋体"/>
                <w:b w:val="0"/>
                <w:color w:val="000000"/>
                <w:sz w:val="22"/>
              </w:rPr>
            </w:pPr>
            <w:r>
              <w:rPr>
                <w:rFonts w:ascii="宋体" w:hAnsi="宋体" w:eastAsia="宋体" w:cs="宋体"/>
                <w:b w:val="0"/>
                <w:color w:val="000000"/>
                <w:sz w:val="22"/>
              </w:rPr>
              <w:t>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6" w:hRule="atLeast"/>
        </w:trPr>
        <w:tc>
          <w:tcPr>
            <w:tcW w:w="9612" w:type="dxa"/>
            <w:gridSpan w:val="2"/>
            <w:noWrap w:val="0"/>
            <w:vAlign w:val="top"/>
          </w:tcPr>
          <w:p>
            <w:pPr>
              <w:pStyle w:val="25"/>
              <w:snapToGrid w:val="0"/>
              <w:spacing w:line="400" w:lineRule="exact"/>
              <w:ind w:firstLine="450"/>
              <w:rPr>
                <w:rFonts w:hint="default" w:ascii="宋体" w:hAnsi="宋体" w:eastAsia="宋体"/>
                <w:b w:val="0"/>
                <w:color w:val="000000"/>
                <w:sz w:val="22"/>
              </w:rPr>
            </w:pPr>
            <w:r>
              <w:rPr>
                <w:rFonts w:ascii="宋体" w:hAnsi="宋体" w:eastAsia="宋体"/>
                <w:b w:val="0"/>
                <w:color w:val="000000"/>
                <w:sz w:val="22"/>
              </w:rPr>
              <w:t>我单位参与</w:t>
            </w:r>
            <w:r>
              <w:rPr>
                <w:rFonts w:hint="eastAsia" w:ascii="宋体" w:hAnsi="宋体" w:eastAsia="宋体"/>
                <w:b w:val="0"/>
                <w:color w:val="000000"/>
                <w:sz w:val="22"/>
                <w:lang w:eastAsia="zh-CN"/>
              </w:rPr>
              <w:t>乐清市人员密集场所人脸识别抓拍建设项目</w:t>
            </w:r>
            <w:r>
              <w:rPr>
                <w:rFonts w:ascii="宋体" w:hAnsi="宋体" w:eastAsia="宋体"/>
                <w:b w:val="0"/>
                <w:color w:val="000000"/>
                <w:sz w:val="22"/>
              </w:rPr>
              <w:t>投标，现声明如下：</w:t>
            </w:r>
          </w:p>
          <w:p>
            <w:pPr>
              <w:pStyle w:val="25"/>
              <w:snapToGrid w:val="0"/>
              <w:spacing w:line="400" w:lineRule="exact"/>
              <w:ind w:firstLine="450"/>
              <w:rPr>
                <w:rFonts w:hint="default" w:ascii="宋体" w:hAnsi="宋体" w:eastAsia="宋体"/>
                <w:b w:val="0"/>
                <w:color w:val="000000"/>
                <w:sz w:val="22"/>
              </w:rPr>
            </w:pPr>
            <w:r>
              <w:rPr>
                <w:rFonts w:ascii="宋体" w:hAnsi="宋体" w:eastAsia="宋体"/>
                <w:b w:val="0"/>
                <w:color w:val="000000"/>
                <w:sz w:val="22"/>
              </w:rPr>
              <w:t xml:space="preserve">1、我单位符合政府采购法第二十二条规定。 </w:t>
            </w:r>
          </w:p>
          <w:p>
            <w:pPr>
              <w:pStyle w:val="25"/>
              <w:snapToGrid w:val="0"/>
              <w:spacing w:line="400" w:lineRule="exact"/>
              <w:ind w:firstLine="450"/>
              <w:rPr>
                <w:rFonts w:hint="default" w:ascii="宋体" w:hAnsi="宋体" w:eastAsia="宋体"/>
                <w:b w:val="0"/>
                <w:color w:val="000000"/>
                <w:sz w:val="22"/>
              </w:rPr>
            </w:pPr>
            <w:r>
              <w:rPr>
                <w:rFonts w:ascii="宋体" w:hAnsi="宋体" w:eastAsia="宋体"/>
                <w:b w:val="0"/>
                <w:color w:val="000000"/>
                <w:sz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ascii="宋体" w:hAnsi="宋体" w:eastAsia="宋体"/>
                <w:color w:val="000000"/>
                <w:sz w:val="22"/>
                <w:u w:val="single"/>
              </w:rPr>
              <w:t>□</w:t>
            </w:r>
            <w:r>
              <w:rPr>
                <w:rFonts w:ascii="宋体" w:hAnsi="宋体" w:eastAsia="宋体"/>
                <w:b w:val="0"/>
                <w:color w:val="000000"/>
                <w:sz w:val="22"/>
                <w:u w:val="single"/>
              </w:rPr>
              <w:t>存在/</w:t>
            </w:r>
            <w:r>
              <w:rPr>
                <w:rFonts w:ascii="宋体" w:hAnsi="宋体" w:eastAsia="宋体"/>
                <w:color w:val="000000"/>
                <w:sz w:val="22"/>
                <w:u w:val="single"/>
              </w:rPr>
              <w:t>□</w:t>
            </w:r>
            <w:r>
              <w:rPr>
                <w:rFonts w:ascii="宋体" w:hAnsi="宋体" w:eastAsia="宋体"/>
                <w:b w:val="0"/>
                <w:color w:val="000000"/>
                <w:sz w:val="22"/>
                <w:u w:val="single"/>
              </w:rPr>
              <w:t>不存在</w:t>
            </w:r>
            <w:r>
              <w:rPr>
                <w:rFonts w:ascii="宋体" w:hAnsi="宋体" w:eastAsia="宋体"/>
                <w:b w:val="0"/>
                <w:color w:val="000000"/>
                <w:sz w:val="22"/>
              </w:rPr>
              <w:t>上述文件规定依法限制参与政府采购的情况。（说明：在</w:t>
            </w:r>
            <w:r>
              <w:rPr>
                <w:rFonts w:ascii="宋体" w:hAnsi="宋体" w:eastAsia="宋体"/>
                <w:color w:val="000000"/>
                <w:sz w:val="22"/>
              </w:rPr>
              <w:t>□</w:t>
            </w:r>
            <w:r>
              <w:rPr>
                <w:rFonts w:ascii="宋体" w:hAnsi="宋体" w:eastAsia="宋体"/>
                <w:b w:val="0"/>
                <w:color w:val="000000"/>
                <w:sz w:val="22"/>
              </w:rPr>
              <w:t>上打</w:t>
            </w:r>
            <w:r>
              <w:rPr>
                <w:rFonts w:ascii="宋体" w:hAnsi="宋体" w:eastAsia="宋体"/>
                <w:color w:val="000000"/>
                <w:sz w:val="22"/>
              </w:rPr>
              <w:t>√</w:t>
            </w:r>
            <w:r>
              <w:rPr>
                <w:rFonts w:ascii="宋体" w:hAnsi="宋体" w:eastAsia="宋体" w:cs="MS Mincho"/>
                <w:b w:val="0"/>
                <w:color w:val="000000"/>
                <w:sz w:val="22"/>
              </w:rPr>
              <w:t>。</w:t>
            </w:r>
            <w:r>
              <w:rPr>
                <w:rFonts w:ascii="宋体" w:hAnsi="宋体" w:eastAsia="宋体"/>
                <w:b w:val="0"/>
                <w:color w:val="000000"/>
                <w:sz w:val="22"/>
              </w:rPr>
              <w:t>）</w:t>
            </w:r>
          </w:p>
          <w:p>
            <w:pPr>
              <w:tabs>
                <w:tab w:val="center" w:pos="4483"/>
              </w:tabs>
              <w:spacing w:line="400" w:lineRule="exact"/>
              <w:ind w:firstLine="400"/>
              <w:rPr>
                <w:rFonts w:ascii="宋体" w:hAnsi="宋体" w:eastAsia="宋体"/>
                <w:b w:val="0"/>
                <w:color w:val="000000"/>
                <w:sz w:val="22"/>
              </w:rPr>
            </w:pPr>
            <w:r>
              <w:rPr>
                <w:rFonts w:ascii="宋体" w:hAnsi="宋体" w:eastAsia="宋体"/>
                <w:b w:val="0"/>
                <w:color w:val="000000"/>
                <w:sz w:val="22"/>
              </w:rPr>
              <w:t>3、我单位</w:t>
            </w:r>
            <w:r>
              <w:rPr>
                <w:rFonts w:ascii="宋体" w:hAnsi="宋体" w:eastAsia="宋体"/>
                <w:color w:val="000000"/>
                <w:sz w:val="22"/>
              </w:rPr>
              <w:t>□</w:t>
            </w:r>
            <w:r>
              <w:rPr>
                <w:rFonts w:ascii="宋体" w:hAnsi="宋体" w:eastAsia="宋体"/>
                <w:b w:val="0"/>
                <w:color w:val="000000"/>
                <w:sz w:val="22"/>
              </w:rPr>
              <w:t>没有被限制参加政府采购活动/</w:t>
            </w:r>
            <w:r>
              <w:rPr>
                <w:rFonts w:ascii="宋体" w:hAnsi="宋体" w:eastAsia="宋体"/>
                <w:color w:val="000000"/>
                <w:sz w:val="22"/>
              </w:rPr>
              <w:t>□</w:t>
            </w:r>
            <w:r>
              <w:rPr>
                <w:rFonts w:ascii="宋体" w:hAnsi="宋体" w:eastAsia="宋体"/>
                <w:b w:val="0"/>
                <w:color w:val="000000"/>
                <w:sz w:val="22"/>
              </w:rPr>
              <w:t>在参加政府采购活动前3年内因违法经营被禁止在一定期限内参加政府采购活动，但期限届满，已可以参加政府采购活动。（说明：在</w:t>
            </w:r>
            <w:r>
              <w:rPr>
                <w:rFonts w:ascii="宋体" w:hAnsi="宋体" w:eastAsia="宋体"/>
                <w:color w:val="000000"/>
                <w:sz w:val="22"/>
              </w:rPr>
              <w:t>□</w:t>
            </w:r>
            <w:r>
              <w:rPr>
                <w:rFonts w:ascii="宋体" w:hAnsi="宋体" w:eastAsia="宋体"/>
                <w:b w:val="0"/>
                <w:color w:val="000000"/>
                <w:sz w:val="22"/>
              </w:rPr>
              <w:t>上打</w:t>
            </w:r>
            <w:r>
              <w:rPr>
                <w:rFonts w:ascii="宋体" w:hAnsi="宋体" w:eastAsia="宋体"/>
                <w:color w:val="000000"/>
                <w:sz w:val="22"/>
              </w:rPr>
              <w:t>√</w:t>
            </w:r>
            <w:r>
              <w:rPr>
                <w:rFonts w:ascii="宋体" w:hAnsi="宋体" w:eastAsia="宋体" w:cs="MS Mincho"/>
                <w:b w:val="0"/>
                <w:color w:val="000000"/>
                <w:sz w:val="22"/>
              </w:rPr>
              <w:t>。</w:t>
            </w:r>
            <w:r>
              <w:rPr>
                <w:rFonts w:ascii="宋体" w:hAnsi="宋体" w:eastAsia="宋体"/>
                <w:b w:val="0"/>
                <w:color w:val="000000"/>
                <w:sz w:val="22"/>
              </w:rPr>
              <w:t>）</w:t>
            </w:r>
          </w:p>
          <w:p>
            <w:pPr>
              <w:tabs>
                <w:tab w:val="center" w:pos="4483"/>
              </w:tabs>
              <w:spacing w:line="400" w:lineRule="exact"/>
              <w:ind w:firstLine="400"/>
              <w:rPr>
                <w:rFonts w:ascii="宋体" w:hAnsi="宋体" w:eastAsia="宋体" w:cs="宋体"/>
                <w:b w:val="0"/>
                <w:color w:val="000000"/>
                <w:sz w:val="22"/>
                <w:u w:val="single"/>
              </w:rPr>
            </w:pPr>
            <w:r>
              <w:rPr>
                <w:rFonts w:hint="eastAsia" w:ascii="宋体" w:hAnsi="宋体" w:eastAsia="宋体" w:cs="宋体"/>
                <w:b w:val="0"/>
                <w:color w:val="000000"/>
                <w:sz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eastAsia="宋体" w:cs="宋体"/>
                <w:b w:val="0"/>
                <w:color w:val="000000"/>
                <w:sz w:val="22"/>
                <w:u w:val="single"/>
              </w:rPr>
              <w:t xml:space="preserve">                    </w:t>
            </w:r>
          </w:p>
          <w:p>
            <w:pPr>
              <w:tabs>
                <w:tab w:val="center" w:pos="4483"/>
              </w:tabs>
              <w:spacing w:line="400" w:lineRule="exact"/>
              <w:ind w:firstLine="400"/>
              <w:rPr>
                <w:rFonts w:ascii="宋体" w:hAnsi="宋体" w:eastAsia="宋体" w:cs="宋体"/>
                <w:b w:val="0"/>
                <w:color w:val="000000"/>
                <w:sz w:val="22"/>
              </w:rPr>
            </w:pPr>
            <w:r>
              <w:rPr>
                <w:rFonts w:hint="eastAsia" w:ascii="宋体" w:hAnsi="宋体" w:eastAsia="宋体" w:cs="宋体"/>
                <w:b w:val="0"/>
                <w:color w:val="000000"/>
                <w:sz w:val="22"/>
              </w:rPr>
              <w:t>5、我单位符合本项目特定资格条件：</w:t>
            </w:r>
            <w:r>
              <w:rPr>
                <w:rFonts w:hint="eastAsia" w:ascii="宋体" w:hAnsi="宋体" w:eastAsia="宋体" w:cs="宋体"/>
                <w:b w:val="0"/>
                <w:color w:val="000000"/>
                <w:sz w:val="22"/>
                <w:u w:val="single"/>
              </w:rPr>
              <w:t xml:space="preserve">               </w:t>
            </w:r>
            <w:r>
              <w:rPr>
                <w:rFonts w:hint="eastAsia" w:ascii="宋体" w:hAnsi="宋体" w:eastAsia="宋体" w:cs="宋体"/>
                <w:b w:val="0"/>
                <w:color w:val="000000"/>
                <w:sz w:val="22"/>
              </w:rPr>
              <w:t>的要求，并在投标文件中提供了相应的证明材料（招标文件没有要求特定资格条件的，本条款空格处可以空白）</w:t>
            </w:r>
          </w:p>
          <w:p>
            <w:pPr>
              <w:tabs>
                <w:tab w:val="center" w:pos="4483"/>
              </w:tabs>
              <w:spacing w:line="400" w:lineRule="exact"/>
              <w:ind w:firstLine="440" w:firstLineChars="200"/>
              <w:rPr>
                <w:rFonts w:ascii="宋体" w:hAnsi="宋体" w:eastAsia="宋体" w:cs="宋体"/>
                <w:b w:val="0"/>
                <w:color w:val="000000"/>
                <w:sz w:val="22"/>
              </w:rPr>
            </w:pPr>
            <w:r>
              <w:rPr>
                <w:rFonts w:hint="eastAsia" w:ascii="宋体" w:hAnsi="宋体" w:eastAsia="宋体" w:cs="宋体"/>
                <w:b w:val="0"/>
                <w:color w:val="000000"/>
                <w:sz w:val="22"/>
              </w:rPr>
              <w:t>6、我单位与参加本次项目同一合同项下政府采购活动的其他供应商不存在单位负责人为同一人或者直接控股、管理关系。</w:t>
            </w:r>
          </w:p>
          <w:p>
            <w:pPr>
              <w:tabs>
                <w:tab w:val="center" w:pos="4483"/>
              </w:tabs>
              <w:spacing w:line="400" w:lineRule="exact"/>
              <w:ind w:firstLine="440" w:firstLineChars="200"/>
              <w:rPr>
                <w:rFonts w:ascii="宋体" w:hAnsi="宋体" w:eastAsia="宋体"/>
                <w:color w:val="000000"/>
                <w:sz w:val="20"/>
              </w:rPr>
            </w:pPr>
            <w:r>
              <w:rPr>
                <w:rFonts w:hint="eastAsia" w:ascii="宋体" w:hAnsi="宋体" w:eastAsia="宋体" w:cs="宋体"/>
                <w:b w:val="0"/>
                <w:color w:val="000000"/>
                <w:sz w:val="22"/>
              </w:rPr>
              <w:t>7、本公司所提交的声明和陈述均是真实的、准确的。若与真实情况不符，本公司愿意承担由此而产生的一切后果。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1" w:hRule="atLeast"/>
        </w:trPr>
        <w:tc>
          <w:tcPr>
            <w:tcW w:w="9612" w:type="dxa"/>
            <w:gridSpan w:val="2"/>
            <w:noWrap w:val="0"/>
            <w:vAlign w:val="center"/>
          </w:tcPr>
          <w:p>
            <w:pPr>
              <w:pStyle w:val="25"/>
              <w:snapToGrid w:val="0"/>
              <w:spacing w:line="440" w:lineRule="exact"/>
              <w:rPr>
                <w:rFonts w:hint="default" w:ascii="宋体" w:hAnsi="宋体" w:eastAsia="宋体"/>
                <w:b w:val="0"/>
                <w:color w:val="000000"/>
                <w:sz w:val="22"/>
              </w:rPr>
            </w:pPr>
            <w:r>
              <w:rPr>
                <w:rFonts w:ascii="宋体" w:hAnsi="宋体" w:eastAsia="宋体"/>
                <w:b w:val="0"/>
                <w:color w:val="000000"/>
                <w:sz w:val="22"/>
              </w:rPr>
              <w:t>投标供应商（盖章）：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9" w:hRule="atLeast"/>
        </w:trPr>
        <w:tc>
          <w:tcPr>
            <w:tcW w:w="9612" w:type="dxa"/>
            <w:gridSpan w:val="2"/>
            <w:noWrap w:val="0"/>
            <w:vAlign w:val="center"/>
          </w:tcPr>
          <w:p>
            <w:pPr>
              <w:pStyle w:val="25"/>
              <w:snapToGrid w:val="0"/>
              <w:spacing w:line="440" w:lineRule="exact"/>
              <w:rPr>
                <w:rFonts w:hint="default" w:ascii="宋体" w:hAnsi="宋体" w:eastAsia="宋体"/>
                <w:b w:val="0"/>
                <w:color w:val="000000"/>
                <w:sz w:val="22"/>
              </w:rPr>
            </w:pPr>
            <w:r>
              <w:rPr>
                <w:rFonts w:ascii="宋体" w:hAnsi="宋体" w:eastAsia="宋体"/>
                <w:b w:val="0"/>
                <w:color w:val="000000"/>
                <w:sz w:val="22"/>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7" w:hRule="atLeast"/>
        </w:trPr>
        <w:tc>
          <w:tcPr>
            <w:tcW w:w="9612" w:type="dxa"/>
            <w:gridSpan w:val="2"/>
            <w:noWrap w:val="0"/>
            <w:vAlign w:val="center"/>
          </w:tcPr>
          <w:p>
            <w:pPr>
              <w:pStyle w:val="25"/>
              <w:snapToGrid w:val="0"/>
              <w:spacing w:line="440" w:lineRule="exact"/>
              <w:rPr>
                <w:rFonts w:hint="default" w:ascii="宋体" w:hAnsi="宋体" w:eastAsia="宋体"/>
                <w:b w:val="0"/>
                <w:color w:val="000000"/>
                <w:sz w:val="22"/>
              </w:rPr>
            </w:pPr>
            <w:r>
              <w:rPr>
                <w:rFonts w:ascii="宋体" w:hAnsi="宋体" w:eastAsia="宋体"/>
                <w:b w:val="0"/>
                <w:color w:val="000000"/>
                <w:sz w:val="22"/>
              </w:rPr>
              <w:t>日期：</w:t>
            </w:r>
          </w:p>
        </w:tc>
      </w:tr>
    </w:tbl>
    <w:p>
      <w:pPr>
        <w:snapToGrid w:val="0"/>
        <w:spacing w:line="500" w:lineRule="atLeast"/>
        <w:jc w:val="center"/>
        <w:rPr>
          <w:rFonts w:ascii="宋体" w:hAnsi="宋体" w:eastAsia="宋体"/>
          <w:b w:val="0"/>
          <w:color w:val="000000"/>
          <w:sz w:val="36"/>
        </w:rPr>
      </w:pPr>
      <w:r>
        <w:rPr>
          <w:rFonts w:ascii="宋体" w:hAnsi="宋体" w:eastAsia="宋体"/>
          <w:color w:val="000000"/>
        </w:rPr>
        <w:br w:type="page"/>
      </w:r>
      <w:r>
        <w:rPr>
          <w:rFonts w:hint="eastAsia" w:ascii="宋体" w:hAnsi="宋体" w:eastAsia="宋体"/>
          <w:b w:val="0"/>
          <w:color w:val="000000"/>
          <w:sz w:val="36"/>
        </w:rPr>
        <w:t>二、报价文件格式</w:t>
      </w:r>
      <w:bookmarkEnd w:id="78"/>
    </w:p>
    <w:p>
      <w:pPr>
        <w:autoSpaceDE w:val="0"/>
        <w:autoSpaceDN w:val="0"/>
        <w:spacing w:line="460" w:lineRule="atLeast"/>
        <w:rPr>
          <w:rFonts w:ascii="宋体" w:hAnsi="宋体" w:eastAsia="宋体"/>
          <w:b w:val="0"/>
          <w:color w:val="000000"/>
          <w:sz w:val="32"/>
          <w:szCs w:val="32"/>
          <w:lang w:val="zh-CN"/>
        </w:rPr>
      </w:pPr>
      <w:bookmarkStart w:id="79" w:name="_Toc25524"/>
      <w:r>
        <w:rPr>
          <w:rFonts w:hint="eastAsia" w:ascii="宋体" w:hAnsi="宋体" w:eastAsia="宋体"/>
          <w:b w:val="0"/>
          <w:color w:val="000000"/>
          <w:sz w:val="32"/>
          <w:szCs w:val="32"/>
          <w:lang w:val="zh-CN"/>
        </w:rPr>
        <w:t>附件二</w:t>
      </w:r>
    </w:p>
    <w:p>
      <w:pPr>
        <w:autoSpaceDE w:val="0"/>
        <w:autoSpaceDN w:val="0"/>
        <w:spacing w:line="460" w:lineRule="atLeast"/>
        <w:jc w:val="center"/>
        <w:rPr>
          <w:rFonts w:ascii="宋体" w:hAnsi="宋体" w:eastAsia="宋体"/>
          <w:b w:val="0"/>
          <w:color w:val="000000"/>
          <w:sz w:val="36"/>
          <w:lang w:val="zh-CN"/>
        </w:rPr>
      </w:pPr>
      <w:r>
        <w:rPr>
          <w:rFonts w:hint="eastAsia" w:ascii="宋体" w:hAnsi="宋体" w:eastAsia="宋体"/>
          <w:b w:val="0"/>
          <w:color w:val="000000"/>
          <w:sz w:val="36"/>
          <w:lang w:val="zh-CN"/>
        </w:rPr>
        <w:t>标项一开标一览表</w:t>
      </w:r>
      <w:bookmarkEnd w:id="79"/>
    </w:p>
    <w:p>
      <w:pPr>
        <w:autoSpaceDE w:val="0"/>
        <w:autoSpaceDN w:val="0"/>
        <w:spacing w:line="460" w:lineRule="atLeast"/>
        <w:jc w:val="left"/>
        <w:rPr>
          <w:rFonts w:ascii="宋体" w:hAnsi="宋体" w:eastAsia="宋体"/>
          <w:b w:val="0"/>
          <w:color w:val="000000"/>
          <w:sz w:val="22"/>
          <w:lang w:val="zh-CN"/>
        </w:rPr>
      </w:pPr>
      <w:r>
        <w:rPr>
          <w:rFonts w:hint="eastAsia" w:ascii="宋体" w:hAnsi="宋体" w:eastAsia="宋体"/>
          <w:b w:val="0"/>
          <w:color w:val="000000"/>
          <w:sz w:val="22"/>
          <w:lang w:val="zh-CN"/>
        </w:rPr>
        <w:t>项目编号：</w:t>
      </w:r>
      <w:r>
        <w:rPr>
          <w:rFonts w:ascii="宋体" w:hAnsi="宋体" w:eastAsia="宋体"/>
          <w:b w:val="0"/>
          <w:color w:val="000000"/>
          <w:sz w:val="22"/>
          <w:u w:val="single"/>
          <w:lang w:val="zh-CN"/>
        </w:rPr>
        <w:t xml:space="preserve">         </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 xml:space="preserve">       </w:t>
      </w:r>
    </w:p>
    <w:tbl>
      <w:tblPr>
        <w:tblStyle w:val="4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2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7" w:hRule="atLeast"/>
        </w:trPr>
        <w:tc>
          <w:tcPr>
            <w:tcW w:w="1526"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项目名称</w:t>
            </w:r>
          </w:p>
        </w:tc>
        <w:tc>
          <w:tcPr>
            <w:tcW w:w="2126"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投标价（元）</w:t>
            </w:r>
          </w:p>
        </w:tc>
        <w:tc>
          <w:tcPr>
            <w:tcW w:w="6237" w:type="dxa"/>
            <w:noWrap w:val="0"/>
            <w:vAlign w:val="center"/>
          </w:tcPr>
          <w:p>
            <w:pPr>
              <w:spacing w:line="460" w:lineRule="exact"/>
              <w:jc w:val="center"/>
              <w:rPr>
                <w:rFonts w:ascii="宋体" w:hAnsi="宋体" w:eastAsia="宋体"/>
                <w:b w:val="0"/>
                <w:color w:val="000000"/>
                <w:sz w:val="22"/>
              </w:rPr>
            </w:pPr>
            <w:r>
              <w:rPr>
                <w:rFonts w:ascii="宋体" w:hAnsi="宋体" w:eastAsia="宋体"/>
                <w:b w:val="0"/>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097" w:hRule="atLeast"/>
        </w:trPr>
        <w:tc>
          <w:tcPr>
            <w:tcW w:w="1526"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lang w:eastAsia="zh-CN"/>
              </w:rPr>
              <w:t>乐清市人员密集场所人脸识别抓拍建设项目</w:t>
            </w:r>
            <w:r>
              <w:rPr>
                <w:rFonts w:hint="eastAsia" w:ascii="宋体" w:hAnsi="宋体" w:eastAsia="宋体"/>
                <w:b w:val="0"/>
                <w:color w:val="000000"/>
                <w:sz w:val="22"/>
              </w:rPr>
              <w:t>-标项一</w:t>
            </w:r>
          </w:p>
        </w:tc>
        <w:tc>
          <w:tcPr>
            <w:tcW w:w="2126"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大写：</w:t>
            </w:r>
          </w:p>
          <w:p>
            <w:pPr>
              <w:spacing w:line="460" w:lineRule="exact"/>
              <w:rPr>
                <w:rFonts w:ascii="宋体" w:hAnsi="宋体" w:eastAsia="宋体"/>
                <w:b w:val="0"/>
                <w:color w:val="000000"/>
                <w:sz w:val="22"/>
              </w:rPr>
            </w:pPr>
            <w:r>
              <w:rPr>
                <w:rFonts w:hint="eastAsia" w:ascii="宋体" w:hAnsi="宋体" w:eastAsia="宋体"/>
                <w:b w:val="0"/>
                <w:color w:val="000000"/>
                <w:sz w:val="22"/>
              </w:rPr>
              <w:t>小写：</w:t>
            </w:r>
          </w:p>
        </w:tc>
        <w:tc>
          <w:tcPr>
            <w:tcW w:w="62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1、网络服务、系统运维服务两项分项</w:t>
            </w:r>
            <w:r>
              <w:rPr>
                <w:rFonts w:hint="eastAsia" w:ascii="宋体" w:hAnsi="宋体" w:eastAsia="宋体" w:cs="宋体"/>
                <w:b w:val="0"/>
                <w:color w:val="000000"/>
                <w:sz w:val="22"/>
                <w:szCs w:val="22"/>
                <w:highlight w:val="none"/>
                <w:lang w:val="en-US" w:eastAsia="zh-CN"/>
              </w:rPr>
              <w:t>报价</w:t>
            </w:r>
            <w:r>
              <w:rPr>
                <w:rFonts w:hint="eastAsia" w:ascii="宋体" w:hAnsi="宋体" w:eastAsia="宋体" w:cs="宋体"/>
                <w:b w:val="0"/>
                <w:color w:val="000000"/>
                <w:sz w:val="22"/>
                <w:szCs w:val="22"/>
                <w:highlight w:val="none"/>
              </w:rPr>
              <w:t>合计为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rPr>
              <w:t>元/</w:t>
            </w:r>
            <w:r>
              <w:rPr>
                <w:rFonts w:hint="eastAsia" w:ascii="宋体" w:hAnsi="宋体" w:eastAsia="宋体" w:cs="宋体"/>
                <w:b w:val="0"/>
                <w:color w:val="000000"/>
                <w:sz w:val="22"/>
                <w:szCs w:val="22"/>
                <w:highlight w:val="none"/>
                <w:lang w:val="en-US" w:eastAsia="zh-CN"/>
              </w:rPr>
              <w:t>处</w:t>
            </w:r>
            <w:r>
              <w:rPr>
                <w:rFonts w:hint="eastAsia" w:ascii="宋体" w:hAnsi="宋体" w:eastAsia="宋体" w:cs="宋体"/>
                <w:b w:val="0"/>
                <w:color w:val="000000"/>
                <w:sz w:val="22"/>
                <w:szCs w:val="22"/>
                <w:highlight w:val="none"/>
              </w:rPr>
              <w:t>/年；</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default"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2、加头集成服务费报价为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3、利旧点位运维费报价为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4、利旧点位安装费报价为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5、云监控集成服务报价为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元/处（含5年）</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hAnsi="宋体" w:eastAsia="宋体"/>
                <w:color w:val="000000"/>
              </w:rPr>
            </w:pPr>
            <w:r>
              <w:rPr>
                <w:rFonts w:hint="eastAsia" w:ascii="宋体" w:hAnsi="宋体" w:eastAsia="宋体" w:cs="宋体"/>
                <w:b w:val="0"/>
                <w:color w:val="000000"/>
                <w:sz w:val="22"/>
                <w:szCs w:val="22"/>
                <w:highlight w:val="none"/>
                <w:lang w:val="en-US" w:eastAsia="zh-CN"/>
              </w:rPr>
              <w:t>6、云人脸集成服务报价为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元/处（含5年）</w:t>
            </w:r>
          </w:p>
        </w:tc>
      </w:tr>
    </w:tbl>
    <w:p>
      <w:pPr>
        <w:pStyle w:val="25"/>
        <w:spacing w:line="460" w:lineRule="atLeast"/>
        <w:ind w:firstLine="440" w:firstLineChars="200"/>
        <w:rPr>
          <w:rFonts w:hint="default" w:ascii="宋体" w:hAnsi="宋体" w:eastAsia="宋体"/>
          <w:b w:val="0"/>
          <w:color w:val="000000"/>
          <w:sz w:val="22"/>
        </w:rPr>
      </w:pPr>
      <w:r>
        <w:rPr>
          <w:rFonts w:ascii="宋体" w:hAnsi="宋体" w:eastAsia="宋体"/>
          <w:b w:val="0"/>
          <w:color w:val="000000"/>
          <w:sz w:val="22"/>
        </w:rPr>
        <w:t>开标一览表中投标价为符合招标文件要求的总价。</w:t>
      </w:r>
    </w:p>
    <w:p>
      <w:pPr>
        <w:spacing w:line="420" w:lineRule="exact"/>
        <w:ind w:firstLine="440" w:firstLineChars="200"/>
        <w:rPr>
          <w:rFonts w:ascii="宋体" w:hAnsi="宋体" w:eastAsia="宋体"/>
          <w:color w:val="000000"/>
          <w:sz w:val="22"/>
        </w:rPr>
      </w:pPr>
      <w:r>
        <w:rPr>
          <w:rFonts w:hint="eastAsia" w:ascii="宋体" w:hAnsi="宋体" w:eastAsia="宋体"/>
          <w:b w:val="0"/>
          <w:color w:val="000000"/>
          <w:sz w:val="22"/>
        </w:rPr>
        <w:t>不提供此表格的将视为没有实质性响应招标文件</w:t>
      </w:r>
      <w:r>
        <w:rPr>
          <w:rFonts w:hint="eastAsia" w:ascii="宋体" w:hAnsi="宋体" w:eastAsia="宋体"/>
          <w:b w:val="0"/>
          <w:color w:val="000000"/>
          <w:sz w:val="24"/>
        </w:rPr>
        <w:t>。</w:t>
      </w:r>
    </w:p>
    <w:p>
      <w:pPr>
        <w:autoSpaceDE w:val="0"/>
        <w:autoSpaceDN w:val="0"/>
        <w:spacing w:line="420" w:lineRule="exact"/>
        <w:ind w:firstLine="220" w:firstLineChars="100"/>
        <w:rPr>
          <w:rFonts w:ascii="宋体" w:hAnsi="宋体" w:eastAsia="宋体"/>
          <w:b w:val="0"/>
          <w:color w:val="000000"/>
          <w:sz w:val="22"/>
        </w:rPr>
      </w:pP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投标供应商（盖章）：</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 xml:space="preserve">     </w:t>
      </w:r>
      <w:r>
        <w:rPr>
          <w:rFonts w:ascii="宋体" w:hAnsi="宋体" w:eastAsia="宋体"/>
          <w:b w:val="0"/>
          <w:color w:val="000000"/>
          <w:sz w:val="22"/>
          <w:lang w:val="zh-CN"/>
        </w:rPr>
        <w:t xml:space="preserve"> </w:t>
      </w: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法定代表人或授权代表（签字或盖章）：</w:t>
      </w:r>
      <w:r>
        <w:rPr>
          <w:rFonts w:ascii="宋体" w:hAnsi="宋体" w:eastAsia="宋体"/>
          <w:b w:val="0"/>
          <w:color w:val="000000"/>
          <w:sz w:val="22"/>
          <w:lang w:val="zh-CN"/>
        </w:rPr>
        <w:t xml:space="preserve">             </w:t>
      </w: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日期：</w:t>
      </w:r>
    </w:p>
    <w:p>
      <w:pPr>
        <w:autoSpaceDE w:val="0"/>
        <w:autoSpaceDN w:val="0"/>
        <w:spacing w:line="460" w:lineRule="atLeast"/>
        <w:jc w:val="center"/>
        <w:rPr>
          <w:rFonts w:ascii="宋体" w:hAnsi="宋体" w:eastAsia="宋体"/>
          <w:b w:val="0"/>
          <w:color w:val="000000"/>
          <w:sz w:val="36"/>
          <w:lang w:val="zh-CN"/>
        </w:rPr>
      </w:pPr>
      <w:r>
        <w:rPr>
          <w:rFonts w:ascii="宋体" w:hAnsi="宋体" w:eastAsia="宋体"/>
          <w:color w:val="000000"/>
        </w:rPr>
        <w:br w:type="page"/>
      </w:r>
      <w:r>
        <w:rPr>
          <w:rFonts w:hint="eastAsia" w:ascii="宋体" w:hAnsi="宋体" w:eastAsia="宋体"/>
          <w:b w:val="0"/>
          <w:color w:val="000000"/>
          <w:sz w:val="36"/>
          <w:lang w:val="zh-CN"/>
        </w:rPr>
        <w:t>标项二开标一览表</w:t>
      </w:r>
    </w:p>
    <w:p>
      <w:pPr>
        <w:autoSpaceDE w:val="0"/>
        <w:autoSpaceDN w:val="0"/>
        <w:spacing w:line="460" w:lineRule="atLeast"/>
        <w:rPr>
          <w:rFonts w:ascii="宋体" w:hAnsi="宋体" w:eastAsia="宋体"/>
          <w:b w:val="0"/>
          <w:color w:val="000000"/>
          <w:sz w:val="22"/>
          <w:lang w:val="zh-CN"/>
        </w:rPr>
      </w:pPr>
      <w:r>
        <w:rPr>
          <w:rFonts w:hint="eastAsia" w:ascii="宋体" w:hAnsi="宋体" w:eastAsia="宋体"/>
          <w:b w:val="0"/>
          <w:color w:val="000000"/>
          <w:sz w:val="22"/>
          <w:lang w:val="zh-CN"/>
        </w:rPr>
        <w:t>项目编号：</w:t>
      </w:r>
      <w:r>
        <w:rPr>
          <w:rFonts w:ascii="宋体" w:hAnsi="宋体" w:eastAsia="宋体"/>
          <w:b w:val="0"/>
          <w:color w:val="000000"/>
          <w:sz w:val="22"/>
          <w:u w:val="single"/>
          <w:lang w:val="zh-CN"/>
        </w:rPr>
        <w:t xml:space="preserve">         </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 xml:space="preserve">       </w:t>
      </w:r>
    </w:p>
    <w:tbl>
      <w:tblPr>
        <w:tblStyle w:val="4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2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7" w:hRule="atLeast"/>
        </w:trPr>
        <w:tc>
          <w:tcPr>
            <w:tcW w:w="1526"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项目名称</w:t>
            </w:r>
          </w:p>
        </w:tc>
        <w:tc>
          <w:tcPr>
            <w:tcW w:w="2126"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投标价（元）</w:t>
            </w:r>
          </w:p>
        </w:tc>
        <w:tc>
          <w:tcPr>
            <w:tcW w:w="6237" w:type="dxa"/>
            <w:noWrap w:val="0"/>
            <w:vAlign w:val="center"/>
          </w:tcPr>
          <w:p>
            <w:pPr>
              <w:spacing w:line="460" w:lineRule="exact"/>
              <w:jc w:val="center"/>
              <w:rPr>
                <w:rFonts w:ascii="宋体" w:hAnsi="宋体" w:eastAsia="宋体"/>
                <w:b w:val="0"/>
                <w:color w:val="000000"/>
                <w:sz w:val="22"/>
              </w:rPr>
            </w:pPr>
            <w:r>
              <w:rPr>
                <w:rFonts w:ascii="宋体" w:hAnsi="宋体" w:eastAsia="宋体"/>
                <w:b w:val="0"/>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097" w:hRule="atLeast"/>
        </w:trPr>
        <w:tc>
          <w:tcPr>
            <w:tcW w:w="1526"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lang w:eastAsia="zh-CN"/>
              </w:rPr>
              <w:t>乐清市人员密集场所人脸识别抓拍建设项目</w:t>
            </w:r>
            <w:r>
              <w:rPr>
                <w:rFonts w:hint="eastAsia" w:ascii="宋体" w:hAnsi="宋体" w:eastAsia="宋体"/>
                <w:b w:val="0"/>
                <w:color w:val="000000"/>
                <w:sz w:val="22"/>
              </w:rPr>
              <w:t>-标项二</w:t>
            </w:r>
          </w:p>
        </w:tc>
        <w:tc>
          <w:tcPr>
            <w:tcW w:w="2126"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大写：</w:t>
            </w:r>
          </w:p>
          <w:p>
            <w:pPr>
              <w:spacing w:line="460" w:lineRule="exact"/>
              <w:rPr>
                <w:rFonts w:ascii="宋体" w:hAnsi="宋体" w:eastAsia="宋体"/>
                <w:b w:val="0"/>
                <w:color w:val="000000"/>
                <w:sz w:val="22"/>
              </w:rPr>
            </w:pPr>
            <w:r>
              <w:rPr>
                <w:rFonts w:hint="eastAsia" w:ascii="宋体" w:hAnsi="宋体" w:eastAsia="宋体"/>
                <w:b w:val="0"/>
                <w:color w:val="000000"/>
                <w:sz w:val="22"/>
              </w:rPr>
              <w:t>小写：</w:t>
            </w:r>
          </w:p>
        </w:tc>
        <w:tc>
          <w:tcPr>
            <w:tcW w:w="62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1、网络服务、系统运维服务两项分项</w:t>
            </w:r>
            <w:r>
              <w:rPr>
                <w:rFonts w:hint="eastAsia" w:ascii="宋体" w:hAnsi="宋体" w:eastAsia="宋体" w:cs="宋体"/>
                <w:b w:val="0"/>
                <w:color w:val="000000"/>
                <w:sz w:val="22"/>
                <w:szCs w:val="22"/>
                <w:highlight w:val="none"/>
                <w:lang w:val="en-US" w:eastAsia="zh-CN"/>
              </w:rPr>
              <w:t>报价</w:t>
            </w:r>
            <w:r>
              <w:rPr>
                <w:rFonts w:hint="eastAsia" w:ascii="宋体" w:hAnsi="宋体" w:eastAsia="宋体" w:cs="宋体"/>
                <w:b w:val="0"/>
                <w:color w:val="000000"/>
                <w:sz w:val="22"/>
                <w:szCs w:val="22"/>
                <w:highlight w:val="none"/>
              </w:rPr>
              <w:t>合计为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rPr>
              <w:t>元/</w:t>
            </w:r>
            <w:r>
              <w:rPr>
                <w:rFonts w:hint="eastAsia" w:ascii="宋体" w:hAnsi="宋体" w:eastAsia="宋体" w:cs="宋体"/>
                <w:b w:val="0"/>
                <w:color w:val="000000"/>
                <w:sz w:val="22"/>
                <w:szCs w:val="22"/>
                <w:highlight w:val="none"/>
                <w:lang w:val="en-US" w:eastAsia="zh-CN"/>
              </w:rPr>
              <w:t>处</w:t>
            </w:r>
            <w:r>
              <w:rPr>
                <w:rFonts w:hint="eastAsia" w:ascii="宋体" w:hAnsi="宋体" w:eastAsia="宋体" w:cs="宋体"/>
                <w:b w:val="0"/>
                <w:color w:val="000000"/>
                <w:sz w:val="22"/>
                <w:szCs w:val="22"/>
                <w:highlight w:val="none"/>
              </w:rPr>
              <w:t>/年；</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default"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2、加头集成服务费报价为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3、利旧点位运维费报价为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4、利旧点位安装费报价为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5、云监控集成服务报价为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元/处（含5年）</w:t>
            </w:r>
          </w:p>
          <w:p>
            <w:pPr>
              <w:spacing w:line="460" w:lineRule="exact"/>
              <w:rPr>
                <w:rFonts w:ascii="宋体" w:hAnsi="宋体" w:eastAsia="宋体"/>
                <w:b w:val="0"/>
                <w:color w:val="000000"/>
                <w:sz w:val="22"/>
              </w:rPr>
            </w:pPr>
            <w:r>
              <w:rPr>
                <w:rFonts w:hint="eastAsia" w:ascii="宋体" w:hAnsi="宋体" w:eastAsia="宋体" w:cs="宋体"/>
                <w:b w:val="0"/>
                <w:color w:val="000000"/>
                <w:sz w:val="22"/>
                <w:szCs w:val="22"/>
                <w:highlight w:val="none"/>
                <w:lang w:val="en-US" w:eastAsia="zh-CN"/>
              </w:rPr>
              <w:t>6、云人脸集成服务报价为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元/处（含5年）</w:t>
            </w:r>
          </w:p>
        </w:tc>
      </w:tr>
    </w:tbl>
    <w:p>
      <w:pPr>
        <w:pStyle w:val="25"/>
        <w:spacing w:line="460" w:lineRule="atLeast"/>
        <w:ind w:firstLine="440" w:firstLineChars="200"/>
        <w:rPr>
          <w:rFonts w:hint="default" w:ascii="宋体" w:hAnsi="宋体" w:eastAsia="宋体"/>
          <w:b w:val="0"/>
          <w:color w:val="000000"/>
          <w:sz w:val="22"/>
        </w:rPr>
      </w:pPr>
      <w:r>
        <w:rPr>
          <w:rFonts w:ascii="宋体" w:hAnsi="宋体" w:eastAsia="宋体"/>
          <w:b w:val="0"/>
          <w:color w:val="000000"/>
          <w:sz w:val="22"/>
        </w:rPr>
        <w:t>开标一览表中投标价为符合招标文件要求的总价。</w:t>
      </w:r>
    </w:p>
    <w:p>
      <w:pPr>
        <w:spacing w:line="420" w:lineRule="exact"/>
        <w:ind w:firstLine="440" w:firstLineChars="200"/>
        <w:rPr>
          <w:rFonts w:ascii="宋体" w:hAnsi="宋体" w:eastAsia="宋体"/>
          <w:color w:val="000000"/>
          <w:sz w:val="22"/>
        </w:rPr>
      </w:pPr>
      <w:r>
        <w:rPr>
          <w:rFonts w:hint="eastAsia" w:ascii="宋体" w:hAnsi="宋体" w:eastAsia="宋体"/>
          <w:b w:val="0"/>
          <w:color w:val="000000"/>
          <w:sz w:val="22"/>
        </w:rPr>
        <w:t>不提供此表格的将视为没有实质性响应招标文件</w:t>
      </w:r>
      <w:r>
        <w:rPr>
          <w:rFonts w:hint="eastAsia" w:ascii="宋体" w:hAnsi="宋体" w:eastAsia="宋体"/>
          <w:b w:val="0"/>
          <w:color w:val="000000"/>
          <w:sz w:val="24"/>
        </w:rPr>
        <w:t>。</w:t>
      </w:r>
    </w:p>
    <w:p>
      <w:pPr>
        <w:autoSpaceDE w:val="0"/>
        <w:autoSpaceDN w:val="0"/>
        <w:spacing w:line="420" w:lineRule="exact"/>
        <w:ind w:firstLine="220" w:firstLineChars="100"/>
        <w:rPr>
          <w:rFonts w:ascii="宋体" w:hAnsi="宋体" w:eastAsia="宋体"/>
          <w:b w:val="0"/>
          <w:color w:val="000000"/>
          <w:sz w:val="22"/>
          <w:lang w:val="zh-CN"/>
        </w:rPr>
      </w:pP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投标供应商（盖章）：</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 xml:space="preserve">     </w:t>
      </w:r>
      <w:r>
        <w:rPr>
          <w:rFonts w:ascii="宋体" w:hAnsi="宋体" w:eastAsia="宋体"/>
          <w:b w:val="0"/>
          <w:color w:val="000000"/>
          <w:sz w:val="22"/>
          <w:lang w:val="zh-CN"/>
        </w:rPr>
        <w:t xml:space="preserve"> </w:t>
      </w: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法定代表人或授权代表（签字或盖章）：</w:t>
      </w:r>
      <w:r>
        <w:rPr>
          <w:rFonts w:ascii="宋体" w:hAnsi="宋体" w:eastAsia="宋体"/>
          <w:b w:val="0"/>
          <w:color w:val="000000"/>
          <w:sz w:val="22"/>
          <w:lang w:val="zh-CN"/>
        </w:rPr>
        <w:t xml:space="preserve">             </w:t>
      </w: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日期：</w:t>
      </w:r>
    </w:p>
    <w:p>
      <w:pPr>
        <w:autoSpaceDE w:val="0"/>
        <w:autoSpaceDN w:val="0"/>
        <w:spacing w:line="460" w:lineRule="atLeast"/>
        <w:jc w:val="center"/>
        <w:rPr>
          <w:rFonts w:ascii="宋体" w:hAnsi="宋体" w:eastAsia="宋体"/>
          <w:b w:val="0"/>
          <w:color w:val="000000"/>
          <w:sz w:val="36"/>
          <w:lang w:val="zh-CN"/>
        </w:rPr>
      </w:pPr>
      <w:r>
        <w:rPr>
          <w:rFonts w:ascii="宋体" w:hAnsi="宋体" w:eastAsia="宋体"/>
          <w:color w:val="000000"/>
        </w:rPr>
        <w:br w:type="page"/>
      </w:r>
      <w:r>
        <w:rPr>
          <w:rFonts w:ascii="宋体" w:hAnsi="宋体" w:eastAsia="宋体"/>
          <w:b w:val="0"/>
          <w:color w:val="000000"/>
          <w:sz w:val="36"/>
          <w:lang w:val="zh-CN"/>
        </w:rPr>
        <w:t>标项三</w:t>
      </w:r>
      <w:r>
        <w:rPr>
          <w:rFonts w:hint="eastAsia" w:ascii="宋体" w:hAnsi="宋体" w:eastAsia="宋体"/>
          <w:b w:val="0"/>
          <w:color w:val="000000"/>
          <w:sz w:val="36"/>
          <w:lang w:val="zh-CN"/>
        </w:rPr>
        <w:t>开标一览表</w:t>
      </w:r>
    </w:p>
    <w:p>
      <w:pPr>
        <w:autoSpaceDE w:val="0"/>
        <w:autoSpaceDN w:val="0"/>
        <w:spacing w:line="460" w:lineRule="atLeast"/>
        <w:rPr>
          <w:rFonts w:ascii="宋体" w:hAnsi="宋体" w:eastAsia="宋体"/>
          <w:b w:val="0"/>
          <w:color w:val="000000"/>
          <w:sz w:val="22"/>
          <w:lang w:val="zh-CN"/>
        </w:rPr>
      </w:pPr>
      <w:r>
        <w:rPr>
          <w:rFonts w:hint="eastAsia" w:ascii="宋体" w:hAnsi="宋体" w:eastAsia="宋体"/>
          <w:b w:val="0"/>
          <w:color w:val="000000"/>
          <w:sz w:val="22"/>
          <w:lang w:val="zh-CN"/>
        </w:rPr>
        <w:t>项目编号：</w:t>
      </w:r>
      <w:r>
        <w:rPr>
          <w:rFonts w:ascii="宋体" w:hAnsi="宋体" w:eastAsia="宋体"/>
          <w:b w:val="0"/>
          <w:color w:val="000000"/>
          <w:sz w:val="22"/>
          <w:u w:val="single"/>
          <w:lang w:val="zh-CN"/>
        </w:rPr>
        <w:t xml:space="preserve">         </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 xml:space="preserve">       </w:t>
      </w:r>
    </w:p>
    <w:tbl>
      <w:tblPr>
        <w:tblStyle w:val="4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2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7" w:hRule="atLeast"/>
        </w:trPr>
        <w:tc>
          <w:tcPr>
            <w:tcW w:w="1526"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项目名称</w:t>
            </w:r>
          </w:p>
        </w:tc>
        <w:tc>
          <w:tcPr>
            <w:tcW w:w="2126"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投标价（元）</w:t>
            </w:r>
          </w:p>
        </w:tc>
        <w:tc>
          <w:tcPr>
            <w:tcW w:w="6237" w:type="dxa"/>
            <w:noWrap w:val="0"/>
            <w:vAlign w:val="center"/>
          </w:tcPr>
          <w:p>
            <w:pPr>
              <w:spacing w:line="460" w:lineRule="exact"/>
              <w:jc w:val="center"/>
              <w:rPr>
                <w:rFonts w:ascii="宋体" w:hAnsi="宋体" w:eastAsia="宋体"/>
                <w:b w:val="0"/>
                <w:color w:val="000000"/>
                <w:sz w:val="22"/>
              </w:rPr>
            </w:pPr>
            <w:r>
              <w:rPr>
                <w:rFonts w:ascii="宋体" w:hAnsi="宋体" w:eastAsia="宋体"/>
                <w:b w:val="0"/>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097" w:hRule="atLeast"/>
        </w:trPr>
        <w:tc>
          <w:tcPr>
            <w:tcW w:w="1526"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lang w:eastAsia="zh-CN"/>
              </w:rPr>
              <w:t>乐清市人员密集场所人脸识别抓拍建设项目</w:t>
            </w:r>
            <w:r>
              <w:rPr>
                <w:rFonts w:hint="eastAsia" w:ascii="宋体" w:hAnsi="宋体" w:eastAsia="宋体"/>
                <w:b w:val="0"/>
                <w:color w:val="000000"/>
                <w:sz w:val="22"/>
              </w:rPr>
              <w:t>-标项三</w:t>
            </w:r>
          </w:p>
        </w:tc>
        <w:tc>
          <w:tcPr>
            <w:tcW w:w="2126"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大写：</w:t>
            </w:r>
          </w:p>
          <w:p>
            <w:pPr>
              <w:spacing w:line="460" w:lineRule="exact"/>
              <w:rPr>
                <w:rFonts w:ascii="宋体" w:hAnsi="宋体" w:eastAsia="宋体"/>
                <w:b w:val="0"/>
                <w:color w:val="000000"/>
                <w:sz w:val="22"/>
              </w:rPr>
            </w:pPr>
            <w:r>
              <w:rPr>
                <w:rFonts w:hint="eastAsia" w:ascii="宋体" w:hAnsi="宋体" w:eastAsia="宋体"/>
                <w:b w:val="0"/>
                <w:color w:val="000000"/>
                <w:sz w:val="22"/>
              </w:rPr>
              <w:t>小写：</w:t>
            </w:r>
          </w:p>
        </w:tc>
        <w:tc>
          <w:tcPr>
            <w:tcW w:w="62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1、网络服务、系统运维服务两项分项</w:t>
            </w:r>
            <w:r>
              <w:rPr>
                <w:rFonts w:hint="eastAsia" w:ascii="宋体" w:hAnsi="宋体" w:eastAsia="宋体" w:cs="宋体"/>
                <w:b w:val="0"/>
                <w:color w:val="000000"/>
                <w:sz w:val="22"/>
                <w:szCs w:val="22"/>
                <w:highlight w:val="none"/>
                <w:lang w:val="en-US" w:eastAsia="zh-CN"/>
              </w:rPr>
              <w:t>报价</w:t>
            </w:r>
            <w:r>
              <w:rPr>
                <w:rFonts w:hint="eastAsia" w:ascii="宋体" w:hAnsi="宋体" w:eastAsia="宋体" w:cs="宋体"/>
                <w:b w:val="0"/>
                <w:color w:val="000000"/>
                <w:sz w:val="22"/>
                <w:szCs w:val="22"/>
                <w:highlight w:val="none"/>
              </w:rPr>
              <w:t>合计为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rPr>
              <w:t>元/</w:t>
            </w:r>
            <w:r>
              <w:rPr>
                <w:rFonts w:hint="eastAsia" w:ascii="宋体" w:hAnsi="宋体" w:eastAsia="宋体" w:cs="宋体"/>
                <w:b w:val="0"/>
                <w:color w:val="000000"/>
                <w:sz w:val="22"/>
                <w:szCs w:val="22"/>
                <w:highlight w:val="none"/>
                <w:lang w:val="en-US" w:eastAsia="zh-CN"/>
              </w:rPr>
              <w:t>处</w:t>
            </w:r>
            <w:r>
              <w:rPr>
                <w:rFonts w:hint="eastAsia" w:ascii="宋体" w:hAnsi="宋体" w:eastAsia="宋体" w:cs="宋体"/>
                <w:b w:val="0"/>
                <w:color w:val="000000"/>
                <w:sz w:val="22"/>
                <w:szCs w:val="22"/>
                <w:highlight w:val="none"/>
              </w:rPr>
              <w:t>/年；</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default"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2、加头集成服务费报价为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3、利旧点位运维费报价为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4、利旧点位安装费报价为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5、云监控集成服务报价为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元/处（含5年）</w:t>
            </w:r>
          </w:p>
          <w:p>
            <w:pPr>
              <w:spacing w:line="460" w:lineRule="exact"/>
              <w:rPr>
                <w:rFonts w:ascii="宋体" w:hAnsi="宋体" w:eastAsia="宋体"/>
                <w:b w:val="0"/>
                <w:color w:val="000000"/>
                <w:sz w:val="22"/>
              </w:rPr>
            </w:pPr>
            <w:r>
              <w:rPr>
                <w:rFonts w:hint="eastAsia" w:ascii="宋体" w:hAnsi="宋体" w:eastAsia="宋体" w:cs="宋体"/>
                <w:b w:val="0"/>
                <w:color w:val="000000"/>
                <w:sz w:val="22"/>
                <w:szCs w:val="22"/>
                <w:highlight w:val="none"/>
                <w:lang w:val="en-US" w:eastAsia="zh-CN"/>
              </w:rPr>
              <w:t>6、云人脸集成服务报价为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元/处（含5年）</w:t>
            </w:r>
          </w:p>
        </w:tc>
      </w:tr>
    </w:tbl>
    <w:p>
      <w:pPr>
        <w:pStyle w:val="25"/>
        <w:spacing w:line="460" w:lineRule="atLeast"/>
        <w:ind w:firstLine="440" w:firstLineChars="200"/>
        <w:rPr>
          <w:rFonts w:hint="default" w:ascii="宋体" w:hAnsi="宋体" w:eastAsia="宋体"/>
          <w:b w:val="0"/>
          <w:color w:val="000000"/>
          <w:sz w:val="22"/>
        </w:rPr>
      </w:pPr>
      <w:r>
        <w:rPr>
          <w:rFonts w:ascii="宋体" w:hAnsi="宋体" w:eastAsia="宋体"/>
          <w:b w:val="0"/>
          <w:color w:val="000000"/>
          <w:sz w:val="22"/>
        </w:rPr>
        <w:t>开标一览表中投标价为符合招标文件要求的总价。</w:t>
      </w:r>
    </w:p>
    <w:p>
      <w:pPr>
        <w:spacing w:line="420" w:lineRule="exact"/>
        <w:ind w:firstLine="440" w:firstLineChars="200"/>
        <w:rPr>
          <w:rFonts w:ascii="宋体" w:hAnsi="宋体" w:eastAsia="宋体"/>
          <w:color w:val="000000"/>
          <w:sz w:val="22"/>
        </w:rPr>
      </w:pPr>
      <w:r>
        <w:rPr>
          <w:rFonts w:hint="eastAsia" w:ascii="宋体" w:hAnsi="宋体" w:eastAsia="宋体"/>
          <w:b w:val="0"/>
          <w:color w:val="000000"/>
          <w:sz w:val="22"/>
        </w:rPr>
        <w:t>不提供此表格的将视为没有实质性响应招标文件</w:t>
      </w:r>
      <w:r>
        <w:rPr>
          <w:rFonts w:hint="eastAsia" w:ascii="宋体" w:hAnsi="宋体" w:eastAsia="宋体"/>
          <w:b w:val="0"/>
          <w:color w:val="000000"/>
          <w:sz w:val="24"/>
        </w:rPr>
        <w:t>。</w:t>
      </w:r>
    </w:p>
    <w:p>
      <w:pPr>
        <w:autoSpaceDE w:val="0"/>
        <w:autoSpaceDN w:val="0"/>
        <w:spacing w:line="420" w:lineRule="exact"/>
        <w:ind w:firstLine="220" w:firstLineChars="100"/>
        <w:rPr>
          <w:rFonts w:ascii="宋体" w:hAnsi="宋体" w:eastAsia="宋体"/>
          <w:b w:val="0"/>
          <w:color w:val="000000"/>
          <w:sz w:val="22"/>
          <w:lang w:val="zh-CN"/>
        </w:rPr>
      </w:pP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投标供应商（盖章）：</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 xml:space="preserve">     </w:t>
      </w:r>
      <w:r>
        <w:rPr>
          <w:rFonts w:ascii="宋体" w:hAnsi="宋体" w:eastAsia="宋体"/>
          <w:b w:val="0"/>
          <w:color w:val="000000"/>
          <w:sz w:val="22"/>
          <w:lang w:val="zh-CN"/>
        </w:rPr>
        <w:t xml:space="preserve"> </w:t>
      </w: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法定代表人或授权代表（签字或盖章）：</w:t>
      </w:r>
      <w:r>
        <w:rPr>
          <w:rFonts w:ascii="宋体" w:hAnsi="宋体" w:eastAsia="宋体"/>
          <w:b w:val="0"/>
          <w:color w:val="000000"/>
          <w:sz w:val="22"/>
          <w:lang w:val="zh-CN"/>
        </w:rPr>
        <w:t xml:space="preserve">             </w:t>
      </w: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日期：</w:t>
      </w:r>
    </w:p>
    <w:p>
      <w:pPr>
        <w:autoSpaceDE w:val="0"/>
        <w:autoSpaceDN w:val="0"/>
        <w:spacing w:line="460" w:lineRule="atLeast"/>
        <w:jc w:val="center"/>
        <w:rPr>
          <w:rFonts w:ascii="宋体" w:hAnsi="宋体" w:eastAsia="宋体"/>
          <w:b w:val="0"/>
          <w:color w:val="000000"/>
          <w:sz w:val="36"/>
          <w:lang w:val="zh-CN"/>
        </w:rPr>
      </w:pPr>
      <w:r>
        <w:rPr>
          <w:rFonts w:ascii="宋体" w:hAnsi="宋体" w:eastAsia="宋体"/>
          <w:color w:val="000000"/>
        </w:rPr>
        <w:br w:type="page"/>
      </w:r>
      <w:r>
        <w:rPr>
          <w:rFonts w:ascii="宋体" w:hAnsi="宋体" w:eastAsia="宋体"/>
          <w:b w:val="0"/>
          <w:color w:val="000000"/>
          <w:sz w:val="36"/>
          <w:lang w:val="zh-CN"/>
        </w:rPr>
        <w:t>标项四</w:t>
      </w:r>
      <w:r>
        <w:rPr>
          <w:rFonts w:hint="eastAsia" w:ascii="宋体" w:hAnsi="宋体" w:eastAsia="宋体"/>
          <w:b w:val="0"/>
          <w:color w:val="000000"/>
          <w:sz w:val="36"/>
          <w:lang w:val="zh-CN"/>
        </w:rPr>
        <w:t>开标一览表</w:t>
      </w:r>
    </w:p>
    <w:p>
      <w:pPr>
        <w:autoSpaceDE w:val="0"/>
        <w:autoSpaceDN w:val="0"/>
        <w:spacing w:line="460" w:lineRule="atLeast"/>
        <w:rPr>
          <w:rFonts w:ascii="宋体" w:hAnsi="宋体" w:eastAsia="宋体"/>
          <w:b w:val="0"/>
          <w:color w:val="000000"/>
          <w:sz w:val="22"/>
          <w:lang w:val="zh-CN"/>
        </w:rPr>
      </w:pPr>
      <w:r>
        <w:rPr>
          <w:rFonts w:hint="eastAsia" w:ascii="宋体" w:hAnsi="宋体" w:eastAsia="宋体"/>
          <w:b w:val="0"/>
          <w:color w:val="000000"/>
          <w:sz w:val="22"/>
          <w:lang w:val="zh-CN"/>
        </w:rPr>
        <w:t>项目编号：</w:t>
      </w:r>
      <w:r>
        <w:rPr>
          <w:rFonts w:ascii="宋体" w:hAnsi="宋体" w:eastAsia="宋体"/>
          <w:b w:val="0"/>
          <w:color w:val="000000"/>
          <w:sz w:val="22"/>
          <w:u w:val="single"/>
          <w:lang w:val="zh-CN"/>
        </w:rPr>
        <w:t xml:space="preserve">         </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 xml:space="preserve">       </w:t>
      </w:r>
    </w:p>
    <w:tbl>
      <w:tblPr>
        <w:tblStyle w:val="4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2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7" w:hRule="atLeast"/>
        </w:trPr>
        <w:tc>
          <w:tcPr>
            <w:tcW w:w="1526"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项目名称</w:t>
            </w:r>
          </w:p>
        </w:tc>
        <w:tc>
          <w:tcPr>
            <w:tcW w:w="2126"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投标价（元）</w:t>
            </w:r>
          </w:p>
        </w:tc>
        <w:tc>
          <w:tcPr>
            <w:tcW w:w="6237" w:type="dxa"/>
            <w:noWrap w:val="0"/>
            <w:vAlign w:val="center"/>
          </w:tcPr>
          <w:p>
            <w:pPr>
              <w:spacing w:line="460" w:lineRule="exact"/>
              <w:jc w:val="center"/>
              <w:rPr>
                <w:rFonts w:ascii="宋体" w:hAnsi="宋体" w:eastAsia="宋体"/>
                <w:b w:val="0"/>
                <w:color w:val="000000"/>
                <w:sz w:val="22"/>
              </w:rPr>
            </w:pPr>
            <w:r>
              <w:rPr>
                <w:rFonts w:ascii="宋体" w:hAnsi="宋体" w:eastAsia="宋体"/>
                <w:b w:val="0"/>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097" w:hRule="atLeast"/>
        </w:trPr>
        <w:tc>
          <w:tcPr>
            <w:tcW w:w="1526"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lang w:eastAsia="zh-CN"/>
              </w:rPr>
              <w:t>乐清市人员密集场所人脸识别抓拍建设项目</w:t>
            </w:r>
            <w:r>
              <w:rPr>
                <w:rFonts w:hint="eastAsia" w:ascii="宋体" w:hAnsi="宋体" w:eastAsia="宋体"/>
                <w:b w:val="0"/>
                <w:color w:val="000000"/>
                <w:sz w:val="22"/>
              </w:rPr>
              <w:t>-标项四</w:t>
            </w:r>
          </w:p>
        </w:tc>
        <w:tc>
          <w:tcPr>
            <w:tcW w:w="2126"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大写：</w:t>
            </w:r>
          </w:p>
          <w:p>
            <w:pPr>
              <w:spacing w:line="460" w:lineRule="exact"/>
              <w:rPr>
                <w:rFonts w:ascii="宋体" w:hAnsi="宋体" w:eastAsia="宋体"/>
                <w:b w:val="0"/>
                <w:color w:val="000000"/>
                <w:sz w:val="22"/>
              </w:rPr>
            </w:pPr>
            <w:r>
              <w:rPr>
                <w:rFonts w:hint="eastAsia" w:ascii="宋体" w:hAnsi="宋体" w:eastAsia="宋体"/>
                <w:b w:val="0"/>
                <w:color w:val="000000"/>
                <w:sz w:val="22"/>
              </w:rPr>
              <w:t>小写：</w:t>
            </w:r>
          </w:p>
        </w:tc>
        <w:tc>
          <w:tcPr>
            <w:tcW w:w="62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1、网络服务、系统运维服务两项分项</w:t>
            </w:r>
            <w:r>
              <w:rPr>
                <w:rFonts w:hint="eastAsia" w:ascii="宋体" w:hAnsi="宋体" w:eastAsia="宋体" w:cs="宋体"/>
                <w:b w:val="0"/>
                <w:color w:val="000000"/>
                <w:sz w:val="22"/>
                <w:szCs w:val="22"/>
                <w:highlight w:val="none"/>
                <w:lang w:val="en-US" w:eastAsia="zh-CN"/>
              </w:rPr>
              <w:t>报价</w:t>
            </w:r>
            <w:r>
              <w:rPr>
                <w:rFonts w:hint="eastAsia" w:ascii="宋体" w:hAnsi="宋体" w:eastAsia="宋体" w:cs="宋体"/>
                <w:b w:val="0"/>
                <w:color w:val="000000"/>
                <w:sz w:val="22"/>
                <w:szCs w:val="22"/>
                <w:highlight w:val="none"/>
              </w:rPr>
              <w:t>合计为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rPr>
              <w:t>元/</w:t>
            </w:r>
            <w:r>
              <w:rPr>
                <w:rFonts w:hint="eastAsia" w:ascii="宋体" w:hAnsi="宋体" w:eastAsia="宋体" w:cs="宋体"/>
                <w:b w:val="0"/>
                <w:color w:val="000000"/>
                <w:sz w:val="22"/>
                <w:szCs w:val="22"/>
                <w:highlight w:val="none"/>
                <w:lang w:val="en-US" w:eastAsia="zh-CN"/>
              </w:rPr>
              <w:t>处</w:t>
            </w:r>
            <w:r>
              <w:rPr>
                <w:rFonts w:hint="eastAsia" w:ascii="宋体" w:hAnsi="宋体" w:eastAsia="宋体" w:cs="宋体"/>
                <w:b w:val="0"/>
                <w:color w:val="000000"/>
                <w:sz w:val="22"/>
                <w:szCs w:val="22"/>
                <w:highlight w:val="none"/>
              </w:rPr>
              <w:t>/年；</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default"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2、加头集成服务费报价为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3、利旧点位运维费报价为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4、利旧点位安装费报价为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5、云监控集成服务报价为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元/处（含5年）</w:t>
            </w:r>
          </w:p>
          <w:p>
            <w:pPr>
              <w:spacing w:line="460" w:lineRule="exact"/>
              <w:rPr>
                <w:rFonts w:ascii="宋体" w:hAnsi="宋体" w:eastAsia="宋体"/>
                <w:b w:val="0"/>
                <w:color w:val="000000"/>
                <w:sz w:val="22"/>
              </w:rPr>
            </w:pPr>
            <w:r>
              <w:rPr>
                <w:rFonts w:hint="eastAsia" w:ascii="宋体" w:hAnsi="宋体" w:eastAsia="宋体" w:cs="宋体"/>
                <w:b w:val="0"/>
                <w:color w:val="000000"/>
                <w:sz w:val="22"/>
                <w:szCs w:val="22"/>
                <w:highlight w:val="none"/>
                <w:lang w:val="en-US" w:eastAsia="zh-CN"/>
              </w:rPr>
              <w:t>6、云人脸集成服务报价为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元/处（含5年）</w:t>
            </w:r>
          </w:p>
        </w:tc>
      </w:tr>
    </w:tbl>
    <w:p>
      <w:pPr>
        <w:pStyle w:val="25"/>
        <w:spacing w:line="460" w:lineRule="atLeast"/>
        <w:ind w:firstLine="440" w:firstLineChars="200"/>
        <w:rPr>
          <w:rFonts w:hint="default" w:ascii="宋体" w:hAnsi="宋体" w:eastAsia="宋体"/>
          <w:b w:val="0"/>
          <w:color w:val="000000"/>
          <w:sz w:val="22"/>
        </w:rPr>
      </w:pPr>
      <w:r>
        <w:rPr>
          <w:rFonts w:ascii="宋体" w:hAnsi="宋体" w:eastAsia="宋体"/>
          <w:b w:val="0"/>
          <w:color w:val="000000"/>
          <w:sz w:val="22"/>
        </w:rPr>
        <w:t>开标一览表中投标价为符合招标文件要求的总价。</w:t>
      </w:r>
    </w:p>
    <w:p>
      <w:pPr>
        <w:spacing w:line="420" w:lineRule="exact"/>
        <w:ind w:firstLine="440" w:firstLineChars="200"/>
        <w:rPr>
          <w:rFonts w:ascii="宋体" w:hAnsi="宋体" w:eastAsia="宋体"/>
          <w:color w:val="000000"/>
          <w:sz w:val="22"/>
        </w:rPr>
      </w:pPr>
      <w:r>
        <w:rPr>
          <w:rFonts w:hint="eastAsia" w:ascii="宋体" w:hAnsi="宋体" w:eastAsia="宋体"/>
          <w:b w:val="0"/>
          <w:color w:val="000000"/>
          <w:sz w:val="22"/>
        </w:rPr>
        <w:t>不提供此表格的将视为没有实质性响应招标文件</w:t>
      </w:r>
      <w:r>
        <w:rPr>
          <w:rFonts w:hint="eastAsia" w:ascii="宋体" w:hAnsi="宋体" w:eastAsia="宋体"/>
          <w:b w:val="0"/>
          <w:color w:val="000000"/>
          <w:sz w:val="24"/>
        </w:rPr>
        <w:t>。</w:t>
      </w:r>
    </w:p>
    <w:p>
      <w:pPr>
        <w:autoSpaceDE w:val="0"/>
        <w:autoSpaceDN w:val="0"/>
        <w:spacing w:line="420" w:lineRule="exact"/>
        <w:ind w:firstLine="220" w:firstLineChars="100"/>
        <w:rPr>
          <w:rFonts w:ascii="宋体" w:hAnsi="宋体" w:eastAsia="宋体"/>
          <w:b w:val="0"/>
          <w:color w:val="000000"/>
          <w:sz w:val="22"/>
          <w:lang w:val="zh-CN"/>
        </w:rPr>
      </w:pP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投标供应商（盖章）：</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 xml:space="preserve">     </w:t>
      </w:r>
      <w:r>
        <w:rPr>
          <w:rFonts w:ascii="宋体" w:hAnsi="宋体" w:eastAsia="宋体"/>
          <w:b w:val="0"/>
          <w:color w:val="000000"/>
          <w:sz w:val="22"/>
          <w:lang w:val="zh-CN"/>
        </w:rPr>
        <w:t xml:space="preserve"> </w:t>
      </w: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法定代表人或授权代表（签字或盖章）：</w:t>
      </w:r>
      <w:r>
        <w:rPr>
          <w:rFonts w:ascii="宋体" w:hAnsi="宋体" w:eastAsia="宋体"/>
          <w:b w:val="0"/>
          <w:color w:val="000000"/>
          <w:sz w:val="22"/>
          <w:lang w:val="zh-CN"/>
        </w:rPr>
        <w:t xml:space="preserve">             </w:t>
      </w: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日期：</w:t>
      </w:r>
    </w:p>
    <w:p>
      <w:pPr>
        <w:autoSpaceDE w:val="0"/>
        <w:autoSpaceDN w:val="0"/>
        <w:spacing w:line="460" w:lineRule="atLeast"/>
        <w:jc w:val="center"/>
        <w:rPr>
          <w:rFonts w:ascii="宋体" w:hAnsi="宋体" w:eastAsia="宋体"/>
          <w:color w:val="000000"/>
        </w:rPr>
      </w:pPr>
    </w:p>
    <w:p>
      <w:pPr>
        <w:autoSpaceDE w:val="0"/>
        <w:autoSpaceDN w:val="0"/>
        <w:spacing w:line="460" w:lineRule="atLeast"/>
        <w:jc w:val="center"/>
        <w:rPr>
          <w:rFonts w:ascii="宋体" w:hAnsi="宋体" w:eastAsia="宋体"/>
          <w:color w:val="000000"/>
        </w:rPr>
      </w:pPr>
    </w:p>
    <w:p>
      <w:pPr>
        <w:autoSpaceDE w:val="0"/>
        <w:autoSpaceDN w:val="0"/>
        <w:spacing w:line="460" w:lineRule="atLeast"/>
        <w:jc w:val="center"/>
        <w:rPr>
          <w:rFonts w:ascii="宋体" w:hAnsi="宋体" w:eastAsia="宋体"/>
          <w:color w:val="000000"/>
        </w:rPr>
      </w:pPr>
    </w:p>
    <w:p>
      <w:pPr>
        <w:autoSpaceDE w:val="0"/>
        <w:autoSpaceDN w:val="0"/>
        <w:spacing w:line="460" w:lineRule="atLeast"/>
        <w:jc w:val="center"/>
        <w:rPr>
          <w:rFonts w:ascii="宋体" w:hAnsi="宋体" w:eastAsia="宋体"/>
          <w:color w:val="000000"/>
        </w:rPr>
      </w:pPr>
    </w:p>
    <w:p>
      <w:pPr>
        <w:autoSpaceDE w:val="0"/>
        <w:autoSpaceDN w:val="0"/>
        <w:spacing w:line="460" w:lineRule="atLeast"/>
        <w:jc w:val="center"/>
        <w:rPr>
          <w:rFonts w:ascii="宋体" w:hAnsi="宋体" w:eastAsia="宋体"/>
          <w:color w:val="000000"/>
        </w:rPr>
      </w:pPr>
    </w:p>
    <w:p>
      <w:pPr>
        <w:autoSpaceDE w:val="0"/>
        <w:autoSpaceDN w:val="0"/>
        <w:spacing w:line="460" w:lineRule="atLeast"/>
        <w:jc w:val="center"/>
        <w:rPr>
          <w:rFonts w:ascii="宋体" w:hAnsi="宋体" w:eastAsia="宋体"/>
          <w:color w:val="000000"/>
        </w:rPr>
      </w:pPr>
    </w:p>
    <w:p>
      <w:pPr>
        <w:autoSpaceDE w:val="0"/>
        <w:autoSpaceDN w:val="0"/>
        <w:spacing w:line="460" w:lineRule="atLeast"/>
        <w:jc w:val="center"/>
        <w:rPr>
          <w:rFonts w:ascii="宋体" w:hAnsi="宋体" w:eastAsia="宋体"/>
          <w:color w:val="000000"/>
        </w:rPr>
      </w:pPr>
    </w:p>
    <w:p>
      <w:pPr>
        <w:autoSpaceDE w:val="0"/>
        <w:autoSpaceDN w:val="0"/>
        <w:spacing w:line="460" w:lineRule="atLeast"/>
        <w:jc w:val="center"/>
        <w:rPr>
          <w:rFonts w:ascii="宋体" w:hAnsi="宋体" w:eastAsia="宋体"/>
          <w:color w:val="000000"/>
        </w:rPr>
      </w:pPr>
    </w:p>
    <w:p>
      <w:pPr>
        <w:autoSpaceDE w:val="0"/>
        <w:autoSpaceDN w:val="0"/>
        <w:spacing w:line="460" w:lineRule="atLeast"/>
        <w:jc w:val="center"/>
        <w:rPr>
          <w:rFonts w:ascii="宋体" w:hAnsi="宋体" w:eastAsia="宋体"/>
          <w:color w:val="000000"/>
        </w:rPr>
      </w:pPr>
    </w:p>
    <w:p>
      <w:pPr>
        <w:autoSpaceDE w:val="0"/>
        <w:autoSpaceDN w:val="0"/>
        <w:spacing w:line="460" w:lineRule="atLeast"/>
        <w:jc w:val="center"/>
        <w:rPr>
          <w:rFonts w:hint="eastAsia" w:ascii="宋体" w:hAnsi="宋体" w:eastAsia="宋体"/>
          <w:color w:val="000000"/>
        </w:rPr>
      </w:pPr>
    </w:p>
    <w:p>
      <w:pPr>
        <w:pStyle w:val="3"/>
        <w:rPr>
          <w:rFonts w:hint="eastAsia"/>
          <w:color w:val="000000"/>
        </w:rPr>
      </w:pPr>
    </w:p>
    <w:p>
      <w:pPr>
        <w:pStyle w:val="2"/>
        <w:ind w:firstLine="210"/>
        <w:rPr>
          <w:rFonts w:hint="eastAsia"/>
          <w:color w:val="000000"/>
        </w:rPr>
      </w:pPr>
    </w:p>
    <w:p>
      <w:pPr>
        <w:pStyle w:val="2"/>
        <w:ind w:firstLine="210"/>
        <w:rPr>
          <w:rFonts w:hint="eastAsia"/>
          <w:color w:val="000000"/>
        </w:rPr>
      </w:pPr>
    </w:p>
    <w:p>
      <w:pPr>
        <w:pStyle w:val="2"/>
        <w:ind w:firstLine="210"/>
        <w:rPr>
          <w:rFonts w:hint="eastAsia"/>
          <w:color w:val="000000"/>
        </w:rPr>
      </w:pPr>
    </w:p>
    <w:p>
      <w:pPr>
        <w:autoSpaceDE w:val="0"/>
        <w:autoSpaceDN w:val="0"/>
        <w:spacing w:line="460" w:lineRule="atLeast"/>
        <w:jc w:val="center"/>
        <w:rPr>
          <w:rFonts w:ascii="宋体" w:hAnsi="宋体" w:eastAsia="宋体"/>
          <w:b w:val="0"/>
          <w:color w:val="000000"/>
          <w:sz w:val="36"/>
          <w:lang w:val="zh-CN"/>
        </w:rPr>
      </w:pPr>
      <w:r>
        <w:rPr>
          <w:rFonts w:ascii="宋体" w:hAnsi="宋体" w:eastAsia="宋体"/>
          <w:b w:val="0"/>
          <w:color w:val="000000"/>
          <w:sz w:val="36"/>
          <w:lang w:val="zh-CN"/>
        </w:rPr>
        <w:t>标项</w:t>
      </w:r>
      <w:r>
        <w:rPr>
          <w:rFonts w:hint="eastAsia" w:ascii="宋体" w:hAnsi="宋体" w:eastAsia="宋体"/>
          <w:b w:val="0"/>
          <w:color w:val="000000"/>
          <w:sz w:val="36"/>
        </w:rPr>
        <w:t>五</w:t>
      </w:r>
      <w:r>
        <w:rPr>
          <w:rFonts w:hint="eastAsia" w:ascii="宋体" w:hAnsi="宋体" w:eastAsia="宋体"/>
          <w:b w:val="0"/>
          <w:color w:val="000000"/>
          <w:sz w:val="36"/>
          <w:lang w:val="zh-CN"/>
        </w:rPr>
        <w:t>开标一览表</w:t>
      </w:r>
    </w:p>
    <w:p>
      <w:pPr>
        <w:autoSpaceDE w:val="0"/>
        <w:autoSpaceDN w:val="0"/>
        <w:spacing w:line="460" w:lineRule="atLeast"/>
        <w:rPr>
          <w:rFonts w:ascii="宋体" w:hAnsi="宋体" w:eastAsia="宋体"/>
          <w:b w:val="0"/>
          <w:color w:val="000000"/>
          <w:sz w:val="22"/>
          <w:lang w:val="zh-CN"/>
        </w:rPr>
      </w:pPr>
      <w:r>
        <w:rPr>
          <w:rFonts w:hint="eastAsia" w:ascii="宋体" w:hAnsi="宋体" w:eastAsia="宋体"/>
          <w:b w:val="0"/>
          <w:color w:val="000000"/>
          <w:sz w:val="22"/>
          <w:lang w:val="zh-CN"/>
        </w:rPr>
        <w:t>项目编号：</w:t>
      </w:r>
      <w:r>
        <w:rPr>
          <w:rFonts w:ascii="宋体" w:hAnsi="宋体" w:eastAsia="宋体"/>
          <w:b w:val="0"/>
          <w:color w:val="000000"/>
          <w:sz w:val="22"/>
          <w:u w:val="single"/>
          <w:lang w:val="zh-CN"/>
        </w:rPr>
        <w:t xml:space="preserve">         </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 xml:space="preserve">       </w:t>
      </w:r>
    </w:p>
    <w:tbl>
      <w:tblPr>
        <w:tblStyle w:val="4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2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7" w:hRule="atLeast"/>
        </w:trPr>
        <w:tc>
          <w:tcPr>
            <w:tcW w:w="1526"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项目名称</w:t>
            </w:r>
          </w:p>
        </w:tc>
        <w:tc>
          <w:tcPr>
            <w:tcW w:w="2126"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投标价（元）</w:t>
            </w:r>
          </w:p>
        </w:tc>
        <w:tc>
          <w:tcPr>
            <w:tcW w:w="6237" w:type="dxa"/>
            <w:noWrap w:val="0"/>
            <w:vAlign w:val="center"/>
          </w:tcPr>
          <w:p>
            <w:pPr>
              <w:spacing w:line="460" w:lineRule="exact"/>
              <w:jc w:val="center"/>
              <w:rPr>
                <w:rFonts w:ascii="宋体" w:hAnsi="宋体" w:eastAsia="宋体"/>
                <w:b w:val="0"/>
                <w:color w:val="000000"/>
                <w:sz w:val="22"/>
              </w:rPr>
            </w:pPr>
            <w:r>
              <w:rPr>
                <w:rFonts w:ascii="宋体" w:hAnsi="宋体" w:eastAsia="宋体"/>
                <w:b w:val="0"/>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097" w:hRule="atLeast"/>
        </w:trPr>
        <w:tc>
          <w:tcPr>
            <w:tcW w:w="1526"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lang w:eastAsia="zh-CN"/>
              </w:rPr>
              <w:t>乐清市人员密集场所人脸识别抓拍建设项目</w:t>
            </w:r>
            <w:r>
              <w:rPr>
                <w:rFonts w:hint="eastAsia" w:ascii="宋体" w:hAnsi="宋体" w:eastAsia="宋体"/>
                <w:b w:val="0"/>
                <w:color w:val="000000"/>
                <w:sz w:val="22"/>
              </w:rPr>
              <w:t>-标项五</w:t>
            </w:r>
          </w:p>
        </w:tc>
        <w:tc>
          <w:tcPr>
            <w:tcW w:w="2126"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大写：</w:t>
            </w:r>
          </w:p>
          <w:p>
            <w:pPr>
              <w:spacing w:line="460" w:lineRule="exact"/>
              <w:rPr>
                <w:rFonts w:ascii="宋体" w:hAnsi="宋体" w:eastAsia="宋体"/>
                <w:b w:val="0"/>
                <w:color w:val="000000"/>
                <w:sz w:val="22"/>
              </w:rPr>
            </w:pPr>
            <w:r>
              <w:rPr>
                <w:rFonts w:hint="eastAsia" w:ascii="宋体" w:hAnsi="宋体" w:eastAsia="宋体"/>
                <w:b w:val="0"/>
                <w:color w:val="000000"/>
                <w:sz w:val="22"/>
              </w:rPr>
              <w:t>小写：</w:t>
            </w:r>
          </w:p>
        </w:tc>
        <w:tc>
          <w:tcPr>
            <w:tcW w:w="62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1、网络服务、系统运维服务两项分项</w:t>
            </w:r>
            <w:r>
              <w:rPr>
                <w:rFonts w:hint="eastAsia" w:ascii="宋体" w:hAnsi="宋体" w:eastAsia="宋体" w:cs="宋体"/>
                <w:b w:val="0"/>
                <w:color w:val="000000"/>
                <w:sz w:val="22"/>
                <w:szCs w:val="22"/>
                <w:highlight w:val="none"/>
                <w:lang w:val="en-US" w:eastAsia="zh-CN"/>
              </w:rPr>
              <w:t>报价</w:t>
            </w:r>
            <w:r>
              <w:rPr>
                <w:rFonts w:hint="eastAsia" w:ascii="宋体" w:hAnsi="宋体" w:eastAsia="宋体" w:cs="宋体"/>
                <w:b w:val="0"/>
                <w:color w:val="000000"/>
                <w:sz w:val="22"/>
                <w:szCs w:val="22"/>
                <w:highlight w:val="none"/>
              </w:rPr>
              <w:t>合计为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rPr>
              <w:t>元/</w:t>
            </w:r>
            <w:r>
              <w:rPr>
                <w:rFonts w:hint="eastAsia" w:ascii="宋体" w:hAnsi="宋体" w:eastAsia="宋体" w:cs="宋体"/>
                <w:b w:val="0"/>
                <w:color w:val="000000"/>
                <w:sz w:val="22"/>
                <w:szCs w:val="22"/>
                <w:highlight w:val="none"/>
                <w:lang w:val="en-US" w:eastAsia="zh-CN"/>
              </w:rPr>
              <w:t>处</w:t>
            </w:r>
            <w:r>
              <w:rPr>
                <w:rFonts w:hint="eastAsia" w:ascii="宋体" w:hAnsi="宋体" w:eastAsia="宋体" w:cs="宋体"/>
                <w:b w:val="0"/>
                <w:color w:val="000000"/>
                <w:sz w:val="22"/>
                <w:szCs w:val="22"/>
                <w:highlight w:val="none"/>
              </w:rPr>
              <w:t>/年；</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default"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2、加头集成服务费报价为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3、利旧点位运维费报价为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4、利旧点位安装费报价为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w:t>
            </w:r>
          </w:p>
          <w:p>
            <w:pPr>
              <w:pStyle w:val="2"/>
              <w:keepNext w:val="0"/>
              <w:keepLines w:val="0"/>
              <w:pageBreakBefore w:val="0"/>
              <w:widowControl w:val="0"/>
              <w:kinsoku/>
              <w:wordWrap/>
              <w:overflowPunct/>
              <w:topLinePunct w:val="0"/>
              <w:bidi w:val="0"/>
              <w:adjustRightInd/>
              <w:spacing w:line="460" w:lineRule="exact"/>
              <w:ind w:left="0" w:leftChars="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5、云监控集成服务报价为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元/处（含5年）</w:t>
            </w:r>
          </w:p>
          <w:p>
            <w:pPr>
              <w:spacing w:line="460" w:lineRule="exact"/>
              <w:rPr>
                <w:rFonts w:ascii="宋体" w:hAnsi="宋体" w:eastAsia="宋体"/>
                <w:b w:val="0"/>
                <w:color w:val="000000"/>
                <w:sz w:val="22"/>
              </w:rPr>
            </w:pPr>
            <w:r>
              <w:rPr>
                <w:rFonts w:hint="eastAsia" w:ascii="宋体" w:hAnsi="宋体" w:eastAsia="宋体" w:cs="宋体"/>
                <w:b w:val="0"/>
                <w:color w:val="000000"/>
                <w:sz w:val="22"/>
                <w:szCs w:val="22"/>
                <w:highlight w:val="none"/>
                <w:lang w:val="en-US" w:eastAsia="zh-CN"/>
              </w:rPr>
              <w:t>6、云人脸集成服务报价为</w:t>
            </w:r>
            <w:r>
              <w:rPr>
                <w:rFonts w:hint="eastAsia" w:ascii="宋体" w:hAnsi="宋体" w:eastAsia="宋体" w:cs="宋体"/>
                <w:b w:val="0"/>
                <w:color w:val="000000"/>
                <w:sz w:val="22"/>
                <w:szCs w:val="22"/>
                <w:u w:val="single"/>
              </w:rPr>
              <w:t xml:space="preserve">      </w:t>
            </w:r>
            <w:r>
              <w:rPr>
                <w:rFonts w:hint="eastAsia" w:ascii="宋体" w:hAnsi="宋体" w:eastAsia="宋体" w:cs="宋体"/>
                <w:b w:val="0"/>
                <w:color w:val="000000"/>
                <w:sz w:val="22"/>
                <w:szCs w:val="22"/>
                <w:highlight w:val="none"/>
                <w:lang w:val="en-US" w:eastAsia="zh-CN"/>
              </w:rPr>
              <w:t>元/处（含5年）</w:t>
            </w:r>
          </w:p>
        </w:tc>
      </w:tr>
    </w:tbl>
    <w:p>
      <w:pPr>
        <w:pStyle w:val="25"/>
        <w:spacing w:line="460" w:lineRule="atLeast"/>
        <w:ind w:firstLine="440" w:firstLineChars="200"/>
        <w:rPr>
          <w:rFonts w:hint="default" w:ascii="宋体" w:hAnsi="宋体" w:eastAsia="宋体"/>
          <w:b w:val="0"/>
          <w:color w:val="000000"/>
          <w:sz w:val="22"/>
        </w:rPr>
      </w:pPr>
      <w:r>
        <w:rPr>
          <w:rFonts w:ascii="宋体" w:hAnsi="宋体" w:eastAsia="宋体"/>
          <w:b w:val="0"/>
          <w:color w:val="000000"/>
          <w:sz w:val="22"/>
        </w:rPr>
        <w:t>开标一览表中投标价为符合招标文件要求的总价。</w:t>
      </w:r>
    </w:p>
    <w:p>
      <w:pPr>
        <w:spacing w:line="420" w:lineRule="exact"/>
        <w:ind w:firstLine="440" w:firstLineChars="200"/>
        <w:rPr>
          <w:rFonts w:ascii="宋体" w:hAnsi="宋体" w:eastAsia="宋体"/>
          <w:color w:val="000000"/>
          <w:sz w:val="22"/>
        </w:rPr>
      </w:pPr>
      <w:r>
        <w:rPr>
          <w:rFonts w:hint="eastAsia" w:ascii="宋体" w:hAnsi="宋体" w:eastAsia="宋体"/>
          <w:b w:val="0"/>
          <w:color w:val="000000"/>
          <w:sz w:val="22"/>
        </w:rPr>
        <w:t>不提供此表格的将视为没有实质性响应招标文件</w:t>
      </w:r>
      <w:r>
        <w:rPr>
          <w:rFonts w:hint="eastAsia" w:ascii="宋体" w:hAnsi="宋体" w:eastAsia="宋体"/>
          <w:b w:val="0"/>
          <w:color w:val="000000"/>
          <w:sz w:val="24"/>
        </w:rPr>
        <w:t>。</w:t>
      </w:r>
    </w:p>
    <w:p>
      <w:pPr>
        <w:autoSpaceDE w:val="0"/>
        <w:autoSpaceDN w:val="0"/>
        <w:spacing w:line="420" w:lineRule="exact"/>
        <w:ind w:firstLine="220" w:firstLineChars="100"/>
        <w:rPr>
          <w:rFonts w:ascii="宋体" w:hAnsi="宋体" w:eastAsia="宋体"/>
          <w:b w:val="0"/>
          <w:color w:val="000000"/>
          <w:sz w:val="22"/>
          <w:lang w:val="zh-CN"/>
        </w:rPr>
      </w:pP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投标供应商（盖章）：</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 xml:space="preserve">     </w:t>
      </w:r>
      <w:r>
        <w:rPr>
          <w:rFonts w:ascii="宋体" w:hAnsi="宋体" w:eastAsia="宋体"/>
          <w:b w:val="0"/>
          <w:color w:val="000000"/>
          <w:sz w:val="22"/>
          <w:lang w:val="zh-CN"/>
        </w:rPr>
        <w:t xml:space="preserve"> </w:t>
      </w: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法定代表人或授权代表（签字或盖章）：</w:t>
      </w:r>
      <w:r>
        <w:rPr>
          <w:rFonts w:ascii="宋体" w:hAnsi="宋体" w:eastAsia="宋体"/>
          <w:b w:val="0"/>
          <w:color w:val="000000"/>
          <w:sz w:val="22"/>
          <w:lang w:val="zh-CN"/>
        </w:rPr>
        <w:t xml:space="preserve">             </w:t>
      </w:r>
    </w:p>
    <w:p>
      <w:pPr>
        <w:autoSpaceDE w:val="0"/>
        <w:autoSpaceDN w:val="0"/>
        <w:spacing w:line="420" w:lineRule="exact"/>
        <w:ind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日期：</w:t>
      </w:r>
    </w:p>
    <w:p>
      <w:pPr>
        <w:autoSpaceDE w:val="0"/>
        <w:autoSpaceDN w:val="0"/>
        <w:spacing w:line="460" w:lineRule="atLeast"/>
        <w:jc w:val="left"/>
        <w:rPr>
          <w:rFonts w:ascii="宋体" w:hAnsi="宋体" w:eastAsia="宋体"/>
          <w:b w:val="0"/>
          <w:color w:val="000000"/>
          <w:sz w:val="32"/>
          <w:szCs w:val="32"/>
          <w:lang w:val="zh-CN"/>
        </w:rPr>
      </w:pPr>
      <w:r>
        <w:rPr>
          <w:rFonts w:ascii="宋体" w:hAnsi="宋体" w:eastAsia="宋体"/>
          <w:color w:val="000000"/>
        </w:rPr>
        <w:br w:type="page"/>
      </w:r>
      <w:r>
        <w:rPr>
          <w:rFonts w:hint="eastAsia" w:ascii="宋体" w:hAnsi="宋体" w:eastAsia="宋体"/>
          <w:b w:val="0"/>
          <w:color w:val="000000"/>
          <w:sz w:val="32"/>
          <w:szCs w:val="32"/>
          <w:lang w:val="zh-CN"/>
        </w:rPr>
        <w:t>附件三</w:t>
      </w:r>
    </w:p>
    <w:p>
      <w:pPr>
        <w:autoSpaceDE w:val="0"/>
        <w:autoSpaceDN w:val="0"/>
        <w:spacing w:line="460" w:lineRule="atLeast"/>
        <w:jc w:val="center"/>
        <w:rPr>
          <w:rFonts w:ascii="宋体" w:hAnsi="宋体" w:eastAsia="宋体"/>
          <w:b w:val="0"/>
          <w:color w:val="000000"/>
          <w:sz w:val="36"/>
          <w:lang w:val="zh-CN"/>
        </w:rPr>
      </w:pPr>
      <w:r>
        <w:rPr>
          <w:rFonts w:hint="eastAsia" w:ascii="宋体" w:hAnsi="宋体" w:eastAsia="宋体"/>
          <w:b w:val="0"/>
          <w:color w:val="000000"/>
          <w:sz w:val="36"/>
          <w:lang w:val="zh-CN"/>
        </w:rPr>
        <w:t>投标设备数量、价格表（按标项提供）</w:t>
      </w:r>
    </w:p>
    <w:p>
      <w:pPr>
        <w:autoSpaceDE w:val="0"/>
        <w:autoSpaceDN w:val="0"/>
        <w:spacing w:line="460" w:lineRule="atLeast"/>
        <w:jc w:val="right"/>
        <w:rPr>
          <w:rFonts w:ascii="宋体" w:hAnsi="宋体" w:eastAsia="宋体" w:cs="Cambria"/>
          <w:b w:val="0"/>
          <w:color w:val="000000"/>
          <w:sz w:val="22"/>
          <w:lang w:val="zh-CN"/>
        </w:rPr>
      </w:pPr>
      <w:r>
        <w:rPr>
          <w:rFonts w:hint="eastAsia" w:ascii="宋体" w:hAnsi="宋体" w:eastAsia="宋体" w:cs="Cambria"/>
          <w:b w:val="0"/>
          <w:color w:val="000000"/>
          <w:sz w:val="22"/>
          <w:lang w:val="zh-CN"/>
        </w:rPr>
        <w:t>（价格单位：元）</w:t>
      </w:r>
    </w:p>
    <w:tbl>
      <w:tblPr>
        <w:tblStyle w:val="41"/>
        <w:tblW w:w="9606"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276"/>
        <w:gridCol w:w="1418"/>
        <w:gridCol w:w="1559"/>
        <w:gridCol w:w="1418"/>
        <w:gridCol w:w="1418"/>
        <w:gridCol w:w="127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Pr>
        <w:tc>
          <w:tcPr>
            <w:tcW w:w="1242" w:type="dxa"/>
            <w:noWrap w:val="0"/>
            <w:vAlign w:val="center"/>
          </w:tcPr>
          <w:p>
            <w:pPr>
              <w:spacing w:line="460" w:lineRule="exact"/>
              <w:ind w:right="-11"/>
              <w:jc w:val="center"/>
              <w:rPr>
                <w:rFonts w:ascii="宋体" w:hAnsi="宋体" w:eastAsia="宋体" w:cs="黑体"/>
                <w:b w:val="0"/>
                <w:color w:val="000000"/>
              </w:rPr>
            </w:pPr>
            <w:r>
              <w:rPr>
                <w:rFonts w:hint="eastAsia" w:ascii="宋体" w:hAnsi="宋体" w:eastAsia="宋体" w:cs="黑体"/>
                <w:b w:val="0"/>
                <w:color w:val="000000"/>
              </w:rPr>
              <w:t>产品名称</w:t>
            </w:r>
          </w:p>
        </w:tc>
        <w:tc>
          <w:tcPr>
            <w:tcW w:w="1276" w:type="dxa"/>
            <w:tcBorders>
              <w:right w:val="single" w:color="auto" w:sz="2" w:space="0"/>
            </w:tcBorders>
            <w:noWrap w:val="0"/>
            <w:vAlign w:val="center"/>
          </w:tcPr>
          <w:p>
            <w:pPr>
              <w:spacing w:line="460" w:lineRule="exact"/>
              <w:ind w:right="-11"/>
              <w:jc w:val="center"/>
              <w:rPr>
                <w:rFonts w:ascii="宋体" w:hAnsi="宋体" w:eastAsia="宋体" w:cs="黑体"/>
                <w:b w:val="0"/>
                <w:color w:val="000000"/>
              </w:rPr>
            </w:pPr>
            <w:r>
              <w:rPr>
                <w:rFonts w:hint="eastAsia" w:ascii="宋体" w:hAnsi="宋体" w:eastAsia="宋体" w:cs="黑体"/>
                <w:b w:val="0"/>
                <w:color w:val="000000"/>
              </w:rPr>
              <w:t>品牌</w:t>
            </w:r>
          </w:p>
        </w:tc>
        <w:tc>
          <w:tcPr>
            <w:tcW w:w="1418" w:type="dxa"/>
            <w:tcBorders>
              <w:left w:val="single" w:color="auto" w:sz="2" w:space="0"/>
            </w:tcBorders>
            <w:noWrap w:val="0"/>
            <w:vAlign w:val="center"/>
          </w:tcPr>
          <w:p>
            <w:pPr>
              <w:spacing w:line="460" w:lineRule="exact"/>
              <w:ind w:right="-11"/>
              <w:jc w:val="center"/>
              <w:rPr>
                <w:rFonts w:ascii="宋体" w:hAnsi="宋体" w:eastAsia="宋体" w:cs="黑体"/>
                <w:b w:val="0"/>
                <w:color w:val="000000"/>
              </w:rPr>
            </w:pPr>
            <w:r>
              <w:rPr>
                <w:rFonts w:hint="eastAsia" w:ascii="宋体" w:hAnsi="宋体" w:eastAsia="宋体" w:cs="黑体"/>
                <w:b w:val="0"/>
                <w:color w:val="000000"/>
              </w:rPr>
              <w:t>型号</w:t>
            </w:r>
          </w:p>
        </w:tc>
        <w:tc>
          <w:tcPr>
            <w:tcW w:w="1559" w:type="dxa"/>
            <w:noWrap w:val="0"/>
            <w:vAlign w:val="center"/>
          </w:tcPr>
          <w:p>
            <w:pPr>
              <w:spacing w:line="460" w:lineRule="exact"/>
              <w:ind w:right="-11"/>
              <w:jc w:val="center"/>
              <w:rPr>
                <w:rFonts w:ascii="宋体" w:hAnsi="宋体" w:eastAsia="宋体" w:cs="黑体"/>
                <w:b w:val="0"/>
                <w:color w:val="000000"/>
              </w:rPr>
            </w:pPr>
            <w:r>
              <w:rPr>
                <w:rFonts w:hint="eastAsia" w:ascii="宋体" w:hAnsi="宋体" w:eastAsia="宋体" w:cs="黑体"/>
                <w:b w:val="0"/>
                <w:color w:val="000000"/>
              </w:rPr>
              <w:t>制造厂商名称</w:t>
            </w:r>
          </w:p>
        </w:tc>
        <w:tc>
          <w:tcPr>
            <w:tcW w:w="1418" w:type="dxa"/>
            <w:noWrap w:val="0"/>
            <w:vAlign w:val="center"/>
          </w:tcPr>
          <w:p>
            <w:pPr>
              <w:spacing w:line="460" w:lineRule="exact"/>
              <w:ind w:right="-11"/>
              <w:jc w:val="center"/>
              <w:rPr>
                <w:rFonts w:ascii="宋体" w:hAnsi="宋体" w:eastAsia="宋体" w:cs="黑体"/>
                <w:b w:val="0"/>
                <w:color w:val="000000"/>
              </w:rPr>
            </w:pPr>
            <w:r>
              <w:rPr>
                <w:rFonts w:hint="eastAsia" w:ascii="宋体" w:hAnsi="宋体" w:eastAsia="宋体" w:cs="黑体"/>
                <w:b w:val="0"/>
                <w:color w:val="000000"/>
              </w:rPr>
              <w:t>数量</w:t>
            </w:r>
          </w:p>
        </w:tc>
        <w:tc>
          <w:tcPr>
            <w:tcW w:w="1418" w:type="dxa"/>
            <w:noWrap w:val="0"/>
            <w:vAlign w:val="center"/>
          </w:tcPr>
          <w:p>
            <w:pPr>
              <w:spacing w:line="460" w:lineRule="exact"/>
              <w:ind w:right="-11"/>
              <w:jc w:val="center"/>
              <w:rPr>
                <w:rFonts w:ascii="宋体" w:hAnsi="宋体" w:eastAsia="宋体" w:cs="黑体"/>
                <w:b w:val="0"/>
                <w:color w:val="000000"/>
              </w:rPr>
            </w:pPr>
            <w:r>
              <w:rPr>
                <w:rFonts w:hint="eastAsia" w:ascii="宋体" w:hAnsi="宋体" w:eastAsia="宋体" w:cs="黑体"/>
                <w:b w:val="0"/>
                <w:color w:val="000000"/>
              </w:rPr>
              <w:t>单价（含税）</w:t>
            </w:r>
          </w:p>
        </w:tc>
        <w:tc>
          <w:tcPr>
            <w:tcW w:w="1275" w:type="dxa"/>
            <w:noWrap w:val="0"/>
            <w:vAlign w:val="center"/>
          </w:tcPr>
          <w:p>
            <w:pPr>
              <w:spacing w:line="460" w:lineRule="exact"/>
              <w:ind w:right="-11"/>
              <w:jc w:val="center"/>
              <w:rPr>
                <w:rFonts w:ascii="宋体" w:hAnsi="宋体" w:eastAsia="宋体" w:cs="黑体"/>
                <w:b w:val="0"/>
                <w:color w:val="000000"/>
              </w:rPr>
            </w:pPr>
            <w:r>
              <w:rPr>
                <w:rFonts w:hint="eastAsia" w:ascii="宋体" w:hAnsi="宋体" w:eastAsia="宋体" w:cs="黑体"/>
                <w:b w:val="0"/>
                <w:color w:val="000000"/>
              </w:rPr>
              <w:t>总价（含税）</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54" w:hRule="atLeast"/>
        </w:trPr>
        <w:tc>
          <w:tcPr>
            <w:tcW w:w="1242" w:type="dxa"/>
            <w:noWrap w:val="0"/>
            <w:vAlign w:val="center"/>
          </w:tcPr>
          <w:p>
            <w:pPr>
              <w:spacing w:line="460" w:lineRule="exact"/>
              <w:rPr>
                <w:rFonts w:ascii="宋体" w:hAnsi="宋体" w:eastAsia="宋体" w:cs="黑体"/>
                <w:b w:val="0"/>
                <w:color w:val="000000"/>
              </w:rPr>
            </w:pPr>
          </w:p>
        </w:tc>
        <w:tc>
          <w:tcPr>
            <w:tcW w:w="1276" w:type="dxa"/>
            <w:tcBorders>
              <w:right w:val="single" w:color="auto" w:sz="2" w:space="0"/>
            </w:tcBorders>
            <w:noWrap w:val="0"/>
            <w:vAlign w:val="center"/>
          </w:tcPr>
          <w:p>
            <w:pPr>
              <w:spacing w:line="460" w:lineRule="exact"/>
              <w:jc w:val="center"/>
              <w:rPr>
                <w:rFonts w:ascii="宋体" w:hAnsi="宋体" w:eastAsia="宋体" w:cs="黑体"/>
                <w:b w:val="0"/>
                <w:color w:val="000000"/>
              </w:rPr>
            </w:pPr>
          </w:p>
        </w:tc>
        <w:tc>
          <w:tcPr>
            <w:tcW w:w="1418" w:type="dxa"/>
            <w:tcBorders>
              <w:left w:val="single" w:color="auto" w:sz="2" w:space="0"/>
            </w:tcBorders>
            <w:noWrap w:val="0"/>
            <w:vAlign w:val="center"/>
          </w:tcPr>
          <w:p>
            <w:pPr>
              <w:spacing w:line="460" w:lineRule="exact"/>
              <w:jc w:val="center"/>
              <w:rPr>
                <w:rFonts w:ascii="宋体" w:hAnsi="宋体" w:eastAsia="宋体" w:cs="黑体"/>
                <w:b w:val="0"/>
                <w:color w:val="000000"/>
              </w:rPr>
            </w:pPr>
          </w:p>
        </w:tc>
        <w:tc>
          <w:tcPr>
            <w:tcW w:w="1559" w:type="dxa"/>
            <w:noWrap w:val="0"/>
            <w:vAlign w:val="center"/>
          </w:tcPr>
          <w:p>
            <w:pPr>
              <w:spacing w:line="460" w:lineRule="exact"/>
              <w:ind w:right="-11"/>
              <w:jc w:val="center"/>
              <w:rPr>
                <w:rFonts w:ascii="宋体" w:hAnsi="宋体" w:eastAsia="宋体" w:cs="黑体"/>
                <w:b w:val="0"/>
                <w:color w:val="000000"/>
              </w:rPr>
            </w:pPr>
          </w:p>
        </w:tc>
        <w:tc>
          <w:tcPr>
            <w:tcW w:w="1418" w:type="dxa"/>
            <w:noWrap w:val="0"/>
            <w:vAlign w:val="center"/>
          </w:tcPr>
          <w:p>
            <w:pPr>
              <w:spacing w:line="460" w:lineRule="exact"/>
              <w:ind w:right="-11"/>
              <w:jc w:val="center"/>
              <w:rPr>
                <w:rFonts w:ascii="宋体" w:hAnsi="宋体" w:eastAsia="宋体" w:cs="黑体"/>
                <w:b w:val="0"/>
                <w:color w:val="000000"/>
              </w:rPr>
            </w:pPr>
          </w:p>
        </w:tc>
        <w:tc>
          <w:tcPr>
            <w:tcW w:w="1418" w:type="dxa"/>
            <w:noWrap w:val="0"/>
            <w:vAlign w:val="center"/>
          </w:tcPr>
          <w:p>
            <w:pPr>
              <w:spacing w:line="460" w:lineRule="exact"/>
              <w:ind w:right="-11"/>
              <w:jc w:val="center"/>
              <w:rPr>
                <w:rFonts w:ascii="宋体" w:hAnsi="宋体" w:eastAsia="宋体" w:cs="黑体"/>
                <w:b w:val="0"/>
                <w:color w:val="000000"/>
              </w:rPr>
            </w:pPr>
          </w:p>
        </w:tc>
        <w:tc>
          <w:tcPr>
            <w:tcW w:w="1275" w:type="dxa"/>
            <w:noWrap w:val="0"/>
            <w:vAlign w:val="center"/>
          </w:tcPr>
          <w:p>
            <w:pPr>
              <w:spacing w:line="460" w:lineRule="exact"/>
              <w:ind w:right="-11"/>
              <w:jc w:val="center"/>
              <w:rPr>
                <w:rFonts w:ascii="宋体" w:hAnsi="宋体" w:eastAsia="宋体" w:cs="黑体"/>
                <w:b w:val="0"/>
                <w:color w:val="00000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54" w:hRule="atLeast"/>
        </w:trPr>
        <w:tc>
          <w:tcPr>
            <w:tcW w:w="1242" w:type="dxa"/>
            <w:noWrap w:val="0"/>
            <w:vAlign w:val="center"/>
          </w:tcPr>
          <w:p>
            <w:pPr>
              <w:spacing w:line="460" w:lineRule="exact"/>
              <w:rPr>
                <w:rFonts w:ascii="宋体" w:hAnsi="宋体" w:eastAsia="宋体" w:cs="黑体"/>
                <w:b w:val="0"/>
                <w:color w:val="000000"/>
              </w:rPr>
            </w:pPr>
          </w:p>
        </w:tc>
        <w:tc>
          <w:tcPr>
            <w:tcW w:w="1276" w:type="dxa"/>
            <w:tcBorders>
              <w:right w:val="single" w:color="auto" w:sz="2" w:space="0"/>
            </w:tcBorders>
            <w:noWrap w:val="0"/>
            <w:vAlign w:val="center"/>
          </w:tcPr>
          <w:p>
            <w:pPr>
              <w:spacing w:line="460" w:lineRule="exact"/>
              <w:jc w:val="center"/>
              <w:rPr>
                <w:rFonts w:ascii="宋体" w:hAnsi="宋体" w:eastAsia="宋体" w:cs="黑体"/>
                <w:b w:val="0"/>
                <w:color w:val="000000"/>
              </w:rPr>
            </w:pPr>
          </w:p>
        </w:tc>
        <w:tc>
          <w:tcPr>
            <w:tcW w:w="1418" w:type="dxa"/>
            <w:tcBorders>
              <w:left w:val="single" w:color="auto" w:sz="2" w:space="0"/>
            </w:tcBorders>
            <w:noWrap w:val="0"/>
            <w:vAlign w:val="center"/>
          </w:tcPr>
          <w:p>
            <w:pPr>
              <w:spacing w:line="460" w:lineRule="exact"/>
              <w:jc w:val="center"/>
              <w:rPr>
                <w:rFonts w:ascii="宋体" w:hAnsi="宋体" w:eastAsia="宋体" w:cs="黑体"/>
                <w:b w:val="0"/>
                <w:color w:val="000000"/>
              </w:rPr>
            </w:pPr>
          </w:p>
        </w:tc>
        <w:tc>
          <w:tcPr>
            <w:tcW w:w="1559" w:type="dxa"/>
            <w:noWrap w:val="0"/>
            <w:vAlign w:val="center"/>
          </w:tcPr>
          <w:p>
            <w:pPr>
              <w:spacing w:line="460" w:lineRule="exact"/>
              <w:ind w:right="-11"/>
              <w:jc w:val="center"/>
              <w:rPr>
                <w:rFonts w:ascii="宋体" w:hAnsi="宋体" w:eastAsia="宋体" w:cs="黑体"/>
                <w:b w:val="0"/>
                <w:color w:val="000000"/>
              </w:rPr>
            </w:pPr>
          </w:p>
        </w:tc>
        <w:tc>
          <w:tcPr>
            <w:tcW w:w="1418" w:type="dxa"/>
            <w:noWrap w:val="0"/>
            <w:vAlign w:val="center"/>
          </w:tcPr>
          <w:p>
            <w:pPr>
              <w:spacing w:line="460" w:lineRule="exact"/>
              <w:ind w:right="-11"/>
              <w:jc w:val="center"/>
              <w:rPr>
                <w:rFonts w:ascii="宋体" w:hAnsi="宋体" w:eastAsia="宋体" w:cs="黑体"/>
                <w:b w:val="0"/>
                <w:color w:val="000000"/>
              </w:rPr>
            </w:pPr>
          </w:p>
        </w:tc>
        <w:tc>
          <w:tcPr>
            <w:tcW w:w="1418" w:type="dxa"/>
            <w:noWrap w:val="0"/>
            <w:vAlign w:val="center"/>
          </w:tcPr>
          <w:p>
            <w:pPr>
              <w:spacing w:line="460" w:lineRule="exact"/>
              <w:ind w:right="-11"/>
              <w:jc w:val="center"/>
              <w:rPr>
                <w:rFonts w:ascii="宋体" w:hAnsi="宋体" w:eastAsia="宋体" w:cs="黑体"/>
                <w:b w:val="0"/>
                <w:color w:val="000000"/>
              </w:rPr>
            </w:pPr>
          </w:p>
        </w:tc>
        <w:tc>
          <w:tcPr>
            <w:tcW w:w="1275" w:type="dxa"/>
            <w:noWrap w:val="0"/>
            <w:vAlign w:val="center"/>
          </w:tcPr>
          <w:p>
            <w:pPr>
              <w:spacing w:line="460" w:lineRule="exact"/>
              <w:ind w:right="-11"/>
              <w:jc w:val="center"/>
              <w:rPr>
                <w:rFonts w:ascii="宋体" w:hAnsi="宋体" w:eastAsia="宋体" w:cs="黑体"/>
                <w:b w:val="0"/>
                <w:color w:val="00000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54" w:hRule="atLeast"/>
        </w:trPr>
        <w:tc>
          <w:tcPr>
            <w:tcW w:w="1242" w:type="dxa"/>
            <w:noWrap w:val="0"/>
            <w:vAlign w:val="center"/>
          </w:tcPr>
          <w:p>
            <w:pPr>
              <w:spacing w:line="460" w:lineRule="exact"/>
              <w:rPr>
                <w:rFonts w:ascii="宋体" w:hAnsi="宋体" w:eastAsia="宋体" w:cs="黑体"/>
                <w:b w:val="0"/>
                <w:color w:val="000000"/>
              </w:rPr>
            </w:pPr>
          </w:p>
        </w:tc>
        <w:tc>
          <w:tcPr>
            <w:tcW w:w="1276" w:type="dxa"/>
            <w:tcBorders>
              <w:right w:val="single" w:color="auto" w:sz="2" w:space="0"/>
            </w:tcBorders>
            <w:noWrap w:val="0"/>
            <w:vAlign w:val="center"/>
          </w:tcPr>
          <w:p>
            <w:pPr>
              <w:spacing w:line="460" w:lineRule="exact"/>
              <w:jc w:val="center"/>
              <w:rPr>
                <w:rFonts w:ascii="宋体" w:hAnsi="宋体" w:eastAsia="宋体" w:cs="黑体"/>
                <w:b w:val="0"/>
                <w:color w:val="000000"/>
              </w:rPr>
            </w:pPr>
          </w:p>
        </w:tc>
        <w:tc>
          <w:tcPr>
            <w:tcW w:w="1418" w:type="dxa"/>
            <w:tcBorders>
              <w:left w:val="single" w:color="auto" w:sz="2" w:space="0"/>
            </w:tcBorders>
            <w:noWrap w:val="0"/>
            <w:vAlign w:val="center"/>
          </w:tcPr>
          <w:p>
            <w:pPr>
              <w:spacing w:line="460" w:lineRule="exact"/>
              <w:jc w:val="center"/>
              <w:rPr>
                <w:rFonts w:ascii="宋体" w:hAnsi="宋体" w:eastAsia="宋体" w:cs="黑体"/>
                <w:b w:val="0"/>
                <w:color w:val="000000"/>
              </w:rPr>
            </w:pPr>
          </w:p>
        </w:tc>
        <w:tc>
          <w:tcPr>
            <w:tcW w:w="1559" w:type="dxa"/>
            <w:noWrap w:val="0"/>
            <w:vAlign w:val="center"/>
          </w:tcPr>
          <w:p>
            <w:pPr>
              <w:spacing w:line="460" w:lineRule="exact"/>
              <w:ind w:right="-11"/>
              <w:jc w:val="center"/>
              <w:rPr>
                <w:rFonts w:ascii="宋体" w:hAnsi="宋体" w:eastAsia="宋体" w:cs="黑体"/>
                <w:b w:val="0"/>
                <w:color w:val="000000"/>
              </w:rPr>
            </w:pPr>
          </w:p>
        </w:tc>
        <w:tc>
          <w:tcPr>
            <w:tcW w:w="1418" w:type="dxa"/>
            <w:noWrap w:val="0"/>
            <w:vAlign w:val="center"/>
          </w:tcPr>
          <w:p>
            <w:pPr>
              <w:spacing w:line="460" w:lineRule="exact"/>
              <w:ind w:right="-11"/>
              <w:jc w:val="center"/>
              <w:rPr>
                <w:rFonts w:ascii="宋体" w:hAnsi="宋体" w:eastAsia="宋体" w:cs="黑体"/>
                <w:b w:val="0"/>
                <w:color w:val="000000"/>
              </w:rPr>
            </w:pPr>
          </w:p>
        </w:tc>
        <w:tc>
          <w:tcPr>
            <w:tcW w:w="1418" w:type="dxa"/>
            <w:noWrap w:val="0"/>
            <w:vAlign w:val="center"/>
          </w:tcPr>
          <w:p>
            <w:pPr>
              <w:spacing w:line="460" w:lineRule="exact"/>
              <w:ind w:right="-11"/>
              <w:jc w:val="center"/>
              <w:rPr>
                <w:rFonts w:ascii="宋体" w:hAnsi="宋体" w:eastAsia="宋体" w:cs="黑体"/>
                <w:b w:val="0"/>
                <w:color w:val="000000"/>
              </w:rPr>
            </w:pPr>
          </w:p>
        </w:tc>
        <w:tc>
          <w:tcPr>
            <w:tcW w:w="1275" w:type="dxa"/>
            <w:noWrap w:val="0"/>
            <w:vAlign w:val="center"/>
          </w:tcPr>
          <w:p>
            <w:pPr>
              <w:spacing w:line="460" w:lineRule="exact"/>
              <w:ind w:right="-11"/>
              <w:jc w:val="center"/>
              <w:rPr>
                <w:rFonts w:ascii="宋体" w:hAnsi="宋体" w:eastAsia="宋体" w:cs="黑体"/>
                <w:b w:val="0"/>
                <w:color w:val="00000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54" w:hRule="atLeast"/>
        </w:trPr>
        <w:tc>
          <w:tcPr>
            <w:tcW w:w="1242" w:type="dxa"/>
            <w:noWrap w:val="0"/>
            <w:vAlign w:val="center"/>
          </w:tcPr>
          <w:p>
            <w:pPr>
              <w:spacing w:line="460" w:lineRule="exact"/>
              <w:rPr>
                <w:rFonts w:ascii="宋体" w:hAnsi="宋体" w:eastAsia="宋体" w:cs="黑体"/>
                <w:b w:val="0"/>
                <w:color w:val="000000"/>
              </w:rPr>
            </w:pPr>
          </w:p>
        </w:tc>
        <w:tc>
          <w:tcPr>
            <w:tcW w:w="1276" w:type="dxa"/>
            <w:tcBorders>
              <w:right w:val="single" w:color="auto" w:sz="2" w:space="0"/>
            </w:tcBorders>
            <w:noWrap w:val="0"/>
            <w:vAlign w:val="center"/>
          </w:tcPr>
          <w:p>
            <w:pPr>
              <w:spacing w:line="460" w:lineRule="exact"/>
              <w:jc w:val="center"/>
              <w:rPr>
                <w:rFonts w:ascii="宋体" w:hAnsi="宋体" w:eastAsia="宋体" w:cs="黑体"/>
                <w:b w:val="0"/>
                <w:color w:val="000000"/>
              </w:rPr>
            </w:pPr>
          </w:p>
        </w:tc>
        <w:tc>
          <w:tcPr>
            <w:tcW w:w="1418" w:type="dxa"/>
            <w:tcBorders>
              <w:left w:val="single" w:color="auto" w:sz="2" w:space="0"/>
            </w:tcBorders>
            <w:noWrap w:val="0"/>
            <w:vAlign w:val="center"/>
          </w:tcPr>
          <w:p>
            <w:pPr>
              <w:spacing w:line="460" w:lineRule="exact"/>
              <w:jc w:val="center"/>
              <w:rPr>
                <w:rFonts w:ascii="宋体" w:hAnsi="宋体" w:eastAsia="宋体" w:cs="黑体"/>
                <w:b w:val="0"/>
                <w:color w:val="000000"/>
              </w:rPr>
            </w:pPr>
          </w:p>
        </w:tc>
        <w:tc>
          <w:tcPr>
            <w:tcW w:w="1559" w:type="dxa"/>
            <w:noWrap w:val="0"/>
            <w:vAlign w:val="center"/>
          </w:tcPr>
          <w:p>
            <w:pPr>
              <w:spacing w:line="460" w:lineRule="exact"/>
              <w:ind w:right="-11"/>
              <w:jc w:val="center"/>
              <w:rPr>
                <w:rFonts w:ascii="宋体" w:hAnsi="宋体" w:eastAsia="宋体" w:cs="黑体"/>
                <w:b w:val="0"/>
                <w:color w:val="000000"/>
              </w:rPr>
            </w:pPr>
          </w:p>
        </w:tc>
        <w:tc>
          <w:tcPr>
            <w:tcW w:w="1418" w:type="dxa"/>
            <w:noWrap w:val="0"/>
            <w:vAlign w:val="center"/>
          </w:tcPr>
          <w:p>
            <w:pPr>
              <w:spacing w:line="460" w:lineRule="exact"/>
              <w:ind w:right="-11"/>
              <w:jc w:val="center"/>
              <w:rPr>
                <w:rFonts w:ascii="宋体" w:hAnsi="宋体" w:eastAsia="宋体" w:cs="黑体"/>
                <w:b w:val="0"/>
                <w:color w:val="000000"/>
              </w:rPr>
            </w:pPr>
          </w:p>
        </w:tc>
        <w:tc>
          <w:tcPr>
            <w:tcW w:w="1418" w:type="dxa"/>
            <w:noWrap w:val="0"/>
            <w:vAlign w:val="center"/>
          </w:tcPr>
          <w:p>
            <w:pPr>
              <w:spacing w:line="460" w:lineRule="exact"/>
              <w:ind w:right="-11"/>
              <w:jc w:val="center"/>
              <w:rPr>
                <w:rFonts w:ascii="宋体" w:hAnsi="宋体" w:eastAsia="宋体" w:cs="黑体"/>
                <w:b w:val="0"/>
                <w:color w:val="000000"/>
              </w:rPr>
            </w:pPr>
          </w:p>
        </w:tc>
        <w:tc>
          <w:tcPr>
            <w:tcW w:w="1275" w:type="dxa"/>
            <w:noWrap w:val="0"/>
            <w:vAlign w:val="center"/>
          </w:tcPr>
          <w:p>
            <w:pPr>
              <w:spacing w:line="460" w:lineRule="exact"/>
              <w:ind w:right="-11"/>
              <w:jc w:val="center"/>
              <w:rPr>
                <w:rFonts w:ascii="宋体" w:hAnsi="宋体" w:eastAsia="宋体" w:cs="黑体"/>
                <w:b w:val="0"/>
                <w:color w:val="00000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cantSplit/>
          <w:trHeight w:val="567" w:hRule="atLeast"/>
        </w:trPr>
        <w:tc>
          <w:tcPr>
            <w:tcW w:w="3936" w:type="dxa"/>
            <w:gridSpan w:val="3"/>
            <w:noWrap w:val="0"/>
            <w:vAlign w:val="center"/>
          </w:tcPr>
          <w:p>
            <w:pPr>
              <w:spacing w:line="460" w:lineRule="exact"/>
              <w:ind w:right="-11"/>
              <w:rPr>
                <w:rFonts w:ascii="宋体" w:hAnsi="宋体" w:eastAsia="宋体" w:cs="黑体"/>
                <w:b w:val="0"/>
                <w:color w:val="000000"/>
              </w:rPr>
            </w:pPr>
            <w:r>
              <w:rPr>
                <w:rFonts w:hint="eastAsia" w:ascii="宋体" w:hAnsi="宋体" w:eastAsia="宋体" w:cs="黑体"/>
                <w:b w:val="0"/>
                <w:color w:val="000000"/>
              </w:rPr>
              <w:t>运杂及保险费（含卸货）</w:t>
            </w:r>
          </w:p>
        </w:tc>
        <w:tc>
          <w:tcPr>
            <w:tcW w:w="5670" w:type="dxa"/>
            <w:gridSpan w:val="4"/>
            <w:noWrap w:val="0"/>
            <w:vAlign w:val="top"/>
          </w:tcPr>
          <w:p>
            <w:pPr>
              <w:spacing w:line="460" w:lineRule="exact"/>
              <w:rPr>
                <w:rFonts w:ascii="宋体" w:hAnsi="宋体" w:eastAsia="宋体"/>
                <w:b w:val="0"/>
                <w:color w:val="000000"/>
                <w:sz w:val="22"/>
              </w:rPr>
            </w:pPr>
            <w:r>
              <w:rPr>
                <w:rFonts w:hint="eastAsia" w:ascii="宋体" w:hAnsi="宋体" w:eastAsia="宋体"/>
                <w:b w:val="0"/>
                <w:color w:val="000000"/>
                <w:sz w:val="22"/>
              </w:rPr>
              <w:t>含</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cantSplit/>
          <w:trHeight w:val="567" w:hRule="atLeast"/>
        </w:trPr>
        <w:tc>
          <w:tcPr>
            <w:tcW w:w="3936" w:type="dxa"/>
            <w:gridSpan w:val="3"/>
            <w:noWrap w:val="0"/>
            <w:vAlign w:val="center"/>
          </w:tcPr>
          <w:p>
            <w:pPr>
              <w:spacing w:line="460" w:lineRule="exact"/>
              <w:ind w:right="-11"/>
              <w:rPr>
                <w:rFonts w:ascii="宋体" w:hAnsi="宋体" w:eastAsia="宋体" w:cs="黑体"/>
                <w:b w:val="0"/>
                <w:color w:val="000000"/>
              </w:rPr>
            </w:pPr>
            <w:r>
              <w:rPr>
                <w:rFonts w:hint="eastAsia" w:ascii="宋体" w:hAnsi="宋体" w:eastAsia="宋体"/>
                <w:b w:val="0"/>
                <w:color w:val="000000"/>
              </w:rPr>
              <w:t>安装调试费（包括设备的测试、调试、检测验收等费用）</w:t>
            </w:r>
          </w:p>
        </w:tc>
        <w:tc>
          <w:tcPr>
            <w:tcW w:w="5670" w:type="dxa"/>
            <w:gridSpan w:val="4"/>
            <w:noWrap w:val="0"/>
            <w:vAlign w:val="top"/>
          </w:tcPr>
          <w:p>
            <w:pPr>
              <w:spacing w:line="460" w:lineRule="exact"/>
              <w:rPr>
                <w:rFonts w:ascii="宋体" w:hAnsi="宋体" w:eastAsia="宋体"/>
                <w:b w:val="0"/>
                <w:color w:val="000000"/>
                <w:sz w:val="22"/>
              </w:rPr>
            </w:pPr>
            <w:r>
              <w:rPr>
                <w:rFonts w:hint="eastAsia" w:ascii="宋体" w:hAnsi="宋体" w:eastAsia="宋体"/>
                <w:b w:val="0"/>
                <w:color w:val="000000"/>
                <w:sz w:val="22"/>
              </w:rPr>
              <w:t>含</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cantSplit/>
          <w:trHeight w:val="567" w:hRule="atLeast"/>
        </w:trPr>
        <w:tc>
          <w:tcPr>
            <w:tcW w:w="3936" w:type="dxa"/>
            <w:gridSpan w:val="3"/>
            <w:noWrap w:val="0"/>
            <w:vAlign w:val="center"/>
          </w:tcPr>
          <w:p>
            <w:pPr>
              <w:spacing w:line="460" w:lineRule="exact"/>
              <w:ind w:right="-11"/>
              <w:rPr>
                <w:rFonts w:ascii="宋体" w:hAnsi="宋体" w:eastAsia="宋体" w:cs="黑体"/>
                <w:b w:val="0"/>
                <w:color w:val="000000"/>
              </w:rPr>
            </w:pPr>
            <w:r>
              <w:rPr>
                <w:rFonts w:hint="eastAsia" w:ascii="宋体" w:hAnsi="宋体" w:eastAsia="宋体" w:cs="黑体"/>
                <w:b w:val="0"/>
                <w:color w:val="000000"/>
              </w:rPr>
              <w:t>培训费、技术服务费、售后服务费等</w:t>
            </w:r>
          </w:p>
        </w:tc>
        <w:tc>
          <w:tcPr>
            <w:tcW w:w="5670" w:type="dxa"/>
            <w:gridSpan w:val="4"/>
            <w:noWrap w:val="0"/>
            <w:vAlign w:val="top"/>
          </w:tcPr>
          <w:p>
            <w:pPr>
              <w:spacing w:line="460" w:lineRule="exact"/>
              <w:rPr>
                <w:rFonts w:ascii="宋体" w:hAnsi="宋体" w:eastAsia="宋体"/>
                <w:b w:val="0"/>
                <w:color w:val="000000"/>
              </w:rPr>
            </w:pPr>
            <w:r>
              <w:rPr>
                <w:rFonts w:hint="eastAsia" w:ascii="宋体" w:hAnsi="宋体" w:eastAsia="宋体"/>
                <w:b w:val="0"/>
                <w:color w:val="000000"/>
                <w:sz w:val="22"/>
              </w:rPr>
              <w:t>含</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cantSplit/>
          <w:trHeight w:val="567" w:hRule="atLeast"/>
        </w:trPr>
        <w:tc>
          <w:tcPr>
            <w:tcW w:w="3936" w:type="dxa"/>
            <w:gridSpan w:val="3"/>
            <w:noWrap w:val="0"/>
            <w:vAlign w:val="center"/>
          </w:tcPr>
          <w:p>
            <w:pPr>
              <w:spacing w:line="460" w:lineRule="exact"/>
              <w:ind w:right="-11"/>
              <w:rPr>
                <w:rFonts w:ascii="宋体" w:hAnsi="宋体" w:eastAsia="宋体" w:cs="黑体"/>
                <w:b w:val="0"/>
                <w:color w:val="000000"/>
              </w:rPr>
            </w:pPr>
            <w:r>
              <w:rPr>
                <w:rFonts w:hint="eastAsia" w:ascii="宋体" w:hAnsi="宋体" w:eastAsia="宋体" w:cs="黑体"/>
                <w:b w:val="0"/>
                <w:color w:val="000000"/>
              </w:rPr>
              <w:t>税金</w:t>
            </w:r>
          </w:p>
        </w:tc>
        <w:tc>
          <w:tcPr>
            <w:tcW w:w="5670" w:type="dxa"/>
            <w:gridSpan w:val="4"/>
            <w:noWrap w:val="0"/>
            <w:vAlign w:val="top"/>
          </w:tcPr>
          <w:p>
            <w:pPr>
              <w:spacing w:line="460" w:lineRule="exact"/>
              <w:rPr>
                <w:rFonts w:ascii="宋体" w:hAnsi="宋体" w:eastAsia="宋体"/>
                <w:b w:val="0"/>
                <w:color w:val="000000"/>
              </w:rPr>
            </w:pPr>
            <w:r>
              <w:rPr>
                <w:rFonts w:hint="eastAsia" w:ascii="宋体" w:hAnsi="宋体" w:eastAsia="宋体"/>
                <w:b w:val="0"/>
                <w:color w:val="000000"/>
                <w:sz w:val="22"/>
              </w:rPr>
              <w:t>含</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cantSplit/>
          <w:trHeight w:val="567" w:hRule="atLeast"/>
        </w:trPr>
        <w:tc>
          <w:tcPr>
            <w:tcW w:w="3936" w:type="dxa"/>
            <w:gridSpan w:val="3"/>
            <w:noWrap w:val="0"/>
            <w:vAlign w:val="center"/>
          </w:tcPr>
          <w:p>
            <w:pPr>
              <w:spacing w:line="460" w:lineRule="exact"/>
              <w:ind w:right="-11"/>
              <w:rPr>
                <w:rFonts w:ascii="宋体" w:hAnsi="宋体" w:eastAsia="宋体" w:cs="黑体"/>
                <w:b w:val="0"/>
                <w:color w:val="000000"/>
              </w:rPr>
            </w:pPr>
            <w:r>
              <w:rPr>
                <w:rFonts w:hint="eastAsia" w:ascii="宋体" w:hAnsi="宋体" w:eastAsia="宋体" w:cs="黑体"/>
                <w:b w:val="0"/>
                <w:color w:val="000000"/>
              </w:rPr>
              <w:t>其他相关费用</w:t>
            </w:r>
          </w:p>
        </w:tc>
        <w:tc>
          <w:tcPr>
            <w:tcW w:w="5670" w:type="dxa"/>
            <w:gridSpan w:val="4"/>
            <w:noWrap w:val="0"/>
            <w:vAlign w:val="top"/>
          </w:tcPr>
          <w:p>
            <w:pPr>
              <w:spacing w:line="460" w:lineRule="exact"/>
              <w:rPr>
                <w:rFonts w:ascii="宋体" w:hAnsi="宋体" w:eastAsia="宋体"/>
                <w:b w:val="0"/>
                <w:color w:val="000000"/>
              </w:rPr>
            </w:pPr>
            <w:r>
              <w:rPr>
                <w:rFonts w:hint="eastAsia" w:ascii="宋体" w:hAnsi="宋体" w:eastAsia="宋体"/>
                <w:b w:val="0"/>
                <w:color w:val="000000"/>
                <w:sz w:val="22"/>
              </w:rPr>
              <w:t>含</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cantSplit/>
          <w:trHeight w:val="567" w:hRule="atLeast"/>
        </w:trPr>
        <w:tc>
          <w:tcPr>
            <w:tcW w:w="3936" w:type="dxa"/>
            <w:gridSpan w:val="3"/>
            <w:noWrap w:val="0"/>
            <w:vAlign w:val="center"/>
          </w:tcPr>
          <w:p>
            <w:pPr>
              <w:spacing w:line="460" w:lineRule="exact"/>
              <w:ind w:right="-11"/>
              <w:rPr>
                <w:rFonts w:ascii="宋体" w:hAnsi="宋体" w:eastAsia="宋体" w:cs="黑体"/>
                <w:b w:val="0"/>
                <w:color w:val="000000"/>
              </w:rPr>
            </w:pPr>
            <w:r>
              <w:rPr>
                <w:rFonts w:hint="eastAsia" w:ascii="宋体" w:hAnsi="宋体" w:eastAsia="宋体" w:cs="黑体"/>
                <w:b w:val="0"/>
                <w:color w:val="000000"/>
              </w:rPr>
              <w:t>合计总价</w:t>
            </w:r>
          </w:p>
        </w:tc>
        <w:tc>
          <w:tcPr>
            <w:tcW w:w="5670" w:type="dxa"/>
            <w:gridSpan w:val="4"/>
            <w:noWrap w:val="0"/>
            <w:vAlign w:val="top"/>
          </w:tcPr>
          <w:p>
            <w:pPr>
              <w:spacing w:line="460" w:lineRule="exact"/>
              <w:rPr>
                <w:rFonts w:ascii="宋体" w:hAnsi="宋体" w:eastAsia="宋体"/>
                <w:b w:val="0"/>
                <w:color w:val="000000"/>
                <w:sz w:val="22"/>
              </w:rPr>
            </w:pPr>
          </w:p>
        </w:tc>
      </w:tr>
    </w:tbl>
    <w:p>
      <w:pPr>
        <w:spacing w:line="460" w:lineRule="exact"/>
        <w:rPr>
          <w:rFonts w:ascii="宋体" w:hAnsi="宋体" w:eastAsia="宋体"/>
          <w:b w:val="0"/>
          <w:color w:val="000000"/>
          <w:sz w:val="22"/>
        </w:rPr>
      </w:pPr>
      <w:r>
        <w:rPr>
          <w:rFonts w:hint="eastAsia" w:ascii="宋体" w:hAnsi="宋体" w:eastAsia="宋体"/>
          <w:b w:val="0"/>
          <w:color w:val="000000"/>
          <w:sz w:val="22"/>
        </w:rPr>
        <w:t>说明：</w:t>
      </w:r>
      <w:r>
        <w:rPr>
          <w:rFonts w:ascii="宋体" w:hAnsi="宋体" w:eastAsia="宋体"/>
          <w:b w:val="0"/>
          <w:color w:val="000000"/>
          <w:sz w:val="22"/>
        </w:rPr>
        <w:t>1</w:t>
      </w:r>
      <w:r>
        <w:rPr>
          <w:rFonts w:hint="eastAsia" w:ascii="宋体" w:hAnsi="宋体" w:eastAsia="宋体"/>
          <w:b w:val="0"/>
          <w:color w:val="000000"/>
          <w:sz w:val="22"/>
        </w:rPr>
        <w:t>、</w:t>
      </w:r>
      <w:r>
        <w:rPr>
          <w:rFonts w:ascii="宋体" w:hAnsi="宋体" w:eastAsia="宋体"/>
          <w:b w:val="0"/>
          <w:color w:val="000000"/>
          <w:sz w:val="22"/>
        </w:rPr>
        <w:t>不提供详细分项报价表将视为没有实质性响应招标文件</w:t>
      </w:r>
      <w:r>
        <w:rPr>
          <w:rFonts w:hint="eastAsia" w:ascii="宋体" w:hAnsi="宋体" w:eastAsia="宋体"/>
          <w:b w:val="0"/>
          <w:color w:val="000000"/>
          <w:sz w:val="22"/>
        </w:rPr>
        <w:t>，产品名称按招标文件所列名称进行描述</w:t>
      </w:r>
      <w:r>
        <w:rPr>
          <w:rFonts w:ascii="宋体" w:hAnsi="宋体" w:eastAsia="宋体"/>
          <w:b w:val="0"/>
          <w:color w:val="000000"/>
          <w:sz w:val="22"/>
        </w:rPr>
        <w:t>。</w:t>
      </w:r>
      <w:r>
        <w:rPr>
          <w:rFonts w:ascii="宋体" w:hAnsi="宋体" w:eastAsia="宋体"/>
          <w:color w:val="000000"/>
          <w:sz w:val="22"/>
        </w:rPr>
        <w:t>供应商应提供所投产品具体型号</w:t>
      </w:r>
      <w:r>
        <w:rPr>
          <w:rFonts w:hint="eastAsia" w:ascii="宋体" w:hAnsi="宋体" w:eastAsia="宋体"/>
          <w:b w:val="0"/>
          <w:color w:val="000000"/>
          <w:sz w:val="22"/>
        </w:rPr>
        <w:t>。</w:t>
      </w:r>
    </w:p>
    <w:p>
      <w:pPr>
        <w:spacing w:line="460" w:lineRule="exact"/>
        <w:rPr>
          <w:rFonts w:ascii="宋体" w:hAnsi="宋体" w:eastAsia="宋体"/>
          <w:b w:val="0"/>
          <w:color w:val="000000"/>
          <w:sz w:val="22"/>
        </w:rPr>
      </w:pPr>
      <w:r>
        <w:rPr>
          <w:rFonts w:ascii="宋体" w:hAnsi="宋体" w:eastAsia="宋体"/>
          <w:b w:val="0"/>
          <w:color w:val="000000"/>
          <w:sz w:val="22"/>
        </w:rPr>
        <w:t>2</w:t>
      </w:r>
      <w:r>
        <w:rPr>
          <w:rFonts w:hint="eastAsia" w:ascii="宋体" w:hAnsi="宋体" w:eastAsia="宋体"/>
          <w:b w:val="0"/>
          <w:color w:val="000000"/>
          <w:sz w:val="22"/>
        </w:rPr>
        <w:t>、</w:t>
      </w:r>
      <w:r>
        <w:rPr>
          <w:rFonts w:ascii="宋体" w:hAnsi="宋体" w:eastAsia="宋体"/>
          <w:b w:val="0"/>
          <w:color w:val="000000"/>
          <w:sz w:val="22"/>
        </w:rPr>
        <w:t>此表的合</w:t>
      </w:r>
      <w:r>
        <w:rPr>
          <w:rFonts w:hint="eastAsia" w:ascii="宋体" w:hAnsi="宋体" w:eastAsia="宋体"/>
          <w:b w:val="0"/>
          <w:color w:val="000000"/>
          <w:sz w:val="22"/>
        </w:rPr>
        <w:t>计总</w:t>
      </w:r>
      <w:r>
        <w:rPr>
          <w:rFonts w:ascii="宋体" w:hAnsi="宋体" w:eastAsia="宋体"/>
          <w:b w:val="0"/>
          <w:color w:val="000000"/>
          <w:sz w:val="22"/>
        </w:rPr>
        <w:t>价应与</w:t>
      </w:r>
      <w:r>
        <w:rPr>
          <w:rFonts w:hint="eastAsia" w:ascii="宋体" w:hAnsi="宋体" w:eastAsia="宋体"/>
          <w:b w:val="0"/>
          <w:color w:val="000000"/>
          <w:sz w:val="22"/>
        </w:rPr>
        <w:t xml:space="preserve"> “开标一览表”相应标项的投标价相一</w:t>
      </w:r>
      <w:r>
        <w:rPr>
          <w:rFonts w:ascii="宋体" w:hAnsi="宋体" w:eastAsia="宋体"/>
          <w:b w:val="0"/>
          <w:color w:val="000000"/>
          <w:sz w:val="22"/>
        </w:rPr>
        <w:t>致。</w:t>
      </w:r>
    </w:p>
    <w:p>
      <w:pPr>
        <w:spacing w:line="460" w:lineRule="exact"/>
        <w:rPr>
          <w:rFonts w:ascii="宋体" w:hAnsi="宋体" w:eastAsia="宋体"/>
          <w:b w:val="0"/>
          <w:color w:val="000000"/>
          <w:sz w:val="22"/>
        </w:rPr>
      </w:pPr>
      <w:r>
        <w:rPr>
          <w:rFonts w:ascii="宋体" w:hAnsi="宋体" w:eastAsia="宋体"/>
          <w:b w:val="0"/>
          <w:color w:val="000000"/>
          <w:sz w:val="22"/>
        </w:rPr>
        <w:t>3</w:t>
      </w:r>
      <w:r>
        <w:rPr>
          <w:rFonts w:hint="eastAsia" w:ascii="宋体" w:hAnsi="宋体" w:eastAsia="宋体"/>
          <w:b w:val="0"/>
          <w:color w:val="000000"/>
          <w:sz w:val="22"/>
        </w:rPr>
        <w:t>、</w:t>
      </w:r>
      <w:r>
        <w:rPr>
          <w:rFonts w:ascii="宋体" w:hAnsi="宋体" w:eastAsia="宋体"/>
          <w:b w:val="0"/>
          <w:color w:val="000000"/>
          <w:sz w:val="22"/>
        </w:rPr>
        <w:t>如果免费请在该备注栏</w:t>
      </w:r>
      <w:r>
        <w:rPr>
          <w:rFonts w:hint="eastAsia" w:ascii="宋体" w:hAnsi="宋体" w:eastAsia="宋体"/>
          <w:b w:val="0"/>
          <w:color w:val="000000"/>
          <w:sz w:val="22"/>
        </w:rPr>
        <w:t>内注明“免”，如果含在产品价格中则填“含”，如无此项内容则填“无”，不留空白。</w:t>
      </w:r>
    </w:p>
    <w:p>
      <w:pPr>
        <w:spacing w:line="460" w:lineRule="exact"/>
        <w:rPr>
          <w:rFonts w:ascii="宋体" w:hAnsi="宋体" w:eastAsia="宋体"/>
          <w:b w:val="0"/>
          <w:color w:val="000000"/>
          <w:sz w:val="22"/>
        </w:rPr>
      </w:pPr>
      <w:r>
        <w:rPr>
          <w:rFonts w:ascii="宋体" w:hAnsi="宋体" w:eastAsia="宋体"/>
          <w:b w:val="0"/>
          <w:color w:val="000000"/>
          <w:sz w:val="22"/>
        </w:rPr>
        <w:t>4</w:t>
      </w:r>
      <w:r>
        <w:rPr>
          <w:rFonts w:hint="eastAsia" w:ascii="宋体" w:hAnsi="宋体" w:eastAsia="宋体"/>
          <w:b w:val="0"/>
          <w:color w:val="000000"/>
          <w:sz w:val="22"/>
        </w:rPr>
        <w:t>、表格可以延续。</w:t>
      </w:r>
    </w:p>
    <w:p>
      <w:pPr>
        <w:spacing w:line="460" w:lineRule="exact"/>
        <w:rPr>
          <w:rFonts w:ascii="宋体" w:hAnsi="宋体" w:eastAsia="宋体"/>
          <w:b w:val="0"/>
          <w:color w:val="000000"/>
          <w:sz w:val="22"/>
        </w:rPr>
      </w:pPr>
      <w:r>
        <w:rPr>
          <w:rFonts w:hint="eastAsia" w:ascii="宋体" w:hAnsi="宋体" w:eastAsia="宋体"/>
          <w:b w:val="0"/>
          <w:color w:val="000000"/>
          <w:sz w:val="22"/>
        </w:rPr>
        <w:t>5、根据《中华人民共和国政府采购法实施条例》第四十三条规定，在中标或者成交公告的内容中增加本表，请各供应商认真填写，确保相关数据的真实性、完整性和合理性。</w:t>
      </w:r>
    </w:p>
    <w:p>
      <w:pPr>
        <w:pStyle w:val="25"/>
        <w:spacing w:line="460" w:lineRule="atLeast"/>
        <w:ind w:firstLine="770" w:firstLineChars="350"/>
        <w:rPr>
          <w:rFonts w:hint="default" w:ascii="宋体" w:hAnsi="宋体" w:eastAsia="宋体"/>
          <w:b w:val="0"/>
          <w:color w:val="000000"/>
          <w:sz w:val="22"/>
        </w:rPr>
      </w:pPr>
      <w:r>
        <w:rPr>
          <w:rFonts w:ascii="宋体" w:hAnsi="宋体" w:eastAsia="宋体"/>
          <w:b w:val="0"/>
          <w:color w:val="000000"/>
          <w:sz w:val="22"/>
        </w:rPr>
        <w:t>投标供应商（盖章）：</w:t>
      </w:r>
    </w:p>
    <w:p>
      <w:pPr>
        <w:pStyle w:val="25"/>
        <w:spacing w:line="460" w:lineRule="atLeast"/>
        <w:rPr>
          <w:rFonts w:hint="default" w:ascii="宋体" w:hAnsi="宋体" w:eastAsia="宋体"/>
          <w:b w:val="0"/>
          <w:color w:val="000000"/>
          <w:sz w:val="22"/>
        </w:rPr>
      </w:pPr>
      <w:r>
        <w:rPr>
          <w:rFonts w:ascii="宋体" w:hAnsi="宋体" w:eastAsia="宋体"/>
          <w:b w:val="0"/>
          <w:color w:val="000000"/>
          <w:sz w:val="22"/>
        </w:rPr>
        <w:t xml:space="preserve">       </w:t>
      </w:r>
      <w:r>
        <w:rPr>
          <w:rFonts w:ascii="宋体" w:hAnsi="宋体" w:eastAsia="宋体"/>
          <w:b w:val="0"/>
          <w:color w:val="000000"/>
          <w:sz w:val="22"/>
          <w:lang w:val="zh-CN"/>
        </w:rPr>
        <w:t>法定代表人或授权代表（签字或盖章）</w:t>
      </w:r>
      <w:r>
        <w:rPr>
          <w:rFonts w:ascii="宋体" w:hAnsi="宋体" w:eastAsia="宋体"/>
          <w:b w:val="0"/>
          <w:color w:val="000000"/>
          <w:sz w:val="22"/>
        </w:rPr>
        <w:t>：</w:t>
      </w:r>
    </w:p>
    <w:p>
      <w:pPr>
        <w:pStyle w:val="25"/>
        <w:spacing w:line="460" w:lineRule="atLeast"/>
        <w:rPr>
          <w:rFonts w:hint="default" w:ascii="宋体" w:hAnsi="宋体" w:eastAsia="宋体"/>
          <w:b w:val="0"/>
          <w:color w:val="000000"/>
          <w:sz w:val="22"/>
        </w:rPr>
      </w:pPr>
      <w:r>
        <w:rPr>
          <w:rFonts w:ascii="宋体" w:hAnsi="宋体" w:eastAsia="宋体"/>
          <w:b w:val="0"/>
          <w:color w:val="000000"/>
          <w:sz w:val="22"/>
        </w:rPr>
        <w:t xml:space="preserve">       日期：</w:t>
      </w:r>
    </w:p>
    <w:p>
      <w:pPr>
        <w:pStyle w:val="25"/>
        <w:spacing w:line="360" w:lineRule="exact"/>
        <w:rPr>
          <w:rFonts w:hint="default" w:ascii="宋体" w:hAnsi="宋体" w:eastAsia="宋体"/>
          <w:b w:val="0"/>
          <w:color w:val="000000"/>
          <w:sz w:val="32"/>
          <w:szCs w:val="32"/>
        </w:rPr>
      </w:pPr>
      <w:r>
        <w:rPr>
          <w:rFonts w:ascii="宋体" w:hAnsi="宋体" w:eastAsia="宋体"/>
          <w:color w:val="000000"/>
        </w:rPr>
        <w:br w:type="page"/>
      </w:r>
      <w:r>
        <w:rPr>
          <w:rFonts w:ascii="宋体" w:hAnsi="宋体" w:eastAsia="宋体"/>
          <w:b w:val="0"/>
          <w:color w:val="000000"/>
          <w:sz w:val="32"/>
          <w:szCs w:val="32"/>
        </w:rPr>
        <w:t>附件四</w:t>
      </w:r>
    </w:p>
    <w:p>
      <w:pPr>
        <w:pStyle w:val="25"/>
        <w:snapToGrid w:val="0"/>
        <w:spacing w:line="400" w:lineRule="exact"/>
        <w:jc w:val="center"/>
        <w:rPr>
          <w:rFonts w:hint="default" w:ascii="宋体" w:hAnsi="宋体" w:eastAsia="宋体"/>
          <w:b w:val="0"/>
          <w:color w:val="000000"/>
          <w:sz w:val="36"/>
        </w:rPr>
      </w:pPr>
      <w:r>
        <w:rPr>
          <w:rFonts w:ascii="宋体" w:hAnsi="宋体" w:eastAsia="宋体"/>
          <w:b w:val="0"/>
          <w:color w:val="000000"/>
          <w:sz w:val="36"/>
        </w:rPr>
        <w:t>随机备品备件、专用工具清单</w:t>
      </w:r>
      <w:r>
        <w:rPr>
          <w:rFonts w:ascii="宋体" w:hAnsi="宋体" w:eastAsia="宋体"/>
          <w:b w:val="0"/>
          <w:color w:val="000000"/>
          <w:sz w:val="36"/>
          <w:lang w:val="zh-CN"/>
        </w:rPr>
        <w:t>（按标项提供）</w:t>
      </w:r>
    </w:p>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(如有则提供）</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817"/>
        <w:gridCol w:w="851"/>
        <w:gridCol w:w="1039"/>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1" w:hRule="atLeast"/>
        </w:trPr>
        <w:tc>
          <w:tcPr>
            <w:tcW w:w="1055"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序 号</w:t>
            </w:r>
          </w:p>
        </w:tc>
        <w:tc>
          <w:tcPr>
            <w:tcW w:w="1688"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名称</w:t>
            </w:r>
          </w:p>
        </w:tc>
        <w:tc>
          <w:tcPr>
            <w:tcW w:w="2110"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产地/规格/型号</w:t>
            </w:r>
          </w:p>
        </w:tc>
        <w:tc>
          <w:tcPr>
            <w:tcW w:w="817"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数量</w:t>
            </w:r>
          </w:p>
        </w:tc>
        <w:tc>
          <w:tcPr>
            <w:tcW w:w="851"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单位</w:t>
            </w:r>
          </w:p>
        </w:tc>
        <w:tc>
          <w:tcPr>
            <w:tcW w:w="1039"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单价</w:t>
            </w:r>
          </w:p>
        </w:tc>
        <w:tc>
          <w:tcPr>
            <w:tcW w:w="1940"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851" w:type="dxa"/>
            <w:noWrap w:val="0"/>
            <w:vAlign w:val="top"/>
          </w:tcPr>
          <w:p>
            <w:pPr>
              <w:pStyle w:val="25"/>
              <w:snapToGrid w:val="0"/>
              <w:spacing w:line="400" w:lineRule="exact"/>
              <w:jc w:val="center"/>
              <w:rPr>
                <w:rFonts w:hint="default" w:ascii="宋体" w:hAnsi="宋体" w:eastAsia="宋体"/>
                <w:b w:val="0"/>
                <w:color w:val="000000"/>
                <w:sz w:val="22"/>
              </w:rPr>
            </w:pPr>
          </w:p>
        </w:tc>
        <w:tc>
          <w:tcPr>
            <w:tcW w:w="1039"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bl>
    <w:p>
      <w:pPr>
        <w:pStyle w:val="25"/>
        <w:snapToGrid w:val="0"/>
        <w:spacing w:line="400" w:lineRule="exact"/>
        <w:rPr>
          <w:rFonts w:hint="default" w:ascii="宋体" w:hAnsi="宋体" w:eastAsia="宋体"/>
          <w:b w:val="0"/>
          <w:color w:val="000000"/>
          <w:sz w:val="22"/>
        </w:rPr>
      </w:pPr>
      <w:r>
        <w:rPr>
          <w:rFonts w:ascii="宋体" w:hAnsi="宋体" w:eastAsia="宋体"/>
          <w:b w:val="0"/>
          <w:color w:val="000000"/>
          <w:sz w:val="22"/>
        </w:rPr>
        <w:t>投标供应商（盖章）：</w:t>
      </w:r>
    </w:p>
    <w:p>
      <w:pPr>
        <w:pStyle w:val="25"/>
        <w:snapToGrid w:val="0"/>
        <w:spacing w:line="400" w:lineRule="exact"/>
        <w:rPr>
          <w:rFonts w:hint="default" w:ascii="宋体" w:hAnsi="宋体" w:eastAsia="宋体"/>
          <w:color w:val="000000"/>
          <w:sz w:val="24"/>
        </w:rPr>
      </w:pPr>
    </w:p>
    <w:p>
      <w:pPr>
        <w:pStyle w:val="25"/>
        <w:snapToGrid w:val="0"/>
        <w:spacing w:line="400" w:lineRule="exact"/>
        <w:rPr>
          <w:rFonts w:hint="default" w:ascii="宋体" w:hAnsi="宋体" w:eastAsia="宋体"/>
          <w:color w:val="000000"/>
          <w:sz w:val="24"/>
        </w:rPr>
      </w:pPr>
    </w:p>
    <w:p>
      <w:pPr>
        <w:pStyle w:val="25"/>
        <w:snapToGrid w:val="0"/>
        <w:spacing w:line="400" w:lineRule="exact"/>
        <w:rPr>
          <w:rFonts w:hint="default" w:ascii="宋体" w:hAnsi="宋体" w:eastAsia="宋体"/>
          <w:color w:val="000000"/>
          <w:sz w:val="24"/>
        </w:rPr>
      </w:pPr>
    </w:p>
    <w:p>
      <w:pPr>
        <w:pStyle w:val="25"/>
        <w:snapToGrid w:val="0"/>
        <w:spacing w:line="400" w:lineRule="exact"/>
        <w:rPr>
          <w:rFonts w:hint="default" w:ascii="宋体" w:hAnsi="宋体" w:eastAsia="宋体"/>
          <w:color w:val="000000"/>
          <w:sz w:val="24"/>
        </w:rPr>
      </w:pPr>
    </w:p>
    <w:p>
      <w:pPr>
        <w:pStyle w:val="25"/>
        <w:snapToGrid w:val="0"/>
        <w:spacing w:line="400" w:lineRule="exact"/>
        <w:rPr>
          <w:rFonts w:hint="default" w:ascii="宋体" w:hAnsi="宋体" w:eastAsia="宋体"/>
          <w:color w:val="000000"/>
          <w:sz w:val="24"/>
        </w:rPr>
      </w:pPr>
    </w:p>
    <w:p>
      <w:pPr>
        <w:pStyle w:val="25"/>
        <w:snapToGrid w:val="0"/>
        <w:spacing w:line="400" w:lineRule="exact"/>
        <w:rPr>
          <w:rFonts w:hint="default" w:ascii="宋体" w:hAnsi="宋体" w:eastAsia="宋体"/>
          <w:color w:val="000000"/>
          <w:sz w:val="24"/>
        </w:rPr>
      </w:pPr>
    </w:p>
    <w:p>
      <w:pPr>
        <w:pStyle w:val="25"/>
        <w:snapToGrid w:val="0"/>
        <w:spacing w:line="400" w:lineRule="exact"/>
        <w:rPr>
          <w:rFonts w:hint="default" w:ascii="宋体" w:hAnsi="宋体" w:eastAsia="宋体"/>
          <w:color w:val="000000"/>
          <w:sz w:val="24"/>
        </w:rPr>
      </w:pPr>
    </w:p>
    <w:p>
      <w:pPr>
        <w:pStyle w:val="25"/>
        <w:snapToGrid w:val="0"/>
        <w:spacing w:line="400" w:lineRule="exact"/>
        <w:rPr>
          <w:rFonts w:hint="default" w:ascii="宋体" w:hAnsi="宋体" w:eastAsia="宋体"/>
          <w:color w:val="000000"/>
          <w:sz w:val="24"/>
        </w:rPr>
      </w:pPr>
    </w:p>
    <w:p>
      <w:pPr>
        <w:pStyle w:val="25"/>
        <w:snapToGrid w:val="0"/>
        <w:spacing w:line="400" w:lineRule="exact"/>
        <w:rPr>
          <w:rFonts w:hint="default" w:ascii="宋体" w:hAnsi="宋体" w:eastAsia="宋体"/>
          <w:color w:val="000000"/>
          <w:sz w:val="24"/>
        </w:rPr>
      </w:pPr>
    </w:p>
    <w:p>
      <w:pPr>
        <w:pStyle w:val="25"/>
        <w:snapToGrid w:val="0"/>
        <w:spacing w:line="400" w:lineRule="exact"/>
        <w:rPr>
          <w:rFonts w:hint="default" w:ascii="宋体" w:hAnsi="宋体" w:eastAsia="宋体"/>
          <w:color w:val="000000"/>
          <w:sz w:val="24"/>
        </w:rPr>
      </w:pPr>
    </w:p>
    <w:p>
      <w:pPr>
        <w:pStyle w:val="25"/>
        <w:snapToGrid w:val="0"/>
        <w:spacing w:line="400" w:lineRule="exact"/>
        <w:rPr>
          <w:rFonts w:hint="default" w:ascii="宋体" w:hAnsi="宋体" w:eastAsia="宋体"/>
          <w:color w:val="000000"/>
          <w:sz w:val="24"/>
        </w:rPr>
      </w:pPr>
    </w:p>
    <w:p>
      <w:pPr>
        <w:pStyle w:val="25"/>
        <w:snapToGrid w:val="0"/>
        <w:spacing w:line="400" w:lineRule="exact"/>
        <w:rPr>
          <w:rFonts w:hint="default" w:ascii="宋体" w:hAnsi="宋体" w:eastAsia="宋体"/>
          <w:color w:val="000000"/>
          <w:sz w:val="24"/>
        </w:rPr>
      </w:pPr>
    </w:p>
    <w:p>
      <w:pPr>
        <w:pStyle w:val="25"/>
        <w:snapToGrid w:val="0"/>
        <w:spacing w:line="400" w:lineRule="exact"/>
        <w:rPr>
          <w:rFonts w:hint="default" w:ascii="宋体" w:hAnsi="宋体" w:eastAsia="宋体"/>
          <w:color w:val="000000"/>
          <w:sz w:val="24"/>
        </w:rPr>
      </w:pPr>
    </w:p>
    <w:p>
      <w:pPr>
        <w:spacing w:line="360" w:lineRule="exact"/>
        <w:jc w:val="left"/>
        <w:rPr>
          <w:rFonts w:ascii="宋体" w:hAnsi="宋体" w:eastAsia="宋体"/>
          <w:color w:val="000000"/>
          <w:sz w:val="22"/>
        </w:rPr>
      </w:pPr>
      <w:r>
        <w:rPr>
          <w:rFonts w:ascii="宋体" w:hAnsi="宋体" w:eastAsia="宋体"/>
          <w:color w:val="000000"/>
        </w:rPr>
        <w:br w:type="page"/>
      </w:r>
      <w:r>
        <w:rPr>
          <w:rFonts w:hint="eastAsia" w:ascii="宋体" w:hAnsi="宋体" w:eastAsia="宋体"/>
          <w:b w:val="0"/>
          <w:color w:val="000000"/>
          <w:sz w:val="30"/>
        </w:rPr>
        <w:t>附件五</w:t>
      </w:r>
    </w:p>
    <w:p>
      <w:pPr>
        <w:pStyle w:val="25"/>
        <w:snapToGrid w:val="0"/>
        <w:spacing w:line="400" w:lineRule="exact"/>
        <w:jc w:val="center"/>
        <w:rPr>
          <w:rFonts w:hint="default" w:ascii="宋体" w:hAnsi="宋体" w:eastAsia="宋体"/>
          <w:b w:val="0"/>
          <w:color w:val="000000"/>
          <w:sz w:val="36"/>
        </w:rPr>
      </w:pPr>
      <w:r>
        <w:rPr>
          <w:rFonts w:ascii="宋体" w:hAnsi="宋体" w:eastAsia="宋体"/>
          <w:b w:val="0"/>
          <w:color w:val="000000"/>
          <w:sz w:val="36"/>
        </w:rPr>
        <w:t>产品零件、易损件、备品备件报价表</w:t>
      </w:r>
      <w:r>
        <w:rPr>
          <w:rFonts w:ascii="宋体" w:hAnsi="宋体" w:eastAsia="宋体"/>
          <w:b w:val="0"/>
          <w:color w:val="000000"/>
          <w:sz w:val="36"/>
          <w:lang w:val="zh-CN"/>
        </w:rPr>
        <w:t>（按标项提供）</w:t>
      </w:r>
    </w:p>
    <w:p>
      <w:pPr>
        <w:pStyle w:val="25"/>
        <w:snapToGrid w:val="0"/>
        <w:spacing w:line="400" w:lineRule="exact"/>
        <w:jc w:val="center"/>
        <w:rPr>
          <w:rFonts w:hint="default" w:ascii="宋体" w:hAnsi="宋体" w:eastAsia="宋体"/>
          <w:b w:val="0"/>
          <w:color w:val="000000"/>
          <w:sz w:val="36"/>
        </w:rPr>
      </w:pPr>
      <w:r>
        <w:rPr>
          <w:rFonts w:ascii="宋体" w:hAnsi="宋体" w:eastAsia="宋体"/>
          <w:b w:val="0"/>
          <w:color w:val="000000"/>
          <w:sz w:val="22"/>
        </w:rPr>
        <w:t>(如有则提供)</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817"/>
        <w:gridCol w:w="660"/>
        <w:gridCol w:w="123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3" w:hRule="atLeast"/>
        </w:trPr>
        <w:tc>
          <w:tcPr>
            <w:tcW w:w="1055"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序 号</w:t>
            </w:r>
          </w:p>
        </w:tc>
        <w:tc>
          <w:tcPr>
            <w:tcW w:w="1688"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名称</w:t>
            </w:r>
          </w:p>
        </w:tc>
        <w:tc>
          <w:tcPr>
            <w:tcW w:w="2110"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产地/规格/型号</w:t>
            </w:r>
          </w:p>
        </w:tc>
        <w:tc>
          <w:tcPr>
            <w:tcW w:w="817"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数量</w:t>
            </w:r>
          </w:p>
        </w:tc>
        <w:tc>
          <w:tcPr>
            <w:tcW w:w="660"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单位</w:t>
            </w:r>
          </w:p>
        </w:tc>
        <w:tc>
          <w:tcPr>
            <w:tcW w:w="1230"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单价</w:t>
            </w:r>
          </w:p>
        </w:tc>
        <w:tc>
          <w:tcPr>
            <w:tcW w:w="1940" w:type="dxa"/>
            <w:noWrap w:val="0"/>
            <w:vAlign w:val="center"/>
          </w:tcPr>
          <w:p>
            <w:pPr>
              <w:pStyle w:val="25"/>
              <w:snapToGrid w:val="0"/>
              <w:spacing w:line="400" w:lineRule="exact"/>
              <w:jc w:val="center"/>
              <w:rPr>
                <w:rFonts w:hint="default" w:ascii="宋体" w:hAnsi="宋体" w:eastAsia="宋体"/>
                <w:b w:val="0"/>
                <w:color w:val="000000"/>
                <w:sz w:val="22"/>
              </w:rPr>
            </w:pPr>
            <w:r>
              <w:rPr>
                <w:rFonts w:ascii="宋体" w:hAnsi="宋体" w:eastAsia="宋体"/>
                <w:b w:val="0"/>
                <w:color w:val="000000"/>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5"/>
              <w:snapToGrid w:val="0"/>
              <w:spacing w:line="400" w:lineRule="exact"/>
              <w:jc w:val="center"/>
              <w:rPr>
                <w:rFonts w:hint="default" w:ascii="宋体" w:hAnsi="宋体" w:eastAsia="宋体"/>
                <w:b w:val="0"/>
                <w:color w:val="000000"/>
                <w:sz w:val="22"/>
              </w:rPr>
            </w:pPr>
          </w:p>
        </w:tc>
        <w:tc>
          <w:tcPr>
            <w:tcW w:w="1688" w:type="dxa"/>
            <w:noWrap w:val="0"/>
            <w:vAlign w:val="top"/>
          </w:tcPr>
          <w:p>
            <w:pPr>
              <w:pStyle w:val="25"/>
              <w:snapToGrid w:val="0"/>
              <w:spacing w:line="400" w:lineRule="exact"/>
              <w:jc w:val="center"/>
              <w:rPr>
                <w:rFonts w:hint="default" w:ascii="宋体" w:hAnsi="宋体" w:eastAsia="宋体"/>
                <w:b w:val="0"/>
                <w:color w:val="000000"/>
                <w:sz w:val="22"/>
              </w:rPr>
            </w:pPr>
          </w:p>
        </w:tc>
        <w:tc>
          <w:tcPr>
            <w:tcW w:w="2110" w:type="dxa"/>
            <w:noWrap w:val="0"/>
            <w:vAlign w:val="top"/>
          </w:tcPr>
          <w:p>
            <w:pPr>
              <w:pStyle w:val="25"/>
              <w:snapToGrid w:val="0"/>
              <w:spacing w:line="400" w:lineRule="exact"/>
              <w:jc w:val="center"/>
              <w:rPr>
                <w:rFonts w:hint="default" w:ascii="宋体" w:hAnsi="宋体" w:eastAsia="宋体"/>
                <w:b w:val="0"/>
                <w:color w:val="000000"/>
                <w:sz w:val="22"/>
              </w:rPr>
            </w:pPr>
          </w:p>
        </w:tc>
        <w:tc>
          <w:tcPr>
            <w:tcW w:w="817" w:type="dxa"/>
            <w:noWrap w:val="0"/>
            <w:vAlign w:val="top"/>
          </w:tcPr>
          <w:p>
            <w:pPr>
              <w:pStyle w:val="25"/>
              <w:snapToGrid w:val="0"/>
              <w:spacing w:line="400" w:lineRule="exact"/>
              <w:jc w:val="center"/>
              <w:rPr>
                <w:rFonts w:hint="default" w:ascii="宋体" w:hAnsi="宋体" w:eastAsia="宋体"/>
                <w:b w:val="0"/>
                <w:color w:val="000000"/>
                <w:sz w:val="22"/>
              </w:rPr>
            </w:pPr>
          </w:p>
        </w:tc>
        <w:tc>
          <w:tcPr>
            <w:tcW w:w="660" w:type="dxa"/>
            <w:noWrap w:val="0"/>
            <w:vAlign w:val="top"/>
          </w:tcPr>
          <w:p>
            <w:pPr>
              <w:pStyle w:val="25"/>
              <w:snapToGrid w:val="0"/>
              <w:spacing w:line="400" w:lineRule="exact"/>
              <w:jc w:val="center"/>
              <w:rPr>
                <w:rFonts w:hint="default" w:ascii="宋体" w:hAnsi="宋体" w:eastAsia="宋体"/>
                <w:b w:val="0"/>
                <w:color w:val="000000"/>
                <w:sz w:val="22"/>
              </w:rPr>
            </w:pPr>
          </w:p>
        </w:tc>
        <w:tc>
          <w:tcPr>
            <w:tcW w:w="1230" w:type="dxa"/>
            <w:noWrap w:val="0"/>
            <w:vAlign w:val="top"/>
          </w:tcPr>
          <w:p>
            <w:pPr>
              <w:pStyle w:val="25"/>
              <w:snapToGrid w:val="0"/>
              <w:spacing w:line="400" w:lineRule="exact"/>
              <w:jc w:val="center"/>
              <w:rPr>
                <w:rFonts w:hint="default" w:ascii="宋体" w:hAnsi="宋体" w:eastAsia="宋体"/>
                <w:b w:val="0"/>
                <w:color w:val="000000"/>
                <w:sz w:val="22"/>
              </w:rPr>
            </w:pPr>
          </w:p>
        </w:tc>
        <w:tc>
          <w:tcPr>
            <w:tcW w:w="1940" w:type="dxa"/>
            <w:noWrap w:val="0"/>
            <w:vAlign w:val="top"/>
          </w:tcPr>
          <w:p>
            <w:pPr>
              <w:pStyle w:val="25"/>
              <w:snapToGrid w:val="0"/>
              <w:spacing w:line="400" w:lineRule="exact"/>
              <w:jc w:val="center"/>
              <w:rPr>
                <w:rFonts w:hint="default" w:ascii="宋体" w:hAnsi="宋体" w:eastAsia="宋体"/>
                <w:b w:val="0"/>
                <w:color w:val="000000"/>
                <w:sz w:val="22"/>
              </w:rPr>
            </w:pPr>
          </w:p>
        </w:tc>
      </w:tr>
    </w:tbl>
    <w:p>
      <w:pPr>
        <w:pStyle w:val="25"/>
        <w:snapToGrid w:val="0"/>
        <w:spacing w:line="400" w:lineRule="exact"/>
        <w:rPr>
          <w:rFonts w:hint="default" w:ascii="宋体" w:hAnsi="宋体" w:eastAsia="宋体"/>
          <w:b w:val="0"/>
          <w:color w:val="000000"/>
          <w:sz w:val="22"/>
        </w:rPr>
      </w:pPr>
      <w:r>
        <w:rPr>
          <w:rFonts w:ascii="宋体" w:hAnsi="宋体" w:eastAsia="宋体"/>
          <w:b w:val="0"/>
          <w:color w:val="000000"/>
          <w:sz w:val="22"/>
        </w:rPr>
        <w:t xml:space="preserve">投标供应商（盖章）： </w:t>
      </w:r>
    </w:p>
    <w:p>
      <w:pPr>
        <w:pStyle w:val="25"/>
        <w:snapToGrid w:val="0"/>
        <w:spacing w:line="400" w:lineRule="exact"/>
        <w:rPr>
          <w:rFonts w:hint="default" w:ascii="宋体" w:hAnsi="宋体" w:eastAsia="宋体"/>
          <w:color w:val="000000"/>
          <w:sz w:val="24"/>
        </w:rPr>
      </w:pPr>
    </w:p>
    <w:p>
      <w:pPr>
        <w:pStyle w:val="25"/>
        <w:spacing w:line="460" w:lineRule="atLeast"/>
        <w:rPr>
          <w:rFonts w:hint="default" w:ascii="宋体" w:hAnsi="宋体" w:eastAsia="宋体"/>
          <w:b w:val="0"/>
          <w:color w:val="000000"/>
          <w:sz w:val="24"/>
        </w:rPr>
      </w:pPr>
    </w:p>
    <w:p>
      <w:pPr>
        <w:autoSpaceDE w:val="0"/>
        <w:autoSpaceDN w:val="0"/>
        <w:spacing w:line="420" w:lineRule="exact"/>
        <w:ind w:firstLine="241" w:firstLineChars="100"/>
        <w:rPr>
          <w:rFonts w:ascii="宋体" w:hAnsi="宋体" w:eastAsia="宋体" w:cs="黑体"/>
          <w:color w:val="000000"/>
          <w:sz w:val="24"/>
          <w:u w:val="thick"/>
        </w:rPr>
      </w:pPr>
    </w:p>
    <w:p>
      <w:pPr>
        <w:autoSpaceDE w:val="0"/>
        <w:autoSpaceDN w:val="0"/>
        <w:spacing w:line="360" w:lineRule="atLeast"/>
        <w:jc w:val="center"/>
        <w:rPr>
          <w:rFonts w:ascii="宋体" w:hAnsi="宋体" w:eastAsia="宋体"/>
          <w:b w:val="0"/>
          <w:color w:val="000000"/>
          <w:sz w:val="30"/>
          <w:lang w:val="zh-CN"/>
        </w:rPr>
      </w:pPr>
    </w:p>
    <w:p>
      <w:pPr>
        <w:pStyle w:val="77"/>
        <w:rPr>
          <w:rFonts w:ascii="宋体" w:hAnsi="宋体" w:eastAsia="宋体"/>
          <w:b w:val="0"/>
          <w:color w:val="000000"/>
          <w:sz w:val="30"/>
          <w:lang w:val="zh-CN"/>
        </w:rPr>
      </w:pPr>
    </w:p>
    <w:p>
      <w:pPr>
        <w:pStyle w:val="77"/>
        <w:rPr>
          <w:rFonts w:ascii="宋体" w:hAnsi="宋体" w:eastAsia="宋体"/>
          <w:b w:val="0"/>
          <w:color w:val="000000"/>
          <w:sz w:val="30"/>
          <w:lang w:val="zh-CN"/>
        </w:rPr>
      </w:pPr>
    </w:p>
    <w:p>
      <w:pPr>
        <w:pStyle w:val="77"/>
        <w:rPr>
          <w:rFonts w:ascii="宋体" w:hAnsi="宋体" w:eastAsia="宋体"/>
          <w:b w:val="0"/>
          <w:color w:val="000000"/>
          <w:sz w:val="30"/>
          <w:lang w:val="zh-CN"/>
        </w:rPr>
      </w:pPr>
    </w:p>
    <w:p>
      <w:pPr>
        <w:pStyle w:val="77"/>
        <w:rPr>
          <w:rFonts w:ascii="宋体" w:hAnsi="宋体" w:eastAsia="宋体"/>
          <w:b w:val="0"/>
          <w:color w:val="000000"/>
          <w:sz w:val="30"/>
          <w:lang w:val="zh-CN"/>
        </w:rPr>
      </w:pPr>
    </w:p>
    <w:p>
      <w:pPr>
        <w:pStyle w:val="77"/>
        <w:rPr>
          <w:rFonts w:ascii="宋体" w:hAnsi="宋体" w:eastAsia="宋体"/>
          <w:b w:val="0"/>
          <w:color w:val="000000"/>
          <w:sz w:val="30"/>
          <w:lang w:val="zh-CN"/>
        </w:rPr>
      </w:pPr>
    </w:p>
    <w:p>
      <w:pPr>
        <w:pStyle w:val="77"/>
        <w:rPr>
          <w:rFonts w:ascii="宋体" w:hAnsi="宋体" w:eastAsia="宋体"/>
          <w:b w:val="0"/>
          <w:color w:val="000000"/>
          <w:sz w:val="30"/>
          <w:lang w:val="zh-CN"/>
        </w:rPr>
      </w:pPr>
    </w:p>
    <w:p>
      <w:pPr>
        <w:pStyle w:val="77"/>
        <w:rPr>
          <w:rFonts w:ascii="宋体" w:hAnsi="宋体" w:eastAsia="宋体"/>
          <w:b w:val="0"/>
          <w:color w:val="000000"/>
          <w:sz w:val="30"/>
          <w:lang w:val="zh-CN"/>
        </w:rPr>
      </w:pPr>
    </w:p>
    <w:p>
      <w:pPr>
        <w:pStyle w:val="77"/>
        <w:rPr>
          <w:rFonts w:ascii="宋体" w:hAnsi="宋体" w:eastAsia="宋体"/>
          <w:b w:val="0"/>
          <w:color w:val="000000"/>
          <w:sz w:val="30"/>
          <w:lang w:val="zh-CN"/>
        </w:rPr>
      </w:pPr>
    </w:p>
    <w:p>
      <w:pPr>
        <w:pStyle w:val="77"/>
        <w:rPr>
          <w:rFonts w:ascii="宋体" w:hAnsi="宋体" w:eastAsia="宋体"/>
          <w:b w:val="0"/>
          <w:color w:val="000000"/>
          <w:sz w:val="30"/>
          <w:lang w:val="zh-CN"/>
        </w:rPr>
      </w:pPr>
    </w:p>
    <w:p>
      <w:pPr>
        <w:pStyle w:val="77"/>
        <w:rPr>
          <w:rFonts w:ascii="宋体" w:hAnsi="宋体" w:eastAsia="宋体"/>
          <w:b w:val="0"/>
          <w:color w:val="000000"/>
          <w:sz w:val="30"/>
          <w:lang w:val="zh-CN"/>
        </w:rPr>
      </w:pPr>
    </w:p>
    <w:p>
      <w:pPr>
        <w:pStyle w:val="77"/>
        <w:rPr>
          <w:rFonts w:ascii="宋体" w:hAnsi="宋体" w:eastAsia="宋体"/>
          <w:b w:val="0"/>
          <w:color w:val="000000"/>
          <w:sz w:val="30"/>
        </w:rPr>
      </w:pPr>
    </w:p>
    <w:p>
      <w:pPr>
        <w:pStyle w:val="77"/>
        <w:rPr>
          <w:rFonts w:ascii="宋体" w:hAnsi="宋体" w:eastAsia="宋体"/>
          <w:b w:val="0"/>
          <w:color w:val="000000"/>
          <w:sz w:val="30"/>
        </w:rPr>
      </w:pPr>
    </w:p>
    <w:p>
      <w:pPr>
        <w:pStyle w:val="77"/>
        <w:rPr>
          <w:rFonts w:ascii="宋体" w:hAnsi="宋体" w:eastAsia="宋体"/>
          <w:b w:val="0"/>
          <w:color w:val="000000"/>
          <w:sz w:val="30"/>
        </w:rPr>
        <w:sectPr>
          <w:footerReference r:id="rId5" w:type="first"/>
          <w:headerReference r:id="rId3" w:type="default"/>
          <w:footerReference r:id="rId4" w:type="default"/>
          <w:pgSz w:w="11906" w:h="16838"/>
          <w:pgMar w:top="1440" w:right="1106" w:bottom="1440" w:left="1622" w:header="851" w:footer="992" w:gutter="0"/>
          <w:pgBorders>
            <w:top w:val="none" w:sz="0" w:space="0"/>
            <w:left w:val="none" w:sz="0" w:space="0"/>
            <w:bottom w:val="none" w:sz="0" w:space="0"/>
            <w:right w:val="none" w:sz="0" w:space="0"/>
          </w:pgBorders>
          <w:pgNumType w:start="0"/>
          <w:cols w:space="720" w:num="1"/>
          <w:titlePg/>
          <w:docGrid w:linePitch="312" w:charSpace="0"/>
        </w:sectPr>
      </w:pPr>
    </w:p>
    <w:p>
      <w:pPr>
        <w:snapToGrid w:val="0"/>
        <w:spacing w:line="500" w:lineRule="atLeast"/>
        <w:jc w:val="center"/>
        <w:rPr>
          <w:rFonts w:ascii="宋体" w:hAnsi="宋体" w:eastAsia="宋体"/>
          <w:b w:val="0"/>
          <w:color w:val="000000"/>
          <w:sz w:val="36"/>
          <w:lang w:val="zh-CN"/>
        </w:rPr>
      </w:pPr>
      <w:r>
        <w:rPr>
          <w:rFonts w:hint="eastAsia" w:ascii="宋体" w:hAnsi="宋体" w:eastAsia="宋体"/>
          <w:b w:val="0"/>
          <w:color w:val="000000"/>
          <w:sz w:val="36"/>
          <w:lang w:val="zh-CN"/>
        </w:rPr>
        <w:t>三、商务技术文件格式</w:t>
      </w:r>
    </w:p>
    <w:p>
      <w:pPr>
        <w:snapToGrid w:val="0"/>
        <w:spacing w:line="500" w:lineRule="atLeast"/>
        <w:rPr>
          <w:rFonts w:ascii="宋体" w:hAnsi="宋体" w:eastAsia="宋体"/>
          <w:b w:val="0"/>
          <w:color w:val="000000"/>
          <w:sz w:val="30"/>
        </w:rPr>
      </w:pPr>
      <w:r>
        <w:rPr>
          <w:rFonts w:hint="eastAsia" w:ascii="宋体" w:hAnsi="宋体" w:eastAsia="宋体"/>
          <w:b w:val="0"/>
          <w:color w:val="000000"/>
          <w:sz w:val="30"/>
        </w:rPr>
        <w:t>附件六</w:t>
      </w:r>
    </w:p>
    <w:p>
      <w:pPr>
        <w:autoSpaceDE w:val="0"/>
        <w:autoSpaceDN w:val="0"/>
        <w:spacing w:line="460" w:lineRule="atLeast"/>
        <w:jc w:val="center"/>
        <w:rPr>
          <w:rFonts w:ascii="宋体" w:hAnsi="宋体" w:eastAsia="宋体"/>
          <w:b w:val="0"/>
          <w:color w:val="000000"/>
          <w:sz w:val="36"/>
          <w:lang w:val="zh-CN"/>
        </w:rPr>
      </w:pPr>
      <w:r>
        <w:rPr>
          <w:rFonts w:hint="eastAsia" w:ascii="宋体" w:hAnsi="宋体" w:eastAsia="宋体"/>
          <w:b w:val="0"/>
          <w:color w:val="000000"/>
          <w:sz w:val="36"/>
          <w:lang w:val="zh-CN"/>
        </w:rPr>
        <w:t>投</w:t>
      </w:r>
      <w:r>
        <w:rPr>
          <w:rFonts w:ascii="宋体" w:hAnsi="宋体" w:eastAsia="宋体"/>
          <w:b w:val="0"/>
          <w:color w:val="000000"/>
          <w:sz w:val="36"/>
          <w:lang w:val="zh-CN"/>
        </w:rPr>
        <w:t xml:space="preserve">  </w:t>
      </w:r>
      <w:r>
        <w:rPr>
          <w:rFonts w:hint="eastAsia" w:ascii="宋体" w:hAnsi="宋体" w:eastAsia="宋体"/>
          <w:b w:val="0"/>
          <w:color w:val="000000"/>
          <w:sz w:val="36"/>
          <w:lang w:val="zh-CN"/>
        </w:rPr>
        <w:t>标</w:t>
      </w:r>
      <w:r>
        <w:rPr>
          <w:rFonts w:ascii="宋体" w:hAnsi="宋体" w:eastAsia="宋体"/>
          <w:b w:val="0"/>
          <w:color w:val="000000"/>
          <w:sz w:val="36"/>
          <w:lang w:val="zh-CN"/>
        </w:rPr>
        <w:t xml:space="preserve">  </w:t>
      </w:r>
      <w:r>
        <w:rPr>
          <w:rFonts w:hint="eastAsia" w:ascii="宋体" w:hAnsi="宋体" w:eastAsia="宋体"/>
          <w:b w:val="0"/>
          <w:color w:val="000000"/>
          <w:sz w:val="36"/>
          <w:lang w:val="zh-CN"/>
        </w:rPr>
        <w:t>函</w:t>
      </w:r>
    </w:p>
    <w:p>
      <w:pPr>
        <w:autoSpaceDE w:val="0"/>
        <w:autoSpaceDN w:val="0"/>
        <w:spacing w:line="460" w:lineRule="atLeast"/>
        <w:rPr>
          <w:rFonts w:ascii="宋体" w:hAnsi="宋体" w:eastAsia="宋体"/>
          <w:b w:val="0"/>
          <w:color w:val="000000"/>
          <w:sz w:val="22"/>
          <w:u w:val="single"/>
          <w:lang w:val="zh-CN"/>
        </w:rPr>
      </w:pPr>
      <w:r>
        <w:rPr>
          <w:rFonts w:hint="eastAsia" w:ascii="宋体" w:hAnsi="宋体" w:eastAsia="宋体"/>
          <w:b w:val="0"/>
          <w:color w:val="000000"/>
          <w:sz w:val="22"/>
          <w:u w:val="single"/>
          <w:lang w:val="zh-CN"/>
        </w:rPr>
        <w:t>乐清市公安局</w:t>
      </w:r>
    </w:p>
    <w:p>
      <w:pPr>
        <w:autoSpaceDE w:val="0"/>
        <w:autoSpaceDN w:val="0"/>
        <w:spacing w:line="460" w:lineRule="atLeast"/>
        <w:rPr>
          <w:rFonts w:ascii="宋体" w:hAnsi="宋体" w:eastAsia="宋体"/>
          <w:b w:val="0"/>
          <w:color w:val="000000"/>
          <w:sz w:val="22"/>
          <w:u w:val="single"/>
          <w:lang w:val="zh-CN"/>
        </w:rPr>
      </w:pPr>
      <w:r>
        <w:rPr>
          <w:rFonts w:hint="eastAsia" w:ascii="宋体" w:hAnsi="宋体" w:eastAsia="宋体"/>
          <w:b w:val="0"/>
          <w:color w:val="000000"/>
          <w:sz w:val="22"/>
          <w:u w:val="single"/>
          <w:lang w:val="zh-CN"/>
        </w:rPr>
        <w:t>乐清市公共资源交易中心：</w:t>
      </w:r>
    </w:p>
    <w:p>
      <w:pPr>
        <w:autoSpaceDE w:val="0"/>
        <w:autoSpaceDN w:val="0"/>
        <w:spacing w:line="460" w:lineRule="atLeast"/>
        <w:rPr>
          <w:rFonts w:ascii="宋体" w:hAnsi="宋体" w:eastAsia="宋体"/>
          <w:b w:val="0"/>
          <w:color w:val="000000"/>
          <w:sz w:val="22"/>
          <w:lang w:val="zh-CN"/>
        </w:rPr>
      </w:pPr>
      <w:r>
        <w:rPr>
          <w:rFonts w:ascii="宋体" w:hAnsi="宋体" w:eastAsia="宋体"/>
          <w:b w:val="0"/>
          <w:color w:val="000000"/>
          <w:sz w:val="22"/>
          <w:lang w:val="zh-CN"/>
        </w:rPr>
        <w:t xml:space="preserve">    </w:t>
      </w:r>
      <w:r>
        <w:rPr>
          <w:rFonts w:ascii="宋体" w:hAnsi="宋体" w:eastAsia="宋体"/>
          <w:b w:val="0"/>
          <w:color w:val="000000"/>
          <w:sz w:val="22"/>
          <w:u w:val="single"/>
          <w:lang w:val="zh-CN"/>
        </w:rPr>
        <w:t xml:space="preserve">                    </w:t>
      </w:r>
      <w:r>
        <w:rPr>
          <w:rFonts w:hint="eastAsia" w:ascii="宋体" w:hAnsi="宋体" w:eastAsia="宋体"/>
          <w:b w:val="0"/>
          <w:color w:val="000000"/>
          <w:sz w:val="22"/>
          <w:lang w:val="zh-CN"/>
        </w:rPr>
        <w:t>（投标供应商全称）授权</w:t>
      </w:r>
      <w:r>
        <w:rPr>
          <w:rFonts w:ascii="宋体" w:hAnsi="宋体" w:eastAsia="宋体"/>
          <w:b w:val="0"/>
          <w:color w:val="000000"/>
          <w:sz w:val="22"/>
          <w:u w:val="single"/>
          <w:lang w:val="zh-CN"/>
        </w:rPr>
        <w:t xml:space="preserve">         </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（授权代表名称）</w:t>
      </w:r>
      <w:r>
        <w:rPr>
          <w:rFonts w:ascii="宋体" w:hAnsi="宋体" w:eastAsia="宋体"/>
          <w:b w:val="0"/>
          <w:color w:val="000000"/>
          <w:sz w:val="22"/>
          <w:u w:val="single"/>
          <w:lang w:val="zh-CN"/>
        </w:rPr>
        <w:t xml:space="preserve">         </w:t>
      </w:r>
      <w:r>
        <w:rPr>
          <w:rFonts w:hint="eastAsia" w:ascii="宋体" w:hAnsi="宋体" w:eastAsia="宋体"/>
          <w:b w:val="0"/>
          <w:color w:val="000000"/>
          <w:sz w:val="22"/>
          <w:lang w:val="zh-CN"/>
        </w:rPr>
        <w:t>（职务、职称）为授权代表，参加贵方组织的</w:t>
      </w:r>
      <w:r>
        <w:rPr>
          <w:rFonts w:ascii="宋体" w:hAnsi="宋体" w:eastAsia="宋体"/>
          <w:b w:val="0"/>
          <w:color w:val="000000"/>
          <w:sz w:val="22"/>
          <w:u w:val="single"/>
          <w:lang w:val="zh-CN"/>
        </w:rPr>
        <w:t xml:space="preserve">    </w:t>
      </w:r>
      <w:r>
        <w:rPr>
          <w:rFonts w:hint="eastAsia" w:ascii="宋体" w:hAnsi="宋体" w:eastAsia="宋体"/>
          <w:b w:val="0"/>
          <w:color w:val="000000"/>
          <w:sz w:val="22"/>
          <w:u w:val="single"/>
          <w:lang w:val="zh-CN"/>
        </w:rPr>
        <w:t>（招标项目名称）（括号内填项目编号）</w:t>
      </w:r>
      <w:r>
        <w:rPr>
          <w:rFonts w:hint="eastAsia" w:ascii="宋体" w:hAnsi="宋体" w:eastAsia="宋体"/>
          <w:b w:val="0"/>
          <w:color w:val="000000"/>
          <w:sz w:val="22"/>
          <w:lang w:val="zh-CN"/>
        </w:rPr>
        <w:t>招标的有关活动，并对此进行投标。为此：</w:t>
      </w:r>
      <w:r>
        <w:rPr>
          <w:rFonts w:ascii="宋体" w:hAnsi="宋体" w:eastAsia="宋体"/>
          <w:b w:val="0"/>
          <w:color w:val="000000"/>
          <w:sz w:val="22"/>
          <w:lang w:val="zh-CN"/>
        </w:rPr>
        <w:t xml:space="preserve">    </w:t>
      </w:r>
    </w:p>
    <w:p>
      <w:pPr>
        <w:tabs>
          <w:tab w:val="left" w:pos="803"/>
        </w:tabs>
        <w:autoSpaceDE w:val="0"/>
        <w:autoSpaceDN w:val="0"/>
        <w:spacing w:line="460" w:lineRule="atLeast"/>
        <w:ind w:left="210" w:leftChars="100" w:firstLine="220" w:firstLineChars="100"/>
        <w:rPr>
          <w:rFonts w:ascii="宋体" w:hAnsi="宋体" w:eastAsia="宋体"/>
          <w:b w:val="0"/>
          <w:color w:val="000000"/>
          <w:sz w:val="22"/>
          <w:lang w:val="zh-CN"/>
        </w:rPr>
      </w:pPr>
      <w:r>
        <w:rPr>
          <w:rFonts w:hint="eastAsia" w:ascii="宋体" w:hAnsi="宋体" w:eastAsia="宋体"/>
          <w:b w:val="0"/>
          <w:color w:val="000000"/>
          <w:sz w:val="22"/>
          <w:lang w:val="zh-CN"/>
        </w:rPr>
        <w:t>1、提供招标文件要求的全部投标文件。</w:t>
      </w:r>
    </w:p>
    <w:p>
      <w:pPr>
        <w:autoSpaceDE w:val="0"/>
        <w:autoSpaceDN w:val="0"/>
        <w:spacing w:line="460" w:lineRule="atLeast"/>
        <w:ind w:firstLine="450"/>
        <w:rPr>
          <w:rFonts w:ascii="宋体" w:hAnsi="宋体" w:eastAsia="宋体"/>
          <w:b w:val="0"/>
          <w:color w:val="000000"/>
          <w:sz w:val="22"/>
          <w:lang w:val="zh-CN"/>
        </w:rPr>
      </w:pPr>
      <w:r>
        <w:rPr>
          <w:rFonts w:hint="eastAsia" w:ascii="宋体" w:hAnsi="宋体" w:eastAsia="宋体"/>
          <w:b w:val="0"/>
          <w:color w:val="000000"/>
          <w:sz w:val="22"/>
          <w:lang w:val="zh-CN"/>
        </w:rPr>
        <w:t>2、保证遵守招标文件中的有关规定和约定。</w:t>
      </w:r>
    </w:p>
    <w:p>
      <w:pPr>
        <w:autoSpaceDE w:val="0"/>
        <w:autoSpaceDN w:val="0"/>
        <w:spacing w:line="460" w:lineRule="atLeast"/>
        <w:ind w:firstLine="465"/>
        <w:rPr>
          <w:rFonts w:ascii="宋体" w:hAnsi="宋体" w:eastAsia="宋体"/>
          <w:b w:val="0"/>
          <w:color w:val="000000"/>
          <w:sz w:val="22"/>
          <w:lang w:val="zh-CN"/>
        </w:rPr>
      </w:pPr>
      <w:r>
        <w:rPr>
          <w:rFonts w:hint="eastAsia" w:ascii="宋体" w:hAnsi="宋体" w:eastAsia="宋体"/>
          <w:b w:val="0"/>
          <w:color w:val="000000"/>
          <w:sz w:val="22"/>
          <w:lang w:val="zh-CN"/>
        </w:rPr>
        <w:t>3、保证忠实地执行双方所签的合同，并承担合同规定的责任义务。</w:t>
      </w:r>
    </w:p>
    <w:p>
      <w:pPr>
        <w:autoSpaceDE w:val="0"/>
        <w:autoSpaceDN w:val="0"/>
        <w:spacing w:line="460" w:lineRule="atLeast"/>
        <w:ind w:firstLine="465"/>
        <w:rPr>
          <w:rFonts w:ascii="宋体" w:hAnsi="宋体" w:eastAsia="宋体"/>
          <w:b w:val="0"/>
          <w:color w:val="000000"/>
          <w:sz w:val="22"/>
          <w:lang w:val="zh-CN"/>
        </w:rPr>
      </w:pPr>
      <w:r>
        <w:rPr>
          <w:rFonts w:hint="eastAsia" w:ascii="宋体" w:hAnsi="宋体" w:eastAsia="宋体"/>
          <w:b w:val="0"/>
          <w:color w:val="000000"/>
          <w:sz w:val="22"/>
          <w:lang w:val="zh-CN"/>
        </w:rPr>
        <w:t>4、</w:t>
      </w:r>
      <w:r>
        <w:rPr>
          <w:rFonts w:hint="eastAsia" w:ascii="宋体" w:hAnsi="宋体" w:eastAsia="宋体" w:cs="Courier New"/>
          <w:color w:val="000000"/>
          <w:sz w:val="22"/>
        </w:rPr>
        <w:t>如我单位中标，我方承诺按招标文件规定的时间完工</w:t>
      </w:r>
      <w:r>
        <w:rPr>
          <w:rFonts w:ascii="宋体" w:hAnsi="宋体" w:eastAsia="宋体" w:cs="Courier New"/>
          <w:color w:val="000000"/>
          <w:sz w:val="22"/>
        </w:rPr>
        <w:t>。</w:t>
      </w:r>
    </w:p>
    <w:p>
      <w:pPr>
        <w:autoSpaceDE w:val="0"/>
        <w:autoSpaceDN w:val="0"/>
        <w:spacing w:line="460" w:lineRule="atLeast"/>
        <w:ind w:firstLine="465"/>
        <w:rPr>
          <w:rFonts w:ascii="宋体" w:hAnsi="宋体" w:eastAsia="宋体"/>
          <w:b w:val="0"/>
          <w:color w:val="000000"/>
          <w:sz w:val="22"/>
          <w:lang w:val="zh-CN"/>
        </w:rPr>
      </w:pPr>
      <w:r>
        <w:rPr>
          <w:rFonts w:hint="eastAsia" w:ascii="宋体" w:hAnsi="宋体" w:eastAsia="宋体"/>
          <w:b w:val="0"/>
          <w:color w:val="000000"/>
          <w:sz w:val="22"/>
          <w:lang w:val="zh-CN"/>
        </w:rPr>
        <w:t>5、我方已详细审查全部招标文件，包括招标文件补充文件（如果有的话）。我方完全理解并同意放弃对这方面有不明及误解的权力。如果招标文件有相互矛盾之处，我方同意按采购人的理解处理。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spacing w:line="460" w:lineRule="atLeast"/>
        <w:ind w:firstLine="450"/>
        <w:rPr>
          <w:rFonts w:ascii="宋体" w:hAnsi="宋体" w:eastAsia="宋体"/>
          <w:b w:val="0"/>
          <w:color w:val="000000"/>
          <w:sz w:val="22"/>
          <w:lang w:val="zh-CN"/>
        </w:rPr>
      </w:pPr>
      <w:r>
        <w:rPr>
          <w:rFonts w:hint="eastAsia" w:ascii="宋体" w:hAnsi="宋体" w:eastAsia="宋体"/>
          <w:b w:val="0"/>
          <w:color w:val="000000"/>
          <w:sz w:val="22"/>
          <w:lang w:val="zh-CN"/>
        </w:rPr>
        <w:t>6、愿意向贵方提供任何与该项投标有关的数据、情况和技术资料，完全理解贵方不一定接受最低价的投标或收到的任何投标。</w:t>
      </w:r>
    </w:p>
    <w:p>
      <w:pPr>
        <w:autoSpaceDE w:val="0"/>
        <w:autoSpaceDN w:val="0"/>
        <w:spacing w:line="460" w:lineRule="atLeast"/>
        <w:ind w:firstLine="465"/>
        <w:rPr>
          <w:rFonts w:ascii="宋体" w:hAnsi="宋体" w:eastAsia="宋体"/>
          <w:b w:val="0"/>
          <w:color w:val="000000"/>
          <w:sz w:val="22"/>
          <w:lang w:val="zh-CN"/>
        </w:rPr>
      </w:pPr>
      <w:r>
        <w:rPr>
          <w:rFonts w:hint="eastAsia" w:ascii="宋体" w:hAnsi="宋体" w:eastAsia="宋体"/>
          <w:b w:val="0"/>
          <w:color w:val="000000"/>
          <w:sz w:val="22"/>
          <w:lang w:val="zh-CN"/>
        </w:rPr>
        <w:t>7、利益冲突：近三年内直至目前，我公司与本项目的采购人、采购代理机构没有任何的隶属关系。</w:t>
      </w:r>
    </w:p>
    <w:p>
      <w:pPr>
        <w:autoSpaceDE w:val="0"/>
        <w:autoSpaceDN w:val="0"/>
        <w:spacing w:line="460" w:lineRule="atLeast"/>
        <w:ind w:firstLine="465"/>
        <w:rPr>
          <w:rFonts w:ascii="宋体" w:hAnsi="宋体" w:eastAsia="宋体"/>
          <w:b w:val="0"/>
          <w:color w:val="000000"/>
          <w:sz w:val="22"/>
          <w:lang w:val="zh-CN"/>
        </w:rPr>
      </w:pPr>
      <w:r>
        <w:rPr>
          <w:rFonts w:hint="eastAsia" w:ascii="宋体" w:hAnsi="宋体" w:eastAsia="宋体"/>
          <w:b w:val="0"/>
          <w:color w:val="000000"/>
          <w:sz w:val="22"/>
          <w:lang w:val="zh-CN"/>
        </w:rPr>
        <w:t>8、我公司没有被财政部门限制参加政府采购活动或曾被财政部门限制参加政府采购活动但已不在限制期内。</w:t>
      </w:r>
    </w:p>
    <w:p>
      <w:pPr>
        <w:autoSpaceDE w:val="0"/>
        <w:autoSpaceDN w:val="0"/>
        <w:spacing w:line="460" w:lineRule="atLeast"/>
        <w:ind w:firstLine="465"/>
        <w:rPr>
          <w:rFonts w:ascii="宋体" w:hAnsi="宋体" w:eastAsia="宋体"/>
          <w:b w:val="0"/>
          <w:color w:val="000000"/>
          <w:sz w:val="22"/>
          <w:lang w:val="zh-CN"/>
        </w:rPr>
      </w:pPr>
      <w:r>
        <w:rPr>
          <w:rFonts w:hint="eastAsia" w:ascii="宋体" w:hAnsi="宋体" w:eastAsia="宋体"/>
          <w:b w:val="0"/>
          <w:color w:val="000000"/>
          <w:sz w:val="22"/>
          <w:lang w:val="zh-CN"/>
        </w:rPr>
        <w:t>9、投标文件自</w:t>
      </w:r>
      <w:r>
        <w:rPr>
          <w:rFonts w:hint="eastAsia" w:ascii="宋体" w:hAnsi="宋体" w:eastAsia="宋体" w:cs="Courier New"/>
          <w:b w:val="0"/>
          <w:color w:val="000000"/>
          <w:sz w:val="22"/>
        </w:rPr>
        <w:t>提交投标文件截止时间起90天</w:t>
      </w:r>
      <w:r>
        <w:rPr>
          <w:rFonts w:hint="eastAsia" w:ascii="宋体" w:hAnsi="宋体" w:eastAsia="宋体"/>
          <w:b w:val="0"/>
          <w:color w:val="000000"/>
          <w:sz w:val="22"/>
          <w:lang w:val="zh-CN"/>
        </w:rPr>
        <w:t>内有效。</w:t>
      </w:r>
    </w:p>
    <w:p>
      <w:pPr>
        <w:autoSpaceDE w:val="0"/>
        <w:autoSpaceDN w:val="0"/>
        <w:spacing w:line="460" w:lineRule="atLeast"/>
        <w:ind w:firstLine="465"/>
        <w:rPr>
          <w:rFonts w:ascii="宋体" w:hAnsi="宋体" w:eastAsia="宋体"/>
          <w:b w:val="0"/>
          <w:color w:val="000000"/>
          <w:sz w:val="22"/>
          <w:lang w:val="zh-CN"/>
        </w:rPr>
      </w:pPr>
      <w:r>
        <w:rPr>
          <w:rFonts w:hint="eastAsia" w:ascii="宋体" w:hAnsi="宋体" w:eastAsia="宋体"/>
          <w:b w:val="0"/>
          <w:color w:val="000000"/>
          <w:sz w:val="22"/>
          <w:lang w:val="zh-CN"/>
        </w:rPr>
        <w:t>10、与本采购有关的一切往来通讯请寄：</w:t>
      </w:r>
    </w:p>
    <w:p>
      <w:pPr>
        <w:autoSpaceDE w:val="0"/>
        <w:autoSpaceDN w:val="0"/>
        <w:spacing w:line="460" w:lineRule="atLeast"/>
        <w:rPr>
          <w:rFonts w:ascii="宋体" w:hAnsi="宋体" w:eastAsia="宋体"/>
          <w:b w:val="0"/>
          <w:color w:val="000000"/>
          <w:sz w:val="22"/>
          <w:lang w:val="zh-CN"/>
        </w:rPr>
      </w:pPr>
      <w:r>
        <w:rPr>
          <w:rFonts w:hint="eastAsia" w:ascii="宋体" w:hAnsi="宋体" w:eastAsia="宋体"/>
          <w:b w:val="0"/>
          <w:color w:val="000000"/>
          <w:sz w:val="22"/>
          <w:lang w:val="zh-CN"/>
        </w:rPr>
        <w:t>地址：</w:t>
      </w:r>
      <w:r>
        <w:rPr>
          <w:rFonts w:ascii="宋体" w:hAnsi="宋体" w:eastAsia="宋体"/>
          <w:b w:val="0"/>
          <w:color w:val="000000"/>
          <w:sz w:val="22"/>
          <w:u w:val="single"/>
          <w:lang w:val="zh-CN"/>
        </w:rPr>
        <w:t xml:space="preserve">                                 </w:t>
      </w:r>
    </w:p>
    <w:p>
      <w:pPr>
        <w:autoSpaceDE w:val="0"/>
        <w:autoSpaceDN w:val="0"/>
        <w:spacing w:line="460" w:lineRule="atLeast"/>
        <w:rPr>
          <w:rFonts w:ascii="宋体" w:hAnsi="宋体" w:eastAsia="宋体"/>
          <w:b w:val="0"/>
          <w:color w:val="000000"/>
          <w:sz w:val="22"/>
          <w:lang w:val="zh-CN"/>
        </w:rPr>
      </w:pPr>
      <w:r>
        <w:rPr>
          <w:rFonts w:hint="eastAsia" w:ascii="宋体" w:hAnsi="宋体" w:eastAsia="宋体"/>
          <w:b w:val="0"/>
          <w:color w:val="000000"/>
          <w:sz w:val="22"/>
          <w:lang w:val="zh-CN"/>
        </w:rPr>
        <w:t>邮编：</w:t>
      </w:r>
      <w:r>
        <w:rPr>
          <w:rFonts w:ascii="宋体" w:hAnsi="宋体" w:eastAsia="宋体"/>
          <w:b w:val="0"/>
          <w:color w:val="000000"/>
          <w:sz w:val="22"/>
          <w:u w:val="single"/>
          <w:lang w:val="zh-CN"/>
        </w:rPr>
        <w:t xml:space="preserve">               </w:t>
      </w:r>
      <w:r>
        <w:rPr>
          <w:rFonts w:hint="eastAsia" w:ascii="宋体" w:hAnsi="宋体" w:eastAsia="宋体"/>
          <w:b w:val="0"/>
          <w:color w:val="000000"/>
          <w:sz w:val="22"/>
          <w:lang w:val="zh-CN"/>
        </w:rPr>
        <w:t>电话：</w:t>
      </w:r>
      <w:r>
        <w:rPr>
          <w:rFonts w:ascii="宋体" w:hAnsi="宋体" w:eastAsia="宋体"/>
          <w:b w:val="0"/>
          <w:color w:val="000000"/>
          <w:sz w:val="22"/>
          <w:u w:val="single"/>
          <w:lang w:val="zh-CN"/>
        </w:rPr>
        <w:t xml:space="preserve">                 </w:t>
      </w:r>
      <w:r>
        <w:rPr>
          <w:rFonts w:hint="eastAsia" w:ascii="宋体" w:hAnsi="宋体" w:eastAsia="宋体"/>
          <w:b w:val="0"/>
          <w:color w:val="000000"/>
          <w:sz w:val="22"/>
          <w:lang w:val="zh-CN"/>
        </w:rPr>
        <w:t>传真：</w:t>
      </w:r>
      <w:r>
        <w:rPr>
          <w:rFonts w:ascii="宋体" w:hAnsi="宋体" w:eastAsia="宋体"/>
          <w:b w:val="0"/>
          <w:color w:val="000000"/>
          <w:sz w:val="22"/>
          <w:u w:val="single"/>
          <w:lang w:val="zh-CN"/>
        </w:rPr>
        <w:t xml:space="preserve">                 </w:t>
      </w:r>
    </w:p>
    <w:p>
      <w:pPr>
        <w:autoSpaceDE w:val="0"/>
        <w:autoSpaceDN w:val="0"/>
        <w:spacing w:line="460" w:lineRule="atLeast"/>
        <w:rPr>
          <w:rFonts w:ascii="宋体" w:hAnsi="宋体" w:eastAsia="宋体"/>
          <w:b w:val="0"/>
          <w:color w:val="000000"/>
          <w:sz w:val="22"/>
          <w:lang w:val="zh-CN"/>
        </w:rPr>
      </w:pPr>
      <w:r>
        <w:rPr>
          <w:rFonts w:hint="eastAsia" w:ascii="宋体" w:hAnsi="宋体" w:eastAsia="宋体"/>
          <w:b w:val="0"/>
          <w:color w:val="000000"/>
          <w:sz w:val="22"/>
          <w:lang w:val="zh-CN"/>
        </w:rPr>
        <w:t>投标供应商（盖章）：</w:t>
      </w:r>
    </w:p>
    <w:p>
      <w:pPr>
        <w:autoSpaceDE w:val="0"/>
        <w:autoSpaceDN w:val="0"/>
        <w:spacing w:line="460" w:lineRule="atLeast"/>
        <w:rPr>
          <w:rFonts w:ascii="宋体" w:hAnsi="宋体" w:eastAsia="宋体"/>
          <w:b w:val="0"/>
          <w:color w:val="000000"/>
          <w:sz w:val="22"/>
          <w:lang w:val="zh-CN"/>
        </w:rPr>
      </w:pPr>
      <w:r>
        <w:rPr>
          <w:rFonts w:hint="eastAsia" w:ascii="宋体" w:hAnsi="宋体" w:eastAsia="宋体"/>
          <w:b w:val="0"/>
          <w:color w:val="000000"/>
          <w:sz w:val="22"/>
          <w:lang w:val="zh-CN"/>
        </w:rPr>
        <w:t>法定代表人或授权代表（签字或盖章）：</w:t>
      </w:r>
    </w:p>
    <w:p>
      <w:pPr>
        <w:autoSpaceDE w:val="0"/>
        <w:autoSpaceDN w:val="0"/>
        <w:spacing w:line="460" w:lineRule="atLeast"/>
        <w:rPr>
          <w:rFonts w:ascii="宋体" w:hAnsi="宋体" w:eastAsia="宋体"/>
          <w:b w:val="0"/>
          <w:color w:val="000000"/>
          <w:sz w:val="22"/>
          <w:lang w:val="zh-CN"/>
        </w:rPr>
      </w:pPr>
      <w:r>
        <w:rPr>
          <w:rFonts w:hint="eastAsia" w:ascii="宋体" w:hAnsi="宋体" w:eastAsia="宋体"/>
          <w:b w:val="0"/>
          <w:color w:val="000000"/>
          <w:sz w:val="22"/>
          <w:lang w:val="zh-CN"/>
        </w:rPr>
        <w:t>日期：</w:t>
      </w:r>
    </w:p>
    <w:p>
      <w:pPr>
        <w:snapToGrid w:val="0"/>
        <w:spacing w:line="500" w:lineRule="atLeast"/>
        <w:rPr>
          <w:rFonts w:ascii="宋体" w:hAnsi="宋体" w:eastAsia="宋体"/>
          <w:b w:val="0"/>
          <w:color w:val="000000"/>
          <w:sz w:val="30"/>
        </w:rPr>
      </w:pPr>
    </w:p>
    <w:p>
      <w:pPr>
        <w:pStyle w:val="2"/>
        <w:ind w:firstLine="210"/>
        <w:rPr>
          <w:rFonts w:ascii="宋体" w:hAnsi="宋体" w:eastAsia="宋体"/>
          <w:color w:val="000000"/>
        </w:rPr>
      </w:pPr>
    </w:p>
    <w:p>
      <w:pPr>
        <w:autoSpaceDE w:val="0"/>
        <w:autoSpaceDN w:val="0"/>
        <w:spacing w:line="460" w:lineRule="atLeast"/>
        <w:rPr>
          <w:rFonts w:ascii="宋体" w:hAnsi="宋体" w:eastAsia="宋体"/>
          <w:b w:val="0"/>
          <w:color w:val="000000"/>
          <w:sz w:val="32"/>
          <w:lang w:val="zh-CN"/>
        </w:rPr>
      </w:pPr>
      <w:r>
        <w:rPr>
          <w:rFonts w:hint="eastAsia" w:ascii="宋体" w:hAnsi="宋体" w:eastAsia="宋体"/>
          <w:b w:val="0"/>
          <w:color w:val="000000"/>
          <w:sz w:val="32"/>
          <w:lang w:val="zh-CN"/>
        </w:rPr>
        <w:t>附件七</w:t>
      </w:r>
    </w:p>
    <w:p>
      <w:pPr>
        <w:tabs>
          <w:tab w:val="left" w:pos="1080"/>
        </w:tabs>
        <w:autoSpaceDE w:val="0"/>
        <w:autoSpaceDN w:val="0"/>
        <w:spacing w:line="460" w:lineRule="atLeast"/>
        <w:jc w:val="center"/>
        <w:rPr>
          <w:rFonts w:ascii="宋体" w:hAnsi="宋体" w:eastAsia="宋体" w:cs="Cambria"/>
          <w:b w:val="0"/>
          <w:color w:val="000000"/>
          <w:sz w:val="36"/>
          <w:lang w:val="zh-CN"/>
        </w:rPr>
      </w:pPr>
      <w:r>
        <w:rPr>
          <w:rFonts w:hint="eastAsia" w:ascii="宋体" w:hAnsi="宋体" w:eastAsia="宋体" w:cs="Cambria"/>
          <w:b w:val="0"/>
          <w:color w:val="000000"/>
          <w:sz w:val="36"/>
          <w:lang w:val="zh-CN"/>
        </w:rPr>
        <w:t>法定代表人授权书</w:t>
      </w:r>
    </w:p>
    <w:p>
      <w:pPr>
        <w:autoSpaceDE w:val="0"/>
        <w:autoSpaceDN w:val="0"/>
        <w:spacing w:line="460" w:lineRule="atLeast"/>
        <w:rPr>
          <w:rFonts w:ascii="宋体" w:hAnsi="宋体" w:eastAsia="宋体"/>
          <w:b w:val="0"/>
          <w:color w:val="000000"/>
          <w:sz w:val="22"/>
          <w:u w:val="single"/>
          <w:lang w:val="zh-CN"/>
        </w:rPr>
      </w:pPr>
      <w:r>
        <w:rPr>
          <w:rFonts w:hint="eastAsia" w:ascii="宋体" w:hAnsi="宋体" w:eastAsia="宋体"/>
          <w:b w:val="0"/>
          <w:color w:val="000000"/>
          <w:sz w:val="22"/>
          <w:u w:val="single"/>
          <w:lang w:val="zh-CN"/>
        </w:rPr>
        <w:t>乐清市公安局</w:t>
      </w:r>
    </w:p>
    <w:p>
      <w:pPr>
        <w:autoSpaceDE w:val="0"/>
        <w:autoSpaceDN w:val="0"/>
        <w:spacing w:line="460" w:lineRule="atLeast"/>
        <w:rPr>
          <w:rFonts w:ascii="宋体" w:hAnsi="宋体" w:eastAsia="宋体"/>
          <w:b w:val="0"/>
          <w:color w:val="000000"/>
          <w:sz w:val="22"/>
          <w:u w:val="single"/>
          <w:lang w:val="zh-CN"/>
        </w:rPr>
      </w:pPr>
      <w:r>
        <w:rPr>
          <w:rFonts w:hint="eastAsia" w:ascii="宋体" w:hAnsi="宋体" w:eastAsia="宋体"/>
          <w:b w:val="0"/>
          <w:color w:val="000000"/>
          <w:sz w:val="22"/>
          <w:u w:val="single"/>
          <w:lang w:val="zh-CN"/>
        </w:rPr>
        <w:t>乐清市公共资源交易中心：</w:t>
      </w:r>
    </w:p>
    <w:p>
      <w:pPr>
        <w:snapToGrid w:val="0"/>
        <w:spacing w:line="580" w:lineRule="atLeast"/>
        <w:ind w:firstLine="440" w:firstLineChars="200"/>
        <w:rPr>
          <w:rFonts w:ascii="宋体" w:hAnsi="宋体" w:eastAsia="宋体"/>
          <w:b w:val="0"/>
          <w:color w:val="000000"/>
          <w:sz w:val="22"/>
        </w:rPr>
      </w:pPr>
      <w:r>
        <w:rPr>
          <w:rFonts w:hint="eastAsia" w:ascii="宋体" w:hAnsi="宋体" w:eastAsia="宋体"/>
          <w:b w:val="0"/>
          <w:color w:val="000000"/>
          <w:sz w:val="22"/>
        </w:rPr>
        <w:t>本授权委托书声明：我</w:t>
      </w:r>
      <w:r>
        <w:rPr>
          <w:rFonts w:hint="eastAsia" w:ascii="宋体" w:hAnsi="宋体" w:eastAsia="宋体"/>
          <w:b w:val="0"/>
          <w:color w:val="000000"/>
          <w:sz w:val="22"/>
          <w:u w:val="single"/>
        </w:rPr>
        <w:t xml:space="preserve">   （法定代表人姓名）   </w:t>
      </w:r>
      <w:r>
        <w:rPr>
          <w:rFonts w:hint="eastAsia" w:ascii="宋体" w:hAnsi="宋体" w:eastAsia="宋体"/>
          <w:b w:val="0"/>
          <w:color w:val="000000"/>
          <w:sz w:val="22"/>
        </w:rPr>
        <w:t>系</w:t>
      </w:r>
      <w:r>
        <w:rPr>
          <w:rFonts w:hint="eastAsia" w:ascii="宋体" w:hAnsi="宋体" w:eastAsia="宋体"/>
          <w:b w:val="0"/>
          <w:color w:val="000000"/>
          <w:sz w:val="22"/>
          <w:u w:val="single"/>
        </w:rPr>
        <w:t xml:space="preserve">   （供 应 商 名 称）  </w:t>
      </w:r>
      <w:r>
        <w:rPr>
          <w:rFonts w:hint="eastAsia" w:ascii="宋体" w:hAnsi="宋体" w:eastAsia="宋体"/>
          <w:b w:val="0"/>
          <w:color w:val="000000"/>
          <w:sz w:val="22"/>
        </w:rPr>
        <w:t>的法定代表人，现授权委托</w:t>
      </w:r>
      <w:r>
        <w:rPr>
          <w:rFonts w:hint="eastAsia" w:ascii="宋体" w:hAnsi="宋体" w:eastAsia="宋体"/>
          <w:b w:val="0"/>
          <w:color w:val="000000"/>
          <w:sz w:val="22"/>
          <w:u w:val="single"/>
        </w:rPr>
        <w:t xml:space="preserve">  （单 位 名 称）   </w:t>
      </w:r>
      <w:r>
        <w:rPr>
          <w:rFonts w:hint="eastAsia" w:ascii="宋体" w:hAnsi="宋体" w:eastAsia="宋体"/>
          <w:b w:val="0"/>
          <w:color w:val="000000"/>
          <w:sz w:val="22"/>
        </w:rPr>
        <w:t>的</w:t>
      </w:r>
      <w:r>
        <w:rPr>
          <w:rFonts w:hint="eastAsia" w:ascii="宋体" w:hAnsi="宋体" w:eastAsia="宋体"/>
          <w:b w:val="0"/>
          <w:color w:val="000000"/>
          <w:sz w:val="22"/>
          <w:u w:val="single"/>
        </w:rPr>
        <w:t xml:space="preserve">  （授权代表姓名）  </w:t>
      </w:r>
      <w:r>
        <w:rPr>
          <w:rFonts w:hint="eastAsia" w:ascii="宋体" w:hAnsi="宋体" w:eastAsia="宋体"/>
          <w:b w:val="0"/>
          <w:color w:val="000000"/>
          <w:sz w:val="22"/>
        </w:rPr>
        <w:t>为我公司法定代表人授权代表，参加贵处组织的</w:t>
      </w:r>
      <w:r>
        <w:rPr>
          <w:rFonts w:hint="eastAsia" w:ascii="宋体" w:hAnsi="宋体" w:eastAsia="宋体"/>
          <w:b w:val="0"/>
          <w:color w:val="000000"/>
          <w:sz w:val="22"/>
          <w:u w:val="single"/>
        </w:rPr>
        <w:t xml:space="preserve">  （招标项目名称，括号中填写项目编号）  </w:t>
      </w:r>
      <w:r>
        <w:rPr>
          <w:rFonts w:hint="eastAsia" w:ascii="宋体" w:hAnsi="宋体" w:eastAsia="宋体"/>
          <w:b w:val="0"/>
          <w:color w:val="000000"/>
          <w:sz w:val="22"/>
        </w:rPr>
        <w:t>项目投标，全权处理本次招投标活动中的一切事宜，我承认授权代表全权代表我所签署的本项目的投标文件的内容。</w:t>
      </w:r>
    </w:p>
    <w:p>
      <w:pPr>
        <w:snapToGrid w:val="0"/>
        <w:spacing w:line="580" w:lineRule="atLeast"/>
        <w:ind w:firstLine="440" w:firstLineChars="200"/>
        <w:rPr>
          <w:rFonts w:ascii="宋体" w:hAnsi="宋体" w:eastAsia="宋体"/>
          <w:b w:val="0"/>
          <w:color w:val="000000"/>
          <w:sz w:val="22"/>
        </w:rPr>
      </w:pPr>
      <w:r>
        <w:rPr>
          <w:rFonts w:hint="eastAsia" w:ascii="宋体" w:hAnsi="宋体" w:eastAsia="宋体"/>
          <w:b w:val="0"/>
          <w:color w:val="000000"/>
          <w:sz w:val="22"/>
        </w:rPr>
        <w:t>授权代表无转授权，特此授权。</w:t>
      </w:r>
    </w:p>
    <w:p>
      <w:pPr>
        <w:snapToGrid w:val="0"/>
        <w:spacing w:line="580" w:lineRule="atLeast"/>
        <w:ind w:left="1260"/>
        <w:rPr>
          <w:rFonts w:ascii="宋体" w:hAnsi="宋体" w:eastAsia="宋体"/>
          <w:b w:val="0"/>
          <w:color w:val="000000"/>
          <w:sz w:val="22"/>
        </w:rPr>
      </w:pPr>
    </w:p>
    <w:p>
      <w:pPr>
        <w:snapToGrid w:val="0"/>
        <w:spacing w:line="580" w:lineRule="atLeast"/>
        <w:ind w:left="2092" w:leftChars="996" w:firstLine="330" w:firstLineChars="150"/>
        <w:rPr>
          <w:rFonts w:ascii="宋体" w:hAnsi="宋体" w:eastAsia="宋体"/>
          <w:b w:val="0"/>
          <w:color w:val="000000"/>
          <w:sz w:val="22"/>
          <w:u w:val="single"/>
        </w:rPr>
      </w:pPr>
      <w:r>
        <w:rPr>
          <w:rFonts w:hint="eastAsia" w:ascii="宋体" w:hAnsi="宋体" w:eastAsia="宋体"/>
          <w:b w:val="0"/>
          <w:color w:val="000000"/>
          <w:sz w:val="22"/>
        </w:rPr>
        <w:t xml:space="preserve"> 授权代表：</w:t>
      </w:r>
      <w:r>
        <w:rPr>
          <w:rFonts w:hint="eastAsia" w:ascii="宋体" w:hAnsi="宋体" w:eastAsia="宋体"/>
          <w:b w:val="0"/>
          <w:color w:val="000000"/>
          <w:sz w:val="22"/>
          <w:u w:val="single"/>
        </w:rPr>
        <w:t xml:space="preserve">          </w:t>
      </w:r>
      <w:r>
        <w:rPr>
          <w:rFonts w:hint="eastAsia" w:ascii="宋体" w:hAnsi="宋体" w:eastAsia="宋体"/>
          <w:b w:val="0"/>
          <w:color w:val="000000"/>
          <w:sz w:val="22"/>
        </w:rPr>
        <w:t xml:space="preserve"> 性别 ：</w:t>
      </w:r>
      <w:r>
        <w:rPr>
          <w:rFonts w:hint="eastAsia" w:ascii="宋体" w:hAnsi="宋体" w:eastAsia="宋体"/>
          <w:b w:val="0"/>
          <w:color w:val="000000"/>
          <w:sz w:val="22"/>
          <w:u w:val="single"/>
        </w:rPr>
        <w:t xml:space="preserve">         </w:t>
      </w:r>
      <w:r>
        <w:rPr>
          <w:rFonts w:hint="eastAsia" w:ascii="宋体" w:hAnsi="宋体" w:eastAsia="宋体"/>
          <w:b w:val="0"/>
          <w:color w:val="000000"/>
          <w:sz w:val="22"/>
        </w:rPr>
        <w:t xml:space="preserve"> 年龄：</w:t>
      </w:r>
      <w:r>
        <w:rPr>
          <w:rFonts w:hint="eastAsia" w:ascii="宋体" w:hAnsi="宋体" w:eastAsia="宋体"/>
          <w:b w:val="0"/>
          <w:color w:val="000000"/>
          <w:sz w:val="22"/>
          <w:u w:val="single"/>
        </w:rPr>
        <w:t xml:space="preserve">         </w:t>
      </w:r>
      <w:r>
        <w:rPr>
          <w:rFonts w:hint="eastAsia" w:ascii="宋体" w:hAnsi="宋体" w:eastAsia="宋体"/>
          <w:b w:val="0"/>
          <w:color w:val="000000"/>
          <w:sz w:val="22"/>
        </w:rPr>
        <w:t xml:space="preserve"> </w:t>
      </w:r>
    </w:p>
    <w:p>
      <w:pPr>
        <w:snapToGrid w:val="0"/>
        <w:spacing w:line="580" w:lineRule="atLeast"/>
        <w:ind w:left="2100" w:leftChars="1000" w:firstLine="440" w:firstLineChars="200"/>
        <w:rPr>
          <w:rFonts w:ascii="宋体" w:hAnsi="宋体" w:eastAsia="宋体"/>
          <w:b w:val="0"/>
          <w:color w:val="000000"/>
          <w:sz w:val="22"/>
          <w:u w:val="single"/>
        </w:rPr>
      </w:pPr>
      <w:r>
        <w:rPr>
          <w:rFonts w:hint="eastAsia" w:ascii="宋体" w:hAnsi="宋体" w:eastAsia="宋体"/>
          <w:b w:val="0"/>
          <w:color w:val="000000"/>
          <w:sz w:val="22"/>
        </w:rPr>
        <w:t>详细通讯地址：</w:t>
      </w:r>
      <w:r>
        <w:rPr>
          <w:rFonts w:hint="eastAsia" w:ascii="宋体" w:hAnsi="宋体" w:eastAsia="宋体"/>
          <w:b w:val="0"/>
          <w:color w:val="000000"/>
          <w:sz w:val="22"/>
          <w:u w:val="single"/>
        </w:rPr>
        <w:t xml:space="preserve">                  </w:t>
      </w:r>
      <w:r>
        <w:rPr>
          <w:rFonts w:hint="eastAsia" w:ascii="宋体" w:hAnsi="宋体" w:eastAsia="宋体"/>
          <w:b w:val="0"/>
          <w:color w:val="000000"/>
          <w:sz w:val="22"/>
        </w:rPr>
        <w:t xml:space="preserve"> 邮政编码：</w:t>
      </w:r>
      <w:r>
        <w:rPr>
          <w:rFonts w:hint="eastAsia" w:ascii="宋体" w:hAnsi="宋体" w:eastAsia="宋体"/>
          <w:b w:val="0"/>
          <w:color w:val="000000"/>
          <w:sz w:val="22"/>
          <w:u w:val="single"/>
        </w:rPr>
        <w:t xml:space="preserve">           </w:t>
      </w:r>
    </w:p>
    <w:p>
      <w:pPr>
        <w:snapToGrid w:val="0"/>
        <w:spacing w:line="580" w:lineRule="atLeast"/>
        <w:ind w:left="1" w:firstLine="2510" w:firstLineChars="1141"/>
        <w:rPr>
          <w:rFonts w:ascii="宋体" w:hAnsi="宋体" w:eastAsia="宋体"/>
          <w:b w:val="0"/>
          <w:color w:val="000000"/>
          <w:sz w:val="22"/>
          <w:u w:val="single"/>
        </w:rPr>
      </w:pPr>
      <w:r>
        <w:rPr>
          <w:rFonts w:hint="eastAsia" w:ascii="宋体" w:hAnsi="宋体" w:eastAsia="宋体"/>
          <w:b w:val="0"/>
          <w:color w:val="000000"/>
          <w:sz w:val="22"/>
        </w:rPr>
        <w:t>电话：</w:t>
      </w:r>
      <w:r>
        <w:rPr>
          <w:rFonts w:hint="eastAsia" w:ascii="宋体" w:hAnsi="宋体" w:eastAsia="宋体"/>
          <w:b w:val="0"/>
          <w:color w:val="000000"/>
          <w:sz w:val="22"/>
          <w:u w:val="single"/>
        </w:rPr>
        <w:t xml:space="preserve">                   </w:t>
      </w:r>
      <w:r>
        <w:rPr>
          <w:rFonts w:hint="eastAsia" w:ascii="宋体" w:hAnsi="宋体" w:eastAsia="宋体"/>
          <w:b w:val="0"/>
          <w:color w:val="000000"/>
          <w:sz w:val="22"/>
        </w:rPr>
        <w:t xml:space="preserve"> 传真：</w:t>
      </w:r>
      <w:r>
        <w:rPr>
          <w:rFonts w:hint="eastAsia" w:ascii="宋体" w:hAnsi="宋体" w:eastAsia="宋体"/>
          <w:b w:val="0"/>
          <w:color w:val="000000"/>
          <w:sz w:val="22"/>
          <w:u w:val="single"/>
        </w:rPr>
        <w:t xml:space="preserve">                      </w:t>
      </w:r>
    </w:p>
    <w:p>
      <w:pPr>
        <w:snapToGrid w:val="0"/>
        <w:spacing w:line="580" w:lineRule="atLeast"/>
        <w:ind w:left="1" w:firstLine="422" w:firstLineChars="192"/>
        <w:rPr>
          <w:rFonts w:ascii="宋体" w:hAnsi="宋体" w:eastAsia="宋体"/>
          <w:b w:val="0"/>
          <w:color w:val="000000"/>
          <w:sz w:val="22"/>
        </w:rPr>
      </w:pPr>
      <w:r>
        <w:rPr>
          <w:rFonts w:hint="eastAsia" w:ascii="宋体" w:hAnsi="宋体" w:eastAsia="宋体"/>
          <w:b w:val="0"/>
          <w:color w:val="000000"/>
          <w:sz w:val="22"/>
        </w:rPr>
        <w:t xml:space="preserve">                   投标供应商：</w:t>
      </w:r>
      <w:r>
        <w:rPr>
          <w:rFonts w:hint="eastAsia" w:ascii="宋体" w:hAnsi="宋体" w:eastAsia="宋体"/>
          <w:b w:val="0"/>
          <w:color w:val="000000"/>
          <w:sz w:val="22"/>
          <w:u w:val="single"/>
        </w:rPr>
        <w:t xml:space="preserve">                                      （盖章）</w:t>
      </w:r>
    </w:p>
    <w:p>
      <w:pPr>
        <w:snapToGrid w:val="0"/>
        <w:spacing w:line="580" w:lineRule="atLeast"/>
        <w:ind w:left="2100" w:right="440"/>
        <w:jc w:val="center"/>
        <w:rPr>
          <w:rFonts w:ascii="宋体" w:hAnsi="宋体" w:eastAsia="宋体"/>
          <w:b w:val="0"/>
          <w:color w:val="000000"/>
          <w:sz w:val="22"/>
        </w:rPr>
      </w:pPr>
      <w:r>
        <w:rPr>
          <w:rFonts w:hint="eastAsia" w:ascii="宋体" w:hAnsi="宋体" w:eastAsia="宋体"/>
          <w:b w:val="0"/>
          <w:color w:val="000000"/>
          <w:sz w:val="22"/>
        </w:rPr>
        <w:t xml:space="preserve">    法定代表人：</w:t>
      </w:r>
      <w:r>
        <w:rPr>
          <w:rFonts w:hint="eastAsia" w:ascii="宋体" w:hAnsi="宋体" w:eastAsia="宋体"/>
          <w:b w:val="0"/>
          <w:color w:val="000000"/>
          <w:sz w:val="22"/>
          <w:u w:val="single"/>
        </w:rPr>
        <w:t xml:space="preserve">                                 （签字或盖章）</w:t>
      </w:r>
    </w:p>
    <w:p>
      <w:pPr>
        <w:pStyle w:val="25"/>
        <w:snapToGrid w:val="0"/>
        <w:spacing w:line="580" w:lineRule="atLeast"/>
        <w:ind w:firstLine="2530" w:firstLineChars="1150"/>
        <w:rPr>
          <w:rFonts w:hint="default" w:ascii="宋体" w:hAnsi="宋体" w:eastAsia="宋体"/>
          <w:b w:val="0"/>
          <w:color w:val="000000"/>
          <w:sz w:val="22"/>
        </w:rPr>
      </w:pPr>
      <w:r>
        <w:rPr>
          <w:rFonts w:ascii="宋体" w:hAnsi="宋体" w:eastAsia="宋体"/>
          <w:b w:val="0"/>
          <w:color w:val="000000"/>
          <w:sz w:val="22"/>
        </w:rPr>
        <w:t>授权委托日期：</w:t>
      </w:r>
      <w:r>
        <w:rPr>
          <w:rFonts w:ascii="宋体" w:hAnsi="宋体" w:eastAsia="宋体"/>
          <w:b w:val="0"/>
          <w:color w:val="000000"/>
          <w:sz w:val="22"/>
          <w:u w:val="single"/>
        </w:rPr>
        <w:t xml:space="preserve">     </w:t>
      </w:r>
      <w:r>
        <w:rPr>
          <w:rFonts w:ascii="宋体" w:hAnsi="宋体" w:eastAsia="宋体"/>
          <w:b w:val="0"/>
          <w:color w:val="000000"/>
          <w:sz w:val="22"/>
        </w:rPr>
        <w:t xml:space="preserve">年 </w:t>
      </w:r>
      <w:r>
        <w:rPr>
          <w:rFonts w:ascii="宋体" w:hAnsi="宋体" w:eastAsia="宋体"/>
          <w:b w:val="0"/>
          <w:color w:val="000000"/>
          <w:sz w:val="22"/>
          <w:u w:val="single"/>
        </w:rPr>
        <w:t xml:space="preserve">    </w:t>
      </w:r>
      <w:r>
        <w:rPr>
          <w:rFonts w:ascii="宋体" w:hAnsi="宋体" w:eastAsia="宋体"/>
          <w:b w:val="0"/>
          <w:color w:val="000000"/>
          <w:sz w:val="22"/>
        </w:rPr>
        <w:t>月</w:t>
      </w:r>
      <w:r>
        <w:rPr>
          <w:rFonts w:ascii="宋体" w:hAnsi="宋体" w:eastAsia="宋体"/>
          <w:b w:val="0"/>
          <w:color w:val="000000"/>
          <w:sz w:val="22"/>
          <w:u w:val="single"/>
        </w:rPr>
        <w:t xml:space="preserve">     </w:t>
      </w:r>
      <w:r>
        <w:rPr>
          <w:rFonts w:ascii="宋体" w:hAnsi="宋体" w:eastAsia="宋体"/>
          <w:b w:val="0"/>
          <w:color w:val="000000"/>
          <w:sz w:val="22"/>
        </w:rPr>
        <w:t>日</w:t>
      </w:r>
    </w:p>
    <w:tbl>
      <w:tblPr>
        <w:tblStyle w:val="41"/>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trPr>
        <w:tc>
          <w:tcPr>
            <w:tcW w:w="6722" w:type="dxa"/>
            <w:noWrap w:val="0"/>
            <w:vAlign w:val="center"/>
          </w:tcPr>
          <w:p>
            <w:pPr>
              <w:pStyle w:val="25"/>
              <w:spacing w:line="440" w:lineRule="atLeast"/>
              <w:jc w:val="center"/>
              <w:rPr>
                <w:rFonts w:hint="default" w:ascii="宋体" w:hAnsi="宋体" w:eastAsia="宋体"/>
                <w:b w:val="0"/>
                <w:color w:val="000000"/>
                <w:sz w:val="36"/>
              </w:rPr>
            </w:pPr>
            <w:r>
              <w:rPr>
                <w:rFonts w:ascii="宋体" w:hAnsi="宋体" w:eastAsia="宋体"/>
                <w:color w:val="000000"/>
                <w:sz w:val="36"/>
              </w:rPr>
              <w:t>粘贴授权代表身份证复印件或影印件</w:t>
            </w:r>
          </w:p>
        </w:tc>
      </w:tr>
    </w:tbl>
    <w:p>
      <w:pPr>
        <w:pStyle w:val="25"/>
        <w:snapToGrid w:val="0"/>
        <w:spacing w:line="580" w:lineRule="atLeast"/>
        <w:jc w:val="center"/>
        <w:rPr>
          <w:rFonts w:hint="default" w:ascii="宋体" w:hAnsi="宋体" w:eastAsia="宋体"/>
          <w:b w:val="0"/>
          <w:color w:val="000000"/>
          <w:sz w:val="22"/>
        </w:rPr>
      </w:pPr>
    </w:p>
    <w:p>
      <w:pPr>
        <w:pStyle w:val="25"/>
        <w:snapToGrid w:val="0"/>
        <w:spacing w:line="580" w:lineRule="atLeast"/>
        <w:rPr>
          <w:rFonts w:hint="default" w:ascii="宋体" w:hAnsi="宋体" w:eastAsia="宋体" w:cs="黑体"/>
          <w:color w:val="000000"/>
          <w:sz w:val="22"/>
          <w:u w:val="thick"/>
        </w:rPr>
      </w:pPr>
    </w:p>
    <w:p>
      <w:pPr>
        <w:pStyle w:val="25"/>
        <w:snapToGrid w:val="0"/>
        <w:spacing w:line="580" w:lineRule="atLeast"/>
        <w:rPr>
          <w:rFonts w:hint="default" w:ascii="宋体" w:hAnsi="宋体" w:eastAsia="宋体" w:cs="黑体"/>
          <w:color w:val="000000"/>
          <w:sz w:val="22"/>
          <w:u w:val="thick"/>
        </w:rPr>
      </w:pPr>
    </w:p>
    <w:p>
      <w:pPr>
        <w:pStyle w:val="25"/>
        <w:snapToGrid w:val="0"/>
        <w:spacing w:line="580" w:lineRule="atLeast"/>
        <w:rPr>
          <w:rFonts w:hint="default" w:ascii="宋体" w:hAnsi="宋体" w:eastAsia="宋体" w:cs="黑体"/>
          <w:color w:val="000000"/>
          <w:sz w:val="22"/>
          <w:u w:val="thick"/>
        </w:rPr>
      </w:pPr>
    </w:p>
    <w:p>
      <w:pPr>
        <w:pStyle w:val="25"/>
        <w:snapToGrid w:val="0"/>
        <w:spacing w:line="360" w:lineRule="exact"/>
        <w:rPr>
          <w:rFonts w:hint="default" w:ascii="宋体" w:hAnsi="宋体" w:eastAsia="宋体"/>
          <w:b w:val="0"/>
          <w:color w:val="000000"/>
          <w:sz w:val="22"/>
        </w:rPr>
      </w:pPr>
    </w:p>
    <w:tbl>
      <w:tblPr>
        <w:tblStyle w:val="41"/>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trPr>
        <w:tc>
          <w:tcPr>
            <w:tcW w:w="6722" w:type="dxa"/>
            <w:noWrap w:val="0"/>
            <w:vAlign w:val="center"/>
          </w:tcPr>
          <w:p>
            <w:pPr>
              <w:pStyle w:val="25"/>
              <w:spacing w:line="440" w:lineRule="atLeast"/>
              <w:jc w:val="center"/>
              <w:rPr>
                <w:rFonts w:hint="default" w:ascii="宋体" w:hAnsi="宋体" w:eastAsia="宋体"/>
                <w:b w:val="0"/>
                <w:color w:val="000000"/>
                <w:sz w:val="36"/>
              </w:rPr>
            </w:pPr>
            <w:r>
              <w:rPr>
                <w:rFonts w:ascii="宋体" w:hAnsi="宋体" w:eastAsia="宋体"/>
                <w:color w:val="000000"/>
                <w:sz w:val="36"/>
              </w:rPr>
              <w:t>粘贴法定代表人身份证复印件或影印件</w:t>
            </w:r>
          </w:p>
        </w:tc>
      </w:tr>
    </w:tbl>
    <w:p>
      <w:pPr>
        <w:pStyle w:val="25"/>
        <w:snapToGrid w:val="0"/>
        <w:spacing w:line="580" w:lineRule="atLeast"/>
        <w:rPr>
          <w:rFonts w:hint="default" w:ascii="宋体" w:hAnsi="宋体" w:eastAsia="宋体" w:cs="黑体"/>
          <w:color w:val="000000"/>
          <w:sz w:val="22"/>
          <w:u w:val="thick"/>
        </w:rPr>
      </w:pPr>
    </w:p>
    <w:p>
      <w:pPr>
        <w:pStyle w:val="25"/>
        <w:snapToGrid w:val="0"/>
        <w:spacing w:line="580" w:lineRule="atLeast"/>
        <w:rPr>
          <w:rFonts w:hint="default" w:ascii="宋体" w:hAnsi="宋体" w:eastAsia="宋体" w:cs="黑体"/>
          <w:color w:val="000000"/>
          <w:sz w:val="22"/>
          <w:u w:val="thick"/>
        </w:rPr>
      </w:pPr>
    </w:p>
    <w:p>
      <w:pPr>
        <w:snapToGrid w:val="0"/>
        <w:spacing w:line="500" w:lineRule="atLeast"/>
        <w:rPr>
          <w:rFonts w:ascii="宋体" w:hAnsi="宋体" w:eastAsia="宋体"/>
          <w:b w:val="0"/>
          <w:color w:val="000000"/>
          <w:sz w:val="30"/>
        </w:rPr>
      </w:pPr>
    </w:p>
    <w:p>
      <w:pPr>
        <w:snapToGrid w:val="0"/>
        <w:spacing w:line="500" w:lineRule="atLeast"/>
        <w:rPr>
          <w:rFonts w:ascii="宋体" w:hAnsi="宋体" w:eastAsia="宋体"/>
          <w:b w:val="0"/>
          <w:color w:val="000000"/>
          <w:sz w:val="30"/>
        </w:rPr>
      </w:pPr>
    </w:p>
    <w:p>
      <w:pPr>
        <w:snapToGrid w:val="0"/>
        <w:spacing w:line="500" w:lineRule="atLeast"/>
        <w:rPr>
          <w:rFonts w:ascii="宋体" w:hAnsi="宋体" w:eastAsia="宋体"/>
          <w:b w:val="0"/>
          <w:color w:val="000000"/>
          <w:sz w:val="30"/>
        </w:rPr>
      </w:pPr>
      <w:r>
        <w:rPr>
          <w:rFonts w:hint="eastAsia" w:ascii="宋体" w:hAnsi="宋体" w:eastAsia="宋体"/>
          <w:b w:val="0"/>
          <w:color w:val="000000"/>
          <w:sz w:val="30"/>
        </w:rPr>
        <w:t>附件八</w:t>
      </w:r>
    </w:p>
    <w:p>
      <w:pPr>
        <w:snapToGrid w:val="0"/>
        <w:spacing w:line="500" w:lineRule="atLeast"/>
        <w:jc w:val="center"/>
        <w:rPr>
          <w:rFonts w:ascii="宋体" w:hAnsi="宋体" w:eastAsia="宋体"/>
          <w:b w:val="0"/>
          <w:color w:val="000000"/>
          <w:sz w:val="36"/>
          <w:lang w:val="zh-CN"/>
        </w:rPr>
      </w:pPr>
      <w:r>
        <w:rPr>
          <w:rFonts w:hint="eastAsia" w:ascii="宋体" w:hAnsi="宋体" w:eastAsia="宋体"/>
          <w:b w:val="0"/>
          <w:color w:val="000000"/>
          <w:sz w:val="36"/>
          <w:lang w:val="zh-CN"/>
        </w:rPr>
        <w:t>法定代表人诚信投标承诺书</w:t>
      </w:r>
    </w:p>
    <w:p>
      <w:pPr>
        <w:spacing w:line="460" w:lineRule="atLeast"/>
        <w:jc w:val="left"/>
        <w:rPr>
          <w:rFonts w:ascii="宋体" w:hAnsi="宋体" w:eastAsia="宋体"/>
          <w:b w:val="0"/>
          <w:color w:val="000000"/>
          <w:sz w:val="22"/>
        </w:rPr>
      </w:pPr>
      <w:r>
        <w:rPr>
          <w:rFonts w:hint="eastAsia" w:ascii="宋体" w:hAnsi="宋体" w:eastAsia="宋体"/>
          <w:b w:val="0"/>
          <w:color w:val="000000"/>
          <w:sz w:val="22"/>
        </w:rPr>
        <w:t>本人以企业法定代表人的身份郑重承诺：</w:t>
      </w:r>
    </w:p>
    <w:p>
      <w:pPr>
        <w:spacing w:line="460" w:lineRule="atLeast"/>
        <w:ind w:firstLine="440" w:firstLineChars="200"/>
        <w:jc w:val="left"/>
        <w:rPr>
          <w:rFonts w:ascii="宋体" w:hAnsi="宋体" w:eastAsia="宋体"/>
          <w:b w:val="0"/>
          <w:color w:val="000000"/>
          <w:sz w:val="22"/>
        </w:rPr>
      </w:pPr>
      <w:r>
        <w:rPr>
          <w:rFonts w:hint="eastAsia" w:ascii="宋体" w:hAnsi="宋体" w:eastAsia="宋体"/>
          <w:b w:val="0"/>
          <w:color w:val="000000"/>
          <w:sz w:val="22"/>
        </w:rPr>
        <w:t>将遵循公开、公平、公正和诚信信用的原则参加</w:t>
      </w:r>
      <w:r>
        <w:rPr>
          <w:rFonts w:hint="eastAsia" w:ascii="宋体" w:hAnsi="宋体" w:eastAsia="宋体" w:cs="Calibri"/>
          <w:b w:val="0"/>
          <w:color w:val="000000"/>
          <w:sz w:val="22"/>
          <w:u w:val="single"/>
        </w:rPr>
        <w:t xml:space="preserve">              项目（项目编号：   ）</w:t>
      </w:r>
      <w:r>
        <w:rPr>
          <w:rFonts w:hint="eastAsia" w:ascii="宋体" w:hAnsi="宋体" w:eastAsia="宋体"/>
          <w:b w:val="0"/>
          <w:color w:val="000000"/>
          <w:sz w:val="22"/>
        </w:rPr>
        <w:t>的投标：</w:t>
      </w:r>
    </w:p>
    <w:p>
      <w:pPr>
        <w:spacing w:line="460" w:lineRule="atLeast"/>
        <w:ind w:firstLine="440" w:firstLineChars="200"/>
        <w:jc w:val="left"/>
        <w:rPr>
          <w:rFonts w:ascii="宋体" w:hAnsi="宋体" w:eastAsia="宋体"/>
          <w:b w:val="0"/>
          <w:color w:val="000000"/>
          <w:sz w:val="22"/>
          <w:u w:val="single"/>
        </w:rPr>
      </w:pPr>
      <w:r>
        <w:rPr>
          <w:rFonts w:hint="eastAsia" w:ascii="宋体" w:hAnsi="宋体" w:eastAsia="宋体"/>
          <w:b w:val="0"/>
          <w:color w:val="000000"/>
          <w:sz w:val="22"/>
        </w:rPr>
        <w:t>一、杜绝以收取管理费等形式的一切挂靠、违法转包、分包行为。</w:t>
      </w:r>
    </w:p>
    <w:p>
      <w:pPr>
        <w:spacing w:line="460" w:lineRule="atLeast"/>
        <w:ind w:firstLine="440" w:firstLineChars="200"/>
        <w:jc w:val="left"/>
        <w:rPr>
          <w:rFonts w:ascii="宋体" w:hAnsi="宋体" w:eastAsia="宋体"/>
          <w:b w:val="0"/>
          <w:color w:val="000000"/>
          <w:sz w:val="22"/>
        </w:rPr>
      </w:pPr>
      <w:r>
        <w:rPr>
          <w:rFonts w:hint="eastAsia" w:ascii="宋体" w:hAnsi="宋体" w:eastAsia="宋体"/>
          <w:b w:val="0"/>
          <w:color w:val="000000"/>
          <w:sz w:val="22"/>
        </w:rPr>
        <w:t>二、投标文件所提供的一切材料都是真实、有效、合法的。</w:t>
      </w:r>
    </w:p>
    <w:p>
      <w:pPr>
        <w:spacing w:line="460" w:lineRule="atLeast"/>
        <w:ind w:firstLine="440" w:firstLineChars="200"/>
        <w:jc w:val="left"/>
        <w:rPr>
          <w:rFonts w:ascii="宋体" w:hAnsi="宋体" w:eastAsia="宋体"/>
          <w:b w:val="0"/>
          <w:color w:val="000000"/>
          <w:sz w:val="22"/>
        </w:rPr>
      </w:pPr>
      <w:r>
        <w:rPr>
          <w:rFonts w:hint="eastAsia" w:ascii="宋体" w:hAnsi="宋体" w:eastAsia="宋体"/>
          <w:b w:val="0"/>
          <w:color w:val="000000"/>
          <w:sz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hAnsi="宋体" w:eastAsia="宋体"/>
          <w:b w:val="0"/>
          <w:color w:val="000000"/>
          <w:sz w:val="22"/>
        </w:rPr>
      </w:pPr>
      <w:r>
        <w:rPr>
          <w:rFonts w:hint="eastAsia" w:ascii="宋体" w:hAnsi="宋体" w:eastAsia="宋体"/>
          <w:b w:val="0"/>
          <w:color w:val="000000"/>
          <w:sz w:val="22"/>
        </w:rPr>
        <w:t>四、不与采购人或采购代理机构串通投标，不损害国家利益，社会公共利益或其他人的合法权益。</w:t>
      </w:r>
    </w:p>
    <w:p>
      <w:pPr>
        <w:spacing w:line="460" w:lineRule="atLeast"/>
        <w:ind w:firstLine="440" w:firstLineChars="200"/>
        <w:jc w:val="left"/>
        <w:rPr>
          <w:rFonts w:ascii="宋体" w:hAnsi="宋体" w:eastAsia="宋体"/>
          <w:b w:val="0"/>
          <w:color w:val="000000"/>
          <w:sz w:val="22"/>
        </w:rPr>
      </w:pPr>
      <w:r>
        <w:rPr>
          <w:rFonts w:hint="eastAsia" w:ascii="宋体" w:hAnsi="宋体" w:eastAsia="宋体"/>
          <w:b w:val="0"/>
          <w:color w:val="000000"/>
          <w:sz w:val="22"/>
        </w:rPr>
        <w:t>五、不向采购人或者评标委员会成员行贿以牟取中标。</w:t>
      </w:r>
    </w:p>
    <w:p>
      <w:pPr>
        <w:spacing w:line="460" w:lineRule="atLeast"/>
        <w:ind w:firstLine="440" w:firstLineChars="200"/>
        <w:jc w:val="left"/>
        <w:rPr>
          <w:rFonts w:ascii="宋体" w:hAnsi="宋体" w:eastAsia="宋体"/>
          <w:b w:val="0"/>
          <w:color w:val="000000"/>
          <w:sz w:val="22"/>
        </w:rPr>
      </w:pPr>
      <w:r>
        <w:rPr>
          <w:rFonts w:hint="eastAsia" w:ascii="宋体" w:hAnsi="宋体" w:eastAsia="宋体"/>
          <w:b w:val="0"/>
          <w:color w:val="000000"/>
          <w:sz w:val="22"/>
        </w:rPr>
        <w:t>六、不以其他人名义投标或者以其他方式弄虚作假，骗取中标。</w:t>
      </w:r>
    </w:p>
    <w:p>
      <w:pPr>
        <w:spacing w:line="460" w:lineRule="atLeast"/>
        <w:ind w:firstLine="440" w:firstLineChars="200"/>
        <w:jc w:val="left"/>
        <w:rPr>
          <w:rFonts w:ascii="宋体" w:hAnsi="宋体" w:eastAsia="宋体"/>
          <w:b w:val="0"/>
          <w:color w:val="000000"/>
          <w:sz w:val="22"/>
        </w:rPr>
      </w:pPr>
      <w:r>
        <w:rPr>
          <w:rFonts w:hint="eastAsia" w:ascii="宋体" w:hAnsi="宋体" w:eastAsia="宋体"/>
          <w:b w:val="0"/>
          <w:color w:val="000000"/>
          <w:sz w:val="22"/>
        </w:rPr>
        <w:t>七、不在开标后进行虚假恶意投诉。</w:t>
      </w:r>
    </w:p>
    <w:p>
      <w:pPr>
        <w:spacing w:line="460" w:lineRule="atLeast"/>
        <w:ind w:firstLine="440" w:firstLineChars="200"/>
        <w:jc w:val="left"/>
        <w:rPr>
          <w:rFonts w:ascii="宋体" w:hAnsi="宋体" w:eastAsia="宋体"/>
          <w:b w:val="0"/>
          <w:color w:val="000000"/>
          <w:sz w:val="22"/>
        </w:rPr>
      </w:pPr>
      <w:r>
        <w:rPr>
          <w:rFonts w:hint="eastAsia" w:ascii="宋体" w:hAnsi="宋体" w:eastAsia="宋体"/>
          <w:b w:val="0"/>
          <w:color w:val="000000"/>
          <w:sz w:val="22"/>
        </w:rPr>
        <w:t>八、我单位没有被政府机关</w:t>
      </w:r>
      <w:r>
        <w:rPr>
          <w:rFonts w:ascii="宋体" w:hAnsi="宋体" w:eastAsia="宋体"/>
          <w:b w:val="0"/>
          <w:color w:val="000000"/>
          <w:sz w:val="22"/>
        </w:rPr>
        <w:t>列入失信被执行人</w:t>
      </w:r>
      <w:r>
        <w:rPr>
          <w:rFonts w:hint="eastAsia" w:ascii="宋体" w:hAnsi="宋体" w:eastAsia="宋体"/>
          <w:b w:val="0"/>
          <w:color w:val="000000"/>
          <w:sz w:val="22"/>
        </w:rPr>
        <w:t>名单</w:t>
      </w:r>
      <w:r>
        <w:rPr>
          <w:rFonts w:ascii="宋体" w:hAnsi="宋体" w:eastAsia="宋体"/>
          <w:b w:val="0"/>
          <w:color w:val="000000"/>
          <w:sz w:val="22"/>
        </w:rPr>
        <w:t>、重大税收违法案件当事人名单、政府采购严重违法失信行为记录名单及其他不符合《中华人民共和国政府采购法》第二十二条规定条件</w:t>
      </w:r>
      <w:r>
        <w:rPr>
          <w:rFonts w:hint="eastAsia" w:ascii="宋体" w:hAnsi="宋体" w:eastAsia="宋体"/>
          <w:b w:val="0"/>
          <w:color w:val="000000"/>
          <w:sz w:val="22"/>
        </w:rPr>
        <w:t>的情形（《中华人民共和国政府采购法实施条例》第十九条规定的情形除外）。</w:t>
      </w:r>
    </w:p>
    <w:p>
      <w:pPr>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hAnsi="宋体" w:eastAsia="宋体"/>
          <w:b w:val="0"/>
          <w:color w:val="000000"/>
          <w:sz w:val="22"/>
        </w:rPr>
      </w:pPr>
    </w:p>
    <w:p>
      <w:pPr>
        <w:spacing w:line="460" w:lineRule="atLeast"/>
        <w:ind w:right="1120"/>
        <w:rPr>
          <w:rFonts w:ascii="宋体" w:hAnsi="宋体" w:eastAsia="宋体"/>
          <w:b w:val="0"/>
          <w:color w:val="000000"/>
          <w:sz w:val="22"/>
        </w:rPr>
      </w:pPr>
      <w:r>
        <w:rPr>
          <w:rFonts w:hint="eastAsia" w:ascii="宋体" w:hAnsi="宋体" w:eastAsia="宋体"/>
          <w:b w:val="0"/>
          <w:color w:val="000000"/>
          <w:sz w:val="22"/>
        </w:rPr>
        <w:t>投标供应商（盖章）：</w:t>
      </w:r>
    </w:p>
    <w:p>
      <w:pPr>
        <w:spacing w:line="460" w:lineRule="atLeast"/>
        <w:ind w:right="1120"/>
        <w:rPr>
          <w:rFonts w:ascii="宋体" w:hAnsi="宋体" w:eastAsia="宋体"/>
          <w:b w:val="0"/>
          <w:color w:val="000000"/>
          <w:sz w:val="22"/>
        </w:rPr>
      </w:pPr>
      <w:r>
        <w:rPr>
          <w:rFonts w:hint="eastAsia" w:ascii="宋体" w:hAnsi="宋体" w:eastAsia="宋体"/>
          <w:b w:val="0"/>
          <w:color w:val="000000"/>
          <w:sz w:val="22"/>
        </w:rPr>
        <w:t>法定代表人（签字或盖章）：</w:t>
      </w:r>
    </w:p>
    <w:p>
      <w:pPr>
        <w:snapToGrid w:val="0"/>
        <w:spacing w:line="500" w:lineRule="atLeast"/>
        <w:rPr>
          <w:rFonts w:ascii="宋体" w:hAnsi="宋体" w:eastAsia="宋体"/>
          <w:b w:val="0"/>
          <w:color w:val="000000"/>
          <w:sz w:val="30"/>
        </w:rPr>
      </w:pPr>
      <w:r>
        <w:rPr>
          <w:rFonts w:hint="eastAsia" w:ascii="宋体" w:hAnsi="宋体" w:eastAsia="宋体"/>
          <w:b w:val="0"/>
          <w:color w:val="000000"/>
          <w:sz w:val="22"/>
        </w:rPr>
        <w:t xml:space="preserve">承诺书签署日期：  </w:t>
      </w:r>
    </w:p>
    <w:p>
      <w:pPr>
        <w:autoSpaceDE w:val="0"/>
        <w:autoSpaceDN w:val="0"/>
        <w:spacing w:line="460" w:lineRule="atLeast"/>
        <w:jc w:val="left"/>
        <w:rPr>
          <w:rFonts w:ascii="宋体" w:hAnsi="宋体" w:eastAsia="宋体"/>
          <w:b w:val="0"/>
          <w:color w:val="000000"/>
          <w:sz w:val="32"/>
        </w:rPr>
      </w:pPr>
    </w:p>
    <w:p>
      <w:pPr>
        <w:autoSpaceDE w:val="0"/>
        <w:autoSpaceDN w:val="0"/>
        <w:spacing w:line="460" w:lineRule="atLeast"/>
        <w:rPr>
          <w:rFonts w:ascii="宋体" w:hAnsi="宋体" w:eastAsia="宋体"/>
          <w:b w:val="0"/>
          <w:color w:val="000000"/>
          <w:sz w:val="30"/>
          <w:lang w:val="zh-CN"/>
        </w:rPr>
      </w:pPr>
    </w:p>
    <w:p>
      <w:pPr>
        <w:autoSpaceDE w:val="0"/>
        <w:autoSpaceDN w:val="0"/>
        <w:spacing w:line="460" w:lineRule="atLeast"/>
        <w:rPr>
          <w:rFonts w:ascii="宋体" w:hAnsi="宋体" w:eastAsia="宋体"/>
          <w:b w:val="0"/>
          <w:color w:val="000000"/>
          <w:sz w:val="30"/>
          <w:lang w:val="zh-CN"/>
        </w:rPr>
      </w:pPr>
    </w:p>
    <w:p>
      <w:pPr>
        <w:autoSpaceDE w:val="0"/>
        <w:autoSpaceDN w:val="0"/>
        <w:spacing w:line="460" w:lineRule="atLeast"/>
        <w:rPr>
          <w:rFonts w:ascii="宋体" w:hAnsi="宋体" w:eastAsia="宋体"/>
          <w:b w:val="0"/>
          <w:color w:val="000000"/>
          <w:sz w:val="30"/>
          <w:lang w:val="zh-CN"/>
        </w:rPr>
      </w:pPr>
    </w:p>
    <w:p>
      <w:pPr>
        <w:autoSpaceDE w:val="0"/>
        <w:autoSpaceDN w:val="0"/>
        <w:spacing w:line="460" w:lineRule="atLeast"/>
        <w:jc w:val="center"/>
        <w:rPr>
          <w:rFonts w:ascii="宋体" w:hAnsi="宋体" w:eastAsia="宋体"/>
          <w:b w:val="0"/>
          <w:color w:val="000000"/>
          <w:sz w:val="36"/>
          <w:lang w:val="zh-CN"/>
        </w:rPr>
      </w:pPr>
    </w:p>
    <w:p>
      <w:pPr>
        <w:autoSpaceDE w:val="0"/>
        <w:autoSpaceDN w:val="0"/>
        <w:spacing w:line="460" w:lineRule="atLeast"/>
        <w:jc w:val="left"/>
        <w:rPr>
          <w:rFonts w:ascii="宋体" w:hAnsi="宋体" w:eastAsia="宋体"/>
          <w:b w:val="0"/>
          <w:color w:val="000000"/>
          <w:sz w:val="32"/>
        </w:rPr>
      </w:pPr>
      <w:r>
        <w:rPr>
          <w:rFonts w:ascii="宋体" w:hAnsi="宋体" w:eastAsia="宋体"/>
          <w:color w:val="000000"/>
        </w:rPr>
        <w:br w:type="page"/>
      </w:r>
      <w:r>
        <w:rPr>
          <w:rFonts w:ascii="宋体" w:hAnsi="宋体" w:eastAsia="宋体"/>
          <w:b w:val="0"/>
          <w:color w:val="000000"/>
          <w:sz w:val="32"/>
        </w:rPr>
        <w:t>附件</w:t>
      </w:r>
      <w:r>
        <w:rPr>
          <w:rFonts w:hint="eastAsia" w:ascii="宋体" w:hAnsi="宋体" w:eastAsia="宋体"/>
          <w:b w:val="0"/>
          <w:color w:val="000000"/>
          <w:sz w:val="32"/>
        </w:rPr>
        <w:t>九</w:t>
      </w:r>
    </w:p>
    <w:p>
      <w:pPr>
        <w:pStyle w:val="25"/>
        <w:spacing w:line="440" w:lineRule="atLeast"/>
        <w:jc w:val="center"/>
        <w:rPr>
          <w:rFonts w:hint="default" w:ascii="宋体" w:hAnsi="宋体" w:eastAsia="宋体" w:cs="黑体"/>
          <w:b w:val="0"/>
          <w:color w:val="000000"/>
          <w:sz w:val="36"/>
        </w:rPr>
      </w:pPr>
      <w:r>
        <w:rPr>
          <w:rFonts w:ascii="宋体" w:hAnsi="宋体" w:eastAsia="宋体" w:cs="黑体"/>
          <w:b w:val="0"/>
          <w:color w:val="000000"/>
          <w:sz w:val="36"/>
        </w:rPr>
        <w:t>投标供应商业绩</w:t>
      </w:r>
    </w:p>
    <w:p>
      <w:pPr>
        <w:pStyle w:val="25"/>
        <w:spacing w:line="440" w:lineRule="atLeast"/>
        <w:jc w:val="center"/>
        <w:rPr>
          <w:rFonts w:hint="default" w:ascii="宋体" w:hAnsi="宋体" w:eastAsia="宋体" w:cs="黑体"/>
          <w:b w:val="0"/>
          <w:color w:val="000000"/>
          <w:sz w:val="36"/>
        </w:rPr>
      </w:pPr>
      <w:r>
        <w:rPr>
          <w:rFonts w:ascii="宋体" w:hAnsi="宋体" w:eastAsia="宋体" w:cs="Courier New"/>
          <w:b w:val="0"/>
          <w:color w:val="000000"/>
          <w:sz w:val="22"/>
        </w:rPr>
        <w:t>（如有则提供）</w:t>
      </w:r>
    </w:p>
    <w:tbl>
      <w:tblPr>
        <w:tblStyle w:val="41"/>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snapToGrid w:val="0"/>
              <w:spacing w:line="440" w:lineRule="atLeast"/>
              <w:jc w:val="center"/>
              <w:rPr>
                <w:rFonts w:hint="default" w:ascii="宋体" w:hAnsi="宋体" w:eastAsia="宋体"/>
                <w:b w:val="0"/>
                <w:color w:val="000000"/>
                <w:sz w:val="22"/>
              </w:rPr>
            </w:pPr>
            <w:r>
              <w:rPr>
                <w:rFonts w:ascii="宋体" w:hAnsi="宋体" w:eastAsia="宋体"/>
                <w:b w:val="0"/>
                <w:color w:val="000000"/>
                <w:sz w:val="22"/>
              </w:rPr>
              <w:t>序号</w:t>
            </w:r>
          </w:p>
        </w:tc>
        <w:tc>
          <w:tcPr>
            <w:tcW w:w="1266" w:type="dxa"/>
            <w:tcBorders>
              <w:right w:val="single" w:color="000000" w:sz="4" w:space="0"/>
            </w:tcBorders>
            <w:noWrap w:val="0"/>
            <w:vAlign w:val="top"/>
          </w:tcPr>
          <w:p>
            <w:pPr>
              <w:pStyle w:val="25"/>
              <w:snapToGrid w:val="0"/>
              <w:spacing w:line="440" w:lineRule="atLeast"/>
              <w:jc w:val="center"/>
              <w:rPr>
                <w:rFonts w:hint="default" w:ascii="宋体" w:hAnsi="宋体" w:eastAsia="宋体"/>
                <w:b w:val="0"/>
                <w:color w:val="000000"/>
                <w:sz w:val="22"/>
              </w:rPr>
            </w:pPr>
            <w:r>
              <w:rPr>
                <w:rFonts w:ascii="宋体" w:hAnsi="宋体" w:eastAsia="宋体"/>
                <w:b w:val="0"/>
                <w:color w:val="000000"/>
                <w:sz w:val="22"/>
              </w:rPr>
              <w:t>签订时间</w:t>
            </w:r>
          </w:p>
        </w:tc>
        <w:tc>
          <w:tcPr>
            <w:tcW w:w="1477" w:type="dxa"/>
            <w:tcBorders>
              <w:left w:val="single" w:color="000000" w:sz="4" w:space="0"/>
            </w:tcBorders>
            <w:noWrap w:val="0"/>
            <w:vAlign w:val="top"/>
          </w:tcPr>
          <w:p>
            <w:pPr>
              <w:pStyle w:val="25"/>
              <w:snapToGrid w:val="0"/>
              <w:spacing w:line="440" w:lineRule="atLeast"/>
              <w:jc w:val="center"/>
              <w:rPr>
                <w:rFonts w:hint="default" w:ascii="宋体" w:hAnsi="宋体" w:eastAsia="宋体"/>
                <w:b w:val="0"/>
                <w:color w:val="000000"/>
                <w:sz w:val="22"/>
              </w:rPr>
            </w:pPr>
            <w:r>
              <w:rPr>
                <w:rFonts w:ascii="宋体" w:hAnsi="宋体" w:eastAsia="宋体"/>
                <w:b w:val="0"/>
                <w:color w:val="000000"/>
                <w:sz w:val="22"/>
              </w:rPr>
              <w:t>用户名称</w:t>
            </w:r>
          </w:p>
        </w:tc>
        <w:tc>
          <w:tcPr>
            <w:tcW w:w="1491" w:type="dxa"/>
            <w:noWrap w:val="0"/>
            <w:vAlign w:val="top"/>
          </w:tcPr>
          <w:p>
            <w:pPr>
              <w:pStyle w:val="25"/>
              <w:snapToGrid w:val="0"/>
              <w:spacing w:line="440" w:lineRule="atLeast"/>
              <w:jc w:val="center"/>
              <w:rPr>
                <w:rFonts w:hint="default" w:ascii="宋体" w:hAnsi="宋体" w:eastAsia="宋体"/>
                <w:b w:val="0"/>
                <w:color w:val="000000"/>
                <w:sz w:val="22"/>
              </w:rPr>
            </w:pPr>
            <w:r>
              <w:rPr>
                <w:rFonts w:ascii="宋体" w:hAnsi="宋体" w:eastAsia="宋体"/>
                <w:b w:val="0"/>
                <w:color w:val="000000"/>
                <w:sz w:val="22"/>
              </w:rPr>
              <w:t>合同金额</w:t>
            </w:r>
          </w:p>
        </w:tc>
        <w:tc>
          <w:tcPr>
            <w:tcW w:w="1555" w:type="dxa"/>
            <w:noWrap w:val="0"/>
            <w:vAlign w:val="top"/>
          </w:tcPr>
          <w:p>
            <w:pPr>
              <w:pStyle w:val="25"/>
              <w:snapToGrid w:val="0"/>
              <w:spacing w:line="440" w:lineRule="atLeast"/>
              <w:jc w:val="center"/>
              <w:rPr>
                <w:rFonts w:hint="default" w:ascii="宋体" w:hAnsi="宋体" w:eastAsia="宋体"/>
                <w:b w:val="0"/>
                <w:color w:val="000000"/>
                <w:sz w:val="22"/>
              </w:rPr>
            </w:pPr>
            <w:r>
              <w:rPr>
                <w:rFonts w:ascii="宋体" w:hAnsi="宋体" w:eastAsia="宋体"/>
                <w:b w:val="0"/>
                <w:color w:val="000000"/>
                <w:sz w:val="22"/>
              </w:rPr>
              <w:t>联系人</w:t>
            </w:r>
          </w:p>
        </w:tc>
        <w:tc>
          <w:tcPr>
            <w:tcW w:w="1556" w:type="dxa"/>
            <w:noWrap w:val="0"/>
            <w:vAlign w:val="top"/>
          </w:tcPr>
          <w:p>
            <w:pPr>
              <w:pStyle w:val="25"/>
              <w:snapToGrid w:val="0"/>
              <w:spacing w:line="440" w:lineRule="atLeast"/>
              <w:jc w:val="center"/>
              <w:rPr>
                <w:rFonts w:hint="default" w:ascii="宋体" w:hAnsi="宋体" w:eastAsia="宋体"/>
                <w:b w:val="0"/>
                <w:color w:val="000000"/>
                <w:sz w:val="22"/>
              </w:rPr>
            </w:pPr>
            <w:r>
              <w:rPr>
                <w:rFonts w:ascii="宋体" w:hAnsi="宋体" w:eastAsia="宋体"/>
                <w:b w:val="0"/>
                <w:color w:val="000000"/>
                <w:sz w:val="22"/>
              </w:rPr>
              <w:t>联系电话</w:t>
            </w:r>
          </w:p>
        </w:tc>
        <w:tc>
          <w:tcPr>
            <w:tcW w:w="1556" w:type="dxa"/>
            <w:noWrap w:val="0"/>
            <w:vAlign w:val="top"/>
          </w:tcPr>
          <w:p>
            <w:pPr>
              <w:pStyle w:val="25"/>
              <w:snapToGrid w:val="0"/>
              <w:spacing w:line="440" w:lineRule="atLeast"/>
              <w:jc w:val="center"/>
              <w:rPr>
                <w:rFonts w:hint="default" w:ascii="宋体" w:hAnsi="宋体" w:eastAsia="宋体"/>
                <w:b w:val="0"/>
                <w:color w:val="000000"/>
                <w:sz w:val="22"/>
              </w:rPr>
            </w:pPr>
            <w:r>
              <w:rPr>
                <w:rFonts w:ascii="宋体" w:hAnsi="宋体" w:eastAsia="宋体"/>
                <w:b w:val="0"/>
                <w:color w:val="000000"/>
                <w:sz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snapToGrid w:val="0"/>
              <w:spacing w:line="440" w:lineRule="atLeast"/>
              <w:rPr>
                <w:rFonts w:hint="default" w:ascii="宋体" w:hAnsi="宋体" w:eastAsia="宋体"/>
                <w:color w:val="000000"/>
                <w:sz w:val="22"/>
              </w:rPr>
            </w:pPr>
          </w:p>
        </w:tc>
        <w:tc>
          <w:tcPr>
            <w:tcW w:w="1266" w:type="dxa"/>
            <w:tcBorders>
              <w:righ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77" w:type="dxa"/>
            <w:tcBorders>
              <w:lef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91" w:type="dxa"/>
            <w:noWrap w:val="0"/>
            <w:vAlign w:val="top"/>
          </w:tcPr>
          <w:p>
            <w:pPr>
              <w:pStyle w:val="25"/>
              <w:snapToGrid w:val="0"/>
              <w:spacing w:line="440" w:lineRule="atLeast"/>
              <w:rPr>
                <w:rFonts w:hint="default" w:ascii="宋体" w:hAnsi="宋体" w:eastAsia="宋体"/>
                <w:color w:val="000000"/>
                <w:sz w:val="22"/>
              </w:rPr>
            </w:pPr>
          </w:p>
        </w:tc>
        <w:tc>
          <w:tcPr>
            <w:tcW w:w="1555"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06" w:hRule="atLeast"/>
        </w:trPr>
        <w:tc>
          <w:tcPr>
            <w:tcW w:w="758" w:type="dxa"/>
            <w:noWrap w:val="0"/>
            <w:vAlign w:val="top"/>
          </w:tcPr>
          <w:p>
            <w:pPr>
              <w:pStyle w:val="25"/>
              <w:snapToGrid w:val="0"/>
              <w:spacing w:line="440" w:lineRule="atLeast"/>
              <w:rPr>
                <w:rFonts w:hint="default" w:ascii="宋体" w:hAnsi="宋体" w:eastAsia="宋体"/>
                <w:color w:val="000000"/>
                <w:sz w:val="22"/>
              </w:rPr>
            </w:pPr>
          </w:p>
        </w:tc>
        <w:tc>
          <w:tcPr>
            <w:tcW w:w="1266" w:type="dxa"/>
            <w:tcBorders>
              <w:righ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77" w:type="dxa"/>
            <w:tcBorders>
              <w:lef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91" w:type="dxa"/>
            <w:noWrap w:val="0"/>
            <w:vAlign w:val="top"/>
          </w:tcPr>
          <w:p>
            <w:pPr>
              <w:pStyle w:val="25"/>
              <w:snapToGrid w:val="0"/>
              <w:spacing w:line="440" w:lineRule="atLeast"/>
              <w:rPr>
                <w:rFonts w:hint="default" w:ascii="宋体" w:hAnsi="宋体" w:eastAsia="宋体"/>
                <w:color w:val="000000"/>
                <w:sz w:val="22"/>
              </w:rPr>
            </w:pPr>
          </w:p>
        </w:tc>
        <w:tc>
          <w:tcPr>
            <w:tcW w:w="1555"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snapToGrid w:val="0"/>
              <w:spacing w:line="440" w:lineRule="atLeast"/>
              <w:rPr>
                <w:rFonts w:hint="default" w:ascii="宋体" w:hAnsi="宋体" w:eastAsia="宋体"/>
                <w:color w:val="000000"/>
                <w:sz w:val="22"/>
              </w:rPr>
            </w:pPr>
          </w:p>
        </w:tc>
        <w:tc>
          <w:tcPr>
            <w:tcW w:w="1266" w:type="dxa"/>
            <w:tcBorders>
              <w:righ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77" w:type="dxa"/>
            <w:tcBorders>
              <w:lef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91" w:type="dxa"/>
            <w:noWrap w:val="0"/>
            <w:vAlign w:val="top"/>
          </w:tcPr>
          <w:p>
            <w:pPr>
              <w:pStyle w:val="25"/>
              <w:snapToGrid w:val="0"/>
              <w:spacing w:line="440" w:lineRule="atLeast"/>
              <w:rPr>
                <w:rFonts w:hint="default" w:ascii="宋体" w:hAnsi="宋体" w:eastAsia="宋体"/>
                <w:color w:val="000000"/>
                <w:sz w:val="22"/>
              </w:rPr>
            </w:pPr>
          </w:p>
        </w:tc>
        <w:tc>
          <w:tcPr>
            <w:tcW w:w="1555"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snapToGrid w:val="0"/>
              <w:spacing w:line="440" w:lineRule="atLeast"/>
              <w:rPr>
                <w:rFonts w:hint="default" w:ascii="宋体" w:hAnsi="宋体" w:eastAsia="宋体"/>
                <w:color w:val="000000"/>
                <w:sz w:val="22"/>
              </w:rPr>
            </w:pPr>
          </w:p>
        </w:tc>
        <w:tc>
          <w:tcPr>
            <w:tcW w:w="1266" w:type="dxa"/>
            <w:tcBorders>
              <w:righ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77" w:type="dxa"/>
            <w:tcBorders>
              <w:lef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91" w:type="dxa"/>
            <w:noWrap w:val="0"/>
            <w:vAlign w:val="top"/>
          </w:tcPr>
          <w:p>
            <w:pPr>
              <w:pStyle w:val="25"/>
              <w:snapToGrid w:val="0"/>
              <w:spacing w:line="440" w:lineRule="atLeast"/>
              <w:rPr>
                <w:rFonts w:hint="default" w:ascii="宋体" w:hAnsi="宋体" w:eastAsia="宋体"/>
                <w:color w:val="000000"/>
                <w:sz w:val="22"/>
              </w:rPr>
            </w:pPr>
          </w:p>
        </w:tc>
        <w:tc>
          <w:tcPr>
            <w:tcW w:w="1555"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06" w:hRule="atLeast"/>
        </w:trPr>
        <w:tc>
          <w:tcPr>
            <w:tcW w:w="758" w:type="dxa"/>
            <w:noWrap w:val="0"/>
            <w:vAlign w:val="top"/>
          </w:tcPr>
          <w:p>
            <w:pPr>
              <w:pStyle w:val="25"/>
              <w:snapToGrid w:val="0"/>
              <w:spacing w:line="440" w:lineRule="atLeast"/>
              <w:rPr>
                <w:rFonts w:hint="default" w:ascii="宋体" w:hAnsi="宋体" w:eastAsia="宋体"/>
                <w:color w:val="000000"/>
                <w:sz w:val="22"/>
              </w:rPr>
            </w:pPr>
          </w:p>
        </w:tc>
        <w:tc>
          <w:tcPr>
            <w:tcW w:w="1266" w:type="dxa"/>
            <w:tcBorders>
              <w:righ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77" w:type="dxa"/>
            <w:tcBorders>
              <w:lef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91" w:type="dxa"/>
            <w:noWrap w:val="0"/>
            <w:vAlign w:val="top"/>
          </w:tcPr>
          <w:p>
            <w:pPr>
              <w:pStyle w:val="25"/>
              <w:snapToGrid w:val="0"/>
              <w:spacing w:line="440" w:lineRule="atLeast"/>
              <w:rPr>
                <w:rFonts w:hint="default" w:ascii="宋体" w:hAnsi="宋体" w:eastAsia="宋体"/>
                <w:color w:val="000000"/>
                <w:sz w:val="22"/>
              </w:rPr>
            </w:pPr>
          </w:p>
        </w:tc>
        <w:tc>
          <w:tcPr>
            <w:tcW w:w="1555"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snapToGrid w:val="0"/>
              <w:spacing w:line="440" w:lineRule="atLeast"/>
              <w:rPr>
                <w:rFonts w:hint="default" w:ascii="宋体" w:hAnsi="宋体" w:eastAsia="宋体"/>
                <w:color w:val="000000"/>
                <w:sz w:val="22"/>
              </w:rPr>
            </w:pPr>
          </w:p>
        </w:tc>
        <w:tc>
          <w:tcPr>
            <w:tcW w:w="1266" w:type="dxa"/>
            <w:tcBorders>
              <w:righ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77" w:type="dxa"/>
            <w:tcBorders>
              <w:lef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91" w:type="dxa"/>
            <w:noWrap w:val="0"/>
            <w:vAlign w:val="top"/>
          </w:tcPr>
          <w:p>
            <w:pPr>
              <w:pStyle w:val="25"/>
              <w:snapToGrid w:val="0"/>
              <w:spacing w:line="440" w:lineRule="atLeast"/>
              <w:rPr>
                <w:rFonts w:hint="default" w:ascii="宋体" w:hAnsi="宋体" w:eastAsia="宋体"/>
                <w:color w:val="000000"/>
                <w:sz w:val="22"/>
              </w:rPr>
            </w:pPr>
          </w:p>
        </w:tc>
        <w:tc>
          <w:tcPr>
            <w:tcW w:w="1555"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snapToGrid w:val="0"/>
              <w:spacing w:line="440" w:lineRule="atLeast"/>
              <w:rPr>
                <w:rFonts w:hint="default" w:ascii="宋体" w:hAnsi="宋体" w:eastAsia="宋体"/>
                <w:color w:val="000000"/>
                <w:sz w:val="22"/>
              </w:rPr>
            </w:pPr>
          </w:p>
        </w:tc>
        <w:tc>
          <w:tcPr>
            <w:tcW w:w="1266" w:type="dxa"/>
            <w:tcBorders>
              <w:righ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77" w:type="dxa"/>
            <w:tcBorders>
              <w:lef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91" w:type="dxa"/>
            <w:noWrap w:val="0"/>
            <w:vAlign w:val="top"/>
          </w:tcPr>
          <w:p>
            <w:pPr>
              <w:pStyle w:val="25"/>
              <w:snapToGrid w:val="0"/>
              <w:spacing w:line="440" w:lineRule="atLeast"/>
              <w:rPr>
                <w:rFonts w:hint="default" w:ascii="宋体" w:hAnsi="宋体" w:eastAsia="宋体"/>
                <w:color w:val="000000"/>
                <w:sz w:val="22"/>
              </w:rPr>
            </w:pPr>
          </w:p>
        </w:tc>
        <w:tc>
          <w:tcPr>
            <w:tcW w:w="1555"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06" w:hRule="atLeast"/>
        </w:trPr>
        <w:tc>
          <w:tcPr>
            <w:tcW w:w="758" w:type="dxa"/>
            <w:noWrap w:val="0"/>
            <w:vAlign w:val="top"/>
          </w:tcPr>
          <w:p>
            <w:pPr>
              <w:pStyle w:val="25"/>
              <w:snapToGrid w:val="0"/>
              <w:spacing w:line="440" w:lineRule="atLeast"/>
              <w:rPr>
                <w:rFonts w:hint="default" w:ascii="宋体" w:hAnsi="宋体" w:eastAsia="宋体"/>
                <w:color w:val="000000"/>
                <w:sz w:val="22"/>
              </w:rPr>
            </w:pPr>
          </w:p>
        </w:tc>
        <w:tc>
          <w:tcPr>
            <w:tcW w:w="1266" w:type="dxa"/>
            <w:tcBorders>
              <w:righ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77" w:type="dxa"/>
            <w:tcBorders>
              <w:lef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91" w:type="dxa"/>
            <w:noWrap w:val="0"/>
            <w:vAlign w:val="top"/>
          </w:tcPr>
          <w:p>
            <w:pPr>
              <w:pStyle w:val="25"/>
              <w:snapToGrid w:val="0"/>
              <w:spacing w:line="440" w:lineRule="atLeast"/>
              <w:rPr>
                <w:rFonts w:hint="default" w:ascii="宋体" w:hAnsi="宋体" w:eastAsia="宋体"/>
                <w:color w:val="000000"/>
                <w:sz w:val="22"/>
              </w:rPr>
            </w:pPr>
          </w:p>
        </w:tc>
        <w:tc>
          <w:tcPr>
            <w:tcW w:w="1555"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snapToGrid w:val="0"/>
              <w:spacing w:line="440" w:lineRule="atLeast"/>
              <w:rPr>
                <w:rFonts w:hint="default" w:ascii="宋体" w:hAnsi="宋体" w:eastAsia="宋体"/>
                <w:color w:val="000000"/>
                <w:sz w:val="22"/>
              </w:rPr>
            </w:pPr>
          </w:p>
        </w:tc>
        <w:tc>
          <w:tcPr>
            <w:tcW w:w="1266" w:type="dxa"/>
            <w:tcBorders>
              <w:righ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77" w:type="dxa"/>
            <w:tcBorders>
              <w:lef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91" w:type="dxa"/>
            <w:noWrap w:val="0"/>
            <w:vAlign w:val="top"/>
          </w:tcPr>
          <w:p>
            <w:pPr>
              <w:pStyle w:val="25"/>
              <w:snapToGrid w:val="0"/>
              <w:spacing w:line="440" w:lineRule="atLeast"/>
              <w:rPr>
                <w:rFonts w:hint="default" w:ascii="宋体" w:hAnsi="宋体" w:eastAsia="宋体"/>
                <w:color w:val="000000"/>
                <w:sz w:val="22"/>
              </w:rPr>
            </w:pPr>
          </w:p>
        </w:tc>
        <w:tc>
          <w:tcPr>
            <w:tcW w:w="1555"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snapToGrid w:val="0"/>
              <w:spacing w:line="440" w:lineRule="atLeast"/>
              <w:rPr>
                <w:rFonts w:hint="default" w:ascii="宋体" w:hAnsi="宋体" w:eastAsia="宋体"/>
                <w:color w:val="000000"/>
                <w:sz w:val="22"/>
              </w:rPr>
            </w:pPr>
          </w:p>
        </w:tc>
        <w:tc>
          <w:tcPr>
            <w:tcW w:w="1266" w:type="dxa"/>
            <w:tcBorders>
              <w:righ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77" w:type="dxa"/>
            <w:tcBorders>
              <w:lef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91" w:type="dxa"/>
            <w:noWrap w:val="0"/>
            <w:vAlign w:val="top"/>
          </w:tcPr>
          <w:p>
            <w:pPr>
              <w:pStyle w:val="25"/>
              <w:snapToGrid w:val="0"/>
              <w:spacing w:line="440" w:lineRule="atLeast"/>
              <w:rPr>
                <w:rFonts w:hint="default" w:ascii="宋体" w:hAnsi="宋体" w:eastAsia="宋体"/>
                <w:color w:val="000000"/>
                <w:sz w:val="22"/>
              </w:rPr>
            </w:pPr>
          </w:p>
        </w:tc>
        <w:tc>
          <w:tcPr>
            <w:tcW w:w="1555"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06" w:hRule="atLeast"/>
        </w:trPr>
        <w:tc>
          <w:tcPr>
            <w:tcW w:w="758" w:type="dxa"/>
            <w:noWrap w:val="0"/>
            <w:vAlign w:val="top"/>
          </w:tcPr>
          <w:p>
            <w:pPr>
              <w:pStyle w:val="25"/>
              <w:snapToGrid w:val="0"/>
              <w:spacing w:line="440" w:lineRule="atLeast"/>
              <w:rPr>
                <w:rFonts w:hint="default" w:ascii="宋体" w:hAnsi="宋体" w:eastAsia="宋体"/>
                <w:color w:val="000000"/>
                <w:sz w:val="22"/>
              </w:rPr>
            </w:pPr>
          </w:p>
        </w:tc>
        <w:tc>
          <w:tcPr>
            <w:tcW w:w="1266" w:type="dxa"/>
            <w:tcBorders>
              <w:righ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77" w:type="dxa"/>
            <w:tcBorders>
              <w:left w:val="single" w:color="000000" w:sz="4" w:space="0"/>
            </w:tcBorders>
            <w:noWrap w:val="0"/>
            <w:vAlign w:val="top"/>
          </w:tcPr>
          <w:p>
            <w:pPr>
              <w:pStyle w:val="25"/>
              <w:snapToGrid w:val="0"/>
              <w:spacing w:line="440" w:lineRule="atLeast"/>
              <w:rPr>
                <w:rFonts w:hint="default" w:ascii="宋体" w:hAnsi="宋体" w:eastAsia="宋体"/>
                <w:color w:val="000000"/>
                <w:sz w:val="22"/>
              </w:rPr>
            </w:pPr>
          </w:p>
        </w:tc>
        <w:tc>
          <w:tcPr>
            <w:tcW w:w="1491" w:type="dxa"/>
            <w:noWrap w:val="0"/>
            <w:vAlign w:val="top"/>
          </w:tcPr>
          <w:p>
            <w:pPr>
              <w:pStyle w:val="25"/>
              <w:snapToGrid w:val="0"/>
              <w:spacing w:line="440" w:lineRule="atLeast"/>
              <w:rPr>
                <w:rFonts w:hint="default" w:ascii="宋体" w:hAnsi="宋体" w:eastAsia="宋体"/>
                <w:color w:val="000000"/>
                <w:sz w:val="22"/>
              </w:rPr>
            </w:pPr>
          </w:p>
        </w:tc>
        <w:tc>
          <w:tcPr>
            <w:tcW w:w="1555"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c>
          <w:tcPr>
            <w:tcW w:w="1556" w:type="dxa"/>
            <w:noWrap w:val="0"/>
            <w:vAlign w:val="top"/>
          </w:tcPr>
          <w:p>
            <w:pPr>
              <w:pStyle w:val="25"/>
              <w:snapToGrid w:val="0"/>
              <w:spacing w:line="440" w:lineRule="atLeast"/>
              <w:rPr>
                <w:rFonts w:hint="default" w:ascii="宋体" w:hAnsi="宋体" w:eastAsia="宋体"/>
                <w:color w:val="000000"/>
                <w:sz w:val="22"/>
              </w:rPr>
            </w:pPr>
          </w:p>
        </w:tc>
      </w:tr>
    </w:tbl>
    <w:p>
      <w:pPr>
        <w:pStyle w:val="25"/>
        <w:spacing w:line="440" w:lineRule="atLeast"/>
        <w:rPr>
          <w:rFonts w:hint="default" w:ascii="宋体" w:hAnsi="宋体" w:eastAsia="宋体" w:cs="黑体"/>
          <w:b w:val="0"/>
          <w:color w:val="000000"/>
          <w:sz w:val="36"/>
        </w:rPr>
      </w:pPr>
      <w:r>
        <w:rPr>
          <w:rFonts w:ascii="宋体" w:hAnsi="宋体" w:eastAsia="宋体"/>
          <w:color w:val="000000"/>
          <w:sz w:val="22"/>
        </w:rPr>
        <w:t>说明：表后提供相关材料扫描件，不允许只提供此表。</w:t>
      </w:r>
    </w:p>
    <w:p>
      <w:pPr>
        <w:pStyle w:val="25"/>
        <w:spacing w:line="440" w:lineRule="atLeast"/>
        <w:jc w:val="center"/>
        <w:rPr>
          <w:rFonts w:hint="default" w:ascii="宋体" w:hAnsi="宋体" w:eastAsia="宋体" w:cs="黑体"/>
          <w:b w:val="0"/>
          <w:color w:val="000000"/>
          <w:sz w:val="36"/>
        </w:rPr>
      </w:pPr>
    </w:p>
    <w:p>
      <w:pPr>
        <w:pStyle w:val="25"/>
        <w:spacing w:line="440" w:lineRule="atLeast"/>
        <w:jc w:val="center"/>
        <w:rPr>
          <w:rFonts w:hint="default" w:ascii="宋体" w:hAnsi="宋体" w:eastAsia="宋体" w:cs="黑体"/>
          <w:b w:val="0"/>
          <w:color w:val="000000"/>
          <w:sz w:val="36"/>
        </w:rPr>
      </w:pPr>
    </w:p>
    <w:p>
      <w:pPr>
        <w:pStyle w:val="25"/>
        <w:spacing w:line="440" w:lineRule="atLeast"/>
        <w:jc w:val="center"/>
        <w:rPr>
          <w:rFonts w:hint="default" w:ascii="宋体" w:hAnsi="宋体" w:eastAsia="宋体" w:cs="黑体"/>
          <w:b w:val="0"/>
          <w:color w:val="000000"/>
          <w:sz w:val="36"/>
        </w:rPr>
      </w:pPr>
    </w:p>
    <w:p>
      <w:pPr>
        <w:pStyle w:val="25"/>
        <w:spacing w:line="440" w:lineRule="atLeast"/>
        <w:jc w:val="center"/>
        <w:rPr>
          <w:rFonts w:hint="default" w:ascii="宋体" w:hAnsi="宋体" w:eastAsia="宋体" w:cs="黑体"/>
          <w:b w:val="0"/>
          <w:color w:val="000000"/>
          <w:sz w:val="36"/>
        </w:rPr>
      </w:pPr>
    </w:p>
    <w:p>
      <w:pPr>
        <w:pStyle w:val="25"/>
        <w:spacing w:line="440" w:lineRule="atLeast"/>
        <w:jc w:val="center"/>
        <w:rPr>
          <w:rFonts w:hint="default" w:ascii="宋体" w:hAnsi="宋体" w:eastAsia="宋体" w:cs="黑体"/>
          <w:b w:val="0"/>
          <w:color w:val="000000"/>
          <w:sz w:val="36"/>
        </w:rPr>
      </w:pPr>
    </w:p>
    <w:p>
      <w:pPr>
        <w:pStyle w:val="25"/>
        <w:spacing w:line="440" w:lineRule="atLeast"/>
        <w:jc w:val="center"/>
        <w:rPr>
          <w:rFonts w:hint="default" w:ascii="宋体" w:hAnsi="宋体" w:eastAsia="宋体" w:cs="黑体"/>
          <w:b w:val="0"/>
          <w:color w:val="000000"/>
          <w:sz w:val="36"/>
        </w:rPr>
      </w:pPr>
    </w:p>
    <w:p>
      <w:pPr>
        <w:pStyle w:val="25"/>
        <w:spacing w:line="440" w:lineRule="atLeast"/>
        <w:jc w:val="center"/>
        <w:rPr>
          <w:rFonts w:hint="default" w:ascii="宋体" w:hAnsi="宋体" w:eastAsia="宋体" w:cs="黑体"/>
          <w:b w:val="0"/>
          <w:color w:val="000000"/>
          <w:sz w:val="36"/>
        </w:rPr>
      </w:pPr>
    </w:p>
    <w:p>
      <w:pPr>
        <w:pStyle w:val="25"/>
        <w:spacing w:line="440" w:lineRule="atLeast"/>
        <w:jc w:val="center"/>
        <w:rPr>
          <w:rFonts w:hint="default" w:ascii="宋体" w:hAnsi="宋体" w:eastAsia="宋体" w:cs="黑体"/>
          <w:b w:val="0"/>
          <w:color w:val="000000"/>
          <w:sz w:val="36"/>
        </w:rPr>
      </w:pPr>
    </w:p>
    <w:p>
      <w:pPr>
        <w:pStyle w:val="25"/>
        <w:spacing w:line="440" w:lineRule="atLeast"/>
        <w:jc w:val="center"/>
        <w:rPr>
          <w:rFonts w:hint="default" w:ascii="宋体" w:hAnsi="宋体" w:eastAsia="宋体" w:cs="黑体"/>
          <w:b w:val="0"/>
          <w:color w:val="000000"/>
          <w:sz w:val="36"/>
        </w:rPr>
      </w:pPr>
    </w:p>
    <w:p>
      <w:pPr>
        <w:pStyle w:val="25"/>
        <w:spacing w:line="460" w:lineRule="atLeast"/>
        <w:rPr>
          <w:rFonts w:hint="default" w:ascii="宋体" w:hAnsi="宋体" w:eastAsia="宋体"/>
          <w:b w:val="0"/>
          <w:color w:val="000000"/>
          <w:sz w:val="36"/>
        </w:rPr>
      </w:pPr>
      <w:r>
        <w:rPr>
          <w:rFonts w:ascii="宋体" w:hAnsi="宋体" w:eastAsia="宋体"/>
          <w:color w:val="000000"/>
        </w:rPr>
        <w:br w:type="page"/>
      </w:r>
      <w:r>
        <w:rPr>
          <w:rFonts w:ascii="宋体" w:hAnsi="宋体" w:eastAsia="宋体"/>
          <w:b w:val="0"/>
          <w:color w:val="000000"/>
          <w:sz w:val="32"/>
        </w:rPr>
        <w:t>附件十</w:t>
      </w:r>
    </w:p>
    <w:p>
      <w:pPr>
        <w:autoSpaceDE w:val="0"/>
        <w:autoSpaceDN w:val="0"/>
        <w:spacing w:line="460" w:lineRule="atLeast"/>
        <w:jc w:val="center"/>
        <w:rPr>
          <w:rFonts w:ascii="宋体" w:hAnsi="宋体" w:eastAsia="宋体"/>
          <w:b w:val="0"/>
          <w:color w:val="000000"/>
          <w:sz w:val="36"/>
          <w:lang w:val="zh-CN"/>
        </w:rPr>
      </w:pPr>
      <w:r>
        <w:rPr>
          <w:rFonts w:hint="eastAsia" w:ascii="宋体" w:hAnsi="宋体" w:eastAsia="宋体"/>
          <w:b w:val="0"/>
          <w:color w:val="000000"/>
          <w:sz w:val="36"/>
          <w:lang w:val="zh-CN"/>
        </w:rPr>
        <w:t>产品数量、配置及主要技术参数（按标项提供）</w:t>
      </w:r>
    </w:p>
    <w:tbl>
      <w:tblPr>
        <w:tblStyle w:val="41"/>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843"/>
        <w:gridCol w:w="1134"/>
        <w:gridCol w:w="1134"/>
        <w:gridCol w:w="1134"/>
        <w:gridCol w:w="1559"/>
        <w:gridCol w:w="1276"/>
        <w:gridCol w:w="113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b w:val="0"/>
                <w:color w:val="000000"/>
                <w:spacing w:val="20"/>
                <w:sz w:val="22"/>
              </w:rPr>
            </w:pPr>
            <w:r>
              <w:rPr>
                <w:rFonts w:hint="eastAsia" w:ascii="宋体" w:hAnsi="宋体" w:eastAsia="宋体"/>
                <w:b w:val="0"/>
                <w:color w:val="000000"/>
                <w:spacing w:val="20"/>
                <w:sz w:val="22"/>
              </w:rPr>
              <w:t>序号</w:t>
            </w:r>
          </w:p>
        </w:tc>
        <w:tc>
          <w:tcPr>
            <w:tcW w:w="1843" w:type="dxa"/>
            <w:noWrap w:val="0"/>
            <w:vAlign w:val="center"/>
          </w:tcPr>
          <w:p>
            <w:pPr>
              <w:spacing w:line="460" w:lineRule="atLeast"/>
              <w:jc w:val="center"/>
              <w:rPr>
                <w:rFonts w:ascii="宋体" w:hAnsi="宋体" w:eastAsia="宋体"/>
                <w:b w:val="0"/>
                <w:color w:val="000000"/>
                <w:spacing w:val="20"/>
                <w:sz w:val="22"/>
              </w:rPr>
            </w:pPr>
            <w:r>
              <w:rPr>
                <w:rFonts w:hint="eastAsia" w:ascii="宋体" w:hAnsi="宋体" w:eastAsia="宋体"/>
                <w:b w:val="0"/>
                <w:color w:val="000000"/>
                <w:spacing w:val="20"/>
                <w:sz w:val="22"/>
              </w:rPr>
              <w:t>产品名称</w:t>
            </w:r>
          </w:p>
        </w:tc>
        <w:tc>
          <w:tcPr>
            <w:tcW w:w="1134" w:type="dxa"/>
            <w:noWrap w:val="0"/>
            <w:vAlign w:val="center"/>
          </w:tcPr>
          <w:p>
            <w:pPr>
              <w:spacing w:line="460" w:lineRule="atLeast"/>
              <w:jc w:val="center"/>
              <w:rPr>
                <w:rFonts w:ascii="宋体" w:hAnsi="宋体" w:eastAsia="宋体"/>
                <w:b w:val="0"/>
                <w:color w:val="000000"/>
                <w:spacing w:val="20"/>
                <w:sz w:val="22"/>
              </w:rPr>
            </w:pPr>
            <w:r>
              <w:rPr>
                <w:rFonts w:hint="eastAsia" w:ascii="宋体" w:hAnsi="宋体" w:eastAsia="宋体"/>
                <w:b w:val="0"/>
                <w:color w:val="000000"/>
                <w:spacing w:val="20"/>
                <w:sz w:val="22"/>
              </w:rPr>
              <w:t>品牌</w:t>
            </w:r>
          </w:p>
        </w:tc>
        <w:tc>
          <w:tcPr>
            <w:tcW w:w="1134" w:type="dxa"/>
            <w:noWrap w:val="0"/>
            <w:vAlign w:val="center"/>
          </w:tcPr>
          <w:p>
            <w:pPr>
              <w:spacing w:line="460" w:lineRule="atLeast"/>
              <w:jc w:val="center"/>
              <w:rPr>
                <w:rFonts w:ascii="宋体" w:hAnsi="宋体" w:eastAsia="宋体"/>
                <w:b w:val="0"/>
                <w:color w:val="000000"/>
                <w:spacing w:val="20"/>
                <w:sz w:val="22"/>
              </w:rPr>
            </w:pPr>
            <w:r>
              <w:rPr>
                <w:rFonts w:hint="eastAsia" w:ascii="宋体" w:hAnsi="宋体" w:eastAsia="宋体"/>
                <w:b w:val="0"/>
                <w:color w:val="000000"/>
                <w:spacing w:val="20"/>
                <w:sz w:val="22"/>
              </w:rPr>
              <w:t>产地</w:t>
            </w:r>
          </w:p>
        </w:tc>
        <w:tc>
          <w:tcPr>
            <w:tcW w:w="1134" w:type="dxa"/>
            <w:noWrap w:val="0"/>
            <w:vAlign w:val="center"/>
          </w:tcPr>
          <w:p>
            <w:pPr>
              <w:spacing w:line="460" w:lineRule="atLeast"/>
              <w:jc w:val="center"/>
              <w:rPr>
                <w:rFonts w:ascii="宋体" w:hAnsi="宋体" w:eastAsia="宋体"/>
                <w:b w:val="0"/>
                <w:color w:val="000000"/>
                <w:spacing w:val="20"/>
                <w:sz w:val="22"/>
              </w:rPr>
            </w:pPr>
            <w:r>
              <w:rPr>
                <w:rFonts w:ascii="宋体" w:hAnsi="宋体" w:eastAsia="宋体"/>
                <w:b w:val="0"/>
                <w:color w:val="000000"/>
                <w:spacing w:val="20"/>
                <w:sz w:val="22"/>
              </w:rPr>
              <w:t>型号</w:t>
            </w:r>
          </w:p>
        </w:tc>
        <w:tc>
          <w:tcPr>
            <w:tcW w:w="1559" w:type="dxa"/>
            <w:noWrap w:val="0"/>
            <w:vAlign w:val="center"/>
          </w:tcPr>
          <w:p>
            <w:pPr>
              <w:spacing w:line="460" w:lineRule="atLeast"/>
              <w:jc w:val="center"/>
              <w:rPr>
                <w:rFonts w:ascii="宋体" w:hAnsi="宋体" w:eastAsia="宋体"/>
                <w:b w:val="0"/>
                <w:color w:val="000000"/>
                <w:spacing w:val="20"/>
                <w:sz w:val="22"/>
              </w:rPr>
            </w:pPr>
            <w:r>
              <w:rPr>
                <w:rFonts w:hint="eastAsia" w:ascii="宋体" w:hAnsi="宋体" w:eastAsia="宋体"/>
                <w:b w:val="0"/>
                <w:color w:val="000000"/>
                <w:spacing w:val="20"/>
                <w:sz w:val="22"/>
              </w:rPr>
              <w:t>主要规格</w:t>
            </w:r>
          </w:p>
        </w:tc>
        <w:tc>
          <w:tcPr>
            <w:tcW w:w="1276" w:type="dxa"/>
            <w:noWrap w:val="0"/>
            <w:vAlign w:val="center"/>
          </w:tcPr>
          <w:p>
            <w:pPr>
              <w:spacing w:line="460" w:lineRule="atLeast"/>
              <w:jc w:val="center"/>
              <w:rPr>
                <w:rFonts w:ascii="宋体" w:hAnsi="宋体" w:eastAsia="宋体"/>
                <w:b w:val="0"/>
                <w:color w:val="000000"/>
                <w:spacing w:val="20"/>
                <w:sz w:val="22"/>
              </w:rPr>
            </w:pPr>
            <w:r>
              <w:rPr>
                <w:rFonts w:hint="eastAsia" w:ascii="宋体" w:hAnsi="宋体" w:eastAsia="宋体"/>
                <w:b w:val="0"/>
                <w:color w:val="000000"/>
                <w:spacing w:val="20"/>
                <w:sz w:val="22"/>
              </w:rPr>
              <w:t>单位</w:t>
            </w:r>
          </w:p>
        </w:tc>
        <w:tc>
          <w:tcPr>
            <w:tcW w:w="1134" w:type="dxa"/>
            <w:noWrap w:val="0"/>
            <w:vAlign w:val="center"/>
          </w:tcPr>
          <w:p>
            <w:pPr>
              <w:spacing w:line="460" w:lineRule="atLeast"/>
              <w:jc w:val="center"/>
              <w:rPr>
                <w:rFonts w:ascii="宋体" w:hAnsi="宋体" w:eastAsia="宋体"/>
                <w:b w:val="0"/>
                <w:color w:val="000000"/>
                <w:spacing w:val="20"/>
                <w:sz w:val="22"/>
              </w:rPr>
            </w:pPr>
            <w:r>
              <w:rPr>
                <w:rFonts w:hint="eastAsia" w:ascii="宋体" w:hAnsi="宋体" w:eastAsia="宋体"/>
                <w:b w:val="0"/>
                <w:color w:val="000000"/>
                <w:spacing w:val="20"/>
                <w:sz w:val="22"/>
              </w:rPr>
              <w:t>数量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color w:val="000000"/>
                <w:spacing w:val="20"/>
                <w:sz w:val="22"/>
              </w:rPr>
            </w:pPr>
          </w:p>
        </w:tc>
        <w:tc>
          <w:tcPr>
            <w:tcW w:w="1843"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559" w:type="dxa"/>
            <w:noWrap w:val="0"/>
            <w:vAlign w:val="center"/>
          </w:tcPr>
          <w:p>
            <w:pPr>
              <w:spacing w:line="460" w:lineRule="atLeast"/>
              <w:jc w:val="center"/>
              <w:rPr>
                <w:rFonts w:ascii="宋体" w:hAnsi="宋体" w:eastAsia="宋体"/>
                <w:color w:val="000000"/>
                <w:spacing w:val="20"/>
                <w:sz w:val="22"/>
              </w:rPr>
            </w:pPr>
          </w:p>
        </w:tc>
        <w:tc>
          <w:tcPr>
            <w:tcW w:w="1276"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color w:val="000000"/>
                <w:spacing w:val="20"/>
                <w:sz w:val="22"/>
              </w:rPr>
            </w:pPr>
          </w:p>
        </w:tc>
        <w:tc>
          <w:tcPr>
            <w:tcW w:w="1843"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559" w:type="dxa"/>
            <w:noWrap w:val="0"/>
            <w:vAlign w:val="center"/>
          </w:tcPr>
          <w:p>
            <w:pPr>
              <w:spacing w:line="460" w:lineRule="atLeast"/>
              <w:jc w:val="center"/>
              <w:rPr>
                <w:rFonts w:ascii="宋体" w:hAnsi="宋体" w:eastAsia="宋体"/>
                <w:color w:val="000000"/>
                <w:spacing w:val="20"/>
                <w:sz w:val="22"/>
              </w:rPr>
            </w:pPr>
          </w:p>
        </w:tc>
        <w:tc>
          <w:tcPr>
            <w:tcW w:w="1276"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color w:val="000000"/>
                <w:spacing w:val="20"/>
                <w:sz w:val="22"/>
              </w:rPr>
            </w:pPr>
          </w:p>
        </w:tc>
        <w:tc>
          <w:tcPr>
            <w:tcW w:w="1843"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559" w:type="dxa"/>
            <w:noWrap w:val="0"/>
            <w:vAlign w:val="center"/>
          </w:tcPr>
          <w:p>
            <w:pPr>
              <w:spacing w:line="460" w:lineRule="atLeast"/>
              <w:jc w:val="center"/>
              <w:rPr>
                <w:rFonts w:ascii="宋体" w:hAnsi="宋体" w:eastAsia="宋体"/>
                <w:color w:val="000000"/>
                <w:spacing w:val="20"/>
                <w:sz w:val="22"/>
              </w:rPr>
            </w:pPr>
          </w:p>
        </w:tc>
        <w:tc>
          <w:tcPr>
            <w:tcW w:w="1276"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color w:val="000000"/>
                <w:spacing w:val="20"/>
                <w:sz w:val="22"/>
              </w:rPr>
            </w:pPr>
          </w:p>
        </w:tc>
        <w:tc>
          <w:tcPr>
            <w:tcW w:w="1843"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559" w:type="dxa"/>
            <w:noWrap w:val="0"/>
            <w:vAlign w:val="center"/>
          </w:tcPr>
          <w:p>
            <w:pPr>
              <w:spacing w:line="460" w:lineRule="atLeast"/>
              <w:jc w:val="center"/>
              <w:rPr>
                <w:rFonts w:ascii="宋体" w:hAnsi="宋体" w:eastAsia="宋体"/>
                <w:color w:val="000000"/>
                <w:spacing w:val="20"/>
                <w:sz w:val="22"/>
              </w:rPr>
            </w:pPr>
          </w:p>
        </w:tc>
        <w:tc>
          <w:tcPr>
            <w:tcW w:w="1276"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color w:val="000000"/>
                <w:spacing w:val="20"/>
                <w:sz w:val="22"/>
              </w:rPr>
            </w:pPr>
          </w:p>
        </w:tc>
        <w:tc>
          <w:tcPr>
            <w:tcW w:w="1843"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559" w:type="dxa"/>
            <w:noWrap w:val="0"/>
            <w:vAlign w:val="center"/>
          </w:tcPr>
          <w:p>
            <w:pPr>
              <w:spacing w:line="460" w:lineRule="atLeast"/>
              <w:jc w:val="center"/>
              <w:rPr>
                <w:rFonts w:ascii="宋体" w:hAnsi="宋体" w:eastAsia="宋体"/>
                <w:color w:val="000000"/>
                <w:spacing w:val="20"/>
                <w:sz w:val="22"/>
              </w:rPr>
            </w:pPr>
          </w:p>
        </w:tc>
        <w:tc>
          <w:tcPr>
            <w:tcW w:w="1276"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color w:val="000000"/>
                <w:spacing w:val="20"/>
                <w:sz w:val="22"/>
              </w:rPr>
            </w:pPr>
          </w:p>
        </w:tc>
        <w:tc>
          <w:tcPr>
            <w:tcW w:w="1843"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559" w:type="dxa"/>
            <w:noWrap w:val="0"/>
            <w:vAlign w:val="center"/>
          </w:tcPr>
          <w:p>
            <w:pPr>
              <w:spacing w:line="460" w:lineRule="atLeast"/>
              <w:jc w:val="center"/>
              <w:rPr>
                <w:rFonts w:ascii="宋体" w:hAnsi="宋体" w:eastAsia="宋体"/>
                <w:color w:val="000000"/>
                <w:spacing w:val="20"/>
                <w:sz w:val="22"/>
              </w:rPr>
            </w:pPr>
          </w:p>
        </w:tc>
        <w:tc>
          <w:tcPr>
            <w:tcW w:w="1276"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color w:val="000000"/>
                <w:spacing w:val="20"/>
                <w:sz w:val="22"/>
              </w:rPr>
            </w:pPr>
          </w:p>
        </w:tc>
        <w:tc>
          <w:tcPr>
            <w:tcW w:w="1843"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559" w:type="dxa"/>
            <w:noWrap w:val="0"/>
            <w:vAlign w:val="center"/>
          </w:tcPr>
          <w:p>
            <w:pPr>
              <w:spacing w:line="460" w:lineRule="atLeast"/>
              <w:jc w:val="center"/>
              <w:rPr>
                <w:rFonts w:ascii="宋体" w:hAnsi="宋体" w:eastAsia="宋体"/>
                <w:color w:val="000000"/>
                <w:spacing w:val="20"/>
                <w:sz w:val="22"/>
              </w:rPr>
            </w:pPr>
          </w:p>
        </w:tc>
        <w:tc>
          <w:tcPr>
            <w:tcW w:w="1276"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color w:val="000000"/>
                <w:spacing w:val="20"/>
                <w:sz w:val="22"/>
              </w:rPr>
            </w:pPr>
          </w:p>
        </w:tc>
        <w:tc>
          <w:tcPr>
            <w:tcW w:w="1843"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559" w:type="dxa"/>
            <w:noWrap w:val="0"/>
            <w:vAlign w:val="center"/>
          </w:tcPr>
          <w:p>
            <w:pPr>
              <w:spacing w:line="460" w:lineRule="atLeast"/>
              <w:jc w:val="center"/>
              <w:rPr>
                <w:rFonts w:ascii="宋体" w:hAnsi="宋体" w:eastAsia="宋体"/>
                <w:color w:val="000000"/>
                <w:spacing w:val="20"/>
                <w:sz w:val="22"/>
              </w:rPr>
            </w:pPr>
          </w:p>
        </w:tc>
        <w:tc>
          <w:tcPr>
            <w:tcW w:w="1276"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color w:val="000000"/>
                <w:spacing w:val="20"/>
                <w:sz w:val="22"/>
              </w:rPr>
            </w:pPr>
          </w:p>
        </w:tc>
        <w:tc>
          <w:tcPr>
            <w:tcW w:w="1843"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559" w:type="dxa"/>
            <w:noWrap w:val="0"/>
            <w:vAlign w:val="center"/>
          </w:tcPr>
          <w:p>
            <w:pPr>
              <w:spacing w:line="460" w:lineRule="atLeast"/>
              <w:jc w:val="center"/>
              <w:rPr>
                <w:rFonts w:ascii="宋体" w:hAnsi="宋体" w:eastAsia="宋体"/>
                <w:color w:val="000000"/>
                <w:spacing w:val="20"/>
                <w:sz w:val="22"/>
              </w:rPr>
            </w:pPr>
          </w:p>
        </w:tc>
        <w:tc>
          <w:tcPr>
            <w:tcW w:w="1276"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color w:val="000000"/>
                <w:spacing w:val="20"/>
                <w:sz w:val="22"/>
              </w:rPr>
            </w:pPr>
          </w:p>
        </w:tc>
        <w:tc>
          <w:tcPr>
            <w:tcW w:w="1843"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559" w:type="dxa"/>
            <w:noWrap w:val="0"/>
            <w:vAlign w:val="center"/>
          </w:tcPr>
          <w:p>
            <w:pPr>
              <w:spacing w:line="460" w:lineRule="atLeast"/>
              <w:jc w:val="center"/>
              <w:rPr>
                <w:rFonts w:ascii="宋体" w:hAnsi="宋体" w:eastAsia="宋体"/>
                <w:color w:val="000000"/>
                <w:spacing w:val="20"/>
                <w:sz w:val="22"/>
              </w:rPr>
            </w:pPr>
          </w:p>
        </w:tc>
        <w:tc>
          <w:tcPr>
            <w:tcW w:w="1276"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color w:val="000000"/>
                <w:spacing w:val="20"/>
                <w:sz w:val="22"/>
              </w:rPr>
            </w:pPr>
          </w:p>
        </w:tc>
        <w:tc>
          <w:tcPr>
            <w:tcW w:w="1843"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559" w:type="dxa"/>
            <w:noWrap w:val="0"/>
            <w:vAlign w:val="center"/>
          </w:tcPr>
          <w:p>
            <w:pPr>
              <w:spacing w:line="460" w:lineRule="atLeast"/>
              <w:jc w:val="center"/>
              <w:rPr>
                <w:rFonts w:ascii="宋体" w:hAnsi="宋体" w:eastAsia="宋体"/>
                <w:color w:val="000000"/>
                <w:spacing w:val="20"/>
                <w:sz w:val="22"/>
              </w:rPr>
            </w:pPr>
          </w:p>
        </w:tc>
        <w:tc>
          <w:tcPr>
            <w:tcW w:w="1276"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hAnsi="宋体" w:eastAsia="宋体"/>
                <w:color w:val="000000"/>
                <w:spacing w:val="20"/>
                <w:sz w:val="22"/>
              </w:rPr>
            </w:pPr>
          </w:p>
        </w:tc>
        <w:tc>
          <w:tcPr>
            <w:tcW w:w="1843"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c>
          <w:tcPr>
            <w:tcW w:w="1559" w:type="dxa"/>
            <w:noWrap w:val="0"/>
            <w:vAlign w:val="center"/>
          </w:tcPr>
          <w:p>
            <w:pPr>
              <w:spacing w:line="460" w:lineRule="atLeast"/>
              <w:jc w:val="center"/>
              <w:rPr>
                <w:rFonts w:ascii="宋体" w:hAnsi="宋体" w:eastAsia="宋体"/>
                <w:color w:val="000000"/>
                <w:spacing w:val="20"/>
                <w:sz w:val="22"/>
              </w:rPr>
            </w:pPr>
          </w:p>
        </w:tc>
        <w:tc>
          <w:tcPr>
            <w:tcW w:w="1276" w:type="dxa"/>
            <w:noWrap w:val="0"/>
            <w:vAlign w:val="center"/>
          </w:tcPr>
          <w:p>
            <w:pPr>
              <w:spacing w:line="460" w:lineRule="atLeast"/>
              <w:jc w:val="center"/>
              <w:rPr>
                <w:rFonts w:ascii="宋体" w:hAnsi="宋体" w:eastAsia="宋体"/>
                <w:color w:val="000000"/>
                <w:spacing w:val="20"/>
                <w:sz w:val="22"/>
              </w:rPr>
            </w:pPr>
          </w:p>
        </w:tc>
        <w:tc>
          <w:tcPr>
            <w:tcW w:w="1134" w:type="dxa"/>
            <w:noWrap w:val="0"/>
            <w:vAlign w:val="center"/>
          </w:tcPr>
          <w:p>
            <w:pPr>
              <w:spacing w:line="460" w:lineRule="atLeast"/>
              <w:jc w:val="center"/>
              <w:rPr>
                <w:rFonts w:ascii="宋体" w:hAnsi="宋体" w:eastAsia="宋体"/>
                <w:color w:val="000000"/>
                <w:spacing w:val="20"/>
                <w:sz w:val="22"/>
              </w:rPr>
            </w:pPr>
          </w:p>
        </w:tc>
      </w:tr>
    </w:tbl>
    <w:p>
      <w:pPr>
        <w:spacing w:line="460" w:lineRule="atLeast"/>
        <w:ind w:right="1120"/>
        <w:rPr>
          <w:rFonts w:ascii="宋体" w:hAnsi="宋体" w:eastAsia="宋体"/>
          <w:color w:val="000000"/>
          <w:spacing w:val="20"/>
          <w:sz w:val="22"/>
        </w:rPr>
      </w:pPr>
      <w:r>
        <w:rPr>
          <w:rFonts w:hint="eastAsia" w:ascii="宋体" w:hAnsi="宋体" w:eastAsia="宋体"/>
          <w:b w:val="0"/>
          <w:color w:val="000000"/>
          <w:sz w:val="22"/>
        </w:rPr>
        <w:t xml:space="preserve">投标供应商（盖章）：                </w:t>
      </w:r>
      <w:r>
        <w:rPr>
          <w:rFonts w:hint="eastAsia" w:ascii="宋体" w:hAnsi="宋体" w:eastAsia="宋体"/>
          <w:color w:val="000000"/>
          <w:spacing w:val="20"/>
          <w:sz w:val="22"/>
        </w:rPr>
        <w:t xml:space="preserve">  </w:t>
      </w:r>
    </w:p>
    <w:p>
      <w:pPr>
        <w:autoSpaceDE w:val="0"/>
        <w:autoSpaceDN w:val="0"/>
        <w:spacing w:line="460" w:lineRule="atLeast"/>
        <w:rPr>
          <w:rFonts w:ascii="宋体" w:hAnsi="宋体" w:eastAsia="宋体"/>
          <w:color w:val="000000"/>
          <w:spacing w:val="20"/>
          <w:sz w:val="22"/>
        </w:rPr>
      </w:pPr>
      <w:r>
        <w:rPr>
          <w:rFonts w:hint="eastAsia" w:ascii="宋体" w:hAnsi="宋体" w:eastAsia="宋体"/>
          <w:color w:val="000000"/>
          <w:spacing w:val="20"/>
          <w:sz w:val="22"/>
        </w:rPr>
        <w:t>注：1、</w:t>
      </w:r>
      <w:r>
        <w:rPr>
          <w:rFonts w:hint="eastAsia" w:ascii="宋体" w:hAnsi="宋体" w:eastAsia="宋体"/>
          <w:color w:val="000000"/>
          <w:sz w:val="22"/>
        </w:rPr>
        <w:t>产品详细配置、技术应另页描述</w:t>
      </w:r>
      <w:r>
        <w:rPr>
          <w:rFonts w:hint="eastAsia" w:ascii="宋体" w:hAnsi="宋体" w:eastAsia="宋体"/>
          <w:color w:val="000000"/>
          <w:spacing w:val="20"/>
          <w:sz w:val="22"/>
        </w:rPr>
        <w:t>。</w:t>
      </w:r>
    </w:p>
    <w:p>
      <w:pPr>
        <w:autoSpaceDE w:val="0"/>
        <w:autoSpaceDN w:val="0"/>
        <w:spacing w:line="460" w:lineRule="atLeast"/>
        <w:ind w:firstLine="511" w:firstLineChars="196"/>
        <w:rPr>
          <w:rFonts w:ascii="宋体" w:hAnsi="宋体" w:eastAsia="宋体"/>
          <w:color w:val="000000"/>
          <w:spacing w:val="20"/>
          <w:sz w:val="22"/>
        </w:rPr>
      </w:pPr>
      <w:r>
        <w:rPr>
          <w:rFonts w:hint="eastAsia" w:ascii="宋体" w:hAnsi="宋体" w:eastAsia="宋体"/>
          <w:color w:val="000000"/>
          <w:spacing w:val="20"/>
          <w:sz w:val="22"/>
        </w:rPr>
        <w:t>2、</w:t>
      </w:r>
      <w:r>
        <w:rPr>
          <w:rFonts w:ascii="宋体" w:hAnsi="宋体" w:eastAsia="宋体"/>
          <w:color w:val="000000"/>
          <w:sz w:val="22"/>
        </w:rPr>
        <w:t>供应商应提供所投产品具体型号</w:t>
      </w:r>
      <w:r>
        <w:rPr>
          <w:rFonts w:hint="eastAsia" w:ascii="宋体" w:hAnsi="宋体" w:eastAsia="宋体"/>
          <w:color w:val="000000"/>
          <w:spacing w:val="20"/>
          <w:sz w:val="22"/>
        </w:rPr>
        <w:t>。</w:t>
      </w:r>
    </w:p>
    <w:p>
      <w:pPr>
        <w:autoSpaceDE w:val="0"/>
        <w:autoSpaceDN w:val="0"/>
        <w:spacing w:line="460" w:lineRule="atLeast"/>
        <w:rPr>
          <w:rFonts w:ascii="宋体" w:hAnsi="宋体" w:eastAsia="宋体"/>
          <w:b w:val="0"/>
          <w:color w:val="000000"/>
          <w:sz w:val="36"/>
          <w:lang w:val="zh-CN"/>
        </w:rPr>
      </w:pPr>
      <w:r>
        <w:rPr>
          <w:rFonts w:ascii="宋体" w:hAnsi="宋体" w:eastAsia="宋体"/>
          <w:color w:val="000000"/>
        </w:rPr>
        <w:br w:type="page"/>
      </w:r>
      <w:r>
        <w:rPr>
          <w:rFonts w:hint="eastAsia" w:ascii="宋体" w:hAnsi="宋体" w:eastAsia="宋体"/>
          <w:b w:val="0"/>
          <w:color w:val="000000"/>
          <w:sz w:val="32"/>
        </w:rPr>
        <w:t>附件十一</w:t>
      </w:r>
    </w:p>
    <w:p>
      <w:pPr>
        <w:autoSpaceDE w:val="0"/>
        <w:autoSpaceDN w:val="0"/>
        <w:spacing w:line="460" w:lineRule="atLeast"/>
        <w:jc w:val="center"/>
        <w:rPr>
          <w:rFonts w:ascii="宋体" w:hAnsi="宋体" w:eastAsia="宋体"/>
          <w:b w:val="0"/>
          <w:color w:val="000000"/>
          <w:sz w:val="36"/>
          <w:lang w:val="zh-CN"/>
        </w:rPr>
      </w:pPr>
      <w:r>
        <w:rPr>
          <w:rFonts w:hint="eastAsia" w:ascii="宋体" w:hAnsi="宋体" w:eastAsia="宋体"/>
          <w:b w:val="0"/>
          <w:color w:val="000000"/>
          <w:sz w:val="36"/>
          <w:lang w:val="zh-CN"/>
        </w:rPr>
        <w:t>偏离表（按标项提供）</w:t>
      </w:r>
    </w:p>
    <w:tbl>
      <w:tblPr>
        <w:tblStyle w:val="4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325" w:hRule="atLeast"/>
        </w:trPr>
        <w:tc>
          <w:tcPr>
            <w:tcW w:w="9197" w:type="dxa"/>
            <w:gridSpan w:val="5"/>
            <w:noWrap w:val="0"/>
            <w:vAlign w:val="center"/>
          </w:tcPr>
          <w:p>
            <w:pPr>
              <w:autoSpaceDE w:val="0"/>
              <w:autoSpaceDN w:val="0"/>
              <w:spacing w:line="460" w:lineRule="atLeast"/>
              <w:jc w:val="center"/>
              <w:rPr>
                <w:rFonts w:ascii="宋体" w:hAnsi="宋体" w:eastAsia="宋体"/>
                <w:b w:val="0"/>
                <w:color w:val="000000"/>
                <w:sz w:val="22"/>
                <w:lang w:val="zh-CN"/>
              </w:rPr>
            </w:pPr>
            <w:r>
              <w:rPr>
                <w:rFonts w:ascii="宋体" w:hAnsi="宋体" w:eastAsia="宋体"/>
                <w:b w:val="0"/>
                <w:color w:val="000000"/>
                <w:sz w:val="22"/>
                <w:lang w:val="zh-CN"/>
              </w:rPr>
              <w:t>商务</w:t>
            </w:r>
            <w:r>
              <w:rPr>
                <w:rFonts w:hint="eastAsia" w:ascii="宋体" w:hAnsi="宋体" w:eastAsia="宋体"/>
                <w:b w:val="0"/>
                <w:color w:val="000000"/>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center"/>
          </w:tcPr>
          <w:p>
            <w:pPr>
              <w:autoSpaceDE w:val="0"/>
              <w:autoSpaceDN w:val="0"/>
              <w:spacing w:line="460" w:lineRule="atLeast"/>
              <w:jc w:val="center"/>
              <w:rPr>
                <w:rFonts w:ascii="宋体" w:hAnsi="宋体" w:eastAsia="宋体"/>
                <w:b w:val="0"/>
                <w:color w:val="000000"/>
                <w:sz w:val="22"/>
                <w:lang w:val="zh-CN"/>
              </w:rPr>
            </w:pPr>
            <w:r>
              <w:rPr>
                <w:rFonts w:hint="eastAsia" w:ascii="宋体" w:hAnsi="宋体" w:eastAsia="宋体"/>
                <w:b w:val="0"/>
                <w:color w:val="000000"/>
                <w:sz w:val="22"/>
                <w:lang w:val="zh-CN"/>
              </w:rPr>
              <w:t>序</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号</w:t>
            </w:r>
          </w:p>
        </w:tc>
        <w:tc>
          <w:tcPr>
            <w:tcW w:w="1710" w:type="dxa"/>
            <w:noWrap w:val="0"/>
            <w:vAlign w:val="center"/>
          </w:tcPr>
          <w:p>
            <w:pPr>
              <w:autoSpaceDE w:val="0"/>
              <w:autoSpaceDN w:val="0"/>
              <w:spacing w:line="460" w:lineRule="atLeast"/>
              <w:jc w:val="center"/>
              <w:rPr>
                <w:rFonts w:ascii="宋体" w:hAnsi="宋体" w:eastAsia="宋体"/>
                <w:b w:val="0"/>
                <w:color w:val="000000"/>
                <w:sz w:val="22"/>
                <w:lang w:val="zh-CN"/>
              </w:rPr>
            </w:pPr>
            <w:r>
              <w:rPr>
                <w:rFonts w:hint="eastAsia" w:ascii="宋体" w:hAnsi="宋体" w:eastAsia="宋体"/>
                <w:b w:val="0"/>
                <w:color w:val="000000"/>
                <w:sz w:val="22"/>
                <w:lang w:val="zh-CN"/>
              </w:rPr>
              <w:t>内容</w:t>
            </w:r>
          </w:p>
        </w:tc>
        <w:tc>
          <w:tcPr>
            <w:tcW w:w="2664" w:type="dxa"/>
            <w:noWrap w:val="0"/>
            <w:vAlign w:val="center"/>
          </w:tcPr>
          <w:p>
            <w:pPr>
              <w:autoSpaceDE w:val="0"/>
              <w:autoSpaceDN w:val="0"/>
              <w:spacing w:line="460" w:lineRule="atLeast"/>
              <w:jc w:val="center"/>
              <w:rPr>
                <w:rFonts w:ascii="宋体" w:hAnsi="宋体" w:eastAsia="宋体"/>
                <w:b w:val="0"/>
                <w:color w:val="000000"/>
                <w:sz w:val="22"/>
                <w:lang w:val="zh-CN"/>
              </w:rPr>
            </w:pPr>
            <w:r>
              <w:rPr>
                <w:rFonts w:hint="eastAsia" w:ascii="宋体" w:hAnsi="宋体" w:eastAsia="宋体"/>
                <w:b w:val="0"/>
                <w:color w:val="000000"/>
                <w:sz w:val="22"/>
                <w:lang w:val="zh-CN"/>
              </w:rPr>
              <w:t>招标文件要求</w:t>
            </w:r>
          </w:p>
        </w:tc>
        <w:tc>
          <w:tcPr>
            <w:tcW w:w="2110" w:type="dxa"/>
            <w:noWrap w:val="0"/>
            <w:vAlign w:val="center"/>
          </w:tcPr>
          <w:p>
            <w:pPr>
              <w:autoSpaceDE w:val="0"/>
              <w:autoSpaceDN w:val="0"/>
              <w:spacing w:line="460" w:lineRule="atLeast"/>
              <w:jc w:val="center"/>
              <w:rPr>
                <w:rFonts w:ascii="宋体" w:hAnsi="宋体" w:eastAsia="宋体"/>
                <w:b w:val="0"/>
                <w:color w:val="000000"/>
                <w:sz w:val="22"/>
                <w:lang w:val="zh-CN"/>
              </w:rPr>
            </w:pPr>
            <w:r>
              <w:rPr>
                <w:rFonts w:hint="eastAsia" w:ascii="宋体" w:hAnsi="宋体" w:eastAsia="宋体"/>
                <w:b w:val="0"/>
                <w:color w:val="000000"/>
                <w:sz w:val="22"/>
                <w:lang w:val="zh-CN"/>
              </w:rPr>
              <w:t>投标文件响应情况</w:t>
            </w:r>
          </w:p>
        </w:tc>
        <w:tc>
          <w:tcPr>
            <w:tcW w:w="1831" w:type="dxa"/>
            <w:noWrap w:val="0"/>
            <w:vAlign w:val="center"/>
          </w:tcPr>
          <w:p>
            <w:pPr>
              <w:autoSpaceDE w:val="0"/>
              <w:autoSpaceDN w:val="0"/>
              <w:spacing w:line="460" w:lineRule="atLeast"/>
              <w:jc w:val="center"/>
              <w:rPr>
                <w:rFonts w:ascii="宋体" w:hAnsi="宋体" w:eastAsia="宋体"/>
                <w:b w:val="0"/>
                <w:color w:val="000000"/>
                <w:sz w:val="22"/>
                <w:lang w:val="zh-CN"/>
              </w:rPr>
            </w:pPr>
            <w:r>
              <w:rPr>
                <w:rFonts w:hint="eastAsia" w:ascii="宋体" w:hAnsi="宋体" w:eastAsia="宋体"/>
                <w:b w:val="0"/>
                <w:color w:val="000000"/>
                <w:sz w:val="22"/>
                <w:lang w:val="zh-CN"/>
              </w:rPr>
              <w:t>备</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7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664"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1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831" w:type="dxa"/>
            <w:noWrap w:val="0"/>
            <w:vAlign w:val="top"/>
          </w:tcPr>
          <w:p>
            <w:pPr>
              <w:autoSpaceDE w:val="0"/>
              <w:autoSpaceDN w:val="0"/>
              <w:spacing w:line="460" w:lineRule="atLeast"/>
              <w:jc w:val="center"/>
              <w:rPr>
                <w:rFonts w:ascii="宋体" w:hAnsi="宋体" w:eastAsia="宋体"/>
                <w:b w:val="0"/>
                <w:color w:val="00000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7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664"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1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831" w:type="dxa"/>
            <w:noWrap w:val="0"/>
            <w:vAlign w:val="top"/>
          </w:tcPr>
          <w:p>
            <w:pPr>
              <w:autoSpaceDE w:val="0"/>
              <w:autoSpaceDN w:val="0"/>
              <w:spacing w:line="460" w:lineRule="atLeast"/>
              <w:jc w:val="center"/>
              <w:rPr>
                <w:rFonts w:ascii="宋体" w:hAnsi="宋体" w:eastAsia="宋体"/>
                <w:b w:val="0"/>
                <w:color w:val="00000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7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664"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1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831" w:type="dxa"/>
            <w:noWrap w:val="0"/>
            <w:vAlign w:val="top"/>
          </w:tcPr>
          <w:p>
            <w:pPr>
              <w:autoSpaceDE w:val="0"/>
              <w:autoSpaceDN w:val="0"/>
              <w:spacing w:line="460" w:lineRule="atLeast"/>
              <w:jc w:val="center"/>
              <w:rPr>
                <w:rFonts w:ascii="宋体" w:hAnsi="宋体" w:eastAsia="宋体"/>
                <w:b w:val="0"/>
                <w:color w:val="00000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7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664"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1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831" w:type="dxa"/>
            <w:noWrap w:val="0"/>
            <w:vAlign w:val="top"/>
          </w:tcPr>
          <w:p>
            <w:pPr>
              <w:autoSpaceDE w:val="0"/>
              <w:autoSpaceDN w:val="0"/>
              <w:spacing w:line="460" w:lineRule="atLeast"/>
              <w:jc w:val="center"/>
              <w:rPr>
                <w:rFonts w:ascii="宋体" w:hAnsi="宋体" w:eastAsia="宋体"/>
                <w:b w:val="0"/>
                <w:color w:val="00000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7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664"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1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831" w:type="dxa"/>
            <w:noWrap w:val="0"/>
            <w:vAlign w:val="top"/>
          </w:tcPr>
          <w:p>
            <w:pPr>
              <w:autoSpaceDE w:val="0"/>
              <w:autoSpaceDN w:val="0"/>
              <w:spacing w:line="460" w:lineRule="atLeast"/>
              <w:jc w:val="center"/>
              <w:rPr>
                <w:rFonts w:ascii="宋体" w:hAnsi="宋体" w:eastAsia="宋体"/>
                <w:b w:val="0"/>
                <w:color w:val="00000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36" w:hRule="atLeast"/>
        </w:trPr>
        <w:tc>
          <w:tcPr>
            <w:tcW w:w="882"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7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664"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1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831" w:type="dxa"/>
            <w:noWrap w:val="0"/>
            <w:vAlign w:val="top"/>
          </w:tcPr>
          <w:p>
            <w:pPr>
              <w:autoSpaceDE w:val="0"/>
              <w:autoSpaceDN w:val="0"/>
              <w:spacing w:line="460" w:lineRule="atLeast"/>
              <w:jc w:val="center"/>
              <w:rPr>
                <w:rFonts w:ascii="宋体" w:hAnsi="宋体" w:eastAsia="宋体"/>
                <w:b w:val="0"/>
                <w:color w:val="00000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36" w:hRule="atLeast"/>
        </w:trPr>
        <w:tc>
          <w:tcPr>
            <w:tcW w:w="9197" w:type="dxa"/>
            <w:gridSpan w:val="5"/>
            <w:noWrap w:val="0"/>
            <w:vAlign w:val="top"/>
          </w:tcPr>
          <w:p>
            <w:pPr>
              <w:autoSpaceDE w:val="0"/>
              <w:autoSpaceDN w:val="0"/>
              <w:spacing w:line="460" w:lineRule="atLeast"/>
              <w:jc w:val="center"/>
              <w:rPr>
                <w:rFonts w:ascii="宋体" w:hAnsi="宋体" w:eastAsia="宋体"/>
                <w:b w:val="0"/>
                <w:color w:val="000000"/>
                <w:sz w:val="22"/>
                <w:lang w:val="zh-CN"/>
              </w:rPr>
            </w:pPr>
            <w:r>
              <w:rPr>
                <w:rFonts w:ascii="宋体" w:hAnsi="宋体" w:eastAsia="宋体"/>
                <w:b w:val="0"/>
                <w:color w:val="000000"/>
                <w:sz w:val="22"/>
                <w:lang w:val="zh-CN"/>
              </w:rPr>
              <w:t>技术</w:t>
            </w:r>
            <w:r>
              <w:rPr>
                <w:rFonts w:hint="eastAsia" w:ascii="宋体" w:hAnsi="宋体" w:eastAsia="宋体"/>
                <w:b w:val="0"/>
                <w:color w:val="000000"/>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36" w:hRule="atLeast"/>
        </w:trPr>
        <w:tc>
          <w:tcPr>
            <w:tcW w:w="882" w:type="dxa"/>
            <w:noWrap w:val="0"/>
            <w:vAlign w:val="center"/>
          </w:tcPr>
          <w:p>
            <w:pPr>
              <w:autoSpaceDE w:val="0"/>
              <w:autoSpaceDN w:val="0"/>
              <w:spacing w:line="460" w:lineRule="atLeast"/>
              <w:jc w:val="center"/>
              <w:rPr>
                <w:rFonts w:ascii="宋体" w:hAnsi="宋体" w:eastAsia="宋体"/>
                <w:b w:val="0"/>
                <w:color w:val="000000"/>
                <w:sz w:val="22"/>
                <w:lang w:val="zh-CN"/>
              </w:rPr>
            </w:pPr>
            <w:r>
              <w:rPr>
                <w:rFonts w:hint="eastAsia" w:ascii="宋体" w:hAnsi="宋体" w:eastAsia="宋体"/>
                <w:b w:val="0"/>
                <w:color w:val="000000"/>
                <w:sz w:val="22"/>
                <w:lang w:val="zh-CN"/>
              </w:rPr>
              <w:t>序</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号</w:t>
            </w:r>
          </w:p>
        </w:tc>
        <w:tc>
          <w:tcPr>
            <w:tcW w:w="1710" w:type="dxa"/>
            <w:noWrap w:val="0"/>
            <w:vAlign w:val="center"/>
          </w:tcPr>
          <w:p>
            <w:pPr>
              <w:autoSpaceDE w:val="0"/>
              <w:autoSpaceDN w:val="0"/>
              <w:spacing w:line="460" w:lineRule="atLeast"/>
              <w:jc w:val="center"/>
              <w:rPr>
                <w:rFonts w:ascii="宋体" w:hAnsi="宋体" w:eastAsia="宋体"/>
                <w:b w:val="0"/>
                <w:color w:val="000000"/>
                <w:sz w:val="22"/>
                <w:lang w:val="zh-CN"/>
              </w:rPr>
            </w:pPr>
            <w:r>
              <w:rPr>
                <w:rFonts w:hint="eastAsia" w:ascii="宋体" w:hAnsi="宋体" w:eastAsia="宋体"/>
                <w:b w:val="0"/>
                <w:color w:val="000000"/>
                <w:sz w:val="22"/>
                <w:lang w:val="zh-CN"/>
              </w:rPr>
              <w:t>内容</w:t>
            </w:r>
          </w:p>
        </w:tc>
        <w:tc>
          <w:tcPr>
            <w:tcW w:w="2664" w:type="dxa"/>
            <w:noWrap w:val="0"/>
            <w:vAlign w:val="center"/>
          </w:tcPr>
          <w:p>
            <w:pPr>
              <w:autoSpaceDE w:val="0"/>
              <w:autoSpaceDN w:val="0"/>
              <w:spacing w:line="460" w:lineRule="atLeast"/>
              <w:jc w:val="center"/>
              <w:rPr>
                <w:rFonts w:ascii="宋体" w:hAnsi="宋体" w:eastAsia="宋体"/>
                <w:b w:val="0"/>
                <w:color w:val="000000"/>
                <w:sz w:val="22"/>
                <w:lang w:val="zh-CN"/>
              </w:rPr>
            </w:pPr>
            <w:r>
              <w:rPr>
                <w:rFonts w:hint="eastAsia" w:ascii="宋体" w:hAnsi="宋体" w:eastAsia="宋体"/>
                <w:b w:val="0"/>
                <w:color w:val="000000"/>
                <w:sz w:val="22"/>
                <w:lang w:val="zh-CN"/>
              </w:rPr>
              <w:t>招标文件要求</w:t>
            </w:r>
          </w:p>
        </w:tc>
        <w:tc>
          <w:tcPr>
            <w:tcW w:w="2110" w:type="dxa"/>
            <w:noWrap w:val="0"/>
            <w:vAlign w:val="center"/>
          </w:tcPr>
          <w:p>
            <w:pPr>
              <w:autoSpaceDE w:val="0"/>
              <w:autoSpaceDN w:val="0"/>
              <w:spacing w:line="460" w:lineRule="atLeast"/>
              <w:jc w:val="center"/>
              <w:rPr>
                <w:rFonts w:ascii="宋体" w:hAnsi="宋体" w:eastAsia="宋体"/>
                <w:b w:val="0"/>
                <w:color w:val="000000"/>
                <w:sz w:val="22"/>
                <w:lang w:val="zh-CN"/>
              </w:rPr>
            </w:pPr>
            <w:r>
              <w:rPr>
                <w:rFonts w:hint="eastAsia" w:ascii="宋体" w:hAnsi="宋体" w:eastAsia="宋体"/>
                <w:b w:val="0"/>
                <w:color w:val="000000"/>
                <w:sz w:val="22"/>
                <w:lang w:val="zh-CN"/>
              </w:rPr>
              <w:t>投标文件响应情况</w:t>
            </w:r>
          </w:p>
        </w:tc>
        <w:tc>
          <w:tcPr>
            <w:tcW w:w="1831" w:type="dxa"/>
            <w:noWrap w:val="0"/>
            <w:vAlign w:val="center"/>
          </w:tcPr>
          <w:p>
            <w:pPr>
              <w:autoSpaceDE w:val="0"/>
              <w:autoSpaceDN w:val="0"/>
              <w:spacing w:line="460" w:lineRule="atLeast"/>
              <w:jc w:val="center"/>
              <w:rPr>
                <w:rFonts w:ascii="宋体" w:hAnsi="宋体" w:eastAsia="宋体"/>
                <w:b w:val="0"/>
                <w:color w:val="000000"/>
                <w:sz w:val="22"/>
                <w:lang w:val="zh-CN"/>
              </w:rPr>
            </w:pPr>
            <w:r>
              <w:rPr>
                <w:rFonts w:hint="eastAsia" w:ascii="宋体" w:hAnsi="宋体" w:eastAsia="宋体"/>
                <w:b w:val="0"/>
                <w:color w:val="000000"/>
                <w:sz w:val="22"/>
                <w:lang w:val="zh-CN"/>
              </w:rPr>
              <w:t>备</w:t>
            </w:r>
            <w:r>
              <w:rPr>
                <w:rFonts w:ascii="宋体" w:hAnsi="宋体" w:eastAsia="宋体"/>
                <w:b w:val="0"/>
                <w:color w:val="000000"/>
                <w:sz w:val="22"/>
                <w:lang w:val="zh-CN"/>
              </w:rPr>
              <w:t xml:space="preserve"> </w:t>
            </w:r>
            <w:r>
              <w:rPr>
                <w:rFonts w:hint="eastAsia" w:ascii="宋体" w:hAnsi="宋体" w:eastAsia="宋体"/>
                <w:b w:val="0"/>
                <w:color w:val="000000"/>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7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664"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1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831" w:type="dxa"/>
            <w:noWrap w:val="0"/>
            <w:vAlign w:val="top"/>
          </w:tcPr>
          <w:p>
            <w:pPr>
              <w:autoSpaceDE w:val="0"/>
              <w:autoSpaceDN w:val="0"/>
              <w:spacing w:line="460" w:lineRule="atLeast"/>
              <w:jc w:val="center"/>
              <w:rPr>
                <w:rFonts w:ascii="宋体" w:hAnsi="宋体" w:eastAsia="宋体"/>
                <w:b w:val="0"/>
                <w:color w:val="00000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7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664"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1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831" w:type="dxa"/>
            <w:noWrap w:val="0"/>
            <w:vAlign w:val="top"/>
          </w:tcPr>
          <w:p>
            <w:pPr>
              <w:autoSpaceDE w:val="0"/>
              <w:autoSpaceDN w:val="0"/>
              <w:spacing w:line="460" w:lineRule="atLeast"/>
              <w:jc w:val="center"/>
              <w:rPr>
                <w:rFonts w:ascii="宋体" w:hAnsi="宋体" w:eastAsia="宋体"/>
                <w:b w:val="0"/>
                <w:color w:val="00000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7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664"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1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831" w:type="dxa"/>
            <w:noWrap w:val="0"/>
            <w:vAlign w:val="top"/>
          </w:tcPr>
          <w:p>
            <w:pPr>
              <w:autoSpaceDE w:val="0"/>
              <w:autoSpaceDN w:val="0"/>
              <w:spacing w:line="460" w:lineRule="atLeast"/>
              <w:jc w:val="center"/>
              <w:rPr>
                <w:rFonts w:ascii="宋体" w:hAnsi="宋体" w:eastAsia="宋体"/>
                <w:b w:val="0"/>
                <w:color w:val="00000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7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664"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1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831" w:type="dxa"/>
            <w:noWrap w:val="0"/>
            <w:vAlign w:val="top"/>
          </w:tcPr>
          <w:p>
            <w:pPr>
              <w:autoSpaceDE w:val="0"/>
              <w:autoSpaceDN w:val="0"/>
              <w:spacing w:line="460" w:lineRule="atLeast"/>
              <w:jc w:val="center"/>
              <w:rPr>
                <w:rFonts w:ascii="宋体" w:hAnsi="宋体" w:eastAsia="宋体"/>
                <w:b w:val="0"/>
                <w:color w:val="00000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7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664"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1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831" w:type="dxa"/>
            <w:noWrap w:val="0"/>
            <w:vAlign w:val="top"/>
          </w:tcPr>
          <w:p>
            <w:pPr>
              <w:autoSpaceDE w:val="0"/>
              <w:autoSpaceDN w:val="0"/>
              <w:spacing w:line="460" w:lineRule="atLeast"/>
              <w:jc w:val="center"/>
              <w:rPr>
                <w:rFonts w:ascii="宋体" w:hAnsi="宋体" w:eastAsia="宋体"/>
                <w:b w:val="0"/>
                <w:color w:val="00000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36" w:hRule="atLeast"/>
        </w:trPr>
        <w:tc>
          <w:tcPr>
            <w:tcW w:w="882"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7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664"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2110" w:type="dxa"/>
            <w:noWrap w:val="0"/>
            <w:vAlign w:val="top"/>
          </w:tcPr>
          <w:p>
            <w:pPr>
              <w:autoSpaceDE w:val="0"/>
              <w:autoSpaceDN w:val="0"/>
              <w:spacing w:line="460" w:lineRule="atLeast"/>
              <w:jc w:val="center"/>
              <w:rPr>
                <w:rFonts w:ascii="宋体" w:hAnsi="宋体" w:eastAsia="宋体"/>
                <w:b w:val="0"/>
                <w:color w:val="000000"/>
                <w:sz w:val="22"/>
                <w:lang w:val="zh-CN"/>
              </w:rPr>
            </w:pPr>
          </w:p>
        </w:tc>
        <w:tc>
          <w:tcPr>
            <w:tcW w:w="1831" w:type="dxa"/>
            <w:noWrap w:val="0"/>
            <w:vAlign w:val="top"/>
          </w:tcPr>
          <w:p>
            <w:pPr>
              <w:autoSpaceDE w:val="0"/>
              <w:autoSpaceDN w:val="0"/>
              <w:spacing w:line="460" w:lineRule="atLeast"/>
              <w:jc w:val="center"/>
              <w:rPr>
                <w:rFonts w:ascii="宋体" w:hAnsi="宋体" w:eastAsia="宋体"/>
                <w:b w:val="0"/>
                <w:color w:val="000000"/>
                <w:sz w:val="22"/>
                <w:lang w:val="zh-CN"/>
              </w:rPr>
            </w:pPr>
          </w:p>
        </w:tc>
      </w:tr>
    </w:tbl>
    <w:p>
      <w:pPr>
        <w:spacing w:line="460" w:lineRule="atLeast"/>
        <w:ind w:right="1120"/>
        <w:rPr>
          <w:rFonts w:ascii="宋体" w:hAnsi="宋体" w:eastAsia="宋体"/>
          <w:b w:val="0"/>
          <w:color w:val="000000"/>
          <w:sz w:val="22"/>
        </w:rPr>
      </w:pPr>
      <w:r>
        <w:rPr>
          <w:rFonts w:hint="eastAsia" w:ascii="宋体" w:hAnsi="宋体" w:eastAsia="宋体"/>
          <w:b w:val="0"/>
          <w:color w:val="000000"/>
          <w:sz w:val="22"/>
        </w:rPr>
        <w:t xml:space="preserve">投标供应商（盖章）：                  </w:t>
      </w:r>
    </w:p>
    <w:p>
      <w:pPr>
        <w:spacing w:before="120" w:beforeLines="50" w:after="120" w:afterLines="50" w:line="460" w:lineRule="atLeast"/>
        <w:ind w:right="-10"/>
        <w:jc w:val="center"/>
        <w:rPr>
          <w:rFonts w:ascii="宋体" w:hAnsi="宋体" w:eastAsia="宋体"/>
          <w:b w:val="0"/>
          <w:color w:val="000000"/>
          <w:sz w:val="36"/>
        </w:rPr>
      </w:pPr>
    </w:p>
    <w:p>
      <w:pPr>
        <w:spacing w:before="120" w:beforeLines="50" w:after="120" w:afterLines="50" w:line="460" w:lineRule="atLeast"/>
        <w:ind w:right="-10"/>
        <w:jc w:val="center"/>
        <w:rPr>
          <w:rFonts w:ascii="宋体" w:hAnsi="宋体" w:eastAsia="宋体"/>
          <w:b w:val="0"/>
          <w:color w:val="000000"/>
          <w:sz w:val="36"/>
        </w:rPr>
      </w:pPr>
    </w:p>
    <w:p>
      <w:pPr>
        <w:spacing w:before="120" w:beforeLines="50" w:after="120" w:afterLines="50" w:line="460" w:lineRule="atLeast"/>
        <w:ind w:right="-10"/>
        <w:jc w:val="center"/>
        <w:rPr>
          <w:rFonts w:ascii="宋体" w:hAnsi="宋体" w:eastAsia="宋体"/>
          <w:b w:val="0"/>
          <w:color w:val="000000"/>
          <w:sz w:val="36"/>
        </w:rPr>
      </w:pPr>
    </w:p>
    <w:p>
      <w:pPr>
        <w:spacing w:before="120" w:beforeLines="50" w:after="120" w:afterLines="50" w:line="460" w:lineRule="atLeast"/>
        <w:ind w:right="-10"/>
        <w:jc w:val="center"/>
        <w:rPr>
          <w:rFonts w:ascii="宋体" w:hAnsi="宋体" w:eastAsia="宋体"/>
          <w:b w:val="0"/>
          <w:color w:val="000000"/>
          <w:sz w:val="36"/>
        </w:rPr>
      </w:pPr>
    </w:p>
    <w:p>
      <w:pPr>
        <w:spacing w:before="120" w:beforeLines="50" w:after="120" w:afterLines="50" w:line="460" w:lineRule="atLeast"/>
        <w:ind w:right="-10"/>
        <w:jc w:val="center"/>
        <w:rPr>
          <w:rFonts w:ascii="宋体" w:hAnsi="宋体" w:eastAsia="宋体"/>
          <w:b w:val="0"/>
          <w:color w:val="000000"/>
          <w:sz w:val="36"/>
        </w:rPr>
      </w:pPr>
    </w:p>
    <w:p>
      <w:pPr>
        <w:spacing w:before="120" w:beforeLines="50" w:after="120" w:afterLines="50" w:line="460" w:lineRule="atLeast"/>
        <w:ind w:right="-10"/>
        <w:jc w:val="center"/>
        <w:rPr>
          <w:rFonts w:ascii="宋体" w:hAnsi="宋体" w:eastAsia="宋体"/>
          <w:b w:val="0"/>
          <w:color w:val="000000"/>
          <w:sz w:val="36"/>
        </w:rPr>
      </w:pPr>
    </w:p>
    <w:p>
      <w:pPr>
        <w:spacing w:before="120" w:beforeLines="50" w:after="120" w:afterLines="50" w:line="460" w:lineRule="atLeast"/>
        <w:ind w:right="-10"/>
        <w:jc w:val="center"/>
        <w:rPr>
          <w:rFonts w:ascii="宋体" w:hAnsi="宋体" w:eastAsia="宋体"/>
          <w:b w:val="0"/>
          <w:color w:val="000000"/>
          <w:sz w:val="36"/>
        </w:rPr>
      </w:pPr>
    </w:p>
    <w:p>
      <w:pPr>
        <w:spacing w:before="120" w:beforeLines="50" w:after="120" w:afterLines="50" w:line="460" w:lineRule="atLeast"/>
        <w:ind w:right="-10"/>
        <w:jc w:val="center"/>
        <w:rPr>
          <w:rFonts w:ascii="宋体" w:hAnsi="宋体" w:eastAsia="宋体"/>
          <w:b w:val="0"/>
          <w:color w:val="000000"/>
          <w:sz w:val="36"/>
        </w:rPr>
      </w:pPr>
    </w:p>
    <w:p>
      <w:pPr>
        <w:autoSpaceDE w:val="0"/>
        <w:autoSpaceDN w:val="0"/>
        <w:spacing w:line="460" w:lineRule="atLeast"/>
        <w:rPr>
          <w:rFonts w:ascii="宋体" w:hAnsi="宋体" w:eastAsia="宋体"/>
          <w:b w:val="0"/>
          <w:color w:val="000000"/>
          <w:sz w:val="32"/>
          <w:lang w:val="zh-CN"/>
        </w:rPr>
      </w:pPr>
      <w:r>
        <w:rPr>
          <w:rFonts w:hint="eastAsia" w:ascii="宋体" w:hAnsi="宋体" w:eastAsia="宋体"/>
          <w:b w:val="0"/>
          <w:color w:val="000000"/>
          <w:sz w:val="32"/>
        </w:rPr>
        <w:t>附件十二</w:t>
      </w:r>
      <w:r>
        <w:rPr>
          <w:rFonts w:hint="eastAsia" w:ascii="宋体" w:hAnsi="宋体" w:eastAsia="宋体"/>
          <w:b w:val="0"/>
          <w:color w:val="000000"/>
          <w:sz w:val="32"/>
          <w:lang w:val="zh-CN"/>
        </w:rPr>
        <w:t xml:space="preserve">       </w:t>
      </w:r>
    </w:p>
    <w:p>
      <w:pPr>
        <w:autoSpaceDE w:val="0"/>
        <w:autoSpaceDN w:val="0"/>
        <w:spacing w:line="460" w:lineRule="atLeast"/>
        <w:jc w:val="center"/>
        <w:rPr>
          <w:rFonts w:ascii="宋体" w:hAnsi="宋体" w:eastAsia="宋体"/>
          <w:b w:val="0"/>
          <w:color w:val="000000"/>
          <w:sz w:val="36"/>
          <w:lang w:val="zh-CN"/>
        </w:rPr>
      </w:pPr>
      <w:r>
        <w:rPr>
          <w:rFonts w:hint="eastAsia" w:ascii="宋体" w:hAnsi="宋体" w:eastAsia="宋体"/>
          <w:b w:val="0"/>
          <w:color w:val="000000"/>
          <w:sz w:val="36"/>
          <w:lang w:val="zh-CN"/>
        </w:rPr>
        <w:t>节能环保产品声明函</w:t>
      </w:r>
    </w:p>
    <w:p>
      <w:pPr>
        <w:autoSpaceDE w:val="0"/>
        <w:autoSpaceDN w:val="0"/>
        <w:spacing w:line="460" w:lineRule="atLeast"/>
        <w:jc w:val="center"/>
        <w:rPr>
          <w:rFonts w:ascii="宋体" w:hAnsi="宋体" w:eastAsia="宋体"/>
          <w:b w:val="0"/>
          <w:color w:val="000000"/>
          <w:sz w:val="36"/>
          <w:lang w:val="zh-CN"/>
        </w:rPr>
      </w:pPr>
      <w:r>
        <w:rPr>
          <w:rFonts w:hint="eastAsia" w:ascii="宋体" w:hAnsi="宋体" w:eastAsia="宋体"/>
          <w:b w:val="0"/>
          <w:color w:val="000000"/>
          <w:sz w:val="22"/>
        </w:rPr>
        <w:t>(如有则提供)</w:t>
      </w:r>
    </w:p>
    <w:p>
      <w:pPr>
        <w:rPr>
          <w:rFonts w:ascii="宋体" w:hAnsi="宋体" w:eastAsia="宋体"/>
          <w:color w:val="000000"/>
          <w:sz w:val="28"/>
        </w:rPr>
      </w:pPr>
    </w:p>
    <w:p>
      <w:pPr>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eastAsia="宋体"/>
          <w:b w:val="0"/>
          <w:color w:val="000000"/>
          <w:sz w:val="22"/>
        </w:rPr>
        <w:t>2019〕9号）</w:t>
      </w:r>
      <w:r>
        <w:rPr>
          <w:rFonts w:hint="eastAsia" w:ascii="宋体" w:hAnsi="宋体" w:eastAsia="宋体"/>
          <w:b w:val="0"/>
          <w:color w:val="000000"/>
          <w:sz w:val="22"/>
        </w:rPr>
        <w:t>、《关于印发节能产品政府采购品目清单的通知》（财库〔</w:t>
      </w:r>
      <w:r>
        <w:rPr>
          <w:rFonts w:ascii="宋体" w:hAnsi="宋体" w:eastAsia="宋体"/>
          <w:b w:val="0"/>
          <w:color w:val="000000"/>
          <w:sz w:val="22"/>
        </w:rPr>
        <w:t>2019〕19号）</w:t>
      </w:r>
      <w:r>
        <w:rPr>
          <w:rFonts w:hint="eastAsia" w:ascii="宋体" w:hAnsi="宋体" w:eastAsia="宋体"/>
          <w:b w:val="0"/>
          <w:color w:val="000000"/>
          <w:sz w:val="22"/>
        </w:rPr>
        <w:t>、《关于印发环境标志产品政府采购品目清单的通知》（财库〔</w:t>
      </w:r>
      <w:r>
        <w:rPr>
          <w:rFonts w:ascii="宋体" w:hAnsi="宋体" w:eastAsia="宋体"/>
          <w:b w:val="0"/>
          <w:color w:val="000000"/>
          <w:sz w:val="22"/>
        </w:rPr>
        <w:t>2019〕18号）</w:t>
      </w:r>
      <w:r>
        <w:rPr>
          <w:rFonts w:hint="eastAsia" w:ascii="宋体" w:hAnsi="宋体" w:eastAsia="宋体"/>
          <w:b w:val="0"/>
          <w:color w:val="000000"/>
          <w:sz w:val="22"/>
        </w:rPr>
        <w:t>、《市场监管总局关于发布参与实施政府采购节能产品、环境标志产品认证机构名录的公告》（</w:t>
      </w:r>
      <w:r>
        <w:rPr>
          <w:rFonts w:ascii="宋体" w:hAnsi="宋体" w:eastAsia="宋体"/>
          <w:b w:val="0"/>
          <w:color w:val="000000"/>
          <w:sz w:val="22"/>
        </w:rPr>
        <w:t>2019年第16号</w:t>
      </w:r>
      <w:r>
        <w:rPr>
          <w:rFonts w:hint="eastAsia" w:ascii="宋体" w:hAnsi="宋体" w:eastAsia="宋体"/>
          <w:b w:val="0"/>
          <w:color w:val="000000"/>
          <w:sz w:val="22"/>
        </w:rPr>
        <w:t>）的规定，本公司声明如下：</w:t>
      </w:r>
    </w:p>
    <w:p>
      <w:pPr>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1.本公司参加</w:t>
      </w:r>
      <w:r>
        <w:rPr>
          <w:rFonts w:hint="eastAsia" w:ascii="宋体" w:hAnsi="宋体" w:eastAsia="宋体"/>
          <w:b w:val="0"/>
          <w:color w:val="000000"/>
          <w:sz w:val="22"/>
          <w:u w:val="single"/>
        </w:rPr>
        <w:t>（招标项目名称，项目编号）</w:t>
      </w:r>
      <w:r>
        <w:rPr>
          <w:rFonts w:hint="eastAsia" w:ascii="宋体" w:hAnsi="宋体" w:eastAsia="宋体"/>
          <w:b w:val="0"/>
          <w:color w:val="000000"/>
          <w:sz w:val="22"/>
        </w:rPr>
        <w:t>的采购活动提供的</w:t>
      </w:r>
      <w:r>
        <w:rPr>
          <w:rFonts w:hint="eastAsia" w:ascii="宋体" w:hAnsi="宋体" w:eastAsia="宋体"/>
          <w:b w:val="0"/>
          <w:color w:val="000000"/>
          <w:sz w:val="22"/>
          <w:u w:val="single"/>
        </w:rPr>
        <w:t xml:space="preserve">      </w:t>
      </w:r>
      <w:r>
        <w:rPr>
          <w:rFonts w:hint="eastAsia" w:ascii="宋体" w:hAnsi="宋体" w:eastAsia="宋体"/>
          <w:b w:val="0"/>
          <w:color w:val="000000"/>
          <w:sz w:val="22"/>
        </w:rPr>
        <w:t>产品已列入《节能产品政府采购品目清单》。</w:t>
      </w:r>
    </w:p>
    <w:p>
      <w:pPr>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2.本公司参加</w:t>
      </w:r>
      <w:r>
        <w:rPr>
          <w:rFonts w:hint="eastAsia" w:ascii="宋体" w:hAnsi="宋体" w:eastAsia="宋体"/>
          <w:b w:val="0"/>
          <w:color w:val="000000"/>
          <w:sz w:val="22"/>
          <w:u w:val="single"/>
        </w:rPr>
        <w:t>（招标项目名称，项目编号）</w:t>
      </w:r>
      <w:r>
        <w:rPr>
          <w:rFonts w:hint="eastAsia" w:ascii="宋体" w:hAnsi="宋体" w:eastAsia="宋体"/>
          <w:b w:val="0"/>
          <w:color w:val="000000"/>
          <w:sz w:val="22"/>
        </w:rPr>
        <w:t>的采购活动提供的</w:t>
      </w:r>
      <w:r>
        <w:rPr>
          <w:rFonts w:hint="eastAsia" w:ascii="宋体" w:hAnsi="宋体" w:eastAsia="宋体"/>
          <w:b w:val="0"/>
          <w:color w:val="000000"/>
          <w:sz w:val="22"/>
          <w:u w:val="single"/>
        </w:rPr>
        <w:t xml:space="preserve">      </w:t>
      </w:r>
      <w:r>
        <w:rPr>
          <w:rFonts w:hint="eastAsia" w:ascii="宋体" w:hAnsi="宋体" w:eastAsia="宋体"/>
          <w:b w:val="0"/>
          <w:color w:val="000000"/>
          <w:sz w:val="22"/>
        </w:rPr>
        <w:t>产品已列入《环境标志产品政府采购品目清单》。</w:t>
      </w:r>
    </w:p>
    <w:p>
      <w:pPr>
        <w:spacing w:line="460" w:lineRule="atLeast"/>
        <w:ind w:firstLine="440" w:firstLineChars="200"/>
        <w:rPr>
          <w:rFonts w:ascii="宋体" w:hAnsi="宋体" w:eastAsia="宋体"/>
          <w:b w:val="0"/>
          <w:color w:val="000000"/>
          <w:sz w:val="22"/>
        </w:rPr>
      </w:pPr>
      <w:r>
        <w:rPr>
          <w:rFonts w:hint="eastAsia" w:ascii="宋体" w:hAnsi="宋体" w:eastAsia="宋体"/>
          <w:b w:val="0"/>
          <w:color w:val="000000"/>
          <w:sz w:val="22"/>
        </w:rPr>
        <w:t>本公司对上述声明的真实性负责。如有虚假，将依法承担相应法律责任。</w:t>
      </w:r>
    </w:p>
    <w:p>
      <w:pPr>
        <w:spacing w:line="460" w:lineRule="atLeast"/>
        <w:rPr>
          <w:rFonts w:ascii="宋体" w:hAnsi="宋体" w:eastAsia="宋体"/>
          <w:b w:val="0"/>
          <w:color w:val="000000"/>
          <w:sz w:val="22"/>
        </w:rPr>
      </w:pPr>
    </w:p>
    <w:p>
      <w:pPr>
        <w:autoSpaceDE w:val="0"/>
        <w:autoSpaceDN w:val="0"/>
        <w:spacing w:line="460" w:lineRule="atLeast"/>
        <w:rPr>
          <w:rFonts w:ascii="宋体" w:hAnsi="宋体" w:eastAsia="宋体" w:cs="Arial"/>
          <w:b w:val="0"/>
          <w:color w:val="000000"/>
          <w:sz w:val="22"/>
          <w:lang w:val="zh-CN"/>
        </w:rPr>
      </w:pPr>
      <w:r>
        <w:rPr>
          <w:rFonts w:hint="eastAsia" w:ascii="宋体" w:hAnsi="宋体" w:eastAsia="宋体" w:cs="Arial"/>
          <w:b w:val="0"/>
          <w:color w:val="000000"/>
          <w:sz w:val="22"/>
          <w:lang w:val="zh-CN"/>
        </w:rPr>
        <w:t xml:space="preserve">投标供应商（盖章）：        </w:t>
      </w:r>
    </w:p>
    <w:p>
      <w:pPr>
        <w:spacing w:line="460" w:lineRule="atLeast"/>
        <w:rPr>
          <w:rFonts w:ascii="宋体" w:hAnsi="宋体" w:eastAsia="宋体"/>
          <w:b w:val="0"/>
          <w:color w:val="000000"/>
          <w:sz w:val="28"/>
        </w:rPr>
      </w:pPr>
      <w:r>
        <w:rPr>
          <w:rFonts w:hint="eastAsia" w:ascii="宋体" w:hAnsi="宋体" w:eastAsia="宋体"/>
          <w:b w:val="0"/>
          <w:color w:val="000000"/>
          <w:sz w:val="22"/>
        </w:rPr>
        <w:t xml:space="preserve">日 期：                  </w:t>
      </w:r>
    </w:p>
    <w:p>
      <w:pPr>
        <w:autoSpaceDE w:val="0"/>
        <w:autoSpaceDN w:val="0"/>
        <w:spacing w:line="460" w:lineRule="atLeast"/>
        <w:rPr>
          <w:rFonts w:ascii="宋体" w:hAnsi="宋体" w:eastAsia="宋体"/>
          <w:b w:val="0"/>
          <w:color w:val="000000"/>
          <w:sz w:val="28"/>
        </w:rPr>
      </w:pPr>
      <w:r>
        <w:rPr>
          <w:rFonts w:ascii="宋体" w:hAnsi="宋体" w:eastAsia="宋体"/>
          <w:color w:val="000000"/>
        </w:rPr>
        <w:br w:type="page"/>
      </w:r>
      <w:r>
        <w:rPr>
          <w:rFonts w:hint="eastAsia" w:ascii="宋体" w:hAnsi="宋体" w:eastAsia="宋体"/>
          <w:b w:val="0"/>
          <w:color w:val="000000"/>
          <w:sz w:val="32"/>
        </w:rPr>
        <w:t>附件十三</w:t>
      </w:r>
    </w:p>
    <w:p>
      <w:pPr>
        <w:autoSpaceDE w:val="0"/>
        <w:autoSpaceDN w:val="0"/>
        <w:spacing w:line="460" w:lineRule="atLeast"/>
        <w:jc w:val="center"/>
        <w:rPr>
          <w:rFonts w:ascii="宋体" w:hAnsi="宋体" w:eastAsia="宋体"/>
          <w:b w:val="0"/>
          <w:color w:val="000000"/>
          <w:sz w:val="36"/>
          <w:lang w:val="zh-CN"/>
        </w:rPr>
      </w:pPr>
      <w:r>
        <w:rPr>
          <w:rFonts w:hint="eastAsia" w:ascii="宋体" w:hAnsi="宋体" w:eastAsia="宋体"/>
          <w:b w:val="0"/>
          <w:color w:val="000000"/>
          <w:sz w:val="36"/>
          <w:lang w:val="zh-CN"/>
        </w:rPr>
        <w:t>节能（环保）产品清单</w:t>
      </w:r>
    </w:p>
    <w:p>
      <w:pPr>
        <w:autoSpaceDE w:val="0"/>
        <w:autoSpaceDN w:val="0"/>
        <w:spacing w:line="460" w:lineRule="atLeast"/>
        <w:jc w:val="center"/>
        <w:rPr>
          <w:rFonts w:ascii="宋体" w:hAnsi="宋体" w:eastAsia="宋体"/>
          <w:b w:val="0"/>
          <w:color w:val="000000"/>
          <w:sz w:val="36"/>
          <w:lang w:val="zh-CN"/>
        </w:rPr>
      </w:pPr>
      <w:r>
        <w:rPr>
          <w:rFonts w:hint="eastAsia" w:ascii="宋体" w:hAnsi="宋体" w:eastAsia="宋体"/>
          <w:b w:val="0"/>
          <w:color w:val="000000"/>
          <w:sz w:val="22"/>
        </w:rPr>
        <w:t>(如有则提供)</w:t>
      </w:r>
    </w:p>
    <w:p>
      <w:pPr>
        <w:rPr>
          <w:rFonts w:ascii="宋体" w:hAnsi="宋体" w:eastAsia="宋体"/>
          <w:b w:val="0"/>
          <w:color w:val="000000"/>
          <w:sz w:val="22"/>
        </w:rPr>
      </w:pPr>
      <w:r>
        <w:rPr>
          <w:rFonts w:hint="eastAsia" w:ascii="宋体" w:hAnsi="宋体" w:eastAsia="宋体"/>
          <w:b w:val="0"/>
          <w:color w:val="000000"/>
          <w:sz w:val="22"/>
        </w:rPr>
        <w:t>（1）投标产品中已列入《节能产品政府采购品目清单》明细</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产品名称、</w:t>
            </w:r>
          </w:p>
          <w:p>
            <w:pPr>
              <w:spacing w:line="460" w:lineRule="exact"/>
              <w:jc w:val="center"/>
              <w:rPr>
                <w:rFonts w:ascii="宋体" w:hAnsi="宋体" w:eastAsia="宋体"/>
                <w:b w:val="0"/>
                <w:color w:val="000000"/>
                <w:sz w:val="22"/>
              </w:rPr>
            </w:pPr>
            <w:r>
              <w:rPr>
                <w:rFonts w:hint="eastAsia" w:ascii="宋体" w:hAnsi="宋体" w:eastAsia="宋体"/>
                <w:b w:val="0"/>
                <w:color w:val="000000"/>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ascii="宋体" w:hAnsi="宋体" w:eastAsia="宋体"/>
                <w:b w:val="0"/>
                <w:color w:val="000000"/>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p>
            <w:pPr>
              <w:spacing w:line="460" w:lineRule="exact"/>
              <w:rPr>
                <w:rFonts w:ascii="宋体" w:hAnsi="宋体" w:eastAsia="宋体"/>
                <w:b w:val="0"/>
                <w:color w:val="00000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r>
    </w:tbl>
    <w:p>
      <w:pPr>
        <w:spacing w:line="460" w:lineRule="exact"/>
        <w:rPr>
          <w:rFonts w:ascii="宋体" w:hAnsi="宋体" w:eastAsia="宋体"/>
          <w:b w:val="0"/>
          <w:color w:val="000000"/>
          <w:sz w:val="22"/>
        </w:rPr>
      </w:pPr>
      <w:r>
        <w:rPr>
          <w:rFonts w:hint="eastAsia" w:ascii="宋体" w:hAnsi="宋体" w:eastAsia="宋体"/>
          <w:b w:val="0"/>
          <w:color w:val="000000"/>
          <w:sz w:val="22"/>
        </w:rPr>
        <w:t>（2）投标产品中已列入《环境标志产品政府采购品目清单》明细</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产品名称、</w:t>
            </w:r>
          </w:p>
          <w:p>
            <w:pPr>
              <w:spacing w:line="460" w:lineRule="exact"/>
              <w:jc w:val="center"/>
              <w:rPr>
                <w:rFonts w:ascii="宋体" w:hAnsi="宋体" w:eastAsia="宋体"/>
                <w:b w:val="0"/>
                <w:color w:val="000000"/>
                <w:sz w:val="22"/>
              </w:rPr>
            </w:pPr>
            <w:r>
              <w:rPr>
                <w:rFonts w:hint="eastAsia" w:ascii="宋体" w:hAnsi="宋体" w:eastAsia="宋体"/>
                <w:b w:val="0"/>
                <w:color w:val="000000"/>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b w:val="0"/>
                <w:color w:val="000000"/>
                <w:sz w:val="22"/>
              </w:rPr>
            </w:pPr>
            <w:r>
              <w:rPr>
                <w:rFonts w:ascii="宋体" w:hAnsi="宋体" w:eastAsia="宋体"/>
                <w:b w:val="0"/>
                <w:color w:val="000000"/>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b w:val="0"/>
                <w:color w:val="000000"/>
                <w:sz w:val="22"/>
              </w:rPr>
            </w:pPr>
          </w:p>
        </w:tc>
      </w:tr>
    </w:tbl>
    <w:p>
      <w:pPr>
        <w:spacing w:line="460" w:lineRule="exact"/>
        <w:rPr>
          <w:rFonts w:ascii="宋体" w:hAnsi="宋体" w:eastAsia="宋体"/>
          <w:color w:val="000000"/>
          <w:sz w:val="22"/>
        </w:rPr>
      </w:pPr>
      <w:r>
        <w:rPr>
          <w:rFonts w:hint="eastAsia" w:ascii="宋体" w:hAnsi="宋体" w:eastAsia="宋体"/>
          <w:color w:val="000000"/>
          <w:sz w:val="22"/>
        </w:rPr>
        <w:t>说明：1、</w:t>
      </w:r>
      <w:r>
        <w:rPr>
          <w:rFonts w:ascii="宋体" w:hAnsi="宋体" w:eastAsia="宋体"/>
          <w:color w:val="000000"/>
          <w:sz w:val="22"/>
        </w:rPr>
        <w:t>供应商应提供所投产品具体型号</w:t>
      </w:r>
      <w:r>
        <w:rPr>
          <w:rFonts w:hint="eastAsia" w:ascii="宋体" w:hAnsi="宋体" w:eastAsia="宋体"/>
          <w:color w:val="000000"/>
          <w:sz w:val="22"/>
        </w:rPr>
        <w:t>，</w:t>
      </w:r>
      <w:r>
        <w:rPr>
          <w:rFonts w:ascii="宋体" w:hAnsi="宋体" w:eastAsia="宋体"/>
          <w:color w:val="000000"/>
          <w:sz w:val="22"/>
        </w:rPr>
        <w:t>如因型号无法确认的</w:t>
      </w:r>
      <w:r>
        <w:rPr>
          <w:rFonts w:hint="eastAsia" w:ascii="宋体" w:hAnsi="宋体" w:eastAsia="宋体"/>
          <w:color w:val="000000"/>
          <w:sz w:val="22"/>
        </w:rPr>
        <w:t>，</w:t>
      </w:r>
      <w:r>
        <w:rPr>
          <w:rFonts w:ascii="宋体" w:hAnsi="宋体" w:eastAsia="宋体"/>
          <w:color w:val="000000"/>
          <w:sz w:val="22"/>
        </w:rPr>
        <w:t>造成的后果由投标供应商自负</w:t>
      </w:r>
      <w:r>
        <w:rPr>
          <w:rFonts w:hint="eastAsia" w:ascii="宋体" w:hAnsi="宋体" w:eastAsia="宋体"/>
          <w:b w:val="0"/>
          <w:color w:val="000000"/>
          <w:sz w:val="22"/>
        </w:rPr>
        <w:t>。</w:t>
      </w:r>
      <w:r>
        <w:rPr>
          <w:rFonts w:hint="eastAsia" w:ascii="宋体" w:hAnsi="宋体" w:eastAsia="宋体"/>
          <w:color w:val="000000"/>
          <w:sz w:val="22"/>
        </w:rPr>
        <w:t>表后附所投相关产品对应的认证证书扫描件；其中本次采购的产品属于政府强制采购节能产品范围的，投标供应商必须选用符合要求的产品并在投标文件中提供相关产品的认证证书扫描件，否则按无效投标处理，具体品目见《关于印发节能产品政府采购品目清单的通知》（财库〔</w:t>
      </w:r>
      <w:r>
        <w:rPr>
          <w:rFonts w:ascii="宋体" w:hAnsi="宋体" w:eastAsia="宋体"/>
          <w:color w:val="000000"/>
          <w:sz w:val="22"/>
        </w:rPr>
        <w:t>2019〕19号）</w:t>
      </w:r>
      <w:r>
        <w:rPr>
          <w:rFonts w:hint="eastAsia" w:ascii="宋体" w:hAnsi="宋体" w:eastAsia="宋体" w:cs="Arial"/>
          <w:color w:val="000000"/>
          <w:sz w:val="22"/>
        </w:rPr>
        <w:t>。投标文件中必须提供</w:t>
      </w:r>
      <w:r>
        <w:rPr>
          <w:rFonts w:ascii="宋体" w:hAnsi="宋体" w:eastAsia="宋体"/>
          <w:color w:val="000000"/>
          <w:sz w:val="22"/>
        </w:rPr>
        <w:t>属于政府强制采购的节能产品</w:t>
      </w:r>
      <w:r>
        <w:rPr>
          <w:rFonts w:hint="eastAsia" w:ascii="宋体" w:hAnsi="宋体" w:eastAsia="宋体" w:cs="Arial"/>
          <w:color w:val="000000"/>
          <w:sz w:val="22"/>
        </w:rPr>
        <w:t>的认证证书扫描件，否则按无效投标处理。</w:t>
      </w:r>
    </w:p>
    <w:p>
      <w:pPr>
        <w:spacing w:line="460" w:lineRule="exact"/>
        <w:ind w:firstLine="663" w:firstLineChars="300"/>
        <w:rPr>
          <w:rFonts w:ascii="宋体" w:hAnsi="宋体" w:eastAsia="宋体"/>
          <w:color w:val="000000"/>
          <w:sz w:val="22"/>
        </w:rPr>
      </w:pPr>
      <w:r>
        <w:rPr>
          <w:rFonts w:hint="eastAsia" w:ascii="宋体" w:hAnsi="宋体" w:eastAsia="宋体"/>
          <w:color w:val="000000"/>
          <w:sz w:val="22"/>
        </w:rPr>
        <w:t>2、表格可以延续。</w:t>
      </w:r>
    </w:p>
    <w:p>
      <w:pPr>
        <w:autoSpaceDE w:val="0"/>
        <w:autoSpaceDN w:val="0"/>
        <w:spacing w:line="460" w:lineRule="atLeast"/>
        <w:rPr>
          <w:rFonts w:ascii="宋体" w:hAnsi="宋体" w:eastAsia="宋体" w:cs="Arial"/>
          <w:b w:val="0"/>
          <w:color w:val="000000"/>
          <w:sz w:val="22"/>
          <w:lang w:val="zh-CN"/>
        </w:rPr>
      </w:pPr>
      <w:r>
        <w:rPr>
          <w:rFonts w:hint="eastAsia" w:ascii="宋体" w:hAnsi="宋体" w:eastAsia="宋体" w:cs="Arial"/>
          <w:b w:val="0"/>
          <w:color w:val="000000"/>
          <w:sz w:val="22"/>
          <w:lang w:val="zh-CN"/>
        </w:rPr>
        <w:t xml:space="preserve">投标供应商（盖章）：   </w:t>
      </w:r>
    </w:p>
    <w:p>
      <w:pPr>
        <w:spacing w:line="460" w:lineRule="exact"/>
        <w:rPr>
          <w:rFonts w:ascii="宋体" w:hAnsi="宋体" w:eastAsia="宋体"/>
          <w:b w:val="0"/>
          <w:color w:val="000000"/>
          <w:sz w:val="22"/>
        </w:rPr>
      </w:pPr>
      <w:r>
        <w:rPr>
          <w:rFonts w:hint="eastAsia" w:ascii="宋体" w:hAnsi="宋体" w:eastAsia="宋体"/>
          <w:b w:val="0"/>
          <w:color w:val="000000"/>
          <w:sz w:val="22"/>
        </w:rPr>
        <w:t xml:space="preserve">日 期：          </w:t>
      </w:r>
    </w:p>
    <w:p>
      <w:pPr>
        <w:autoSpaceDE w:val="0"/>
        <w:autoSpaceDN w:val="0"/>
        <w:spacing w:line="460" w:lineRule="atLeast"/>
        <w:rPr>
          <w:rFonts w:ascii="宋体" w:hAnsi="宋体" w:eastAsia="宋体" w:cs="Arial"/>
          <w:b w:val="0"/>
          <w:color w:val="000000"/>
          <w:sz w:val="22"/>
          <w:lang w:val="zh-CN"/>
        </w:rPr>
      </w:pPr>
    </w:p>
    <w:p>
      <w:pPr>
        <w:spacing w:line="460" w:lineRule="exact"/>
        <w:rPr>
          <w:rFonts w:ascii="宋体" w:hAnsi="宋体" w:eastAsia="宋体"/>
          <w:b w:val="0"/>
          <w:color w:val="000000"/>
          <w:sz w:val="22"/>
        </w:rPr>
      </w:pPr>
      <w:r>
        <w:rPr>
          <w:rFonts w:hint="eastAsia" w:ascii="宋体" w:hAnsi="宋体" w:eastAsia="宋体"/>
          <w:b w:val="0"/>
          <w:color w:val="000000"/>
          <w:sz w:val="32"/>
        </w:rPr>
        <w:t>附件十四</w:t>
      </w:r>
    </w:p>
    <w:p>
      <w:pPr>
        <w:pStyle w:val="39"/>
        <w:ind w:firstLine="720"/>
        <w:rPr>
          <w:rFonts w:ascii="宋体" w:hAnsi="宋体" w:eastAsia="宋体"/>
          <w:b w:val="0"/>
          <w:color w:val="000000"/>
          <w:sz w:val="36"/>
        </w:rPr>
      </w:pPr>
      <w:r>
        <w:rPr>
          <w:rFonts w:hint="eastAsia" w:ascii="宋体" w:hAnsi="宋体" w:eastAsia="宋体"/>
          <w:b w:val="0"/>
          <w:color w:val="000000"/>
          <w:sz w:val="36"/>
        </w:rPr>
        <w:t>针对本项目拟派人员名单</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jc w:val="center"/>
              <w:rPr>
                <w:rFonts w:ascii="宋体" w:hAnsi="宋体" w:eastAsia="宋体" w:cs="Arial"/>
                <w:b w:val="0"/>
                <w:color w:val="000000"/>
                <w:sz w:val="22"/>
              </w:rPr>
            </w:pPr>
            <w:r>
              <w:rPr>
                <w:rFonts w:ascii="宋体" w:hAnsi="宋体" w:eastAsia="宋体" w:cs="Arial"/>
                <w:b w:val="0"/>
                <w:color w:val="000000"/>
                <w:sz w:val="22"/>
              </w:rPr>
              <w:t>姓名</w:t>
            </w:r>
          </w:p>
        </w:tc>
        <w:tc>
          <w:tcPr>
            <w:tcW w:w="2520" w:type="dxa"/>
            <w:noWrap w:val="0"/>
            <w:vAlign w:val="center"/>
          </w:tcPr>
          <w:p>
            <w:pPr>
              <w:jc w:val="center"/>
              <w:rPr>
                <w:rFonts w:ascii="宋体" w:hAnsi="宋体" w:eastAsia="宋体" w:cs="Arial"/>
                <w:b w:val="0"/>
                <w:color w:val="000000"/>
                <w:sz w:val="22"/>
              </w:rPr>
            </w:pPr>
            <w:r>
              <w:rPr>
                <w:rFonts w:ascii="宋体" w:hAnsi="宋体" w:eastAsia="宋体" w:cs="Arial"/>
                <w:b w:val="0"/>
                <w:color w:val="000000"/>
                <w:sz w:val="22"/>
              </w:rPr>
              <w:t>本项目主要工作</w:t>
            </w:r>
          </w:p>
        </w:tc>
        <w:tc>
          <w:tcPr>
            <w:tcW w:w="720" w:type="dxa"/>
            <w:noWrap w:val="0"/>
            <w:vAlign w:val="center"/>
          </w:tcPr>
          <w:p>
            <w:pPr>
              <w:jc w:val="center"/>
              <w:rPr>
                <w:rFonts w:ascii="宋体" w:hAnsi="宋体" w:eastAsia="宋体" w:cs="Arial"/>
                <w:b w:val="0"/>
                <w:color w:val="000000"/>
                <w:sz w:val="22"/>
              </w:rPr>
            </w:pPr>
            <w:r>
              <w:rPr>
                <w:rFonts w:ascii="宋体" w:hAnsi="宋体" w:eastAsia="宋体" w:cs="Arial"/>
                <w:b w:val="0"/>
                <w:color w:val="000000"/>
                <w:sz w:val="22"/>
              </w:rPr>
              <w:t>年龄</w:t>
            </w:r>
          </w:p>
        </w:tc>
        <w:tc>
          <w:tcPr>
            <w:tcW w:w="720" w:type="dxa"/>
            <w:noWrap w:val="0"/>
            <w:vAlign w:val="center"/>
          </w:tcPr>
          <w:p>
            <w:pPr>
              <w:jc w:val="center"/>
              <w:rPr>
                <w:rFonts w:ascii="宋体" w:hAnsi="宋体" w:eastAsia="宋体" w:cs="Arial"/>
                <w:b w:val="0"/>
                <w:color w:val="000000"/>
                <w:sz w:val="22"/>
              </w:rPr>
            </w:pPr>
            <w:r>
              <w:rPr>
                <w:rFonts w:ascii="宋体" w:hAnsi="宋体" w:eastAsia="宋体" w:cs="Arial"/>
                <w:b w:val="0"/>
                <w:color w:val="000000"/>
                <w:sz w:val="22"/>
              </w:rPr>
              <w:t>性别</w:t>
            </w:r>
          </w:p>
        </w:tc>
        <w:tc>
          <w:tcPr>
            <w:tcW w:w="720" w:type="dxa"/>
            <w:noWrap w:val="0"/>
            <w:vAlign w:val="center"/>
          </w:tcPr>
          <w:p>
            <w:pPr>
              <w:jc w:val="center"/>
              <w:rPr>
                <w:rFonts w:ascii="宋体" w:hAnsi="宋体" w:eastAsia="宋体" w:cs="Arial"/>
                <w:b w:val="0"/>
                <w:color w:val="000000"/>
                <w:sz w:val="22"/>
              </w:rPr>
            </w:pPr>
            <w:r>
              <w:rPr>
                <w:rFonts w:ascii="宋体" w:hAnsi="宋体" w:eastAsia="宋体" w:cs="Arial"/>
                <w:b w:val="0"/>
                <w:color w:val="000000"/>
                <w:sz w:val="22"/>
              </w:rPr>
              <w:t>专业</w:t>
            </w:r>
          </w:p>
        </w:tc>
        <w:tc>
          <w:tcPr>
            <w:tcW w:w="1080" w:type="dxa"/>
            <w:noWrap w:val="0"/>
            <w:vAlign w:val="center"/>
          </w:tcPr>
          <w:p>
            <w:pPr>
              <w:jc w:val="center"/>
              <w:rPr>
                <w:rFonts w:ascii="宋体" w:hAnsi="宋体" w:eastAsia="宋体" w:cs="Arial"/>
                <w:b w:val="0"/>
                <w:color w:val="000000"/>
                <w:sz w:val="22"/>
              </w:rPr>
            </w:pPr>
            <w:r>
              <w:rPr>
                <w:rFonts w:ascii="宋体" w:hAnsi="宋体" w:eastAsia="宋体" w:cs="Arial"/>
                <w:b w:val="0"/>
                <w:color w:val="000000"/>
                <w:sz w:val="22"/>
              </w:rPr>
              <w:t>专业</w:t>
            </w:r>
          </w:p>
          <w:p>
            <w:pPr>
              <w:jc w:val="center"/>
              <w:rPr>
                <w:rFonts w:ascii="宋体" w:hAnsi="宋体" w:eastAsia="宋体" w:cs="Arial"/>
                <w:b w:val="0"/>
                <w:color w:val="000000"/>
                <w:sz w:val="22"/>
              </w:rPr>
            </w:pPr>
            <w:r>
              <w:rPr>
                <w:rFonts w:ascii="宋体" w:hAnsi="宋体" w:eastAsia="宋体" w:cs="Arial"/>
                <w:b w:val="0"/>
                <w:color w:val="000000"/>
                <w:sz w:val="22"/>
              </w:rPr>
              <w:t>年限</w:t>
            </w:r>
          </w:p>
        </w:tc>
        <w:tc>
          <w:tcPr>
            <w:tcW w:w="1080" w:type="dxa"/>
            <w:noWrap w:val="0"/>
            <w:vAlign w:val="center"/>
          </w:tcPr>
          <w:p>
            <w:pPr>
              <w:jc w:val="center"/>
              <w:rPr>
                <w:rFonts w:ascii="宋体" w:hAnsi="宋体" w:eastAsia="宋体" w:cs="Arial"/>
                <w:b w:val="0"/>
                <w:color w:val="000000"/>
                <w:sz w:val="22"/>
              </w:rPr>
            </w:pPr>
            <w:r>
              <w:rPr>
                <w:rFonts w:ascii="宋体" w:hAnsi="宋体" w:eastAsia="宋体" w:cs="Arial"/>
                <w:b w:val="0"/>
                <w:color w:val="000000"/>
                <w:sz w:val="22"/>
              </w:rPr>
              <w:t>职务</w:t>
            </w:r>
          </w:p>
          <w:p>
            <w:pPr>
              <w:jc w:val="center"/>
              <w:rPr>
                <w:rFonts w:ascii="宋体" w:hAnsi="宋体" w:eastAsia="宋体" w:cs="Arial"/>
                <w:b w:val="0"/>
                <w:color w:val="000000"/>
                <w:sz w:val="22"/>
              </w:rPr>
            </w:pPr>
            <w:r>
              <w:rPr>
                <w:rFonts w:ascii="宋体" w:hAnsi="宋体" w:eastAsia="宋体" w:cs="Arial"/>
                <w:b w:val="0"/>
                <w:color w:val="000000"/>
                <w:sz w:val="22"/>
              </w:rPr>
              <w:t>和职称</w:t>
            </w:r>
          </w:p>
        </w:tc>
        <w:tc>
          <w:tcPr>
            <w:tcW w:w="1651" w:type="dxa"/>
            <w:noWrap w:val="0"/>
            <w:vAlign w:val="center"/>
          </w:tcPr>
          <w:p>
            <w:pPr>
              <w:jc w:val="center"/>
              <w:rPr>
                <w:rFonts w:ascii="宋体" w:hAnsi="宋体" w:eastAsia="宋体" w:cs="Arial"/>
                <w:b w:val="0"/>
                <w:color w:val="000000"/>
                <w:sz w:val="22"/>
              </w:rPr>
            </w:pPr>
            <w:r>
              <w:rPr>
                <w:rFonts w:ascii="宋体" w:hAnsi="宋体" w:eastAsia="宋体" w:cs="Arial"/>
                <w:b w:val="0"/>
                <w:color w:val="000000"/>
                <w:sz w:val="22"/>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jc w:val="center"/>
              <w:rPr>
                <w:rFonts w:ascii="宋体" w:hAnsi="宋体" w:eastAsia="宋体" w:cs="Arial"/>
                <w:color w:val="000000"/>
                <w:sz w:val="22"/>
              </w:rPr>
            </w:pPr>
          </w:p>
        </w:tc>
        <w:tc>
          <w:tcPr>
            <w:tcW w:w="2520" w:type="dxa"/>
            <w:noWrap w:val="0"/>
            <w:vAlign w:val="center"/>
          </w:tcPr>
          <w:p>
            <w:pPr>
              <w:jc w:val="center"/>
              <w:rPr>
                <w:rFonts w:ascii="宋体" w:hAnsi="宋体" w:eastAsia="宋体" w:cs="Arial"/>
                <w:color w:val="000000"/>
                <w:sz w:val="22"/>
              </w:rPr>
            </w:pPr>
            <w:r>
              <w:rPr>
                <w:rFonts w:hint="eastAsia" w:ascii="宋体" w:hAnsi="宋体" w:eastAsia="宋体" w:cs="Arial"/>
                <w:b w:val="0"/>
                <w:color w:val="000000"/>
                <w:sz w:val="22"/>
              </w:rPr>
              <w:t>项目负责人</w:t>
            </w:r>
          </w:p>
        </w:tc>
        <w:tc>
          <w:tcPr>
            <w:tcW w:w="720" w:type="dxa"/>
            <w:noWrap w:val="0"/>
            <w:vAlign w:val="center"/>
          </w:tcPr>
          <w:p>
            <w:pPr>
              <w:spacing w:line="360" w:lineRule="auto"/>
              <w:jc w:val="center"/>
              <w:rPr>
                <w:rFonts w:ascii="宋体" w:hAnsi="宋体" w:eastAsia="宋体" w:cs="Arial"/>
                <w:color w:val="000000"/>
                <w:sz w:val="22"/>
              </w:rPr>
            </w:pPr>
          </w:p>
        </w:tc>
        <w:tc>
          <w:tcPr>
            <w:tcW w:w="720" w:type="dxa"/>
            <w:noWrap w:val="0"/>
            <w:vAlign w:val="center"/>
          </w:tcPr>
          <w:p>
            <w:pPr>
              <w:spacing w:line="360" w:lineRule="auto"/>
              <w:jc w:val="center"/>
              <w:rPr>
                <w:rFonts w:ascii="宋体" w:hAnsi="宋体" w:eastAsia="宋体" w:cs="Arial"/>
                <w:color w:val="000000"/>
                <w:sz w:val="22"/>
              </w:rPr>
            </w:pPr>
          </w:p>
        </w:tc>
        <w:tc>
          <w:tcPr>
            <w:tcW w:w="720" w:type="dxa"/>
            <w:noWrap w:val="0"/>
            <w:vAlign w:val="center"/>
          </w:tcPr>
          <w:p>
            <w:pPr>
              <w:spacing w:line="360" w:lineRule="auto"/>
              <w:jc w:val="center"/>
              <w:rPr>
                <w:rFonts w:ascii="宋体" w:hAnsi="宋体" w:eastAsia="宋体" w:cs="Arial"/>
                <w:color w:val="000000"/>
                <w:sz w:val="22"/>
              </w:rPr>
            </w:pPr>
          </w:p>
        </w:tc>
        <w:tc>
          <w:tcPr>
            <w:tcW w:w="1080" w:type="dxa"/>
            <w:noWrap w:val="0"/>
            <w:vAlign w:val="center"/>
          </w:tcPr>
          <w:p>
            <w:pPr>
              <w:spacing w:line="360" w:lineRule="auto"/>
              <w:jc w:val="center"/>
              <w:rPr>
                <w:rFonts w:ascii="宋体" w:hAnsi="宋体" w:eastAsia="宋体" w:cs="Arial"/>
                <w:color w:val="000000"/>
                <w:sz w:val="22"/>
              </w:rPr>
            </w:pPr>
          </w:p>
        </w:tc>
        <w:tc>
          <w:tcPr>
            <w:tcW w:w="1080" w:type="dxa"/>
            <w:noWrap w:val="0"/>
            <w:vAlign w:val="center"/>
          </w:tcPr>
          <w:p>
            <w:pPr>
              <w:pStyle w:val="27"/>
              <w:spacing w:line="360" w:lineRule="auto"/>
              <w:ind w:left="5271"/>
              <w:jc w:val="center"/>
              <w:rPr>
                <w:rFonts w:ascii="宋体" w:hAnsi="宋体" w:eastAsia="宋体" w:cs="Arial"/>
                <w:color w:val="000000"/>
                <w:sz w:val="22"/>
              </w:rPr>
            </w:pPr>
          </w:p>
        </w:tc>
        <w:tc>
          <w:tcPr>
            <w:tcW w:w="1651" w:type="dxa"/>
            <w:noWrap w:val="0"/>
            <w:vAlign w:val="center"/>
          </w:tcPr>
          <w:p>
            <w:pPr>
              <w:spacing w:line="360" w:lineRule="auto"/>
              <w:jc w:val="center"/>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hAnsi="宋体" w:eastAsia="宋体" w:cs="Arial"/>
                <w:color w:val="000000"/>
                <w:sz w:val="22"/>
              </w:rPr>
            </w:pPr>
          </w:p>
        </w:tc>
        <w:tc>
          <w:tcPr>
            <w:tcW w:w="25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72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080" w:type="dxa"/>
            <w:noWrap w:val="0"/>
            <w:vAlign w:val="center"/>
          </w:tcPr>
          <w:p>
            <w:pPr>
              <w:spacing w:line="360" w:lineRule="auto"/>
              <w:rPr>
                <w:rFonts w:ascii="宋体" w:hAnsi="宋体" w:eastAsia="宋体" w:cs="Arial"/>
                <w:color w:val="000000"/>
                <w:sz w:val="22"/>
              </w:rPr>
            </w:pPr>
          </w:p>
        </w:tc>
        <w:tc>
          <w:tcPr>
            <w:tcW w:w="1651" w:type="dxa"/>
            <w:noWrap w:val="0"/>
            <w:vAlign w:val="center"/>
          </w:tcPr>
          <w:p>
            <w:pPr>
              <w:spacing w:line="360" w:lineRule="auto"/>
              <w:rPr>
                <w:rFonts w:ascii="宋体" w:hAnsi="宋体" w:eastAsia="宋体" w:cs="Arial"/>
                <w:color w:val="000000"/>
                <w:sz w:val="22"/>
              </w:rPr>
            </w:pPr>
          </w:p>
        </w:tc>
      </w:tr>
    </w:tbl>
    <w:p>
      <w:pPr>
        <w:snapToGrid w:val="0"/>
        <w:spacing w:line="460" w:lineRule="atLeast"/>
        <w:rPr>
          <w:rFonts w:ascii="宋体" w:hAnsi="宋体" w:eastAsia="宋体"/>
          <w:b w:val="0"/>
          <w:color w:val="000000"/>
          <w:sz w:val="22"/>
        </w:rPr>
      </w:pPr>
      <w:r>
        <w:rPr>
          <w:rFonts w:ascii="宋体" w:hAnsi="宋体" w:eastAsia="宋体"/>
          <w:b w:val="0"/>
          <w:color w:val="000000"/>
          <w:sz w:val="22"/>
        </w:rPr>
        <w:t>注：</w:t>
      </w:r>
      <w:r>
        <w:rPr>
          <w:rFonts w:hint="eastAsia" w:ascii="宋体" w:hAnsi="宋体" w:eastAsia="宋体"/>
          <w:b w:val="0"/>
          <w:color w:val="000000"/>
          <w:sz w:val="22"/>
        </w:rPr>
        <w:t xml:space="preserve"> </w:t>
      </w:r>
      <w:r>
        <w:rPr>
          <w:rFonts w:ascii="宋体" w:hAnsi="宋体" w:eastAsia="宋体"/>
          <w:b w:val="0"/>
          <w:color w:val="000000"/>
          <w:sz w:val="22"/>
        </w:rPr>
        <w:t>1、本表人员有</w:t>
      </w:r>
      <w:r>
        <w:rPr>
          <w:rFonts w:hint="eastAsia" w:ascii="宋体" w:hAnsi="宋体" w:eastAsia="宋体"/>
          <w:b w:val="0"/>
          <w:color w:val="000000"/>
          <w:sz w:val="22"/>
        </w:rPr>
        <w:t>相关</w:t>
      </w:r>
      <w:r>
        <w:rPr>
          <w:rFonts w:ascii="宋体" w:hAnsi="宋体" w:eastAsia="宋体"/>
          <w:b w:val="0"/>
          <w:color w:val="000000"/>
          <w:sz w:val="22"/>
        </w:rPr>
        <w:t>资格</w:t>
      </w:r>
      <w:r>
        <w:rPr>
          <w:rFonts w:hint="eastAsia" w:ascii="宋体" w:hAnsi="宋体" w:eastAsia="宋体"/>
          <w:b w:val="0"/>
          <w:color w:val="000000"/>
          <w:sz w:val="22"/>
        </w:rPr>
        <w:t>（职称）</w:t>
      </w:r>
      <w:r>
        <w:rPr>
          <w:rFonts w:ascii="宋体" w:hAnsi="宋体" w:eastAsia="宋体"/>
          <w:b w:val="0"/>
          <w:color w:val="000000"/>
          <w:sz w:val="22"/>
        </w:rPr>
        <w:t>证书的应随表提交</w:t>
      </w:r>
      <w:r>
        <w:rPr>
          <w:rFonts w:hint="eastAsia" w:ascii="宋体" w:hAnsi="宋体" w:eastAsia="宋体"/>
          <w:b w:val="0"/>
          <w:color w:val="000000"/>
          <w:sz w:val="22"/>
        </w:rPr>
        <w:t>相关</w:t>
      </w:r>
      <w:r>
        <w:rPr>
          <w:rFonts w:ascii="宋体" w:hAnsi="宋体" w:eastAsia="宋体"/>
          <w:b w:val="0"/>
          <w:color w:val="000000"/>
          <w:sz w:val="22"/>
        </w:rPr>
        <w:t>资格</w:t>
      </w:r>
      <w:r>
        <w:rPr>
          <w:rFonts w:hint="eastAsia" w:ascii="宋体" w:hAnsi="宋体" w:eastAsia="宋体"/>
          <w:b w:val="0"/>
          <w:color w:val="000000"/>
          <w:sz w:val="22"/>
        </w:rPr>
        <w:t>（职称）</w:t>
      </w:r>
      <w:r>
        <w:rPr>
          <w:rFonts w:ascii="宋体" w:hAnsi="宋体" w:eastAsia="宋体"/>
          <w:b w:val="0"/>
          <w:color w:val="000000"/>
          <w:sz w:val="22"/>
        </w:rPr>
        <w:t>证书</w:t>
      </w:r>
      <w:r>
        <w:rPr>
          <w:rFonts w:hint="eastAsia" w:ascii="宋体" w:hAnsi="宋体" w:eastAsia="宋体"/>
          <w:b w:val="0"/>
          <w:color w:val="000000"/>
          <w:sz w:val="22"/>
        </w:rPr>
        <w:t>扫描</w:t>
      </w:r>
      <w:r>
        <w:rPr>
          <w:rFonts w:ascii="宋体" w:hAnsi="宋体" w:eastAsia="宋体"/>
          <w:b w:val="0"/>
          <w:color w:val="000000"/>
          <w:sz w:val="22"/>
        </w:rPr>
        <w:t>件。</w:t>
      </w:r>
    </w:p>
    <w:p>
      <w:pPr>
        <w:spacing w:line="460" w:lineRule="atLeast"/>
        <w:ind w:firstLine="480"/>
        <w:rPr>
          <w:rFonts w:ascii="宋体" w:hAnsi="宋体" w:eastAsia="宋体"/>
          <w:b w:val="0"/>
          <w:color w:val="000000"/>
          <w:spacing w:val="20"/>
          <w:sz w:val="22"/>
        </w:rPr>
      </w:pPr>
      <w:r>
        <w:rPr>
          <w:rFonts w:hint="eastAsia" w:ascii="宋体" w:hAnsi="宋体" w:eastAsia="宋体"/>
          <w:b w:val="0"/>
          <w:color w:val="000000"/>
          <w:sz w:val="22"/>
        </w:rPr>
        <w:t>2</w:t>
      </w:r>
      <w:r>
        <w:rPr>
          <w:rFonts w:ascii="宋体" w:hAnsi="宋体" w:eastAsia="宋体"/>
          <w:b w:val="0"/>
          <w:color w:val="000000"/>
          <w:sz w:val="22"/>
        </w:rPr>
        <w:t>、</w:t>
      </w:r>
      <w:r>
        <w:rPr>
          <w:rFonts w:hint="eastAsia" w:ascii="宋体" w:hAnsi="宋体" w:eastAsia="宋体"/>
          <w:b w:val="0"/>
          <w:color w:val="000000"/>
          <w:sz w:val="22"/>
        </w:rPr>
        <w:t>表格可以延续</w:t>
      </w:r>
      <w:r>
        <w:rPr>
          <w:rFonts w:ascii="宋体" w:hAnsi="宋体" w:eastAsia="宋体"/>
          <w:b w:val="0"/>
          <w:color w:val="000000"/>
          <w:sz w:val="22"/>
        </w:rPr>
        <w:t>。</w:t>
      </w:r>
    </w:p>
    <w:p>
      <w:pPr>
        <w:snapToGrid w:val="0"/>
        <w:spacing w:line="460" w:lineRule="atLeast"/>
        <w:ind w:firstLine="550" w:firstLineChars="250"/>
        <w:rPr>
          <w:rFonts w:ascii="宋体" w:hAnsi="宋体" w:eastAsia="宋体"/>
          <w:b w:val="0"/>
          <w:color w:val="000000"/>
          <w:sz w:val="22"/>
        </w:rPr>
      </w:pPr>
    </w:p>
    <w:p>
      <w:pPr>
        <w:spacing w:line="460" w:lineRule="exact"/>
        <w:rPr>
          <w:rFonts w:ascii="宋体" w:hAnsi="宋体" w:eastAsia="宋体"/>
          <w:b w:val="0"/>
          <w:color w:val="000000"/>
          <w:sz w:val="22"/>
        </w:rPr>
      </w:pPr>
    </w:p>
    <w:p>
      <w:pPr>
        <w:pStyle w:val="39"/>
        <w:spacing w:after="120"/>
        <w:ind w:firstLine="723"/>
        <w:rPr>
          <w:rFonts w:ascii="宋体" w:hAnsi="宋体" w:eastAsia="宋体"/>
          <w:b w:val="0"/>
          <w:color w:val="000000"/>
          <w:sz w:val="36"/>
        </w:rPr>
      </w:pPr>
    </w:p>
    <w:p>
      <w:pPr>
        <w:spacing w:before="120" w:beforeLines="50" w:after="120" w:afterLines="50" w:line="460" w:lineRule="atLeast"/>
        <w:ind w:right="-10"/>
        <w:jc w:val="center"/>
        <w:rPr>
          <w:rFonts w:ascii="宋体" w:hAnsi="宋体" w:eastAsia="宋体"/>
          <w:b w:val="0"/>
          <w:color w:val="000000"/>
          <w:sz w:val="36"/>
        </w:rPr>
      </w:pPr>
    </w:p>
    <w:p>
      <w:pPr>
        <w:spacing w:before="120" w:beforeLines="50" w:after="120" w:afterLines="50" w:line="460" w:lineRule="atLeast"/>
        <w:ind w:right="-10"/>
        <w:jc w:val="center"/>
        <w:rPr>
          <w:rFonts w:ascii="宋体" w:hAnsi="宋体" w:eastAsia="宋体"/>
          <w:b w:val="0"/>
          <w:color w:val="000000"/>
          <w:sz w:val="36"/>
        </w:rPr>
      </w:pPr>
    </w:p>
    <w:p>
      <w:pPr>
        <w:spacing w:before="120" w:beforeLines="50" w:after="120" w:afterLines="50" w:line="460" w:lineRule="atLeast"/>
        <w:ind w:right="-10"/>
        <w:jc w:val="center"/>
        <w:rPr>
          <w:rFonts w:ascii="宋体" w:hAnsi="宋体" w:eastAsia="宋体"/>
          <w:b w:val="0"/>
          <w:color w:val="000000"/>
          <w:sz w:val="36"/>
        </w:rPr>
      </w:pPr>
    </w:p>
    <w:p>
      <w:pPr>
        <w:spacing w:before="120" w:beforeLines="50" w:after="120" w:afterLines="50" w:line="460" w:lineRule="atLeast"/>
        <w:ind w:right="-10"/>
        <w:jc w:val="center"/>
        <w:rPr>
          <w:rFonts w:ascii="宋体" w:hAnsi="宋体" w:eastAsia="宋体"/>
          <w:b w:val="0"/>
          <w:color w:val="000000"/>
          <w:sz w:val="36"/>
        </w:rPr>
      </w:pPr>
    </w:p>
    <w:p>
      <w:pPr>
        <w:spacing w:before="120" w:beforeLines="50" w:after="120" w:afterLines="50" w:line="460" w:lineRule="atLeast"/>
        <w:ind w:right="-10"/>
        <w:jc w:val="center"/>
        <w:rPr>
          <w:rFonts w:ascii="宋体" w:hAnsi="宋体" w:eastAsia="宋体"/>
          <w:b w:val="0"/>
          <w:color w:val="000000"/>
          <w:sz w:val="36"/>
        </w:rPr>
      </w:pPr>
    </w:p>
    <w:p>
      <w:pPr>
        <w:spacing w:line="460" w:lineRule="exact"/>
        <w:rPr>
          <w:rFonts w:hint="eastAsia" w:ascii="宋体" w:hAnsi="宋体" w:eastAsia="宋体"/>
          <w:b w:val="0"/>
          <w:color w:val="000000"/>
          <w:sz w:val="32"/>
        </w:rPr>
      </w:pPr>
      <w:r>
        <w:rPr>
          <w:rFonts w:hint="eastAsia" w:ascii="宋体" w:hAnsi="宋体" w:eastAsia="宋体"/>
          <w:b w:val="0"/>
          <w:color w:val="000000"/>
          <w:sz w:val="32"/>
        </w:rPr>
        <w:t>附件十</w:t>
      </w:r>
      <w:r>
        <w:rPr>
          <w:rFonts w:hint="eastAsia" w:ascii="宋体" w:hAnsi="宋体" w:eastAsia="宋体"/>
          <w:b w:val="0"/>
          <w:color w:val="000000"/>
          <w:sz w:val="32"/>
          <w:lang w:val="en-US" w:eastAsia="zh-CN"/>
        </w:rPr>
        <w:t>五</w:t>
      </w:r>
      <w:r>
        <w:rPr>
          <w:rFonts w:hint="eastAsia" w:ascii="宋体" w:hAnsi="宋体" w:eastAsia="宋体"/>
          <w:b w:val="0"/>
          <w:color w:val="000000"/>
          <w:sz w:val="32"/>
        </w:rPr>
        <w:t xml:space="preserve">       </w:t>
      </w:r>
    </w:p>
    <w:p>
      <w:pPr>
        <w:spacing w:line="460" w:lineRule="exact"/>
        <w:jc w:val="center"/>
        <w:rPr>
          <w:rFonts w:ascii="宋体" w:hAnsi="宋体" w:eastAsia="宋体"/>
          <w:b w:val="0"/>
          <w:color w:val="000000"/>
          <w:sz w:val="32"/>
        </w:rPr>
      </w:pPr>
      <w:r>
        <w:rPr>
          <w:rFonts w:hint="eastAsia" w:ascii="宋体" w:hAnsi="宋体" w:eastAsia="宋体"/>
          <w:b w:val="0"/>
          <w:color w:val="000000"/>
          <w:sz w:val="32"/>
        </w:rPr>
        <w:t>乐清市重点计划建设片区光资源保障打分表</w:t>
      </w:r>
    </w:p>
    <w:p>
      <w:pPr>
        <w:pStyle w:val="3"/>
        <w:adjustRightInd w:val="0"/>
        <w:snapToGrid w:val="0"/>
        <w:spacing w:after="0" w:line="460" w:lineRule="exact"/>
        <w:ind w:firstLine="440" w:firstLineChars="200"/>
        <w:rPr>
          <w:rFonts w:hint="eastAsia" w:ascii="宋体" w:hAnsi="宋体" w:eastAsia="宋体"/>
          <w:b/>
          <w:color w:val="000000"/>
          <w:sz w:val="22"/>
          <w:szCs w:val="22"/>
        </w:rPr>
      </w:pPr>
      <w:r>
        <w:rPr>
          <w:rFonts w:hint="eastAsia" w:ascii="宋体" w:hAnsi="宋体" w:eastAsia="宋体"/>
          <w:color w:val="000000"/>
          <w:sz w:val="22"/>
        </w:rPr>
        <w:t>评分规则：重点计划建设乡镇街道已部署投入使用公安专用OLT设备每台设备</w:t>
      </w:r>
      <w:r>
        <w:rPr>
          <w:rFonts w:hint="eastAsia" w:ascii="宋体" w:hAnsi="宋体" w:eastAsia="宋体"/>
          <w:color w:val="000000"/>
          <w:sz w:val="22"/>
          <w:lang w:val="en-US" w:eastAsia="zh-CN"/>
        </w:rPr>
        <w:t>得</w:t>
      </w:r>
      <w:r>
        <w:rPr>
          <w:rFonts w:hint="eastAsia" w:ascii="宋体" w:hAnsi="宋体" w:eastAsia="宋体"/>
          <w:color w:val="000000"/>
          <w:sz w:val="22"/>
        </w:rPr>
        <w:t>3分，片区已部署光交箱数量每个</w:t>
      </w:r>
      <w:r>
        <w:rPr>
          <w:rFonts w:hint="eastAsia" w:ascii="宋体" w:hAnsi="宋体" w:eastAsia="宋体"/>
          <w:color w:val="000000"/>
          <w:sz w:val="22"/>
          <w:lang w:val="en-US" w:eastAsia="zh-CN"/>
        </w:rPr>
        <w:t>得</w:t>
      </w:r>
      <w:r>
        <w:rPr>
          <w:rFonts w:hint="eastAsia" w:ascii="宋体" w:hAnsi="宋体" w:eastAsia="宋体"/>
          <w:color w:val="000000"/>
          <w:sz w:val="22"/>
        </w:rPr>
        <w:t>1分</w:t>
      </w:r>
      <w:r>
        <w:rPr>
          <w:rFonts w:hint="eastAsia" w:ascii="宋体" w:hAnsi="宋体" w:eastAsia="宋体"/>
          <w:color w:val="000000"/>
          <w:sz w:val="22"/>
          <w:lang w:eastAsia="zh-CN"/>
        </w:rPr>
        <w:t>，多套累加记分</w:t>
      </w:r>
      <w:r>
        <w:rPr>
          <w:rFonts w:hint="eastAsia" w:ascii="宋体" w:hAnsi="宋体" w:eastAsia="宋体"/>
          <w:color w:val="000000"/>
          <w:sz w:val="22"/>
        </w:rPr>
        <w:t>。</w:t>
      </w:r>
    </w:p>
    <w:tbl>
      <w:tblPr>
        <w:tblStyle w:val="41"/>
        <w:tblW w:w="91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56"/>
        <w:gridCol w:w="3260"/>
        <w:gridCol w:w="2363"/>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530" w:hRule="atLeast"/>
        </w:trPr>
        <w:tc>
          <w:tcPr>
            <w:tcW w:w="9179" w:type="dxa"/>
            <w:gridSpan w:val="3"/>
            <w:tcBorders>
              <w:tl2br w:val="nil"/>
              <w:tr2bl w:val="nil"/>
            </w:tcBorders>
            <w:noWrap w:val="0"/>
            <w:vAlign w:val="center"/>
          </w:tcPr>
          <w:p>
            <w:pPr>
              <w:pStyle w:val="3"/>
              <w:adjustRightInd w:val="0"/>
              <w:snapToGrid w:val="0"/>
              <w:spacing w:after="0" w:line="460" w:lineRule="exact"/>
              <w:ind w:firstLine="442" w:firstLineChars="200"/>
              <w:jc w:val="center"/>
              <w:rPr>
                <w:rFonts w:ascii="宋体" w:hAnsi="宋体" w:eastAsia="宋体"/>
                <w:b/>
                <w:color w:val="000000"/>
                <w:sz w:val="22"/>
                <w:szCs w:val="22"/>
              </w:rPr>
            </w:pPr>
            <w:r>
              <w:rPr>
                <w:rFonts w:hint="eastAsia" w:ascii="宋体" w:hAnsi="宋体" w:eastAsia="宋体"/>
                <w:b/>
                <w:color w:val="000000"/>
                <w:sz w:val="22"/>
                <w:szCs w:val="22"/>
              </w:rPr>
              <w:t>标项一投标供应商光资源部署说明表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720" w:hRule="atLeast"/>
        </w:trPr>
        <w:tc>
          <w:tcPr>
            <w:tcW w:w="3556" w:type="dxa"/>
            <w:tcBorders>
              <w:tl2br w:val="nil"/>
              <w:tr2bl w:val="nil"/>
            </w:tcBorders>
            <w:noWrap w:val="0"/>
            <w:vAlign w:val="center"/>
          </w:tcPr>
          <w:p>
            <w:pPr>
              <w:widowControl/>
              <w:spacing w:line="460" w:lineRule="exact"/>
              <w:jc w:val="center"/>
              <w:textAlignment w:val="center"/>
              <w:rPr>
                <w:rFonts w:ascii="宋体" w:hAnsi="宋体" w:eastAsia="宋体" w:cs="宋体"/>
                <w:bCs/>
                <w:color w:val="000000"/>
                <w:sz w:val="22"/>
                <w:szCs w:val="22"/>
              </w:rPr>
            </w:pPr>
            <w:r>
              <w:rPr>
                <w:rFonts w:hint="eastAsia" w:ascii="宋体" w:hAnsi="宋体" w:eastAsia="宋体" w:cs="宋体"/>
                <w:bCs/>
                <w:color w:val="000000"/>
                <w:sz w:val="22"/>
                <w:szCs w:val="22"/>
              </w:rPr>
              <w:t>重点计划建设乡镇（街道）</w:t>
            </w:r>
          </w:p>
        </w:tc>
        <w:tc>
          <w:tcPr>
            <w:tcW w:w="3260" w:type="dxa"/>
            <w:tcBorders>
              <w:tl2br w:val="nil"/>
              <w:tr2bl w:val="nil"/>
            </w:tcBorders>
            <w:noWrap w:val="0"/>
            <w:vAlign w:val="center"/>
          </w:tcPr>
          <w:p>
            <w:pPr>
              <w:widowControl/>
              <w:tabs>
                <w:tab w:val="left" w:pos="756"/>
              </w:tabs>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已投入使用公安专用OLT数量</w:t>
            </w:r>
          </w:p>
        </w:tc>
        <w:tc>
          <w:tcPr>
            <w:tcW w:w="2363" w:type="dxa"/>
            <w:tcBorders>
              <w:tl2br w:val="nil"/>
              <w:tr2bl w:val="nil"/>
            </w:tcBorders>
            <w:noWrap w:val="0"/>
            <w:vAlign w:val="center"/>
          </w:tcPr>
          <w:p>
            <w:pPr>
              <w:widowControl/>
              <w:tabs>
                <w:tab w:val="left" w:pos="756"/>
              </w:tabs>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光交箱数量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566" w:hRule="atLeast"/>
        </w:trPr>
        <w:tc>
          <w:tcPr>
            <w:tcW w:w="3556" w:type="dxa"/>
            <w:tcBorders>
              <w:tl2br w:val="nil"/>
              <w:tr2bl w:val="nil"/>
            </w:tcBorders>
            <w:noWrap w:val="0"/>
            <w:vAlign w:val="center"/>
          </w:tcPr>
          <w:p>
            <w:pPr>
              <w:widowControl/>
              <w:spacing w:line="460" w:lineRule="exac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北白象镇、磐石镇、柳市镇</w:t>
            </w:r>
          </w:p>
        </w:tc>
        <w:tc>
          <w:tcPr>
            <w:tcW w:w="3260" w:type="dxa"/>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c>
          <w:tcPr>
            <w:tcW w:w="2363" w:type="dxa"/>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402" w:hRule="atLeast"/>
        </w:trPr>
        <w:tc>
          <w:tcPr>
            <w:tcW w:w="3556" w:type="dxa"/>
            <w:tcBorders>
              <w:tl2br w:val="nil"/>
              <w:tr2bl w:val="nil"/>
            </w:tcBorders>
            <w:noWrap w:val="0"/>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分项合计</w:t>
            </w:r>
          </w:p>
        </w:tc>
        <w:tc>
          <w:tcPr>
            <w:tcW w:w="3260" w:type="dxa"/>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c>
          <w:tcPr>
            <w:tcW w:w="2363" w:type="dxa"/>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402" w:hRule="atLeast"/>
        </w:trPr>
        <w:tc>
          <w:tcPr>
            <w:tcW w:w="3556" w:type="dxa"/>
            <w:tcBorders>
              <w:tl2br w:val="nil"/>
              <w:tr2bl w:val="nil"/>
            </w:tcBorders>
            <w:noWrap w:val="0"/>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总合计分</w:t>
            </w:r>
          </w:p>
        </w:tc>
        <w:tc>
          <w:tcPr>
            <w:tcW w:w="5623" w:type="dxa"/>
            <w:gridSpan w:val="2"/>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540" w:hRule="atLeast"/>
        </w:trPr>
        <w:tc>
          <w:tcPr>
            <w:tcW w:w="9179" w:type="dxa"/>
            <w:gridSpan w:val="3"/>
            <w:tcBorders>
              <w:tl2br w:val="nil"/>
              <w:tr2bl w:val="nil"/>
            </w:tcBorders>
            <w:noWrap w:val="0"/>
            <w:vAlign w:val="center"/>
          </w:tcPr>
          <w:p>
            <w:pPr>
              <w:pStyle w:val="3"/>
              <w:adjustRightInd w:val="0"/>
              <w:snapToGrid w:val="0"/>
              <w:spacing w:after="0" w:line="460" w:lineRule="exact"/>
              <w:ind w:firstLine="442" w:firstLineChars="200"/>
              <w:jc w:val="center"/>
              <w:rPr>
                <w:rFonts w:ascii="宋体" w:hAnsi="宋体" w:eastAsia="宋体"/>
                <w:b/>
                <w:color w:val="000000"/>
                <w:sz w:val="22"/>
                <w:szCs w:val="22"/>
              </w:rPr>
            </w:pPr>
            <w:r>
              <w:rPr>
                <w:rFonts w:hint="eastAsia" w:ascii="宋体" w:hAnsi="宋体" w:eastAsia="宋体"/>
                <w:b/>
                <w:color w:val="000000"/>
                <w:sz w:val="22"/>
                <w:szCs w:val="22"/>
              </w:rPr>
              <w:t>标项二投标供应商光资源部署说明表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720" w:hRule="atLeast"/>
        </w:trPr>
        <w:tc>
          <w:tcPr>
            <w:tcW w:w="3556" w:type="dxa"/>
            <w:tcBorders>
              <w:tl2br w:val="nil"/>
              <w:tr2bl w:val="nil"/>
            </w:tcBorders>
            <w:noWrap w:val="0"/>
            <w:vAlign w:val="center"/>
          </w:tcPr>
          <w:p>
            <w:pPr>
              <w:widowControl/>
              <w:spacing w:line="460" w:lineRule="exact"/>
              <w:jc w:val="center"/>
              <w:textAlignment w:val="center"/>
              <w:rPr>
                <w:rFonts w:ascii="宋体" w:hAnsi="宋体" w:eastAsia="宋体" w:cs="宋体"/>
                <w:bCs/>
                <w:color w:val="000000"/>
                <w:sz w:val="22"/>
                <w:szCs w:val="22"/>
              </w:rPr>
            </w:pPr>
            <w:r>
              <w:rPr>
                <w:rFonts w:hint="eastAsia" w:ascii="宋体" w:hAnsi="宋体" w:eastAsia="宋体" w:cs="宋体"/>
                <w:bCs/>
                <w:color w:val="000000"/>
                <w:sz w:val="22"/>
                <w:szCs w:val="22"/>
              </w:rPr>
              <w:t>重点计划建设乡镇（街道）</w:t>
            </w:r>
          </w:p>
        </w:tc>
        <w:tc>
          <w:tcPr>
            <w:tcW w:w="3260" w:type="dxa"/>
            <w:tcBorders>
              <w:tl2br w:val="nil"/>
              <w:tr2bl w:val="nil"/>
            </w:tcBorders>
            <w:noWrap w:val="0"/>
            <w:vAlign w:val="center"/>
          </w:tcPr>
          <w:p>
            <w:pPr>
              <w:widowControl/>
              <w:tabs>
                <w:tab w:val="left" w:pos="756"/>
              </w:tabs>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已投入使用公安专用OLT数量</w:t>
            </w:r>
          </w:p>
        </w:tc>
        <w:tc>
          <w:tcPr>
            <w:tcW w:w="2363" w:type="dxa"/>
            <w:tcBorders>
              <w:tl2br w:val="nil"/>
              <w:tr2bl w:val="nil"/>
            </w:tcBorders>
            <w:noWrap w:val="0"/>
            <w:vAlign w:val="center"/>
          </w:tcPr>
          <w:p>
            <w:pPr>
              <w:widowControl/>
              <w:tabs>
                <w:tab w:val="left" w:pos="756"/>
              </w:tabs>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光交箱数量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505" w:hRule="atLeast"/>
        </w:trPr>
        <w:tc>
          <w:tcPr>
            <w:tcW w:w="3556" w:type="dxa"/>
            <w:tcBorders>
              <w:tl2br w:val="nil"/>
              <w:tr2bl w:val="nil"/>
            </w:tcBorders>
            <w:noWrap w:val="0"/>
            <w:vAlign w:val="center"/>
          </w:tcPr>
          <w:p>
            <w:pPr>
              <w:widowControl/>
              <w:spacing w:line="460" w:lineRule="exac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乐成街道、城南街道、城东街道</w:t>
            </w:r>
          </w:p>
        </w:tc>
        <w:tc>
          <w:tcPr>
            <w:tcW w:w="3260" w:type="dxa"/>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c>
          <w:tcPr>
            <w:tcW w:w="2363" w:type="dxa"/>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402" w:hRule="atLeast"/>
        </w:trPr>
        <w:tc>
          <w:tcPr>
            <w:tcW w:w="3556" w:type="dxa"/>
            <w:tcBorders>
              <w:tl2br w:val="nil"/>
              <w:tr2bl w:val="nil"/>
            </w:tcBorders>
            <w:noWrap w:val="0"/>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分项合计</w:t>
            </w:r>
          </w:p>
        </w:tc>
        <w:tc>
          <w:tcPr>
            <w:tcW w:w="3260" w:type="dxa"/>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c>
          <w:tcPr>
            <w:tcW w:w="2363" w:type="dxa"/>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402" w:hRule="atLeast"/>
        </w:trPr>
        <w:tc>
          <w:tcPr>
            <w:tcW w:w="3556" w:type="dxa"/>
            <w:tcBorders>
              <w:tl2br w:val="nil"/>
              <w:tr2bl w:val="nil"/>
            </w:tcBorders>
            <w:noWrap w:val="0"/>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总合计分</w:t>
            </w:r>
          </w:p>
        </w:tc>
        <w:tc>
          <w:tcPr>
            <w:tcW w:w="5623" w:type="dxa"/>
            <w:gridSpan w:val="2"/>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540" w:hRule="atLeast"/>
        </w:trPr>
        <w:tc>
          <w:tcPr>
            <w:tcW w:w="9179" w:type="dxa"/>
            <w:gridSpan w:val="3"/>
            <w:tcBorders>
              <w:tl2br w:val="nil"/>
              <w:tr2bl w:val="nil"/>
            </w:tcBorders>
            <w:noWrap w:val="0"/>
            <w:vAlign w:val="center"/>
          </w:tcPr>
          <w:p>
            <w:pPr>
              <w:pStyle w:val="3"/>
              <w:adjustRightInd w:val="0"/>
              <w:snapToGrid w:val="0"/>
              <w:spacing w:after="0" w:line="460" w:lineRule="exact"/>
              <w:ind w:firstLine="442" w:firstLineChars="200"/>
              <w:jc w:val="center"/>
              <w:rPr>
                <w:rFonts w:ascii="宋体" w:hAnsi="宋体" w:eastAsia="宋体"/>
                <w:b/>
                <w:color w:val="000000"/>
                <w:sz w:val="22"/>
                <w:szCs w:val="22"/>
              </w:rPr>
            </w:pPr>
            <w:r>
              <w:rPr>
                <w:rFonts w:hint="eastAsia" w:ascii="宋体" w:hAnsi="宋体" w:eastAsia="宋体"/>
                <w:b/>
                <w:color w:val="000000"/>
                <w:sz w:val="22"/>
                <w:szCs w:val="22"/>
              </w:rPr>
              <w:t>标项</w:t>
            </w:r>
            <w:r>
              <w:rPr>
                <w:rFonts w:hint="eastAsia" w:ascii="宋体" w:hAnsi="宋体" w:eastAsia="宋体"/>
                <w:b/>
                <w:color w:val="000000"/>
                <w:sz w:val="22"/>
                <w:szCs w:val="22"/>
                <w:lang w:val="en-US" w:eastAsia="zh-CN"/>
              </w:rPr>
              <w:t>三</w:t>
            </w:r>
            <w:r>
              <w:rPr>
                <w:rFonts w:hint="eastAsia" w:ascii="宋体" w:hAnsi="宋体" w:eastAsia="宋体"/>
                <w:b/>
                <w:color w:val="000000"/>
                <w:sz w:val="22"/>
                <w:szCs w:val="22"/>
              </w:rPr>
              <w:t>投标供应商光资源部署说明表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720" w:hRule="atLeast"/>
        </w:trPr>
        <w:tc>
          <w:tcPr>
            <w:tcW w:w="3556" w:type="dxa"/>
            <w:tcBorders>
              <w:tl2br w:val="nil"/>
              <w:tr2bl w:val="nil"/>
            </w:tcBorders>
            <w:noWrap w:val="0"/>
            <w:vAlign w:val="center"/>
          </w:tcPr>
          <w:p>
            <w:pPr>
              <w:widowControl/>
              <w:spacing w:line="460" w:lineRule="exact"/>
              <w:jc w:val="center"/>
              <w:textAlignment w:val="center"/>
              <w:rPr>
                <w:rFonts w:ascii="宋体" w:hAnsi="宋体" w:eastAsia="宋体" w:cs="宋体"/>
                <w:bCs/>
                <w:color w:val="000000"/>
                <w:sz w:val="22"/>
                <w:szCs w:val="22"/>
              </w:rPr>
            </w:pPr>
            <w:r>
              <w:rPr>
                <w:rFonts w:hint="eastAsia" w:ascii="宋体" w:hAnsi="宋体" w:eastAsia="宋体" w:cs="宋体"/>
                <w:bCs/>
                <w:color w:val="000000"/>
                <w:sz w:val="22"/>
                <w:szCs w:val="22"/>
              </w:rPr>
              <w:t>重点计划建设乡镇（街道）</w:t>
            </w:r>
          </w:p>
        </w:tc>
        <w:tc>
          <w:tcPr>
            <w:tcW w:w="3260" w:type="dxa"/>
            <w:tcBorders>
              <w:tl2br w:val="nil"/>
              <w:tr2bl w:val="nil"/>
            </w:tcBorders>
            <w:noWrap w:val="0"/>
            <w:vAlign w:val="center"/>
          </w:tcPr>
          <w:p>
            <w:pPr>
              <w:widowControl/>
              <w:tabs>
                <w:tab w:val="left" w:pos="756"/>
              </w:tabs>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已投入使用公安专用OLT数量</w:t>
            </w:r>
          </w:p>
        </w:tc>
        <w:tc>
          <w:tcPr>
            <w:tcW w:w="2363" w:type="dxa"/>
            <w:tcBorders>
              <w:tl2br w:val="nil"/>
              <w:tr2bl w:val="nil"/>
            </w:tcBorders>
            <w:noWrap w:val="0"/>
            <w:vAlign w:val="center"/>
          </w:tcPr>
          <w:p>
            <w:pPr>
              <w:widowControl/>
              <w:tabs>
                <w:tab w:val="left" w:pos="756"/>
              </w:tabs>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光交箱数量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497" w:hRule="atLeast"/>
        </w:trPr>
        <w:tc>
          <w:tcPr>
            <w:tcW w:w="3556" w:type="dxa"/>
            <w:tcBorders>
              <w:tl2br w:val="nil"/>
              <w:tr2bl w:val="nil"/>
            </w:tcBorders>
            <w:noWrap w:val="0"/>
            <w:vAlign w:val="center"/>
          </w:tcPr>
          <w:p>
            <w:pPr>
              <w:widowControl/>
              <w:spacing w:line="460" w:lineRule="exac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石帆街道、天成街道、盐盆街道</w:t>
            </w:r>
          </w:p>
        </w:tc>
        <w:tc>
          <w:tcPr>
            <w:tcW w:w="3260" w:type="dxa"/>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c>
          <w:tcPr>
            <w:tcW w:w="2363" w:type="dxa"/>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402" w:hRule="atLeast"/>
        </w:trPr>
        <w:tc>
          <w:tcPr>
            <w:tcW w:w="3556" w:type="dxa"/>
            <w:tcBorders>
              <w:tl2br w:val="nil"/>
              <w:tr2bl w:val="nil"/>
            </w:tcBorders>
            <w:noWrap w:val="0"/>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分项合计</w:t>
            </w:r>
          </w:p>
        </w:tc>
        <w:tc>
          <w:tcPr>
            <w:tcW w:w="3260" w:type="dxa"/>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c>
          <w:tcPr>
            <w:tcW w:w="2363" w:type="dxa"/>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402" w:hRule="atLeast"/>
        </w:trPr>
        <w:tc>
          <w:tcPr>
            <w:tcW w:w="3556" w:type="dxa"/>
            <w:tcBorders>
              <w:tl2br w:val="nil"/>
              <w:tr2bl w:val="nil"/>
            </w:tcBorders>
            <w:noWrap w:val="0"/>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总合计分</w:t>
            </w:r>
          </w:p>
        </w:tc>
        <w:tc>
          <w:tcPr>
            <w:tcW w:w="5623" w:type="dxa"/>
            <w:gridSpan w:val="2"/>
            <w:tcBorders>
              <w:tl2br w:val="nil"/>
              <w:tr2bl w:val="nil"/>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402" w:hRule="atLeast"/>
        </w:trPr>
        <w:tc>
          <w:tcPr>
            <w:tcW w:w="9179" w:type="dxa"/>
            <w:gridSpan w:val="3"/>
            <w:tcBorders>
              <w:tl2br w:val="nil"/>
              <w:tr2bl w:val="nil"/>
            </w:tcBorders>
            <w:noWrap w:val="0"/>
            <w:vAlign w:val="center"/>
          </w:tcPr>
          <w:p>
            <w:pPr>
              <w:pStyle w:val="2"/>
              <w:ind w:firstLine="221"/>
              <w:jc w:val="center"/>
              <w:rPr>
                <w:rFonts w:ascii="宋体" w:hAnsi="宋体" w:eastAsia="宋体" w:cs="宋体"/>
                <w:color w:val="000000"/>
                <w:sz w:val="22"/>
                <w:szCs w:val="22"/>
              </w:rPr>
            </w:pPr>
            <w:r>
              <w:rPr>
                <w:rFonts w:hint="eastAsia" w:ascii="宋体" w:hAnsi="宋体" w:eastAsia="宋体" w:cs="Times New Roman"/>
                <w:b/>
                <w:color w:val="000000"/>
                <w:kern w:val="2"/>
                <w:sz w:val="22"/>
                <w:szCs w:val="22"/>
                <w:lang w:val="en-US" w:eastAsia="zh-CN" w:bidi="ar-SA"/>
              </w:rPr>
              <w:t>标项四投标供应商光资源部署说明表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720" w:hRule="atLeast"/>
        </w:trPr>
        <w:tc>
          <w:tcPr>
            <w:tcW w:w="3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ascii="宋体" w:hAnsi="宋体" w:eastAsia="宋体" w:cs="宋体"/>
                <w:bCs/>
                <w:color w:val="000000"/>
                <w:sz w:val="22"/>
                <w:szCs w:val="22"/>
              </w:rPr>
            </w:pPr>
            <w:r>
              <w:rPr>
                <w:rFonts w:hint="eastAsia" w:ascii="宋体" w:hAnsi="宋体" w:eastAsia="宋体" w:cs="宋体"/>
                <w:bCs/>
                <w:color w:val="000000"/>
                <w:sz w:val="22"/>
                <w:szCs w:val="22"/>
              </w:rPr>
              <w:t>重点计划建设乡镇（街道）</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56"/>
              </w:tabs>
              <w:spacing w:line="460" w:lineRule="exac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已投入使用公安专用OLT数量</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56"/>
              </w:tabs>
              <w:spacing w:line="460" w:lineRule="exac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光交箱数量</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595" w:hRule="atLeast"/>
        </w:trPr>
        <w:tc>
          <w:tcPr>
            <w:tcW w:w="3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虹桥镇、清江镇、芙蓉镇</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ascii="宋体" w:hAnsi="宋体" w:eastAsia="宋体" w:cs="宋体"/>
                <w:color w:val="000000"/>
                <w:sz w:val="22"/>
                <w:szCs w:val="22"/>
              </w:rPr>
            </w:pPr>
          </w:p>
        </w:tc>
        <w:tc>
          <w:tcPr>
            <w:tcW w:w="23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402" w:hRule="atLeast"/>
        </w:trPr>
        <w:tc>
          <w:tcPr>
            <w:tcW w:w="3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分项合计</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ascii="宋体" w:hAnsi="宋体" w:eastAsia="宋体" w:cs="宋体"/>
                <w:color w:val="000000"/>
                <w:sz w:val="22"/>
                <w:szCs w:val="22"/>
              </w:rPr>
            </w:pPr>
          </w:p>
        </w:tc>
        <w:tc>
          <w:tcPr>
            <w:tcW w:w="23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402" w:hRule="atLeast"/>
        </w:trPr>
        <w:tc>
          <w:tcPr>
            <w:tcW w:w="3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总合计分</w:t>
            </w:r>
          </w:p>
        </w:tc>
        <w:tc>
          <w:tcPr>
            <w:tcW w:w="563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402" w:hRule="atLeast"/>
        </w:trPr>
        <w:tc>
          <w:tcPr>
            <w:tcW w:w="918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ind w:firstLine="221"/>
              <w:jc w:val="center"/>
              <w:rPr>
                <w:rFonts w:ascii="宋体" w:hAnsi="宋体" w:eastAsia="宋体" w:cs="宋体"/>
                <w:color w:val="000000"/>
                <w:sz w:val="22"/>
                <w:szCs w:val="22"/>
              </w:rPr>
            </w:pPr>
            <w:r>
              <w:rPr>
                <w:rFonts w:hint="eastAsia" w:ascii="宋体" w:hAnsi="宋体" w:eastAsia="宋体" w:cs="Times New Roman"/>
                <w:b/>
                <w:color w:val="000000"/>
                <w:kern w:val="2"/>
                <w:sz w:val="22"/>
                <w:szCs w:val="22"/>
                <w:lang w:val="en-US" w:eastAsia="zh-CN" w:bidi="ar-SA"/>
              </w:rPr>
              <w:t>标项五投标供应商光资源部署说明表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720" w:hRule="atLeast"/>
        </w:trPr>
        <w:tc>
          <w:tcPr>
            <w:tcW w:w="3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ascii="宋体" w:hAnsi="宋体" w:eastAsia="宋体" w:cs="宋体"/>
                <w:bCs/>
                <w:color w:val="000000"/>
                <w:sz w:val="22"/>
                <w:szCs w:val="22"/>
              </w:rPr>
            </w:pPr>
            <w:r>
              <w:rPr>
                <w:rFonts w:hint="eastAsia" w:ascii="宋体" w:hAnsi="宋体" w:eastAsia="宋体" w:cs="宋体"/>
                <w:bCs/>
                <w:color w:val="000000"/>
                <w:sz w:val="22"/>
                <w:szCs w:val="22"/>
              </w:rPr>
              <w:t>重点计划建设乡镇（街道）</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56"/>
              </w:tabs>
              <w:spacing w:line="460" w:lineRule="exac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已投入使用公安专用OLT数量</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56"/>
              </w:tabs>
              <w:spacing w:line="460" w:lineRule="exac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光交箱数量</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595" w:hRule="atLeast"/>
        </w:trPr>
        <w:tc>
          <w:tcPr>
            <w:tcW w:w="3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智仁乡、湖雾镇</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龙西乡、仙溪镇</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ascii="宋体" w:hAnsi="宋体" w:eastAsia="宋体" w:cs="宋体"/>
                <w:color w:val="000000"/>
                <w:sz w:val="22"/>
                <w:szCs w:val="22"/>
              </w:rPr>
            </w:pPr>
          </w:p>
        </w:tc>
        <w:tc>
          <w:tcPr>
            <w:tcW w:w="23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402" w:hRule="atLeast"/>
        </w:trPr>
        <w:tc>
          <w:tcPr>
            <w:tcW w:w="3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分项合计</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ascii="宋体" w:hAnsi="宋体" w:eastAsia="宋体" w:cs="宋体"/>
                <w:color w:val="000000"/>
                <w:sz w:val="22"/>
                <w:szCs w:val="22"/>
              </w:rPr>
            </w:pPr>
          </w:p>
        </w:tc>
        <w:tc>
          <w:tcPr>
            <w:tcW w:w="23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ascii="宋体" w:hAnsi="宋体" w:eastAsia="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402" w:hRule="atLeast"/>
        </w:trPr>
        <w:tc>
          <w:tcPr>
            <w:tcW w:w="3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总合计分</w:t>
            </w:r>
          </w:p>
        </w:tc>
        <w:tc>
          <w:tcPr>
            <w:tcW w:w="563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ascii="宋体" w:hAnsi="宋体" w:eastAsia="宋体" w:cs="宋体"/>
                <w:color w:val="000000"/>
                <w:sz w:val="22"/>
                <w:szCs w:val="22"/>
              </w:rPr>
            </w:pPr>
          </w:p>
        </w:tc>
      </w:tr>
    </w:tbl>
    <w:p>
      <w:pPr>
        <w:pStyle w:val="77"/>
        <w:spacing w:line="460" w:lineRule="exact"/>
        <w:ind w:firstLine="442" w:firstLineChars="200"/>
        <w:rPr>
          <w:rFonts w:ascii="宋体" w:hAnsi="宋体" w:eastAsia="宋体"/>
          <w:b w:val="0"/>
          <w:color w:val="000000"/>
          <w:sz w:val="36"/>
        </w:rPr>
      </w:pPr>
      <w:r>
        <w:rPr>
          <w:rFonts w:hint="eastAsia" w:ascii="宋体" w:hAnsi="宋体" w:eastAsia="宋体"/>
          <w:color w:val="000000"/>
          <w:sz w:val="22"/>
        </w:rPr>
        <w:t>本投标数据说明：采购人视情将组织对各供应商说明的光资源进行审核，未按期提供、拒不配合或经检查发现有任一点位有虚报情况的认定为虚假投标。</w:t>
      </w:r>
    </w:p>
    <w:p>
      <w:pPr>
        <w:autoSpaceDE w:val="0"/>
        <w:autoSpaceDN w:val="0"/>
        <w:spacing w:line="460" w:lineRule="atLeast"/>
        <w:rPr>
          <w:rFonts w:hint="eastAsia" w:ascii="宋体" w:hAnsi="宋体" w:eastAsia="宋体" w:cs="Arial"/>
          <w:b w:val="0"/>
          <w:color w:val="000000"/>
          <w:sz w:val="22"/>
          <w:lang w:val="zh-CN"/>
        </w:rPr>
      </w:pPr>
    </w:p>
    <w:p>
      <w:pPr>
        <w:snapToGrid w:val="0"/>
        <w:spacing w:line="460" w:lineRule="atLeast"/>
        <w:rPr>
          <w:rFonts w:ascii="宋体" w:hAnsi="宋体" w:eastAsia="宋体" w:cs="Times New Roman"/>
          <w:b w:val="0"/>
          <w:bCs/>
          <w:color w:val="000000"/>
          <w:sz w:val="22"/>
          <w:lang w:val="zh-CN"/>
        </w:rPr>
      </w:pPr>
      <w:r>
        <w:rPr>
          <w:rFonts w:hint="eastAsia" w:ascii="宋体" w:hAnsi="宋体" w:eastAsia="宋体" w:cs="Times New Roman"/>
          <w:b w:val="0"/>
          <w:bCs/>
          <w:color w:val="000000"/>
          <w:sz w:val="22"/>
          <w:lang w:val="zh-CN"/>
        </w:rPr>
        <w:t xml:space="preserve">投标供应商（盖章）：   </w:t>
      </w:r>
    </w:p>
    <w:p>
      <w:pPr>
        <w:snapToGrid w:val="0"/>
        <w:spacing w:line="460" w:lineRule="atLeast"/>
        <w:rPr>
          <w:rFonts w:hint="eastAsia" w:ascii="宋体" w:hAnsi="宋体" w:eastAsia="宋体" w:cs="Times New Roman"/>
          <w:b w:val="0"/>
          <w:bCs/>
          <w:color w:val="000000"/>
          <w:sz w:val="22"/>
        </w:rPr>
      </w:pPr>
      <w:r>
        <w:rPr>
          <w:rFonts w:hint="eastAsia" w:ascii="宋体" w:hAnsi="宋体" w:eastAsia="宋体" w:cs="Times New Roman"/>
          <w:b w:val="0"/>
          <w:bCs/>
          <w:color w:val="000000"/>
          <w:sz w:val="22"/>
        </w:rPr>
        <w:t xml:space="preserve">日 期：     </w:t>
      </w:r>
    </w:p>
    <w:p>
      <w:pPr>
        <w:snapToGrid w:val="0"/>
        <w:spacing w:line="460" w:lineRule="atLeast"/>
        <w:jc w:val="center"/>
        <w:rPr>
          <w:rFonts w:ascii="宋体" w:hAnsi="宋体" w:eastAsia="宋体"/>
          <w:color w:val="000000"/>
          <w:sz w:val="36"/>
        </w:rPr>
      </w:pPr>
      <w:r>
        <w:rPr>
          <w:rFonts w:hint="eastAsia" w:ascii="宋体" w:hAnsi="宋体" w:eastAsia="宋体"/>
          <w:b w:val="0"/>
          <w:color w:val="000000"/>
          <w:sz w:val="36"/>
        </w:rPr>
        <w:br w:type="page"/>
      </w:r>
      <w:r>
        <w:rPr>
          <w:rFonts w:hint="eastAsia" w:ascii="宋体" w:hAnsi="宋体" w:eastAsia="宋体"/>
          <w:b w:val="0"/>
          <w:color w:val="000000"/>
          <w:sz w:val="36"/>
        </w:rPr>
        <w:t xml:space="preserve">第七部分  </w:t>
      </w:r>
      <w:bookmarkStart w:id="80" w:name="_Toc161563051"/>
      <w:r>
        <w:rPr>
          <w:rFonts w:hint="eastAsia" w:ascii="宋体" w:hAnsi="宋体" w:eastAsia="宋体"/>
          <w:b w:val="0"/>
          <w:color w:val="000000"/>
          <w:sz w:val="36"/>
        </w:rPr>
        <w:t>评标定标办法</w:t>
      </w:r>
      <w:bookmarkEnd w:id="80"/>
    </w:p>
    <w:p>
      <w:pPr>
        <w:tabs>
          <w:tab w:val="left" w:pos="8820"/>
        </w:tabs>
        <w:snapToGrid w:val="0"/>
        <w:spacing w:before="100" w:after="50"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根据《中华人民共和国政府采购法》等有关政府采购法规，结合本次采购实际，按照公平、公正、科学、择优的原则选择中标单位，特制定本评审办法。</w:t>
      </w:r>
    </w:p>
    <w:p>
      <w:pPr>
        <w:snapToGrid w:val="0"/>
        <w:spacing w:before="120" w:beforeLines="50" w:after="50" w:line="460" w:lineRule="atLeast"/>
        <w:jc w:val="center"/>
        <w:rPr>
          <w:rFonts w:ascii="宋体" w:hAnsi="宋体" w:eastAsia="宋体"/>
          <w:b w:val="0"/>
          <w:color w:val="000000"/>
          <w:sz w:val="22"/>
        </w:rPr>
      </w:pPr>
      <w:r>
        <w:rPr>
          <w:rFonts w:hint="eastAsia" w:ascii="宋体" w:hAnsi="宋体" w:eastAsia="宋体"/>
          <w:b w:val="0"/>
          <w:color w:val="000000"/>
          <w:sz w:val="22"/>
        </w:rPr>
        <w:t>一、总则</w:t>
      </w:r>
    </w:p>
    <w:p>
      <w:pPr>
        <w:tabs>
          <w:tab w:val="left" w:pos="8820"/>
        </w:tabs>
        <w:snapToGrid w:val="0"/>
        <w:spacing w:before="100" w:after="50"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pPr>
        <w:snapToGrid w:val="0"/>
        <w:spacing w:before="120" w:beforeLines="50" w:after="50" w:line="460" w:lineRule="atLeast"/>
        <w:jc w:val="center"/>
        <w:rPr>
          <w:rFonts w:ascii="宋体" w:hAnsi="宋体" w:eastAsia="宋体"/>
          <w:b w:val="0"/>
          <w:color w:val="000000"/>
          <w:sz w:val="22"/>
        </w:rPr>
      </w:pPr>
      <w:r>
        <w:rPr>
          <w:rFonts w:hint="eastAsia" w:ascii="宋体" w:hAnsi="宋体" w:eastAsia="宋体"/>
          <w:b w:val="0"/>
          <w:color w:val="000000"/>
          <w:sz w:val="22"/>
        </w:rPr>
        <w:t>二、评审组织</w:t>
      </w:r>
    </w:p>
    <w:p>
      <w:pPr>
        <w:tabs>
          <w:tab w:val="left" w:pos="8820"/>
        </w:tabs>
        <w:snapToGrid w:val="0"/>
        <w:spacing w:before="100" w:after="50"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评审工作由采购人依法组建的评标委员会负责，评标委员会由采购人代表以及评审专家库中随机抽取的有关技术、经济专家共同组成。评审全过程由采购管理部门或纪检部门监督。</w:t>
      </w:r>
    </w:p>
    <w:p>
      <w:pPr>
        <w:pStyle w:val="135"/>
        <w:widowControl w:val="0"/>
        <w:pBdr>
          <w:left w:val="none" w:color="auto" w:sz="0" w:space="0"/>
          <w:bottom w:val="none" w:color="auto" w:sz="0" w:space="0"/>
          <w:right w:val="none" w:color="auto" w:sz="0" w:space="0"/>
        </w:pBdr>
        <w:snapToGrid w:val="0"/>
        <w:spacing w:before="120" w:beforeLines="50" w:beforeAutospacing="0" w:after="50" w:afterAutospacing="0" w:line="460" w:lineRule="atLeast"/>
        <w:rPr>
          <w:rFonts w:ascii="宋体" w:hAnsi="宋体" w:eastAsia="宋体"/>
          <w:b w:val="0"/>
          <w:color w:val="000000"/>
          <w:kern w:val="2"/>
          <w:sz w:val="22"/>
        </w:rPr>
      </w:pPr>
      <w:r>
        <w:rPr>
          <w:rFonts w:hint="eastAsia" w:ascii="宋体" w:hAnsi="宋体" w:eastAsia="宋体"/>
          <w:b w:val="0"/>
          <w:color w:val="000000"/>
          <w:kern w:val="2"/>
          <w:sz w:val="22"/>
        </w:rPr>
        <w:t>三、评标程序</w:t>
      </w:r>
    </w:p>
    <w:p>
      <w:pPr>
        <w:tabs>
          <w:tab w:val="left" w:pos="8820"/>
        </w:tabs>
        <w:snapToGrid w:val="0"/>
        <w:spacing w:before="100" w:after="50"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具体流程见本招标文件第三部分相关内容描述。</w:t>
      </w:r>
    </w:p>
    <w:p>
      <w:pPr>
        <w:snapToGrid w:val="0"/>
        <w:spacing w:before="100" w:after="50" w:line="460" w:lineRule="atLeast"/>
        <w:ind w:firstLine="420"/>
        <w:jc w:val="center"/>
        <w:rPr>
          <w:rFonts w:ascii="宋体" w:hAnsi="宋体" w:eastAsia="宋体" w:cs="Arial Unicode MS"/>
          <w:b w:val="0"/>
          <w:color w:val="000000"/>
          <w:sz w:val="22"/>
        </w:rPr>
      </w:pPr>
      <w:r>
        <w:rPr>
          <w:rFonts w:hint="eastAsia" w:ascii="宋体" w:hAnsi="宋体" w:eastAsia="宋体" w:cs="Arial Unicode MS"/>
          <w:b w:val="0"/>
          <w:color w:val="000000"/>
          <w:sz w:val="22"/>
        </w:rPr>
        <w:t>四、评分细则（按标项评审</w:t>
      </w:r>
      <w:r>
        <w:rPr>
          <w:rFonts w:hint="eastAsia" w:ascii="宋体" w:hAnsi="宋体" w:eastAsia="宋体" w:cs="Arial Unicode MS"/>
          <w:b w:val="0"/>
          <w:color w:val="000000"/>
          <w:sz w:val="22"/>
          <w:lang w:eastAsia="zh-CN"/>
        </w:rPr>
        <w:t>、</w:t>
      </w:r>
      <w:r>
        <w:rPr>
          <w:rFonts w:hint="eastAsia" w:ascii="宋体" w:hAnsi="宋体" w:eastAsia="宋体" w:cs="Arial Unicode MS"/>
          <w:b w:val="0"/>
          <w:color w:val="000000"/>
          <w:sz w:val="22"/>
          <w:lang w:val="en-US" w:eastAsia="zh-CN"/>
        </w:rPr>
        <w:t>本评分细则适用于各标项</w:t>
      </w:r>
      <w:r>
        <w:rPr>
          <w:rFonts w:hint="eastAsia" w:ascii="宋体" w:hAnsi="宋体" w:eastAsia="宋体" w:cs="Arial Unicode MS"/>
          <w:b w:val="0"/>
          <w:color w:val="000000"/>
          <w:sz w:val="22"/>
        </w:rPr>
        <w:t>）</w:t>
      </w:r>
    </w:p>
    <w:p>
      <w:pPr>
        <w:pStyle w:val="38"/>
        <w:widowControl w:val="0"/>
        <w:snapToGrid w:val="0"/>
        <w:spacing w:after="120" w:line="460" w:lineRule="atLeast"/>
        <w:ind w:firstLine="440" w:firstLineChars="200"/>
        <w:jc w:val="both"/>
        <w:rPr>
          <w:rFonts w:ascii="宋体" w:hAnsi="宋体" w:eastAsia="宋体"/>
          <w:color w:val="000000"/>
          <w:sz w:val="22"/>
        </w:rPr>
      </w:pPr>
      <w:r>
        <w:rPr>
          <w:rFonts w:hint="eastAsia" w:ascii="宋体" w:hAnsi="宋体" w:eastAsia="宋体" w:cs="Arial Unicode MS"/>
          <w:color w:val="000000"/>
          <w:sz w:val="22"/>
        </w:rPr>
        <w:t xml:space="preserve">一）、报价评分  30分  </w:t>
      </w:r>
      <w:r>
        <w:rPr>
          <w:rFonts w:hint="eastAsia" w:ascii="宋体" w:hAnsi="宋体" w:eastAsia="宋体" w:cs="Arial Unicode MS"/>
          <w:color w:val="000000"/>
          <w:sz w:val="22"/>
        </w:rPr>
        <w:tab/>
      </w:r>
    </w:p>
    <w:p>
      <w:pPr>
        <w:tabs>
          <w:tab w:val="left" w:pos="8820"/>
        </w:tabs>
        <w:snapToGrid w:val="0"/>
        <w:spacing w:before="100" w:after="50" w:line="460" w:lineRule="exact"/>
        <w:ind w:firstLine="440" w:firstLineChars="200"/>
        <w:rPr>
          <w:rFonts w:ascii="宋体" w:hAnsi="宋体" w:eastAsia="宋体"/>
          <w:b w:val="0"/>
          <w:color w:val="000000"/>
          <w:sz w:val="22"/>
        </w:rPr>
      </w:pPr>
      <w:r>
        <w:rPr>
          <w:rFonts w:hint="eastAsia" w:ascii="宋体" w:hAnsi="宋体" w:eastAsia="宋体"/>
          <w:b w:val="0"/>
          <w:color w:val="000000"/>
          <w:sz w:val="22"/>
        </w:rPr>
        <w:t>以供应商有效投标价中的最低价为评标基准价，得满分30分。商务报价评分结算公式为：投标报价得分=(评标基准价／投标报价)×30%×100；</w:t>
      </w:r>
    </w:p>
    <w:p>
      <w:pPr>
        <w:tabs>
          <w:tab w:val="left" w:pos="8820"/>
        </w:tabs>
        <w:snapToGrid w:val="0"/>
        <w:spacing w:before="100" w:after="50" w:line="460" w:lineRule="exact"/>
        <w:ind w:firstLine="442" w:firstLineChars="200"/>
        <w:rPr>
          <w:rFonts w:ascii="宋体" w:hAnsi="宋体" w:eastAsia="宋体"/>
          <w:color w:val="000000"/>
          <w:sz w:val="22"/>
        </w:rPr>
      </w:pPr>
      <w:r>
        <w:rPr>
          <w:rFonts w:ascii="宋体" w:hAnsi="宋体" w:eastAsia="宋体"/>
          <w:color w:val="000000"/>
          <w:sz w:val="22"/>
        </w:rPr>
        <w:t>本项目投标供应商采用的产品制造商均为符合</w:t>
      </w:r>
      <w:r>
        <w:rPr>
          <w:rFonts w:hint="eastAsia" w:ascii="宋体" w:hAnsi="宋体" w:eastAsia="宋体"/>
          <w:color w:val="000000"/>
          <w:sz w:val="22"/>
        </w:rPr>
        <w:t>招标</w:t>
      </w:r>
      <w:r>
        <w:rPr>
          <w:rFonts w:ascii="宋体" w:hAnsi="宋体" w:eastAsia="宋体"/>
          <w:color w:val="000000"/>
          <w:sz w:val="22"/>
        </w:rPr>
        <w:t>文件规定的小微企业制造的给予评标价格优惠，在计算商务报价得分时所投的价格给予</w:t>
      </w:r>
      <w:r>
        <w:rPr>
          <w:rFonts w:hint="eastAsia" w:ascii="宋体" w:hAnsi="宋体" w:eastAsia="宋体"/>
          <w:color w:val="000000"/>
          <w:sz w:val="22"/>
          <w:lang w:val="en-US" w:eastAsia="zh-CN"/>
        </w:rPr>
        <w:t>1</w:t>
      </w:r>
      <w:r>
        <w:rPr>
          <w:rFonts w:hint="eastAsia" w:ascii="宋体" w:hAnsi="宋体" w:eastAsia="宋体"/>
          <w:color w:val="000000"/>
          <w:sz w:val="22"/>
        </w:rPr>
        <w:t>0</w:t>
      </w:r>
      <w:r>
        <w:rPr>
          <w:rFonts w:ascii="宋体" w:hAnsi="宋体" w:eastAsia="宋体"/>
          <w:color w:val="000000"/>
          <w:sz w:val="22"/>
        </w:rPr>
        <w:t>%的扣除，用扣除后的价格参与评审，如中标签订合同时以其投标价作为签订合同价。本项目投标供应商为监狱企业或残疾人福利性单位的给予评标价格优惠，在计算商务报价得分时所投的价格给予</w:t>
      </w:r>
      <w:r>
        <w:rPr>
          <w:rFonts w:hint="eastAsia" w:ascii="宋体" w:hAnsi="宋体" w:eastAsia="宋体"/>
          <w:color w:val="000000"/>
          <w:sz w:val="22"/>
          <w:lang w:val="en-US" w:eastAsia="zh-CN"/>
        </w:rPr>
        <w:t>1</w:t>
      </w:r>
      <w:r>
        <w:rPr>
          <w:rFonts w:hint="eastAsia" w:ascii="宋体" w:hAnsi="宋体" w:eastAsia="宋体"/>
          <w:color w:val="000000"/>
          <w:sz w:val="22"/>
        </w:rPr>
        <w:t>0</w:t>
      </w:r>
      <w:r>
        <w:rPr>
          <w:rFonts w:ascii="宋体" w:hAnsi="宋体" w:eastAsia="宋体"/>
          <w:color w:val="000000"/>
          <w:sz w:val="22"/>
        </w:rPr>
        <w:t>%的扣除，用扣除后的价格参与评审，如中标签订合同时以其投标价作为签订合同价。因落实政府采购政策进行价格调整的，以调整后的价格计算评标基准价和投标报价。</w:t>
      </w:r>
      <w:r>
        <w:rPr>
          <w:rFonts w:hint="eastAsia" w:ascii="宋体" w:hAnsi="宋体" w:eastAsia="宋体"/>
          <w:color w:val="000000"/>
          <w:sz w:val="22"/>
        </w:rPr>
        <w:t>非单一产品采购，无法核实（按响应文件资料）全部货物均为小微企业制造的或残疾人福利性单位提供其他制造商制造的货物且无法核实（按响应文件资料）制造商是否为残疾人福利性单位的，不享受价格折扣。</w:t>
      </w:r>
    </w:p>
    <w:p>
      <w:pPr>
        <w:pStyle w:val="38"/>
        <w:widowControl w:val="0"/>
        <w:snapToGrid w:val="0"/>
        <w:spacing w:after="120" w:line="460" w:lineRule="atLeast"/>
        <w:ind w:firstLine="440" w:firstLineChars="200"/>
        <w:jc w:val="both"/>
        <w:rPr>
          <w:rFonts w:ascii="宋体" w:hAnsi="宋体" w:eastAsia="宋体" w:cs="Arial Unicode MS"/>
          <w:color w:val="000000"/>
          <w:sz w:val="22"/>
        </w:rPr>
      </w:pPr>
      <w:r>
        <w:rPr>
          <w:rFonts w:hint="eastAsia" w:ascii="宋体" w:hAnsi="宋体" w:eastAsia="宋体" w:cs="Arial Unicode MS"/>
          <w:color w:val="000000"/>
          <w:sz w:val="22"/>
        </w:rPr>
        <w:t>二）、商务、技术综合评分 70分</w:t>
      </w:r>
    </w:p>
    <w:tbl>
      <w:tblPr>
        <w:tblStyle w:val="41"/>
        <w:tblW w:w="9464"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843"/>
        <w:gridCol w:w="5812"/>
        <w:gridCol w:w="99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1" w:hRule="atLeast"/>
        </w:trPr>
        <w:tc>
          <w:tcPr>
            <w:tcW w:w="817"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序号</w:t>
            </w:r>
          </w:p>
        </w:tc>
        <w:tc>
          <w:tcPr>
            <w:tcW w:w="1843"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评定项目</w:t>
            </w:r>
          </w:p>
        </w:tc>
        <w:tc>
          <w:tcPr>
            <w:tcW w:w="581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评分标准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满分值</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730" w:hRule="atLeast"/>
        </w:trPr>
        <w:tc>
          <w:tcPr>
            <w:tcW w:w="817"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1</w:t>
            </w:r>
          </w:p>
        </w:tc>
        <w:tc>
          <w:tcPr>
            <w:tcW w:w="1843" w:type="dxa"/>
            <w:noWrap w:val="0"/>
            <w:vAlign w:val="center"/>
          </w:tcPr>
          <w:p>
            <w:pPr>
              <w:spacing w:line="460" w:lineRule="exact"/>
              <w:rPr>
                <w:rFonts w:ascii="宋体" w:hAnsi="宋体" w:eastAsia="宋体"/>
                <w:color w:val="000000"/>
              </w:rPr>
            </w:pPr>
            <w:r>
              <w:rPr>
                <w:rFonts w:hint="eastAsia" w:ascii="宋体" w:hAnsi="宋体" w:eastAsia="宋体"/>
                <w:b w:val="0"/>
                <w:color w:val="000000"/>
                <w:sz w:val="22"/>
              </w:rPr>
              <w:t>投标供应商业绩</w:t>
            </w: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根据投标供应商2014年以来承接过类似（视频监控或人脸人像识别比对、智能卡口类）已验收通过的项目业绩，每具有一个业绩得1分，本项最高1分。（合同签订方名称须与本次投标供应商名称一致否则不得分；投标文件中提供相关的证明材料扫描件，同一个项目必须具有合同及已通过验收的证明材料。）</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1分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817" w:type="dxa"/>
            <w:vMerge w:val="restart"/>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2</w:t>
            </w:r>
          </w:p>
        </w:tc>
        <w:tc>
          <w:tcPr>
            <w:tcW w:w="1843" w:type="dxa"/>
            <w:vMerge w:val="restart"/>
            <w:noWrap w:val="0"/>
            <w:vAlign w:val="center"/>
          </w:tcPr>
          <w:p>
            <w:pPr>
              <w:spacing w:line="460" w:lineRule="exact"/>
              <w:rPr>
                <w:rFonts w:ascii="宋体" w:hAnsi="宋体" w:eastAsia="宋体"/>
                <w:color w:val="000000"/>
              </w:rPr>
            </w:pPr>
            <w:r>
              <w:rPr>
                <w:rFonts w:hint="eastAsia" w:ascii="宋体" w:hAnsi="宋体" w:eastAsia="宋体"/>
                <w:b w:val="0"/>
                <w:color w:val="000000"/>
                <w:sz w:val="22"/>
              </w:rPr>
              <w:t>技术方案</w:t>
            </w:r>
          </w:p>
        </w:tc>
        <w:tc>
          <w:tcPr>
            <w:tcW w:w="5812" w:type="dxa"/>
            <w:noWrap w:val="0"/>
            <w:vAlign w:val="center"/>
          </w:tcPr>
          <w:p>
            <w:pPr>
              <w:spacing w:line="460" w:lineRule="exact"/>
              <w:rPr>
                <w:rFonts w:ascii="宋体" w:hAnsi="宋体" w:eastAsia="宋体"/>
                <w:color w:val="000000"/>
              </w:rPr>
            </w:pPr>
            <w:r>
              <w:rPr>
                <w:rFonts w:hint="eastAsia" w:ascii="宋体" w:hAnsi="宋体" w:eastAsia="宋体"/>
                <w:b w:val="0"/>
                <w:color w:val="000000"/>
                <w:kern w:val="2"/>
                <w:sz w:val="22"/>
              </w:rPr>
              <w:t>项目筹备及启动技术水平及能力体现，根据投标供应商对项目前期准备情况包含对按时备货工作、对前端点位规划需求的了解程度、技术难点和关键部位施工分析及应对措施等方面的科学性、详细化程度等由评委进行打分，0-2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2分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spacing w:line="460" w:lineRule="exact"/>
              <w:rPr>
                <w:rFonts w:ascii="宋体" w:hAnsi="宋体" w:eastAsia="宋体"/>
                <w:b w:val="0"/>
                <w:color w:val="000000"/>
                <w:sz w:val="22"/>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勘点设计能力体现，要求提供勘点阶段的勘点流程样图、勘点设计样单（附图纸）由评委进行打分，方案可行性高的3分，基本可行的2分，可行</w:t>
            </w:r>
            <w:r>
              <w:rPr>
                <w:rFonts w:hint="eastAsia" w:ascii="宋体" w:hAnsi="宋体" w:eastAsia="宋体"/>
                <w:b w:val="0"/>
                <w:color w:val="000000"/>
                <w:kern w:val="2"/>
                <w:sz w:val="22"/>
              </w:rPr>
              <w:t>性差的1分，图纸不出具的得0分。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3分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spacing w:line="460" w:lineRule="exact"/>
              <w:rPr>
                <w:rFonts w:ascii="宋体" w:hAnsi="宋体" w:eastAsia="宋体"/>
                <w:b w:val="0"/>
                <w:color w:val="000000"/>
                <w:sz w:val="22"/>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项目总体设计能力体现，详细阐述系统的体系架构、功能模块、实现思路和关键技术，结合亮点特色、质量保证等技术方案由评委进行打分，0-3分。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3分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150"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spacing w:line="460" w:lineRule="exact"/>
              <w:rPr>
                <w:rFonts w:ascii="宋体" w:hAnsi="宋体" w:eastAsia="宋体"/>
                <w:b w:val="0"/>
                <w:color w:val="000000"/>
                <w:sz w:val="22"/>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施工工艺把控能力体现，根据不同施工场景描述实施不同工艺，包含开挖、布线、恢复工艺等由评委进行打分，0-2分。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2分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spacing w:line="460" w:lineRule="exact"/>
              <w:rPr>
                <w:rFonts w:ascii="宋体" w:hAnsi="宋体" w:eastAsia="宋体"/>
                <w:b w:val="0"/>
                <w:color w:val="000000"/>
                <w:sz w:val="22"/>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前端点位建设的理解程度及设计能力体现，要求根据采购人对</w:t>
            </w:r>
            <w:r>
              <w:rPr>
                <w:rFonts w:hint="eastAsia" w:ascii="宋体" w:hAnsi="宋体" w:eastAsia="宋体"/>
                <w:b w:val="0"/>
                <w:color w:val="000000"/>
                <w:sz w:val="22"/>
                <w:lang w:val="en-US" w:eastAsia="zh-CN"/>
              </w:rPr>
              <w:t>本项目</w:t>
            </w:r>
            <w:r>
              <w:rPr>
                <w:rFonts w:hint="eastAsia" w:ascii="宋体" w:hAnsi="宋体" w:eastAsia="宋体"/>
                <w:b w:val="0"/>
                <w:color w:val="000000"/>
                <w:sz w:val="22"/>
              </w:rPr>
              <w:t>中对治安监控、人脸抓拍、车辆微卡、车辆抓拍专业卡口、全结构化混合场景，分别出具不同类型点位的样板设计图纸各一份以上。方案可行性高的3分，基本可行的2分，可行</w:t>
            </w:r>
            <w:r>
              <w:rPr>
                <w:rFonts w:hint="eastAsia" w:ascii="宋体" w:hAnsi="宋体" w:eastAsia="宋体"/>
                <w:b w:val="0"/>
                <w:color w:val="000000"/>
                <w:kern w:val="2"/>
                <w:sz w:val="22"/>
              </w:rPr>
              <w:t>性差的1分，图纸不出具的得0分。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3分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spacing w:line="460" w:lineRule="exact"/>
              <w:rPr>
                <w:rFonts w:ascii="宋体" w:hAnsi="宋体" w:eastAsia="宋体"/>
                <w:b w:val="0"/>
                <w:color w:val="000000"/>
                <w:sz w:val="22"/>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施工安全把控能力体现，要求根据采购人的安全要求，</w:t>
            </w:r>
            <w:r>
              <w:rPr>
                <w:rFonts w:hint="eastAsia" w:ascii="宋体" w:hAnsi="宋体" w:eastAsia="宋体"/>
                <w:b w:val="0"/>
                <w:color w:val="000000"/>
                <w:sz w:val="22"/>
                <w:lang w:eastAsia="zh-CN"/>
              </w:rPr>
              <w:t>投标供应商</w:t>
            </w:r>
            <w:r>
              <w:rPr>
                <w:rFonts w:hint="eastAsia" w:ascii="宋体" w:hAnsi="宋体" w:eastAsia="宋体"/>
                <w:b w:val="0"/>
                <w:color w:val="000000"/>
                <w:sz w:val="22"/>
              </w:rPr>
              <w:t>需描述在前端施工全过程安全、前端硬件实施安全（防雷、防漏电、杆件设计）等方面所实施的措施，</w:t>
            </w:r>
            <w:r>
              <w:rPr>
                <w:rFonts w:hint="eastAsia" w:ascii="宋体" w:hAnsi="宋体" w:eastAsia="宋体"/>
                <w:b w:val="0"/>
                <w:color w:val="000000"/>
                <w:kern w:val="2"/>
                <w:sz w:val="22"/>
              </w:rPr>
              <w:t>由评委进行打分，</w:t>
            </w:r>
            <w:r>
              <w:rPr>
                <w:rFonts w:hint="eastAsia" w:ascii="宋体" w:hAnsi="宋体" w:eastAsia="宋体"/>
                <w:b w:val="0"/>
                <w:color w:val="000000"/>
                <w:sz w:val="22"/>
              </w:rPr>
              <w:t>0-3分</w:t>
            </w:r>
            <w:r>
              <w:rPr>
                <w:rFonts w:hint="eastAsia" w:ascii="宋体" w:hAnsi="宋体" w:eastAsia="宋体"/>
                <w:b w:val="0"/>
                <w:color w:val="000000"/>
                <w:kern w:val="2"/>
                <w:sz w:val="22"/>
              </w:rPr>
              <w:t>。</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3分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817" w:type="dxa"/>
            <w:vMerge w:val="restart"/>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3</w:t>
            </w:r>
          </w:p>
        </w:tc>
        <w:tc>
          <w:tcPr>
            <w:tcW w:w="1843" w:type="dxa"/>
            <w:vMerge w:val="restart"/>
            <w:noWrap w:val="0"/>
            <w:vAlign w:val="center"/>
          </w:tcPr>
          <w:p>
            <w:pPr>
              <w:spacing w:line="460" w:lineRule="exact"/>
              <w:rPr>
                <w:rFonts w:ascii="宋体" w:hAnsi="宋体" w:eastAsia="宋体"/>
                <w:color w:val="000000"/>
              </w:rPr>
            </w:pPr>
            <w:r>
              <w:rPr>
                <w:rFonts w:hint="eastAsia" w:ascii="宋体" w:hAnsi="宋体" w:eastAsia="宋体"/>
                <w:b w:val="0"/>
                <w:color w:val="000000"/>
                <w:sz w:val="22"/>
              </w:rPr>
              <w:t>基础设施能力</w:t>
            </w: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1、总体光纤资源是否满足本项目的情况，特别是接入端光纤建设情况，</w:t>
            </w:r>
            <w:r>
              <w:rPr>
                <w:rFonts w:hint="eastAsia" w:ascii="宋体" w:hAnsi="宋体" w:eastAsia="宋体"/>
                <w:b w:val="0"/>
                <w:color w:val="000000"/>
                <w:kern w:val="2"/>
                <w:sz w:val="22"/>
              </w:rPr>
              <w:t>由评委进行打分，</w:t>
            </w:r>
            <w:r>
              <w:rPr>
                <w:rFonts w:hint="eastAsia" w:ascii="宋体" w:hAnsi="宋体" w:eastAsia="宋体"/>
                <w:b w:val="0"/>
                <w:color w:val="000000"/>
                <w:sz w:val="22"/>
              </w:rPr>
              <w:t>0-4分。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4分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pStyle w:val="3"/>
              <w:rPr>
                <w:rFonts w:ascii="宋体" w:hAnsi="宋体" w:eastAsia="宋体"/>
                <w:color w:val="000000"/>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2、满足本项目视频存储和网络汇聚的机房基础设施（提供各机房的实地照片及基本资料），机房基础设施满足项目需求情况，</w:t>
            </w:r>
            <w:r>
              <w:rPr>
                <w:rFonts w:hint="eastAsia" w:ascii="宋体" w:hAnsi="宋体" w:eastAsia="宋体"/>
                <w:b w:val="0"/>
                <w:color w:val="000000"/>
                <w:kern w:val="2"/>
                <w:sz w:val="22"/>
              </w:rPr>
              <w:t>由评委进行打分，</w:t>
            </w:r>
            <w:r>
              <w:rPr>
                <w:rFonts w:hint="eastAsia" w:ascii="宋体" w:hAnsi="宋体" w:eastAsia="宋体"/>
                <w:b w:val="0"/>
                <w:color w:val="000000"/>
                <w:sz w:val="22"/>
              </w:rPr>
              <w:t>0-4分。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4分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pStyle w:val="3"/>
              <w:rPr>
                <w:rFonts w:ascii="宋体" w:hAnsi="宋体" w:eastAsia="宋体"/>
                <w:color w:val="000000"/>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3、投标文件应列出满足本项目要求的网络建设方案，提供网络拓扑结构和各网络层级链路带宽等参数，</w:t>
            </w:r>
            <w:r>
              <w:rPr>
                <w:rFonts w:hint="eastAsia" w:ascii="宋体" w:hAnsi="宋体" w:eastAsia="宋体"/>
                <w:b w:val="0"/>
                <w:color w:val="000000"/>
                <w:kern w:val="2"/>
                <w:sz w:val="22"/>
              </w:rPr>
              <w:t>由评委进行打分，</w:t>
            </w:r>
            <w:r>
              <w:rPr>
                <w:rFonts w:hint="eastAsia" w:ascii="宋体" w:hAnsi="宋体" w:eastAsia="宋体"/>
                <w:b w:val="0"/>
                <w:color w:val="000000"/>
                <w:sz w:val="22"/>
              </w:rPr>
              <w:t>0-4分。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4分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pStyle w:val="3"/>
              <w:rPr>
                <w:rFonts w:ascii="宋体" w:hAnsi="宋体" w:eastAsia="宋体"/>
                <w:color w:val="000000"/>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4、项目实施计划、工期的合理性及实施建议（要求以月为单位列出可量化的实施进度，方便采购人监督），</w:t>
            </w:r>
            <w:r>
              <w:rPr>
                <w:rFonts w:hint="eastAsia" w:ascii="宋体" w:hAnsi="宋体" w:eastAsia="宋体"/>
                <w:b w:val="0"/>
                <w:color w:val="000000"/>
                <w:kern w:val="2"/>
                <w:sz w:val="22"/>
              </w:rPr>
              <w:t>由评委进行打分，</w:t>
            </w:r>
            <w:r>
              <w:rPr>
                <w:rFonts w:hint="eastAsia" w:ascii="宋体" w:hAnsi="宋体" w:eastAsia="宋体"/>
                <w:b w:val="0"/>
                <w:color w:val="000000"/>
                <w:sz w:val="22"/>
              </w:rPr>
              <w:t>0-3分。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3分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pStyle w:val="3"/>
              <w:rPr>
                <w:rFonts w:ascii="宋体" w:hAnsi="宋体" w:eastAsia="宋体"/>
                <w:color w:val="000000"/>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5、重点计划建设片区光资源履约能力体现，对照附件十</w:t>
            </w:r>
            <w:r>
              <w:rPr>
                <w:rFonts w:hint="eastAsia" w:ascii="宋体" w:hAnsi="宋体" w:eastAsia="宋体"/>
                <w:b w:val="0"/>
                <w:color w:val="000000"/>
                <w:sz w:val="22"/>
                <w:lang w:val="en-US" w:eastAsia="zh-CN"/>
              </w:rPr>
              <w:t>五</w:t>
            </w:r>
            <w:r>
              <w:rPr>
                <w:rFonts w:hint="eastAsia" w:ascii="宋体" w:hAnsi="宋体" w:eastAsia="宋体"/>
                <w:b w:val="0"/>
                <w:color w:val="000000"/>
                <w:sz w:val="22"/>
              </w:rPr>
              <w:t>进行量化评分。光点资源合计评分最高的得1</w:t>
            </w:r>
            <w:r>
              <w:rPr>
                <w:rFonts w:hint="eastAsia" w:ascii="宋体" w:hAnsi="宋体" w:eastAsia="宋体"/>
                <w:b w:val="0"/>
                <w:color w:val="000000"/>
                <w:sz w:val="22"/>
                <w:lang w:val="en-US" w:eastAsia="zh-CN"/>
              </w:rPr>
              <w:t>1</w:t>
            </w:r>
            <w:r>
              <w:rPr>
                <w:rFonts w:hint="eastAsia" w:ascii="宋体" w:hAnsi="宋体" w:eastAsia="宋体"/>
                <w:b w:val="0"/>
                <w:color w:val="000000"/>
                <w:sz w:val="22"/>
              </w:rPr>
              <w:t>分，第二得7分，第三得4分，第四及以下排名得0分。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1</w:t>
            </w:r>
            <w:r>
              <w:rPr>
                <w:rFonts w:hint="eastAsia" w:ascii="宋体" w:hAnsi="宋体" w:eastAsia="宋体"/>
                <w:b w:val="0"/>
                <w:color w:val="000000"/>
                <w:sz w:val="22"/>
                <w:lang w:val="en-US" w:eastAsia="zh-CN"/>
              </w:rPr>
              <w:t>1</w:t>
            </w:r>
            <w:r>
              <w:rPr>
                <w:rFonts w:hint="eastAsia" w:ascii="宋体" w:hAnsi="宋体" w:eastAsia="宋体"/>
                <w:b w:val="0"/>
                <w:color w:val="000000"/>
                <w:sz w:val="22"/>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817"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4</w:t>
            </w:r>
          </w:p>
        </w:tc>
        <w:tc>
          <w:tcPr>
            <w:tcW w:w="1843" w:type="dxa"/>
            <w:noWrap w:val="0"/>
            <w:vAlign w:val="center"/>
          </w:tcPr>
          <w:p>
            <w:pPr>
              <w:spacing w:line="460" w:lineRule="exact"/>
              <w:rPr>
                <w:rFonts w:ascii="宋体" w:hAnsi="宋体" w:eastAsia="宋体"/>
                <w:color w:val="000000"/>
              </w:rPr>
            </w:pPr>
            <w:r>
              <w:rPr>
                <w:rFonts w:hint="eastAsia" w:ascii="宋体" w:hAnsi="宋体" w:eastAsia="宋体"/>
                <w:b w:val="0"/>
                <w:color w:val="000000"/>
                <w:sz w:val="22"/>
              </w:rPr>
              <w:t>人员及精细化实施方案</w:t>
            </w: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根据针对本项目的实施方案及人员配备进行打分。</w:t>
            </w:r>
          </w:p>
          <w:p>
            <w:pPr>
              <w:spacing w:line="460" w:lineRule="exact"/>
              <w:rPr>
                <w:rFonts w:ascii="宋体" w:hAnsi="宋体" w:eastAsia="宋体"/>
                <w:b w:val="0"/>
                <w:color w:val="000000"/>
                <w:sz w:val="22"/>
              </w:rPr>
            </w:pPr>
            <w:r>
              <w:rPr>
                <w:rFonts w:hint="eastAsia" w:ascii="宋体" w:hAnsi="宋体" w:eastAsia="宋体"/>
                <w:b w:val="0"/>
                <w:color w:val="000000"/>
                <w:sz w:val="22"/>
              </w:rPr>
              <w:t>1、建设运维团队项目核心人员配备情况，投标供应商服务于本项目的运维项目组成员中一人具有信息安全工程师、系统集成项目管理工程师、软件评测师、网络工程师、IT服务工程师（ITSS）证书任意一种证书的得1分，最高得2分，没有不得分。投标文件中提供人员相应证书扫描件，及本次投标单位连续6个月（含）及以上社保缴纳证明扫描件（有社保部门盖章），缺一均不得分。</w:t>
            </w:r>
          </w:p>
          <w:p>
            <w:pPr>
              <w:spacing w:line="460" w:lineRule="exact"/>
              <w:rPr>
                <w:rFonts w:ascii="宋体" w:hAnsi="宋体" w:eastAsia="宋体"/>
                <w:b w:val="0"/>
                <w:color w:val="000000"/>
                <w:sz w:val="22"/>
              </w:rPr>
            </w:pPr>
            <w:r>
              <w:rPr>
                <w:rFonts w:hint="eastAsia" w:ascii="宋体" w:hAnsi="宋体" w:eastAsia="宋体"/>
                <w:b w:val="0"/>
                <w:color w:val="000000"/>
                <w:sz w:val="22"/>
              </w:rPr>
              <w:t>2、运维团队项目人员总体配备情况，根据投标供应商服务于本项目的实施团队的总体专业素质、技术能力、专业分布、经验、数量等由评委进行打分，0-2分。投标文件中提供人员相应证书扫描件，及本次投标单位连续6个月（含）及以上社保缴纳证明扫描件（有社保部门盖章），未提供社保缴纳证明的人员不计入本项评审。</w:t>
            </w:r>
          </w:p>
          <w:p>
            <w:pPr>
              <w:spacing w:line="460" w:lineRule="exact"/>
              <w:rPr>
                <w:rFonts w:ascii="宋体" w:hAnsi="宋体" w:eastAsia="宋体"/>
                <w:b w:val="0"/>
                <w:color w:val="000000"/>
                <w:sz w:val="22"/>
              </w:rPr>
            </w:pPr>
            <w:r>
              <w:rPr>
                <w:rFonts w:hint="eastAsia" w:ascii="宋体" w:hAnsi="宋体" w:eastAsia="宋体"/>
                <w:b w:val="0"/>
                <w:color w:val="000000"/>
                <w:sz w:val="22"/>
              </w:rPr>
              <w:t>3、项目精细化管理及实施（含内部管理推进及项目管理推进、项目人员考核等），可行性高的4分，基本可行的2分，可行性差的1分。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817" w:type="dxa"/>
            <w:vMerge w:val="restart"/>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5</w:t>
            </w:r>
          </w:p>
        </w:tc>
        <w:tc>
          <w:tcPr>
            <w:tcW w:w="1843" w:type="dxa"/>
            <w:vMerge w:val="restart"/>
            <w:noWrap w:val="0"/>
            <w:vAlign w:val="center"/>
          </w:tcPr>
          <w:p>
            <w:pPr>
              <w:spacing w:line="460" w:lineRule="exact"/>
              <w:rPr>
                <w:rFonts w:ascii="宋体" w:hAnsi="宋体" w:eastAsia="宋体"/>
                <w:color w:val="000000"/>
              </w:rPr>
            </w:pPr>
            <w:r>
              <w:rPr>
                <w:rFonts w:hint="eastAsia" w:ascii="宋体" w:hAnsi="宋体" w:eastAsia="宋体"/>
                <w:b w:val="0"/>
                <w:color w:val="000000"/>
                <w:sz w:val="22"/>
              </w:rPr>
              <w:t>运维保障能力</w:t>
            </w: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根据运维服务整体方案情况由评委进行打分，0-</w:t>
            </w:r>
            <w:r>
              <w:rPr>
                <w:rFonts w:hint="eastAsia" w:ascii="宋体" w:hAnsi="宋体" w:eastAsia="宋体"/>
                <w:b w:val="0"/>
                <w:color w:val="000000"/>
                <w:sz w:val="22"/>
                <w:lang w:val="en-US" w:eastAsia="zh-CN"/>
              </w:rPr>
              <w:t>4</w:t>
            </w:r>
            <w:r>
              <w:rPr>
                <w:rFonts w:hint="eastAsia" w:ascii="宋体" w:hAnsi="宋体" w:eastAsia="宋体"/>
                <w:b w:val="0"/>
                <w:color w:val="000000"/>
                <w:sz w:val="22"/>
              </w:rPr>
              <w:t>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lang w:val="en-US" w:eastAsia="zh-CN"/>
              </w:rPr>
              <w:t>4</w:t>
            </w:r>
            <w:r>
              <w:rPr>
                <w:rFonts w:hint="eastAsia" w:ascii="宋体" w:hAnsi="宋体" w:eastAsia="宋体"/>
                <w:b w:val="0"/>
                <w:color w:val="000000"/>
                <w:sz w:val="22"/>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spacing w:line="460" w:lineRule="exact"/>
              <w:rPr>
                <w:rFonts w:ascii="宋体" w:hAnsi="宋体" w:eastAsia="宋体"/>
                <w:b w:val="0"/>
                <w:color w:val="000000"/>
                <w:sz w:val="22"/>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本地化服务能力。根据投标供应商提供的本地服务网点数量、分布情况、维护人员数量、人员素质、以及日常巡检方案、应急抢修措施及响应时间等由评委进行打分，0-2分。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2分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spacing w:line="460" w:lineRule="exact"/>
              <w:rPr>
                <w:rFonts w:ascii="宋体" w:hAnsi="宋体" w:eastAsia="宋体"/>
                <w:b w:val="0"/>
                <w:color w:val="000000"/>
                <w:sz w:val="22"/>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根据售后服务方案综合情况（包括应急修复、移机、响应修复时间、车辆、专职队伍力量配备、机制、保障措施、**保障及产品质保期承诺等情况）由评委进行打分，0-</w:t>
            </w:r>
            <w:r>
              <w:rPr>
                <w:rFonts w:hint="eastAsia" w:ascii="宋体" w:hAnsi="宋体" w:eastAsia="宋体"/>
                <w:b w:val="0"/>
                <w:color w:val="000000"/>
                <w:sz w:val="22"/>
                <w:lang w:val="en-US" w:eastAsia="zh-CN"/>
              </w:rPr>
              <w:t>4</w:t>
            </w:r>
            <w:r>
              <w:rPr>
                <w:rFonts w:hint="eastAsia" w:ascii="宋体" w:hAnsi="宋体" w:eastAsia="宋体"/>
                <w:b w:val="0"/>
                <w:color w:val="000000"/>
                <w:sz w:val="22"/>
              </w:rPr>
              <w:t>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lang w:val="en-US" w:eastAsia="zh-CN"/>
              </w:rPr>
              <w:t>4</w:t>
            </w:r>
            <w:r>
              <w:rPr>
                <w:rFonts w:hint="eastAsia" w:ascii="宋体" w:hAnsi="宋体" w:eastAsia="宋体"/>
                <w:b w:val="0"/>
                <w:color w:val="000000"/>
                <w:sz w:val="22"/>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spacing w:line="460" w:lineRule="exact"/>
              <w:rPr>
                <w:rFonts w:ascii="宋体" w:hAnsi="宋体" w:eastAsia="宋体"/>
                <w:b w:val="0"/>
                <w:color w:val="000000"/>
                <w:sz w:val="22"/>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根据投标供应商承诺提供的备品备件情况和其他优惠服务条件，由评委进行打分，0-1分。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1分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817" w:type="dxa"/>
            <w:vMerge w:val="continue"/>
            <w:noWrap w:val="0"/>
            <w:vAlign w:val="center"/>
          </w:tcPr>
          <w:p>
            <w:pPr>
              <w:spacing w:line="460" w:lineRule="exact"/>
              <w:jc w:val="center"/>
              <w:rPr>
                <w:rFonts w:ascii="宋体" w:hAnsi="宋体" w:eastAsia="宋体"/>
                <w:b w:val="0"/>
                <w:color w:val="000000"/>
                <w:sz w:val="22"/>
              </w:rPr>
            </w:pPr>
          </w:p>
        </w:tc>
        <w:tc>
          <w:tcPr>
            <w:tcW w:w="1843" w:type="dxa"/>
            <w:vMerge w:val="continue"/>
            <w:noWrap w:val="0"/>
            <w:vAlign w:val="center"/>
          </w:tcPr>
          <w:p>
            <w:pPr>
              <w:spacing w:line="460" w:lineRule="exact"/>
              <w:rPr>
                <w:rFonts w:ascii="宋体" w:hAnsi="宋体" w:eastAsia="宋体"/>
                <w:b w:val="0"/>
                <w:color w:val="000000"/>
                <w:sz w:val="22"/>
              </w:rPr>
            </w:pP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承诺临时驻点时间超过6个月（含6个月）或多一人次，加0.5分，最多不超过0.5分。承诺提供常驻人员2人及以上服务的，最多再加0.5分。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1分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817"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6</w:t>
            </w:r>
          </w:p>
        </w:tc>
        <w:tc>
          <w:tcPr>
            <w:tcW w:w="1843"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设备选型情况</w:t>
            </w: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根据投标供应商所投设备的综合配置、技术指标、与招标要求的响应程度由评委进行评分，符合及优于的4-6分，基本符合的2-4分，符合性差的0-2分。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6分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17"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7</w:t>
            </w:r>
          </w:p>
        </w:tc>
        <w:tc>
          <w:tcPr>
            <w:tcW w:w="1843"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节能环保</w:t>
            </w:r>
          </w:p>
        </w:tc>
        <w:tc>
          <w:tcPr>
            <w:tcW w:w="5812" w:type="dxa"/>
            <w:noWrap w:val="0"/>
            <w:vAlign w:val="center"/>
          </w:tcPr>
          <w:p>
            <w:pPr>
              <w:spacing w:line="460" w:lineRule="exact"/>
              <w:rPr>
                <w:rFonts w:ascii="宋体" w:hAnsi="宋体" w:eastAsia="宋体"/>
                <w:b w:val="0"/>
                <w:color w:val="000000"/>
                <w:sz w:val="22"/>
              </w:rPr>
            </w:pPr>
            <w:r>
              <w:rPr>
                <w:rFonts w:hint="eastAsia" w:ascii="宋体" w:hAnsi="宋体" w:eastAsia="宋体"/>
                <w:b w:val="0"/>
                <w:color w:val="000000"/>
                <w:sz w:val="22"/>
              </w:rPr>
              <w:t>1、投标产品中除政府强制采购节能产品外有列入《节能产品政府采购品目清单》并具有相应认证证书的，可得0.5分；</w:t>
            </w:r>
          </w:p>
          <w:p>
            <w:pPr>
              <w:spacing w:line="460" w:lineRule="exact"/>
              <w:rPr>
                <w:rFonts w:ascii="宋体" w:hAnsi="宋体" w:eastAsia="宋体"/>
                <w:b w:val="0"/>
                <w:color w:val="000000"/>
                <w:sz w:val="22"/>
              </w:rPr>
            </w:pPr>
            <w:r>
              <w:rPr>
                <w:rFonts w:hint="eastAsia" w:ascii="宋体" w:hAnsi="宋体" w:eastAsia="宋体"/>
                <w:b w:val="0"/>
                <w:color w:val="000000"/>
                <w:sz w:val="22"/>
              </w:rPr>
              <w:t>2、投标产品中有列入《环境标志产品政府采购品目清单》并具有相应认证证书的，可得0.5分。</w:t>
            </w:r>
          </w:p>
          <w:p>
            <w:pPr>
              <w:spacing w:line="460" w:lineRule="exact"/>
              <w:rPr>
                <w:rFonts w:ascii="宋体" w:hAnsi="宋体" w:eastAsia="宋体"/>
                <w:b w:val="0"/>
                <w:color w:val="000000"/>
                <w:sz w:val="22"/>
              </w:rPr>
            </w:pPr>
            <w:r>
              <w:rPr>
                <w:rFonts w:hint="eastAsia" w:ascii="宋体" w:hAnsi="宋体" w:eastAsia="宋体"/>
                <w:b w:val="0"/>
                <w:color w:val="000000"/>
                <w:sz w:val="22"/>
              </w:rPr>
              <w:t>说明：投标文件中必须提供附件十二《节能环保产品声明函》、附件十三《节能（环保）产品清单》及所投相关产品对应的认证证书扫描件，否则不予给分。</w:t>
            </w:r>
          </w:p>
        </w:tc>
        <w:tc>
          <w:tcPr>
            <w:tcW w:w="992" w:type="dxa"/>
            <w:noWrap w:val="0"/>
            <w:vAlign w:val="center"/>
          </w:tcPr>
          <w:p>
            <w:pPr>
              <w:spacing w:line="460" w:lineRule="exact"/>
              <w:jc w:val="center"/>
              <w:rPr>
                <w:rFonts w:ascii="宋体" w:hAnsi="宋体" w:eastAsia="宋体"/>
                <w:b w:val="0"/>
                <w:color w:val="000000"/>
                <w:sz w:val="22"/>
              </w:rPr>
            </w:pPr>
            <w:r>
              <w:rPr>
                <w:rFonts w:hint="eastAsia" w:ascii="宋体" w:hAnsi="宋体" w:eastAsia="宋体"/>
                <w:b w:val="0"/>
                <w:color w:val="000000"/>
                <w:sz w:val="22"/>
              </w:rPr>
              <w:t>1分</w:t>
            </w:r>
          </w:p>
        </w:tc>
      </w:tr>
    </w:tbl>
    <w:p>
      <w:pPr>
        <w:snapToGrid w:val="0"/>
        <w:spacing w:before="100" w:after="50" w:line="460" w:lineRule="atLeast"/>
        <w:ind w:left="420"/>
        <w:rPr>
          <w:rFonts w:ascii="宋体" w:hAnsi="宋体" w:eastAsia="宋体"/>
          <w:b w:val="0"/>
          <w:color w:val="000000"/>
          <w:sz w:val="22"/>
        </w:rPr>
      </w:pPr>
      <w:r>
        <w:rPr>
          <w:rFonts w:hint="eastAsia" w:ascii="宋体" w:hAnsi="宋体" w:eastAsia="宋体"/>
          <w:b w:val="0"/>
          <w:color w:val="000000"/>
          <w:sz w:val="22"/>
        </w:rPr>
        <w:t>三）、说明</w:t>
      </w:r>
    </w:p>
    <w:p>
      <w:pPr>
        <w:snapToGrid w:val="0"/>
        <w:spacing w:before="100" w:after="50" w:line="440" w:lineRule="atLeast"/>
        <w:ind w:firstLine="431" w:firstLineChars="196"/>
        <w:rPr>
          <w:rFonts w:ascii="宋体" w:hAnsi="宋体" w:eastAsia="宋体" w:cs="???|CS?o｡ﾀ?"/>
          <w:b w:val="0"/>
          <w:color w:val="000000"/>
          <w:kern w:val="2"/>
          <w:sz w:val="22"/>
        </w:rPr>
      </w:pPr>
      <w:r>
        <w:rPr>
          <w:rFonts w:hint="eastAsia" w:ascii="宋体" w:hAnsi="宋体" w:eastAsia="宋体" w:cs="???|CS?o｡ﾀ?"/>
          <w:b w:val="0"/>
          <w:color w:val="000000"/>
          <w:kern w:val="2"/>
          <w:sz w:val="22"/>
        </w:rPr>
        <w:t>1、各标项每个有效投标供应商综合得分=商务、技术部分得分（所有评标委员会成员打分的算术平均值）＋报价得分。</w:t>
      </w:r>
    </w:p>
    <w:p>
      <w:pPr>
        <w:snapToGrid w:val="0"/>
        <w:spacing w:before="100" w:after="50" w:line="440" w:lineRule="atLeast"/>
        <w:ind w:firstLine="440" w:firstLineChars="200"/>
        <w:rPr>
          <w:rFonts w:ascii="宋体" w:hAnsi="宋体" w:eastAsia="宋体" w:cs="???|CS?o｡ﾀ?"/>
          <w:b w:val="0"/>
          <w:color w:val="000000"/>
          <w:kern w:val="2"/>
          <w:sz w:val="22"/>
        </w:rPr>
      </w:pPr>
      <w:r>
        <w:rPr>
          <w:rFonts w:hint="eastAsia" w:ascii="宋体" w:hAnsi="宋体" w:eastAsia="宋体" w:cs="???|CS?o｡ﾀ?"/>
          <w:b w:val="0"/>
          <w:color w:val="000000"/>
          <w:kern w:val="2"/>
          <w:sz w:val="22"/>
        </w:rPr>
        <w:t>2、评标委员会推荐各标项综合得分最高的供应商为中标供应商（如果得分相同则按投标报价从低到高顺序依次推荐为中标候选供应商；如果综合得分相同投标报价也相同，则抽签决定），并编写评审报告。</w:t>
      </w:r>
    </w:p>
    <w:p>
      <w:pPr>
        <w:snapToGrid w:val="0"/>
        <w:spacing w:before="100" w:after="50" w:line="440" w:lineRule="atLeast"/>
        <w:ind w:firstLine="420"/>
        <w:rPr>
          <w:rFonts w:ascii="宋体" w:hAnsi="宋体" w:eastAsia="宋体" w:cs="???|CS?o｡ﾀ?"/>
          <w:b w:val="0"/>
          <w:color w:val="000000"/>
          <w:kern w:val="2"/>
          <w:sz w:val="22"/>
        </w:rPr>
      </w:pPr>
      <w:r>
        <w:rPr>
          <w:rFonts w:hint="eastAsia" w:ascii="宋体" w:hAnsi="宋体" w:eastAsia="宋体" w:cs="???|CS?o｡ﾀ?"/>
          <w:b w:val="0"/>
          <w:color w:val="000000"/>
          <w:kern w:val="2"/>
          <w:sz w:val="22"/>
        </w:rPr>
        <w:t>3、所有分值计算保留小数点后二位，小数点后第三位起四舍五入。</w:t>
      </w:r>
    </w:p>
    <w:p>
      <w:pPr>
        <w:tabs>
          <w:tab w:val="left" w:pos="8820"/>
        </w:tabs>
        <w:snapToGrid w:val="0"/>
        <w:spacing w:before="100" w:after="50" w:line="460" w:lineRule="atLeast"/>
        <w:rPr>
          <w:rFonts w:ascii="宋体" w:hAnsi="宋体" w:eastAsia="宋体" w:cs="???|CS?o｡ﾀ?"/>
          <w:b w:val="0"/>
          <w:color w:val="000000"/>
          <w:kern w:val="2"/>
          <w:sz w:val="22"/>
        </w:rPr>
      </w:pPr>
      <w:r>
        <w:rPr>
          <w:rFonts w:hint="eastAsia" w:ascii="宋体" w:hAnsi="宋体" w:eastAsia="宋体" w:cs="???|CS?o｡ﾀ?"/>
          <w:b w:val="0"/>
          <w:color w:val="000000"/>
          <w:kern w:val="2"/>
          <w:sz w:val="22"/>
        </w:rPr>
        <w:t>其他参见本招标文件第三部分：“供应商须知” 中的相关内容，未尽事宜按有关法律规定处理。</w:t>
      </w:r>
    </w:p>
    <w:sectPr>
      <w:footerReference r:id="rId6" w:type="default"/>
      <w:footerReference r:id="rId7" w:type="even"/>
      <w:pgSz w:w="11906" w:h="16838"/>
      <w:pgMar w:top="1440" w:right="1106" w:bottom="1440" w:left="1622"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S?o｡ﾀ?">
    <w:altName w:val="Yu Gothic"/>
    <w:panose1 w:val="00000000000000000000"/>
    <w:charset w:val="80"/>
    <w:family w:val="modern"/>
    <w:pitch w:val="default"/>
    <w:sig w:usb0="00000000" w:usb1="08070000" w:usb2="00000010" w:usb3="00000000" w:csb0="00020000" w:csb1="00000000"/>
  </w:font>
  <w:font w:name="Tahoma">
    <w:panose1 w:val="020B0604030504040204"/>
    <w:charset w:val="00"/>
    <w:family w:val="swiss"/>
    <w:pitch w:val="default"/>
    <w:sig w:usb0="E1002EFF" w:usb1="C000605B" w:usb2="00000029" w:usb3="00000000" w:csb0="200101FF" w:csb1="20280000"/>
  </w:font>
  <w:font w:name="长城仿宋">
    <w:altName w:val="宋体"/>
    <w:panose1 w:val="0201060900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ƨ">
    <w:altName w:val="Times New Roman"/>
    <w:panose1 w:val="00000000000000000000"/>
    <w:charset w:val="00"/>
    <w:family w:val="roman"/>
    <w:pitch w:val="default"/>
    <w:sig w:usb0="00000000" w:usb1="00000000" w:usb2="00000000" w:usb3="00000000" w:csb0="00040001" w:csb1="00000000"/>
  </w:font>
  <w:font w:name="Baskerville">
    <w:altName w:val="Cambria Math"/>
    <w:panose1 w:val="02020502070401020303"/>
    <w:charset w:val="00"/>
    <w:family w:val="roman"/>
    <w:pitch w:val="default"/>
    <w:sig w:usb0="00000001" w:usb1="02000000"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8080000" w:usb2="00000010" w:usb3="00000000" w:csb0="00100000" w:csb1="00000000"/>
  </w:font>
  <w:font w:name="仿宋_GB2312">
    <w:altName w:val="仿宋"/>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E0002EFF" w:usb1="C000785B" w:usb2="00000009" w:usb3="00000000" w:csb0="0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1" w:usb1="08070000" w:usb2="00000010" w:usb3="00000000" w:csb0="00020000"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720"/>
      <w:jc w:val="center"/>
      <w:rPr>
        <w:rFonts w:ascii="宋体" w:hAnsi="宋体" w:eastAsia="宋体"/>
        <w:b w:val="0"/>
        <w:sz w:val="22"/>
      </w:rPr>
    </w:pPr>
    <w:r>
      <w:rPr>
        <w:rFonts w:ascii="宋体" w:hAnsi="宋体" w:eastAsia="宋体"/>
        <w:b w:val="0"/>
        <w:sz w:val="22"/>
      </w:rPr>
      <w:fldChar w:fldCharType="begin"/>
    </w:r>
    <w:r>
      <w:rPr>
        <w:rStyle w:val="45"/>
        <w:rFonts w:ascii="宋体" w:hAnsi="宋体" w:eastAsia="宋体"/>
        <w:b w:val="0"/>
        <w:sz w:val="22"/>
      </w:rPr>
      <w:instrText xml:space="preserve"> PAGE </w:instrText>
    </w:r>
    <w:r>
      <w:rPr>
        <w:rFonts w:ascii="宋体" w:hAnsi="宋体" w:eastAsia="宋体"/>
        <w:b w:val="0"/>
        <w:sz w:val="22"/>
      </w:rPr>
      <w:fldChar w:fldCharType="separate"/>
    </w:r>
    <w:r>
      <w:rPr>
        <w:rStyle w:val="45"/>
        <w:rFonts w:ascii="宋体" w:hAnsi="宋体" w:eastAsia="宋体"/>
        <w:b w:val="0"/>
        <w:sz w:val="22"/>
        <w:lang/>
      </w:rPr>
      <w:t>6</w:t>
    </w:r>
    <w:r>
      <w:rPr>
        <w:rFonts w:ascii="宋体" w:hAnsi="宋体" w:eastAsia="宋体"/>
        <w:b w:val="0"/>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720"/>
      <w:jc w:val="center"/>
      <w:rPr>
        <w:rFonts w:ascii="Arial Unicode MS" w:eastAsia="Arial Unicode M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720"/>
      <w:jc w:val="center"/>
      <w:rPr>
        <w:rStyle w:val="45"/>
        <w:rFonts w:ascii="宋体" w:hAnsi="宋体" w:eastAsia="宋体"/>
        <w:b w:val="0"/>
        <w:sz w:val="22"/>
      </w:rPr>
    </w:pPr>
    <w:r>
      <w:rPr>
        <w:rFonts w:ascii="宋体" w:hAnsi="宋体" w:eastAsia="宋体"/>
        <w:b w:val="0"/>
        <w:sz w:val="22"/>
      </w:rPr>
      <w:fldChar w:fldCharType="begin"/>
    </w:r>
    <w:r>
      <w:rPr>
        <w:rStyle w:val="45"/>
        <w:rFonts w:ascii="宋体" w:hAnsi="宋体" w:eastAsia="宋体"/>
        <w:b w:val="0"/>
        <w:sz w:val="22"/>
      </w:rPr>
      <w:instrText xml:space="preserve"> PAGE </w:instrText>
    </w:r>
    <w:r>
      <w:rPr>
        <w:rFonts w:ascii="宋体" w:hAnsi="宋体" w:eastAsia="宋体"/>
        <w:b w:val="0"/>
        <w:sz w:val="22"/>
      </w:rPr>
      <w:fldChar w:fldCharType="separate"/>
    </w:r>
    <w:r>
      <w:rPr>
        <w:rStyle w:val="45"/>
        <w:rFonts w:ascii="宋体" w:hAnsi="宋体" w:eastAsia="宋体"/>
        <w:b w:val="0"/>
        <w:sz w:val="22"/>
        <w:lang/>
      </w:rPr>
      <w:t>530</w:t>
    </w:r>
    <w:r>
      <w:rPr>
        <w:rFonts w:ascii="宋体" w:hAnsi="宋体" w:eastAsia="宋体"/>
        <w:b w:val="0"/>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45"/>
      </w:rPr>
    </w:pPr>
    <w:r>
      <w:fldChar w:fldCharType="begin"/>
    </w:r>
    <w:r>
      <w:rPr>
        <w:rStyle w:val="45"/>
      </w:rPr>
      <w:instrText xml:space="preserve">PAGE  </w:instrText>
    </w:r>
    <w:r>
      <w:fldChar w:fldCharType="end"/>
    </w:r>
  </w:p>
  <w:p>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b w:val="0"/>
      </w:rPr>
    </w:pPr>
    <w:r>
      <w:rPr>
        <w:rFonts w:hint="eastAsia"/>
        <w:b w:val="0"/>
      </w:rPr>
      <w:t>乐清市公共资源交易中心招标文件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Thousand"/>
      <w:lvlText w:val="第%1条"/>
      <w:lvlJc w:val="left"/>
      <w:pPr>
        <w:tabs>
          <w:tab w:val="left" w:pos="900"/>
        </w:tabs>
        <w:ind w:left="900" w:hanging="420"/>
      </w:pPr>
      <w:rPr>
        <w:b w:val="0"/>
        <w:sz w:val="22"/>
      </w:rPr>
    </w:lvl>
    <w:lvl w:ilvl="1" w:tentative="0">
      <w:start w:val="1"/>
      <w:numFmt w:val="japaneseCounting"/>
      <w:lvlText w:val="%2、"/>
      <w:lvlJc w:val="left"/>
      <w:pPr>
        <w:tabs>
          <w:tab w:val="left" w:pos="900"/>
        </w:tabs>
        <w:ind w:left="900" w:hanging="420"/>
      </w:pPr>
      <w:rPr>
        <w:rFonts w:ascii="宋体" w:hAnsi="宋体" w:eastAsia="宋体" w:cs="Arial"/>
        <w:b w:val="0"/>
        <w:sz w:val="24"/>
      </w:rPr>
    </w:lvl>
    <w:lvl w:ilvl="2" w:tentative="0">
      <w:start w:val="1"/>
      <w:numFmt w:val="bullet"/>
      <w:lvlText w:val="※"/>
      <w:lvlJc w:val="left"/>
      <w:pPr>
        <w:tabs>
          <w:tab w:val="left" w:pos="1260"/>
        </w:tabs>
        <w:ind w:left="1260" w:hanging="420"/>
      </w:pPr>
      <w:rPr>
        <w:rFonts w:hint="eastAsia" w:ascii="宋体" w:hAnsi="宋体" w:eastAsia="宋体" w:cs="宋体"/>
        <w:b/>
        <w:sz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DC064008"/>
    <w:multiLevelType w:val="singleLevel"/>
    <w:tmpl w:val="DC064008"/>
    <w:lvl w:ilvl="0" w:tentative="0">
      <w:start w:val="1"/>
      <w:numFmt w:val="decimal"/>
      <w:suff w:val="nothing"/>
      <w:lvlText w:val="%1、"/>
      <w:lvlJc w:val="left"/>
    </w:lvl>
  </w:abstractNum>
  <w:abstractNum w:abstractNumId="2">
    <w:nsid w:val="03D62ECE"/>
    <w:multiLevelType w:val="multilevel"/>
    <w:tmpl w:val="03D62ECE"/>
    <w:lvl w:ilvl="0" w:tentative="0">
      <w:start w:val="1"/>
      <w:numFmt w:val="bullet"/>
      <w:lvlText w:val=""/>
      <w:lvlJc w:val="left"/>
      <w:pPr>
        <w:tabs>
          <w:tab w:val="left" w:pos="1155"/>
        </w:tabs>
        <w:ind w:left="1155" w:hanging="420"/>
      </w:pPr>
      <w:rPr>
        <w:rFonts w:hint="default" w:ascii="Wingdings" w:hAnsi="Wingdings" w:cs="Wingdings"/>
      </w:rPr>
    </w:lvl>
    <w:lvl w:ilvl="1" w:tentative="0">
      <w:start w:val="1"/>
      <w:numFmt w:val="bullet"/>
      <w:lvlText w:val=""/>
      <w:lvlJc w:val="left"/>
      <w:pPr>
        <w:tabs>
          <w:tab w:val="left" w:pos="1575"/>
        </w:tabs>
        <w:ind w:left="1575" w:hanging="420"/>
      </w:pPr>
      <w:rPr>
        <w:rFonts w:hint="default" w:ascii="Wingdings" w:hAnsi="Wingdings" w:cs="Wingdings"/>
      </w:rPr>
    </w:lvl>
    <w:lvl w:ilvl="2" w:tentative="0">
      <w:start w:val="1"/>
      <w:numFmt w:val="bullet"/>
      <w:lvlText w:val=""/>
      <w:lvlJc w:val="left"/>
      <w:pPr>
        <w:tabs>
          <w:tab w:val="left" w:pos="1995"/>
        </w:tabs>
        <w:ind w:left="1995" w:hanging="420"/>
      </w:pPr>
      <w:rPr>
        <w:rFonts w:hint="default" w:ascii="Wingdings" w:hAnsi="Wingdings" w:cs="Wingdings"/>
      </w:rPr>
    </w:lvl>
    <w:lvl w:ilvl="3" w:tentative="0">
      <w:start w:val="1"/>
      <w:numFmt w:val="bullet"/>
      <w:lvlText w:val=""/>
      <w:lvlJc w:val="left"/>
      <w:pPr>
        <w:tabs>
          <w:tab w:val="left" w:pos="2415"/>
        </w:tabs>
        <w:ind w:left="2415" w:hanging="420"/>
      </w:pPr>
      <w:rPr>
        <w:rFonts w:hint="default" w:ascii="Wingdings" w:hAnsi="Wingdings" w:cs="Wingdings"/>
      </w:rPr>
    </w:lvl>
    <w:lvl w:ilvl="4" w:tentative="0">
      <w:start w:val="1"/>
      <w:numFmt w:val="bullet"/>
      <w:lvlText w:val=""/>
      <w:lvlJc w:val="left"/>
      <w:pPr>
        <w:tabs>
          <w:tab w:val="left" w:pos="2837"/>
        </w:tabs>
        <w:ind w:left="2837" w:hanging="420"/>
      </w:pPr>
      <w:rPr>
        <w:rFonts w:hint="default" w:ascii="Wingdings" w:hAnsi="Wingdings" w:cs="Wingdings"/>
      </w:rPr>
    </w:lvl>
    <w:lvl w:ilvl="5" w:tentative="0">
      <w:start w:val="1"/>
      <w:numFmt w:val="bullet"/>
      <w:lvlText w:val=""/>
      <w:lvlJc w:val="left"/>
      <w:pPr>
        <w:tabs>
          <w:tab w:val="left" w:pos="3255"/>
        </w:tabs>
        <w:ind w:left="3255" w:hanging="420"/>
      </w:pPr>
      <w:rPr>
        <w:rFonts w:hint="default" w:ascii="Wingdings" w:hAnsi="Wingdings" w:cs="Wingdings"/>
      </w:rPr>
    </w:lvl>
    <w:lvl w:ilvl="6" w:tentative="0">
      <w:start w:val="1"/>
      <w:numFmt w:val="bullet"/>
      <w:lvlText w:val=""/>
      <w:lvlJc w:val="left"/>
      <w:pPr>
        <w:tabs>
          <w:tab w:val="left" w:pos="3675"/>
        </w:tabs>
        <w:ind w:left="3675" w:hanging="420"/>
      </w:pPr>
      <w:rPr>
        <w:rFonts w:hint="default" w:ascii="Wingdings" w:hAnsi="Wingdings" w:cs="Wingdings"/>
      </w:rPr>
    </w:lvl>
    <w:lvl w:ilvl="7" w:tentative="0">
      <w:start w:val="1"/>
      <w:numFmt w:val="bullet"/>
      <w:lvlText w:val=""/>
      <w:lvlJc w:val="left"/>
      <w:pPr>
        <w:tabs>
          <w:tab w:val="left" w:pos="4095"/>
        </w:tabs>
        <w:ind w:left="4095" w:hanging="420"/>
      </w:pPr>
      <w:rPr>
        <w:rFonts w:hint="default" w:ascii="Wingdings" w:hAnsi="Wingdings" w:cs="Wingdings"/>
      </w:rPr>
    </w:lvl>
    <w:lvl w:ilvl="8" w:tentative="0">
      <w:start w:val="1"/>
      <w:numFmt w:val="bullet"/>
      <w:lvlText w:val=""/>
      <w:lvlJc w:val="left"/>
      <w:pPr>
        <w:tabs>
          <w:tab w:val="left" w:pos="4515"/>
        </w:tabs>
        <w:ind w:left="4515" w:hanging="420"/>
      </w:pPr>
      <w:rPr>
        <w:rFonts w:hint="default" w:ascii="Wingdings" w:hAnsi="Wingding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N2E5ZWUxZmZiNTg0Y2Q3N2YwZGZiMzJhNDM3NjUifQ=="/>
  </w:docVars>
  <w:rsids>
    <w:rsidRoot w:val="001E725B"/>
    <w:rsid w:val="00001B2A"/>
    <w:rsid w:val="00001E5E"/>
    <w:rsid w:val="00011D1F"/>
    <w:rsid w:val="00016682"/>
    <w:rsid w:val="00017394"/>
    <w:rsid w:val="00043C7D"/>
    <w:rsid w:val="000618AE"/>
    <w:rsid w:val="000922EA"/>
    <w:rsid w:val="000A3F31"/>
    <w:rsid w:val="000F17DD"/>
    <w:rsid w:val="0014216C"/>
    <w:rsid w:val="00147DE1"/>
    <w:rsid w:val="00171768"/>
    <w:rsid w:val="00172383"/>
    <w:rsid w:val="00190A5B"/>
    <w:rsid w:val="001A3AB0"/>
    <w:rsid w:val="001A596E"/>
    <w:rsid w:val="001C1E0C"/>
    <w:rsid w:val="001C2F53"/>
    <w:rsid w:val="001C623D"/>
    <w:rsid w:val="001D1187"/>
    <w:rsid w:val="001D546B"/>
    <w:rsid w:val="001D6131"/>
    <w:rsid w:val="001E17F7"/>
    <w:rsid w:val="001E4457"/>
    <w:rsid w:val="001E725B"/>
    <w:rsid w:val="001F76C0"/>
    <w:rsid w:val="00212CD7"/>
    <w:rsid w:val="00213C83"/>
    <w:rsid w:val="00217A4A"/>
    <w:rsid w:val="00231CA4"/>
    <w:rsid w:val="00233537"/>
    <w:rsid w:val="002454AF"/>
    <w:rsid w:val="00256E99"/>
    <w:rsid w:val="002A2562"/>
    <w:rsid w:val="002A330F"/>
    <w:rsid w:val="002C2D69"/>
    <w:rsid w:val="002E3033"/>
    <w:rsid w:val="00304CBE"/>
    <w:rsid w:val="00335722"/>
    <w:rsid w:val="003406D0"/>
    <w:rsid w:val="00383762"/>
    <w:rsid w:val="00387EF9"/>
    <w:rsid w:val="00392689"/>
    <w:rsid w:val="003957C2"/>
    <w:rsid w:val="003E6357"/>
    <w:rsid w:val="00464635"/>
    <w:rsid w:val="004A5710"/>
    <w:rsid w:val="004B2099"/>
    <w:rsid w:val="004B618F"/>
    <w:rsid w:val="004C1100"/>
    <w:rsid w:val="004C263A"/>
    <w:rsid w:val="004C42FE"/>
    <w:rsid w:val="004D4BF3"/>
    <w:rsid w:val="004D7E46"/>
    <w:rsid w:val="004E1EC5"/>
    <w:rsid w:val="00500308"/>
    <w:rsid w:val="00505A66"/>
    <w:rsid w:val="005069D2"/>
    <w:rsid w:val="0051366B"/>
    <w:rsid w:val="005269B9"/>
    <w:rsid w:val="00532EE7"/>
    <w:rsid w:val="00535C2C"/>
    <w:rsid w:val="005378D2"/>
    <w:rsid w:val="00561610"/>
    <w:rsid w:val="00562325"/>
    <w:rsid w:val="0057526A"/>
    <w:rsid w:val="00577C6A"/>
    <w:rsid w:val="00584C5C"/>
    <w:rsid w:val="005A0AC5"/>
    <w:rsid w:val="005B6F09"/>
    <w:rsid w:val="00604F64"/>
    <w:rsid w:val="006275AA"/>
    <w:rsid w:val="00666EBE"/>
    <w:rsid w:val="00681C51"/>
    <w:rsid w:val="006A7DEA"/>
    <w:rsid w:val="006C55F8"/>
    <w:rsid w:val="006C7466"/>
    <w:rsid w:val="006D3E7F"/>
    <w:rsid w:val="006E2478"/>
    <w:rsid w:val="0070762F"/>
    <w:rsid w:val="007078D9"/>
    <w:rsid w:val="00725823"/>
    <w:rsid w:val="00733F02"/>
    <w:rsid w:val="00735975"/>
    <w:rsid w:val="00743745"/>
    <w:rsid w:val="0074796C"/>
    <w:rsid w:val="00783070"/>
    <w:rsid w:val="007A7242"/>
    <w:rsid w:val="007B2BD6"/>
    <w:rsid w:val="007C0ABA"/>
    <w:rsid w:val="007D1218"/>
    <w:rsid w:val="007D355A"/>
    <w:rsid w:val="007E1A70"/>
    <w:rsid w:val="007F493F"/>
    <w:rsid w:val="008070A9"/>
    <w:rsid w:val="0082432B"/>
    <w:rsid w:val="00847CC2"/>
    <w:rsid w:val="008619D2"/>
    <w:rsid w:val="00882DC2"/>
    <w:rsid w:val="0089485B"/>
    <w:rsid w:val="008A7752"/>
    <w:rsid w:val="008B2DAB"/>
    <w:rsid w:val="008C3E10"/>
    <w:rsid w:val="008F1F6B"/>
    <w:rsid w:val="008F7D08"/>
    <w:rsid w:val="00915EC3"/>
    <w:rsid w:val="009610F0"/>
    <w:rsid w:val="009707BF"/>
    <w:rsid w:val="009A0567"/>
    <w:rsid w:val="009A373D"/>
    <w:rsid w:val="009D1B4D"/>
    <w:rsid w:val="009D2F05"/>
    <w:rsid w:val="009D6314"/>
    <w:rsid w:val="00A168BA"/>
    <w:rsid w:val="00A16DE4"/>
    <w:rsid w:val="00A173DB"/>
    <w:rsid w:val="00A51700"/>
    <w:rsid w:val="00A640E5"/>
    <w:rsid w:val="00A66226"/>
    <w:rsid w:val="00A8316B"/>
    <w:rsid w:val="00A97BB0"/>
    <w:rsid w:val="00AB328F"/>
    <w:rsid w:val="00AB5BD7"/>
    <w:rsid w:val="00AF6F54"/>
    <w:rsid w:val="00B06C8F"/>
    <w:rsid w:val="00B11BE5"/>
    <w:rsid w:val="00B30BA1"/>
    <w:rsid w:val="00B55DEA"/>
    <w:rsid w:val="00B6401C"/>
    <w:rsid w:val="00B64BD9"/>
    <w:rsid w:val="00B66263"/>
    <w:rsid w:val="00B76EDC"/>
    <w:rsid w:val="00B84F52"/>
    <w:rsid w:val="00B94BC4"/>
    <w:rsid w:val="00BB2EA5"/>
    <w:rsid w:val="00BC6226"/>
    <w:rsid w:val="00BE4E15"/>
    <w:rsid w:val="00BE67D3"/>
    <w:rsid w:val="00BE7E89"/>
    <w:rsid w:val="00BF0EF5"/>
    <w:rsid w:val="00C02A44"/>
    <w:rsid w:val="00C36E5F"/>
    <w:rsid w:val="00C57649"/>
    <w:rsid w:val="00C65F2C"/>
    <w:rsid w:val="00C7567E"/>
    <w:rsid w:val="00CA0972"/>
    <w:rsid w:val="00CB0A71"/>
    <w:rsid w:val="00CB5F34"/>
    <w:rsid w:val="00CC0812"/>
    <w:rsid w:val="00CC11D8"/>
    <w:rsid w:val="00CF1531"/>
    <w:rsid w:val="00D50993"/>
    <w:rsid w:val="00D62CE1"/>
    <w:rsid w:val="00D63A8F"/>
    <w:rsid w:val="00D660A3"/>
    <w:rsid w:val="00D927A8"/>
    <w:rsid w:val="00DA6B46"/>
    <w:rsid w:val="00DB122C"/>
    <w:rsid w:val="00DC1F7E"/>
    <w:rsid w:val="00DD4D50"/>
    <w:rsid w:val="00DD63A7"/>
    <w:rsid w:val="00E01E01"/>
    <w:rsid w:val="00E11201"/>
    <w:rsid w:val="00E13F5D"/>
    <w:rsid w:val="00E15C75"/>
    <w:rsid w:val="00E164BE"/>
    <w:rsid w:val="00E457D7"/>
    <w:rsid w:val="00E93D65"/>
    <w:rsid w:val="00EB1C0B"/>
    <w:rsid w:val="00EB43ED"/>
    <w:rsid w:val="00EE68B7"/>
    <w:rsid w:val="00EF0BEC"/>
    <w:rsid w:val="00F205B9"/>
    <w:rsid w:val="00F33DAA"/>
    <w:rsid w:val="00FE1D94"/>
    <w:rsid w:val="01763BCE"/>
    <w:rsid w:val="02DC327E"/>
    <w:rsid w:val="032C016F"/>
    <w:rsid w:val="03CA4606"/>
    <w:rsid w:val="05BC40DB"/>
    <w:rsid w:val="064A145F"/>
    <w:rsid w:val="068C03A8"/>
    <w:rsid w:val="09D46598"/>
    <w:rsid w:val="0BD526D9"/>
    <w:rsid w:val="0C42443A"/>
    <w:rsid w:val="0C8B3011"/>
    <w:rsid w:val="0CC251E4"/>
    <w:rsid w:val="0D324325"/>
    <w:rsid w:val="0D844071"/>
    <w:rsid w:val="0DC47040"/>
    <w:rsid w:val="0F066D11"/>
    <w:rsid w:val="10264A11"/>
    <w:rsid w:val="10634E18"/>
    <w:rsid w:val="10F030B3"/>
    <w:rsid w:val="11606B5F"/>
    <w:rsid w:val="132778B8"/>
    <w:rsid w:val="134B15CF"/>
    <w:rsid w:val="14BE34FB"/>
    <w:rsid w:val="14C0281F"/>
    <w:rsid w:val="17793FC0"/>
    <w:rsid w:val="17E7630D"/>
    <w:rsid w:val="18147845"/>
    <w:rsid w:val="18AD6FBE"/>
    <w:rsid w:val="18B40468"/>
    <w:rsid w:val="19085652"/>
    <w:rsid w:val="19B75053"/>
    <w:rsid w:val="1DA870D8"/>
    <w:rsid w:val="1DEB4A2B"/>
    <w:rsid w:val="1E482567"/>
    <w:rsid w:val="1F8230A1"/>
    <w:rsid w:val="22CA4D5E"/>
    <w:rsid w:val="24FB6F10"/>
    <w:rsid w:val="257A4B01"/>
    <w:rsid w:val="25815A01"/>
    <w:rsid w:val="28A569C3"/>
    <w:rsid w:val="29954C89"/>
    <w:rsid w:val="2B876618"/>
    <w:rsid w:val="2C6B5983"/>
    <w:rsid w:val="2D595CC7"/>
    <w:rsid w:val="2E5A4449"/>
    <w:rsid w:val="2EC94905"/>
    <w:rsid w:val="2F476021"/>
    <w:rsid w:val="2FAF3C08"/>
    <w:rsid w:val="2FBB2EF3"/>
    <w:rsid w:val="2FC36381"/>
    <w:rsid w:val="320C7861"/>
    <w:rsid w:val="32F81C52"/>
    <w:rsid w:val="33696A1A"/>
    <w:rsid w:val="337E353C"/>
    <w:rsid w:val="36EF6E9A"/>
    <w:rsid w:val="376A6858"/>
    <w:rsid w:val="380134EA"/>
    <w:rsid w:val="38091E93"/>
    <w:rsid w:val="384D3F71"/>
    <w:rsid w:val="38B20A01"/>
    <w:rsid w:val="39A46322"/>
    <w:rsid w:val="39A55D5D"/>
    <w:rsid w:val="3A2B6B1E"/>
    <w:rsid w:val="3BCB403D"/>
    <w:rsid w:val="3CA1704A"/>
    <w:rsid w:val="3D7D26A7"/>
    <w:rsid w:val="3DFC5BBD"/>
    <w:rsid w:val="3E595E2E"/>
    <w:rsid w:val="3E9E71AD"/>
    <w:rsid w:val="43836303"/>
    <w:rsid w:val="44FE3E2B"/>
    <w:rsid w:val="470E4356"/>
    <w:rsid w:val="473B6ECD"/>
    <w:rsid w:val="480D73F9"/>
    <w:rsid w:val="4ADB7950"/>
    <w:rsid w:val="4B5B65DE"/>
    <w:rsid w:val="4CF841CB"/>
    <w:rsid w:val="4D351332"/>
    <w:rsid w:val="4E213249"/>
    <w:rsid w:val="4EB423C7"/>
    <w:rsid w:val="4F3E7D60"/>
    <w:rsid w:val="50994BD6"/>
    <w:rsid w:val="51CA46AE"/>
    <w:rsid w:val="521D7DF7"/>
    <w:rsid w:val="541B0672"/>
    <w:rsid w:val="54625E69"/>
    <w:rsid w:val="558A6545"/>
    <w:rsid w:val="568315CE"/>
    <w:rsid w:val="5786087C"/>
    <w:rsid w:val="58781B70"/>
    <w:rsid w:val="599B130B"/>
    <w:rsid w:val="59B769E7"/>
    <w:rsid w:val="5A396FA1"/>
    <w:rsid w:val="5A6A571E"/>
    <w:rsid w:val="5BF069E9"/>
    <w:rsid w:val="5DDB5A14"/>
    <w:rsid w:val="5E8E347A"/>
    <w:rsid w:val="60B524BD"/>
    <w:rsid w:val="617B28A3"/>
    <w:rsid w:val="61BA001F"/>
    <w:rsid w:val="62703DAA"/>
    <w:rsid w:val="63E15348"/>
    <w:rsid w:val="64A219F0"/>
    <w:rsid w:val="671D539B"/>
    <w:rsid w:val="67DD3010"/>
    <w:rsid w:val="68C2295B"/>
    <w:rsid w:val="69AD4A75"/>
    <w:rsid w:val="69EC4337"/>
    <w:rsid w:val="6CC26200"/>
    <w:rsid w:val="6D365322"/>
    <w:rsid w:val="6D67336F"/>
    <w:rsid w:val="70B740B3"/>
    <w:rsid w:val="71AA6C5B"/>
    <w:rsid w:val="723C2168"/>
    <w:rsid w:val="73A97DBA"/>
    <w:rsid w:val="743A465B"/>
    <w:rsid w:val="74C97BBD"/>
    <w:rsid w:val="7544769A"/>
    <w:rsid w:val="75ED6A4D"/>
    <w:rsid w:val="769941EE"/>
    <w:rsid w:val="77356364"/>
    <w:rsid w:val="7774101E"/>
    <w:rsid w:val="7B95779E"/>
    <w:rsid w:val="7BDC5C68"/>
    <w:rsid w:val="7C2E0E82"/>
    <w:rsid w:val="7C940394"/>
    <w:rsid w:val="7F107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楷体_GB2312" w:hAnsi="Cambria" w:eastAsia="楷体_GB2312"/>
      <w:b/>
      <w:color w:val="000000"/>
      <w:sz w:val="21"/>
      <w:lang w:val="en-US" w:eastAsia="zh-CN" w:bidi="ar-SA"/>
    </w:rPr>
  </w:style>
  <w:style w:type="paragraph" w:styleId="5">
    <w:name w:val="heading 1"/>
    <w:basedOn w:val="1"/>
    <w:next w:val="1"/>
    <w:link w:val="52"/>
    <w:qFormat/>
    <w:uiPriority w:val="9"/>
    <w:pPr>
      <w:keepNext/>
      <w:keepLines/>
      <w:tabs>
        <w:tab w:val="left" w:pos="432"/>
      </w:tabs>
      <w:spacing w:before="340" w:afterLines="50" w:line="576" w:lineRule="auto"/>
      <w:ind w:left="432" w:hanging="432"/>
      <w:outlineLvl w:val="0"/>
    </w:pPr>
    <w:rPr>
      <w:rFonts w:ascii="???|CS?o｡ﾀ?" w:hAnsi="???|CS?o｡ﾀ?" w:eastAsia="Tahoma"/>
      <w:b w:val="0"/>
      <w:spacing w:val="20"/>
      <w:kern w:val="44"/>
      <w:sz w:val="36"/>
    </w:rPr>
  </w:style>
  <w:style w:type="paragraph" w:styleId="6">
    <w:name w:val="heading 2"/>
    <w:basedOn w:val="1"/>
    <w:next w:val="7"/>
    <w:link w:val="53"/>
    <w:qFormat/>
    <w:uiPriority w:val="0"/>
    <w:pPr>
      <w:keepNext/>
      <w:keepLines/>
      <w:tabs>
        <w:tab w:val="left" w:pos="576"/>
      </w:tabs>
      <w:spacing w:before="260" w:afterLines="50" w:line="413" w:lineRule="auto"/>
      <w:ind w:left="576" w:hanging="576"/>
      <w:outlineLvl w:val="1"/>
    </w:pPr>
    <w:rPr>
      <w:rFonts w:ascii="???|CS?o｡ﾀ?" w:hAnsi="???|CS?o｡ﾀ?" w:eastAsia="Tahoma"/>
      <w:b w:val="0"/>
      <w:spacing w:val="20"/>
      <w:sz w:val="32"/>
    </w:rPr>
  </w:style>
  <w:style w:type="paragraph" w:styleId="8">
    <w:name w:val="heading 3"/>
    <w:basedOn w:val="1"/>
    <w:next w:val="1"/>
    <w:link w:val="55"/>
    <w:qFormat/>
    <w:uiPriority w:val="0"/>
    <w:pPr>
      <w:keepNext/>
      <w:keepLines/>
      <w:tabs>
        <w:tab w:val="left" w:pos="720"/>
      </w:tabs>
      <w:spacing w:before="260" w:afterLines="50" w:line="413" w:lineRule="auto"/>
      <w:ind w:left="720" w:hanging="720"/>
      <w:outlineLvl w:val="2"/>
    </w:pPr>
    <w:rPr>
      <w:rFonts w:ascii="???|CS?o｡ﾀ?" w:hAnsi="???|CS?o｡ﾀ?" w:eastAsia="Tahoma"/>
      <w:b w:val="0"/>
      <w:spacing w:val="20"/>
      <w:sz w:val="30"/>
    </w:rPr>
  </w:style>
  <w:style w:type="paragraph" w:styleId="9">
    <w:name w:val="heading 4"/>
    <w:basedOn w:val="1"/>
    <w:next w:val="7"/>
    <w:link w:val="56"/>
    <w:qFormat/>
    <w:uiPriority w:val="0"/>
    <w:pPr>
      <w:keepNext/>
      <w:keepLines/>
      <w:tabs>
        <w:tab w:val="left" w:pos="1079"/>
        <w:tab w:val="left" w:pos="1440"/>
      </w:tabs>
      <w:spacing w:before="280" w:afterLines="50" w:line="377" w:lineRule="auto"/>
      <w:ind w:left="1077" w:hanging="1077"/>
      <w:outlineLvl w:val="3"/>
    </w:pPr>
    <w:rPr>
      <w:rFonts w:ascii="???|CS?o｡ﾀ?" w:hAnsi="???|CS?o｡ﾀ?" w:eastAsia="Tahoma"/>
      <w:b w:val="0"/>
      <w:spacing w:val="10"/>
      <w:sz w:val="28"/>
    </w:rPr>
  </w:style>
  <w:style w:type="paragraph" w:styleId="10">
    <w:name w:val="heading 5"/>
    <w:basedOn w:val="1"/>
    <w:next w:val="7"/>
    <w:link w:val="57"/>
    <w:qFormat/>
    <w:uiPriority w:val="0"/>
    <w:pPr>
      <w:keepNext/>
      <w:keepLines/>
      <w:tabs>
        <w:tab w:val="left" w:pos="1008"/>
        <w:tab w:val="left" w:pos="1260"/>
      </w:tabs>
      <w:spacing w:before="280" w:afterLines="50" w:line="377" w:lineRule="auto"/>
      <w:ind w:left="1259" w:hanging="1259"/>
      <w:outlineLvl w:val="4"/>
    </w:pPr>
    <w:rPr>
      <w:rFonts w:ascii="???|CS?o｡ﾀ?" w:hAnsi="???|CS?o｡ﾀ?" w:eastAsia="Tahoma"/>
      <w:b w:val="0"/>
      <w:spacing w:val="10"/>
      <w:sz w:val="28"/>
    </w:rPr>
  </w:style>
  <w:style w:type="paragraph" w:styleId="11">
    <w:name w:val="heading 6"/>
    <w:basedOn w:val="1"/>
    <w:next w:val="7"/>
    <w:link w:val="58"/>
    <w:qFormat/>
    <w:uiPriority w:val="0"/>
    <w:pPr>
      <w:keepNext/>
      <w:keepLines/>
      <w:tabs>
        <w:tab w:val="left" w:pos="1152"/>
        <w:tab w:val="left" w:pos="1428"/>
      </w:tabs>
      <w:spacing w:before="240" w:afterLines="50" w:line="317" w:lineRule="auto"/>
      <w:ind w:left="550" w:hanging="550" w:hangingChars="550"/>
      <w:outlineLvl w:val="5"/>
    </w:pPr>
    <w:rPr>
      <w:rFonts w:ascii="???|CS?o｡ﾀ?" w:hAnsi="???|CS?o｡ﾀ?" w:eastAsia="Tahoma"/>
      <w:b w:val="0"/>
      <w:spacing w:val="10"/>
      <w:sz w:val="24"/>
    </w:rPr>
  </w:style>
  <w:style w:type="paragraph" w:styleId="12">
    <w:name w:val="heading 7"/>
    <w:basedOn w:val="1"/>
    <w:next w:val="7"/>
    <w:link w:val="59"/>
    <w:qFormat/>
    <w:uiPriority w:val="0"/>
    <w:pPr>
      <w:keepNext/>
      <w:keepLines/>
      <w:tabs>
        <w:tab w:val="left" w:pos="1296"/>
        <w:tab w:val="left" w:pos="1638"/>
      </w:tabs>
      <w:spacing w:before="240" w:afterLines="50" w:line="317" w:lineRule="auto"/>
      <w:ind w:left="1633" w:hanging="1633"/>
      <w:outlineLvl w:val="6"/>
    </w:pPr>
    <w:rPr>
      <w:rFonts w:ascii="???|CS?o｡ﾀ?" w:hAnsi="???|CS?o｡ﾀ?" w:eastAsia="Tahoma"/>
      <w:b w:val="0"/>
      <w:sz w:val="24"/>
    </w:rPr>
  </w:style>
  <w:style w:type="paragraph" w:styleId="13">
    <w:name w:val="heading 8"/>
    <w:basedOn w:val="1"/>
    <w:next w:val="7"/>
    <w:link w:val="60"/>
    <w:qFormat/>
    <w:uiPriority w:val="0"/>
    <w:pPr>
      <w:keepNext/>
      <w:keepLines/>
      <w:tabs>
        <w:tab w:val="left" w:pos="1440"/>
        <w:tab w:val="left" w:pos="1800"/>
      </w:tabs>
      <w:spacing w:before="240" w:afterLines="50" w:line="317" w:lineRule="auto"/>
      <w:ind w:left="1797" w:hanging="1797"/>
      <w:outlineLvl w:val="7"/>
    </w:pPr>
    <w:rPr>
      <w:rFonts w:ascii="???|CS?o｡ﾀ?" w:hAnsi="???|CS?o｡ﾀ?" w:eastAsia="Tahoma"/>
      <w:sz w:val="24"/>
    </w:rPr>
  </w:style>
  <w:style w:type="paragraph" w:styleId="14">
    <w:name w:val="heading 9"/>
    <w:basedOn w:val="1"/>
    <w:next w:val="7"/>
    <w:link w:val="61"/>
    <w:qFormat/>
    <w:uiPriority w:val="0"/>
    <w:pPr>
      <w:keepNext/>
      <w:keepLines/>
      <w:tabs>
        <w:tab w:val="left" w:pos="1584"/>
        <w:tab w:val="left" w:pos="1980"/>
      </w:tabs>
      <w:spacing w:before="240" w:afterLines="50" w:line="317" w:lineRule="auto"/>
      <w:ind w:left="1979" w:hanging="1979"/>
      <w:outlineLvl w:val="8"/>
    </w:pPr>
    <w:rPr>
      <w:rFonts w:ascii="???|CS?o｡ﾀ?" w:hAnsi="???|CS?o｡ﾀ?" w:eastAsia="Tahoma"/>
    </w:rPr>
  </w:style>
  <w:style w:type="character" w:default="1" w:styleId="43">
    <w:name w:val="Default Paragraph Font"/>
    <w:unhideWhenUsed/>
    <w:uiPriority w:val="1"/>
  </w:style>
  <w:style w:type="table" w:default="1" w:styleId="41">
    <w:name w:val="Normal Table"/>
    <w:unhideWhenUsed/>
    <w:uiPriority w:val="99"/>
    <w:tblPr>
      <w:tblStyle w:val="41"/>
      <w:tblCellMar>
        <w:top w:w="0" w:type="dxa"/>
        <w:left w:w="108" w:type="dxa"/>
        <w:bottom w:w="0" w:type="dxa"/>
        <w:right w:w="108" w:type="dxa"/>
      </w:tblCellMar>
    </w:tblPr>
  </w:style>
  <w:style w:type="paragraph" w:styleId="2">
    <w:name w:val="Body Text First Indent"/>
    <w:basedOn w:val="3"/>
    <w:next w:val="4"/>
    <w:link w:val="51"/>
    <w:qFormat/>
    <w:uiPriority w:val="0"/>
    <w:pPr>
      <w:ind w:firstLine="420" w:firstLineChars="100"/>
    </w:pPr>
  </w:style>
  <w:style w:type="paragraph" w:styleId="3">
    <w:name w:val="Body Text"/>
    <w:basedOn w:val="1"/>
    <w:next w:val="2"/>
    <w:link w:val="50"/>
    <w:qFormat/>
    <w:uiPriority w:val="0"/>
    <w:pPr>
      <w:spacing w:after="120"/>
    </w:pPr>
    <w:rPr>
      <w:rFonts w:ascii="长城仿宋" w:hAnsi="长城仿宋" w:eastAsia="Arial Unicode MS"/>
      <w:b w:val="0"/>
      <w:color w:val="auto"/>
      <w:kern w:val="2"/>
    </w:rPr>
  </w:style>
  <w:style w:type="paragraph" w:styleId="4">
    <w:name w:val="toc 6"/>
    <w:basedOn w:val="1"/>
    <w:next w:val="1"/>
    <w:qFormat/>
    <w:uiPriority w:val="0"/>
    <w:pPr>
      <w:ind w:left="2100" w:leftChars="1000"/>
    </w:pPr>
    <w:rPr>
      <w:rFonts w:ascii="Calibri" w:hAnsi="Calibri"/>
      <w:szCs w:val="22"/>
    </w:rPr>
  </w:style>
  <w:style w:type="paragraph" w:styleId="7">
    <w:name w:val="Normal Indent"/>
    <w:basedOn w:val="1"/>
    <w:link w:val="54"/>
    <w:qFormat/>
    <w:uiPriority w:val="0"/>
    <w:pPr>
      <w:ind w:firstLine="420" w:firstLineChars="200"/>
    </w:pPr>
  </w:style>
  <w:style w:type="paragraph" w:styleId="15">
    <w:name w:val="List Bullet"/>
    <w:basedOn w:val="1"/>
    <w:qFormat/>
    <w:uiPriority w:val="0"/>
    <w:pPr>
      <w:spacing w:line="360" w:lineRule="auto"/>
    </w:pPr>
    <w:rPr>
      <w:rFonts w:ascii="Arial Unicode MS" w:eastAsia="Arial Unicode MS"/>
      <w:b w:val="0"/>
      <w:color w:val="auto"/>
      <w:kern w:val="2"/>
      <w:sz w:val="20"/>
    </w:rPr>
  </w:style>
  <w:style w:type="paragraph" w:styleId="16">
    <w:name w:val="Document Map"/>
    <w:basedOn w:val="1"/>
    <w:link w:val="62"/>
    <w:qFormat/>
    <w:uiPriority w:val="0"/>
    <w:pPr>
      <w:shd w:val="clear" w:color="000080" w:fill="000080"/>
    </w:pPr>
    <w:rPr>
      <w:rFonts w:ascii="长城仿宋" w:hAnsi="长城仿宋" w:eastAsia="Arial Unicode MS"/>
      <w:b w:val="0"/>
      <w:color w:val="auto"/>
      <w:kern w:val="2"/>
    </w:rPr>
  </w:style>
  <w:style w:type="paragraph" w:styleId="17">
    <w:name w:val="toa heading"/>
    <w:basedOn w:val="1"/>
    <w:next w:val="1"/>
    <w:qFormat/>
    <w:uiPriority w:val="0"/>
    <w:pPr>
      <w:spacing w:before="120"/>
    </w:pPr>
    <w:rPr>
      <w:rFonts w:ascii="???|CS?o｡ﾀ?" w:hAnsi="???|CS?o｡ﾀ?"/>
      <w:sz w:val="24"/>
    </w:rPr>
  </w:style>
  <w:style w:type="paragraph" w:styleId="18">
    <w:name w:val="annotation text"/>
    <w:basedOn w:val="1"/>
    <w:link w:val="63"/>
    <w:qFormat/>
    <w:uiPriority w:val="0"/>
    <w:pPr>
      <w:jc w:val="left"/>
    </w:pPr>
  </w:style>
  <w:style w:type="paragraph" w:styleId="19">
    <w:name w:val="Salutation"/>
    <w:basedOn w:val="1"/>
    <w:next w:val="1"/>
    <w:link w:val="64"/>
    <w:qFormat/>
    <w:uiPriority w:val="0"/>
    <w:rPr>
      <w:rFonts w:ascii="长城仿宋" w:hAnsi="长城仿宋" w:eastAsia="Arial Unicode MS"/>
      <w:b w:val="0"/>
      <w:color w:val="auto"/>
      <w:kern w:val="2"/>
      <w:sz w:val="24"/>
    </w:rPr>
  </w:style>
  <w:style w:type="paragraph" w:styleId="20">
    <w:name w:val="Body Text Indent"/>
    <w:basedOn w:val="1"/>
    <w:link w:val="65"/>
    <w:qFormat/>
    <w:uiPriority w:val="0"/>
    <w:pPr>
      <w:spacing w:after="120"/>
      <w:ind w:left="420" w:leftChars="200"/>
    </w:pPr>
    <w:rPr>
      <w:rFonts w:ascii="长城仿宋" w:hAnsi="长城仿宋" w:eastAsia="Arial Unicode MS"/>
      <w:b w:val="0"/>
      <w:color w:val="auto"/>
      <w:sz w:val="20"/>
    </w:rPr>
  </w:style>
  <w:style w:type="paragraph" w:styleId="21">
    <w:name w:val="List Number 3"/>
    <w:basedOn w:val="1"/>
    <w:qFormat/>
    <w:uiPriority w:val="0"/>
    <w:pPr>
      <w:widowControl/>
      <w:tabs>
        <w:tab w:val="left" w:pos="2260"/>
      </w:tabs>
      <w:spacing w:afterLines="50"/>
      <w:ind w:left="2260" w:hanging="340"/>
      <w:jc w:val="left"/>
    </w:pPr>
    <w:rPr>
      <w:rFonts w:ascii="长城仿宋" w:hAnsi="长城仿宋" w:eastAsia="Arial Unicode MS"/>
      <w:b w:val="0"/>
      <w:color w:val="auto"/>
      <w:sz w:val="24"/>
    </w:rPr>
  </w:style>
  <w:style w:type="paragraph" w:styleId="22">
    <w:name w:val="List 2"/>
    <w:basedOn w:val="1"/>
    <w:qFormat/>
    <w:uiPriority w:val="0"/>
    <w:pPr>
      <w:ind w:left="840" w:hanging="420"/>
    </w:pPr>
    <w:rPr>
      <w:rFonts w:ascii="长城仿宋" w:hAnsi="长城仿宋" w:eastAsia="Arial Unicode MS"/>
      <w:b w:val="0"/>
      <w:color w:val="auto"/>
      <w:kern w:val="2"/>
    </w:rPr>
  </w:style>
  <w:style w:type="paragraph" w:styleId="23">
    <w:name w:val="Block Text"/>
    <w:basedOn w:val="1"/>
    <w:qFormat/>
    <w:uiPriority w:val="0"/>
    <w:pPr>
      <w:ind w:left="902" w:right="386"/>
    </w:pPr>
    <w:rPr>
      <w:rFonts w:ascii="长城仿宋" w:hAnsi="长城仿宋" w:eastAsia="Arial Unicode MS"/>
      <w:b w:val="0"/>
      <w:color w:val="auto"/>
      <w:kern w:val="2"/>
    </w:rPr>
  </w:style>
  <w:style w:type="paragraph" w:styleId="24">
    <w:name w:val="toc 3"/>
    <w:basedOn w:val="1"/>
    <w:next w:val="1"/>
    <w:qFormat/>
    <w:uiPriority w:val="39"/>
    <w:pPr>
      <w:tabs>
        <w:tab w:val="right" w:leader="dot" w:pos="8987"/>
      </w:tabs>
      <w:snapToGrid w:val="0"/>
      <w:spacing w:beforeLines="50" w:afterLines="50" w:line="400" w:lineRule="atLeast"/>
    </w:pPr>
    <w:rPr>
      <w:rFonts w:ascii="长城仿宋" w:hAnsi="长城仿宋"/>
      <w:sz w:val="28"/>
    </w:rPr>
  </w:style>
  <w:style w:type="paragraph" w:styleId="25">
    <w:name w:val="Plain Text"/>
    <w:basedOn w:val="1"/>
    <w:link w:val="66"/>
    <w:qFormat/>
    <w:uiPriority w:val="0"/>
    <w:rPr>
      <w:rFonts w:hint="eastAsia" w:ascii="Arial Unicode MS" w:hAnsi="微软雅黑"/>
      <w:sz w:val="20"/>
    </w:rPr>
  </w:style>
  <w:style w:type="paragraph" w:styleId="26">
    <w:name w:val="List Number 4"/>
    <w:basedOn w:val="1"/>
    <w:qFormat/>
    <w:uiPriority w:val="0"/>
    <w:pPr>
      <w:tabs>
        <w:tab w:val="left" w:pos="432"/>
      </w:tabs>
      <w:ind w:left="432" w:hanging="432"/>
    </w:pPr>
    <w:rPr>
      <w:rFonts w:ascii="长城仿宋" w:hAnsi="长城仿宋" w:eastAsia="Arial Unicode MS"/>
      <w:b w:val="0"/>
      <w:color w:val="auto"/>
      <w:kern w:val="2"/>
    </w:rPr>
  </w:style>
  <w:style w:type="paragraph" w:styleId="27">
    <w:name w:val="Date"/>
    <w:basedOn w:val="1"/>
    <w:next w:val="1"/>
    <w:link w:val="67"/>
    <w:qFormat/>
    <w:uiPriority w:val="0"/>
    <w:pPr>
      <w:ind w:left="100" w:leftChars="2500"/>
    </w:pPr>
    <w:rPr>
      <w:sz w:val="24"/>
    </w:rPr>
  </w:style>
  <w:style w:type="paragraph" w:styleId="28">
    <w:name w:val="Body Text Indent 2"/>
    <w:basedOn w:val="1"/>
    <w:link w:val="68"/>
    <w:qFormat/>
    <w:uiPriority w:val="0"/>
    <w:pPr>
      <w:widowControl/>
      <w:spacing w:line="480" w:lineRule="atLeast"/>
      <w:ind w:firstLine="480"/>
    </w:pPr>
    <w:rPr>
      <w:rFonts w:ascii="Arial Unicode MS"/>
      <w:sz w:val="24"/>
    </w:rPr>
  </w:style>
  <w:style w:type="paragraph" w:styleId="29">
    <w:name w:val="Balloon Text"/>
    <w:basedOn w:val="1"/>
    <w:link w:val="69"/>
    <w:qFormat/>
    <w:uiPriority w:val="99"/>
    <w:rPr>
      <w:sz w:val="18"/>
    </w:rPr>
  </w:style>
  <w:style w:type="paragraph" w:styleId="30">
    <w:name w:val="footer"/>
    <w:basedOn w:val="1"/>
    <w:link w:val="70"/>
    <w:qFormat/>
    <w:uiPriority w:val="99"/>
    <w:pPr>
      <w:tabs>
        <w:tab w:val="center" w:pos="4153"/>
        <w:tab w:val="right" w:pos="8306"/>
      </w:tabs>
      <w:snapToGrid w:val="0"/>
      <w:jc w:val="left"/>
    </w:pPr>
    <w:rPr>
      <w:sz w:val="18"/>
    </w:rPr>
  </w:style>
  <w:style w:type="paragraph" w:styleId="31">
    <w:name w:val="header"/>
    <w:basedOn w:val="1"/>
    <w:link w:val="71"/>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spacing w:line="360" w:lineRule="atLeast"/>
    </w:pPr>
    <w:rPr>
      <w:rFonts w:ascii="Arial Unicode MS" w:hAnsi="Cambria Math" w:eastAsia="Arial Unicode MS"/>
      <w:b w:val="0"/>
      <w:color w:val="auto"/>
      <w:kern w:val="2"/>
      <w:sz w:val="22"/>
    </w:rPr>
  </w:style>
  <w:style w:type="paragraph" w:styleId="33">
    <w:name w:val="List"/>
    <w:basedOn w:val="1"/>
    <w:qFormat/>
    <w:uiPriority w:val="0"/>
    <w:pPr>
      <w:ind w:left="420" w:hanging="420"/>
    </w:pPr>
    <w:rPr>
      <w:rFonts w:ascii="长城仿宋" w:hAnsi="长城仿宋" w:eastAsia="Arial Unicode MS"/>
      <w:b w:val="0"/>
      <w:color w:val="auto"/>
      <w:kern w:val="2"/>
    </w:rPr>
  </w:style>
  <w:style w:type="paragraph" w:styleId="34">
    <w:name w:val="Body Text Indent 3"/>
    <w:basedOn w:val="1"/>
    <w:link w:val="72"/>
    <w:qFormat/>
    <w:uiPriority w:val="0"/>
    <w:pPr>
      <w:spacing w:after="120"/>
      <w:ind w:left="420" w:leftChars="200"/>
    </w:pPr>
    <w:rPr>
      <w:sz w:val="16"/>
    </w:rPr>
  </w:style>
  <w:style w:type="paragraph" w:styleId="35">
    <w:name w:val="toc 2"/>
    <w:basedOn w:val="1"/>
    <w:next w:val="1"/>
    <w:qFormat/>
    <w:uiPriority w:val="39"/>
    <w:pPr>
      <w:ind w:left="420"/>
    </w:pPr>
    <w:rPr>
      <w:rFonts w:ascii="长城仿宋" w:hAnsi="长城仿宋" w:eastAsia="Arial Unicode MS"/>
      <w:b w:val="0"/>
      <w:color w:val="auto"/>
      <w:kern w:val="2"/>
      <w:sz w:val="36"/>
    </w:rPr>
  </w:style>
  <w:style w:type="paragraph" w:styleId="36">
    <w:name w:val="Body Text 2"/>
    <w:basedOn w:val="1"/>
    <w:link w:val="73"/>
    <w:qFormat/>
    <w:uiPriority w:val="0"/>
    <w:pPr>
      <w:spacing w:after="120" w:line="480" w:lineRule="auto"/>
    </w:pPr>
  </w:style>
  <w:style w:type="paragraph" w:styleId="37">
    <w:name w:val="HTML Preformatted"/>
    <w:basedOn w:val="1"/>
    <w:link w:val="7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b w:val="0"/>
      <w:color w:val="auto"/>
      <w:sz w:val="24"/>
    </w:rPr>
  </w:style>
  <w:style w:type="paragraph" w:styleId="38">
    <w:name w:val="Normal (Web)"/>
    <w:basedOn w:val="1"/>
    <w:qFormat/>
    <w:uiPriority w:val="0"/>
    <w:pPr>
      <w:widowControl/>
      <w:spacing w:afterLines="50"/>
      <w:jc w:val="left"/>
    </w:pPr>
    <w:rPr>
      <w:rFonts w:ascii="长城仿宋" w:hAnsi="长城仿宋" w:eastAsia="Arial Unicode MS"/>
      <w:b w:val="0"/>
      <w:color w:val="auto"/>
      <w:sz w:val="24"/>
    </w:rPr>
  </w:style>
  <w:style w:type="paragraph" w:styleId="39">
    <w:name w:val="Title"/>
    <w:basedOn w:val="1"/>
    <w:link w:val="75"/>
    <w:qFormat/>
    <w:uiPriority w:val="0"/>
    <w:pPr>
      <w:widowControl/>
      <w:overflowPunct w:val="0"/>
      <w:autoSpaceDE w:val="0"/>
      <w:autoSpaceDN w:val="0"/>
      <w:jc w:val="center"/>
    </w:pPr>
    <w:rPr>
      <w:rFonts w:ascii="长城仿宋" w:hAnsi="长城仿宋" w:eastAsia="Arial Unicode MS"/>
      <w:color w:val="auto"/>
      <w:sz w:val="24"/>
      <w:lang w:val="en-GB"/>
    </w:rPr>
  </w:style>
  <w:style w:type="paragraph" w:styleId="40">
    <w:name w:val="annotation subject"/>
    <w:basedOn w:val="18"/>
    <w:next w:val="18"/>
    <w:link w:val="76"/>
    <w:qFormat/>
    <w:uiPriority w:val="0"/>
    <w:rPr>
      <w:b w:val="0"/>
    </w:rPr>
  </w:style>
  <w:style w:type="table" w:styleId="42">
    <w:name w:val="Table Grid"/>
    <w:basedOn w:val="41"/>
    <w:qFormat/>
    <w:uiPriority w:val="59"/>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Emphasis"/>
    <w:qFormat/>
    <w:uiPriority w:val="0"/>
    <w:rPr>
      <w:i/>
    </w:rPr>
  </w:style>
  <w:style w:type="character" w:styleId="48">
    <w:name w:val="Hyperlink"/>
    <w:qFormat/>
    <w:uiPriority w:val="99"/>
    <w:rPr>
      <w:color w:val="0000FF"/>
      <w:u w:val="single"/>
    </w:rPr>
  </w:style>
  <w:style w:type="character" w:styleId="49">
    <w:name w:val="annotation reference"/>
    <w:qFormat/>
    <w:uiPriority w:val="0"/>
    <w:rPr>
      <w:sz w:val="21"/>
    </w:rPr>
  </w:style>
  <w:style w:type="character" w:customStyle="1" w:styleId="50">
    <w:name w:val="正文文本 Char1"/>
    <w:link w:val="3"/>
    <w:qFormat/>
    <w:uiPriority w:val="0"/>
    <w:rPr>
      <w:kern w:val="2"/>
      <w:sz w:val="24"/>
    </w:rPr>
  </w:style>
  <w:style w:type="character" w:customStyle="1" w:styleId="51">
    <w:name w:val="正文首行缩进 Char"/>
    <w:link w:val="2"/>
    <w:qFormat/>
    <w:uiPriority w:val="0"/>
    <w:rPr>
      <w:rFonts w:ascii="长城仿宋" w:hAnsi="长城仿宋"/>
      <w:kern w:val="2"/>
      <w:sz w:val="21"/>
    </w:rPr>
  </w:style>
  <w:style w:type="character" w:customStyle="1" w:styleId="52">
    <w:name w:val="标题 1 Char"/>
    <w:link w:val="5"/>
    <w:qFormat/>
    <w:uiPriority w:val="9"/>
    <w:rPr>
      <w:rFonts w:ascii="???|CS?o｡ﾀ?" w:hAnsi="???|CS?o｡ﾀ?" w:eastAsia="Tahoma"/>
      <w:color w:val="000000"/>
      <w:spacing w:val="20"/>
      <w:kern w:val="44"/>
      <w:sz w:val="36"/>
    </w:rPr>
  </w:style>
  <w:style w:type="character" w:customStyle="1" w:styleId="53">
    <w:name w:val="标题 2 Char"/>
    <w:link w:val="6"/>
    <w:qFormat/>
    <w:uiPriority w:val="0"/>
    <w:rPr>
      <w:rFonts w:ascii="???|CS?o｡ﾀ?" w:hAnsi="???|CS?o｡ﾀ?" w:eastAsia="Tahoma"/>
      <w:color w:val="000000"/>
      <w:spacing w:val="20"/>
      <w:sz w:val="32"/>
    </w:rPr>
  </w:style>
  <w:style w:type="character" w:customStyle="1" w:styleId="54">
    <w:name w:val="正文缩进 Char"/>
    <w:link w:val="7"/>
    <w:qFormat/>
    <w:uiPriority w:val="0"/>
    <w:rPr>
      <w:rFonts w:ascii="楷体_GB2312" w:hAnsi="Arial Unicode MS" w:eastAsia="楷体_GB2312"/>
      <w:b/>
      <w:color w:val="000000"/>
      <w:sz w:val="21"/>
      <w:lang w:val="en-US" w:eastAsia="zh-CN" w:bidi="ar-SA"/>
    </w:rPr>
  </w:style>
  <w:style w:type="character" w:customStyle="1" w:styleId="55">
    <w:name w:val="标题 3 Char"/>
    <w:link w:val="8"/>
    <w:qFormat/>
    <w:uiPriority w:val="0"/>
    <w:rPr>
      <w:rFonts w:ascii="???|CS?o｡ﾀ?" w:hAnsi="???|CS?o｡ﾀ?" w:eastAsia="Tahoma"/>
      <w:color w:val="000000"/>
      <w:spacing w:val="20"/>
      <w:sz w:val="30"/>
    </w:rPr>
  </w:style>
  <w:style w:type="character" w:customStyle="1" w:styleId="56">
    <w:name w:val="标题 4 Char"/>
    <w:link w:val="9"/>
    <w:qFormat/>
    <w:uiPriority w:val="0"/>
    <w:rPr>
      <w:rFonts w:ascii="???|CS?o｡ﾀ?" w:hAnsi="???|CS?o｡ﾀ?" w:eastAsia="Tahoma"/>
      <w:color w:val="000000"/>
      <w:spacing w:val="10"/>
      <w:sz w:val="28"/>
    </w:rPr>
  </w:style>
  <w:style w:type="character" w:customStyle="1" w:styleId="57">
    <w:name w:val="标题 5 Char"/>
    <w:link w:val="10"/>
    <w:qFormat/>
    <w:uiPriority w:val="0"/>
    <w:rPr>
      <w:rFonts w:ascii="???|CS?o｡ﾀ?" w:hAnsi="???|CS?o｡ﾀ?" w:eastAsia="Tahoma"/>
      <w:color w:val="000000"/>
      <w:spacing w:val="10"/>
      <w:sz w:val="28"/>
    </w:rPr>
  </w:style>
  <w:style w:type="character" w:customStyle="1" w:styleId="58">
    <w:name w:val="标题 6 Char"/>
    <w:link w:val="11"/>
    <w:qFormat/>
    <w:uiPriority w:val="0"/>
    <w:rPr>
      <w:rFonts w:ascii="???|CS?o｡ﾀ?" w:hAnsi="???|CS?o｡ﾀ?" w:eastAsia="Tahoma"/>
      <w:color w:val="000000"/>
      <w:spacing w:val="10"/>
      <w:sz w:val="24"/>
    </w:rPr>
  </w:style>
  <w:style w:type="character" w:customStyle="1" w:styleId="59">
    <w:name w:val="标题 7 Char"/>
    <w:link w:val="12"/>
    <w:qFormat/>
    <w:uiPriority w:val="0"/>
    <w:rPr>
      <w:rFonts w:ascii="???|CS?o｡ﾀ?" w:hAnsi="???|CS?o｡ﾀ?" w:eastAsia="Tahoma"/>
      <w:color w:val="000000"/>
      <w:sz w:val="24"/>
    </w:rPr>
  </w:style>
  <w:style w:type="character" w:customStyle="1" w:styleId="60">
    <w:name w:val="标题 8 Char"/>
    <w:link w:val="13"/>
    <w:qFormat/>
    <w:uiPriority w:val="0"/>
    <w:rPr>
      <w:rFonts w:ascii="???|CS?o｡ﾀ?" w:hAnsi="???|CS?o｡ﾀ?" w:eastAsia="Tahoma"/>
      <w:b/>
      <w:color w:val="000000"/>
      <w:sz w:val="24"/>
    </w:rPr>
  </w:style>
  <w:style w:type="character" w:customStyle="1" w:styleId="61">
    <w:name w:val="标题 9 Char"/>
    <w:link w:val="14"/>
    <w:qFormat/>
    <w:uiPriority w:val="0"/>
    <w:rPr>
      <w:rFonts w:ascii="???|CS?o｡ﾀ?" w:hAnsi="???|CS?o｡ﾀ?" w:eastAsia="Tahoma"/>
      <w:b/>
      <w:color w:val="000000"/>
      <w:sz w:val="21"/>
    </w:rPr>
  </w:style>
  <w:style w:type="character" w:customStyle="1" w:styleId="62">
    <w:name w:val="文档结构图 Char"/>
    <w:link w:val="16"/>
    <w:qFormat/>
    <w:uiPriority w:val="0"/>
    <w:rPr>
      <w:rFonts w:ascii="长城仿宋" w:hAnsi="长城仿宋"/>
      <w:kern w:val="2"/>
      <w:sz w:val="21"/>
      <w:shd w:val="clear" w:color="000080" w:fill="000080"/>
    </w:rPr>
  </w:style>
  <w:style w:type="character" w:customStyle="1" w:styleId="63">
    <w:name w:val="批注文字 Char"/>
    <w:link w:val="18"/>
    <w:qFormat/>
    <w:uiPriority w:val="0"/>
    <w:rPr>
      <w:rFonts w:ascii="楷体_GB2312" w:hAnsi="Arial Unicode MS" w:eastAsia="楷体_GB2312"/>
      <w:b/>
      <w:color w:val="000000"/>
      <w:sz w:val="21"/>
    </w:rPr>
  </w:style>
  <w:style w:type="character" w:customStyle="1" w:styleId="64">
    <w:name w:val="称呼 Char"/>
    <w:link w:val="19"/>
    <w:qFormat/>
    <w:uiPriority w:val="0"/>
    <w:rPr>
      <w:rFonts w:ascii="长城仿宋" w:hAnsi="长城仿宋"/>
      <w:kern w:val="2"/>
      <w:sz w:val="24"/>
    </w:rPr>
  </w:style>
  <w:style w:type="character" w:customStyle="1" w:styleId="65">
    <w:name w:val="正文文本缩进 Char"/>
    <w:link w:val="20"/>
    <w:qFormat/>
    <w:uiPriority w:val="0"/>
    <w:rPr>
      <w:rFonts w:hint="default" w:ascii="长城仿宋" w:hAnsi="长城仿宋" w:eastAsia="Arial Unicode MS" w:cs="长城仿宋"/>
    </w:rPr>
  </w:style>
  <w:style w:type="character" w:customStyle="1" w:styleId="66">
    <w:name w:val="纯文本 Char"/>
    <w:link w:val="25"/>
    <w:qFormat/>
    <w:uiPriority w:val="0"/>
    <w:rPr>
      <w:rFonts w:hint="eastAsia" w:ascii="Arial Unicode MS" w:hAnsi="微软雅黑" w:eastAsia="楷体_GB2312" w:cs="Arial Unicode MS"/>
      <w:b/>
      <w:color w:val="000000"/>
      <w:kern w:val="0"/>
    </w:rPr>
  </w:style>
  <w:style w:type="character" w:customStyle="1" w:styleId="67">
    <w:name w:val="日期 Char"/>
    <w:link w:val="27"/>
    <w:qFormat/>
    <w:uiPriority w:val="0"/>
    <w:rPr>
      <w:rFonts w:ascii="楷体_GB2312" w:hAnsi="Arial Unicode MS" w:eastAsia="楷体_GB2312"/>
      <w:b/>
      <w:color w:val="000000"/>
      <w:sz w:val="24"/>
    </w:rPr>
  </w:style>
  <w:style w:type="character" w:customStyle="1" w:styleId="68">
    <w:name w:val="正文文本缩进 2 Char"/>
    <w:link w:val="28"/>
    <w:qFormat/>
    <w:uiPriority w:val="0"/>
    <w:rPr>
      <w:rFonts w:ascii="Arial Unicode MS" w:hAnsi="Arial Unicode MS" w:eastAsia="楷体_GB2312"/>
      <w:b/>
      <w:color w:val="000000"/>
      <w:sz w:val="24"/>
    </w:rPr>
  </w:style>
  <w:style w:type="character" w:customStyle="1" w:styleId="69">
    <w:name w:val="批注框文本 Char"/>
    <w:link w:val="29"/>
    <w:qFormat/>
    <w:uiPriority w:val="99"/>
    <w:rPr>
      <w:rFonts w:ascii="楷体_GB2312" w:hAnsi="Arial Unicode MS" w:eastAsia="楷体_GB2312"/>
      <w:b/>
      <w:color w:val="000000"/>
      <w:sz w:val="18"/>
    </w:rPr>
  </w:style>
  <w:style w:type="character" w:customStyle="1" w:styleId="70">
    <w:name w:val="页脚 Char"/>
    <w:link w:val="30"/>
    <w:qFormat/>
    <w:uiPriority w:val="99"/>
    <w:rPr>
      <w:rFonts w:ascii="楷体_GB2312" w:hAnsi="Arial Unicode MS" w:eastAsia="楷体_GB2312"/>
      <w:b/>
      <w:color w:val="000000"/>
      <w:sz w:val="18"/>
    </w:rPr>
  </w:style>
  <w:style w:type="character" w:customStyle="1" w:styleId="71">
    <w:name w:val="页眉 Char"/>
    <w:link w:val="31"/>
    <w:qFormat/>
    <w:uiPriority w:val="99"/>
    <w:rPr>
      <w:rFonts w:ascii="楷体_GB2312" w:hAnsi="Arial Unicode MS" w:eastAsia="楷体_GB2312"/>
      <w:b/>
      <w:color w:val="000000"/>
      <w:sz w:val="18"/>
    </w:rPr>
  </w:style>
  <w:style w:type="character" w:customStyle="1" w:styleId="72">
    <w:name w:val="正文文本缩进 3 Char"/>
    <w:link w:val="34"/>
    <w:qFormat/>
    <w:uiPriority w:val="0"/>
    <w:rPr>
      <w:rFonts w:ascii="楷体_GB2312" w:hAnsi="Arial Unicode MS" w:eastAsia="楷体_GB2312"/>
      <w:b/>
      <w:color w:val="000000"/>
      <w:sz w:val="16"/>
    </w:rPr>
  </w:style>
  <w:style w:type="character" w:customStyle="1" w:styleId="73">
    <w:name w:val="正文文本 2 Char"/>
    <w:link w:val="36"/>
    <w:qFormat/>
    <w:uiPriority w:val="0"/>
    <w:rPr>
      <w:rFonts w:ascii="楷体_GB2312" w:hAnsi="Arial Unicode MS" w:eastAsia="楷体_GB2312"/>
      <w:b/>
      <w:color w:val="000000"/>
      <w:sz w:val="21"/>
    </w:rPr>
  </w:style>
  <w:style w:type="character" w:customStyle="1" w:styleId="74">
    <w:name w:val="HTML 预设格式 Char"/>
    <w:link w:val="37"/>
    <w:qFormat/>
    <w:uiPriority w:val="99"/>
    <w:rPr>
      <w:rFonts w:ascii="Arial Unicode MS" w:hAnsi="Arial Unicode MS" w:cs="Arial Unicode MS"/>
      <w:sz w:val="24"/>
    </w:rPr>
  </w:style>
  <w:style w:type="character" w:customStyle="1" w:styleId="75">
    <w:name w:val="标题 Char"/>
    <w:link w:val="39"/>
    <w:qFormat/>
    <w:uiPriority w:val="0"/>
    <w:rPr>
      <w:rFonts w:ascii="长城仿宋" w:hAnsi="长城仿宋"/>
      <w:b/>
      <w:sz w:val="24"/>
      <w:lang w:val="en-GB"/>
    </w:rPr>
  </w:style>
  <w:style w:type="character" w:customStyle="1" w:styleId="76">
    <w:name w:val="批注主题 Char"/>
    <w:link w:val="40"/>
    <w:qFormat/>
    <w:uiPriority w:val="0"/>
    <w:rPr>
      <w:rFonts w:ascii="楷体_GB2312" w:hAnsi="Arial Unicode MS" w:eastAsia="楷体_GB2312"/>
      <w:color w:val="000000"/>
      <w:sz w:val="21"/>
    </w:rPr>
  </w:style>
  <w:style w:type="paragraph" w:customStyle="1" w:styleId="77">
    <w:name w:val="Fließtext"/>
    <w:basedOn w:val="1"/>
    <w:qFormat/>
    <w:uiPriority w:val="0"/>
    <w:pPr>
      <w:overflowPunct w:val="0"/>
      <w:autoSpaceDE w:val="0"/>
      <w:autoSpaceDN w:val="0"/>
    </w:pPr>
    <w:rPr>
      <w:kern w:val="28"/>
    </w:rPr>
  </w:style>
  <w:style w:type="character" w:customStyle="1" w:styleId="78">
    <w:name w:val="正文文本 Char"/>
    <w:qFormat/>
    <w:uiPriority w:val="0"/>
    <w:rPr>
      <w:rFonts w:ascii="长城仿宋" w:hAnsi="长城仿宋"/>
      <w:kern w:val="2"/>
      <w:sz w:val="21"/>
    </w:rPr>
  </w:style>
  <w:style w:type="character" w:customStyle="1" w:styleId="79">
    <w:name w:val="普通文字 Char Char2"/>
    <w:qFormat/>
    <w:uiPriority w:val="0"/>
    <w:rPr>
      <w:rFonts w:ascii="Arial Unicode MS" w:hAnsi="微软雅黑" w:eastAsia="楷体_GB2312"/>
      <w:b/>
      <w:color w:val="000000"/>
      <w:sz w:val="21"/>
      <w:lang w:val="en-US" w:eastAsia="zh-CN" w:bidi="ar-SA"/>
    </w:rPr>
  </w:style>
  <w:style w:type="character" w:customStyle="1" w:styleId="80">
    <w:name w:val="Styles11"/>
    <w:qFormat/>
    <w:uiPriority w:val="0"/>
    <w:rPr>
      <w:rFonts w:hint="default"/>
      <w:sz w:val="21"/>
    </w:rPr>
  </w:style>
  <w:style w:type="character" w:customStyle="1" w:styleId="81">
    <w:name w:val="金保标题2 Char"/>
    <w:link w:val="82"/>
    <w:qFormat/>
    <w:uiPriority w:val="0"/>
    <w:rPr>
      <w:rFonts w:ascii="Tahoma" w:eastAsia="Tahoma"/>
      <w:kern w:val="2"/>
      <w:sz w:val="32"/>
    </w:rPr>
  </w:style>
  <w:style w:type="paragraph" w:customStyle="1" w:styleId="82">
    <w:name w:val="金保标题2"/>
    <w:basedOn w:val="6"/>
    <w:next w:val="1"/>
    <w:link w:val="81"/>
    <w:qFormat/>
    <w:uiPriority w:val="0"/>
    <w:pPr>
      <w:tabs>
        <w:tab w:val="left" w:pos="1050"/>
        <w:tab w:val="left" w:pos="1163"/>
        <w:tab w:val="left" w:pos="1260"/>
        <w:tab w:val="clear" w:pos="576"/>
      </w:tabs>
      <w:spacing w:line="360" w:lineRule="auto"/>
      <w:ind w:left="1163" w:hanging="420"/>
    </w:pPr>
    <w:rPr>
      <w:rFonts w:ascii="Tahoma" w:hAnsi="Cambria Math"/>
      <w:color w:val="auto"/>
      <w:kern w:val="2"/>
    </w:rPr>
  </w:style>
  <w:style w:type="character" w:customStyle="1" w:styleId="83">
    <w:name w:val="Unnamed31"/>
    <w:qFormat/>
    <w:uiPriority w:val="0"/>
    <w:rPr>
      <w:rFonts w:hint="eastAsia" w:ascii="Arial Unicode MS" w:hAnsi="Arial Unicode MS" w:eastAsia="Arial Unicode MS"/>
      <w:color w:val="6666CC"/>
      <w:sz w:val="18"/>
    </w:rPr>
  </w:style>
  <w:style w:type="character" w:customStyle="1" w:styleId="84">
    <w:name w:val="Style21"/>
    <w:qFormat/>
    <w:uiPriority w:val="0"/>
    <w:rPr>
      <w:sz w:val="15"/>
    </w:rPr>
  </w:style>
  <w:style w:type="character" w:customStyle="1" w:styleId="85">
    <w:name w:val="Headst"/>
    <w:qFormat/>
    <w:uiPriority w:val="0"/>
  </w:style>
  <w:style w:type="character" w:customStyle="1" w:styleId="86">
    <w:name w:val="纯文本 字符"/>
    <w:qFormat/>
    <w:uiPriority w:val="0"/>
    <w:rPr>
      <w:rFonts w:ascii="Arial Unicode MS" w:hAnsi="微软雅黑" w:eastAsia="楷体_GB2312"/>
      <w:b/>
      <w:color w:val="000000"/>
      <w:sz w:val="21"/>
    </w:rPr>
  </w:style>
  <w:style w:type="character" w:customStyle="1" w:styleId="87">
    <w:name w:val="纯文本 字符1"/>
    <w:qFormat/>
    <w:uiPriority w:val="0"/>
    <w:rPr>
      <w:rFonts w:hint="eastAsia" w:ascii="Arial Unicode MS" w:hAnsi="微软雅黑" w:eastAsia="楷体_GB2312" w:cs="Arial Unicode MS"/>
      <w:b/>
      <w:color w:val="000000"/>
      <w:kern w:val="0"/>
    </w:rPr>
  </w:style>
  <w:style w:type="character" w:customStyle="1" w:styleId="88">
    <w:name w:val="正文首行缩进 Char1"/>
    <w:qFormat/>
    <w:uiPriority w:val="0"/>
  </w:style>
  <w:style w:type="character" w:customStyle="1" w:styleId="89">
    <w:name w:val="批注文字 Char1"/>
    <w:qFormat/>
    <w:uiPriority w:val="99"/>
    <w:rPr>
      <w:rFonts w:ascii="楷体_GB2312" w:hAnsi="Arial Unicode MS" w:eastAsia="楷体_GB2312"/>
      <w:b/>
      <w:color w:val="000000"/>
      <w:sz w:val="21"/>
    </w:rPr>
  </w:style>
  <w:style w:type="character" w:customStyle="1" w:styleId="90">
    <w:name w:val="Px141"/>
    <w:qFormat/>
    <w:uiPriority w:val="0"/>
    <w:rPr>
      <w:sz w:val="21"/>
    </w:rPr>
  </w:style>
  <w:style w:type="character" w:customStyle="1" w:styleId="91">
    <w:name w:val="Font51"/>
    <w:qFormat/>
    <w:uiPriority w:val="0"/>
    <w:rPr>
      <w:rFonts w:hint="default" w:ascii="???|CS?o｡ﾀ?" w:hAnsi="???|CS?o｡ﾀ?" w:cs="???|CS?o｡ﾀ?"/>
      <w:color w:val="000000"/>
      <w:sz w:val="22"/>
      <w:u w:val="none"/>
    </w:rPr>
  </w:style>
  <w:style w:type="character" w:customStyle="1" w:styleId="92">
    <w:name w:val="B2"/>
    <w:qFormat/>
    <w:uiPriority w:val="0"/>
  </w:style>
  <w:style w:type="character" w:customStyle="1" w:styleId="93">
    <w:name w:val="Yellow12"/>
    <w:qFormat/>
    <w:uiPriority w:val="0"/>
  </w:style>
  <w:style w:type="character" w:customStyle="1" w:styleId="94">
    <w:name w:val="17"/>
    <w:qFormat/>
    <w:uiPriority w:val="0"/>
    <w:rPr>
      <w:rFonts w:hint="default" w:ascii="长城仿宋" w:hAnsi="长城仿宋" w:cs="长城仿宋"/>
      <w:color w:val="222222"/>
      <w:sz w:val="21"/>
    </w:rPr>
  </w:style>
  <w:style w:type="character" w:customStyle="1" w:styleId="95">
    <w:name w:val="纯文本 Char2"/>
    <w:qFormat/>
    <w:uiPriority w:val="0"/>
    <w:rPr>
      <w:rFonts w:ascii="Arial Unicode MS" w:hAnsi="微软雅黑" w:eastAsia="Arial Unicode MS" w:cs="微软雅黑"/>
    </w:rPr>
  </w:style>
  <w:style w:type="character" w:customStyle="1" w:styleId="96">
    <w:name w:val="样式 金保文档标准正文 Char + 宋体1 Char"/>
    <w:link w:val="97"/>
    <w:qFormat/>
    <w:uiPriority w:val="0"/>
    <w:rPr>
      <w:rFonts w:ascii="Arial Unicode MS" w:hAnsi="Arial Unicode MS"/>
      <w:kern w:val="2"/>
      <w:sz w:val="24"/>
    </w:rPr>
  </w:style>
  <w:style w:type="paragraph" w:customStyle="1" w:styleId="97">
    <w:name w:val="样式 金保文档标准正文 Char + 宋体1"/>
    <w:basedOn w:val="1"/>
    <w:link w:val="96"/>
    <w:qFormat/>
    <w:uiPriority w:val="0"/>
    <w:pPr>
      <w:spacing w:line="360" w:lineRule="auto"/>
      <w:ind w:firstLine="480" w:firstLineChars="200"/>
      <w:jc w:val="left"/>
    </w:pPr>
    <w:rPr>
      <w:rFonts w:ascii="Arial Unicode MS" w:eastAsia="Arial Unicode MS"/>
      <w:b w:val="0"/>
      <w:color w:val="auto"/>
      <w:kern w:val="2"/>
      <w:sz w:val="24"/>
    </w:rPr>
  </w:style>
  <w:style w:type="character" w:customStyle="1" w:styleId="98">
    <w:name w:val="Char Char"/>
    <w:link w:val="99"/>
    <w:qFormat/>
    <w:uiPriority w:val="0"/>
    <w:rPr>
      <w:rFonts w:ascii="楷体_GB2312" w:eastAsia="楷体_GB2312"/>
      <w:b/>
      <w:kern w:val="2"/>
      <w:sz w:val="32"/>
    </w:rPr>
  </w:style>
  <w:style w:type="paragraph" w:customStyle="1" w:styleId="99">
    <w:name w:val="Char"/>
    <w:basedOn w:val="1"/>
    <w:link w:val="98"/>
    <w:qFormat/>
    <w:uiPriority w:val="0"/>
    <w:rPr>
      <w:rFonts w:hAnsi="Cambria Math"/>
      <w:color w:val="auto"/>
      <w:kern w:val="2"/>
      <w:sz w:val="32"/>
    </w:rPr>
  </w:style>
  <w:style w:type="character" w:customStyle="1" w:styleId="100">
    <w:name w:val="列出段落 Char"/>
    <w:link w:val="101"/>
    <w:qFormat/>
    <w:uiPriority w:val="0"/>
    <w:rPr>
      <w:rFonts w:ascii="长城仿宋" w:hAnsi="长城仿宋"/>
      <w:kern w:val="2"/>
      <w:sz w:val="21"/>
    </w:rPr>
  </w:style>
  <w:style w:type="paragraph" w:styleId="101">
    <w:name w:val="List Paragraph"/>
    <w:basedOn w:val="1"/>
    <w:link w:val="100"/>
    <w:qFormat/>
    <w:uiPriority w:val="0"/>
    <w:pPr>
      <w:ind w:firstLine="420" w:firstLineChars="200"/>
    </w:pPr>
    <w:rPr>
      <w:rFonts w:ascii="长城仿宋" w:hAnsi="长城仿宋" w:eastAsia="Arial Unicode MS"/>
      <w:b w:val="0"/>
      <w:color w:val="auto"/>
      <w:kern w:val="2"/>
    </w:rPr>
  </w:style>
  <w:style w:type="character" w:customStyle="1" w:styleId="102">
    <w:name w:val="Ca-6"/>
    <w:qFormat/>
    <w:uiPriority w:val="0"/>
    <w:rPr>
      <w:rFonts w:cs="长城仿宋"/>
    </w:rPr>
  </w:style>
  <w:style w:type="character" w:customStyle="1" w:styleId="103">
    <w:name w:val="Style13"/>
    <w:qFormat/>
    <w:uiPriority w:val="0"/>
  </w:style>
  <w:style w:type="character" w:customStyle="1" w:styleId="104">
    <w:name w:val="Font01"/>
    <w:qFormat/>
    <w:uiPriority w:val="0"/>
    <w:rPr>
      <w:rFonts w:hint="default" w:ascii="???|CS?o｡ﾀ?" w:hAnsi="???|CS?o｡ﾀ?" w:cs="???|CS?o｡ﾀ?"/>
      <w:color w:val="000000"/>
      <w:sz w:val="22"/>
      <w:u w:val="none"/>
      <w:vertAlign w:val="superscript"/>
    </w:rPr>
  </w:style>
  <w:style w:type="character" w:customStyle="1" w:styleId="105">
    <w:name w:val="Char Char1"/>
    <w:qFormat/>
    <w:uiPriority w:val="0"/>
    <w:rPr>
      <w:rFonts w:ascii="Arial Unicode MS" w:hAnsi="微软雅黑" w:eastAsia="楷体_GB2312"/>
      <w:b/>
      <w:color w:val="000000"/>
      <w:sz w:val="21"/>
      <w:lang w:val="en-US" w:eastAsia="zh-CN" w:bidi="ar-SA"/>
    </w:rPr>
  </w:style>
  <w:style w:type="character" w:customStyle="1" w:styleId="106">
    <w:name w:val="F16b1"/>
    <w:qFormat/>
    <w:uiPriority w:val="0"/>
    <w:rPr>
      <w:b/>
      <w:color w:val="333333"/>
      <w:sz w:val="22"/>
    </w:rPr>
  </w:style>
  <w:style w:type="character" w:customStyle="1" w:styleId="107">
    <w:name w:val="16"/>
    <w:qFormat/>
    <w:uiPriority w:val="0"/>
    <w:rPr>
      <w:rFonts w:hint="default" w:ascii="长城仿宋" w:hAnsi="长城仿宋" w:cs="长城仿宋"/>
      <w:color w:val="0000FF"/>
      <w:u w:val="single"/>
    </w:rPr>
  </w:style>
  <w:style w:type="character" w:customStyle="1" w:styleId="108">
    <w:name w:val="Contentheaderrev1"/>
    <w:qFormat/>
    <w:uiPriority w:val="0"/>
    <w:rPr>
      <w:rFonts w:hint="default" w:ascii="???|CS?o｡ﾀ?" w:hAnsi="???|CS?o｡ﾀ?" w:cs="???|CS?o｡ﾀ?"/>
      <w:b/>
      <w:color w:val="FFFFFF"/>
      <w:sz w:val="24"/>
      <w:u w:val="none"/>
    </w:rPr>
  </w:style>
  <w:style w:type="character" w:customStyle="1" w:styleId="109">
    <w:name w:val="Font101"/>
    <w:qFormat/>
    <w:uiPriority w:val="0"/>
    <w:rPr>
      <w:rFonts w:hint="eastAsia" w:ascii="Arial Unicode MS" w:hAnsi="Arial Unicode MS" w:eastAsia="Arial Unicode MS" w:cs="Arial Unicode MS"/>
      <w:color w:val="000000"/>
      <w:sz w:val="22"/>
      <w:u w:val="none"/>
    </w:rPr>
  </w:style>
  <w:style w:type="character" w:customStyle="1" w:styleId="110">
    <w:name w:val="Font71"/>
    <w:qFormat/>
    <w:uiPriority w:val="0"/>
    <w:rPr>
      <w:rFonts w:hint="eastAsia" w:ascii="Arial Unicode MS" w:hAnsi="Arial Unicode MS" w:eastAsia="Arial Unicode MS" w:cs="Arial Unicode MS"/>
      <w:b/>
      <w:color w:val="000000"/>
      <w:sz w:val="22"/>
      <w:u w:val="none"/>
    </w:rPr>
  </w:style>
  <w:style w:type="character" w:customStyle="1" w:styleId="111">
    <w:name w:val="10"/>
    <w:qFormat/>
    <w:uiPriority w:val="0"/>
    <w:rPr>
      <w:rFonts w:hint="default" w:ascii="长城仿宋" w:hAnsi="长城仿宋" w:cs="长城仿宋"/>
    </w:rPr>
  </w:style>
  <w:style w:type="character" w:customStyle="1" w:styleId="112">
    <w:name w:val="纯文本 Char1"/>
    <w:qFormat/>
    <w:uiPriority w:val="99"/>
    <w:rPr>
      <w:rFonts w:hint="eastAsia" w:ascii="Arial Unicode MS" w:hAnsi="微软雅黑" w:eastAsia="楷体_GB2312" w:cs="Arial Unicode MS"/>
      <w:b/>
      <w:color w:val="000000"/>
    </w:rPr>
  </w:style>
  <w:style w:type="character" w:customStyle="1" w:styleId="113">
    <w:name w:val="Font21"/>
    <w:qFormat/>
    <w:uiPriority w:val="0"/>
    <w:rPr>
      <w:rFonts w:hint="eastAsia" w:ascii="Arial Unicode MS" w:hAnsi="Arial Unicode MS" w:eastAsia="Arial Unicode MS" w:cs="Arial Unicode MS"/>
      <w:color w:val="000000"/>
      <w:sz w:val="22"/>
      <w:u w:val="none"/>
    </w:rPr>
  </w:style>
  <w:style w:type="character" w:customStyle="1" w:styleId="114">
    <w:name w:val="批注主题 Char1"/>
    <w:qFormat/>
    <w:uiPriority w:val="99"/>
    <w:rPr>
      <w:rFonts w:ascii="楷体_GB2312" w:hAnsi="Arial Unicode MS" w:eastAsia="楷体_GB2312"/>
      <w:b/>
      <w:color w:val="000000"/>
      <w:sz w:val="21"/>
    </w:rPr>
  </w:style>
  <w:style w:type="character" w:customStyle="1" w:styleId="115">
    <w:name w:val="Style44"/>
    <w:qFormat/>
    <w:uiPriority w:val="0"/>
  </w:style>
  <w:style w:type="character" w:customStyle="1" w:styleId="116">
    <w:name w:val="页眉 Char1"/>
    <w:qFormat/>
    <w:uiPriority w:val="99"/>
    <w:rPr>
      <w:sz w:val="18"/>
    </w:rPr>
  </w:style>
  <w:style w:type="character" w:customStyle="1" w:styleId="117">
    <w:name w:val="Unnamed51"/>
    <w:qFormat/>
    <w:uiPriority w:val="0"/>
    <w:rPr>
      <w:sz w:val="22"/>
    </w:rPr>
  </w:style>
  <w:style w:type="character" w:customStyle="1" w:styleId="118">
    <w:name w:val="Font41"/>
    <w:qFormat/>
    <w:uiPriority w:val="0"/>
    <w:rPr>
      <w:rFonts w:hint="eastAsia" w:ascii="Arial Unicode MS" w:hAnsi="Arial Unicode MS" w:eastAsia="Arial Unicode MS" w:cs="Arial Unicode MS"/>
      <w:color w:val="000000"/>
      <w:sz w:val="22"/>
      <w:u w:val="none"/>
    </w:rPr>
  </w:style>
  <w:style w:type="character" w:customStyle="1" w:styleId="119">
    <w:name w:val="Font11"/>
    <w:qFormat/>
    <w:uiPriority w:val="0"/>
    <w:rPr>
      <w:rFonts w:hint="eastAsia" w:ascii="Arial Unicode MS" w:hAnsi="Arial Unicode MS" w:eastAsia="Arial Unicode MS" w:cs="Arial Unicode MS"/>
      <w:color w:val="000000"/>
      <w:sz w:val="20"/>
      <w:u w:val="none"/>
    </w:rPr>
  </w:style>
  <w:style w:type="character" w:customStyle="1" w:styleId="120">
    <w:name w:val="15"/>
    <w:qFormat/>
    <w:uiPriority w:val="0"/>
    <w:rPr>
      <w:rFonts w:hint="default" w:ascii="长城仿宋" w:hAnsi="长城仿宋" w:cs="长城仿宋"/>
    </w:rPr>
  </w:style>
  <w:style w:type="character" w:customStyle="1" w:styleId="121">
    <w:name w:val="Bookmark-item"/>
    <w:qFormat/>
    <w:uiPriority w:val="0"/>
  </w:style>
  <w:style w:type="character" w:customStyle="1" w:styleId="122">
    <w:name w:val="Text1"/>
    <w:qFormat/>
    <w:uiPriority w:val="0"/>
    <w:rPr>
      <w:rFonts w:hint="default"/>
      <w:color w:val="666666"/>
      <w:sz w:val="18"/>
      <w:u w:val="none"/>
    </w:rPr>
  </w:style>
  <w:style w:type="character" w:customStyle="1" w:styleId="123">
    <w:name w:val="普通文字 Char Char1"/>
    <w:qFormat/>
    <w:uiPriority w:val="0"/>
    <w:rPr>
      <w:rFonts w:ascii="Arial Unicode MS" w:hAnsi="微软雅黑" w:eastAsia="楷体_GB2312"/>
      <w:b/>
      <w:color w:val="000000"/>
      <w:sz w:val="21"/>
      <w:lang w:val="en-US" w:eastAsia="zh-CN" w:bidi="ar-SA"/>
    </w:rPr>
  </w:style>
  <w:style w:type="character" w:customStyle="1" w:styleId="124">
    <w:name w:val="标题 Char1"/>
    <w:qFormat/>
    <w:uiPriority w:val="10"/>
    <w:rPr>
      <w:rFonts w:ascii="ƨ" w:hAnsi="ƨ" w:eastAsia="Arial Unicode MS" w:cs="长城仿宋"/>
      <w:b/>
      <w:sz w:val="32"/>
    </w:rPr>
  </w:style>
  <w:style w:type="character" w:customStyle="1" w:styleId="125">
    <w:name w:val="Font81"/>
    <w:qFormat/>
    <w:uiPriority w:val="0"/>
    <w:rPr>
      <w:rFonts w:hint="eastAsia" w:ascii="Arial Unicode MS" w:hAnsi="Arial Unicode MS" w:eastAsia="Arial Unicode MS" w:cs="Arial Unicode MS"/>
      <w:color w:val="000000"/>
      <w:sz w:val="22"/>
      <w:u w:val="none"/>
    </w:rPr>
  </w:style>
  <w:style w:type="character" w:customStyle="1" w:styleId="126">
    <w:name w:val="Unnamed11"/>
    <w:qFormat/>
    <w:uiPriority w:val="0"/>
    <w:rPr>
      <w:color w:val="000000"/>
      <w:u w:val="none"/>
    </w:rPr>
  </w:style>
  <w:style w:type="character" w:customStyle="1" w:styleId="127">
    <w:name w:val="Texte Char Char"/>
    <w:qFormat/>
    <w:uiPriority w:val="0"/>
    <w:rPr>
      <w:rFonts w:ascii="Arial Unicode MS" w:hAnsi="微软雅黑" w:eastAsia="楷体_GB2312" w:cs="Arial Unicode MS"/>
      <w:b/>
      <w:color w:val="000000"/>
      <w:sz w:val="21"/>
      <w:lang w:val="en-US" w:eastAsia="zh-CN" w:bidi="ar-SA"/>
    </w:rPr>
  </w:style>
  <w:style w:type="character" w:customStyle="1" w:styleId="128">
    <w:name w:val="Title1"/>
    <w:qFormat/>
    <w:uiPriority w:val="0"/>
    <w:rPr>
      <w:rFonts w:hint="eastAsia" w:ascii="Arial Unicode MS" w:hAnsi="Arial Unicode MS" w:eastAsia="Arial Unicode MS"/>
      <w:b/>
      <w:sz w:val="22"/>
    </w:rPr>
  </w:style>
  <w:style w:type="character" w:customStyle="1" w:styleId="129">
    <w:name w:val="Font31"/>
    <w:qFormat/>
    <w:uiPriority w:val="0"/>
    <w:rPr>
      <w:rFonts w:hint="eastAsia" w:ascii="Arial Unicode MS" w:hAnsi="Arial Unicode MS" w:eastAsia="Arial Unicode MS" w:cs="Arial Unicode MS"/>
      <w:color w:val="000000"/>
      <w:sz w:val="22"/>
      <w:u w:val="none"/>
    </w:rPr>
  </w:style>
  <w:style w:type="character" w:customStyle="1" w:styleId="130">
    <w:name w:val="Font91"/>
    <w:qFormat/>
    <w:uiPriority w:val="0"/>
    <w:rPr>
      <w:rFonts w:hint="eastAsia" w:ascii="Arial Unicode MS" w:hAnsi="Arial Unicode MS" w:eastAsia="Arial Unicode MS" w:cs="Arial Unicode MS"/>
      <w:color w:val="000000"/>
      <w:sz w:val="22"/>
      <w:u w:val="none"/>
    </w:rPr>
  </w:style>
  <w:style w:type="paragraph" w:customStyle="1" w:styleId="13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rPr>
  </w:style>
  <w:style w:type="paragraph" w:customStyle="1" w:styleId="132">
    <w:name w:val="Wy"/>
    <w:basedOn w:val="9"/>
    <w:qFormat/>
    <w:uiPriority w:val="0"/>
    <w:pPr>
      <w:keepNext w:val="0"/>
      <w:keepLines w:val="0"/>
      <w:widowControl/>
      <w:tabs>
        <w:tab w:val="left" w:pos="2003"/>
        <w:tab w:val="clear" w:pos="1079"/>
        <w:tab w:val="clear" w:pos="1440"/>
      </w:tabs>
      <w:spacing w:before="240" w:line="240" w:lineRule="auto"/>
      <w:ind w:left="2003" w:hanging="420"/>
      <w:jc w:val="left"/>
    </w:pPr>
    <w:rPr>
      <w:rFonts w:ascii="楷体_GB2312" w:hAnsi="长城仿宋" w:eastAsia="楷体_GB2312"/>
      <w:b/>
      <w:snapToGrid/>
      <w:color w:val="auto"/>
      <w:sz w:val="24"/>
    </w:rPr>
  </w:style>
  <w:style w:type="paragraph" w:customStyle="1" w:styleId="133">
    <w:name w:val="表内文字"/>
    <w:basedOn w:val="1"/>
    <w:qFormat/>
    <w:uiPriority w:val="0"/>
    <w:pPr>
      <w:spacing w:line="500" w:lineRule="atLeast"/>
      <w:jc w:val="center"/>
    </w:pPr>
    <w:rPr>
      <w:rFonts w:ascii="???|CS?o｡ﾀ?" w:hAnsi="???|CS?o｡ﾀ?" w:eastAsia="Courier New"/>
      <w:b w:val="0"/>
      <w:color w:val="auto"/>
      <w:kern w:val="2"/>
      <w:sz w:val="28"/>
    </w:rPr>
  </w:style>
  <w:style w:type="paragraph" w:customStyle="1" w:styleId="134">
    <w:name w:val="Font5"/>
    <w:basedOn w:val="1"/>
    <w:qFormat/>
    <w:uiPriority w:val="0"/>
    <w:pPr>
      <w:widowControl/>
      <w:spacing w:before="100" w:beforeAutospacing="1" w:after="100" w:afterAutospacing="1"/>
      <w:jc w:val="left"/>
    </w:pPr>
    <w:rPr>
      <w:rFonts w:hint="eastAsia" w:ascii="Arial Unicode MS" w:eastAsia="Arial Unicode MS" w:cs="Baskerville"/>
      <w:b w:val="0"/>
      <w:color w:val="auto"/>
      <w:sz w:val="24"/>
    </w:rPr>
  </w:style>
  <w:style w:type="paragraph" w:customStyle="1" w:styleId="13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Arial Unicode MS"/>
      <w:color w:val="auto"/>
      <w:sz w:val="28"/>
    </w:rPr>
  </w:style>
  <w:style w:type="paragraph" w:customStyle="1" w:styleId="136">
    <w:name w:val="Xl13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Baskerville" w:hAnsi="Baskerville" w:eastAsia="Baskerville" w:cs="Baskerville"/>
      <w:color w:val="auto"/>
      <w:sz w:val="24"/>
    </w:rPr>
  </w:style>
  <w:style w:type="paragraph" w:customStyle="1" w:styleId="137">
    <w:name w:val="Xl74"/>
    <w:basedOn w:val="1"/>
    <w:qFormat/>
    <w:uiPriority w:val="0"/>
    <w:pPr>
      <w:widowControl/>
      <w:shd w:val="clear" w:color="FFFFFF" w:fill="FFFFFF"/>
      <w:spacing w:before="100" w:beforeAutospacing="1" w:after="100" w:afterAutospacing="1"/>
      <w:jc w:val="center"/>
    </w:pPr>
    <w:rPr>
      <w:rFonts w:ascii="Baskerville" w:hAnsi="Baskerville" w:eastAsia="Baskerville" w:cs="Baskerville"/>
      <w:b w:val="0"/>
      <w:color w:val="auto"/>
      <w:sz w:val="20"/>
    </w:rPr>
  </w:style>
  <w:style w:type="paragraph" w:customStyle="1" w:styleId="138">
    <w:name w:val="Xl3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长城仿宋" w:hAnsi="长城仿宋" w:eastAsia="Baskerville"/>
      <w:b w:val="0"/>
      <w:color w:val="auto"/>
      <w:sz w:val="18"/>
    </w:rPr>
  </w:style>
  <w:style w:type="paragraph" w:customStyle="1" w:styleId="139">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4"/>
    </w:rPr>
  </w:style>
  <w:style w:type="paragraph" w:customStyle="1" w:styleId="140">
    <w:name w:val="Xl126"/>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b w:val="0"/>
      <w:color w:val="auto"/>
      <w:sz w:val="24"/>
    </w:rPr>
  </w:style>
  <w:style w:type="paragraph" w:customStyle="1" w:styleId="14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4"/>
    </w:rPr>
  </w:style>
  <w:style w:type="paragraph" w:customStyle="1" w:styleId="142">
    <w:name w:val="正文缩进1"/>
    <w:basedOn w:val="1"/>
    <w:qFormat/>
    <w:uiPriority w:val="0"/>
    <w:pPr>
      <w:ind w:firstLine="420"/>
    </w:pPr>
    <w:rPr>
      <w:rFonts w:ascii="Times New Roman" w:hAnsi="Times New Roman" w:eastAsia="宋体"/>
      <w:b w:val="0"/>
      <w:color w:val="auto"/>
      <w:kern w:val="2"/>
    </w:rPr>
  </w:style>
  <w:style w:type="paragraph" w:customStyle="1" w:styleId="143">
    <w:name w:val="1"/>
    <w:basedOn w:val="1"/>
    <w:next w:val="20"/>
    <w:qFormat/>
    <w:uiPriority w:val="0"/>
    <w:pPr>
      <w:spacing w:line="480" w:lineRule="exact"/>
      <w:ind w:firstLine="480"/>
    </w:pPr>
    <w:rPr>
      <w:rFonts w:ascii="Arial Unicode MS"/>
      <w:sz w:val="24"/>
    </w:rPr>
  </w:style>
  <w:style w:type="paragraph" w:customStyle="1" w:styleId="144">
    <w:name w:val="Char Char Char Char Char Char Char Char Char Char Char Char Char Char Char Char"/>
    <w:basedOn w:val="1"/>
    <w:qFormat/>
    <w:uiPriority w:val="0"/>
    <w:pPr>
      <w:snapToGrid w:val="0"/>
      <w:spacing w:line="360" w:lineRule="auto"/>
      <w:ind w:firstLine="200" w:firstLineChars="200"/>
    </w:pPr>
    <w:rPr>
      <w:rFonts w:ascii="长城仿宋" w:hAnsi="长城仿宋"/>
      <w:b w:val="0"/>
      <w:color w:val="auto"/>
      <w:kern w:val="2"/>
      <w:sz w:val="24"/>
    </w:rPr>
  </w:style>
  <w:style w:type="paragraph" w:customStyle="1" w:styleId="145">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4"/>
    </w:rPr>
  </w:style>
  <w:style w:type="paragraph" w:customStyle="1" w:styleId="146">
    <w:name w:val="正文 A A"/>
    <w:qFormat/>
    <w:uiPriority w:val="0"/>
    <w:pPr>
      <w:widowControl w:val="0"/>
      <w:jc w:val="both"/>
    </w:pPr>
    <w:rPr>
      <w:rFonts w:eastAsia="Baskerville" w:cs="Baskerville"/>
      <w:color w:val="000000"/>
      <w:kern w:val="2"/>
      <w:sz w:val="21"/>
      <w:u w:val="none" w:color="000000"/>
      <w:lang w:val="en-US" w:eastAsia="zh-CN" w:bidi="ar-SA"/>
    </w:rPr>
  </w:style>
  <w:style w:type="paragraph" w:customStyle="1" w:styleId="147">
    <w:name w:val="Xl132"/>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b w:val="0"/>
      <w:color w:val="auto"/>
      <w:sz w:val="24"/>
    </w:rPr>
  </w:style>
  <w:style w:type="paragraph" w:customStyle="1" w:styleId="14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149">
    <w:name w:val="Body text|1"/>
    <w:basedOn w:val="1"/>
    <w:qFormat/>
    <w:uiPriority w:val="0"/>
    <w:pPr>
      <w:spacing w:line="422" w:lineRule="auto"/>
      <w:ind w:firstLine="400"/>
    </w:pPr>
    <w:rPr>
      <w:rFonts w:ascii="MingLiU" w:hAnsi="MingLiU" w:eastAsia="MingLiU"/>
      <w:color w:val="auto"/>
      <w:sz w:val="22"/>
      <w:lang w:val="zh-TW" w:eastAsia="zh-TW"/>
    </w:rPr>
  </w:style>
  <w:style w:type="paragraph" w:customStyle="1" w:styleId="150">
    <w:name w:val="正文一"/>
    <w:basedOn w:val="1"/>
    <w:qFormat/>
    <w:uiPriority w:val="0"/>
    <w:pPr>
      <w:widowControl/>
      <w:spacing w:line="360" w:lineRule="auto"/>
      <w:ind w:firstLine="480" w:firstLineChars="200"/>
      <w:jc w:val="left"/>
    </w:pPr>
    <w:rPr>
      <w:rFonts w:ascii="长城仿宋" w:hAnsi="长城仿宋" w:eastAsia="Arial Unicode MS"/>
      <w:b w:val="0"/>
      <w:color w:val="auto"/>
      <w:sz w:val="24"/>
      <w:lang w:bidi="he-IL"/>
    </w:rPr>
  </w:style>
  <w:style w:type="paragraph" w:customStyle="1" w:styleId="151">
    <w:name w:val="Xl13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Baskerville" w:hAnsi="Baskerville" w:eastAsia="Baskerville" w:cs="Baskerville"/>
      <w:b w:val="0"/>
      <w:color w:val="auto"/>
      <w:sz w:val="24"/>
    </w:rPr>
  </w:style>
  <w:style w:type="paragraph" w:customStyle="1" w:styleId="152">
    <w:name w:val="缺省文本"/>
    <w:basedOn w:val="1"/>
    <w:qFormat/>
    <w:uiPriority w:val="0"/>
    <w:pPr>
      <w:autoSpaceDE w:val="0"/>
      <w:autoSpaceDN w:val="0"/>
      <w:jc w:val="left"/>
    </w:pPr>
    <w:rPr>
      <w:rFonts w:ascii="长城仿宋" w:hAnsi="长城仿宋" w:eastAsia="Arial Unicode MS"/>
      <w:b w:val="0"/>
      <w:color w:val="auto"/>
      <w:sz w:val="24"/>
    </w:rPr>
  </w:style>
  <w:style w:type="paragraph" w:customStyle="1" w:styleId="1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4"/>
    </w:rPr>
  </w:style>
  <w:style w:type="paragraph" w:customStyle="1" w:styleId="154">
    <w:name w:val="Char2"/>
    <w:basedOn w:val="1"/>
    <w:qFormat/>
    <w:uiPriority w:val="0"/>
    <w:rPr>
      <w:b w:val="0"/>
      <w:sz w:val="32"/>
    </w:rPr>
  </w:style>
  <w:style w:type="paragraph" w:customStyle="1" w:styleId="155">
    <w:name w:val="Xl66"/>
    <w:basedOn w:val="1"/>
    <w:qFormat/>
    <w:uiPriority w:val="0"/>
    <w:pPr>
      <w:widowControl/>
      <w:spacing w:before="100" w:beforeAutospacing="1" w:after="100" w:afterAutospacing="1"/>
    </w:pPr>
    <w:rPr>
      <w:rFonts w:ascii="Baskerville" w:hAnsi="Baskerville" w:eastAsia="Baskerville"/>
      <w:b w:val="0"/>
      <w:color w:val="auto"/>
      <w:sz w:val="24"/>
    </w:rPr>
  </w:style>
  <w:style w:type="paragraph" w:customStyle="1" w:styleId="156">
    <w:name w:val="Shadow2"/>
    <w:basedOn w:val="1"/>
    <w:qFormat/>
    <w:uiPriority w:val="0"/>
    <w:pPr>
      <w:widowControl/>
      <w:spacing w:before="100" w:beforeAutospacing="1" w:after="100" w:afterAutospacing="1"/>
      <w:jc w:val="left"/>
    </w:pPr>
    <w:rPr>
      <w:rFonts w:ascii="Baskerville" w:hAnsi="Baskerville" w:eastAsia="Baskerville"/>
      <w:b w:val="0"/>
      <w:color w:val="FFFFFF"/>
      <w:sz w:val="24"/>
    </w:rPr>
  </w:style>
  <w:style w:type="paragraph" w:customStyle="1" w:styleId="157">
    <w:name w:val="Xl13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Unicode MS" w:eastAsia="Arial Unicode MS"/>
      <w:b w:val="0"/>
      <w:color w:val="auto"/>
      <w:sz w:val="24"/>
    </w:rPr>
  </w:style>
  <w:style w:type="paragraph" w:customStyle="1" w:styleId="158">
    <w:name w:val="Xl4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159">
    <w:name w:val="Xl138"/>
    <w:basedOn w:val="1"/>
    <w:qFormat/>
    <w:uiPriority w:val="0"/>
    <w:pPr>
      <w:widowControl/>
      <w:pBdr>
        <w:top w:val="single" w:color="auto" w:sz="4" w:space="0"/>
        <w:bottom w:val="single" w:color="auto" w:sz="4" w:space="0"/>
      </w:pBdr>
      <w:spacing w:before="100" w:beforeAutospacing="1" w:after="100" w:afterAutospacing="1"/>
      <w:jc w:val="left"/>
    </w:pPr>
    <w:rPr>
      <w:rFonts w:ascii="Baskerville" w:hAnsi="Baskerville" w:eastAsia="Baskerville" w:cs="Baskerville"/>
      <w:color w:val="auto"/>
      <w:sz w:val="24"/>
    </w:rPr>
  </w:style>
  <w:style w:type="paragraph" w:customStyle="1" w:styleId="160">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0"/>
    </w:rPr>
  </w:style>
  <w:style w:type="paragraph" w:customStyle="1" w:styleId="161">
    <w:name w:val="列表段落1"/>
    <w:basedOn w:val="1"/>
    <w:qFormat/>
    <w:uiPriority w:val="0"/>
    <w:pPr>
      <w:ind w:firstLine="420" w:firstLineChars="200"/>
    </w:pPr>
    <w:rPr>
      <w:rFonts w:ascii="Calibri" w:hAnsi="Calibri" w:eastAsia="宋体"/>
      <w:b w:val="0"/>
      <w:color w:val="auto"/>
      <w:kern w:val="2"/>
    </w:rPr>
  </w:style>
  <w:style w:type="paragraph" w:customStyle="1" w:styleId="162">
    <w:name w:val="网新正文文本"/>
    <w:qFormat/>
    <w:uiPriority w:val="0"/>
    <w:pPr>
      <w:spacing w:line="360" w:lineRule="auto"/>
      <w:ind w:firstLine="200" w:firstLineChars="200"/>
    </w:pPr>
    <w:rPr>
      <w:kern w:val="2"/>
      <w:sz w:val="24"/>
      <w:lang w:val="en-US" w:eastAsia="zh-CN" w:bidi="ar-SA"/>
    </w:rPr>
  </w:style>
  <w:style w:type="paragraph" w:customStyle="1" w:styleId="163">
    <w:name w:val="Xl122"/>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b w:val="0"/>
      <w:color w:val="auto"/>
      <w:sz w:val="24"/>
    </w:rPr>
  </w:style>
  <w:style w:type="paragraph" w:customStyle="1" w:styleId="164">
    <w:name w:val="Font6"/>
    <w:basedOn w:val="1"/>
    <w:qFormat/>
    <w:uiPriority w:val="0"/>
    <w:pPr>
      <w:widowControl/>
      <w:spacing w:before="100" w:beforeAutospacing="1" w:after="100" w:afterAutospacing="1"/>
      <w:jc w:val="left"/>
    </w:pPr>
    <w:rPr>
      <w:rFonts w:hint="eastAsia" w:ascii="Arial Unicode MS" w:eastAsia="Arial Unicode MS" w:cs="Baskerville"/>
      <w:b w:val="0"/>
      <w:color w:val="auto"/>
      <w:sz w:val="18"/>
    </w:rPr>
  </w:style>
  <w:style w:type="paragraph" w:customStyle="1" w:styleId="165">
    <w:name w:val="标准小四"/>
    <w:basedOn w:val="1"/>
    <w:qFormat/>
    <w:uiPriority w:val="0"/>
    <w:pPr>
      <w:spacing w:line="360" w:lineRule="auto"/>
      <w:ind w:firstLine="480" w:firstLineChars="200"/>
    </w:pPr>
    <w:rPr>
      <w:rFonts w:ascii="???|CS?o｡ﾀ?" w:hAnsi="???|CS?o｡ﾀ?" w:eastAsia="Arial Unicode MS"/>
      <w:b w:val="0"/>
      <w:color w:val="auto"/>
      <w:kern w:val="2"/>
      <w:sz w:val="24"/>
    </w:rPr>
  </w:style>
  <w:style w:type="paragraph" w:customStyle="1" w:styleId="166">
    <w:name w:val="表格文本"/>
    <w:qFormat/>
    <w:uiPriority w:val="0"/>
    <w:pPr>
      <w:tabs>
        <w:tab w:val="decimal" w:pos="0"/>
      </w:tabs>
    </w:pPr>
    <w:rPr>
      <w:rFonts w:ascii="???|CS?o｡ﾀ?" w:hAnsi="???|CS?o｡ﾀ?"/>
      <w:sz w:val="21"/>
      <w:lang w:val="en-US" w:eastAsia="zh-CN" w:bidi="ar-SA"/>
    </w:rPr>
  </w:style>
  <w:style w:type="paragraph" w:customStyle="1" w:styleId="167">
    <w:name w:val="样式 样式 标题 4 + 非加粗 + (中文) 黑体 段前: 0 磅 段后: 0 磅 行距: 固定值 22 磅"/>
    <w:basedOn w:val="1"/>
    <w:qFormat/>
    <w:uiPriority w:val="2"/>
    <w:pPr>
      <w:keepNext/>
      <w:keepLines/>
      <w:widowControl/>
      <w:spacing w:beforeLines="50" w:afterLines="50" w:line="500" w:lineRule="exact"/>
      <w:jc w:val="left"/>
      <w:outlineLvl w:val="3"/>
    </w:pPr>
    <w:rPr>
      <w:rFonts w:ascii="???|CS?o｡ﾀ?" w:hAnsi="???|CS?o｡ﾀ?" w:eastAsia="Tahoma" w:cs="Arial Unicode MS"/>
      <w:color w:val="auto"/>
      <w:sz w:val="28"/>
    </w:rPr>
  </w:style>
  <w:style w:type="paragraph" w:customStyle="1" w:styleId="168">
    <w:name w:val="Xl72"/>
    <w:basedOn w:val="1"/>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center"/>
    </w:pPr>
    <w:rPr>
      <w:rFonts w:ascii="Baskerville" w:hAnsi="Baskerville" w:eastAsia="Baskerville" w:cs="Baskerville"/>
      <w:b w:val="0"/>
      <w:color w:val="auto"/>
      <w:sz w:val="20"/>
    </w:rPr>
  </w:style>
  <w:style w:type="paragraph" w:customStyle="1" w:styleId="169">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170">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color w:val="auto"/>
      <w:sz w:val="24"/>
    </w:rPr>
  </w:style>
  <w:style w:type="paragraph" w:customStyle="1" w:styleId="171">
    <w:name w:val="TOC 标题1"/>
    <w:basedOn w:val="5"/>
    <w:next w:val="1"/>
    <w:qFormat/>
    <w:uiPriority w:val="39"/>
    <w:pPr>
      <w:widowControl/>
      <w:tabs>
        <w:tab w:val="clear" w:pos="432"/>
      </w:tabs>
      <w:spacing w:before="240" w:line="259" w:lineRule="auto"/>
      <w:ind w:left="0" w:firstLine="0"/>
      <w:jc w:val="left"/>
      <w:outlineLvl w:val="9"/>
    </w:pPr>
    <w:rPr>
      <w:rFonts w:ascii="Cambria" w:hAnsi="Cambria" w:eastAsia="宋体"/>
      <w:color w:val="365F91"/>
      <w:kern w:val="0"/>
      <w:sz w:val="32"/>
    </w:rPr>
  </w:style>
  <w:style w:type="paragraph" w:customStyle="1" w:styleId="172">
    <w:name w:val="Xl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173">
    <w:name w:val="正文－恩普"/>
    <w:basedOn w:val="7"/>
    <w:qFormat/>
    <w:uiPriority w:val="0"/>
    <w:pPr>
      <w:widowControl/>
      <w:spacing w:before="100" w:beforeAutospacing="1" w:afterLines="50" w:line="360" w:lineRule="auto"/>
      <w:ind w:firstLine="480"/>
      <w:jc w:val="left"/>
    </w:pPr>
    <w:rPr>
      <w:sz w:val="24"/>
    </w:rPr>
  </w:style>
  <w:style w:type="paragraph" w:customStyle="1" w:styleId="174">
    <w:name w:val="Header or footer|2"/>
    <w:basedOn w:val="1"/>
    <w:qFormat/>
    <w:uiPriority w:val="0"/>
    <w:rPr>
      <w:rFonts w:eastAsia="Times New Roman"/>
      <w:color w:val="auto"/>
      <w:sz w:val="20"/>
      <w:lang w:val="zh-TW" w:eastAsia="zh-TW"/>
    </w:rPr>
  </w:style>
  <w:style w:type="paragraph" w:customStyle="1" w:styleId="175">
    <w:name w:val="样式4"/>
    <w:basedOn w:val="5"/>
    <w:qFormat/>
    <w:uiPriority w:val="0"/>
    <w:pPr>
      <w:keepLines w:val="0"/>
      <w:snapToGrid w:val="0"/>
      <w:spacing w:before="0" w:line="500" w:lineRule="atLeast"/>
      <w:ind w:left="0" w:firstLine="0"/>
      <w:jc w:val="center"/>
    </w:pPr>
    <w:rPr>
      <w:rFonts w:ascii="Tahoma" w:hAnsi="Arial Unicode MS" w:cs="???|CS?o｡ﾀ?"/>
      <w:b/>
      <w:color w:val="auto"/>
      <w:kern w:val="2"/>
      <w:sz w:val="30"/>
    </w:rPr>
  </w:style>
  <w:style w:type="paragraph" w:customStyle="1" w:styleId="176">
    <w:name w:val="Xl55"/>
    <w:basedOn w:val="1"/>
    <w:qFormat/>
    <w:uiPriority w:val="0"/>
    <w:pPr>
      <w:widowControl/>
      <w:spacing w:before="100" w:beforeAutospacing="1" w:after="100" w:afterAutospacing="1"/>
      <w:jc w:val="center"/>
    </w:pPr>
    <w:rPr>
      <w:rFonts w:ascii="Baskerville" w:hAnsi="Baskerville" w:eastAsia="Arial Unicode MS"/>
      <w:b w:val="0"/>
      <w:color w:val="auto"/>
      <w:sz w:val="24"/>
    </w:rPr>
  </w:style>
  <w:style w:type="paragraph" w:customStyle="1" w:styleId="177">
    <w:name w:val="2册标题4"/>
    <w:basedOn w:val="1"/>
    <w:next w:val="1"/>
    <w:qFormat/>
    <w:uiPriority w:val="0"/>
    <w:pPr>
      <w:spacing w:before="120" w:after="120" w:line="300" w:lineRule="auto"/>
      <w:ind w:left="120"/>
      <w:outlineLvl w:val="3"/>
    </w:pPr>
    <w:rPr>
      <w:rFonts w:ascii="???|CS?o｡ﾀ?" w:hAnsi="???|CS?o｡ﾀ?" w:eastAsia="Arial Unicode MS" w:cs="???|CS?o｡ﾀ?"/>
      <w:b w:val="0"/>
      <w:color w:val="auto"/>
      <w:kern w:val="2"/>
    </w:rPr>
  </w:style>
  <w:style w:type="paragraph" w:customStyle="1" w:styleId="178">
    <w:name w:val="Xl65"/>
    <w:basedOn w:val="1"/>
    <w:qFormat/>
    <w:uiPriority w:val="0"/>
    <w:pPr>
      <w:widowControl/>
      <w:spacing w:before="100" w:beforeAutospacing="1" w:after="100" w:afterAutospacing="1"/>
      <w:jc w:val="left"/>
    </w:pPr>
    <w:rPr>
      <w:rFonts w:ascii="长城仿宋" w:hAnsi="长城仿宋" w:eastAsia="Baskerville"/>
      <w:b w:val="0"/>
      <w:color w:val="auto"/>
      <w:sz w:val="20"/>
    </w:rPr>
  </w:style>
  <w:style w:type="paragraph" w:customStyle="1" w:styleId="179">
    <w:name w:val="Xl12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b w:val="0"/>
      <w:color w:val="auto"/>
      <w:sz w:val="24"/>
    </w:rPr>
  </w:style>
  <w:style w:type="paragraph" w:customStyle="1" w:styleId="180">
    <w:name w:val="Xl62"/>
    <w:basedOn w:val="1"/>
    <w:qFormat/>
    <w:uiPriority w:val="0"/>
    <w:pPr>
      <w:widowControl/>
      <w:spacing w:before="100" w:beforeAutospacing="1" w:after="100" w:afterAutospacing="1"/>
      <w:jc w:val="left"/>
    </w:pPr>
    <w:rPr>
      <w:rFonts w:ascii="Baskerville" w:hAnsi="Baskerville" w:eastAsia="Baskerville" w:cs="Baskerville"/>
      <w:b w:val="0"/>
      <w:color w:val="auto"/>
      <w:sz w:val="20"/>
    </w:rPr>
  </w:style>
  <w:style w:type="paragraph" w:customStyle="1" w:styleId="181">
    <w:name w:val="Border"/>
    <w:basedOn w:val="1"/>
    <w:qFormat/>
    <w:uiPriority w:val="0"/>
    <w:pPr>
      <w:widowControl/>
      <w:pBdr>
        <w:top w:val="dotted" w:color="111111" w:sz="8" w:space="0"/>
        <w:left w:val="dotted" w:color="111111" w:sz="8" w:space="0"/>
        <w:bottom w:val="dotted" w:color="111111" w:sz="8" w:space="0"/>
        <w:right w:val="dotted" w:color="111111" w:sz="8" w:space="0"/>
      </w:pBdr>
      <w:shd w:val="clear" w:color="EFEFEF" w:fill="EFEFEF"/>
      <w:spacing w:before="100" w:beforeAutospacing="1" w:after="100" w:afterAutospacing="1"/>
      <w:jc w:val="left"/>
    </w:pPr>
    <w:rPr>
      <w:rFonts w:ascii="Baskerville" w:hAnsi="Baskerville" w:eastAsia="Baskerville"/>
      <w:b w:val="0"/>
      <w:sz w:val="24"/>
    </w:rPr>
  </w:style>
  <w:style w:type="paragraph" w:customStyle="1" w:styleId="182">
    <w:name w:val="Tableheading"/>
    <w:basedOn w:val="1"/>
    <w:qFormat/>
    <w:uiPriority w:val="0"/>
    <w:pPr>
      <w:widowControl/>
      <w:spacing w:before="100" w:beforeAutospacing="1" w:after="100" w:afterAutospacing="1"/>
      <w:jc w:val="left"/>
    </w:pPr>
    <w:rPr>
      <w:rFonts w:ascii="Arial Unicode MS" w:eastAsia="Arial Unicode MS" w:cs="Arial Unicode MS"/>
      <w:b w:val="0"/>
      <w:color w:val="auto"/>
      <w:sz w:val="24"/>
    </w:rPr>
  </w:style>
  <w:style w:type="paragraph" w:customStyle="1" w:styleId="183">
    <w:name w:val="Xl7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b w:val="0"/>
      <w:color w:val="auto"/>
      <w:sz w:val="20"/>
    </w:rPr>
  </w:style>
  <w:style w:type="paragraph" w:customStyle="1" w:styleId="184">
    <w:name w:val="Xl31"/>
    <w:basedOn w:val="1"/>
    <w:qFormat/>
    <w:uiPriority w:val="0"/>
    <w:pPr>
      <w:widowControl/>
      <w:spacing w:before="100" w:beforeAutospacing="1" w:after="100" w:afterAutospacing="1"/>
      <w:jc w:val="center"/>
    </w:pPr>
    <w:rPr>
      <w:rFonts w:ascii="Arial Unicode MS" w:eastAsia="Arial Unicode MS"/>
      <w:b w:val="0"/>
      <w:color w:val="auto"/>
      <w:sz w:val="20"/>
    </w:rPr>
  </w:style>
  <w:style w:type="paragraph" w:customStyle="1" w:styleId="185">
    <w:name w:val="Xl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186">
    <w:name w:val="Xl97"/>
    <w:basedOn w:val="1"/>
    <w:qFormat/>
    <w:uiPriority w:val="0"/>
    <w:pPr>
      <w:widowControl/>
      <w:spacing w:before="100" w:beforeAutospacing="1" w:after="100" w:afterAutospacing="1"/>
      <w:jc w:val="left"/>
    </w:pPr>
    <w:rPr>
      <w:rFonts w:ascii="Baskerville" w:hAnsi="Baskerville" w:eastAsia="Baskerville" w:cs="Baskerville"/>
      <w:b w:val="0"/>
      <w:color w:val="auto"/>
      <w:sz w:val="24"/>
      <w:u w:val="single"/>
    </w:rPr>
  </w:style>
  <w:style w:type="paragraph" w:customStyle="1" w:styleId="187">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188">
    <w:name w:val="Char Char7 Char"/>
    <w:basedOn w:val="1"/>
    <w:qFormat/>
    <w:uiPriority w:val="0"/>
    <w:pPr>
      <w:tabs>
        <w:tab w:val="left" w:pos="425"/>
      </w:tabs>
      <w:ind w:left="420" w:leftChars="200" w:firstLine="270" w:firstLineChars="150"/>
    </w:pPr>
    <w:rPr>
      <w:rFonts w:ascii="Arial Unicode MS" w:eastAsia="Arial Unicode MS" w:cs="???|CS?o｡ﾀ?"/>
      <w:b w:val="0"/>
      <w:color w:val="5E5E5E"/>
    </w:rPr>
  </w:style>
  <w:style w:type="paragraph" w:customStyle="1" w:styleId="189">
    <w:name w:val="默认段落字体 Para Char Char Char Char Char Char Char"/>
    <w:basedOn w:val="1"/>
    <w:qFormat/>
    <w:uiPriority w:val="0"/>
    <w:rPr>
      <w:rFonts w:ascii="Cambria" w:hAnsi="Cambria" w:eastAsia="Arial Unicode MS"/>
      <w:b w:val="0"/>
      <w:color w:val="auto"/>
      <w:kern w:val="2"/>
      <w:sz w:val="24"/>
    </w:rPr>
  </w:style>
  <w:style w:type="paragraph" w:customStyle="1" w:styleId="190">
    <w:name w:val="Styles1"/>
    <w:basedOn w:val="1"/>
    <w:qFormat/>
    <w:uiPriority w:val="0"/>
    <w:pPr>
      <w:widowControl/>
      <w:spacing w:before="100" w:beforeAutospacing="1" w:after="100" w:afterAutospacing="1" w:line="312" w:lineRule="auto"/>
      <w:jc w:val="left"/>
    </w:pPr>
    <w:rPr>
      <w:rFonts w:eastAsia="Arial Unicode MS" w:cs="???|CS?o｡ﾀ?"/>
      <w:b w:val="0"/>
    </w:rPr>
  </w:style>
  <w:style w:type="paragraph" w:customStyle="1" w:styleId="191">
    <w:name w:val="Char Char7 Char1"/>
    <w:basedOn w:val="1"/>
    <w:qFormat/>
    <w:uiPriority w:val="0"/>
    <w:pPr>
      <w:tabs>
        <w:tab w:val="left" w:pos="425"/>
      </w:tabs>
      <w:ind w:left="420" w:leftChars="200" w:firstLine="270" w:firstLineChars="150"/>
    </w:pPr>
    <w:rPr>
      <w:rFonts w:ascii="Arial Unicode MS" w:eastAsia="Arial Unicode MS" w:cs="???|CS?o｡ﾀ?"/>
      <w:b w:val="0"/>
      <w:color w:val="5E5E5E"/>
    </w:rPr>
  </w:style>
  <w:style w:type="paragraph" w:customStyle="1" w:styleId="192">
    <w:name w:val="Xl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b w:val="0"/>
      <w:color w:val="auto"/>
      <w:sz w:val="20"/>
    </w:rPr>
  </w:style>
  <w:style w:type="paragraph" w:customStyle="1" w:styleId="193">
    <w:name w:val="列出段落2"/>
    <w:basedOn w:val="1"/>
    <w:qFormat/>
    <w:uiPriority w:val="99"/>
    <w:pPr>
      <w:ind w:firstLine="420" w:firstLineChars="200"/>
    </w:pPr>
  </w:style>
  <w:style w:type="paragraph" w:customStyle="1" w:styleId="194">
    <w:name w:val="Xl116"/>
    <w:basedOn w:val="1"/>
    <w:qFormat/>
    <w:uiPriority w:val="0"/>
    <w:pPr>
      <w:widowControl/>
      <w:spacing w:before="100" w:beforeAutospacing="1" w:after="100" w:afterAutospacing="1"/>
      <w:jc w:val="center"/>
    </w:pPr>
    <w:rPr>
      <w:rFonts w:ascii="长城仿宋" w:hAnsi="长城仿宋" w:eastAsia="Baskerville"/>
      <w:b w:val="0"/>
      <w:color w:val="auto"/>
      <w:sz w:val="24"/>
    </w:rPr>
  </w:style>
  <w:style w:type="paragraph" w:customStyle="1" w:styleId="195">
    <w:name w:val="Char Char Char Char Char Char Char"/>
    <w:basedOn w:val="1"/>
    <w:qFormat/>
    <w:uiPriority w:val="0"/>
    <w:rPr>
      <w:rFonts w:ascii="长城仿宋" w:hAnsi="长城仿宋" w:eastAsia="Arial Unicode MS"/>
      <w:b w:val="0"/>
      <w:color w:val="auto"/>
      <w:kern w:val="2"/>
    </w:rPr>
  </w:style>
  <w:style w:type="paragraph" w:customStyle="1" w:styleId="196">
    <w:name w:val="Char Char4"/>
    <w:basedOn w:val="1"/>
    <w:qFormat/>
    <w:uiPriority w:val="0"/>
    <w:rPr>
      <w:rFonts w:ascii="长城仿宋" w:hAnsi="长城仿宋" w:eastAsia="Arial Unicode MS"/>
      <w:b w:val="0"/>
      <w:color w:val="auto"/>
      <w:kern w:val="2"/>
    </w:rPr>
  </w:style>
  <w:style w:type="paragraph" w:customStyle="1" w:styleId="197">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Baskerville" w:hAnsi="Baskerville" w:eastAsia="Baskerville" w:cs="Baskerville"/>
      <w:b w:val="0"/>
      <w:color w:val="auto"/>
      <w:sz w:val="20"/>
    </w:rPr>
  </w:style>
  <w:style w:type="paragraph" w:customStyle="1" w:styleId="198">
    <w:name w:val="投标书标题5"/>
    <w:next w:val="1"/>
    <w:qFormat/>
    <w:uiPriority w:val="0"/>
    <w:pPr>
      <w:spacing w:line="360" w:lineRule="auto"/>
      <w:outlineLvl w:val="4"/>
    </w:pPr>
    <w:rPr>
      <w:rFonts w:eastAsia="Tahoma"/>
      <w:b/>
      <w:kern w:val="2"/>
      <w:sz w:val="28"/>
      <w:lang w:val="en-US" w:eastAsia="zh-CN" w:bidi="ar-SA"/>
    </w:rPr>
  </w:style>
  <w:style w:type="paragraph" w:customStyle="1" w:styleId="199">
    <w:name w:val="Char Char1 Char Char Char Char Char Char Char Char Char Char"/>
    <w:basedOn w:val="1"/>
    <w:qFormat/>
    <w:uiPriority w:val="0"/>
    <w:rPr>
      <w:rFonts w:ascii="Cambria" w:hAnsi="Cambria" w:eastAsia="Arial Unicode MS"/>
      <w:b w:val="0"/>
      <w:color w:val="auto"/>
      <w:kern w:val="2"/>
      <w:sz w:val="24"/>
    </w:rPr>
  </w:style>
  <w:style w:type="paragraph" w:customStyle="1" w:styleId="200">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20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rPr>
  </w:style>
  <w:style w:type="paragraph" w:customStyle="1" w:styleId="202">
    <w:name w:val="加点"/>
    <w:basedOn w:val="1"/>
    <w:qFormat/>
    <w:uiPriority w:val="0"/>
    <w:pPr>
      <w:spacing w:line="360" w:lineRule="auto"/>
    </w:pPr>
    <w:rPr>
      <w:rFonts w:ascii="长城仿宋" w:hAnsi="长城仿宋" w:eastAsia="Courier New"/>
      <w:b w:val="0"/>
      <w:color w:val="auto"/>
      <w:kern w:val="2"/>
      <w:sz w:val="24"/>
    </w:rPr>
  </w:style>
  <w:style w:type="paragraph" w:customStyle="1" w:styleId="203">
    <w:name w:val="金保标题1"/>
    <w:basedOn w:val="5"/>
    <w:next w:val="1"/>
    <w:qFormat/>
    <w:uiPriority w:val="0"/>
    <w:pPr>
      <w:pageBreakBefore/>
      <w:tabs>
        <w:tab w:val="left" w:pos="743"/>
        <w:tab w:val="left" w:pos="900"/>
        <w:tab w:val="clear" w:pos="432"/>
      </w:tabs>
      <w:snapToGrid w:val="0"/>
      <w:spacing w:beforeLines="200" w:afterLines="200" w:line="240" w:lineRule="auto"/>
      <w:ind w:left="743" w:hanging="420"/>
      <w:jc w:val="center"/>
    </w:pPr>
    <w:rPr>
      <w:rFonts w:ascii="Tahoma" w:hAnsi="Cambria"/>
      <w:color w:val="auto"/>
      <w:sz w:val="44"/>
      <w:lang w:val="zh-CN"/>
    </w:rPr>
  </w:style>
  <w:style w:type="paragraph" w:customStyle="1" w:styleId="204">
    <w:name w:val="Font0"/>
    <w:basedOn w:val="1"/>
    <w:qFormat/>
    <w:uiPriority w:val="0"/>
    <w:pPr>
      <w:widowControl/>
      <w:spacing w:before="100" w:beforeAutospacing="1" w:after="100" w:afterAutospacing="1"/>
      <w:jc w:val="left"/>
    </w:pPr>
    <w:rPr>
      <w:rFonts w:hint="eastAsia" w:ascii="Arial Unicode MS" w:eastAsia="Arial Unicode MS" w:cs="Baskerville"/>
      <w:b w:val="0"/>
      <w:color w:val="auto"/>
      <w:sz w:val="24"/>
    </w:rPr>
  </w:style>
  <w:style w:type="paragraph" w:customStyle="1" w:styleId="205">
    <w:name w:val="Time"/>
    <w:basedOn w:val="1"/>
    <w:qFormat/>
    <w:uiPriority w:val="0"/>
    <w:pPr>
      <w:widowControl/>
      <w:spacing w:before="100" w:beforeAutospacing="1" w:after="100" w:afterAutospacing="1"/>
      <w:jc w:val="left"/>
    </w:pPr>
    <w:rPr>
      <w:rFonts w:ascii="???|CS?o｡ﾀ?" w:hAnsi="???|CS?o｡ﾀ?" w:eastAsia="Baskerville" w:cs="???|CS?o｡ﾀ?"/>
      <w:b w:val="0"/>
      <w:color w:val="auto"/>
      <w:sz w:val="22"/>
    </w:rPr>
  </w:style>
  <w:style w:type="paragraph" w:customStyle="1" w:styleId="206">
    <w:name w:val="Xl80"/>
    <w:basedOn w:val="1"/>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color w:val="FF0000"/>
      <w:sz w:val="20"/>
    </w:rPr>
  </w:style>
  <w:style w:type="paragraph" w:customStyle="1" w:styleId="207">
    <w:name w:val="Xl48"/>
    <w:basedOn w:val="1"/>
    <w:qFormat/>
    <w:uiPriority w:val="0"/>
    <w:pPr>
      <w:widowControl/>
      <w:pBdr>
        <w:top w:val="single" w:color="auto" w:sz="4" w:space="0"/>
        <w:bottom w:val="single" w:color="auto" w:sz="4" w:space="0"/>
      </w:pBdr>
      <w:spacing w:before="100" w:beforeAutospacing="1" w:after="100" w:afterAutospacing="1"/>
      <w:jc w:val="left"/>
    </w:pPr>
    <w:rPr>
      <w:rFonts w:ascii="Baskerville" w:hAnsi="Baskerville" w:eastAsia="Baskerville" w:cs="Baskerville"/>
      <w:b w:val="0"/>
      <w:color w:val="auto"/>
      <w:sz w:val="20"/>
    </w:rPr>
  </w:style>
  <w:style w:type="paragraph" w:customStyle="1" w:styleId="2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b w:val="0"/>
      <w:color w:val="auto"/>
      <w:sz w:val="24"/>
    </w:rPr>
  </w:style>
  <w:style w:type="paragraph" w:customStyle="1" w:styleId="209">
    <w:name w:val="Xl76"/>
    <w:basedOn w:val="1"/>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color w:val="auto"/>
      <w:sz w:val="20"/>
    </w:rPr>
  </w:style>
  <w:style w:type="paragraph" w:customStyle="1" w:styleId="210">
    <w:name w:val="列表内容"/>
    <w:next w:val="1"/>
    <w:qFormat/>
    <w:uiPriority w:val="0"/>
    <w:pPr>
      <w:tabs>
        <w:tab w:val="left" w:pos="360"/>
      </w:tabs>
    </w:pPr>
    <w:rPr>
      <w:rFonts w:eastAsia="Baskerville" w:cs="Baskerville"/>
      <w:color w:val="000000"/>
      <w:sz w:val="18"/>
      <w:u w:val="none" w:color="000000"/>
      <w:lang w:val="en-US" w:eastAsia="zh-CN" w:bidi="ar-SA"/>
    </w:rPr>
  </w:style>
  <w:style w:type="paragraph" w:customStyle="1" w:styleId="211">
    <w:name w:val="样式3"/>
    <w:basedOn w:val="8"/>
    <w:qFormat/>
    <w:uiPriority w:val="0"/>
    <w:pPr>
      <w:snapToGrid w:val="0"/>
      <w:spacing w:before="100" w:beforeAutospacing="1" w:afterAutospacing="1" w:line="500" w:lineRule="atLeast"/>
      <w:ind w:left="454" w:hanging="284"/>
      <w:jc w:val="left"/>
    </w:pPr>
    <w:rPr>
      <w:rFonts w:ascii="Arial Unicode MS" w:eastAsia="Courier New"/>
      <w:b/>
      <w:snapToGrid/>
      <w:color w:val="auto"/>
      <w:sz w:val="24"/>
    </w:rPr>
  </w:style>
  <w:style w:type="paragraph" w:customStyle="1" w:styleId="212">
    <w:name w:val="保留正文"/>
    <w:basedOn w:val="3"/>
    <w:qFormat/>
    <w:uiPriority w:val="0"/>
    <w:pPr>
      <w:keepNext/>
      <w:spacing w:after="160"/>
    </w:pPr>
  </w:style>
  <w:style w:type="paragraph" w:customStyle="1" w:styleId="213">
    <w:name w:val="Xl71"/>
    <w:basedOn w:val="1"/>
    <w:qFormat/>
    <w:uiPriority w:val="0"/>
    <w:pPr>
      <w:widowControl/>
      <w:shd w:val="clear" w:color="FFFFFF" w:fill="FFFFFF"/>
      <w:spacing w:before="100" w:beforeAutospacing="1" w:after="100" w:afterAutospacing="1"/>
      <w:jc w:val="left"/>
    </w:pPr>
    <w:rPr>
      <w:rFonts w:ascii="Baskerville" w:hAnsi="Baskerville" w:eastAsia="Baskerville" w:cs="Baskerville"/>
      <w:b w:val="0"/>
      <w:color w:val="auto"/>
      <w:sz w:val="20"/>
    </w:rPr>
  </w:style>
  <w:style w:type="paragraph" w:customStyle="1" w:styleId="21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rPr>
  </w:style>
  <w:style w:type="paragraph" w:customStyle="1" w:styleId="215">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4"/>
    </w:rPr>
  </w:style>
  <w:style w:type="paragraph" w:customStyle="1" w:styleId="216">
    <w:name w:val="Char3"/>
    <w:basedOn w:val="16"/>
    <w:qFormat/>
    <w:uiPriority w:val="0"/>
    <w:rPr>
      <w:rFonts w:ascii="Cambria" w:hAnsi="Cambria"/>
      <w:sz w:val="24"/>
    </w:rPr>
  </w:style>
  <w:style w:type="paragraph" w:customStyle="1" w:styleId="21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rPr>
  </w:style>
  <w:style w:type="paragraph" w:customStyle="1" w:styleId="218">
    <w:name w:val="Char1"/>
    <w:basedOn w:val="1"/>
    <w:qFormat/>
    <w:uiPriority w:val="0"/>
    <w:rPr>
      <w:rFonts w:hAnsi="长城仿宋"/>
      <w:color w:val="auto"/>
      <w:kern w:val="2"/>
      <w:sz w:val="32"/>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Baskerville" w:hAnsi="Baskerville" w:eastAsia="Baskerville" w:cs="Baskerville"/>
      <w:b w:val="0"/>
      <w:color w:val="auto"/>
      <w:sz w:val="20"/>
    </w:rPr>
  </w:style>
  <w:style w:type="paragraph" w:customStyle="1" w:styleId="220">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0"/>
    </w:rPr>
  </w:style>
  <w:style w:type="paragraph" w:customStyle="1" w:styleId="221">
    <w:name w:val="项目符号"/>
    <w:basedOn w:val="26"/>
    <w:qFormat/>
    <w:uiPriority w:val="0"/>
    <w:pPr>
      <w:tabs>
        <w:tab w:val="left" w:pos="1260"/>
        <w:tab w:val="left" w:pos="2260"/>
        <w:tab w:val="clear" w:pos="432"/>
      </w:tabs>
      <w:spacing w:line="360" w:lineRule="auto"/>
      <w:ind w:left="630" w:firstLine="0"/>
    </w:pPr>
    <w:rPr>
      <w:rFonts w:ascii="Arial Unicode MS" w:hAnsi="Arial Unicode MS"/>
      <w:sz w:val="24"/>
    </w:rPr>
  </w:style>
  <w:style w:type="paragraph" w:customStyle="1" w:styleId="222">
    <w:name w:val="样式35"/>
    <w:qFormat/>
    <w:uiPriority w:val="0"/>
    <w:pPr>
      <w:keepNext/>
      <w:keepLines/>
      <w:pageBreakBefore/>
      <w:widowControl w:val="0"/>
      <w:spacing w:before="340" w:after="330" w:line="360" w:lineRule="auto"/>
      <w:ind w:left="431" w:hanging="431"/>
      <w:jc w:val="both"/>
      <w:outlineLvl w:val="0"/>
    </w:pPr>
    <w:rPr>
      <w:rFonts w:ascii="Calibri" w:hAnsi="Calibri" w:eastAsia="Calibri" w:cs="Calibri"/>
      <w:color w:val="000000"/>
      <w:kern w:val="44"/>
      <w:sz w:val="30"/>
      <w:u w:val="none" w:color="000000"/>
      <w:lang w:val="en-US" w:eastAsia="zh-CN" w:bidi="ar-SA"/>
    </w:rPr>
  </w:style>
  <w:style w:type="paragraph" w:customStyle="1" w:styleId="223">
    <w:name w:val="Xl128"/>
    <w:basedOn w:val="1"/>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color w:val="auto"/>
      <w:sz w:val="24"/>
    </w:rPr>
  </w:style>
  <w:style w:type="paragraph" w:customStyle="1" w:styleId="224">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Baskerville" w:hAnsi="Baskerville" w:eastAsia="Arial Unicode MS"/>
      <w:b w:val="0"/>
      <w:color w:val="auto"/>
      <w:sz w:val="24"/>
    </w:rPr>
  </w:style>
  <w:style w:type="paragraph" w:customStyle="1" w:styleId="225">
    <w:name w:val="Xl63"/>
    <w:basedOn w:val="1"/>
    <w:qFormat/>
    <w:uiPriority w:val="0"/>
    <w:pPr>
      <w:widowControl/>
      <w:spacing w:before="100" w:beforeAutospacing="1" w:after="100" w:afterAutospacing="1"/>
      <w:jc w:val="center"/>
    </w:pPr>
    <w:rPr>
      <w:rFonts w:ascii="Baskerville" w:hAnsi="Baskerville" w:eastAsia="Baskerville" w:cs="Baskerville"/>
      <w:b w:val="0"/>
      <w:color w:val="auto"/>
      <w:sz w:val="20"/>
    </w:rPr>
  </w:style>
  <w:style w:type="paragraph" w:customStyle="1" w:styleId="226">
    <w:name w:val="Xl10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4"/>
    </w:rPr>
  </w:style>
  <w:style w:type="paragraph" w:customStyle="1" w:styleId="22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rPr>
  </w:style>
  <w:style w:type="paragraph" w:customStyle="1" w:styleId="2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长城仿宋" w:hAnsi="长城仿宋" w:eastAsia="Baskerville"/>
      <w:b w:val="0"/>
      <w:color w:val="auto"/>
      <w:sz w:val="24"/>
    </w:rPr>
  </w:style>
  <w:style w:type="paragraph" w:customStyle="1" w:styleId="229">
    <w:name w:val="样式5"/>
    <w:basedOn w:val="32"/>
    <w:qFormat/>
    <w:uiPriority w:val="0"/>
    <w:pPr>
      <w:snapToGrid w:val="0"/>
      <w:spacing w:line="500" w:lineRule="atLeast"/>
    </w:pPr>
    <w:rPr>
      <w:rFonts w:ascii="Tahoma" w:hAnsi="Arial Unicode MS" w:eastAsia="Tahoma" w:cs="???|CS?o｡ﾀ?"/>
      <w:sz w:val="30"/>
    </w:rPr>
  </w:style>
  <w:style w:type="paragraph" w:customStyle="1" w:styleId="230">
    <w:name w:val="Xl41"/>
    <w:basedOn w:val="1"/>
    <w:qFormat/>
    <w:uiPriority w:val="0"/>
    <w:pPr>
      <w:widowControl/>
      <w:pBdr>
        <w:left w:val="single" w:color="auto" w:sz="4" w:space="0"/>
        <w:right w:val="single" w:color="auto" w:sz="8"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231">
    <w:name w:val="Table_1stline"/>
    <w:basedOn w:val="1"/>
    <w:qFormat/>
    <w:uiPriority w:val="0"/>
    <w:pPr>
      <w:widowControl/>
      <w:spacing w:before="120"/>
      <w:jc w:val="left"/>
    </w:pPr>
    <w:rPr>
      <w:rFonts w:ascii="长城仿宋" w:hAnsi="长城仿宋" w:eastAsia="Arial Unicode MS"/>
      <w:b w:val="0"/>
      <w:color w:val="auto"/>
      <w:sz w:val="20"/>
      <w:lang w:val="de-DE" w:eastAsia="de-DE"/>
    </w:rPr>
  </w:style>
  <w:style w:type="paragraph" w:customStyle="1" w:styleId="23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rPr>
  </w:style>
  <w:style w:type="paragraph" w:customStyle="1" w:styleId="233">
    <w:name w:val="Char Char Char Char Char Char Char Char Char1 Char"/>
    <w:basedOn w:val="1"/>
    <w:qFormat/>
    <w:uiPriority w:val="0"/>
    <w:rPr>
      <w:rFonts w:ascii="长城仿宋" w:hAnsi="长城仿宋" w:eastAsia="Arial Unicode MS"/>
      <w:b w:val="0"/>
      <w:color w:val="auto"/>
      <w:kern w:val="2"/>
    </w:rPr>
  </w:style>
  <w:style w:type="paragraph" w:customStyle="1" w:styleId="234">
    <w:name w:val="正文1"/>
    <w:qFormat/>
    <w:uiPriority w:val="0"/>
    <w:pPr>
      <w:widowControl w:val="0"/>
      <w:spacing w:line="240" w:lineRule="atLeast"/>
      <w:jc w:val="both"/>
    </w:pPr>
    <w:rPr>
      <w:rFonts w:ascii="Arial Unicode MS"/>
      <w:sz w:val="34"/>
      <w:lang w:val="en-US" w:eastAsia="zh-CN" w:bidi="ar-SA"/>
    </w:rPr>
  </w:style>
  <w:style w:type="paragraph" w:customStyle="1" w:styleId="235">
    <w:name w:val="Char Char Char Char"/>
    <w:basedOn w:val="16"/>
    <w:qFormat/>
    <w:uiPriority w:val="0"/>
    <w:rPr>
      <w:rFonts w:ascii="Cambria" w:hAnsi="Cambria"/>
      <w:sz w:val="24"/>
    </w:rPr>
  </w:style>
  <w:style w:type="paragraph" w:customStyle="1" w:styleId="236">
    <w:name w:val="Font"/>
    <w:basedOn w:val="1"/>
    <w:qFormat/>
    <w:uiPriority w:val="0"/>
    <w:pPr>
      <w:widowControl/>
      <w:spacing w:before="100" w:beforeAutospacing="1" w:after="100" w:afterAutospacing="1"/>
      <w:jc w:val="left"/>
    </w:pPr>
    <w:rPr>
      <w:rFonts w:ascii="Baskerville" w:hAnsi="Baskerville" w:eastAsia="Baskerville"/>
      <w:b w:val="0"/>
      <w:color w:val="auto"/>
      <w:sz w:val="24"/>
    </w:rPr>
  </w:style>
  <w:style w:type="paragraph" w:customStyle="1" w:styleId="237">
    <w:name w:val="样式 首行缩进:  0 字符"/>
    <w:basedOn w:val="1"/>
    <w:qFormat/>
    <w:uiPriority w:val="0"/>
    <w:pPr>
      <w:widowControl/>
      <w:spacing w:line="360" w:lineRule="auto"/>
      <w:ind w:firstLine="200" w:firstLineChars="200"/>
      <w:jc w:val="left"/>
    </w:pPr>
    <w:rPr>
      <w:rFonts w:ascii="宋体" w:cs="宋体"/>
      <w:sz w:val="24"/>
    </w:rPr>
  </w:style>
  <w:style w:type="paragraph" w:customStyle="1" w:styleId="238">
    <w:name w:val="Xl82"/>
    <w:basedOn w:val="1"/>
    <w:qFormat/>
    <w:uiPriority w:val="0"/>
    <w:pPr>
      <w:widowControl/>
      <w:spacing w:before="100" w:beforeAutospacing="1" w:after="100" w:afterAutospacing="1"/>
      <w:jc w:val="center"/>
    </w:pPr>
    <w:rPr>
      <w:rFonts w:ascii="Baskerville" w:hAnsi="Baskerville" w:eastAsia="Baskerville" w:cs="Baskerville"/>
      <w:b w:val="0"/>
      <w:color w:val="auto"/>
      <w:sz w:val="24"/>
    </w:rPr>
  </w:style>
  <w:style w:type="paragraph" w:customStyle="1" w:styleId="239">
    <w:name w:val="P0"/>
    <w:basedOn w:val="1"/>
    <w:qFormat/>
    <w:uiPriority w:val="99"/>
    <w:pPr>
      <w:widowControl/>
      <w:snapToGrid w:val="0"/>
      <w:spacing w:line="360" w:lineRule="auto"/>
      <w:ind w:firstLine="420"/>
      <w:jc w:val="left"/>
    </w:pPr>
    <w:rPr>
      <w:rFonts w:ascii="长城仿宋" w:hAnsi="长城仿宋" w:eastAsia="Arial Unicode MS"/>
      <w:b w:val="0"/>
      <w:color w:val="auto"/>
    </w:rPr>
  </w:style>
  <w:style w:type="paragraph" w:customStyle="1" w:styleId="240">
    <w:name w:val="Default"/>
    <w:qFormat/>
    <w:uiPriority w:val="0"/>
    <w:pPr>
      <w:widowControl w:val="0"/>
      <w:autoSpaceDE w:val="0"/>
      <w:autoSpaceDN w:val="0"/>
    </w:pPr>
    <w:rPr>
      <w:color w:val="000000"/>
      <w:sz w:val="24"/>
      <w:lang w:val="en-US" w:eastAsia="zh-CN" w:bidi="ar-SA"/>
    </w:rPr>
  </w:style>
  <w:style w:type="paragraph" w:customStyle="1" w:styleId="241">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b w:val="0"/>
      <w:color w:val="auto"/>
      <w:sz w:val="24"/>
    </w:rPr>
  </w:style>
  <w:style w:type="paragraph" w:customStyle="1" w:styleId="242">
    <w:name w:val="Xl127"/>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Baskerville" w:hAnsi="Baskerville" w:eastAsia="Baskerville" w:cs="Baskerville"/>
      <w:b w:val="0"/>
      <w:color w:val="auto"/>
      <w:sz w:val="24"/>
    </w:rPr>
  </w:style>
  <w:style w:type="paragraph" w:customStyle="1" w:styleId="243">
    <w:name w:val="Xl84"/>
    <w:basedOn w:val="1"/>
    <w:qFormat/>
    <w:uiPriority w:val="0"/>
    <w:pPr>
      <w:widowControl/>
      <w:pBdr>
        <w:top w:val="single" w:color="auto" w:sz="4" w:space="0"/>
        <w:bottom w:val="single" w:color="auto" w:sz="4" w:space="0"/>
      </w:pBdr>
      <w:spacing w:before="100" w:beforeAutospacing="1" w:after="100" w:afterAutospacing="1"/>
      <w:jc w:val="left"/>
    </w:pPr>
    <w:rPr>
      <w:rFonts w:ascii="Baskerville" w:hAnsi="Baskerville" w:eastAsia="Baskerville" w:cs="Baskerville"/>
      <w:b w:val="0"/>
      <w:color w:val="auto"/>
      <w:sz w:val="20"/>
    </w:rPr>
  </w:style>
  <w:style w:type="paragraph" w:customStyle="1" w:styleId="2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长城仿宋" w:hAnsi="长城仿宋" w:eastAsia="Baskerville"/>
      <w:b w:val="0"/>
      <w:color w:val="auto"/>
      <w:sz w:val="24"/>
    </w:rPr>
  </w:style>
  <w:style w:type="paragraph" w:customStyle="1" w:styleId="24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4"/>
    </w:rPr>
  </w:style>
  <w:style w:type="paragraph" w:customStyle="1" w:styleId="246">
    <w:name w:val="Xl12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b w:val="0"/>
      <w:color w:val="auto"/>
      <w:sz w:val="24"/>
    </w:rPr>
  </w:style>
  <w:style w:type="paragraph" w:customStyle="1" w:styleId="247">
    <w:name w:val="标准正文"/>
    <w:basedOn w:val="1"/>
    <w:qFormat/>
    <w:uiPriority w:val="0"/>
    <w:pPr>
      <w:spacing w:before="156" w:after="156" w:line="360" w:lineRule="auto"/>
      <w:ind w:firstLine="480" w:firstLineChars="200"/>
    </w:pPr>
    <w:rPr>
      <w:rFonts w:ascii="宋体" w:cs="宋体"/>
      <w:sz w:val="24"/>
    </w:rPr>
  </w:style>
  <w:style w:type="paragraph" w:customStyle="1" w:styleId="24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b w:val="0"/>
      <w:color w:val="auto"/>
      <w:sz w:val="24"/>
    </w:rPr>
  </w:style>
  <w:style w:type="paragraph" w:customStyle="1" w:styleId="249">
    <w:name w:val="Table"/>
    <w:basedOn w:val="1"/>
    <w:qFormat/>
    <w:uiPriority w:val="0"/>
    <w:pPr>
      <w:widowControl/>
      <w:pBdr>
        <w:left w:val="single" w:color="000000" w:sz="8" w:space="0"/>
        <w:right w:val="single" w:color="000000" w:sz="8" w:space="0"/>
      </w:pBdr>
      <w:shd w:val="clear" w:color="FFFFFF" w:fill="FFFFFF"/>
      <w:spacing w:before="100" w:beforeAutospacing="1" w:after="100" w:afterAutospacing="1"/>
      <w:jc w:val="left"/>
    </w:pPr>
    <w:rPr>
      <w:rFonts w:ascii="Baskerville" w:hAnsi="Baskerville" w:eastAsia="Baskerville"/>
      <w:b w:val="0"/>
      <w:color w:val="auto"/>
      <w:sz w:val="24"/>
    </w:rPr>
  </w:style>
  <w:style w:type="paragraph" w:customStyle="1" w:styleId="25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18"/>
    </w:rPr>
  </w:style>
  <w:style w:type="paragraph" w:customStyle="1" w:styleId="25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Baskerville" w:hAnsi="Baskerville" w:eastAsia="Baskerville"/>
      <w:b w:val="0"/>
      <w:color w:val="auto"/>
      <w:sz w:val="24"/>
    </w:rPr>
  </w:style>
  <w:style w:type="paragraph" w:customStyle="1" w:styleId="252">
    <w:name w:val="Xl78"/>
    <w:basedOn w:val="1"/>
    <w:qFormat/>
    <w:uiPriority w:val="0"/>
    <w:pPr>
      <w:widowControl/>
      <w:pBdr>
        <w:top w:val="single" w:color="auto" w:sz="8"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hint="eastAsia" w:ascii="Tahoma" w:hAnsi="Baskerville" w:eastAsia="Tahoma" w:cs="Baskerville"/>
      <w:b w:val="0"/>
      <w:color w:val="auto"/>
      <w:sz w:val="20"/>
    </w:rPr>
  </w:style>
  <w:style w:type="paragraph" w:customStyle="1" w:styleId="253">
    <w:name w:val="表格正文"/>
    <w:basedOn w:val="1"/>
    <w:qFormat/>
    <w:uiPriority w:val="0"/>
    <w:pPr>
      <w:snapToGrid w:val="0"/>
      <w:spacing w:before="60" w:after="60"/>
      <w:jc w:val="center"/>
    </w:pPr>
    <w:rPr>
      <w:rFonts w:ascii="长城仿宋" w:hAnsi="长城仿宋" w:eastAsia="Arial Unicode MS"/>
      <w:b w:val="0"/>
      <w:color w:val="auto"/>
      <w:sz w:val="24"/>
    </w:rPr>
  </w:style>
  <w:style w:type="paragraph" w:customStyle="1" w:styleId="254">
    <w:name w:val="列出段落1"/>
    <w:basedOn w:val="1"/>
    <w:qFormat/>
    <w:uiPriority w:val="0"/>
    <w:pPr>
      <w:ind w:firstLine="420" w:firstLineChars="200"/>
    </w:pPr>
    <w:rPr>
      <w:rFonts w:ascii="Cambria Math" w:hAnsi="Cambria Math" w:eastAsia="Arial Unicode MS"/>
      <w:b w:val="0"/>
      <w:color w:val="auto"/>
      <w:kern w:val="2"/>
    </w:rPr>
  </w:style>
  <w:style w:type="paragraph" w:customStyle="1" w:styleId="255">
    <w:name w:val="Yj正文首行缩进"/>
    <w:basedOn w:val="1"/>
    <w:qFormat/>
    <w:uiPriority w:val="0"/>
    <w:pPr>
      <w:spacing w:line="360" w:lineRule="auto"/>
      <w:ind w:firstLine="420" w:firstLineChars="200"/>
    </w:pPr>
    <w:rPr>
      <w:rFonts w:ascii="???|CS?o｡ﾀ?" w:hAnsi="???|CS?o｡ﾀ?" w:eastAsia="Arial Unicode MS"/>
      <w:b w:val="0"/>
      <w:kern w:val="2"/>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长城仿宋" w:hAnsi="长城仿宋" w:eastAsia="Baskerville"/>
      <w:b w:val="0"/>
      <w:color w:val="auto"/>
      <w:sz w:val="18"/>
    </w:rPr>
  </w:style>
  <w:style w:type="paragraph" w:customStyle="1" w:styleId="257">
    <w:name w:val="2"/>
    <w:basedOn w:val="1"/>
    <w:next w:val="1"/>
    <w:qFormat/>
    <w:uiPriority w:val="0"/>
  </w:style>
  <w:style w:type="paragraph" w:customStyle="1" w:styleId="258">
    <w:name w:val="Contentlabel"/>
    <w:basedOn w:val="1"/>
    <w:qFormat/>
    <w:uiPriority w:val="0"/>
    <w:pPr>
      <w:widowControl/>
      <w:spacing w:before="40" w:after="100" w:afterAutospacing="1"/>
      <w:ind w:left="120"/>
      <w:jc w:val="left"/>
    </w:pPr>
    <w:rPr>
      <w:rFonts w:ascii="???|CS?o｡ﾀ?" w:hAnsi="???|CS?o｡ﾀ?" w:eastAsia="Arial Unicode MS" w:cs="???|CS?o｡ﾀ?"/>
      <w:b w:val="0"/>
      <w:color w:val="336666"/>
      <w:sz w:val="24"/>
    </w:rPr>
  </w:style>
  <w:style w:type="paragraph" w:customStyle="1" w:styleId="259">
    <w:name w:val="投标书标题4"/>
    <w:next w:val="1"/>
    <w:qFormat/>
    <w:uiPriority w:val="0"/>
    <w:pPr>
      <w:spacing w:line="360" w:lineRule="auto"/>
      <w:outlineLvl w:val="3"/>
    </w:pPr>
    <w:rPr>
      <w:rFonts w:eastAsia="Tahoma"/>
      <w:b/>
      <w:kern w:val="2"/>
      <w:sz w:val="30"/>
      <w:lang w:val="en-US" w:eastAsia="zh-CN" w:bidi="ar-SA"/>
    </w:rPr>
  </w:style>
  <w:style w:type="paragraph" w:customStyle="1" w:styleId="260">
    <w:name w:val="Char Char Char Char Char Char Char Char Char Char Char Char Char"/>
    <w:basedOn w:val="1"/>
    <w:qFormat/>
    <w:uiPriority w:val="0"/>
    <w:rPr>
      <w:rFonts w:ascii="Cambria" w:hAnsi="Cambria" w:eastAsia="Arial Unicode MS"/>
      <w:b w:val="0"/>
      <w:color w:val="auto"/>
      <w:kern w:val="2"/>
      <w:sz w:val="24"/>
    </w:rPr>
  </w:style>
  <w:style w:type="paragraph" w:customStyle="1" w:styleId="261">
    <w:name w:val="样式2"/>
    <w:basedOn w:val="6"/>
    <w:qFormat/>
    <w:uiPriority w:val="0"/>
    <w:pPr>
      <w:tabs>
        <w:tab w:val="left" w:pos="840"/>
        <w:tab w:val="clear" w:pos="576"/>
      </w:tabs>
      <w:spacing w:before="100" w:beforeAutospacing="1" w:afterAutospacing="1" w:line="240" w:lineRule="auto"/>
      <w:ind w:left="840" w:hanging="420"/>
      <w:jc w:val="left"/>
    </w:pPr>
    <w:rPr>
      <w:snapToGrid/>
      <w:color w:val="auto"/>
      <w:sz w:val="30"/>
    </w:rPr>
  </w:style>
  <w:style w:type="paragraph" w:customStyle="1" w:styleId="26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0"/>
    </w:rPr>
  </w:style>
  <w:style w:type="paragraph" w:customStyle="1" w:styleId="263">
    <w:name w:val="*正文"/>
    <w:basedOn w:val="1"/>
    <w:qFormat/>
    <w:uiPriority w:val="0"/>
    <w:pPr>
      <w:spacing w:line="300" w:lineRule="auto"/>
      <w:ind w:firstLine="480" w:firstLineChars="200"/>
    </w:pPr>
    <w:rPr>
      <w:rFonts w:ascii="宋体" w:hAnsi="宋体"/>
    </w:rPr>
  </w:style>
  <w:style w:type="paragraph" w:customStyle="1" w:styleId="264">
    <w:name w:val="样式 首行缩进:  2 字符"/>
    <w:basedOn w:val="1"/>
    <w:qFormat/>
    <w:uiPriority w:val="0"/>
    <w:pPr>
      <w:spacing w:line="360" w:lineRule="auto"/>
      <w:ind w:firstLine="480" w:firstLineChars="200"/>
    </w:pPr>
    <w:rPr>
      <w:rFonts w:ascii="???|CS?o｡ﾀ?" w:hAnsi="???|CS?o｡ﾀ?" w:eastAsia="Arial Unicode MS" w:cs="Arial Unicode MS"/>
      <w:b w:val="0"/>
      <w:color w:val="auto"/>
      <w:kern w:val="2"/>
      <w:sz w:val="24"/>
    </w:rPr>
  </w:style>
  <w:style w:type="paragraph" w:customStyle="1" w:styleId="265">
    <w:name w:val="Xl5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长城仿宋" w:hAnsi="长城仿宋" w:eastAsia="Baskerville"/>
      <w:color w:val="auto"/>
      <w:sz w:val="40"/>
    </w:rPr>
  </w:style>
  <w:style w:type="paragraph" w:customStyle="1" w:styleId="26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4"/>
    </w:rPr>
  </w:style>
  <w:style w:type="paragraph" w:customStyle="1" w:styleId="267">
    <w:name w:val="简单回函地址"/>
    <w:basedOn w:val="1"/>
    <w:qFormat/>
    <w:uiPriority w:val="0"/>
    <w:rPr>
      <w:rFonts w:ascii="长城仿宋" w:hAnsi="长城仿宋" w:eastAsia="Arial Unicode MS"/>
      <w:b w:val="0"/>
      <w:color w:val="auto"/>
      <w:kern w:val="2"/>
    </w:rPr>
  </w:style>
  <w:style w:type="paragraph" w:customStyle="1" w:styleId="268">
    <w:name w:val="Xl4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269">
    <w:name w:val="Xl7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b w:val="0"/>
      <w:color w:val="auto"/>
      <w:sz w:val="20"/>
    </w:rPr>
  </w:style>
  <w:style w:type="paragraph" w:customStyle="1" w:styleId="270">
    <w:name w:val="Xl13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b w:val="0"/>
      <w:color w:val="auto"/>
      <w:sz w:val="24"/>
    </w:rPr>
  </w:style>
  <w:style w:type="paragraph" w:customStyle="1" w:styleId="271">
    <w:name w:val="Xl3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pPr>
    <w:rPr>
      <w:rFonts w:ascii="长城仿宋" w:hAnsi="长城仿宋" w:eastAsia="Baskerville"/>
      <w:b w:val="0"/>
      <w:color w:val="auto"/>
      <w:sz w:val="18"/>
    </w:rPr>
  </w:style>
  <w:style w:type="paragraph" w:customStyle="1" w:styleId="272">
    <w:name w:val="Xl5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eastAsia" w:ascii="Tahoma" w:hAnsi="Baskerville" w:eastAsia="Tahoma" w:cs="Baskerville"/>
      <w:color w:val="auto"/>
      <w:sz w:val="40"/>
    </w:rPr>
  </w:style>
  <w:style w:type="paragraph" w:customStyle="1" w:styleId="273">
    <w:name w:val="Xl3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274">
    <w:name w:val="Body Text(ch)"/>
    <w:basedOn w:val="1"/>
    <w:next w:val="3"/>
    <w:qFormat/>
    <w:uiPriority w:val="0"/>
    <w:pPr>
      <w:spacing w:line="500" w:lineRule="exact"/>
      <w:jc w:val="center"/>
    </w:pPr>
    <w:rPr>
      <w:rFonts w:ascii="长城仿宋" w:hAnsi="长城仿宋" w:eastAsia="Arial Unicode MS"/>
      <w:b w:val="0"/>
      <w:color w:val="auto"/>
      <w:kern w:val="2"/>
    </w:rPr>
  </w:style>
  <w:style w:type="paragraph" w:customStyle="1" w:styleId="275">
    <w:name w:val="Titletext"/>
    <w:basedOn w:val="1"/>
    <w:qFormat/>
    <w:uiPriority w:val="0"/>
    <w:pPr>
      <w:widowControl/>
      <w:spacing w:before="100" w:beforeAutospacing="1" w:after="100" w:afterAutospacing="1" w:line="800" w:lineRule="atLeast"/>
      <w:jc w:val="left"/>
    </w:pPr>
    <w:rPr>
      <w:rFonts w:ascii="Arial Unicode MS" w:hAnsi="Arial Unicode MS" w:eastAsia="Baskerville"/>
      <w:b w:val="0"/>
      <w:color w:val="666666"/>
      <w:sz w:val="36"/>
    </w:rPr>
  </w:style>
  <w:style w:type="paragraph" w:customStyle="1" w:styleId="276">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Baskerville" w:hAnsi="Baskerville" w:eastAsia="Baskerville" w:cs="Baskerville"/>
      <w:color w:val="auto"/>
      <w:sz w:val="24"/>
    </w:rPr>
  </w:style>
  <w:style w:type="paragraph" w:customStyle="1" w:styleId="277">
    <w:name w:val="Normal1"/>
    <w:qFormat/>
    <w:uiPriority w:val="0"/>
    <w:pPr>
      <w:widowControl w:val="0"/>
    </w:pPr>
    <w:rPr>
      <w:rFonts w:hAnsi="Cambria"/>
      <w:lang w:val="en-US" w:eastAsia="en-US" w:bidi="ar-SA"/>
    </w:rPr>
  </w:style>
  <w:style w:type="paragraph" w:customStyle="1" w:styleId="278">
    <w:name w:val="表头1"/>
    <w:basedOn w:val="277"/>
    <w:qFormat/>
    <w:uiPriority w:val="0"/>
    <w:pPr>
      <w:jc w:val="center"/>
    </w:pPr>
    <w:rPr>
      <w:rFonts w:ascii="Tahoma" w:eastAsia="Tahoma"/>
      <w:b/>
    </w:rPr>
  </w:style>
  <w:style w:type="paragraph" w:customStyle="1" w:styleId="279">
    <w:name w:val="表文1"/>
    <w:qFormat/>
    <w:uiPriority w:val="0"/>
    <w:pPr>
      <w:spacing w:line="360" w:lineRule="auto"/>
      <w:ind w:firstLine="780" w:firstLineChars="300"/>
    </w:pPr>
    <w:rPr>
      <w:rFonts w:ascii="Arial Unicode MS" w:eastAsia="Arial Unicode MS"/>
      <w:spacing w:val="10"/>
      <w:sz w:val="24"/>
      <w:lang w:val="en-US" w:eastAsia="en-US" w:bidi="ar-SA"/>
    </w:rPr>
  </w:style>
  <w:style w:type="paragraph" w:customStyle="1" w:styleId="280">
    <w:name w:val="Xl4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Baskerville" w:hAnsi="Baskerville" w:eastAsia="Baskerville" w:cs="Baskerville"/>
      <w:b w:val="0"/>
      <w:color w:val="auto"/>
      <w:sz w:val="20"/>
    </w:rPr>
  </w:style>
  <w:style w:type="paragraph" w:customStyle="1" w:styleId="281">
    <w:name w:val="Xl12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b w:val="0"/>
      <w:color w:val="auto"/>
      <w:sz w:val="24"/>
    </w:rPr>
  </w:style>
  <w:style w:type="paragraph" w:customStyle="1" w:styleId="282">
    <w:name w:val="Xl8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Baskerville" w:hAnsi="Baskerville" w:eastAsia="Baskerville" w:cs="Baskerville"/>
      <w:b w:val="0"/>
      <w:color w:val="auto"/>
      <w:sz w:val="20"/>
    </w:rPr>
  </w:style>
  <w:style w:type="paragraph" w:customStyle="1" w:styleId="283">
    <w:name w:val="正文文字表格居中"/>
    <w:basedOn w:val="1"/>
    <w:next w:val="36"/>
    <w:qFormat/>
    <w:uiPriority w:val="0"/>
    <w:pPr>
      <w:spacing w:line="400" w:lineRule="exact"/>
      <w:jc w:val="center"/>
    </w:pPr>
    <w:rPr>
      <w:rFonts w:ascii="长城仿宋" w:hAnsi="长城仿宋" w:eastAsia="Arial Unicode MS"/>
      <w:color w:val="auto"/>
      <w:kern w:val="2"/>
      <w:sz w:val="24"/>
    </w:rPr>
  </w:style>
  <w:style w:type="paragraph" w:customStyle="1" w:styleId="28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color w:val="auto"/>
      <w:sz w:val="24"/>
    </w:rPr>
  </w:style>
  <w:style w:type="paragraph" w:customStyle="1" w:styleId="285">
    <w:name w:val="Char4"/>
    <w:basedOn w:val="31"/>
    <w:next w:val="31"/>
    <w:qFormat/>
    <w:uiPriority w:val="0"/>
    <w:pPr>
      <w:jc w:val="right"/>
    </w:pPr>
    <w:rPr>
      <w:rFonts w:ascii="Arial Unicode MS" w:eastAsia="Arial Unicode MS"/>
      <w:color w:val="auto"/>
      <w:kern w:val="2"/>
      <w:sz w:val="21"/>
    </w:rPr>
  </w:style>
  <w:style w:type="paragraph" w:customStyle="1" w:styleId="286">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287">
    <w:name w:val="Char Char Char Char1"/>
    <w:basedOn w:val="16"/>
    <w:qFormat/>
    <w:uiPriority w:val="0"/>
  </w:style>
  <w:style w:type="paragraph" w:customStyle="1" w:styleId="288">
    <w:name w:val="Font8"/>
    <w:basedOn w:val="1"/>
    <w:qFormat/>
    <w:uiPriority w:val="0"/>
    <w:pPr>
      <w:widowControl/>
      <w:spacing w:before="100" w:beforeAutospacing="1" w:after="100" w:afterAutospacing="1"/>
      <w:jc w:val="left"/>
    </w:pPr>
    <w:rPr>
      <w:rFonts w:ascii="长城仿宋" w:hAnsi="长城仿宋" w:eastAsia="Baskerville"/>
      <w:b w:val="0"/>
      <w:color w:val="auto"/>
    </w:rPr>
  </w:style>
  <w:style w:type="paragraph" w:customStyle="1" w:styleId="289">
    <w:name w:val="Xl5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290">
    <w:name w:val="Char Char Char"/>
    <w:basedOn w:val="1"/>
    <w:qFormat/>
    <w:uiPriority w:val="0"/>
    <w:rPr>
      <w:rFonts w:ascii="长城仿宋" w:hAnsi="长城仿宋" w:eastAsia="Arial Unicode MS"/>
      <w:b w:val="0"/>
      <w:color w:val="auto"/>
      <w:kern w:val="2"/>
    </w:rPr>
  </w:style>
  <w:style w:type="paragraph" w:customStyle="1" w:styleId="291">
    <w:name w:val="Xl6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Baskerville" w:hAnsi="Baskerville" w:eastAsia="Baskerville" w:cs="Baskerville"/>
      <w:b w:val="0"/>
      <w:color w:val="auto"/>
      <w:sz w:val="20"/>
    </w:rPr>
  </w:style>
  <w:style w:type="paragraph" w:customStyle="1" w:styleId="292">
    <w:name w:val="Xl49"/>
    <w:basedOn w:val="1"/>
    <w:qFormat/>
    <w:uiPriority w:val="0"/>
    <w:pPr>
      <w:widowControl/>
      <w:pBdr>
        <w:left w:val="single" w:color="auto" w:sz="8" w:space="0"/>
        <w:bottom w:val="single" w:color="auto" w:sz="4" w:space="0"/>
      </w:pBdr>
      <w:tabs>
        <w:tab w:val="left" w:pos="743"/>
      </w:tabs>
      <w:spacing w:before="100" w:beforeAutospacing="1" w:after="100" w:afterAutospacing="1"/>
    </w:pPr>
    <w:rPr>
      <w:rFonts w:ascii="Baskerville" w:hAnsi="Baskerville" w:eastAsia="Baskerville"/>
      <w:b w:val="0"/>
      <w:color w:val="auto"/>
      <w:sz w:val="24"/>
    </w:rPr>
  </w:style>
  <w:style w:type="paragraph" w:customStyle="1" w:styleId="29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长城仿宋" w:hAnsi="长城仿宋" w:eastAsia="Baskerville"/>
      <w:b w:val="0"/>
      <w:color w:val="auto"/>
      <w:sz w:val="24"/>
    </w:rPr>
  </w:style>
  <w:style w:type="paragraph" w:customStyle="1" w:styleId="29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rPr>
  </w:style>
  <w:style w:type="paragraph" w:customStyle="1" w:styleId="29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长城仿宋" w:hAnsi="长城仿宋" w:eastAsia="Baskerville"/>
      <w:b w:val="0"/>
      <w:color w:val="auto"/>
      <w:sz w:val="24"/>
    </w:rPr>
  </w:style>
  <w:style w:type="paragraph" w:customStyle="1" w:styleId="296">
    <w:name w:val="文档正文"/>
    <w:basedOn w:val="1"/>
    <w:qFormat/>
    <w:uiPriority w:val="0"/>
    <w:pPr>
      <w:spacing w:line="312" w:lineRule="atLeast"/>
      <w:ind w:firstLine="567"/>
    </w:pPr>
    <w:rPr>
      <w:rFonts w:ascii="黑体" w:hAnsi="长城仿宋" w:eastAsia="黑体"/>
      <w:color w:val="auto"/>
      <w:sz w:val="28"/>
    </w:rPr>
  </w:style>
  <w:style w:type="paragraph" w:customStyle="1" w:styleId="29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Baskerville" w:hAnsi="Baskerville" w:eastAsia="Baskerville" w:cs="Baskerville"/>
      <w:b w:val="0"/>
      <w:color w:val="auto"/>
      <w:sz w:val="24"/>
    </w:rPr>
  </w:style>
  <w:style w:type="paragraph" w:customStyle="1" w:styleId="298">
    <w:name w:val="表格文字"/>
    <w:basedOn w:val="1"/>
    <w:next w:val="3"/>
    <w:qFormat/>
    <w:uiPriority w:val="0"/>
    <w:pPr>
      <w:spacing w:line="420" w:lineRule="atLeast"/>
      <w:jc w:val="left"/>
    </w:pPr>
    <w:rPr>
      <w:rFonts w:ascii="长城仿宋" w:hAnsi="长城仿宋" w:eastAsia="Arial Unicode MS"/>
    </w:rPr>
  </w:style>
  <w:style w:type="paragraph" w:customStyle="1" w:styleId="29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18"/>
    </w:rPr>
  </w:style>
  <w:style w:type="paragraph" w:customStyle="1" w:styleId="300">
    <w:name w:val="正文段"/>
    <w:basedOn w:val="1"/>
    <w:qFormat/>
    <w:uiPriority w:val="0"/>
    <w:pPr>
      <w:widowControl/>
      <w:snapToGrid w:val="0"/>
      <w:spacing w:afterLines="50"/>
      <w:ind w:firstLine="200" w:firstLineChars="200"/>
    </w:pPr>
    <w:rPr>
      <w:rFonts w:ascii="长城仿宋" w:hAnsi="长城仿宋" w:eastAsia="Arial Unicode MS"/>
      <w:b w:val="0"/>
      <w:color w:val="auto"/>
      <w:sz w:val="24"/>
    </w:rPr>
  </w:style>
  <w:style w:type="paragraph" w:customStyle="1" w:styleId="301">
    <w:name w:val="Xl104"/>
    <w:basedOn w:val="1"/>
    <w:qFormat/>
    <w:uiPriority w:val="0"/>
    <w:pPr>
      <w:widowControl/>
      <w:spacing w:before="100" w:beforeAutospacing="1" w:after="100" w:afterAutospacing="1"/>
      <w:jc w:val="center"/>
    </w:pPr>
    <w:rPr>
      <w:rFonts w:ascii="Baskerville" w:hAnsi="Baskerville" w:eastAsia="Baskerville" w:cs="Baskerville"/>
      <w:b w:val="0"/>
      <w:color w:val="auto"/>
      <w:sz w:val="24"/>
    </w:rPr>
  </w:style>
  <w:style w:type="paragraph" w:customStyle="1" w:styleId="302">
    <w:name w:val="Xl12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Baskerville" w:hAnsi="Baskerville" w:eastAsia="Baskerville" w:cs="Baskerville"/>
      <w:b w:val="0"/>
      <w:color w:val="auto"/>
      <w:sz w:val="24"/>
    </w:rPr>
  </w:style>
  <w:style w:type="paragraph" w:customStyle="1" w:styleId="303">
    <w:name w:val="Char Char Char Char Char Char Char Char Char Char"/>
    <w:basedOn w:val="16"/>
    <w:qFormat/>
    <w:uiPriority w:val="0"/>
  </w:style>
  <w:style w:type="paragraph" w:customStyle="1" w:styleId="304">
    <w:name w:val="样式1"/>
    <w:basedOn w:val="32"/>
    <w:qFormat/>
    <w:uiPriority w:val="0"/>
    <w:pPr>
      <w:snapToGrid w:val="0"/>
      <w:spacing w:line="500" w:lineRule="atLeast"/>
    </w:pPr>
    <w:rPr>
      <w:rFonts w:ascii="Tahoma" w:hAnsi="Arial Unicode MS" w:eastAsia="Tahoma" w:cs="???|CS?o｡ﾀ?"/>
      <w:sz w:val="30"/>
    </w:rPr>
  </w:style>
  <w:style w:type="paragraph" w:customStyle="1" w:styleId="30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4"/>
    </w:rPr>
  </w:style>
  <w:style w:type="paragraph" w:customStyle="1" w:styleId="306">
    <w:name w:val="默认段落字体 Para Char Char Char Char"/>
    <w:basedOn w:val="1"/>
    <w:qFormat/>
    <w:uiPriority w:val="0"/>
    <w:rPr>
      <w:rFonts w:ascii="长城仿宋" w:hAnsi="长城仿宋" w:eastAsia="Arial Unicode MS"/>
      <w:b w:val="0"/>
      <w:color w:val="auto"/>
      <w:kern w:val="2"/>
    </w:rPr>
  </w:style>
  <w:style w:type="paragraph" w:customStyle="1" w:styleId="307">
    <w:name w:val="L18"/>
    <w:basedOn w:val="1"/>
    <w:qFormat/>
    <w:uiPriority w:val="0"/>
    <w:pPr>
      <w:widowControl/>
      <w:spacing w:before="40" w:after="100" w:afterAutospacing="1" w:line="360" w:lineRule="atLeast"/>
      <w:ind w:left="120"/>
      <w:jc w:val="left"/>
    </w:pPr>
    <w:rPr>
      <w:rFonts w:ascii="???|CS?o｡ﾀ?" w:hAnsi="???|CS?o｡ﾀ?" w:eastAsia="Arial Unicode MS" w:cs="???|CS?o｡ﾀ?"/>
      <w:b w:val="0"/>
      <w:sz w:val="24"/>
    </w:rPr>
  </w:style>
  <w:style w:type="paragraph" w:customStyle="1" w:styleId="308">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0"/>
    </w:rPr>
  </w:style>
  <w:style w:type="paragraph" w:customStyle="1" w:styleId="309">
    <w:name w:val="Xl118"/>
    <w:basedOn w:val="1"/>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center"/>
    </w:pPr>
    <w:rPr>
      <w:rFonts w:ascii="Baskerville" w:hAnsi="Baskerville" w:eastAsia="Baskerville" w:cs="Baskerville"/>
      <w:b w:val="0"/>
      <w:color w:val="auto"/>
      <w:sz w:val="24"/>
    </w:rPr>
  </w:style>
  <w:style w:type="paragraph" w:customStyle="1" w:styleId="310">
    <w:name w:val="Shadow1"/>
    <w:basedOn w:val="1"/>
    <w:qFormat/>
    <w:uiPriority w:val="0"/>
    <w:pPr>
      <w:widowControl/>
      <w:spacing w:before="100" w:beforeAutospacing="1" w:after="100" w:afterAutospacing="1"/>
      <w:jc w:val="left"/>
    </w:pPr>
    <w:rPr>
      <w:rFonts w:ascii="Baskerville" w:hAnsi="Baskerville" w:eastAsia="Baskerville"/>
      <w:b w:val="0"/>
      <w:sz w:val="24"/>
    </w:rPr>
  </w:style>
  <w:style w:type="paragraph" w:customStyle="1" w:styleId="311">
    <w:name w:val="Xl105"/>
    <w:basedOn w:val="1"/>
    <w:qFormat/>
    <w:uiPriority w:val="0"/>
    <w:pPr>
      <w:widowControl/>
      <w:spacing w:before="100" w:beforeAutospacing="1" w:after="100" w:afterAutospacing="1"/>
      <w:jc w:val="center"/>
    </w:pPr>
    <w:rPr>
      <w:rFonts w:ascii="Baskerville" w:hAnsi="Baskerville" w:eastAsia="Baskerville" w:cs="Baskerville"/>
      <w:b w:val="0"/>
      <w:color w:val="auto"/>
      <w:sz w:val="24"/>
    </w:rPr>
  </w:style>
  <w:style w:type="paragraph" w:customStyle="1" w:styleId="312">
    <w:name w:val="Xl64"/>
    <w:basedOn w:val="1"/>
    <w:qFormat/>
    <w:uiPriority w:val="0"/>
    <w:pPr>
      <w:widowControl/>
      <w:spacing w:before="100" w:beforeAutospacing="1" w:after="100" w:afterAutospacing="1"/>
      <w:jc w:val="left"/>
    </w:pPr>
    <w:rPr>
      <w:rFonts w:ascii="Baskerville" w:hAnsi="Baskerville" w:eastAsia="Baskerville" w:cs="Baskerville"/>
      <w:b w:val="0"/>
      <w:color w:val="auto"/>
      <w:sz w:val="20"/>
    </w:rPr>
  </w:style>
  <w:style w:type="paragraph" w:customStyle="1" w:styleId="313">
    <w:name w:val="样式 表内正文 + 五号 行距: 单倍行距"/>
    <w:basedOn w:val="1"/>
    <w:qFormat/>
    <w:uiPriority w:val="0"/>
    <w:pPr>
      <w:snapToGrid w:val="0"/>
    </w:pPr>
    <w:rPr>
      <w:rFonts w:ascii="???|CS?o｡ﾀ?" w:hAnsi="???|CS?o｡ﾀ?" w:eastAsia="Arial Unicode MS" w:cs="Arial Unicode MS"/>
      <w:b w:val="0"/>
      <w:color w:val="auto"/>
      <w:kern w:val="2"/>
    </w:rPr>
  </w:style>
  <w:style w:type="paragraph" w:customStyle="1" w:styleId="314">
    <w:name w:val="Body text|3"/>
    <w:basedOn w:val="1"/>
    <w:qFormat/>
    <w:uiPriority w:val="0"/>
    <w:pPr>
      <w:spacing w:line="471" w:lineRule="exact"/>
      <w:ind w:firstLine="540"/>
    </w:pPr>
    <w:rPr>
      <w:rFonts w:ascii="宋体" w:hAnsi="宋体" w:eastAsia="Times New Roman"/>
      <w:color w:val="auto"/>
      <w:sz w:val="20"/>
    </w:rPr>
  </w:style>
  <w:style w:type="paragraph" w:customStyle="1" w:styleId="315">
    <w:name w:val="修订1"/>
    <w:qFormat/>
    <w:uiPriority w:val="99"/>
    <w:rPr>
      <w:rFonts w:ascii="楷体_GB2312" w:hAnsi="Arial Unicode MS" w:eastAsia="楷体_GB2312"/>
      <w:b/>
      <w:color w:val="000000"/>
      <w:sz w:val="21"/>
      <w:lang w:val="en-US" w:eastAsia="zh-CN" w:bidi="ar-SA"/>
    </w:rPr>
  </w:style>
  <w:style w:type="paragraph" w:customStyle="1" w:styleId="31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长城仿宋" w:hAnsi="长城仿宋" w:eastAsia="Baskerville"/>
      <w:b w:val="0"/>
      <w:color w:val="auto"/>
      <w:sz w:val="24"/>
    </w:rPr>
  </w:style>
  <w:style w:type="paragraph" w:customStyle="1" w:styleId="317">
    <w:name w:val="Char1 Char Char Char1"/>
    <w:basedOn w:val="1"/>
    <w:qFormat/>
    <w:uiPriority w:val="0"/>
    <w:rPr>
      <w:rFonts w:ascii="Cambria" w:hAnsi="Cambria" w:eastAsia="Arial Unicode MS"/>
      <w:b w:val="0"/>
      <w:color w:val="auto"/>
      <w:kern w:val="2"/>
      <w:sz w:val="24"/>
    </w:rPr>
  </w:style>
  <w:style w:type="paragraph" w:customStyle="1" w:styleId="318">
    <w:name w:val="Font7"/>
    <w:basedOn w:val="1"/>
    <w:qFormat/>
    <w:uiPriority w:val="0"/>
    <w:pPr>
      <w:widowControl/>
      <w:spacing w:before="100" w:beforeAutospacing="1" w:after="100" w:afterAutospacing="1"/>
      <w:jc w:val="left"/>
    </w:pPr>
    <w:rPr>
      <w:rFonts w:ascii="长城仿宋" w:hAnsi="长城仿宋" w:eastAsia="Baskerville"/>
      <w:b w:val="0"/>
      <w:color w:val="auto"/>
      <w:sz w:val="24"/>
    </w:rPr>
  </w:style>
  <w:style w:type="paragraph" w:customStyle="1" w:styleId="319">
    <w:name w:val="内文正文"/>
    <w:qFormat/>
    <w:uiPriority w:val="0"/>
    <w:pPr>
      <w:autoSpaceDE w:val="0"/>
      <w:autoSpaceDN w:val="0"/>
      <w:spacing w:line="400" w:lineRule="exact"/>
      <w:ind w:firstLine="200" w:firstLineChars="200"/>
      <w:jc w:val="both"/>
    </w:pPr>
    <w:rPr>
      <w:rFonts w:ascii="Arial Unicode MS" w:hAnsi="仿宋_GB2312"/>
      <w:sz w:val="21"/>
      <w:lang w:val="en-US" w:eastAsia="zh-CN" w:bidi="ar-SA"/>
    </w:rPr>
  </w:style>
  <w:style w:type="paragraph" w:customStyle="1" w:styleId="320">
    <w:name w:val="Xl11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b w:val="0"/>
      <w:color w:val="auto"/>
      <w:sz w:val="24"/>
    </w:rPr>
  </w:style>
  <w:style w:type="paragraph" w:customStyle="1" w:styleId="32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rPr>
  </w:style>
  <w:style w:type="paragraph" w:customStyle="1" w:styleId="322">
    <w:name w:val="小点说明"/>
    <w:basedOn w:val="1"/>
    <w:qFormat/>
    <w:uiPriority w:val="0"/>
    <w:pPr>
      <w:tabs>
        <w:tab w:val="left" w:pos="0"/>
      </w:tabs>
      <w:snapToGrid w:val="0"/>
      <w:spacing w:line="340" w:lineRule="atLeast"/>
    </w:pPr>
    <w:rPr>
      <w:rFonts w:ascii="Arial Unicode MS" w:eastAsia="Arial Unicode MS"/>
      <w:b w:val="0"/>
      <w:color w:val="auto"/>
      <w:lang w:val="eu-ES"/>
    </w:rPr>
  </w:style>
  <w:style w:type="paragraph" w:customStyle="1" w:styleId="323">
    <w:name w:val="Xl6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Baskerville" w:hAnsi="Baskerville" w:eastAsia="Baskerville" w:cs="Baskerville"/>
      <w:b w:val="0"/>
      <w:color w:val="auto"/>
      <w:sz w:val="20"/>
    </w:rPr>
  </w:style>
  <w:style w:type="paragraph" w:customStyle="1" w:styleId="324">
    <w:name w:val="Char1 Char Char Char"/>
    <w:basedOn w:val="1"/>
    <w:qFormat/>
    <w:uiPriority w:val="0"/>
    <w:pPr>
      <w:widowControl/>
      <w:snapToGrid w:val="0"/>
      <w:spacing w:before="120" w:after="160" w:line="360" w:lineRule="auto"/>
      <w:ind w:right="-360"/>
      <w:jc w:val="left"/>
    </w:pPr>
    <w:rPr>
      <w:rFonts w:ascii="???|CS?o｡ﾀ?" w:hAnsi="???|CS?o｡ﾀ?" w:eastAsia="Arial Unicode MS"/>
      <w:b w:val="0"/>
      <w:color w:val="auto"/>
      <w:sz w:val="24"/>
      <w:lang w:eastAsia="en-US"/>
    </w:rPr>
  </w:style>
  <w:style w:type="paragraph" w:customStyle="1" w:styleId="325">
    <w:name w:val="样式 标题 1 + 居中"/>
    <w:basedOn w:val="5"/>
    <w:qFormat/>
    <w:uiPriority w:val="0"/>
    <w:pPr>
      <w:keepLines w:val="0"/>
      <w:widowControl/>
      <w:spacing w:beforeLines="50" w:after="120" w:line="400" w:lineRule="atLeast"/>
      <w:ind w:left="0" w:firstLine="0"/>
      <w:jc w:val="center"/>
    </w:pPr>
    <w:rPr>
      <w:rFonts w:ascii="Courier New" w:hAnsi="长城仿宋" w:cs="Arial Unicode MS"/>
      <w:color w:val="auto"/>
      <w:kern w:val="0"/>
      <w:sz w:val="32"/>
    </w:rPr>
  </w:style>
  <w:style w:type="paragraph" w:customStyle="1" w:styleId="326">
    <w:name w:val="Font9"/>
    <w:basedOn w:val="1"/>
    <w:qFormat/>
    <w:uiPriority w:val="0"/>
    <w:pPr>
      <w:widowControl/>
      <w:spacing w:before="100" w:beforeAutospacing="1" w:after="100" w:afterAutospacing="1"/>
      <w:jc w:val="left"/>
    </w:pPr>
    <w:rPr>
      <w:rFonts w:hint="eastAsia" w:ascii="Arial Unicode MS" w:eastAsia="Arial Unicode MS" w:cs="Baskerville"/>
      <w:b w:val="0"/>
      <w:color w:val="auto"/>
    </w:rPr>
  </w:style>
  <w:style w:type="paragraph" w:customStyle="1" w:styleId="32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0"/>
    </w:rPr>
  </w:style>
  <w:style w:type="paragraph" w:customStyle="1" w:styleId="328">
    <w:name w:val="Xl13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b w:val="0"/>
      <w:color w:val="auto"/>
      <w:sz w:val="24"/>
    </w:rPr>
  </w:style>
  <w:style w:type="paragraph" w:customStyle="1" w:styleId="329">
    <w:name w:val="Xl79"/>
    <w:basedOn w:val="1"/>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left"/>
    </w:pPr>
    <w:rPr>
      <w:rFonts w:ascii="Baskerville" w:hAnsi="Baskerville" w:eastAsia="Baskerville" w:cs="Baskerville"/>
      <w:color w:val="auto"/>
      <w:sz w:val="20"/>
    </w:rPr>
  </w:style>
  <w:style w:type="paragraph" w:customStyle="1" w:styleId="330">
    <w:name w:val="L正文"/>
    <w:basedOn w:val="1"/>
    <w:qFormat/>
    <w:uiPriority w:val="0"/>
    <w:pPr>
      <w:spacing w:line="300" w:lineRule="auto"/>
      <w:ind w:firstLine="200" w:firstLineChars="200"/>
      <w:jc w:val="left"/>
    </w:pPr>
    <w:rPr>
      <w:rFonts w:hAnsi="Times" w:cs="等线"/>
      <w:b w:val="0"/>
      <w:color w:val="auto"/>
      <w:kern w:val="2"/>
      <w:sz w:val="24"/>
    </w:rPr>
  </w:style>
  <w:style w:type="paragraph" w:customStyle="1" w:styleId="331">
    <w:name w:val="Normal Indent1"/>
    <w:basedOn w:val="1"/>
    <w:qFormat/>
    <w:uiPriority w:val="0"/>
    <w:pPr>
      <w:widowControl/>
      <w:snapToGrid w:val="0"/>
      <w:spacing w:line="360" w:lineRule="auto"/>
      <w:ind w:right="238" w:firstLine="420"/>
      <w:jc w:val="left"/>
    </w:pPr>
    <w:rPr>
      <w:rFonts w:ascii="Times New Roman" w:hAnsi="Times New Roman" w:eastAsia="宋体"/>
      <w:sz w:val="24"/>
    </w:rPr>
  </w:style>
  <w:style w:type="character" w:customStyle="1" w:styleId="332">
    <w:name w:val="font01"/>
    <w:uiPriority w:val="0"/>
    <w:rPr>
      <w:rFonts w:hint="default" w:ascii="Times New Roman" w:hAnsi="Times New Roman" w:cs="Times New Roman"/>
      <w:color w:val="000000"/>
      <w:sz w:val="20"/>
      <w:szCs w:val="20"/>
      <w:u w:val="none"/>
    </w:rPr>
  </w:style>
  <w:style w:type="character" w:customStyle="1" w:styleId="333">
    <w:name w:val="font41"/>
    <w:uiPriority w:val="0"/>
    <w:rPr>
      <w:rFonts w:hint="eastAsia" w:ascii="微软雅黑" w:hAnsi="微软雅黑" w:eastAsia="微软雅黑" w:cs="微软雅黑"/>
      <w:color w:val="000000"/>
      <w:sz w:val="20"/>
      <w:szCs w:val="20"/>
      <w:u w:val="none"/>
    </w:rPr>
  </w:style>
  <w:style w:type="character" w:customStyle="1" w:styleId="334">
    <w:name w:val="font31"/>
    <w:uiPriority w:val="0"/>
    <w:rPr>
      <w:rFonts w:hint="eastAsia" w:ascii="微软雅黑" w:hAnsi="微软雅黑" w:eastAsia="微软雅黑" w:cs="微软雅黑"/>
      <w:color w:val="000000"/>
      <w:sz w:val="20"/>
      <w:szCs w:val="20"/>
      <w:u w:val="none"/>
    </w:rPr>
  </w:style>
  <w:style w:type="character" w:customStyle="1" w:styleId="335">
    <w:name w:val="font21"/>
    <w:uiPriority w:val="0"/>
    <w:rPr>
      <w:rFonts w:hint="default" w:ascii="Times New Roman" w:hAnsi="Times New Roman" w:cs="Times New Roman"/>
      <w:color w:val="000000"/>
      <w:sz w:val="20"/>
      <w:szCs w:val="20"/>
      <w:u w:val="none"/>
    </w:rPr>
  </w:style>
  <w:style w:type="character" w:customStyle="1" w:styleId="336">
    <w:name w:val="font11"/>
    <w:uiPriority w:val="0"/>
    <w:rPr>
      <w:rFonts w:hint="default" w:ascii="Times New Roman" w:hAnsi="Times New Roman" w:cs="Times New Roman"/>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2.png" Type="http://schemas.openxmlformats.org/officeDocument/2006/relationships/image"/><Relationship Id="rId11" Target="media/image3.png" Type="http://schemas.openxmlformats.org/officeDocument/2006/relationships/image"/><Relationship Id="rId12" Target="media/image4.png" Type="http://schemas.openxmlformats.org/officeDocument/2006/relationships/image"/><Relationship Id="rId13" Target="media/image5.png" Type="http://schemas.openxmlformats.org/officeDocument/2006/relationships/image"/><Relationship Id="rId14" Target="media/image6.png" Type="http://schemas.openxmlformats.org/officeDocument/2006/relationships/image"/><Relationship Id="rId15" Target="media/image7.png" Type="http://schemas.openxmlformats.org/officeDocument/2006/relationships/image"/><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173</Pages>
  <Words>163681</Words>
  <Characters>177127</Characters>
  <Lines>2891</Lines>
  <Paragraphs>814</Paragraphs>
  <TotalTime>96</TotalTime>
  <ScaleCrop>false</ScaleCrop>
  <LinksUpToDate>false</LinksUpToDate>
  <CharactersWithSpaces>179564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2022-09-29T04:12:00Z</dcterms:created>
  <dc:creator>Shimo</dc:creator>
  <cp:lastModifiedBy>WPS_1701756769</cp:lastModifiedBy>
  <cp:lastPrinted>2023-02-08T06:08:56Z</cp:lastPrinted>
  <dcterms:modified xsi:type="dcterms:W3CDTF">2024-02-23T07:15:15Z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FCB014AF507C41FFAC27948960E3AB11_13</vt:lpwstr>
  </property>
</Properties>
</file>