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jc w:val="center"/>
        <w:rPr>
          <w:rFonts w:ascii="宋体" w:hAnsi="宋体" w:cs="仿宋"/>
          <w:b/>
          <w:sz w:val="44"/>
          <w:szCs w:val="44"/>
        </w:rPr>
      </w:pPr>
      <w:bookmarkStart w:id="177" w:name="_GoBack"/>
      <w:bookmarkEnd w:id="177"/>
      <w:r>
        <w:rPr>
          <w:rFonts w:hint="eastAsia" w:ascii="宋体" w:hAnsi="宋体" w:cs="仿宋"/>
          <w:b/>
          <w:sz w:val="44"/>
          <w:szCs w:val="44"/>
        </w:rPr>
        <w:t>嘉兴市公安局秀洲区分局第二期“智安小区”系统购买服务项目</w:t>
      </w:r>
    </w:p>
    <w:p>
      <w:pPr>
        <w:pStyle w:val="40"/>
        <w:rPr>
          <w:rFonts w:ascii="宋体" w:hAnsi="宋体" w:cs="宋体"/>
          <w:sz w:val="48"/>
          <w:szCs w:val="48"/>
        </w:rPr>
      </w:pPr>
    </w:p>
    <w:p>
      <w:pPr>
        <w:pStyle w:val="40"/>
        <w:rPr>
          <w:rFonts w:ascii="宋体" w:hAnsi="宋体" w:cs="宋体"/>
          <w:sz w:val="48"/>
          <w:szCs w:val="48"/>
        </w:rPr>
      </w:pPr>
    </w:p>
    <w:p>
      <w:pPr>
        <w:pStyle w:val="40"/>
        <w:rPr>
          <w:rFonts w:ascii="宋体" w:hAnsi="宋体" w:cs="宋体"/>
          <w:sz w:val="44"/>
          <w:szCs w:val="44"/>
        </w:rPr>
      </w:pPr>
      <w:r>
        <w:rPr>
          <w:rFonts w:hint="eastAsia" w:ascii="宋体" w:hAnsi="宋体" w:cs="宋体"/>
          <w:sz w:val="44"/>
          <w:szCs w:val="44"/>
        </w:rPr>
        <w:t>招标采购文件</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tabs>
          <w:tab w:val="left" w:pos="7063"/>
        </w:tabs>
        <w:rPr>
          <w:rFonts w:ascii="宋体" w:hAnsi="宋体" w:cs="宋体"/>
          <w:b/>
          <w:sz w:val="36"/>
        </w:rPr>
      </w:pPr>
      <w:r>
        <w:rPr>
          <w:rFonts w:hint="eastAsia" w:ascii="宋体" w:hAnsi="宋体" w:cs="宋体"/>
          <w:b/>
          <w:sz w:val="36"/>
        </w:rPr>
        <w:tab/>
      </w:r>
    </w:p>
    <w:p>
      <w:pPr>
        <w:rPr>
          <w:rFonts w:ascii="宋体" w:hAnsi="宋体" w:cs="宋体"/>
          <w:b/>
          <w:sz w:val="36"/>
        </w:rPr>
      </w:pPr>
    </w:p>
    <w:p>
      <w:pPr>
        <w:rPr>
          <w:rFonts w:ascii="宋体" w:hAnsi="宋体" w:cs="宋体"/>
          <w:b/>
          <w:sz w:val="36"/>
        </w:rPr>
      </w:pPr>
    </w:p>
    <w:p>
      <w:pPr>
        <w:ind w:firstLine="851" w:firstLineChars="265"/>
        <w:rPr>
          <w:rFonts w:ascii="宋体" w:hAnsi="宋体" w:cs="宋体"/>
          <w:b/>
          <w:sz w:val="32"/>
          <w:szCs w:val="32"/>
        </w:rPr>
      </w:pPr>
      <w:r>
        <w:rPr>
          <w:rFonts w:hint="eastAsia" w:ascii="宋体" w:hAnsi="宋体" w:cs="宋体"/>
          <w:b/>
          <w:sz w:val="32"/>
          <w:szCs w:val="32"/>
        </w:rPr>
        <w:t>项目编号：ZJPF-JX2020027</w:t>
      </w:r>
    </w:p>
    <w:p>
      <w:pPr>
        <w:ind w:firstLine="851" w:firstLineChars="265"/>
        <w:rPr>
          <w:rFonts w:ascii="宋体" w:hAnsi="宋体" w:cs="宋体"/>
          <w:b/>
          <w:sz w:val="32"/>
          <w:szCs w:val="32"/>
        </w:rPr>
      </w:pPr>
      <w:r>
        <w:rPr>
          <w:rFonts w:hint="eastAsia" w:ascii="宋体" w:hAnsi="宋体" w:cs="宋体"/>
          <w:b/>
          <w:sz w:val="32"/>
          <w:szCs w:val="32"/>
        </w:rPr>
        <w:t>采购单位：嘉兴市公安局秀洲区分局</w:t>
      </w:r>
    </w:p>
    <w:p>
      <w:pPr>
        <w:ind w:firstLine="851" w:firstLineChars="265"/>
        <w:rPr>
          <w:rFonts w:ascii="宋体" w:hAnsi="宋体" w:cs="宋体"/>
          <w:b/>
          <w:sz w:val="32"/>
          <w:szCs w:val="32"/>
        </w:rPr>
      </w:pPr>
      <w:r>
        <w:rPr>
          <w:rFonts w:hint="eastAsia" w:ascii="宋体" w:hAnsi="宋体" w:cs="宋体"/>
          <w:b/>
          <w:sz w:val="32"/>
          <w:szCs w:val="32"/>
        </w:rPr>
        <w:t>代理单位：浙江浦发工程项目管理有限公司</w:t>
      </w:r>
    </w:p>
    <w:p>
      <w:pPr>
        <w:ind w:firstLine="851" w:firstLineChars="265"/>
        <w:rPr>
          <w:rFonts w:ascii="宋体" w:hAnsi="宋体" w:cs="宋体"/>
          <w:b/>
          <w:sz w:val="32"/>
          <w:szCs w:val="32"/>
        </w:rPr>
      </w:pPr>
      <w:r>
        <w:rPr>
          <w:rFonts w:hint="eastAsia" w:ascii="宋体" w:hAnsi="宋体" w:cs="宋体"/>
          <w:b/>
          <w:sz w:val="32"/>
          <w:szCs w:val="32"/>
        </w:rPr>
        <w:t>备案单位：嘉兴市秀洲区财政局</w:t>
      </w:r>
    </w:p>
    <w:p>
      <w:pPr>
        <w:ind w:firstLine="851" w:firstLineChars="265"/>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2020年09月</w:t>
      </w:r>
    </w:p>
    <w:p>
      <w:pPr>
        <w:outlineLvl w:val="0"/>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134" w:header="851" w:footer="992" w:gutter="0"/>
          <w:pgNumType w:start="0"/>
          <w:cols w:space="720" w:num="1"/>
          <w:titlePg/>
          <w:docGrid w:linePitch="312" w:charSpace="0"/>
        </w:sectPr>
      </w:pPr>
    </w:p>
    <w:p>
      <w:pPr>
        <w:pStyle w:val="25"/>
        <w:jc w:val="center"/>
        <w:rPr>
          <w:rFonts w:hAnsi="宋体" w:cs="宋体"/>
          <w:sz w:val="44"/>
          <w:szCs w:val="44"/>
        </w:rPr>
      </w:pPr>
      <w:r>
        <w:rPr>
          <w:rFonts w:hint="eastAsia" w:hAnsi="宋体" w:cs="宋体"/>
          <w:sz w:val="44"/>
          <w:szCs w:val="44"/>
        </w:rPr>
        <w:t>目    录</w:t>
      </w:r>
    </w:p>
    <w:p>
      <w:pPr>
        <w:pStyle w:val="294"/>
        <w:spacing w:before="0" w:line="360" w:lineRule="auto"/>
        <w:rPr>
          <w:color w:val="auto"/>
        </w:rPr>
      </w:pPr>
    </w:p>
    <w:p>
      <w:pPr>
        <w:pStyle w:val="32"/>
        <w:tabs>
          <w:tab w:val="right" w:leader="dot" w:pos="9062"/>
        </w:tabs>
        <w:rPr>
          <w:rFonts w:ascii="宋体" w:hAnsi="宋体"/>
          <w:sz w:val="24"/>
          <w:lang/>
        </w:rPr>
      </w:pPr>
      <w:r>
        <w:rPr>
          <w:sz w:val="32"/>
          <w:szCs w:val="32"/>
        </w:rPr>
        <w:fldChar w:fldCharType="begin"/>
      </w:r>
      <w:r>
        <w:rPr>
          <w:sz w:val="32"/>
          <w:szCs w:val="32"/>
        </w:rPr>
        <w:instrText xml:space="preserve"> TOC \o "1-1" \h \z \u </w:instrText>
      </w:r>
      <w:r>
        <w:rPr>
          <w:sz w:val="32"/>
          <w:szCs w:val="32"/>
        </w:rPr>
        <w:fldChar w:fldCharType="separate"/>
      </w:r>
      <w:r>
        <w:rPr>
          <w:rStyle w:val="53"/>
          <w:rFonts w:ascii="宋体" w:hAnsi="宋体"/>
          <w:sz w:val="24"/>
          <w:lang/>
        </w:rPr>
        <w:fldChar w:fldCharType="begin"/>
      </w:r>
      <w:r>
        <w:rPr>
          <w:rStyle w:val="53"/>
          <w:rFonts w:ascii="宋体" w:hAnsi="宋体"/>
          <w:sz w:val="24"/>
          <w:lang/>
        </w:rPr>
        <w:instrText xml:space="preserve"> </w:instrText>
      </w:r>
      <w:r>
        <w:rPr>
          <w:rFonts w:ascii="宋体" w:hAnsi="宋体"/>
          <w:sz w:val="24"/>
          <w:lang/>
        </w:rPr>
        <w:instrText xml:space="preserve">HYPERLINK \l "_Toc50211549"</w:instrText>
      </w:r>
      <w:r>
        <w:rPr>
          <w:rStyle w:val="53"/>
          <w:rFonts w:ascii="宋体" w:hAnsi="宋体"/>
          <w:sz w:val="24"/>
          <w:lang/>
        </w:rPr>
        <w:instrText xml:space="preserve"> </w:instrText>
      </w:r>
      <w:r>
        <w:rPr>
          <w:rStyle w:val="53"/>
          <w:rFonts w:ascii="宋体" w:hAnsi="宋体"/>
          <w:sz w:val="24"/>
          <w:lang/>
        </w:rPr>
        <w:fldChar w:fldCharType="separate"/>
      </w:r>
      <w:r>
        <w:rPr>
          <w:rStyle w:val="53"/>
          <w:rFonts w:hint="eastAsia" w:ascii="宋体" w:hAnsi="宋体"/>
          <w:sz w:val="24"/>
          <w:lang/>
        </w:rPr>
        <w:t>第一章</w:t>
      </w:r>
      <w:r>
        <w:rPr>
          <w:rStyle w:val="53"/>
          <w:rFonts w:ascii="宋体" w:hAnsi="宋体"/>
          <w:sz w:val="24"/>
          <w:lang/>
        </w:rPr>
        <w:t xml:space="preserve">  </w:t>
      </w:r>
      <w:r>
        <w:rPr>
          <w:rStyle w:val="53"/>
          <w:rFonts w:hint="eastAsia" w:ascii="宋体" w:hAnsi="宋体"/>
          <w:sz w:val="24"/>
          <w:lang/>
        </w:rPr>
        <w:t>公开招标公告</w:t>
      </w:r>
      <w:r>
        <w:rPr>
          <w:rFonts w:ascii="宋体" w:hAnsi="宋体"/>
          <w:sz w:val="24"/>
          <w:lang/>
        </w:rPr>
        <w:tab/>
      </w:r>
      <w:r>
        <w:rPr>
          <w:rFonts w:ascii="宋体" w:hAnsi="宋体"/>
          <w:sz w:val="24"/>
          <w:lang/>
        </w:rPr>
        <w:fldChar w:fldCharType="begin"/>
      </w:r>
      <w:r>
        <w:rPr>
          <w:rFonts w:ascii="宋体" w:hAnsi="宋体"/>
          <w:sz w:val="24"/>
          <w:lang/>
        </w:rPr>
        <w:instrText xml:space="preserve"> PAGEREF _Toc50211549 \h </w:instrText>
      </w:r>
      <w:r>
        <w:rPr>
          <w:rFonts w:ascii="宋体" w:hAnsi="宋体"/>
          <w:sz w:val="24"/>
          <w:lang/>
        </w:rPr>
        <w:fldChar w:fldCharType="separate"/>
      </w:r>
      <w:r>
        <w:rPr>
          <w:rFonts w:ascii="宋体" w:hAnsi="宋体"/>
          <w:sz w:val="24"/>
          <w:lang/>
        </w:rPr>
        <w:t>1</w:t>
      </w:r>
      <w:r>
        <w:rPr>
          <w:rFonts w:ascii="宋体" w:hAnsi="宋体"/>
          <w:sz w:val="24"/>
          <w:lang/>
        </w:rPr>
        <w:fldChar w:fldCharType="end"/>
      </w:r>
      <w:r>
        <w:rPr>
          <w:rStyle w:val="53"/>
          <w:rFonts w:ascii="宋体" w:hAnsi="宋体"/>
          <w:sz w:val="24"/>
          <w:lang/>
        </w:rPr>
        <w:fldChar w:fldCharType="end"/>
      </w:r>
    </w:p>
    <w:p>
      <w:pPr>
        <w:pStyle w:val="32"/>
        <w:tabs>
          <w:tab w:val="right" w:leader="dot" w:pos="9062"/>
        </w:tabs>
        <w:rPr>
          <w:rFonts w:ascii="宋体" w:hAnsi="宋体"/>
          <w:sz w:val="24"/>
          <w:lang/>
        </w:rPr>
      </w:pPr>
      <w:r>
        <w:rPr>
          <w:rStyle w:val="53"/>
          <w:rFonts w:ascii="宋体" w:hAnsi="宋体"/>
          <w:sz w:val="24"/>
          <w:lang/>
        </w:rPr>
        <w:fldChar w:fldCharType="begin"/>
      </w:r>
      <w:r>
        <w:rPr>
          <w:rStyle w:val="53"/>
          <w:rFonts w:ascii="宋体" w:hAnsi="宋体"/>
          <w:sz w:val="24"/>
          <w:lang/>
        </w:rPr>
        <w:instrText xml:space="preserve"> </w:instrText>
      </w:r>
      <w:r>
        <w:rPr>
          <w:rFonts w:ascii="宋体" w:hAnsi="宋体"/>
          <w:sz w:val="24"/>
          <w:lang/>
        </w:rPr>
        <w:instrText xml:space="preserve">HYPERLINK \l "_Toc50211550"</w:instrText>
      </w:r>
      <w:r>
        <w:rPr>
          <w:rStyle w:val="53"/>
          <w:rFonts w:ascii="宋体" w:hAnsi="宋体"/>
          <w:sz w:val="24"/>
          <w:lang/>
        </w:rPr>
        <w:instrText xml:space="preserve"> </w:instrText>
      </w:r>
      <w:r>
        <w:rPr>
          <w:rStyle w:val="53"/>
          <w:rFonts w:ascii="宋体" w:hAnsi="宋体"/>
          <w:sz w:val="24"/>
          <w:lang/>
        </w:rPr>
        <w:fldChar w:fldCharType="separate"/>
      </w:r>
      <w:r>
        <w:rPr>
          <w:rStyle w:val="53"/>
          <w:rFonts w:hint="eastAsia" w:ascii="宋体" w:hAnsi="宋体"/>
          <w:sz w:val="24"/>
          <w:lang/>
        </w:rPr>
        <w:t>第二章</w:t>
      </w:r>
      <w:r>
        <w:rPr>
          <w:rStyle w:val="53"/>
          <w:rFonts w:ascii="宋体" w:hAnsi="宋体"/>
          <w:sz w:val="24"/>
          <w:lang/>
        </w:rPr>
        <w:t xml:space="preserve">  </w:t>
      </w:r>
      <w:r>
        <w:rPr>
          <w:rStyle w:val="53"/>
          <w:rFonts w:hint="eastAsia" w:ascii="宋体" w:hAnsi="宋体"/>
          <w:sz w:val="24"/>
          <w:lang/>
        </w:rPr>
        <w:t>招标需求</w:t>
      </w:r>
      <w:r>
        <w:rPr>
          <w:rFonts w:ascii="宋体" w:hAnsi="宋体"/>
          <w:sz w:val="24"/>
          <w:lang/>
        </w:rPr>
        <w:tab/>
      </w:r>
      <w:r>
        <w:rPr>
          <w:rFonts w:ascii="宋体" w:hAnsi="宋体"/>
          <w:sz w:val="24"/>
          <w:lang/>
        </w:rPr>
        <w:fldChar w:fldCharType="begin"/>
      </w:r>
      <w:r>
        <w:rPr>
          <w:rFonts w:ascii="宋体" w:hAnsi="宋体"/>
          <w:sz w:val="24"/>
          <w:lang/>
        </w:rPr>
        <w:instrText xml:space="preserve"> PAGEREF _Toc50211550 \h </w:instrText>
      </w:r>
      <w:r>
        <w:rPr>
          <w:rFonts w:ascii="宋体" w:hAnsi="宋体"/>
          <w:sz w:val="24"/>
          <w:lang/>
        </w:rPr>
        <w:fldChar w:fldCharType="separate"/>
      </w:r>
      <w:r>
        <w:rPr>
          <w:rFonts w:ascii="宋体" w:hAnsi="宋体"/>
          <w:sz w:val="24"/>
          <w:lang/>
        </w:rPr>
        <w:t>5</w:t>
      </w:r>
      <w:r>
        <w:rPr>
          <w:rFonts w:ascii="宋体" w:hAnsi="宋体"/>
          <w:sz w:val="24"/>
          <w:lang/>
        </w:rPr>
        <w:fldChar w:fldCharType="end"/>
      </w:r>
      <w:r>
        <w:rPr>
          <w:rStyle w:val="53"/>
          <w:rFonts w:ascii="宋体" w:hAnsi="宋体"/>
          <w:sz w:val="24"/>
          <w:lang/>
        </w:rPr>
        <w:fldChar w:fldCharType="end"/>
      </w:r>
    </w:p>
    <w:p>
      <w:pPr>
        <w:pStyle w:val="32"/>
        <w:tabs>
          <w:tab w:val="right" w:leader="dot" w:pos="9062"/>
        </w:tabs>
        <w:rPr>
          <w:rFonts w:ascii="宋体" w:hAnsi="宋体"/>
          <w:sz w:val="24"/>
          <w:lang/>
        </w:rPr>
      </w:pPr>
      <w:r>
        <w:rPr>
          <w:rStyle w:val="53"/>
          <w:rFonts w:ascii="宋体" w:hAnsi="宋体"/>
          <w:sz w:val="24"/>
          <w:lang/>
        </w:rPr>
        <w:fldChar w:fldCharType="begin"/>
      </w:r>
      <w:r>
        <w:rPr>
          <w:rStyle w:val="53"/>
          <w:rFonts w:ascii="宋体" w:hAnsi="宋体"/>
          <w:sz w:val="24"/>
          <w:lang/>
        </w:rPr>
        <w:instrText xml:space="preserve"> </w:instrText>
      </w:r>
      <w:r>
        <w:rPr>
          <w:rFonts w:ascii="宋体" w:hAnsi="宋体"/>
          <w:sz w:val="24"/>
          <w:lang/>
        </w:rPr>
        <w:instrText xml:space="preserve">HYPERLINK \l "_Toc50211551"</w:instrText>
      </w:r>
      <w:r>
        <w:rPr>
          <w:rStyle w:val="53"/>
          <w:rFonts w:ascii="宋体" w:hAnsi="宋体"/>
          <w:sz w:val="24"/>
          <w:lang/>
        </w:rPr>
        <w:instrText xml:space="preserve"> </w:instrText>
      </w:r>
      <w:r>
        <w:rPr>
          <w:rStyle w:val="53"/>
          <w:rFonts w:ascii="宋体" w:hAnsi="宋体"/>
          <w:sz w:val="24"/>
          <w:lang/>
        </w:rPr>
        <w:fldChar w:fldCharType="separate"/>
      </w:r>
      <w:r>
        <w:rPr>
          <w:rStyle w:val="53"/>
          <w:rFonts w:hint="eastAsia" w:ascii="宋体" w:hAnsi="宋体"/>
          <w:sz w:val="24"/>
          <w:lang/>
        </w:rPr>
        <w:t>第三章</w:t>
      </w:r>
      <w:r>
        <w:rPr>
          <w:rStyle w:val="53"/>
          <w:rFonts w:ascii="宋体" w:hAnsi="宋体"/>
          <w:sz w:val="24"/>
          <w:lang/>
        </w:rPr>
        <w:t xml:space="preserve">  </w:t>
      </w:r>
      <w:r>
        <w:rPr>
          <w:rStyle w:val="53"/>
          <w:rFonts w:hint="eastAsia" w:ascii="宋体" w:hAnsi="宋体"/>
          <w:sz w:val="24"/>
          <w:lang/>
        </w:rPr>
        <w:t>投标人须知</w:t>
      </w:r>
      <w:r>
        <w:rPr>
          <w:rFonts w:ascii="宋体" w:hAnsi="宋体"/>
          <w:sz w:val="24"/>
          <w:lang/>
        </w:rPr>
        <w:tab/>
      </w:r>
      <w:r>
        <w:rPr>
          <w:rFonts w:ascii="宋体" w:hAnsi="宋体"/>
          <w:sz w:val="24"/>
          <w:lang/>
        </w:rPr>
        <w:fldChar w:fldCharType="begin"/>
      </w:r>
      <w:r>
        <w:rPr>
          <w:rFonts w:ascii="宋体" w:hAnsi="宋体"/>
          <w:sz w:val="24"/>
          <w:lang/>
        </w:rPr>
        <w:instrText xml:space="preserve"> PAGEREF _Toc50211551 \h </w:instrText>
      </w:r>
      <w:r>
        <w:rPr>
          <w:rFonts w:ascii="宋体" w:hAnsi="宋体"/>
          <w:sz w:val="24"/>
          <w:lang/>
        </w:rPr>
        <w:fldChar w:fldCharType="separate"/>
      </w:r>
      <w:r>
        <w:rPr>
          <w:rFonts w:ascii="宋体" w:hAnsi="宋体"/>
          <w:sz w:val="24"/>
          <w:lang/>
        </w:rPr>
        <w:t>19</w:t>
      </w:r>
      <w:r>
        <w:rPr>
          <w:rFonts w:ascii="宋体" w:hAnsi="宋体"/>
          <w:sz w:val="24"/>
          <w:lang/>
        </w:rPr>
        <w:fldChar w:fldCharType="end"/>
      </w:r>
      <w:r>
        <w:rPr>
          <w:rStyle w:val="53"/>
          <w:rFonts w:ascii="宋体" w:hAnsi="宋体"/>
          <w:sz w:val="24"/>
          <w:lang/>
        </w:rPr>
        <w:fldChar w:fldCharType="end"/>
      </w:r>
    </w:p>
    <w:p>
      <w:pPr>
        <w:pStyle w:val="32"/>
        <w:tabs>
          <w:tab w:val="right" w:leader="dot" w:pos="9062"/>
        </w:tabs>
        <w:rPr>
          <w:rFonts w:ascii="宋体" w:hAnsi="宋体"/>
          <w:sz w:val="24"/>
          <w:lang/>
        </w:rPr>
      </w:pPr>
      <w:r>
        <w:rPr>
          <w:rStyle w:val="53"/>
          <w:rFonts w:ascii="宋体" w:hAnsi="宋体"/>
          <w:sz w:val="24"/>
          <w:lang/>
        </w:rPr>
        <w:fldChar w:fldCharType="begin"/>
      </w:r>
      <w:r>
        <w:rPr>
          <w:rStyle w:val="53"/>
          <w:rFonts w:ascii="宋体" w:hAnsi="宋体"/>
          <w:sz w:val="24"/>
          <w:lang/>
        </w:rPr>
        <w:instrText xml:space="preserve"> </w:instrText>
      </w:r>
      <w:r>
        <w:rPr>
          <w:rFonts w:ascii="宋体" w:hAnsi="宋体"/>
          <w:sz w:val="24"/>
          <w:lang/>
        </w:rPr>
        <w:instrText xml:space="preserve">HYPERLINK \l "_Toc50211559"</w:instrText>
      </w:r>
      <w:r>
        <w:rPr>
          <w:rStyle w:val="53"/>
          <w:rFonts w:ascii="宋体" w:hAnsi="宋体"/>
          <w:sz w:val="24"/>
          <w:lang/>
        </w:rPr>
        <w:instrText xml:space="preserve"> </w:instrText>
      </w:r>
      <w:r>
        <w:rPr>
          <w:rStyle w:val="53"/>
          <w:rFonts w:ascii="宋体" w:hAnsi="宋体"/>
          <w:sz w:val="24"/>
          <w:lang/>
        </w:rPr>
        <w:fldChar w:fldCharType="separate"/>
      </w:r>
      <w:r>
        <w:rPr>
          <w:rStyle w:val="53"/>
          <w:rFonts w:hint="eastAsia" w:ascii="宋体" w:hAnsi="宋体"/>
          <w:sz w:val="24"/>
          <w:lang/>
        </w:rPr>
        <w:t>第四章</w:t>
      </w:r>
      <w:r>
        <w:rPr>
          <w:rStyle w:val="53"/>
          <w:rFonts w:ascii="宋体" w:hAnsi="宋体"/>
          <w:sz w:val="24"/>
          <w:lang/>
        </w:rPr>
        <w:t xml:space="preserve">  </w:t>
      </w:r>
      <w:r>
        <w:rPr>
          <w:rStyle w:val="53"/>
          <w:rFonts w:hint="eastAsia" w:ascii="宋体" w:hAnsi="宋体"/>
          <w:sz w:val="24"/>
          <w:lang/>
        </w:rPr>
        <w:t>评标办法及评分标准</w:t>
      </w:r>
      <w:r>
        <w:rPr>
          <w:rFonts w:ascii="宋体" w:hAnsi="宋体"/>
          <w:sz w:val="24"/>
          <w:lang/>
        </w:rPr>
        <w:tab/>
      </w:r>
      <w:bookmarkStart w:id="0" w:name="_Hlt50222482"/>
      <w:bookmarkStart w:id="1" w:name="_Hlt50222483"/>
      <w:r>
        <w:rPr>
          <w:rFonts w:ascii="宋体" w:hAnsi="宋体"/>
          <w:sz w:val="24"/>
          <w:lang/>
        </w:rPr>
        <w:fldChar w:fldCharType="begin"/>
      </w:r>
      <w:r>
        <w:rPr>
          <w:rFonts w:ascii="宋体" w:hAnsi="宋体"/>
          <w:sz w:val="24"/>
          <w:lang/>
        </w:rPr>
        <w:instrText xml:space="preserve"> PAGEREF _Toc50211559 \h </w:instrText>
      </w:r>
      <w:r>
        <w:rPr>
          <w:rFonts w:ascii="宋体" w:hAnsi="宋体"/>
          <w:sz w:val="24"/>
          <w:lang/>
        </w:rPr>
        <w:fldChar w:fldCharType="separate"/>
      </w:r>
      <w:r>
        <w:rPr>
          <w:rFonts w:ascii="宋体" w:hAnsi="宋体"/>
          <w:sz w:val="24"/>
          <w:lang/>
        </w:rPr>
        <w:t>31</w:t>
      </w:r>
      <w:r>
        <w:rPr>
          <w:rFonts w:ascii="宋体" w:hAnsi="宋体"/>
          <w:sz w:val="24"/>
          <w:lang/>
        </w:rPr>
        <w:fldChar w:fldCharType="end"/>
      </w:r>
      <w:bookmarkEnd w:id="0"/>
      <w:bookmarkEnd w:id="1"/>
      <w:r>
        <w:rPr>
          <w:rStyle w:val="53"/>
          <w:rFonts w:ascii="宋体" w:hAnsi="宋体"/>
          <w:sz w:val="24"/>
          <w:lang/>
        </w:rPr>
        <w:fldChar w:fldCharType="end"/>
      </w:r>
    </w:p>
    <w:p>
      <w:pPr>
        <w:pStyle w:val="32"/>
        <w:tabs>
          <w:tab w:val="right" w:leader="dot" w:pos="9062"/>
        </w:tabs>
        <w:rPr>
          <w:rFonts w:ascii="宋体" w:hAnsi="宋体"/>
          <w:sz w:val="24"/>
          <w:lang/>
        </w:rPr>
      </w:pPr>
      <w:r>
        <w:rPr>
          <w:rStyle w:val="53"/>
          <w:rFonts w:ascii="宋体" w:hAnsi="宋体"/>
          <w:sz w:val="24"/>
          <w:lang/>
        </w:rPr>
        <w:fldChar w:fldCharType="begin"/>
      </w:r>
      <w:r>
        <w:rPr>
          <w:rStyle w:val="53"/>
          <w:rFonts w:ascii="宋体" w:hAnsi="宋体"/>
          <w:sz w:val="24"/>
          <w:lang/>
        </w:rPr>
        <w:instrText xml:space="preserve"> </w:instrText>
      </w:r>
      <w:r>
        <w:rPr>
          <w:rFonts w:ascii="宋体" w:hAnsi="宋体"/>
          <w:sz w:val="24"/>
          <w:lang/>
        </w:rPr>
        <w:instrText xml:space="preserve">HYPERLINK \l "_Toc50211560"</w:instrText>
      </w:r>
      <w:r>
        <w:rPr>
          <w:rStyle w:val="53"/>
          <w:rFonts w:ascii="宋体" w:hAnsi="宋体"/>
          <w:sz w:val="24"/>
          <w:lang/>
        </w:rPr>
        <w:instrText xml:space="preserve"> </w:instrText>
      </w:r>
      <w:r>
        <w:rPr>
          <w:rStyle w:val="53"/>
          <w:rFonts w:ascii="宋体" w:hAnsi="宋体"/>
          <w:sz w:val="24"/>
          <w:lang/>
        </w:rPr>
        <w:fldChar w:fldCharType="separate"/>
      </w:r>
      <w:r>
        <w:rPr>
          <w:rStyle w:val="53"/>
          <w:rFonts w:hint="eastAsia" w:ascii="宋体" w:hAnsi="宋体"/>
          <w:sz w:val="24"/>
          <w:lang/>
        </w:rPr>
        <w:t>第五章</w:t>
      </w:r>
      <w:r>
        <w:rPr>
          <w:rStyle w:val="53"/>
          <w:rFonts w:ascii="宋体" w:hAnsi="宋体"/>
          <w:sz w:val="24"/>
          <w:lang/>
        </w:rPr>
        <w:t xml:space="preserve">  </w:t>
      </w:r>
      <w:r>
        <w:rPr>
          <w:rStyle w:val="53"/>
          <w:rFonts w:hint="eastAsia" w:ascii="宋体" w:hAnsi="宋体"/>
          <w:sz w:val="24"/>
          <w:lang/>
        </w:rPr>
        <w:t>政府采购合同主要条款（指引）</w:t>
      </w:r>
      <w:bookmarkStart w:id="2" w:name="_Hlt50211602"/>
      <w:r>
        <w:rPr>
          <w:rFonts w:ascii="宋体" w:hAnsi="宋体"/>
          <w:sz w:val="24"/>
          <w:lang/>
        </w:rPr>
        <w:tab/>
      </w:r>
      <w:bookmarkEnd w:id="2"/>
      <w:r>
        <w:rPr>
          <w:rFonts w:ascii="宋体" w:hAnsi="宋体"/>
          <w:sz w:val="24"/>
          <w:lang/>
        </w:rPr>
        <w:fldChar w:fldCharType="begin"/>
      </w:r>
      <w:r>
        <w:rPr>
          <w:rFonts w:ascii="宋体" w:hAnsi="宋体"/>
          <w:sz w:val="24"/>
          <w:lang/>
        </w:rPr>
        <w:instrText xml:space="preserve"> PAGEREF _Toc50211560 \h </w:instrText>
      </w:r>
      <w:r>
        <w:rPr>
          <w:rFonts w:ascii="宋体" w:hAnsi="宋体"/>
          <w:sz w:val="24"/>
          <w:lang/>
        </w:rPr>
        <w:fldChar w:fldCharType="separate"/>
      </w:r>
      <w:r>
        <w:rPr>
          <w:rFonts w:ascii="宋体" w:hAnsi="宋体"/>
          <w:sz w:val="24"/>
          <w:lang/>
        </w:rPr>
        <w:t>34</w:t>
      </w:r>
      <w:r>
        <w:rPr>
          <w:rFonts w:ascii="宋体" w:hAnsi="宋体"/>
          <w:sz w:val="24"/>
          <w:lang/>
        </w:rPr>
        <w:fldChar w:fldCharType="end"/>
      </w:r>
      <w:r>
        <w:rPr>
          <w:rStyle w:val="53"/>
          <w:rFonts w:ascii="宋体" w:hAnsi="宋体"/>
          <w:sz w:val="24"/>
          <w:lang/>
        </w:rPr>
        <w:fldChar w:fldCharType="end"/>
      </w:r>
    </w:p>
    <w:p>
      <w:pPr>
        <w:pStyle w:val="32"/>
        <w:tabs>
          <w:tab w:val="right" w:leader="dot" w:pos="9062"/>
        </w:tabs>
        <w:rPr>
          <w:rFonts w:ascii="宋体" w:hAnsi="宋体"/>
          <w:sz w:val="24"/>
          <w:lang/>
        </w:rPr>
      </w:pPr>
      <w:r>
        <w:rPr>
          <w:rStyle w:val="53"/>
          <w:rFonts w:ascii="宋体" w:hAnsi="宋体"/>
          <w:sz w:val="24"/>
          <w:lang/>
        </w:rPr>
        <w:fldChar w:fldCharType="begin"/>
      </w:r>
      <w:r>
        <w:rPr>
          <w:rStyle w:val="53"/>
          <w:rFonts w:ascii="宋体" w:hAnsi="宋体"/>
          <w:sz w:val="24"/>
          <w:lang/>
        </w:rPr>
        <w:instrText xml:space="preserve"> </w:instrText>
      </w:r>
      <w:r>
        <w:rPr>
          <w:rFonts w:ascii="宋体" w:hAnsi="宋体"/>
          <w:sz w:val="24"/>
          <w:lang/>
        </w:rPr>
        <w:instrText xml:space="preserve">HYPERLINK \l "_Toc50211563"</w:instrText>
      </w:r>
      <w:r>
        <w:rPr>
          <w:rStyle w:val="53"/>
          <w:rFonts w:ascii="宋体" w:hAnsi="宋体"/>
          <w:sz w:val="24"/>
          <w:lang/>
        </w:rPr>
        <w:instrText xml:space="preserve"> </w:instrText>
      </w:r>
      <w:r>
        <w:rPr>
          <w:rStyle w:val="53"/>
          <w:rFonts w:ascii="宋体" w:hAnsi="宋体"/>
          <w:sz w:val="24"/>
          <w:lang/>
        </w:rPr>
        <w:fldChar w:fldCharType="separate"/>
      </w:r>
      <w:r>
        <w:rPr>
          <w:rStyle w:val="53"/>
          <w:rFonts w:hint="eastAsia" w:ascii="宋体" w:hAnsi="宋体"/>
          <w:sz w:val="24"/>
          <w:lang/>
        </w:rPr>
        <w:t>第六章</w:t>
      </w:r>
      <w:r>
        <w:rPr>
          <w:rStyle w:val="53"/>
          <w:rFonts w:ascii="宋体" w:hAnsi="宋体"/>
          <w:sz w:val="24"/>
          <w:lang/>
        </w:rPr>
        <w:t xml:space="preserve">  </w:t>
      </w:r>
      <w:r>
        <w:rPr>
          <w:rStyle w:val="53"/>
          <w:rFonts w:hint="eastAsia" w:ascii="宋体" w:hAnsi="宋体"/>
          <w:sz w:val="24"/>
          <w:lang/>
        </w:rPr>
        <w:t>投标文件格式</w:t>
      </w:r>
      <w:r>
        <w:rPr>
          <w:rFonts w:ascii="宋体" w:hAnsi="宋体"/>
          <w:sz w:val="24"/>
          <w:lang/>
        </w:rPr>
        <w:tab/>
      </w:r>
      <w:r>
        <w:rPr>
          <w:rFonts w:ascii="宋体" w:hAnsi="宋体"/>
          <w:sz w:val="24"/>
          <w:lang/>
        </w:rPr>
        <w:fldChar w:fldCharType="begin"/>
      </w:r>
      <w:r>
        <w:rPr>
          <w:rFonts w:ascii="宋体" w:hAnsi="宋体"/>
          <w:sz w:val="24"/>
          <w:lang/>
        </w:rPr>
        <w:instrText xml:space="preserve"> PAGEREF _Toc50211563 \h </w:instrText>
      </w:r>
      <w:r>
        <w:rPr>
          <w:rFonts w:ascii="宋体" w:hAnsi="宋体"/>
          <w:sz w:val="24"/>
          <w:lang/>
        </w:rPr>
        <w:fldChar w:fldCharType="separate"/>
      </w:r>
      <w:r>
        <w:rPr>
          <w:rFonts w:ascii="宋体" w:hAnsi="宋体"/>
          <w:sz w:val="24"/>
          <w:lang/>
        </w:rPr>
        <w:t>40</w:t>
      </w:r>
      <w:r>
        <w:rPr>
          <w:rFonts w:ascii="宋体" w:hAnsi="宋体"/>
          <w:sz w:val="24"/>
          <w:lang/>
        </w:rPr>
        <w:fldChar w:fldCharType="end"/>
      </w:r>
      <w:r>
        <w:rPr>
          <w:rStyle w:val="53"/>
          <w:rFonts w:ascii="宋体" w:hAnsi="宋体"/>
          <w:sz w:val="24"/>
          <w:lang/>
        </w:rPr>
        <w:fldChar w:fldCharType="end"/>
      </w:r>
    </w:p>
    <w:p>
      <w:pPr>
        <w:pStyle w:val="32"/>
        <w:tabs>
          <w:tab w:val="right" w:leader="dot" w:pos="9062"/>
        </w:tabs>
        <w:rPr>
          <w:rFonts w:ascii="宋体" w:hAnsi="宋体"/>
          <w:szCs w:val="22"/>
          <w:lang/>
        </w:rPr>
      </w:pPr>
    </w:p>
    <w:p>
      <w:pPr>
        <w:sectPr>
          <w:pgSz w:w="11906" w:h="16838"/>
          <w:pgMar w:top="1440" w:right="1274" w:bottom="1440" w:left="1560" w:header="851" w:footer="992" w:gutter="0"/>
          <w:pgNumType w:start="0"/>
          <w:cols w:space="720" w:num="1"/>
          <w:titlePg/>
          <w:docGrid w:linePitch="312" w:charSpace="0"/>
        </w:sectPr>
      </w:pPr>
      <w:r>
        <w:rPr>
          <w:szCs w:val="32"/>
        </w:rPr>
        <w:fldChar w:fldCharType="end"/>
      </w:r>
    </w:p>
    <w:p>
      <w:pPr>
        <w:pStyle w:val="2"/>
      </w:pPr>
      <w:bookmarkStart w:id="3" w:name="_Toc50211549"/>
      <w:bookmarkStart w:id="4" w:name="_Toc13042322"/>
      <w:r>
        <w:rPr>
          <w:rFonts w:hint="eastAsia"/>
        </w:rPr>
        <w:t>第一章  公开招标公告</w:t>
      </w:r>
      <w:bookmarkEnd w:id="3"/>
      <w:bookmarkEnd w:id="4"/>
    </w:p>
    <w:p>
      <w:pPr>
        <w:ind w:firstLine="480"/>
        <w:rPr>
          <w:rFonts w:ascii="宋体" w:hAnsi="宋体" w:cs="Arial"/>
          <w:b/>
          <w:szCs w:val="24"/>
        </w:rPr>
      </w:pPr>
      <w:r>
        <w:rPr>
          <w:rFonts w:ascii="Arial" w:hAnsi="宋体" w:cs="Arial"/>
          <w:szCs w:val="21"/>
        </w:rPr>
        <w:t>根据《中华人民共和国政府采购法》、</w:t>
      </w:r>
      <w:r>
        <w:rPr>
          <w:rFonts w:hint="eastAsia" w:ascii="Arial" w:hAnsi="宋体" w:cs="Arial"/>
          <w:szCs w:val="21"/>
        </w:rPr>
        <w:t>《</w:t>
      </w:r>
      <w:r>
        <w:rPr>
          <w:rFonts w:ascii="Arial" w:hAnsi="宋体" w:cs="Arial"/>
          <w:szCs w:val="21"/>
        </w:rPr>
        <w:t>中华人民共和国政府采购法实施条例</w:t>
      </w:r>
      <w:r>
        <w:rPr>
          <w:rFonts w:hint="eastAsia" w:ascii="Arial" w:hAnsi="宋体" w:cs="Arial"/>
          <w:szCs w:val="21"/>
        </w:rPr>
        <w:t>》和</w:t>
      </w:r>
      <w:r>
        <w:rPr>
          <w:rFonts w:hint="eastAsia" w:ascii="宋体" w:hAnsi="宋体" w:cs="Arial"/>
          <w:szCs w:val="21"/>
        </w:rPr>
        <w:t>《浙江省政府采购活动现场组织管理办法》、</w:t>
      </w:r>
      <w:r>
        <w:rPr>
          <w:rFonts w:hint="eastAsia" w:ascii="Arial" w:hAnsi="宋体" w:cs="Arial"/>
          <w:szCs w:val="21"/>
        </w:rPr>
        <w:t>《浙江省</w:t>
      </w:r>
      <w:r>
        <w:rPr>
          <w:rFonts w:ascii="Arial" w:hAnsi="宋体" w:cs="Arial"/>
          <w:szCs w:val="21"/>
        </w:rPr>
        <w:t>政府采购项目电子交易管理暂行办法</w:t>
      </w:r>
      <w:r>
        <w:rPr>
          <w:rFonts w:hint="eastAsia" w:ascii="Arial" w:hAnsi="宋体" w:cs="Arial"/>
          <w:szCs w:val="21"/>
        </w:rPr>
        <w:t>》</w:t>
      </w:r>
      <w:r>
        <w:rPr>
          <w:rFonts w:ascii="Arial" w:hAnsi="宋体" w:cs="Arial"/>
          <w:szCs w:val="21"/>
        </w:rPr>
        <w:t>等规定</w:t>
      </w:r>
      <w:r>
        <w:rPr>
          <w:rFonts w:hint="eastAsia" w:ascii="Arial" w:hAnsi="宋体" w:cs="Arial"/>
          <w:szCs w:val="21"/>
        </w:rPr>
        <w:t>，</w:t>
      </w:r>
      <w:r>
        <w:rPr>
          <w:rFonts w:hint="eastAsia" w:ascii="宋体" w:hAnsi="宋体" w:cs="宋体"/>
          <w:szCs w:val="21"/>
        </w:rPr>
        <w:t>浙江浦发工程项目管理有限公司受嘉兴市公安局秀洲区分局委托，并经嘉兴市秀洲区财政局XZ-00016060采购计划文号批准，现就</w:t>
      </w:r>
      <w:r>
        <w:rPr>
          <w:rFonts w:hint="eastAsia" w:ascii="宋体" w:hAnsi="宋体" w:cs="宋体"/>
          <w:szCs w:val="21"/>
          <w:u w:val="single"/>
        </w:rPr>
        <w:t xml:space="preserve"> 嘉兴市公安局秀洲区分局第二期“智安小区”系统购买服务项目 </w:t>
      </w:r>
      <w:r>
        <w:rPr>
          <w:rFonts w:hint="eastAsia" w:ascii="宋体" w:hAnsi="宋体" w:cs="宋体"/>
          <w:szCs w:val="21"/>
        </w:rPr>
        <w:t>进行公开招标，欢迎国内合格的投标人前来投标，现将有关事项公告如下：</w:t>
      </w:r>
    </w:p>
    <w:p>
      <w:pPr>
        <w:snapToGrid w:val="0"/>
        <w:ind w:firstLine="420" w:firstLineChars="200"/>
        <w:rPr>
          <w:rFonts w:ascii="宋体" w:hAnsi="宋体" w:cs="Arial"/>
          <w:szCs w:val="21"/>
        </w:rPr>
      </w:pPr>
      <w:r>
        <w:rPr>
          <w:rFonts w:hint="eastAsia" w:ascii="宋体" w:hAnsi="宋体" w:cs="Arial"/>
          <w:szCs w:val="21"/>
        </w:rPr>
        <w:t>一、</w:t>
      </w:r>
      <w:r>
        <w:rPr>
          <w:rFonts w:hint="eastAsia" w:ascii="宋体" w:hAnsi="宋体" w:cs="Arial"/>
          <w:b/>
          <w:bCs/>
          <w:szCs w:val="21"/>
        </w:rPr>
        <w:t>项目编号：</w:t>
      </w:r>
      <w:r>
        <w:rPr>
          <w:rFonts w:hint="eastAsia" w:ascii="宋体" w:hAnsi="宋体" w:cs="宋体"/>
          <w:szCs w:val="21"/>
        </w:rPr>
        <w:t>ZJPF-JX2020027</w:t>
      </w:r>
    </w:p>
    <w:p>
      <w:pPr>
        <w:snapToGrid w:val="0"/>
        <w:ind w:firstLine="420" w:firstLineChars="200"/>
        <w:rPr>
          <w:rFonts w:ascii="宋体" w:hAnsi="宋体" w:cs="Arial"/>
          <w:szCs w:val="21"/>
        </w:rPr>
      </w:pPr>
      <w:r>
        <w:rPr>
          <w:rFonts w:hint="eastAsia" w:ascii="宋体" w:hAnsi="宋体" w:cs="Arial"/>
          <w:szCs w:val="21"/>
        </w:rPr>
        <w:t>二、</w:t>
      </w:r>
      <w:r>
        <w:rPr>
          <w:rFonts w:hint="eastAsia" w:ascii="宋体" w:hAnsi="宋体" w:cs="Arial"/>
          <w:b/>
          <w:szCs w:val="21"/>
        </w:rPr>
        <w:t>采购组织类型：</w:t>
      </w:r>
      <w:r>
        <w:rPr>
          <w:rFonts w:hint="eastAsia" w:ascii="宋体" w:hAnsi="宋体" w:cs="宋体"/>
          <w:szCs w:val="21"/>
        </w:rPr>
        <w:t>分散采购委托中介</w:t>
      </w:r>
    </w:p>
    <w:p>
      <w:pPr>
        <w:snapToGrid w:val="0"/>
        <w:ind w:firstLine="422" w:firstLineChars="200"/>
        <w:rPr>
          <w:rFonts w:ascii="宋体" w:hAnsi="宋体" w:cs="Arial"/>
          <w:szCs w:val="21"/>
        </w:rPr>
      </w:pPr>
      <w:r>
        <w:rPr>
          <w:rFonts w:hint="eastAsia" w:ascii="宋体" w:hAnsi="宋体" w:cs="Arial"/>
          <w:b/>
          <w:szCs w:val="21"/>
        </w:rPr>
        <w:t>三、采购方式：</w:t>
      </w:r>
      <w:r>
        <w:rPr>
          <w:rFonts w:hint="eastAsia" w:ascii="宋体" w:hAnsi="宋体" w:cs="宋体"/>
          <w:szCs w:val="21"/>
        </w:rPr>
        <w:t>公开招标</w:t>
      </w:r>
    </w:p>
    <w:p>
      <w:pPr>
        <w:snapToGrid w:val="0"/>
        <w:ind w:firstLine="422" w:firstLineChars="200"/>
        <w:rPr>
          <w:rFonts w:ascii="宋体" w:hAnsi="宋体" w:cs="Arial"/>
          <w:b/>
          <w:szCs w:val="21"/>
        </w:rPr>
      </w:pPr>
      <w:r>
        <w:rPr>
          <w:rFonts w:hint="eastAsia" w:ascii="宋体" w:hAnsi="宋体" w:cs="Arial"/>
          <w:b/>
          <w:szCs w:val="21"/>
        </w:rPr>
        <w:t>四、招标项目:</w:t>
      </w:r>
      <w:r>
        <w:rPr>
          <w:rFonts w:hint="eastAsia" w:ascii="宋体" w:hAnsi="宋体" w:cs="宋体"/>
          <w:szCs w:val="21"/>
        </w:rPr>
        <w:t>嘉兴市公安局秀洲区分局第二期“智安小区”系统购买服务项目</w:t>
      </w:r>
    </w:p>
    <w:p>
      <w:pPr>
        <w:ind w:firstLine="422" w:firstLineChars="200"/>
        <w:rPr>
          <w:rFonts w:ascii="宋体" w:hAnsi="宋体" w:cs="Arial"/>
          <w:b/>
          <w:bCs/>
          <w:szCs w:val="21"/>
        </w:rPr>
      </w:pPr>
      <w:r>
        <w:rPr>
          <w:rFonts w:hint="eastAsia" w:ascii="宋体" w:hAnsi="宋体" w:cs="Arial"/>
          <w:b/>
          <w:bCs/>
          <w:szCs w:val="21"/>
        </w:rPr>
        <w:t>五、招标采购内容及预算：</w:t>
      </w:r>
      <w:r>
        <w:rPr>
          <w:rFonts w:ascii="宋体" w:hAnsi="宋体" w:cs="Arial"/>
          <w:b/>
          <w:bCs/>
          <w:sz w:val="24"/>
          <w:szCs w:val="24"/>
        </w:rPr>
        <w:t xml:space="preserve"> </w:t>
      </w:r>
    </w:p>
    <w:tbl>
      <w:tblPr>
        <w:tblStyle w:val="46"/>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3540"/>
        <w:gridCol w:w="1975"/>
        <w:gridCol w:w="83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jc w:val="center"/>
        </w:trPr>
        <w:tc>
          <w:tcPr>
            <w:tcW w:w="0" w:type="auto"/>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序号</w:t>
            </w:r>
          </w:p>
        </w:tc>
        <w:tc>
          <w:tcPr>
            <w:tcW w:w="3540"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摄像机类型</w:t>
            </w:r>
          </w:p>
        </w:tc>
        <w:tc>
          <w:tcPr>
            <w:tcW w:w="1975" w:type="dxa"/>
            <w:noWrap w:val="0"/>
            <w:vAlign w:val="center"/>
          </w:tcPr>
          <w:p>
            <w:pPr>
              <w:widowControl/>
              <w:spacing w:after="25" w:line="360" w:lineRule="exact"/>
              <w:jc w:val="center"/>
              <w:textAlignment w:val="center"/>
              <w:rPr>
                <w:rFonts w:hint="eastAsia" w:ascii="宋体" w:hAnsi="宋体"/>
                <w:szCs w:val="21"/>
              </w:rPr>
            </w:pPr>
            <w:r>
              <w:rPr>
                <w:rFonts w:hint="eastAsia" w:ascii="宋体" w:hAnsi="宋体"/>
                <w:szCs w:val="21"/>
              </w:rPr>
              <w:t>存储码流、</w:t>
            </w:r>
          </w:p>
          <w:p>
            <w:pPr>
              <w:widowControl/>
              <w:spacing w:after="25" w:line="360" w:lineRule="exact"/>
              <w:jc w:val="center"/>
              <w:textAlignment w:val="center"/>
              <w:rPr>
                <w:rFonts w:ascii="宋体" w:hAnsi="宋体"/>
                <w:szCs w:val="21"/>
              </w:rPr>
            </w:pPr>
            <w:r>
              <w:rPr>
                <w:rFonts w:hint="eastAsia" w:ascii="宋体" w:hAnsi="宋体"/>
                <w:szCs w:val="21"/>
              </w:rPr>
              <w:t>时间等要求</w:t>
            </w:r>
          </w:p>
        </w:tc>
        <w:tc>
          <w:tcPr>
            <w:tcW w:w="836" w:type="dxa"/>
            <w:noWrap w:val="0"/>
            <w:vAlign w:val="center"/>
          </w:tcPr>
          <w:p>
            <w:pPr>
              <w:widowControl/>
              <w:spacing w:after="25" w:line="360" w:lineRule="exact"/>
              <w:jc w:val="center"/>
              <w:textAlignment w:val="center"/>
              <w:rPr>
                <w:rFonts w:ascii="宋体" w:hAnsi="宋体"/>
                <w:szCs w:val="21"/>
              </w:rPr>
            </w:pPr>
            <w:r>
              <w:rPr>
                <w:rFonts w:hint="eastAsia" w:ascii="宋体" w:hAnsi="宋体"/>
                <w:szCs w:val="21"/>
              </w:rPr>
              <w:t>数量</w:t>
            </w:r>
          </w:p>
        </w:tc>
        <w:tc>
          <w:tcPr>
            <w:tcW w:w="2040"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jc w:val="center"/>
        </w:trPr>
        <w:tc>
          <w:tcPr>
            <w:tcW w:w="0" w:type="auto"/>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1</w:t>
            </w:r>
          </w:p>
        </w:tc>
        <w:tc>
          <w:tcPr>
            <w:tcW w:w="3540"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双400W超星光白光高清网络球型摄像机</w:t>
            </w:r>
          </w:p>
        </w:tc>
        <w:tc>
          <w:tcPr>
            <w:tcW w:w="1975"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4兆码流,录像保存30天</w:t>
            </w:r>
          </w:p>
        </w:tc>
        <w:tc>
          <w:tcPr>
            <w:tcW w:w="836"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579</w:t>
            </w:r>
          </w:p>
        </w:tc>
        <w:tc>
          <w:tcPr>
            <w:tcW w:w="2040" w:type="dxa"/>
            <w:vMerge w:val="restart"/>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cs="宋体"/>
                <w:szCs w:val="21"/>
              </w:rPr>
              <w:t>购买服务期为3年，具体详见第二章招标需求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2" w:hRule="atLeast"/>
          <w:jc w:val="center"/>
        </w:trPr>
        <w:tc>
          <w:tcPr>
            <w:tcW w:w="0" w:type="auto"/>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2</w:t>
            </w:r>
          </w:p>
        </w:tc>
        <w:tc>
          <w:tcPr>
            <w:tcW w:w="3540"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智能出入口摄像机</w:t>
            </w:r>
          </w:p>
        </w:tc>
        <w:tc>
          <w:tcPr>
            <w:tcW w:w="1975"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4兆码流,录像保存30天</w:t>
            </w:r>
          </w:p>
        </w:tc>
        <w:tc>
          <w:tcPr>
            <w:tcW w:w="836"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390</w:t>
            </w:r>
          </w:p>
        </w:tc>
        <w:tc>
          <w:tcPr>
            <w:tcW w:w="2040" w:type="dxa"/>
            <w:vMerge w:val="continue"/>
            <w:noWrap w:val="0"/>
            <w:vAlign w:val="center"/>
          </w:tcPr>
          <w:p>
            <w:pPr>
              <w:adjustRightInd w:val="0"/>
              <w:spacing w:after="60" w:afterLines="25" w:line="360" w:lineRule="exact"/>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2" w:hRule="atLeast"/>
          <w:jc w:val="center"/>
        </w:trPr>
        <w:tc>
          <w:tcPr>
            <w:tcW w:w="0" w:type="auto"/>
            <w:noWrap w:val="0"/>
            <w:vAlign w:val="center"/>
          </w:tcPr>
          <w:p>
            <w:pPr>
              <w:adjustRightInd w:val="0"/>
              <w:spacing w:after="60" w:afterLines="25" w:line="360" w:lineRule="exact"/>
              <w:jc w:val="center"/>
              <w:textAlignment w:val="baseline"/>
              <w:rPr>
                <w:rFonts w:hint="eastAsia" w:ascii="宋体" w:hAnsi="宋体"/>
                <w:szCs w:val="21"/>
              </w:rPr>
            </w:pPr>
            <w:r>
              <w:rPr>
                <w:rFonts w:hint="eastAsia" w:ascii="宋体" w:hAnsi="宋体"/>
                <w:szCs w:val="21"/>
              </w:rPr>
              <w:t>3</w:t>
            </w:r>
          </w:p>
        </w:tc>
        <w:tc>
          <w:tcPr>
            <w:tcW w:w="3540"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200W监控摄像机</w:t>
            </w:r>
          </w:p>
        </w:tc>
        <w:tc>
          <w:tcPr>
            <w:tcW w:w="1975"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4兆码流,录像保存30天</w:t>
            </w:r>
          </w:p>
        </w:tc>
        <w:tc>
          <w:tcPr>
            <w:tcW w:w="836"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262</w:t>
            </w:r>
          </w:p>
        </w:tc>
        <w:tc>
          <w:tcPr>
            <w:tcW w:w="2040" w:type="dxa"/>
            <w:vMerge w:val="continue"/>
            <w:noWrap w:val="0"/>
            <w:vAlign w:val="center"/>
          </w:tcPr>
          <w:p>
            <w:pPr>
              <w:adjustRightInd w:val="0"/>
              <w:spacing w:after="60" w:afterLines="25" w:line="360" w:lineRule="exact"/>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0" w:type="auto"/>
            <w:noWrap w:val="0"/>
            <w:vAlign w:val="center"/>
          </w:tcPr>
          <w:p>
            <w:pPr>
              <w:adjustRightInd w:val="0"/>
              <w:spacing w:after="60" w:afterLines="25" w:line="360" w:lineRule="exact"/>
              <w:jc w:val="center"/>
              <w:textAlignment w:val="baseline"/>
              <w:rPr>
                <w:rFonts w:hint="eastAsia" w:ascii="宋体" w:hAnsi="宋体"/>
                <w:szCs w:val="21"/>
              </w:rPr>
            </w:pPr>
            <w:r>
              <w:rPr>
                <w:rFonts w:hint="eastAsia" w:ascii="宋体" w:hAnsi="宋体"/>
                <w:szCs w:val="21"/>
              </w:rPr>
              <w:t>4</w:t>
            </w:r>
          </w:p>
        </w:tc>
        <w:tc>
          <w:tcPr>
            <w:tcW w:w="3540"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互联网采集设备</w:t>
            </w:r>
          </w:p>
        </w:tc>
        <w:tc>
          <w:tcPr>
            <w:tcW w:w="1975"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集数据保存1年</w:t>
            </w:r>
          </w:p>
        </w:tc>
        <w:tc>
          <w:tcPr>
            <w:tcW w:w="836" w:type="dxa"/>
            <w:noWrap w:val="0"/>
            <w:vAlign w:val="center"/>
          </w:tcPr>
          <w:p>
            <w:pPr>
              <w:adjustRightInd w:val="0"/>
              <w:spacing w:after="60" w:afterLines="25" w:line="360" w:lineRule="exact"/>
              <w:jc w:val="center"/>
              <w:textAlignment w:val="baseline"/>
              <w:rPr>
                <w:rFonts w:ascii="宋体" w:hAnsi="宋体"/>
                <w:szCs w:val="21"/>
              </w:rPr>
            </w:pPr>
            <w:r>
              <w:rPr>
                <w:rFonts w:hint="eastAsia" w:ascii="宋体" w:hAnsi="宋体"/>
                <w:szCs w:val="21"/>
              </w:rPr>
              <w:t>292</w:t>
            </w:r>
          </w:p>
        </w:tc>
        <w:tc>
          <w:tcPr>
            <w:tcW w:w="2040" w:type="dxa"/>
            <w:vMerge w:val="continue"/>
            <w:noWrap w:val="0"/>
            <w:vAlign w:val="center"/>
          </w:tcPr>
          <w:p>
            <w:pPr>
              <w:adjustRightInd w:val="0"/>
              <w:spacing w:after="60" w:afterLines="25" w:line="360" w:lineRule="exact"/>
              <w:jc w:val="center"/>
              <w:textAlignment w:val="baseline"/>
              <w:rPr>
                <w:rFonts w:ascii="宋体" w:hAnsi="宋体"/>
                <w:szCs w:val="21"/>
              </w:rPr>
            </w:pPr>
          </w:p>
        </w:tc>
      </w:tr>
    </w:tbl>
    <w:p>
      <w:pPr>
        <w:spacing w:before="120" w:beforeLines="50"/>
        <w:ind w:firstLine="420" w:firstLineChars="200"/>
        <w:rPr>
          <w:rFonts w:ascii="宋体" w:hAnsi="宋体" w:cs="宋体"/>
          <w:szCs w:val="21"/>
        </w:rPr>
      </w:pPr>
      <w:r>
        <w:rPr>
          <w:rFonts w:hint="eastAsia" w:ascii="宋体" w:hAnsi="宋体" w:cs="宋体"/>
          <w:szCs w:val="21"/>
        </w:rPr>
        <w:t>预算金额：人民币</w:t>
      </w:r>
      <w:r>
        <w:rPr>
          <w:rFonts w:ascii="宋体" w:hAnsi="宋体" w:cs="宋体"/>
          <w:szCs w:val="21"/>
        </w:rPr>
        <w:t>6664800</w:t>
      </w:r>
      <w:r>
        <w:rPr>
          <w:rFonts w:hint="eastAsia" w:ascii="宋体" w:hAnsi="宋体" w:cs="宋体"/>
          <w:szCs w:val="21"/>
        </w:rPr>
        <w:t>元/年，大写：陆佰陆拾陆万肆仟捌佰元整。</w:t>
      </w:r>
    </w:p>
    <w:p>
      <w:pPr>
        <w:snapToGrid w:val="0"/>
        <w:ind w:firstLine="422" w:firstLineChars="200"/>
        <w:rPr>
          <w:rFonts w:ascii="宋体" w:hAnsi="宋体" w:cs="Arial"/>
          <w:b/>
          <w:szCs w:val="21"/>
        </w:rPr>
      </w:pPr>
      <w:r>
        <w:rPr>
          <w:rFonts w:hint="eastAsia" w:ascii="宋体" w:hAnsi="宋体" w:cs="Arial"/>
          <w:b/>
          <w:szCs w:val="21"/>
        </w:rPr>
        <w:t>六、采购需求（概述）：</w:t>
      </w:r>
    </w:p>
    <w:p>
      <w:pPr>
        <w:ind w:firstLine="420" w:firstLineChars="200"/>
        <w:rPr>
          <w:rFonts w:ascii="宋体" w:hAnsi="宋体" w:cs="宋体"/>
          <w:szCs w:val="21"/>
        </w:rPr>
      </w:pPr>
      <w:r>
        <w:rPr>
          <w:rFonts w:hint="eastAsia" w:ascii="宋体" w:hAnsi="宋体" w:cs="宋体"/>
          <w:szCs w:val="21"/>
        </w:rPr>
        <w:t>根据嘉兴人民政府办公关于加快《关于加快推进“智安小区”建设全域覆盖的通知》和中共嘉兴市秀洲区政法委员会、嘉兴市公安局秀洲区分局、嘉兴市秀洲区住房和城乡建设局联合文件秀洲政法（</w:t>
      </w:r>
      <w:r>
        <w:rPr>
          <w:rFonts w:ascii="宋体" w:hAnsi="宋体" w:cs="宋体"/>
          <w:szCs w:val="21"/>
        </w:rPr>
        <w:t>2020</w:t>
      </w:r>
      <w:r>
        <w:rPr>
          <w:rFonts w:hint="eastAsia" w:ascii="宋体" w:hAnsi="宋体" w:cs="宋体"/>
          <w:szCs w:val="21"/>
        </w:rPr>
        <w:t>）</w:t>
      </w:r>
      <w:r>
        <w:rPr>
          <w:rFonts w:ascii="宋体" w:hAnsi="宋体" w:cs="宋体"/>
          <w:szCs w:val="21"/>
        </w:rPr>
        <w:t>11</w:t>
      </w:r>
      <w:r>
        <w:rPr>
          <w:rFonts w:hint="eastAsia" w:ascii="宋体" w:hAnsi="宋体" w:cs="宋体"/>
          <w:szCs w:val="21"/>
        </w:rPr>
        <w:t>号《关于全面推进“智安小区”建设的通知》要求；为进一步提升我区居民小区智慧安防水平，推进更高水平平安秀洲和美丽城镇建设，夯实区域治理现代化基础，经区委区政府同意，决定在去年工作基础上，在全区以3年购买服务方式全面推进“智安小区”建设。本次项目将积极引入市场竞争机制，本着公平公开公正的原则对供应商进行公开招投标。</w:t>
      </w:r>
    </w:p>
    <w:p>
      <w:pPr>
        <w:snapToGrid w:val="0"/>
        <w:ind w:firstLine="422" w:firstLineChars="200"/>
        <w:rPr>
          <w:rFonts w:ascii="宋体" w:hAnsi="宋体" w:cs="Arial"/>
          <w:b/>
          <w:szCs w:val="21"/>
        </w:rPr>
      </w:pPr>
      <w:r>
        <w:rPr>
          <w:rFonts w:hint="eastAsia" w:ascii="宋体" w:hAnsi="宋体" w:cs="Arial"/>
          <w:b/>
          <w:szCs w:val="21"/>
        </w:rPr>
        <w:t>七、合格供应商的资格要求</w:t>
      </w:r>
    </w:p>
    <w:p>
      <w:pPr>
        <w:ind w:firstLine="420" w:firstLineChars="200"/>
        <w:rPr>
          <w:rFonts w:ascii="宋体" w:hAnsi="宋体" w:cs="宋体"/>
          <w:szCs w:val="21"/>
        </w:rPr>
      </w:pPr>
      <w:r>
        <w:rPr>
          <w:rFonts w:hint="eastAsia" w:ascii="宋体" w:hAnsi="宋体" w:cs="宋体"/>
          <w:szCs w:val="21"/>
        </w:rPr>
        <w:t>1、符合《中华人民共和国政府采购法》第二十二条（1.具有独立承担民事责任的能力；2.具有良好的商业信誉和健全的财务会计制度；3.具有履行合同所必需的设备和专业技术能力；4</w:t>
      </w:r>
      <w:r>
        <w:rPr>
          <w:rFonts w:ascii="宋体" w:hAnsi="宋体" w:cs="宋体"/>
          <w:szCs w:val="21"/>
        </w:rPr>
        <w:t>.</w:t>
      </w:r>
      <w:r>
        <w:rPr>
          <w:rFonts w:hint="eastAsia" w:ascii="宋体" w:hAnsi="宋体" w:cs="宋体"/>
          <w:szCs w:val="21"/>
        </w:rPr>
        <w:t>有依法缴纳税收和社会保障资金的良好记录；5</w:t>
      </w:r>
      <w:r>
        <w:rPr>
          <w:rFonts w:ascii="宋体" w:hAnsi="宋体" w:cs="宋体"/>
          <w:szCs w:val="21"/>
        </w:rPr>
        <w:t>.</w:t>
      </w:r>
      <w:r>
        <w:rPr>
          <w:rFonts w:hint="eastAsia" w:ascii="宋体" w:hAnsi="宋体" w:cs="宋体"/>
          <w:szCs w:val="21"/>
        </w:rPr>
        <w:t>参加政府采购活动前三年，在经营活动中没有重大违法记录；6</w:t>
      </w:r>
      <w:r>
        <w:rPr>
          <w:rFonts w:ascii="宋体" w:hAnsi="宋体" w:cs="宋体"/>
          <w:szCs w:val="21"/>
        </w:rPr>
        <w:t>.</w:t>
      </w:r>
      <w:r>
        <w:rPr>
          <w:rFonts w:hint="eastAsia" w:ascii="宋体" w:hAnsi="宋体" w:cs="宋体"/>
          <w:szCs w:val="21"/>
        </w:rPr>
        <w:t>法律、行政法规规定的其他条件。）</w:t>
      </w:r>
    </w:p>
    <w:p>
      <w:pPr>
        <w:ind w:firstLine="420" w:firstLineChars="200"/>
        <w:rPr>
          <w:rFonts w:ascii="宋体" w:hAnsi="宋体" w:cs="宋体"/>
          <w:szCs w:val="21"/>
        </w:rPr>
      </w:pPr>
      <w:r>
        <w:rPr>
          <w:rFonts w:ascii="宋体" w:hAnsi="宋体" w:cs="宋体"/>
          <w:szCs w:val="21"/>
        </w:rPr>
        <w:t>2、</w:t>
      </w:r>
      <w:r>
        <w:rPr>
          <w:rFonts w:hint="eastAsia" w:ascii="宋体" w:hAnsi="宋体" w:cs="宋体"/>
          <w:szCs w:val="21"/>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提供自招标公告发布之日起至投标截止日内任意时间的“信用中国”网站（www.creditchina.gov.cn）、中国政府采购网（www.ccgp.gov.cn）供应商信用查询网页截图。）</w:t>
      </w:r>
    </w:p>
    <w:p>
      <w:pPr>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本项目不接受联合体投标</w:t>
      </w:r>
      <w:r>
        <w:rPr>
          <w:rFonts w:hint="eastAsia" w:ascii="宋体" w:hAnsi="宋体" w:cs="宋体"/>
          <w:szCs w:val="21"/>
        </w:rPr>
        <w:t>。</w:t>
      </w:r>
    </w:p>
    <w:p>
      <w:pPr>
        <w:ind w:firstLine="420" w:firstLineChars="200"/>
        <w:jc w:val="left"/>
        <w:rPr>
          <w:rFonts w:ascii="宋体" w:hAnsi="宋体" w:cs="宋体"/>
          <w:szCs w:val="21"/>
        </w:rPr>
      </w:pPr>
      <w:r>
        <w:rPr>
          <w:rFonts w:hint="eastAsia" w:ascii="宋体" w:hAnsi="宋体" w:cs="宋体"/>
          <w:szCs w:val="21"/>
        </w:rPr>
        <w:t>注：本采购项目，中标单位与采购单位签订的政府采购合同适用于嘉兴市政府采购贷款政策，简称“政采贷”，具体内容可参阅政府采购贷款流程：</w:t>
      </w:r>
      <w:r>
        <w:rPr>
          <w:rFonts w:ascii="宋体" w:hAnsi="宋体" w:cs="宋体"/>
          <w:szCs w:val="21"/>
        </w:rPr>
        <w:fldChar w:fldCharType="begin"/>
      </w:r>
      <w:r>
        <w:rPr>
          <w:rFonts w:ascii="宋体" w:hAnsi="宋体" w:cs="宋体"/>
          <w:szCs w:val="21"/>
        </w:rPr>
        <w:instrText xml:space="preserve"> HYPERLINK "http://www.jxzbtb.cn/zxfw/005012/20181016/7e541bf4-ad29-4286-ace8-d12c1b2c54fc.html" </w:instrText>
      </w:r>
      <w:r>
        <w:rPr>
          <w:rFonts w:ascii="宋体" w:hAnsi="宋体" w:cs="宋体"/>
          <w:szCs w:val="21"/>
        </w:rPr>
        <w:fldChar w:fldCharType="separate"/>
      </w:r>
      <w:r>
        <w:rPr>
          <w:rFonts w:ascii="宋体" w:hAnsi="宋体" w:cs="宋体"/>
          <w:szCs w:val="21"/>
        </w:rPr>
        <w:t>http://www.jxzbtb.cn/zxfw/005012/20181016/7e541bf4-ad29-4286-ace8-d12c1b2c54fc.html</w:t>
      </w:r>
      <w:r>
        <w:rPr>
          <w:rFonts w:ascii="宋体" w:hAnsi="宋体" w:cs="宋体"/>
          <w:szCs w:val="21"/>
        </w:rPr>
        <w:fldChar w:fldCharType="end"/>
      </w:r>
      <w:r>
        <w:rPr>
          <w:rFonts w:hint="eastAsia" w:ascii="宋体" w:hAnsi="宋体" w:cs="宋体"/>
          <w:szCs w:val="21"/>
        </w:rPr>
        <w:t>。</w:t>
      </w:r>
    </w:p>
    <w:p>
      <w:pPr>
        <w:ind w:firstLine="422" w:firstLineChars="200"/>
        <w:rPr>
          <w:rFonts w:ascii="宋体" w:hAnsi="宋体" w:cs="宋体"/>
          <w:b/>
          <w:bCs/>
          <w:szCs w:val="21"/>
        </w:rPr>
      </w:pPr>
      <w:r>
        <w:rPr>
          <w:rFonts w:hint="eastAsia" w:ascii="宋体" w:hAnsi="宋体" w:cs="宋体"/>
          <w:b/>
          <w:bCs/>
          <w:szCs w:val="21"/>
        </w:rPr>
        <w:t>八、公告期限：自公告发布之日起5个工作日</w:t>
      </w:r>
    </w:p>
    <w:p>
      <w:pPr>
        <w:ind w:firstLine="422" w:firstLineChars="200"/>
        <w:rPr>
          <w:rFonts w:ascii="宋体" w:hAnsi="宋体" w:cs="宋体"/>
          <w:b/>
          <w:bCs/>
          <w:szCs w:val="21"/>
        </w:rPr>
      </w:pPr>
      <w:r>
        <w:rPr>
          <w:rFonts w:hint="eastAsia" w:ascii="宋体" w:hAnsi="宋体" w:cs="宋体"/>
          <w:b/>
          <w:bCs/>
          <w:szCs w:val="21"/>
        </w:rPr>
        <w:t>九、投标说明：</w:t>
      </w:r>
    </w:p>
    <w:p>
      <w:pPr>
        <w:ind w:firstLine="420" w:firstLineChars="200"/>
        <w:rPr>
          <w:rFonts w:ascii="宋体" w:hAnsi="宋体"/>
        </w:rPr>
      </w:pPr>
      <w:r>
        <w:rPr>
          <w:rFonts w:hint="eastAsia" w:ascii="宋体" w:hAnsi="宋体"/>
        </w:rPr>
        <w:t>1、本项目按照《浙江省财政厅关于印发浙江省政府采购项目电子交易管理暂行办法的通知》实行电子交易。</w:t>
      </w:r>
    </w:p>
    <w:p>
      <w:pPr>
        <w:ind w:firstLine="422" w:firstLineChars="200"/>
        <w:rPr>
          <w:rFonts w:ascii="宋体" w:hAnsi="宋体" w:cs="宋体"/>
          <w:b/>
          <w:bCs/>
          <w:szCs w:val="21"/>
        </w:rPr>
      </w:pPr>
      <w:r>
        <w:rPr>
          <w:rFonts w:ascii="宋体" w:hAnsi="宋体" w:cs="宋体"/>
          <w:b/>
          <w:bCs/>
          <w:szCs w:val="21"/>
        </w:rPr>
        <w:t>2</w:t>
      </w:r>
      <w:r>
        <w:rPr>
          <w:rFonts w:hint="eastAsia" w:ascii="宋体" w:hAnsi="宋体" w:cs="宋体"/>
          <w:b/>
          <w:bCs/>
          <w:szCs w:val="21"/>
        </w:rPr>
        <w:t>、供应商注册</w:t>
      </w:r>
    </w:p>
    <w:p>
      <w:pPr>
        <w:ind w:firstLine="420" w:firstLineChars="200"/>
        <w:rPr>
          <w:rFonts w:ascii="宋体" w:hAnsi="宋体" w:cs="宋体"/>
          <w:kern w:val="0"/>
          <w:szCs w:val="21"/>
        </w:rPr>
      </w:pPr>
      <w:r>
        <w:rPr>
          <w:rFonts w:hint="eastAsia" w:ascii="宋体" w:hAnsi="宋体" w:cs="宋体"/>
          <w:kern w:val="0"/>
          <w:szCs w:val="21"/>
        </w:rPr>
        <w:t>2.1注册网址：</w:t>
      </w:r>
    </w:p>
    <w:p>
      <w:pPr>
        <w:ind w:firstLine="420" w:firstLineChars="200"/>
        <w:rPr>
          <w:rFonts w:ascii="宋体" w:hAnsi="宋体" w:cs="宋体"/>
          <w:kern w:val="0"/>
          <w:szCs w:val="21"/>
        </w:rPr>
      </w:pPr>
      <w:r>
        <w:rPr>
          <w:rFonts w:hint="eastAsia" w:ascii="宋体" w:hAnsi="宋体" w:cs="宋体"/>
          <w:kern w:val="0"/>
          <w:szCs w:val="21"/>
        </w:rPr>
        <w:t>浙江政府采购网：</w:t>
      </w:r>
      <w:r>
        <w:fldChar w:fldCharType="begin"/>
      </w:r>
      <w:r>
        <w:instrText xml:space="preserve"> HYPERLINK "https://middle.zcygov.cn/settle-front/" \l "/registry" </w:instrText>
      </w:r>
      <w:r>
        <w:fldChar w:fldCharType="separate"/>
      </w:r>
      <w:r>
        <w:rPr>
          <w:rFonts w:hint="eastAsia" w:ascii="宋体" w:hAnsi="宋体" w:cs="宋体"/>
          <w:kern w:val="0"/>
          <w:szCs w:val="21"/>
        </w:rPr>
        <w:t>https://middle.zcygov.cn/settle-front/#/registry</w:t>
      </w:r>
      <w:r>
        <w:rPr>
          <w:rFonts w:ascii="宋体" w:hAnsi="宋体" w:cs="宋体"/>
          <w:kern w:val="0"/>
          <w:szCs w:val="21"/>
        </w:rPr>
        <w:fldChar w:fldCharType="end"/>
      </w:r>
    </w:p>
    <w:p>
      <w:pPr>
        <w:ind w:firstLine="411" w:firstLineChars="196"/>
        <w:rPr>
          <w:rFonts w:ascii="宋体" w:hAnsi="宋体" w:cs="宋体"/>
          <w:bCs/>
          <w:kern w:val="0"/>
          <w:sz w:val="24"/>
          <w:szCs w:val="24"/>
        </w:rPr>
      </w:pPr>
      <w:r>
        <w:rPr>
          <w:rFonts w:hint="eastAsia" w:ascii="宋体" w:hAnsi="宋体" w:cs="宋体"/>
          <w:bCs/>
          <w:kern w:val="0"/>
          <w:szCs w:val="21"/>
        </w:rPr>
        <w:t>2.2供应商按照《浙江省政府采购供应商注册和诚信管理暂行办法》要求执行。</w:t>
      </w:r>
    </w:p>
    <w:p>
      <w:pPr>
        <w:ind w:firstLine="422" w:firstLineChars="200"/>
        <w:rPr>
          <w:rFonts w:ascii="宋体" w:hAnsi="宋体" w:cs="宋体"/>
          <w:b/>
          <w:bCs/>
          <w:szCs w:val="21"/>
        </w:rPr>
      </w:pPr>
      <w:r>
        <w:rPr>
          <w:rFonts w:ascii="宋体" w:hAnsi="宋体" w:cs="宋体"/>
          <w:b/>
          <w:bCs/>
          <w:szCs w:val="21"/>
        </w:rPr>
        <w:t>3、</w:t>
      </w:r>
      <w:r>
        <w:rPr>
          <w:rFonts w:hint="eastAsia" w:ascii="宋体" w:hAnsi="宋体" w:cs="宋体"/>
          <w:b/>
          <w:bCs/>
          <w:szCs w:val="21"/>
        </w:rPr>
        <w:t>获取招标文件（报名）：</w:t>
      </w:r>
    </w:p>
    <w:p>
      <w:pPr>
        <w:ind w:firstLine="420" w:firstLineChars="200"/>
        <w:rPr>
          <w:rFonts w:ascii="宋体" w:hAnsi="宋体" w:cs="宋体"/>
          <w:bCs/>
          <w:szCs w:val="21"/>
        </w:rPr>
      </w:pPr>
      <w:r>
        <w:rPr>
          <w:rFonts w:ascii="宋体" w:hAnsi="宋体" w:cs="宋体"/>
          <w:bCs/>
          <w:szCs w:val="21"/>
        </w:rPr>
        <w:t>3</w:t>
      </w:r>
      <w:r>
        <w:rPr>
          <w:rFonts w:hint="eastAsia" w:ascii="宋体" w:hAnsi="宋体" w:cs="宋体"/>
          <w:bCs/>
          <w:szCs w:val="21"/>
        </w:rPr>
        <w:t>.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pPr>
        <w:ind w:firstLine="420" w:firstLineChars="200"/>
        <w:rPr>
          <w:rFonts w:ascii="宋体" w:hAnsi="宋体" w:cs="宋体"/>
          <w:bCs/>
          <w:szCs w:val="21"/>
        </w:rPr>
      </w:pPr>
      <w:r>
        <w:rPr>
          <w:rFonts w:ascii="宋体" w:hAnsi="宋体" w:cs="宋体"/>
          <w:bCs/>
          <w:szCs w:val="21"/>
        </w:rPr>
        <w:t>3</w:t>
      </w:r>
      <w:r>
        <w:rPr>
          <w:rFonts w:hint="eastAsia" w:ascii="宋体" w:hAnsi="宋体" w:cs="宋体"/>
          <w:bCs/>
          <w:szCs w:val="21"/>
        </w:rPr>
        <w:t>.2获取网址：浙江政府采购网</w:t>
      </w:r>
      <w:r>
        <w:fldChar w:fldCharType="begin"/>
      </w:r>
      <w:r>
        <w:instrText xml:space="preserve"> HYPERLINK "https://login.zcygov.cn/login" \t "_blank" </w:instrText>
      </w:r>
      <w:r>
        <w:fldChar w:fldCharType="separate"/>
      </w:r>
      <w:r>
        <w:rPr>
          <w:rFonts w:hint="eastAsia" w:ascii="宋体" w:hAnsi="宋体" w:cs="宋体"/>
          <w:bCs/>
          <w:szCs w:val="21"/>
        </w:rPr>
        <w:t>https://login.zcygov.cn/login</w:t>
      </w:r>
      <w:r>
        <w:rPr>
          <w:rFonts w:ascii="宋体" w:hAnsi="宋体" w:cs="宋体"/>
          <w:bCs/>
          <w:szCs w:val="21"/>
        </w:rPr>
        <w:fldChar w:fldCharType="end"/>
      </w:r>
    </w:p>
    <w:p>
      <w:pPr>
        <w:ind w:firstLine="420" w:firstLineChars="200"/>
        <w:rPr>
          <w:rFonts w:ascii="宋体" w:hAnsi="宋体" w:cs="宋体"/>
          <w:bCs/>
          <w:szCs w:val="21"/>
        </w:rPr>
      </w:pPr>
      <w:r>
        <w:rPr>
          <w:rFonts w:ascii="宋体" w:hAnsi="宋体" w:cs="宋体"/>
          <w:bCs/>
          <w:szCs w:val="21"/>
        </w:rPr>
        <w:t>3</w:t>
      </w:r>
      <w:r>
        <w:rPr>
          <w:rFonts w:hint="eastAsia" w:ascii="宋体" w:hAnsi="宋体" w:cs="宋体"/>
          <w:bCs/>
          <w:szCs w:val="21"/>
        </w:rPr>
        <w:t>.3获取时间：</w:t>
      </w:r>
      <w:r>
        <w:rPr>
          <w:rFonts w:hint="eastAsia" w:ascii="宋体" w:hAnsi="宋体" w:cs="宋体"/>
          <w:b/>
          <w:bCs/>
          <w:szCs w:val="21"/>
        </w:rPr>
        <w:t>2020年09月05日至2020年09月25日14时30分</w:t>
      </w:r>
    </w:p>
    <w:p>
      <w:pPr>
        <w:ind w:firstLine="420" w:firstLineChars="200"/>
        <w:rPr>
          <w:rFonts w:ascii="宋体" w:hAnsi="宋体" w:cs="宋体"/>
          <w:bCs/>
          <w:szCs w:val="21"/>
        </w:rPr>
      </w:pPr>
      <w:r>
        <w:rPr>
          <w:rFonts w:hint="eastAsia" w:ascii="宋体" w:hAnsi="宋体" w:cs="宋体"/>
          <w:bCs/>
          <w:szCs w:val="21"/>
        </w:rPr>
        <w:t>在上述时间内供应商均可获取招标文件。</w:t>
      </w:r>
    </w:p>
    <w:p>
      <w:pPr>
        <w:ind w:firstLine="422" w:firstLineChars="200"/>
        <w:rPr>
          <w:rFonts w:ascii="宋体" w:hAnsi="宋体" w:cs="宋体"/>
          <w:b/>
          <w:bCs/>
          <w:szCs w:val="21"/>
        </w:rPr>
      </w:pPr>
      <w:r>
        <w:rPr>
          <w:rFonts w:ascii="宋体" w:hAnsi="宋体" w:cs="宋体"/>
          <w:b/>
          <w:bCs/>
          <w:szCs w:val="21"/>
        </w:rPr>
        <w:t>4</w:t>
      </w:r>
      <w:r>
        <w:rPr>
          <w:rFonts w:hint="eastAsia" w:ascii="宋体" w:hAnsi="宋体" w:cs="宋体"/>
          <w:b/>
          <w:bCs/>
          <w:szCs w:val="21"/>
        </w:rPr>
        <w:t>、投标文件</w:t>
      </w:r>
      <w:r>
        <w:rPr>
          <w:rFonts w:ascii="宋体" w:hAnsi="宋体" w:cs="宋体"/>
          <w:b/>
          <w:bCs/>
          <w:szCs w:val="21"/>
        </w:rPr>
        <w:t>制作</w:t>
      </w:r>
      <w:r>
        <w:rPr>
          <w:rFonts w:hint="eastAsia" w:ascii="宋体" w:hAnsi="宋体" w:cs="宋体"/>
          <w:b/>
          <w:bCs/>
          <w:szCs w:val="21"/>
        </w:rPr>
        <w:t>注意事项</w:t>
      </w:r>
    </w:p>
    <w:p>
      <w:pPr>
        <w:ind w:firstLine="420" w:firstLineChars="200"/>
        <w:rPr>
          <w:rFonts w:ascii="宋体" w:hAnsi="宋体" w:cs="宋体"/>
          <w:bCs/>
          <w:szCs w:val="21"/>
        </w:rPr>
      </w:pPr>
      <w:r>
        <w:rPr>
          <w:rFonts w:hint="eastAsia" w:ascii="宋体" w:hAnsi="宋体" w:cs="宋体"/>
          <w:bCs/>
          <w:szCs w:val="21"/>
        </w:rPr>
        <w:t>4.1供应商将政采云电子交易客户端下载、安装完成后，可通过账号密码或CA登录客户端进行投标文件制作。</w:t>
      </w:r>
    </w:p>
    <w:p>
      <w:pPr>
        <w:ind w:firstLine="420" w:firstLineChars="200"/>
        <w:rPr>
          <w:rFonts w:ascii="宋体" w:hAnsi="宋体" w:cs="宋体"/>
          <w:bCs/>
          <w:szCs w:val="21"/>
        </w:rPr>
      </w:pPr>
      <w:r>
        <w:rPr>
          <w:rFonts w:hint="eastAsia" w:ascii="宋体" w:hAnsi="宋体" w:cs="宋体"/>
          <w:bCs/>
          <w:szCs w:val="21"/>
        </w:rPr>
        <w:t>注：供应商先要申领CA，拿到CA后需要在政采云平台进行绑定，CA相关操作可参考《CA申领操作指南》和《CA管理操作指南》。完成CA数字证书办理在资料齐全的情况下预计7个工作日左右，建议供应商获取招标文件后立即办理。</w:t>
      </w:r>
    </w:p>
    <w:p>
      <w:pPr>
        <w:ind w:firstLine="420" w:firstLineChars="200"/>
        <w:rPr>
          <w:rFonts w:ascii="宋体" w:hAnsi="宋体" w:cs="宋体"/>
          <w:bCs/>
          <w:szCs w:val="21"/>
        </w:rPr>
      </w:pPr>
      <w:r>
        <w:rPr>
          <w:rFonts w:hint="eastAsia" w:ascii="宋体" w:hAnsi="宋体" w:cs="宋体"/>
          <w:bCs/>
          <w:szCs w:val="21"/>
        </w:rPr>
        <w:t>4.2电子交易操作指南：</w:t>
      </w:r>
      <w:r>
        <w:fldChar w:fldCharType="begin"/>
      </w:r>
      <w:r>
        <w:instrText xml:space="preserve"> HYPERLINK "https://help.zcygov.cn/web/site_2/2018/12-28/2573.html" \t "_blank" </w:instrText>
      </w:r>
      <w:r>
        <w:fldChar w:fldCharType="separate"/>
      </w:r>
      <w:r>
        <w:rPr>
          <w:rFonts w:hint="eastAsia" w:ascii="宋体" w:hAnsi="宋体" w:cs="宋体"/>
          <w:bCs/>
          <w:szCs w:val="21"/>
        </w:rPr>
        <w:t>https://help.zcygov.cn/web/site_2/2018/12-28/2573.html</w:t>
      </w:r>
      <w:r>
        <w:rPr>
          <w:rFonts w:ascii="宋体" w:hAnsi="宋体" w:cs="宋体"/>
          <w:bCs/>
          <w:szCs w:val="21"/>
        </w:rPr>
        <w:fldChar w:fldCharType="end"/>
      </w:r>
    </w:p>
    <w:p>
      <w:pPr>
        <w:ind w:firstLine="420" w:firstLineChars="200"/>
        <w:rPr>
          <w:rFonts w:ascii="宋体" w:hAnsi="宋体" w:cs="宋体"/>
          <w:bCs/>
          <w:szCs w:val="21"/>
        </w:rPr>
      </w:pPr>
      <w:r>
        <w:rPr>
          <w:rFonts w:hint="eastAsia" w:ascii="宋体" w:hAnsi="宋体" w:cs="宋体"/>
          <w:bCs/>
          <w:szCs w:val="21"/>
        </w:rPr>
        <w:t>《CA申领操作指南》：</w:t>
      </w:r>
      <w:r>
        <w:fldChar w:fldCharType="begin"/>
      </w:r>
      <w:r>
        <w:instrText xml:space="preserve"> HYPERLINK "https://help.zcygov.cn/web/site_2/2018/11-29/2452.html" \t "_blank" </w:instrText>
      </w:r>
      <w:r>
        <w:fldChar w:fldCharType="separate"/>
      </w:r>
      <w:r>
        <w:rPr>
          <w:rFonts w:hint="eastAsia" w:ascii="宋体" w:hAnsi="宋体" w:cs="宋体"/>
          <w:bCs/>
          <w:szCs w:val="21"/>
        </w:rPr>
        <w:t>https://help.zcygov.cn/web/site_2/2018/11-29/2452.html</w:t>
      </w:r>
      <w:r>
        <w:rPr>
          <w:rFonts w:ascii="宋体" w:hAnsi="宋体" w:cs="宋体"/>
          <w:bCs/>
          <w:szCs w:val="21"/>
        </w:rPr>
        <w:fldChar w:fldCharType="end"/>
      </w:r>
    </w:p>
    <w:p>
      <w:pPr>
        <w:ind w:firstLine="420" w:firstLineChars="200"/>
        <w:rPr>
          <w:rFonts w:ascii="宋体" w:hAnsi="宋体" w:cs="宋体"/>
          <w:bCs/>
          <w:szCs w:val="21"/>
        </w:rPr>
      </w:pPr>
      <w:r>
        <w:rPr>
          <w:rFonts w:hint="eastAsia" w:ascii="宋体" w:hAnsi="宋体" w:cs="宋体"/>
          <w:bCs/>
          <w:szCs w:val="21"/>
        </w:rPr>
        <w:t>《CA管理操作指南》：</w:t>
      </w:r>
      <w:r>
        <w:fldChar w:fldCharType="begin"/>
      </w:r>
      <w:r>
        <w:instrText xml:space="preserve"> HYPERLINK "https://help.zcygov.cn/web/site_2/2019/08-20/3405.html" \t "_blank" </w:instrText>
      </w:r>
      <w:r>
        <w:fldChar w:fldCharType="separate"/>
      </w:r>
      <w:r>
        <w:rPr>
          <w:rFonts w:hint="eastAsia" w:ascii="宋体" w:hAnsi="宋体" w:cs="宋体"/>
          <w:bCs/>
          <w:szCs w:val="21"/>
        </w:rPr>
        <w:t>https://help.zcygov.cn/web/site_2/2019/08-20/3405.html</w:t>
      </w:r>
      <w:r>
        <w:rPr>
          <w:rFonts w:ascii="宋体" w:hAnsi="宋体" w:cs="宋体"/>
          <w:bCs/>
          <w:szCs w:val="21"/>
        </w:rPr>
        <w:fldChar w:fldCharType="end"/>
      </w:r>
    </w:p>
    <w:p>
      <w:pPr>
        <w:ind w:firstLine="420" w:firstLineChars="200"/>
        <w:rPr>
          <w:rFonts w:ascii="宋体" w:hAnsi="宋体" w:cs="宋体"/>
          <w:bCs/>
          <w:szCs w:val="21"/>
        </w:rPr>
      </w:pPr>
      <w:r>
        <w:rPr>
          <w:rFonts w:hint="eastAsia" w:ascii="宋体" w:hAnsi="宋体" w:cs="宋体"/>
          <w:bCs/>
          <w:szCs w:val="21"/>
        </w:rPr>
        <w:t>《CA驱动和申领流程》</w:t>
      </w:r>
      <w:r>
        <w:fldChar w:fldCharType="begin"/>
      </w:r>
      <w:r>
        <w:instrText xml:space="preserve"> HYPERLINK "http://www.zjzfcg.gov.cn/bidClientTemplate/2019-05-27/12945.html" \t "_blank" </w:instrText>
      </w:r>
      <w:r>
        <w:fldChar w:fldCharType="separate"/>
      </w:r>
      <w:r>
        <w:rPr>
          <w:rFonts w:hint="eastAsia" w:ascii="宋体" w:hAnsi="宋体" w:cs="宋体"/>
          <w:bCs/>
          <w:szCs w:val="21"/>
        </w:rPr>
        <w:t>http://www.zjzfcg.gov.cn/bidClientTemplate/2019-05-27/12945.html</w:t>
      </w:r>
      <w:r>
        <w:rPr>
          <w:rFonts w:ascii="宋体" w:hAnsi="宋体" w:cs="宋体"/>
          <w:bCs/>
          <w:szCs w:val="21"/>
        </w:rPr>
        <w:fldChar w:fldCharType="end"/>
      </w:r>
    </w:p>
    <w:p>
      <w:pPr>
        <w:ind w:firstLine="420" w:firstLineChars="200"/>
        <w:rPr>
          <w:rFonts w:ascii="宋体" w:hAnsi="宋体" w:cs="宋体"/>
          <w:bCs/>
          <w:szCs w:val="21"/>
        </w:rPr>
      </w:pPr>
      <w:r>
        <w:rPr>
          <w:rFonts w:hint="eastAsia" w:ascii="宋体" w:hAnsi="宋体" w:cs="宋体"/>
          <w:bCs/>
          <w:szCs w:val="21"/>
        </w:rPr>
        <w:t>注：CA证书遗失补办、延期、解锁、质保等业务可以在联连客户端上进行操作；使用政采云投标客户端时，建议使用WIN7及以上操作系统。</w:t>
      </w:r>
    </w:p>
    <w:p>
      <w:pPr>
        <w:ind w:firstLine="420" w:firstLineChars="200"/>
        <w:rPr>
          <w:rFonts w:ascii="宋体" w:hAnsi="宋体" w:cs="宋体"/>
          <w:bCs/>
          <w:szCs w:val="21"/>
        </w:rPr>
      </w:pPr>
      <w:r>
        <w:rPr>
          <w:rFonts w:hint="eastAsia" w:ascii="宋体" w:hAnsi="宋体" w:cs="宋体"/>
          <w:bCs/>
          <w:szCs w:val="21"/>
        </w:rPr>
        <w:t>浙江省“项目采购电子交易系统/不见面开评标”学习专题：</w:t>
      </w:r>
    </w:p>
    <w:p>
      <w:pPr>
        <w:ind w:firstLine="420" w:firstLineChars="200"/>
        <w:rPr>
          <w:rFonts w:ascii="宋体" w:hAnsi="宋体" w:cs="宋体"/>
          <w:bCs/>
          <w:szCs w:val="21"/>
        </w:rPr>
      </w:pPr>
      <w:r>
        <w:fldChar w:fldCharType="begin"/>
      </w:r>
      <w:r>
        <w:instrText xml:space="preserve"> HYPERLINK "https://edu.zcygov.cn/luban/e-biding" </w:instrText>
      </w:r>
      <w:r>
        <w:fldChar w:fldCharType="separate"/>
      </w:r>
      <w:r>
        <w:rPr>
          <w:rStyle w:val="53"/>
          <w:rFonts w:hint="eastAsia" w:ascii="宋体" w:hAnsi="宋体" w:cs="宋体"/>
          <w:bCs/>
          <w:szCs w:val="21"/>
        </w:rPr>
        <w:t>https://edu.zcygov.cn/luban/e-biding</w:t>
      </w:r>
      <w:r>
        <w:rPr>
          <w:rFonts w:ascii="宋体" w:hAnsi="宋体" w:cs="宋体"/>
          <w:bCs/>
          <w:szCs w:val="21"/>
        </w:rPr>
        <w:fldChar w:fldCharType="end"/>
      </w:r>
    </w:p>
    <w:p>
      <w:pPr>
        <w:ind w:firstLine="422" w:firstLineChars="200"/>
        <w:rPr>
          <w:rFonts w:ascii="宋体" w:hAnsi="宋体" w:cs="宋体"/>
          <w:b/>
          <w:bCs/>
          <w:szCs w:val="21"/>
        </w:rPr>
      </w:pPr>
      <w:r>
        <w:rPr>
          <w:rFonts w:hint="eastAsia" w:ascii="宋体" w:hAnsi="宋体" w:cs="宋体"/>
          <w:b/>
          <w:bCs/>
          <w:szCs w:val="21"/>
        </w:rPr>
        <w:t>5、政采云咨询电话：400-881-7190；</w:t>
      </w:r>
    </w:p>
    <w:p>
      <w:pPr>
        <w:ind w:firstLine="420" w:firstLineChars="200"/>
        <w:rPr>
          <w:rFonts w:ascii="宋体" w:hAnsi="宋体" w:cs="宋体"/>
          <w:bCs/>
          <w:szCs w:val="21"/>
        </w:rPr>
      </w:pPr>
      <w:r>
        <w:rPr>
          <w:rFonts w:hint="eastAsia" w:ascii="宋体" w:hAnsi="宋体" w:cs="宋体"/>
          <w:bCs/>
          <w:szCs w:val="21"/>
        </w:rPr>
        <w:t>政采云平台服务中心：</w:t>
      </w:r>
      <w:r>
        <w:fldChar w:fldCharType="begin"/>
      </w:r>
      <w:r>
        <w:instrText xml:space="preserve"> HYPERLINK "https://service.zcygov.cn/" \l "/" \t "_blank" </w:instrText>
      </w:r>
      <w:r>
        <w:fldChar w:fldCharType="separate"/>
      </w:r>
      <w:r>
        <w:rPr>
          <w:rFonts w:hint="eastAsia" w:ascii="宋体" w:hAnsi="宋体" w:cs="宋体"/>
          <w:bCs/>
          <w:szCs w:val="21"/>
        </w:rPr>
        <w:t>https://service.zcygov.cn/#/</w:t>
      </w:r>
      <w:r>
        <w:rPr>
          <w:rFonts w:ascii="宋体" w:hAnsi="宋体" w:cs="宋体"/>
          <w:bCs/>
          <w:szCs w:val="21"/>
        </w:rPr>
        <w:fldChar w:fldCharType="end"/>
      </w:r>
    </w:p>
    <w:p>
      <w:pPr>
        <w:ind w:firstLine="422" w:firstLineChars="200"/>
        <w:rPr>
          <w:rFonts w:ascii="宋体" w:hAnsi="宋体" w:cs="宋体"/>
          <w:b/>
          <w:szCs w:val="21"/>
          <w:shd w:val="clear" w:color="auto" w:fill="FFFFFF"/>
        </w:rPr>
      </w:pPr>
      <w:r>
        <w:rPr>
          <w:rFonts w:hint="eastAsia" w:ascii="宋体" w:hAnsi="宋体" w:cs="宋体"/>
          <w:b/>
          <w:bCs/>
          <w:szCs w:val="21"/>
        </w:rPr>
        <w:t xml:space="preserve">6、汇信（CA）客服电话：400-888-4636 </w:t>
      </w:r>
    </w:p>
    <w:p>
      <w:pPr>
        <w:ind w:firstLine="422" w:firstLineChars="200"/>
        <w:rPr>
          <w:rFonts w:ascii="宋体" w:hAnsi="宋体" w:cs="宋体"/>
          <w:b/>
          <w:bCs/>
          <w:szCs w:val="21"/>
        </w:rPr>
      </w:pPr>
      <w:r>
        <w:rPr>
          <w:rFonts w:hint="eastAsia" w:ascii="宋体" w:hAnsi="宋体" w:cs="宋体"/>
          <w:b/>
          <w:bCs/>
          <w:szCs w:val="21"/>
        </w:rPr>
        <w:t>十、投标截止时间及提交注意事项</w:t>
      </w:r>
    </w:p>
    <w:p>
      <w:pPr>
        <w:snapToGrid w:val="0"/>
        <w:ind w:firstLine="420" w:firstLineChars="200"/>
        <w:rPr>
          <w:rFonts w:ascii="宋体" w:hAnsi="宋体" w:cs="Arial"/>
          <w:szCs w:val="21"/>
        </w:rPr>
      </w:pPr>
      <w:r>
        <w:rPr>
          <w:rFonts w:hint="eastAsia" w:ascii="宋体" w:hAnsi="宋体" w:cs="Arial"/>
          <w:szCs w:val="21"/>
        </w:rPr>
        <w:t>1、投标截止时间：</w:t>
      </w:r>
      <w:r>
        <w:rPr>
          <w:rFonts w:hint="eastAsia" w:ascii="宋体" w:hAnsi="宋体" w:cs="Arial"/>
          <w:b/>
          <w:szCs w:val="21"/>
        </w:rPr>
        <w:t>2020年09月25日14时30分</w:t>
      </w:r>
    </w:p>
    <w:p>
      <w:pPr>
        <w:snapToGrid w:val="0"/>
        <w:ind w:firstLine="420" w:firstLineChars="200"/>
        <w:rPr>
          <w:rFonts w:ascii="宋体" w:hAnsi="宋体" w:cs="Arial"/>
          <w:szCs w:val="21"/>
        </w:rPr>
      </w:pPr>
      <w:r>
        <w:rPr>
          <w:rFonts w:hint="eastAsia" w:ascii="宋体" w:hAnsi="宋体" w:cs="Arial"/>
          <w:szCs w:val="21"/>
        </w:rPr>
        <w:t>2、投标文件提交注意事项</w:t>
      </w:r>
    </w:p>
    <w:p>
      <w:pPr>
        <w:snapToGrid w:val="0"/>
        <w:ind w:firstLine="420" w:firstLineChars="200"/>
        <w:rPr>
          <w:rFonts w:ascii="宋体" w:hAnsi="宋体" w:cs="Arial"/>
          <w:szCs w:val="21"/>
        </w:rPr>
      </w:pPr>
      <w:r>
        <w:rPr>
          <w:rFonts w:hint="eastAsia" w:ascii="宋体" w:hAnsi="宋体" w:cs="Arial"/>
          <w:szCs w:val="21"/>
        </w:rPr>
        <w:t>2.1供应商进行电子投标应安装客户端软件，并按照招标文件和电子交易平台的要求编制并加密投标文件。供应商未按规定加密的投标文件，代理机构应当拒收。</w:t>
      </w:r>
    </w:p>
    <w:p>
      <w:pPr>
        <w:snapToGrid w:val="0"/>
        <w:ind w:firstLine="420" w:firstLineChars="200"/>
        <w:rPr>
          <w:rFonts w:ascii="宋体" w:hAnsi="宋体" w:cs="Arial"/>
          <w:szCs w:val="21"/>
        </w:rPr>
      </w:pPr>
      <w:r>
        <w:rPr>
          <w:rFonts w:hint="eastAsia" w:ascii="宋体" w:hAnsi="宋体" w:cs="Arial"/>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snapToGrid w:val="0"/>
        <w:ind w:firstLine="420" w:firstLineChars="200"/>
        <w:rPr>
          <w:rFonts w:ascii="宋体" w:hAnsi="宋体" w:cs="Arial"/>
          <w:szCs w:val="21"/>
        </w:rPr>
      </w:pPr>
      <w:r>
        <w:rPr>
          <w:rFonts w:hint="eastAsia" w:ascii="宋体" w:hAnsi="宋体" w:cs="Arial"/>
          <w:szCs w:val="21"/>
        </w:rPr>
        <w:t>2.3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ascii="宋体" w:hAnsi="宋体" w:cs="Arial"/>
          <w:szCs w:val="21"/>
          <w:u w:val="single"/>
        </w:rPr>
        <w:t xml:space="preserve"> </w:t>
      </w:r>
      <w:r>
        <w:rPr>
          <w:rFonts w:hint="eastAsia" w:ascii="宋体" w:hAnsi="宋体"/>
          <w:bCs/>
          <w:szCs w:val="21"/>
          <w:u w:val="single"/>
        </w:rPr>
        <w:t>嘉兴市秀洲区丽晶广场1幢1401室 浙江浦发工程项目管理有限公司</w:t>
      </w:r>
      <w:r>
        <w:rPr>
          <w:rFonts w:ascii="宋体" w:hAnsi="宋体" w:cs="Arial"/>
          <w:szCs w:val="21"/>
        </w:rPr>
        <w:t>（</w:t>
      </w:r>
      <w:r>
        <w:rPr>
          <w:rFonts w:hint="eastAsia" w:ascii="宋体" w:hAnsi="宋体" w:cs="Arial"/>
          <w:szCs w:val="21"/>
        </w:rPr>
        <w:t>收</w:t>
      </w:r>
      <w:r>
        <w:rPr>
          <w:rFonts w:ascii="宋体" w:hAnsi="宋体" w:cs="Arial"/>
          <w:szCs w:val="21"/>
        </w:rPr>
        <w:t>）</w:t>
      </w:r>
      <w:r>
        <w:rPr>
          <w:rFonts w:hint="eastAsia" w:ascii="宋体" w:hAnsi="宋体" w:cs="Arial"/>
          <w:szCs w:val="21"/>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150790588@qq.com），以便代理机构查收快递。如供应商选择快递费到付，代理机构将拒签。</w:t>
      </w:r>
    </w:p>
    <w:p>
      <w:pPr>
        <w:snapToGrid w:val="0"/>
        <w:ind w:firstLine="420" w:firstLineChars="200"/>
        <w:rPr>
          <w:rFonts w:ascii="宋体" w:hAnsi="宋体" w:cs="Arial"/>
          <w:szCs w:val="21"/>
        </w:rPr>
      </w:pPr>
      <w:r>
        <w:rPr>
          <w:rFonts w:hint="eastAsia" w:ascii="宋体" w:hAnsi="宋体" w:cs="Arial"/>
          <w:szCs w:val="21"/>
        </w:rPr>
        <w:t>2.4备份电子标文件制作为非强制性，但如遇因供应商电子投标文件解密失败等情况造成无效标，后果由供应商自负。</w:t>
      </w:r>
    </w:p>
    <w:p>
      <w:pPr>
        <w:ind w:firstLine="422" w:firstLineChars="200"/>
        <w:rPr>
          <w:rFonts w:ascii="宋体" w:hAnsi="宋体" w:cs="宋体"/>
          <w:b/>
          <w:bCs/>
          <w:szCs w:val="21"/>
        </w:rPr>
      </w:pPr>
      <w:r>
        <w:rPr>
          <w:rFonts w:hint="eastAsia" w:ascii="宋体" w:hAnsi="宋体" w:cs="宋体"/>
          <w:b/>
          <w:bCs/>
          <w:szCs w:val="21"/>
        </w:rPr>
        <w:t>十一、开标时间及地点：</w:t>
      </w:r>
    </w:p>
    <w:p>
      <w:pPr>
        <w:widowControl/>
        <w:adjustRightInd w:val="0"/>
        <w:snapToGrid w:val="0"/>
        <w:ind w:firstLine="420" w:firstLineChars="200"/>
        <w:jc w:val="left"/>
        <w:rPr>
          <w:rFonts w:ascii="宋体" w:hAnsi="宋体" w:cs="Arial"/>
          <w:kern w:val="0"/>
          <w:szCs w:val="21"/>
        </w:rPr>
      </w:pPr>
      <w:r>
        <w:rPr>
          <w:rFonts w:hint="eastAsia" w:ascii="宋体" w:hAnsi="宋体" w:cs="Arial"/>
          <w:kern w:val="0"/>
          <w:szCs w:val="21"/>
        </w:rPr>
        <w:t>本次招标将于</w:t>
      </w:r>
      <w:r>
        <w:rPr>
          <w:rFonts w:ascii="宋体" w:hAnsi="宋体" w:cs="Arial"/>
          <w:kern w:val="0"/>
          <w:szCs w:val="21"/>
        </w:rPr>
        <w:t>2020年09月25日</w:t>
      </w:r>
      <w:r>
        <w:rPr>
          <w:rFonts w:hint="eastAsia" w:ascii="宋体" w:hAnsi="宋体" w:cs="Arial"/>
          <w:kern w:val="0"/>
          <w:szCs w:val="21"/>
        </w:rPr>
        <w:t>14时30分在嘉兴市公共资源交易中心开标室</w:t>
      </w:r>
      <w:r>
        <w:rPr>
          <w:rFonts w:hint="eastAsia" w:ascii="宋体" w:hAnsi="宋体" w:cs="宋体"/>
          <w:kern w:val="0"/>
          <w:szCs w:val="21"/>
        </w:rPr>
        <w:t>开</w:t>
      </w:r>
      <w:r>
        <w:rPr>
          <w:rFonts w:hint="eastAsia" w:ascii="宋体" w:hAnsi="宋体" w:cs="Arial"/>
          <w:kern w:val="0"/>
          <w:szCs w:val="21"/>
        </w:rPr>
        <w:t>标。</w:t>
      </w:r>
      <w:r>
        <w:rPr>
          <w:rFonts w:hint="eastAsia" w:ascii="宋体" w:hAnsi="宋体" w:cs="宋体"/>
          <w:b/>
          <w:kern w:val="0"/>
          <w:szCs w:val="21"/>
          <w:u w:val="single"/>
        </w:rPr>
        <w:t>供应商无需到开标现场，但须准时在线参加，直至评审结束</w:t>
      </w:r>
      <w:r>
        <w:rPr>
          <w:rFonts w:hint="eastAsia" w:ascii="宋体" w:hAnsi="宋体" w:cs="宋体"/>
          <w:b/>
          <w:kern w:val="0"/>
          <w:szCs w:val="21"/>
        </w:rPr>
        <w:t>。</w:t>
      </w:r>
      <w:r>
        <w:rPr>
          <w:rFonts w:hint="eastAsia" w:ascii="宋体" w:hAnsi="宋体" w:cs="Arial"/>
          <w:kern w:val="0"/>
          <w:szCs w:val="21"/>
        </w:rPr>
        <w:t>开标时间后半小时内（</w:t>
      </w:r>
      <w:r>
        <w:rPr>
          <w:rFonts w:ascii="宋体" w:hAnsi="宋体" w:cs="Arial"/>
          <w:kern w:val="0"/>
          <w:szCs w:val="21"/>
        </w:rPr>
        <w:t>2020年09月25日</w:t>
      </w:r>
      <w:r>
        <w:rPr>
          <w:rFonts w:hint="eastAsia" w:ascii="宋体" w:hAnsi="宋体" w:cs="Arial"/>
          <w:kern w:val="0"/>
          <w:szCs w:val="21"/>
        </w:rPr>
        <w:t>15时00分前）</w:t>
      </w:r>
      <w:r>
        <w:rPr>
          <w:rFonts w:ascii="宋体" w:hAnsi="宋体" w:cs="Arial"/>
          <w:kern w:val="0"/>
          <w:szCs w:val="21"/>
        </w:rPr>
        <w:t>供应商可以登录“</w:t>
      </w:r>
      <w:r>
        <w:rPr>
          <w:rFonts w:hint="eastAsia" w:ascii="宋体" w:hAnsi="宋体" w:cs="Arial"/>
          <w:kern w:val="0"/>
          <w:szCs w:val="21"/>
        </w:rPr>
        <w:t>政采云</w:t>
      </w:r>
      <w:r>
        <w:rPr>
          <w:rFonts w:ascii="宋体" w:hAnsi="宋体" w:cs="Arial"/>
          <w:kern w:val="0"/>
          <w:szCs w:val="21"/>
        </w:rPr>
        <w:t>”</w:t>
      </w:r>
      <w:r>
        <w:rPr>
          <w:rFonts w:hint="eastAsia" w:ascii="宋体" w:hAnsi="宋体" w:cs="Arial"/>
          <w:kern w:val="0"/>
          <w:szCs w:val="21"/>
        </w:rPr>
        <w:t>平台</w:t>
      </w:r>
      <w:r>
        <w:rPr>
          <w:rFonts w:ascii="宋体" w:hAnsi="宋体" w:cs="Arial"/>
          <w:kern w:val="0"/>
          <w:szCs w:val="21"/>
        </w:rPr>
        <w:t>，用“</w:t>
      </w:r>
      <w:r>
        <w:rPr>
          <w:rFonts w:hint="eastAsia" w:ascii="宋体" w:hAnsi="宋体" w:cs="Arial"/>
          <w:kern w:val="0"/>
          <w:szCs w:val="21"/>
        </w:rPr>
        <w:t>项目采购-开标评标</w:t>
      </w:r>
      <w:r>
        <w:rPr>
          <w:rFonts w:ascii="宋体" w:hAnsi="宋体" w:cs="Arial"/>
          <w:kern w:val="0"/>
          <w:szCs w:val="21"/>
        </w:rPr>
        <w:t>”功能</w:t>
      </w:r>
      <w:r>
        <w:rPr>
          <w:rFonts w:hint="eastAsia" w:ascii="宋体" w:hAnsi="宋体" w:cs="Arial"/>
          <w:kern w:val="0"/>
          <w:szCs w:val="21"/>
        </w:rPr>
        <w:t>进行解密投标文件</w:t>
      </w:r>
      <w:r>
        <w:rPr>
          <w:rFonts w:ascii="宋体" w:hAnsi="宋体" w:cs="Arial"/>
          <w:kern w:val="0"/>
          <w:szCs w:val="21"/>
        </w:rPr>
        <w:t>。</w:t>
      </w:r>
      <w:r>
        <w:rPr>
          <w:rFonts w:hint="eastAsia" w:ascii="宋体" w:hAnsi="宋体" w:cs="Arial"/>
          <w:kern w:val="0"/>
          <w:szCs w:val="21"/>
        </w:rPr>
        <w:t>若供应商在规定时间内（</w:t>
      </w:r>
      <w:r>
        <w:rPr>
          <w:rFonts w:ascii="宋体" w:hAnsi="宋体" w:cs="Arial"/>
          <w:kern w:val="0"/>
          <w:szCs w:val="21"/>
        </w:rPr>
        <w:t>2020年09月25日</w:t>
      </w:r>
      <w:r>
        <w:rPr>
          <w:rFonts w:hint="eastAsia" w:ascii="宋体" w:hAnsi="宋体" w:cs="Arial"/>
          <w:kern w:val="0"/>
          <w:szCs w:val="21"/>
        </w:rPr>
        <w:t>15时00分前）投</w:t>
      </w:r>
      <w:r>
        <w:rPr>
          <w:rFonts w:ascii="宋体" w:hAnsi="宋体" w:cs="Arial"/>
          <w:kern w:val="0"/>
          <w:szCs w:val="21"/>
        </w:rPr>
        <w:t>标文件</w:t>
      </w:r>
      <w:r>
        <w:rPr>
          <w:rFonts w:hint="eastAsia" w:ascii="宋体" w:hAnsi="宋体" w:cs="Arial"/>
          <w:kern w:val="0"/>
          <w:szCs w:val="21"/>
        </w:rPr>
        <w:t>无法解密或解密失败且</w:t>
      </w:r>
      <w:r>
        <w:rPr>
          <w:rFonts w:ascii="宋体" w:hAnsi="宋体" w:cs="Arial"/>
          <w:kern w:val="0"/>
          <w:szCs w:val="21"/>
        </w:rPr>
        <w:t>备份文件</w:t>
      </w:r>
      <w:r>
        <w:rPr>
          <w:rFonts w:hint="eastAsia" w:ascii="宋体" w:hAnsi="宋体" w:cs="Arial"/>
          <w:kern w:val="0"/>
          <w:szCs w:val="21"/>
        </w:rPr>
        <w:t>读取</w:t>
      </w:r>
      <w:r>
        <w:rPr>
          <w:rFonts w:ascii="宋体" w:hAnsi="宋体" w:cs="Arial"/>
          <w:kern w:val="0"/>
          <w:szCs w:val="21"/>
        </w:rPr>
        <w:t>失败（含未</w:t>
      </w:r>
      <w:r>
        <w:rPr>
          <w:rFonts w:hint="eastAsia" w:ascii="宋体" w:hAnsi="宋体" w:cs="Arial"/>
          <w:kern w:val="0"/>
          <w:szCs w:val="21"/>
        </w:rPr>
        <w:t>提交</w:t>
      </w:r>
      <w:r>
        <w:rPr>
          <w:rFonts w:ascii="宋体" w:hAnsi="宋体" w:cs="Arial"/>
          <w:kern w:val="0"/>
          <w:szCs w:val="21"/>
        </w:rPr>
        <w:t>），</w:t>
      </w:r>
      <w:r>
        <w:rPr>
          <w:rFonts w:hint="eastAsia" w:ascii="宋体" w:hAnsi="宋体" w:cs="Arial"/>
          <w:kern w:val="0"/>
          <w:szCs w:val="21"/>
        </w:rPr>
        <w:t>则投标无效。</w:t>
      </w:r>
    </w:p>
    <w:p>
      <w:pPr>
        <w:snapToGrid w:val="0"/>
        <w:ind w:firstLine="415" w:firstLineChars="197"/>
        <w:rPr>
          <w:rFonts w:ascii="宋体" w:hAnsi="宋体" w:cs="Arial"/>
          <w:b/>
          <w:szCs w:val="21"/>
        </w:rPr>
      </w:pPr>
      <w:r>
        <w:rPr>
          <w:rFonts w:hint="eastAsia" w:ascii="宋体" w:hAnsi="宋体" w:cs="Arial"/>
          <w:b/>
          <w:szCs w:val="21"/>
        </w:rPr>
        <w:t>十二、</w:t>
      </w:r>
      <w:r>
        <w:rPr>
          <w:rFonts w:ascii="宋体" w:hAnsi="宋体" w:cs="Arial"/>
          <w:b/>
          <w:szCs w:val="21"/>
        </w:rPr>
        <w:t>其他事项：</w:t>
      </w:r>
    </w:p>
    <w:p>
      <w:pPr>
        <w:snapToGrid w:val="0"/>
        <w:ind w:firstLine="413" w:firstLineChars="197"/>
        <w:rPr>
          <w:rFonts w:ascii="宋体" w:hAnsi="宋体" w:cs="Arial"/>
          <w:b/>
          <w:szCs w:val="21"/>
        </w:rPr>
      </w:pPr>
      <w:r>
        <w:rPr>
          <w:rFonts w:hint="eastAsia" w:ascii="宋体" w:hAnsi="宋体" w:cs="Arial"/>
          <w:szCs w:val="21"/>
        </w:rPr>
        <w:t>供应商应按招标文件要求，提供社保缴纳证明材料。若社保缴纳地点为</w:t>
      </w:r>
      <w:r>
        <w:rPr>
          <w:rFonts w:hint="eastAsia" w:ascii="宋体" w:hAnsi="宋体" w:cs="Arial"/>
          <w:b/>
          <w:szCs w:val="21"/>
        </w:rPr>
        <w:t>嘉兴市[含五县（市）]范围内</w:t>
      </w:r>
      <w:r>
        <w:rPr>
          <w:rFonts w:hint="eastAsia" w:ascii="宋体" w:hAnsi="宋体" w:cs="Arial"/>
          <w:szCs w:val="21"/>
        </w:rPr>
        <w:t>的人员，供应商只需</w:t>
      </w:r>
      <w:r>
        <w:rPr>
          <w:rFonts w:ascii="宋体" w:hAnsi="宋体" w:cs="Arial"/>
          <w:szCs w:val="21"/>
        </w:rPr>
        <w:t>提供</w:t>
      </w:r>
      <w:r>
        <w:rPr>
          <w:rFonts w:hint="eastAsia" w:ascii="宋体" w:hAnsi="宋体" w:cs="Arial"/>
          <w:szCs w:val="21"/>
        </w:rPr>
        <w:t>本项目所</w:t>
      </w:r>
      <w:r>
        <w:rPr>
          <w:rFonts w:ascii="宋体" w:hAnsi="宋体" w:cs="Arial"/>
          <w:szCs w:val="21"/>
        </w:rPr>
        <w:t>涉人员</w:t>
      </w:r>
      <w:r>
        <w:rPr>
          <w:rFonts w:hint="eastAsia" w:ascii="宋体" w:hAnsi="宋体" w:cs="Arial"/>
          <w:szCs w:val="21"/>
        </w:rPr>
        <w:t>社保缴纳</w:t>
      </w:r>
      <w:r>
        <w:rPr>
          <w:rFonts w:ascii="宋体" w:hAnsi="宋体" w:cs="Arial"/>
          <w:szCs w:val="21"/>
        </w:rPr>
        <w:t>承诺函（</w:t>
      </w:r>
      <w:r>
        <w:rPr>
          <w:rFonts w:hint="eastAsia" w:ascii="宋体" w:hAnsi="宋体" w:cs="Arial"/>
          <w:szCs w:val="21"/>
        </w:rPr>
        <w:t>格式</w:t>
      </w:r>
      <w:r>
        <w:rPr>
          <w:rFonts w:ascii="宋体" w:hAnsi="宋体" w:cs="Arial"/>
          <w:szCs w:val="21"/>
        </w:rPr>
        <w:t>详见第六章）</w:t>
      </w:r>
      <w:r>
        <w:rPr>
          <w:rFonts w:hint="eastAsia" w:ascii="宋体" w:hAnsi="宋体" w:cs="Arial"/>
          <w:szCs w:val="21"/>
        </w:rPr>
        <w:t>即可，无需</w:t>
      </w:r>
      <w:r>
        <w:rPr>
          <w:rFonts w:ascii="宋体" w:hAnsi="宋体" w:cs="Arial"/>
          <w:szCs w:val="21"/>
        </w:rPr>
        <w:t>再提供纸质社保</w:t>
      </w:r>
      <w:r>
        <w:rPr>
          <w:rFonts w:hint="eastAsia" w:ascii="宋体" w:hAnsi="宋体" w:cs="Arial"/>
          <w:szCs w:val="21"/>
        </w:rPr>
        <w:t>缴纳证明</w:t>
      </w:r>
      <w:r>
        <w:rPr>
          <w:rFonts w:ascii="宋体" w:hAnsi="宋体" w:cs="Arial"/>
          <w:szCs w:val="21"/>
        </w:rPr>
        <w:t>。</w:t>
      </w:r>
      <w:r>
        <w:rPr>
          <w:rFonts w:hint="eastAsia" w:ascii="宋体" w:hAnsi="宋体" w:cs="Arial"/>
          <w:szCs w:val="21"/>
        </w:rPr>
        <w:t>供应商应</w:t>
      </w:r>
      <w:r>
        <w:rPr>
          <w:rFonts w:ascii="宋体" w:hAnsi="宋体" w:cs="Arial"/>
          <w:szCs w:val="21"/>
        </w:rPr>
        <w:t>对提交</w:t>
      </w:r>
      <w:r>
        <w:rPr>
          <w:rFonts w:hint="eastAsia" w:ascii="宋体" w:hAnsi="宋体" w:cs="Arial"/>
          <w:szCs w:val="21"/>
        </w:rPr>
        <w:t>资料</w:t>
      </w:r>
      <w:r>
        <w:rPr>
          <w:rFonts w:ascii="宋体" w:hAnsi="宋体" w:cs="Arial"/>
          <w:szCs w:val="21"/>
        </w:rPr>
        <w:t>的真实性负责，</w:t>
      </w:r>
      <w:r>
        <w:rPr>
          <w:rFonts w:hint="eastAsia" w:ascii="宋体" w:hAnsi="宋体" w:cs="Arial"/>
          <w:szCs w:val="21"/>
        </w:rPr>
        <w:t>若核实</w:t>
      </w:r>
      <w:r>
        <w:rPr>
          <w:rFonts w:ascii="宋体" w:hAnsi="宋体" w:cs="Arial"/>
          <w:szCs w:val="21"/>
        </w:rPr>
        <w:t>存在</w:t>
      </w:r>
      <w:r>
        <w:rPr>
          <w:rFonts w:hint="eastAsia" w:ascii="宋体" w:hAnsi="宋体" w:cs="Arial"/>
          <w:szCs w:val="21"/>
        </w:rPr>
        <w:t>造</w:t>
      </w:r>
      <w:r>
        <w:rPr>
          <w:rFonts w:ascii="宋体" w:hAnsi="宋体" w:cs="Arial"/>
          <w:szCs w:val="21"/>
        </w:rPr>
        <w:t>假</w:t>
      </w:r>
      <w:r>
        <w:rPr>
          <w:rFonts w:hint="eastAsia" w:ascii="宋体" w:hAnsi="宋体" w:cs="Arial"/>
          <w:szCs w:val="21"/>
        </w:rPr>
        <w:t>情形</w:t>
      </w:r>
      <w:r>
        <w:rPr>
          <w:rFonts w:ascii="宋体" w:hAnsi="宋体" w:cs="Arial"/>
          <w:szCs w:val="21"/>
        </w:rPr>
        <w:t>，</w:t>
      </w:r>
      <w:r>
        <w:rPr>
          <w:rFonts w:hint="eastAsia" w:ascii="宋体" w:hAnsi="宋体" w:cs="Arial"/>
          <w:szCs w:val="21"/>
        </w:rPr>
        <w:t>监管</w:t>
      </w:r>
      <w:r>
        <w:rPr>
          <w:rFonts w:ascii="宋体" w:hAnsi="宋体" w:cs="Arial"/>
          <w:szCs w:val="21"/>
        </w:rPr>
        <w:t>部门将记录</w:t>
      </w:r>
      <w:r>
        <w:rPr>
          <w:rFonts w:hint="eastAsia" w:ascii="宋体" w:hAnsi="宋体" w:cs="Arial"/>
          <w:szCs w:val="21"/>
        </w:rPr>
        <w:t>企业不</w:t>
      </w:r>
      <w:r>
        <w:rPr>
          <w:rFonts w:ascii="宋体" w:hAnsi="宋体" w:cs="Arial"/>
          <w:szCs w:val="21"/>
        </w:rPr>
        <w:t>良信用</w:t>
      </w:r>
      <w:r>
        <w:rPr>
          <w:rFonts w:hint="eastAsia" w:ascii="宋体" w:hAnsi="宋体" w:cs="Arial"/>
          <w:szCs w:val="21"/>
        </w:rPr>
        <w:t>并</w:t>
      </w:r>
      <w:r>
        <w:rPr>
          <w:rFonts w:ascii="宋体" w:hAnsi="宋体" w:cs="Arial"/>
          <w:szCs w:val="21"/>
        </w:rPr>
        <w:t>予以公示</w:t>
      </w:r>
      <w:r>
        <w:rPr>
          <w:rFonts w:hint="eastAsia" w:ascii="宋体" w:hAnsi="宋体" w:cs="Arial"/>
          <w:szCs w:val="21"/>
        </w:rPr>
        <w:t>。</w:t>
      </w:r>
    </w:p>
    <w:p>
      <w:pPr>
        <w:ind w:firstLine="422" w:firstLineChars="200"/>
        <w:rPr>
          <w:rFonts w:ascii="宋体" w:hAnsi="宋体" w:cs="Arial"/>
          <w:b/>
          <w:szCs w:val="21"/>
        </w:rPr>
      </w:pPr>
      <w:r>
        <w:rPr>
          <w:rFonts w:hint="eastAsia" w:ascii="宋体" w:hAnsi="宋体" w:cs="Arial"/>
          <w:b/>
          <w:szCs w:val="21"/>
        </w:rPr>
        <w:t>十三、业务咨询：</w:t>
      </w:r>
    </w:p>
    <w:p>
      <w:pPr>
        <w:snapToGrid w:val="0"/>
        <w:ind w:firstLine="420" w:firstLineChars="200"/>
        <w:jc w:val="left"/>
        <w:rPr>
          <w:rFonts w:ascii="宋体" w:hAnsi="宋体" w:cs="宋体"/>
          <w:szCs w:val="21"/>
        </w:rPr>
      </w:pPr>
      <w:r>
        <w:rPr>
          <w:rFonts w:hint="eastAsia" w:ascii="宋体" w:hAnsi="宋体" w:cs="宋体"/>
          <w:szCs w:val="21"/>
        </w:rPr>
        <w:t>采购单位：嘉兴市公安局秀洲区分局</w:t>
      </w:r>
    </w:p>
    <w:p>
      <w:pPr>
        <w:snapToGrid w:val="0"/>
        <w:ind w:firstLine="420" w:firstLineChars="200"/>
        <w:jc w:val="left"/>
        <w:rPr>
          <w:rFonts w:ascii="宋体" w:hAnsi="宋体" w:cs="宋体"/>
          <w:szCs w:val="21"/>
        </w:rPr>
      </w:pPr>
      <w:r>
        <w:rPr>
          <w:rFonts w:hint="eastAsia" w:ascii="宋体" w:hAnsi="宋体" w:cs="宋体"/>
          <w:color w:val="000000"/>
          <w:szCs w:val="21"/>
        </w:rPr>
        <w:t>联系人：</w:t>
      </w:r>
      <w:r>
        <w:rPr>
          <w:rFonts w:hint="eastAsia" w:ascii="宋体" w:hAnsi="宋体" w:cs="宋体"/>
          <w:szCs w:val="21"/>
        </w:rPr>
        <w:t xml:space="preserve">姚亚刚   </w:t>
      </w:r>
      <w:r>
        <w:rPr>
          <w:rFonts w:hint="eastAsia" w:ascii="宋体" w:hAnsi="宋体" w:cs="宋体"/>
          <w:color w:val="000000"/>
          <w:szCs w:val="21"/>
        </w:rPr>
        <w:t xml:space="preserve">            联系电话：</w:t>
      </w:r>
      <w:r>
        <w:rPr>
          <w:rFonts w:ascii="宋体" w:hAnsi="宋体" w:cs="宋体"/>
          <w:szCs w:val="21"/>
        </w:rPr>
        <w:t>0573-82721969</w:t>
      </w:r>
    </w:p>
    <w:p>
      <w:pPr>
        <w:snapToGrid w:val="0"/>
        <w:ind w:firstLine="420" w:firstLineChars="200"/>
        <w:jc w:val="left"/>
        <w:rPr>
          <w:rFonts w:ascii="宋体" w:hAnsi="宋体" w:cs="宋体"/>
          <w:szCs w:val="21"/>
        </w:rPr>
      </w:pPr>
      <w:r>
        <w:rPr>
          <w:rFonts w:hint="eastAsia" w:ascii="宋体" w:hAnsi="宋体" w:cs="宋体"/>
          <w:szCs w:val="21"/>
        </w:rPr>
        <w:t>代理单位：浙江浦发工程项目管理有限公司</w:t>
      </w:r>
    </w:p>
    <w:p>
      <w:pPr>
        <w:snapToGrid w:val="0"/>
        <w:ind w:firstLine="420" w:firstLineChars="200"/>
        <w:jc w:val="left"/>
        <w:rPr>
          <w:rFonts w:ascii="宋体" w:hAnsi="宋体" w:cs="宋体"/>
          <w:szCs w:val="21"/>
        </w:rPr>
      </w:pPr>
      <w:r>
        <w:rPr>
          <w:rFonts w:hint="eastAsia" w:ascii="宋体" w:hAnsi="宋体" w:cs="宋体"/>
          <w:szCs w:val="21"/>
        </w:rPr>
        <w:t>联系人：</w:t>
      </w:r>
      <w:r>
        <w:rPr>
          <w:rFonts w:ascii="宋体" w:hAnsi="宋体" w:cs="宋体"/>
          <w:szCs w:val="21"/>
        </w:rPr>
        <w:t xml:space="preserve">陈工  </w:t>
      </w:r>
      <w:r>
        <w:rPr>
          <w:rFonts w:hint="eastAsia" w:ascii="宋体" w:hAnsi="宋体" w:cs="宋体"/>
          <w:szCs w:val="21"/>
        </w:rPr>
        <w:t xml:space="preserve">               联系电话：0573-83287762</w:t>
      </w:r>
    </w:p>
    <w:p>
      <w:pPr>
        <w:ind w:firstLine="420" w:firstLineChars="200"/>
        <w:rPr>
          <w:rFonts w:ascii="宋体" w:hAnsi="宋体" w:cs="宋体"/>
          <w:szCs w:val="21"/>
        </w:rPr>
      </w:pPr>
      <w:r>
        <w:rPr>
          <w:rFonts w:hint="eastAsia" w:ascii="宋体" w:hAnsi="宋体" w:cs="宋体"/>
          <w:szCs w:val="21"/>
        </w:rPr>
        <w:t>同级政府采购监督管理部门</w:t>
      </w:r>
      <w:r>
        <w:rPr>
          <w:rFonts w:hint="eastAsia" w:ascii="宋体" w:hAnsi="宋体" w:cs="宋体"/>
          <w:color w:val="000000"/>
          <w:szCs w:val="21"/>
        </w:rPr>
        <w:t>：嘉兴市秀洲区财政局    联系电话：0573-82720086</w:t>
      </w:r>
    </w:p>
    <w:p>
      <w:pPr>
        <w:ind w:firstLine="420" w:firstLineChars="200"/>
        <w:rPr>
          <w:rFonts w:ascii="宋体" w:hAnsi="宋体" w:cs="宋体"/>
          <w:szCs w:val="21"/>
        </w:rPr>
      </w:pPr>
    </w:p>
    <w:p>
      <w:pPr>
        <w:ind w:firstLine="200"/>
        <w:jc w:val="right"/>
        <w:rPr>
          <w:rFonts w:ascii="宋体" w:hAnsi="宋体" w:cs="宋体"/>
          <w:szCs w:val="21"/>
        </w:rPr>
      </w:pPr>
      <w:r>
        <w:rPr>
          <w:rFonts w:hint="eastAsia" w:ascii="宋体" w:hAnsi="宋体" w:cs="宋体"/>
          <w:szCs w:val="21"/>
        </w:rPr>
        <w:t>采购单位：嘉兴市公安局秀洲区分局</w:t>
      </w:r>
    </w:p>
    <w:p>
      <w:pPr>
        <w:ind w:firstLine="200"/>
        <w:jc w:val="right"/>
        <w:rPr>
          <w:rFonts w:ascii="宋体" w:hAnsi="宋体" w:cs="宋体"/>
          <w:szCs w:val="21"/>
        </w:rPr>
      </w:pPr>
      <w:r>
        <w:rPr>
          <w:rFonts w:hint="eastAsia" w:ascii="宋体" w:hAnsi="宋体" w:cs="宋体"/>
          <w:szCs w:val="21"/>
        </w:rPr>
        <w:t>代理单位：浙江浦发工程项目管理有限公司</w:t>
      </w:r>
    </w:p>
    <w:p>
      <w:pPr>
        <w:ind w:firstLine="420" w:firstLineChars="200"/>
        <w:jc w:val="right"/>
        <w:rPr>
          <w:rFonts w:ascii="宋体" w:hAnsi="宋体" w:cs="宋体"/>
          <w:b/>
          <w:bCs/>
          <w:szCs w:val="21"/>
        </w:rPr>
      </w:pPr>
      <w:r>
        <w:rPr>
          <w:rFonts w:hint="eastAsia" w:ascii="宋体" w:hAnsi="宋体" w:cs="宋体"/>
          <w:szCs w:val="21"/>
        </w:rPr>
        <w:t>2020年09月</w:t>
      </w:r>
    </w:p>
    <w:p>
      <w:pPr>
        <w:snapToGrid w:val="0"/>
        <w:jc w:val="right"/>
        <w:rPr>
          <w:rFonts w:ascii="宋体" w:hAnsi="宋体" w:cs="宋体"/>
          <w:b/>
          <w:szCs w:val="21"/>
        </w:rPr>
      </w:pPr>
    </w:p>
    <w:p>
      <w:pPr>
        <w:pStyle w:val="2"/>
      </w:pPr>
      <w:r>
        <w:rPr>
          <w:rFonts w:hint="eastAsia"/>
          <w:szCs w:val="30"/>
        </w:rPr>
        <w:br w:type="page"/>
      </w:r>
      <w:bookmarkStart w:id="5" w:name="_Toc13042323"/>
      <w:bookmarkStart w:id="6" w:name="_Toc50211550"/>
      <w:r>
        <w:rPr>
          <w:rFonts w:hint="eastAsia"/>
        </w:rPr>
        <w:t>第二章  招标需求</w:t>
      </w:r>
      <w:bookmarkEnd w:id="5"/>
      <w:bookmarkEnd w:id="6"/>
      <w:bookmarkStart w:id="7" w:name="_Toc418711332"/>
    </w:p>
    <w:bookmarkEnd w:id="7"/>
    <w:p>
      <w:pPr>
        <w:ind w:firstLine="422" w:firstLineChars="200"/>
        <w:rPr>
          <w:rFonts w:ascii="宋体" w:hAnsi="宋体" w:cs="宋体"/>
          <w:szCs w:val="21"/>
        </w:rPr>
      </w:pPr>
      <w:r>
        <w:rPr>
          <w:rFonts w:hint="eastAsia" w:ascii="宋体" w:hAnsi="宋体"/>
          <w:b/>
          <w:szCs w:val="21"/>
        </w:rPr>
        <w:t>一、项目背景</w:t>
      </w:r>
    </w:p>
    <w:p>
      <w:pPr>
        <w:ind w:firstLine="420" w:firstLineChars="200"/>
        <w:rPr>
          <w:rFonts w:hint="eastAsia" w:ascii="宋体" w:hAnsi="宋体"/>
          <w:szCs w:val="21"/>
        </w:rPr>
      </w:pPr>
      <w:r>
        <w:rPr>
          <w:rFonts w:hint="eastAsia" w:ascii="宋体" w:hAnsi="宋体"/>
          <w:szCs w:val="21"/>
        </w:rPr>
        <w:t>根据嘉兴人民政府办公关于加快《关于加快推进“智安小区”建设全域覆盖的通知》和中共嘉兴市秀洲区政法委员会、嘉兴市公安局秀洲区分局、嘉兴市秀洲区住房和城乡建设局联合文件秀洲政法（</w:t>
      </w:r>
      <w:r>
        <w:rPr>
          <w:rFonts w:ascii="宋体" w:hAnsi="宋体"/>
          <w:szCs w:val="21"/>
        </w:rPr>
        <w:t>2020</w:t>
      </w:r>
      <w:r>
        <w:rPr>
          <w:rFonts w:hint="eastAsia" w:ascii="宋体" w:hAnsi="宋体"/>
          <w:szCs w:val="21"/>
        </w:rPr>
        <w:t>）</w:t>
      </w:r>
      <w:r>
        <w:rPr>
          <w:rFonts w:ascii="宋体" w:hAnsi="宋体"/>
          <w:szCs w:val="21"/>
        </w:rPr>
        <w:t>11</w:t>
      </w:r>
      <w:r>
        <w:rPr>
          <w:rFonts w:hint="eastAsia" w:ascii="宋体" w:hAnsi="宋体"/>
          <w:szCs w:val="21"/>
        </w:rPr>
        <w:t>号《关于全面推进“智安小区”建设的通知》要求；为进一步提升我区居民小区智慧安防水平，推进更高水平平安秀洲和美丽城镇建设，夯实区域治理现代化基础，经区委区政府同意，决定在去年工作基础上，在全区以3年购买服务方式全面推进“智安小区”建设。</w:t>
      </w:r>
    </w:p>
    <w:p>
      <w:pPr>
        <w:ind w:firstLine="420" w:firstLineChars="200"/>
        <w:rPr>
          <w:rFonts w:ascii="宋体" w:hAnsi="宋体"/>
          <w:szCs w:val="21"/>
        </w:rPr>
      </w:pPr>
      <w:r>
        <w:rPr>
          <w:rFonts w:hint="eastAsia" w:ascii="宋体" w:hAnsi="宋体"/>
          <w:szCs w:val="21"/>
        </w:rPr>
        <w:t>本项目采用公开招标确定承建主体，并由其一次性</w:t>
      </w:r>
      <w:r>
        <w:rPr>
          <w:rFonts w:ascii="宋体" w:hAnsi="宋体"/>
          <w:szCs w:val="21"/>
        </w:rPr>
        <w:t>出</w:t>
      </w:r>
      <w:r>
        <w:rPr>
          <w:rFonts w:hint="eastAsia" w:ascii="宋体" w:hAnsi="宋体"/>
          <w:szCs w:val="21"/>
        </w:rPr>
        <w:t>资全部建成。政府分</w:t>
      </w:r>
      <w:r>
        <w:rPr>
          <w:rFonts w:ascii="宋体" w:hAnsi="宋体"/>
          <w:szCs w:val="21"/>
        </w:rPr>
        <w:t>3</w:t>
      </w:r>
      <w:r>
        <w:rPr>
          <w:rFonts w:hint="eastAsia" w:ascii="宋体" w:hAnsi="宋体"/>
          <w:szCs w:val="21"/>
        </w:rPr>
        <w:t>年期购买服务，项目预算总价为</w:t>
      </w:r>
      <w:r>
        <w:rPr>
          <w:rFonts w:ascii="宋体" w:hAnsi="宋体"/>
          <w:szCs w:val="21"/>
        </w:rPr>
        <w:t>66648</w:t>
      </w:r>
      <w:r>
        <w:rPr>
          <w:rFonts w:hint="eastAsia" w:ascii="宋体" w:hAnsi="宋体"/>
          <w:szCs w:val="21"/>
        </w:rPr>
        <w:t>00元/年。</w:t>
      </w:r>
    </w:p>
    <w:p>
      <w:pPr>
        <w:ind w:firstLine="422" w:firstLineChars="200"/>
        <w:rPr>
          <w:rFonts w:ascii="宋体" w:hAnsi="宋体"/>
          <w:b/>
          <w:szCs w:val="21"/>
        </w:rPr>
      </w:pPr>
      <w:r>
        <w:rPr>
          <w:rFonts w:hint="eastAsia" w:ascii="宋体" w:hAnsi="宋体"/>
          <w:b/>
          <w:szCs w:val="21"/>
        </w:rPr>
        <w:t>二、设计依据</w:t>
      </w:r>
    </w:p>
    <w:p>
      <w:pPr>
        <w:ind w:firstLine="420" w:firstLineChars="200"/>
        <w:rPr>
          <w:rFonts w:ascii="宋体" w:hAnsi="宋体" w:cs="宋体"/>
          <w:szCs w:val="21"/>
        </w:rPr>
      </w:pPr>
      <w:r>
        <w:rPr>
          <w:rFonts w:hint="eastAsia" w:ascii="宋体" w:hAnsi="宋体" w:cs="宋体"/>
          <w:szCs w:val="21"/>
        </w:rPr>
        <w:t>本项目设计、建设、维护、管理等必须严格执行以下标准，但技术标准和规范如与国家、国际最新标准相抵触或未能罗列完全时，应以国家、国际最新标准为依据。</w:t>
      </w:r>
    </w:p>
    <w:p>
      <w:pPr>
        <w:ind w:firstLine="420" w:firstLineChars="200"/>
        <w:rPr>
          <w:rFonts w:hint="eastAsia" w:ascii="宋体" w:hAnsi="宋体" w:cs="宋体"/>
          <w:szCs w:val="21"/>
        </w:rPr>
      </w:pPr>
      <w:r>
        <w:rPr>
          <w:rFonts w:hint="eastAsia" w:ascii="宋体" w:hAnsi="宋体" w:cs="宋体"/>
          <w:szCs w:val="21"/>
        </w:rPr>
        <w:t>相关标准、规范：</w:t>
      </w:r>
    </w:p>
    <w:p>
      <w:pPr>
        <w:ind w:firstLine="420" w:firstLineChars="200"/>
        <w:rPr>
          <w:rFonts w:hint="eastAsia" w:ascii="宋体" w:hAnsi="宋体" w:cs="宋体"/>
          <w:szCs w:val="21"/>
        </w:rPr>
      </w:pPr>
      <w:r>
        <w:rPr>
          <w:rFonts w:hint="eastAsia" w:ascii="宋体" w:hAnsi="宋体" w:cs="宋体"/>
          <w:szCs w:val="21"/>
        </w:rPr>
        <w:t>《公共安全视频监控联网系统信息传输、交换、控制技术要求》（GB/T 28181-2016）</w:t>
      </w:r>
    </w:p>
    <w:p>
      <w:pPr>
        <w:ind w:firstLine="420" w:firstLineChars="200"/>
        <w:rPr>
          <w:rFonts w:hint="eastAsia" w:ascii="宋体" w:hAnsi="宋体" w:cs="宋体"/>
          <w:szCs w:val="21"/>
        </w:rPr>
      </w:pPr>
      <w:r>
        <w:rPr>
          <w:rFonts w:hint="eastAsia" w:ascii="宋体" w:hAnsi="宋体" w:cs="宋体"/>
          <w:szCs w:val="21"/>
        </w:rPr>
        <w:t>《社会治安动态视频监控系统技术规范》（DB33/T 502-2018）</w:t>
      </w:r>
    </w:p>
    <w:p>
      <w:pPr>
        <w:ind w:firstLine="420" w:firstLineChars="200"/>
        <w:rPr>
          <w:rFonts w:hint="eastAsia" w:ascii="宋体" w:hAnsi="宋体" w:cs="宋体"/>
          <w:szCs w:val="21"/>
        </w:rPr>
      </w:pPr>
      <w:r>
        <w:rPr>
          <w:rFonts w:hint="eastAsia" w:ascii="宋体" w:hAnsi="宋体" w:cs="宋体"/>
          <w:szCs w:val="21"/>
        </w:rPr>
        <w:t>《基于公共运营商的社会治安动态视频监控系统技术规范》（Q/GAT 002-2006）</w:t>
      </w:r>
    </w:p>
    <w:p>
      <w:pPr>
        <w:ind w:firstLine="420" w:firstLineChars="200"/>
        <w:rPr>
          <w:rFonts w:hint="eastAsia" w:ascii="宋体" w:hAnsi="宋体" w:cs="宋体"/>
          <w:szCs w:val="21"/>
        </w:rPr>
      </w:pPr>
      <w:r>
        <w:rPr>
          <w:rFonts w:hint="eastAsia" w:ascii="宋体" w:hAnsi="宋体" w:cs="宋体"/>
          <w:szCs w:val="21"/>
        </w:rPr>
        <w:t>《视频图像文字标注规范》（GA/T 751-2008）</w:t>
      </w:r>
    </w:p>
    <w:p>
      <w:pPr>
        <w:ind w:firstLine="420" w:firstLineChars="200"/>
        <w:rPr>
          <w:rFonts w:hint="eastAsia" w:ascii="宋体" w:hAnsi="宋体" w:cs="宋体"/>
          <w:szCs w:val="21"/>
        </w:rPr>
      </w:pPr>
      <w:r>
        <w:rPr>
          <w:rFonts w:hint="eastAsia" w:ascii="宋体" w:hAnsi="宋体" w:cs="宋体"/>
          <w:szCs w:val="21"/>
        </w:rPr>
        <w:t>《跨区域视频监控联网共享技术规范》（DB33/T 629-2011）</w:t>
      </w:r>
    </w:p>
    <w:p>
      <w:pPr>
        <w:ind w:firstLine="420" w:firstLineChars="200"/>
        <w:rPr>
          <w:rFonts w:hint="eastAsia" w:ascii="宋体" w:hAnsi="宋体" w:cs="宋体"/>
          <w:szCs w:val="21"/>
        </w:rPr>
      </w:pPr>
      <w:r>
        <w:rPr>
          <w:rFonts w:hint="eastAsia" w:ascii="宋体" w:hAnsi="宋体" w:cs="宋体"/>
          <w:szCs w:val="21"/>
        </w:rPr>
        <w:t>《浙江省公安视频图像信息系统建设总体技术要求》</w:t>
      </w:r>
    </w:p>
    <w:p>
      <w:pPr>
        <w:ind w:firstLine="420" w:firstLineChars="200"/>
        <w:rPr>
          <w:rFonts w:hint="eastAsia" w:ascii="宋体" w:hAnsi="宋体" w:cs="宋体"/>
          <w:szCs w:val="21"/>
        </w:rPr>
      </w:pPr>
      <w:r>
        <w:rPr>
          <w:rFonts w:hint="eastAsia" w:ascii="宋体" w:hAnsi="宋体" w:cs="宋体"/>
          <w:szCs w:val="21"/>
        </w:rPr>
        <w:t>《浙江省公安视频专网安全管理工作规范》</w:t>
      </w:r>
    </w:p>
    <w:p>
      <w:pPr>
        <w:ind w:firstLine="420" w:firstLineChars="200"/>
        <w:rPr>
          <w:rFonts w:hint="eastAsia" w:ascii="宋体" w:hAnsi="宋体"/>
          <w:iCs/>
          <w:szCs w:val="21"/>
        </w:rPr>
      </w:pPr>
      <w:r>
        <w:rPr>
          <w:rFonts w:hint="eastAsia" w:ascii="宋体" w:hAnsi="宋体"/>
          <w:iCs/>
          <w:szCs w:val="21"/>
        </w:rPr>
        <w:t>《浙江省公安机关车辆大数据系统建设技术规范》</w:t>
      </w:r>
    </w:p>
    <w:p>
      <w:pPr>
        <w:ind w:firstLine="420" w:firstLineChars="200"/>
        <w:rPr>
          <w:rFonts w:hint="eastAsia" w:ascii="宋体" w:hAnsi="宋体"/>
          <w:iCs/>
          <w:szCs w:val="21"/>
        </w:rPr>
      </w:pPr>
      <w:r>
        <w:rPr>
          <w:rFonts w:hint="eastAsia" w:ascii="宋体" w:hAnsi="宋体"/>
          <w:iCs/>
          <w:szCs w:val="21"/>
        </w:rPr>
        <w:t>《浙江省公安机关人像比对应用系统建设技术规范》</w:t>
      </w:r>
    </w:p>
    <w:p>
      <w:pPr>
        <w:ind w:firstLine="420" w:firstLineChars="200"/>
        <w:rPr>
          <w:rFonts w:hint="eastAsia" w:ascii="宋体" w:hAnsi="宋体" w:cs="宋体"/>
          <w:szCs w:val="21"/>
        </w:rPr>
      </w:pPr>
      <w:r>
        <w:rPr>
          <w:rFonts w:hint="eastAsia" w:ascii="宋体" w:hAnsi="宋体" w:cs="宋体"/>
          <w:szCs w:val="21"/>
        </w:rPr>
        <w:t>《信息技术开放系统互连网络层安全协议》（GB/T 17963）</w:t>
      </w:r>
    </w:p>
    <w:p>
      <w:pPr>
        <w:ind w:firstLine="420" w:firstLineChars="200"/>
        <w:rPr>
          <w:rFonts w:hint="eastAsia" w:ascii="宋体" w:hAnsi="宋体" w:cs="宋体"/>
          <w:szCs w:val="21"/>
        </w:rPr>
      </w:pPr>
      <w:r>
        <w:rPr>
          <w:rFonts w:hint="eastAsia" w:ascii="宋体" w:hAnsi="宋体" w:cs="宋体"/>
          <w:szCs w:val="21"/>
        </w:rPr>
        <w:t>《音频、视频及类似电子设备安全要求》（GB8898-2011）</w:t>
      </w:r>
    </w:p>
    <w:p>
      <w:pPr>
        <w:ind w:firstLine="420" w:firstLineChars="200"/>
        <w:rPr>
          <w:rFonts w:hint="eastAsia" w:ascii="宋体" w:hAnsi="宋体" w:cs="宋体"/>
          <w:szCs w:val="21"/>
        </w:rPr>
      </w:pPr>
      <w:r>
        <w:rPr>
          <w:rFonts w:hint="eastAsia" w:ascii="宋体" w:hAnsi="宋体" w:cs="宋体"/>
          <w:szCs w:val="21"/>
        </w:rPr>
        <w:t>《测量、控制和试验室用电气设备的安全要求》（GB4793.1-2007）</w:t>
      </w:r>
    </w:p>
    <w:p>
      <w:pPr>
        <w:ind w:firstLine="420" w:firstLineChars="200"/>
        <w:rPr>
          <w:rFonts w:hint="eastAsia" w:ascii="宋体" w:hAnsi="宋体" w:cs="宋体"/>
          <w:szCs w:val="21"/>
        </w:rPr>
      </w:pPr>
      <w:r>
        <w:rPr>
          <w:rFonts w:hint="eastAsia" w:ascii="宋体" w:hAnsi="宋体" w:cs="宋体"/>
          <w:szCs w:val="21"/>
        </w:rPr>
        <w:t>《中华人民共和国公安部行业标准》（GA70-94）</w:t>
      </w:r>
    </w:p>
    <w:p>
      <w:pPr>
        <w:ind w:firstLine="420" w:firstLineChars="200"/>
        <w:rPr>
          <w:rFonts w:hint="eastAsia" w:ascii="宋体" w:hAnsi="宋体" w:cs="宋体"/>
          <w:szCs w:val="21"/>
        </w:rPr>
      </w:pPr>
      <w:r>
        <w:rPr>
          <w:rFonts w:hint="eastAsia" w:ascii="宋体" w:hAnsi="宋体" w:cs="宋体"/>
          <w:szCs w:val="21"/>
        </w:rPr>
        <w:t>《视频安防监控系统技术要求》（GA/T367-2001）</w:t>
      </w:r>
    </w:p>
    <w:p>
      <w:pPr>
        <w:ind w:firstLine="420" w:firstLineChars="200"/>
        <w:rPr>
          <w:rFonts w:hint="eastAsia" w:ascii="宋体" w:hAnsi="宋体"/>
          <w:iCs/>
          <w:szCs w:val="21"/>
        </w:rPr>
      </w:pPr>
      <w:r>
        <w:rPr>
          <w:rFonts w:hint="eastAsia" w:ascii="宋体" w:hAnsi="宋体"/>
          <w:iCs/>
          <w:szCs w:val="21"/>
        </w:rPr>
        <w:t>《电子计算机机房设计规范》(GB50174-93）</w:t>
      </w:r>
    </w:p>
    <w:p>
      <w:pPr>
        <w:ind w:firstLine="420" w:firstLineChars="200"/>
        <w:rPr>
          <w:rFonts w:hint="eastAsia" w:ascii="宋体" w:hAnsi="宋体" w:cs="宋体"/>
          <w:szCs w:val="21"/>
        </w:rPr>
      </w:pPr>
      <w:r>
        <w:rPr>
          <w:rFonts w:hint="eastAsia" w:ascii="宋体" w:hAnsi="宋体" w:cs="宋体"/>
          <w:szCs w:val="21"/>
        </w:rPr>
        <w:t>《安全防范工程技术规范》(GB 50348-2018)</w:t>
      </w:r>
    </w:p>
    <w:p>
      <w:pPr>
        <w:ind w:firstLine="420" w:firstLineChars="200"/>
        <w:rPr>
          <w:rFonts w:hint="eastAsia" w:ascii="宋体" w:hAnsi="宋体" w:cs="宋体"/>
          <w:szCs w:val="21"/>
        </w:rPr>
      </w:pPr>
      <w:r>
        <w:rPr>
          <w:rFonts w:hint="eastAsia" w:ascii="宋体" w:hAnsi="宋体" w:cs="宋体"/>
          <w:szCs w:val="21"/>
        </w:rPr>
        <w:t>《安全防范工程程序与要求》（GA/T75-94）</w:t>
      </w:r>
    </w:p>
    <w:p>
      <w:pPr>
        <w:ind w:firstLine="420" w:firstLineChars="200"/>
        <w:rPr>
          <w:rFonts w:hint="eastAsia" w:ascii="宋体" w:hAnsi="宋体" w:cs="宋体"/>
          <w:szCs w:val="21"/>
        </w:rPr>
      </w:pPr>
      <w:r>
        <w:rPr>
          <w:rFonts w:hint="eastAsia" w:ascii="宋体" w:hAnsi="宋体" w:cs="宋体"/>
          <w:szCs w:val="21"/>
        </w:rPr>
        <w:t>《安全防范系统通用图形符号》（GA/T74-2017）</w:t>
      </w:r>
    </w:p>
    <w:p>
      <w:pPr>
        <w:ind w:firstLine="420" w:firstLineChars="200"/>
        <w:rPr>
          <w:rFonts w:hint="eastAsia" w:ascii="宋体" w:hAnsi="宋体" w:cs="宋体"/>
          <w:szCs w:val="21"/>
        </w:rPr>
      </w:pPr>
      <w:r>
        <w:rPr>
          <w:rFonts w:hint="eastAsia" w:ascii="宋体" w:hAnsi="宋体" w:cs="宋体"/>
          <w:szCs w:val="21"/>
        </w:rPr>
        <w:t>《机动车号牌图像自动识别技术规范》（GA/833-2016）</w:t>
      </w:r>
    </w:p>
    <w:p>
      <w:pPr>
        <w:ind w:firstLine="420" w:firstLineChars="200"/>
        <w:rPr>
          <w:rFonts w:hint="eastAsia" w:ascii="宋体" w:hAnsi="宋体" w:cs="宋体"/>
          <w:szCs w:val="21"/>
        </w:rPr>
      </w:pPr>
      <w:r>
        <w:rPr>
          <w:rFonts w:hint="eastAsia" w:ascii="宋体" w:hAnsi="宋体" w:cs="宋体"/>
          <w:szCs w:val="21"/>
        </w:rPr>
        <w:t>《道路交通安全违法行为图像取证技术规范》（GA/T832-2014）</w:t>
      </w:r>
    </w:p>
    <w:p>
      <w:pPr>
        <w:ind w:firstLine="420" w:firstLineChars="200"/>
        <w:rPr>
          <w:rFonts w:hint="eastAsia" w:ascii="宋体" w:hAnsi="宋体" w:cs="宋体"/>
          <w:szCs w:val="21"/>
        </w:rPr>
      </w:pPr>
      <w:r>
        <w:rPr>
          <w:rFonts w:hint="eastAsia" w:ascii="宋体" w:hAnsi="宋体" w:cs="宋体"/>
          <w:szCs w:val="21"/>
        </w:rPr>
        <w:t>《机动车登记信息代码 第7部分：机动车号牌种类代码》(GA24.7-2005)</w:t>
      </w:r>
    </w:p>
    <w:p>
      <w:pPr>
        <w:ind w:firstLine="420" w:firstLineChars="200"/>
        <w:rPr>
          <w:rFonts w:hint="eastAsia" w:ascii="宋体" w:hAnsi="宋体" w:cs="宋体"/>
          <w:szCs w:val="21"/>
        </w:rPr>
      </w:pPr>
      <w:r>
        <w:rPr>
          <w:rFonts w:hint="eastAsia" w:ascii="宋体" w:hAnsi="宋体" w:cs="宋体"/>
          <w:szCs w:val="21"/>
        </w:rPr>
        <w:t>《公安交通指挥系统建设技术规范》(GA/T445-2010)</w:t>
      </w:r>
    </w:p>
    <w:p>
      <w:pPr>
        <w:ind w:firstLine="420" w:firstLineChars="200"/>
        <w:rPr>
          <w:rFonts w:hint="eastAsia" w:ascii="宋体" w:hAnsi="宋体" w:cs="宋体"/>
          <w:szCs w:val="21"/>
        </w:rPr>
      </w:pPr>
      <w:r>
        <w:rPr>
          <w:rFonts w:hint="eastAsia" w:ascii="宋体" w:hAnsi="宋体" w:cs="宋体"/>
          <w:szCs w:val="21"/>
        </w:rPr>
        <w:t>《道路车辆智能监测记录系统通用技术条件》(GA/T497-2016)</w:t>
      </w:r>
    </w:p>
    <w:p>
      <w:pPr>
        <w:ind w:firstLine="420" w:firstLineChars="200"/>
        <w:rPr>
          <w:rFonts w:hint="eastAsia" w:ascii="宋体" w:hAnsi="宋体" w:cs="宋体"/>
          <w:szCs w:val="21"/>
        </w:rPr>
      </w:pPr>
      <w:r>
        <w:rPr>
          <w:rFonts w:hint="eastAsia" w:ascii="宋体" w:hAnsi="宋体" w:cs="宋体"/>
          <w:szCs w:val="21"/>
        </w:rPr>
        <w:t>《公安交通指挥系统工程建设通用程序和要求》(GA/T651-2014)</w:t>
      </w:r>
    </w:p>
    <w:p>
      <w:pPr>
        <w:ind w:firstLine="420" w:firstLineChars="200"/>
        <w:rPr>
          <w:rFonts w:hint="eastAsia" w:ascii="宋体" w:hAnsi="宋体" w:cs="宋体"/>
          <w:szCs w:val="21"/>
        </w:rPr>
      </w:pPr>
      <w:r>
        <w:rPr>
          <w:rFonts w:hint="eastAsia" w:ascii="宋体" w:hAnsi="宋体" w:cs="宋体"/>
          <w:szCs w:val="21"/>
        </w:rPr>
        <w:t>《公安交通管理外场设备基础施工通用要求》(GA/T652-2017)</w:t>
      </w:r>
    </w:p>
    <w:p>
      <w:pPr>
        <w:ind w:firstLine="420" w:firstLineChars="200"/>
        <w:rPr>
          <w:rFonts w:hint="eastAsia" w:ascii="宋体" w:hAnsi="宋体" w:cs="宋体"/>
          <w:szCs w:val="21"/>
        </w:rPr>
      </w:pPr>
      <w:r>
        <w:rPr>
          <w:rFonts w:hint="eastAsia" w:ascii="宋体" w:hAnsi="宋体" w:cs="宋体"/>
          <w:szCs w:val="21"/>
        </w:rPr>
        <w:t>《城市监控报警联网系统技术标准》（GA/T669-2008）</w:t>
      </w:r>
    </w:p>
    <w:p>
      <w:pPr>
        <w:ind w:firstLine="420" w:firstLineChars="200"/>
        <w:rPr>
          <w:rFonts w:hint="eastAsia" w:ascii="宋体" w:hAnsi="宋体" w:cs="宋体"/>
          <w:szCs w:val="21"/>
        </w:rPr>
      </w:pPr>
      <w:r>
        <w:rPr>
          <w:rFonts w:hint="eastAsia" w:ascii="宋体" w:hAnsi="宋体" w:cs="宋体"/>
          <w:szCs w:val="21"/>
        </w:rPr>
        <w:t>《安全防范系统验收规则》（GA308-2001）</w:t>
      </w:r>
    </w:p>
    <w:p>
      <w:pPr>
        <w:ind w:firstLine="420" w:firstLineChars="200"/>
        <w:rPr>
          <w:rFonts w:hint="eastAsia" w:ascii="宋体" w:hAnsi="宋体" w:cs="宋体"/>
          <w:szCs w:val="21"/>
        </w:rPr>
      </w:pPr>
      <w:r>
        <w:rPr>
          <w:rFonts w:hint="eastAsia" w:ascii="宋体" w:hAnsi="宋体" w:cs="宋体"/>
          <w:szCs w:val="21"/>
        </w:rPr>
        <w:t>《安全防范系统雷电浪涌防护技术要求》(GA/T670-2006)</w:t>
      </w:r>
    </w:p>
    <w:p>
      <w:pPr>
        <w:ind w:firstLine="420" w:firstLineChars="200"/>
        <w:rPr>
          <w:rFonts w:hint="eastAsia" w:ascii="宋体" w:hAnsi="宋体" w:cs="宋体"/>
          <w:szCs w:val="21"/>
        </w:rPr>
      </w:pPr>
      <w:r>
        <w:rPr>
          <w:rFonts w:hint="eastAsia" w:ascii="宋体" w:hAnsi="宋体" w:cs="宋体"/>
          <w:szCs w:val="21"/>
        </w:rPr>
        <w:t>《公安交通电视监视系统验收规范》（GA/T509）</w:t>
      </w:r>
    </w:p>
    <w:p>
      <w:pPr>
        <w:ind w:firstLine="420" w:firstLineChars="200"/>
        <w:rPr>
          <w:rFonts w:hint="eastAsia" w:ascii="宋体" w:hAnsi="宋体" w:cs="宋体"/>
          <w:szCs w:val="21"/>
        </w:rPr>
      </w:pPr>
      <w:r>
        <w:rPr>
          <w:rFonts w:hint="eastAsia" w:ascii="宋体" w:hAnsi="宋体" w:cs="宋体"/>
          <w:szCs w:val="21"/>
        </w:rPr>
        <w:t>《公安部警用地理信息系统系列标准规范》</w:t>
      </w:r>
    </w:p>
    <w:p>
      <w:pPr>
        <w:ind w:firstLine="420" w:firstLineChars="200"/>
        <w:rPr>
          <w:rFonts w:hint="eastAsia" w:ascii="宋体" w:hAnsi="宋体" w:cs="宋体"/>
          <w:szCs w:val="21"/>
        </w:rPr>
      </w:pPr>
      <w:r>
        <w:rPr>
          <w:rFonts w:hint="eastAsia" w:ascii="宋体" w:hAnsi="宋体" w:cs="宋体"/>
          <w:szCs w:val="21"/>
        </w:rPr>
        <w:t>公安部关于城市报警与监控系统的建设、管理、应用规范性文件（公安部科技信息化局汇编2009年3月）</w:t>
      </w:r>
    </w:p>
    <w:p>
      <w:pPr>
        <w:ind w:firstLine="420" w:firstLineChars="200"/>
        <w:rPr>
          <w:rFonts w:hint="eastAsia" w:ascii="宋体" w:hAnsi="宋体" w:cs="宋体"/>
          <w:szCs w:val="21"/>
        </w:rPr>
      </w:pPr>
      <w:r>
        <w:rPr>
          <w:rFonts w:hint="eastAsia" w:ascii="宋体" w:hAnsi="宋体" w:cs="宋体"/>
          <w:szCs w:val="21"/>
        </w:rPr>
        <w:t>《浙江省安全技术防范系统建设技术规范》（DB33/768-2009）</w:t>
      </w:r>
    </w:p>
    <w:p>
      <w:pPr>
        <w:ind w:firstLine="420" w:firstLineChars="200"/>
        <w:rPr>
          <w:rFonts w:hint="eastAsia" w:ascii="宋体" w:hAnsi="宋体" w:cs="宋体"/>
          <w:szCs w:val="21"/>
        </w:rPr>
      </w:pPr>
      <w:r>
        <w:rPr>
          <w:rFonts w:hint="eastAsia" w:ascii="宋体" w:hAnsi="宋体" w:cs="宋体"/>
          <w:szCs w:val="21"/>
        </w:rPr>
        <w:t>《关于全面推进全省公安视频建设与应用工作的指导意见》浙公通字【2013】117号</w:t>
      </w:r>
    </w:p>
    <w:p>
      <w:pPr>
        <w:ind w:firstLine="420" w:firstLineChars="200"/>
        <w:rPr>
          <w:rFonts w:hint="eastAsia" w:ascii="宋体" w:hAnsi="宋体" w:cs="宋体"/>
          <w:szCs w:val="21"/>
        </w:rPr>
      </w:pPr>
      <w:r>
        <w:rPr>
          <w:rFonts w:hint="eastAsia" w:ascii="宋体" w:hAnsi="宋体" w:cs="宋体"/>
          <w:szCs w:val="21"/>
        </w:rPr>
        <w:t>浙江省公安厅《关于加强视频图像信息应用体系建设的通知》</w:t>
      </w:r>
    </w:p>
    <w:p>
      <w:pPr>
        <w:ind w:firstLine="422" w:firstLineChars="200"/>
        <w:rPr>
          <w:rFonts w:hint="eastAsia" w:ascii="宋体" w:hAnsi="宋体"/>
          <w:b/>
          <w:szCs w:val="21"/>
        </w:rPr>
      </w:pPr>
      <w:r>
        <w:rPr>
          <w:rFonts w:hint="eastAsia" w:ascii="宋体" w:hAnsi="宋体"/>
          <w:b/>
          <w:szCs w:val="21"/>
        </w:rPr>
        <w:t>三、采购内容</w:t>
      </w:r>
    </w:p>
    <w:p>
      <w:pPr>
        <w:ind w:firstLine="422" w:firstLineChars="200"/>
        <w:rPr>
          <w:rFonts w:ascii="宋体" w:hAnsi="宋体"/>
          <w:b/>
          <w:szCs w:val="21"/>
        </w:rPr>
      </w:pPr>
      <w:r>
        <w:rPr>
          <w:rFonts w:hint="eastAsia" w:ascii="宋体" w:hAnsi="宋体"/>
          <w:b/>
          <w:szCs w:val="21"/>
        </w:rPr>
        <w:t>（一）项目采购表一</w:t>
      </w:r>
    </w:p>
    <w:tbl>
      <w:tblPr>
        <w:tblStyle w:val="46"/>
        <w:tblW w:w="9229" w:type="dxa"/>
        <w:tblInd w:w="0" w:type="dxa"/>
        <w:tblLayout w:type="autofit"/>
        <w:tblCellMar>
          <w:top w:w="0" w:type="dxa"/>
          <w:left w:w="0" w:type="dxa"/>
          <w:bottom w:w="0" w:type="dxa"/>
          <w:right w:w="0" w:type="dxa"/>
        </w:tblCellMar>
      </w:tblPr>
      <w:tblGrid>
        <w:gridCol w:w="3984"/>
        <w:gridCol w:w="2694"/>
        <w:gridCol w:w="948"/>
        <w:gridCol w:w="1603"/>
      </w:tblGrid>
      <w:tr>
        <w:tblPrEx>
          <w:tblCellMar>
            <w:top w:w="0" w:type="dxa"/>
            <w:left w:w="0" w:type="dxa"/>
            <w:bottom w:w="0" w:type="dxa"/>
            <w:right w:w="0" w:type="dxa"/>
          </w:tblCellMar>
        </w:tblPrEx>
        <w:trPr>
          <w:wBefore w:w="0" w:type="dxa"/>
          <w:wAfter w:w="0" w:type="dxa"/>
          <w:trHeight w:val="400" w:hRule="atLeast"/>
        </w:trPr>
        <w:tc>
          <w:tcPr>
            <w:tcW w:w="39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摄像机类型</w:t>
            </w: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存储码流、时间等要求</w:t>
            </w:r>
          </w:p>
        </w:tc>
        <w:tc>
          <w:tcPr>
            <w:tcW w:w="94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数量</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月服务费上限</w:t>
            </w:r>
          </w:p>
        </w:tc>
      </w:tr>
      <w:tr>
        <w:tblPrEx>
          <w:tblCellMar>
            <w:top w:w="0" w:type="dxa"/>
            <w:left w:w="0" w:type="dxa"/>
            <w:bottom w:w="0" w:type="dxa"/>
            <w:right w:w="0" w:type="dxa"/>
          </w:tblCellMar>
        </w:tblPrEx>
        <w:trPr>
          <w:wBefore w:w="0" w:type="dxa"/>
          <w:wAfter w:w="0" w:type="dxa"/>
          <w:trHeight w:val="400" w:hRule="atLeast"/>
        </w:trPr>
        <w:tc>
          <w:tcPr>
            <w:tcW w:w="39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双400W超星光白光高清网络球型摄像机</w:t>
            </w: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4兆码流,录像保存30天</w:t>
            </w:r>
          </w:p>
        </w:tc>
        <w:tc>
          <w:tcPr>
            <w:tcW w:w="94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579</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522</w:t>
            </w:r>
          </w:p>
        </w:tc>
      </w:tr>
      <w:tr>
        <w:tblPrEx>
          <w:tblCellMar>
            <w:top w:w="0" w:type="dxa"/>
            <w:left w:w="0" w:type="dxa"/>
            <w:bottom w:w="0" w:type="dxa"/>
            <w:right w:w="0" w:type="dxa"/>
          </w:tblCellMar>
        </w:tblPrEx>
        <w:trPr>
          <w:wBefore w:w="0" w:type="dxa"/>
          <w:wAfter w:w="0" w:type="dxa"/>
          <w:trHeight w:val="400" w:hRule="atLeast"/>
        </w:trPr>
        <w:tc>
          <w:tcPr>
            <w:tcW w:w="398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微软雅黑"/>
                <w:color w:val="000000"/>
                <w:szCs w:val="21"/>
              </w:rPr>
            </w:pPr>
            <w:r>
              <w:rPr>
                <w:rFonts w:hint="eastAsia" w:ascii="宋体" w:hAnsi="宋体" w:cs="宋体"/>
                <w:color w:val="000000"/>
                <w:kern w:val="0"/>
                <w:szCs w:val="21"/>
                <w:lang w:bidi="ar"/>
              </w:rPr>
              <w:t>智能出入口摄像机</w:t>
            </w: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4兆码流,录像保存30天</w:t>
            </w:r>
          </w:p>
        </w:tc>
        <w:tc>
          <w:tcPr>
            <w:tcW w:w="94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390</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380</w:t>
            </w:r>
          </w:p>
        </w:tc>
      </w:tr>
      <w:tr>
        <w:tblPrEx>
          <w:tblCellMar>
            <w:top w:w="0" w:type="dxa"/>
            <w:left w:w="0" w:type="dxa"/>
            <w:bottom w:w="0" w:type="dxa"/>
            <w:right w:w="0" w:type="dxa"/>
          </w:tblCellMar>
        </w:tblPrEx>
        <w:trPr>
          <w:wBefore w:w="0" w:type="dxa"/>
          <w:wAfter w:w="0" w:type="dxa"/>
          <w:trHeight w:val="400" w:hRule="atLeast"/>
        </w:trPr>
        <w:tc>
          <w:tcPr>
            <w:tcW w:w="39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200W监控摄像机</w:t>
            </w: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4兆码流,录像保存30天</w:t>
            </w:r>
          </w:p>
        </w:tc>
        <w:tc>
          <w:tcPr>
            <w:tcW w:w="94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262</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208</w:t>
            </w:r>
          </w:p>
        </w:tc>
      </w:tr>
      <w:tr>
        <w:tblPrEx>
          <w:tblCellMar>
            <w:top w:w="0" w:type="dxa"/>
            <w:left w:w="0" w:type="dxa"/>
            <w:bottom w:w="0" w:type="dxa"/>
            <w:right w:w="0" w:type="dxa"/>
          </w:tblCellMar>
        </w:tblPrEx>
        <w:trPr>
          <w:wBefore w:w="0" w:type="dxa"/>
          <w:wAfter w:w="0" w:type="dxa"/>
          <w:trHeight w:val="400" w:hRule="atLeast"/>
        </w:trPr>
        <w:tc>
          <w:tcPr>
            <w:tcW w:w="39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互联网采集设备</w:t>
            </w:r>
          </w:p>
        </w:tc>
        <w:tc>
          <w:tcPr>
            <w:tcW w:w="26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集数据保存1年</w:t>
            </w:r>
          </w:p>
        </w:tc>
        <w:tc>
          <w:tcPr>
            <w:tcW w:w="94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292</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pacing w:after="60" w:afterLines="25"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170</w:t>
            </w:r>
          </w:p>
        </w:tc>
      </w:tr>
    </w:tbl>
    <w:p>
      <w:pPr>
        <w:spacing w:before="120" w:beforeLines="50" w:line="240" w:lineRule="atLeast"/>
        <w:ind w:left="420"/>
        <w:rPr>
          <w:rFonts w:ascii="宋体" w:hAnsi="宋体"/>
          <w:b/>
          <w:szCs w:val="21"/>
        </w:rPr>
      </w:pPr>
      <w:r>
        <w:rPr>
          <w:rFonts w:hint="eastAsia" w:ascii="宋体" w:hAnsi="宋体"/>
          <w:b/>
          <w:szCs w:val="21"/>
        </w:rPr>
        <w:t>（二）具体点位列表</w:t>
      </w:r>
    </w:p>
    <w:tbl>
      <w:tblPr>
        <w:tblStyle w:val="46"/>
        <w:tblpPr w:leftFromText="180" w:rightFromText="180" w:vertAnchor="text" w:horzAnchor="page" w:tblpX="1064" w:tblpY="737"/>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65"/>
        <w:gridCol w:w="1503"/>
        <w:gridCol w:w="1301"/>
        <w:gridCol w:w="1380"/>
        <w:gridCol w:w="780"/>
        <w:gridCol w:w="720"/>
        <w:gridCol w:w="900"/>
        <w:gridCol w:w="78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9860" w:type="dxa"/>
            <w:gridSpan w:val="10"/>
            <w:noWrap/>
            <w:vAlign w:val="center"/>
          </w:tcPr>
          <w:p>
            <w:pPr>
              <w:widowControl/>
              <w:spacing w:after="60" w:afterLines="25" w:line="360" w:lineRule="exact"/>
              <w:jc w:val="center"/>
              <w:rPr>
                <w:rFonts w:ascii="宋体" w:hAnsi="宋体" w:cs="宋体"/>
                <w:b/>
                <w:bCs/>
                <w:color w:val="000000"/>
                <w:kern w:val="0"/>
                <w:szCs w:val="21"/>
              </w:rPr>
            </w:pPr>
            <w:r>
              <w:rPr>
                <w:rFonts w:hint="eastAsia" w:ascii="宋体" w:hAnsi="宋体" w:cs="宋体"/>
                <w:b/>
                <w:bCs/>
                <w:color w:val="000000"/>
                <w:kern w:val="0"/>
                <w:szCs w:val="21"/>
              </w:rPr>
              <w:t>智安小区清单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675"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765"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辖区</w:t>
            </w: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名称</w:t>
            </w:r>
          </w:p>
        </w:tc>
        <w:tc>
          <w:tcPr>
            <w:tcW w:w="1301"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小区类别（开放式、封闭式）</w:t>
            </w:r>
          </w:p>
        </w:tc>
        <w:tc>
          <w:tcPr>
            <w:tcW w:w="1380"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分类</w:t>
            </w:r>
          </w:p>
        </w:tc>
        <w:tc>
          <w:tcPr>
            <w:tcW w:w="780"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出入口数量</w:t>
            </w:r>
          </w:p>
        </w:tc>
        <w:tc>
          <w:tcPr>
            <w:tcW w:w="720"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车牌摄像机</w:t>
            </w:r>
          </w:p>
        </w:tc>
        <w:tc>
          <w:tcPr>
            <w:tcW w:w="900"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人行摄像机</w:t>
            </w:r>
          </w:p>
        </w:tc>
        <w:tc>
          <w:tcPr>
            <w:tcW w:w="780"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摄像机</w:t>
            </w:r>
          </w:p>
        </w:tc>
        <w:tc>
          <w:tcPr>
            <w:tcW w:w="1056"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MAC/RFID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6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油车港</w:t>
            </w: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水岸丽都</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天星如意湾</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格兰春天</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海纳公馆西园</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海纳公馆东园</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丽苑北区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弘信观湖</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宇隆佳苑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金地艺境</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翠湖上郡</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top"/>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钱家桥</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top"/>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76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新塍</w:t>
            </w: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凤舞小区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13</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同仁新村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姚家浜小区东</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姚家浜小区西</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兴育小区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新晖苑小区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秀水瑞苑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19</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名骏豪庭</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20</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翠堤紫府</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21</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唐韵花苑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22</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新塍花园</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23</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新华新村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圣阳小区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25</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陈家浜小区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高田头小区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祝家浜小区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桃园小区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29</w:t>
            </w:r>
          </w:p>
        </w:tc>
        <w:tc>
          <w:tcPr>
            <w:tcW w:w="76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新城</w:t>
            </w: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春晓园燕园</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春晓园一期</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31</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春晓园二期</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32</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吴越花苑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0</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33</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嘉盛龙庭</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0</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优湖名苑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35</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香颂湾</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秀泽园</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云间绿大地</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明日明园</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39</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景尚墅</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0</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咖尔花园</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41</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秀圣花苑1期</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42</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秀圣花苑2期</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0</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43</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金盛花苑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中梁一号院</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45</w:t>
            </w:r>
          </w:p>
        </w:tc>
        <w:tc>
          <w:tcPr>
            <w:tcW w:w="76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高照</w:t>
            </w: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艺墅家</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象贤花苑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置信公寓</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人才公寓</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49</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丝绸公寓</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50</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泾港花苑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51</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绿城悦庄</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0</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52</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华城右岸</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0</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53</w:t>
            </w:r>
          </w:p>
        </w:tc>
        <w:tc>
          <w:tcPr>
            <w:tcW w:w="76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王江泾</w:t>
            </w: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长虹新村南区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长虹新村北区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55</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悦珑湾</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运河大公馆</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嘉绸新村</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北虹小区、北虹小区东区、北虹小区西区、北虹小区北区，打围墙后合并成一个小区（北虹小区）</w:t>
            </w:r>
          </w:p>
        </w:tc>
        <w:tc>
          <w:tcPr>
            <w:tcW w:w="1301"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2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90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59</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60</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61</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62</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长虹春天</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63</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闻荷府</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滨河景苑2期东区</w:t>
            </w:r>
          </w:p>
        </w:tc>
        <w:tc>
          <w:tcPr>
            <w:tcW w:w="1301"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65</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长虹花园东区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滨河景苑3期</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诚恒世家别墅区</w:t>
            </w:r>
          </w:p>
        </w:tc>
        <w:tc>
          <w:tcPr>
            <w:tcW w:w="1301"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宇泗浜村</w:t>
            </w:r>
          </w:p>
        </w:tc>
        <w:tc>
          <w:tcPr>
            <w:tcW w:w="1301"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智安小区</w:t>
            </w:r>
          </w:p>
        </w:tc>
        <w:tc>
          <w:tcPr>
            <w:tcW w:w="780"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69</w:t>
            </w:r>
          </w:p>
        </w:tc>
        <w:tc>
          <w:tcPr>
            <w:tcW w:w="76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王店</w:t>
            </w: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梅里花苑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70</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汇丰小区北区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71</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御景湾</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72</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兴乐苑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73</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嘉乐苑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花园小区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75</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常华苑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金桥商街</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解放新村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明珠公寓</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79</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人民新村</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80</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梅里春天</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81</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凤珍村大石渡</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82</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庄安新桥小区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83</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国庆嘉苑2期</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八联村窄篰小区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85</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逸庭广场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镇西村姚家木桥</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镇西小区二期</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16</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67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三建小区</w:t>
            </w:r>
          </w:p>
        </w:tc>
        <w:tc>
          <w:tcPr>
            <w:tcW w:w="1301"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trPr>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视频封闭</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89</w:t>
            </w:r>
          </w:p>
        </w:tc>
        <w:tc>
          <w:tcPr>
            <w:tcW w:w="765"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洪合</w:t>
            </w: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上源华庭</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80" w:type="dxa"/>
            <w:shd w:val="clear" w:color="auto" w:fill="auto"/>
            <w:noWrap/>
            <w:vAlign w:val="bottom"/>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90</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上城华庭</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bottom"/>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91</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新大蓝庭</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80" w:type="dxa"/>
            <w:shd w:val="clear" w:color="auto" w:fill="auto"/>
            <w:noWrap/>
            <w:vAlign w:val="bottom"/>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92</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美达广场</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80" w:type="dxa"/>
            <w:shd w:val="clear" w:color="auto" w:fill="auto"/>
            <w:noWrap/>
            <w:vAlign w:val="bottom"/>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93</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洪乐苑</w:t>
            </w:r>
          </w:p>
        </w:tc>
        <w:tc>
          <w:tcPr>
            <w:tcW w:w="1301"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封闭式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780" w:type="dxa"/>
            <w:shd w:val="clear" w:color="auto" w:fill="auto"/>
            <w:noWrap/>
            <w:vAlign w:val="bottom"/>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94</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restart"/>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新王桥村&amp;小桃园</w:t>
            </w:r>
          </w:p>
        </w:tc>
        <w:tc>
          <w:tcPr>
            <w:tcW w:w="1301"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13</w:t>
            </w:r>
          </w:p>
        </w:tc>
        <w:tc>
          <w:tcPr>
            <w:tcW w:w="72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26</w:t>
            </w:r>
          </w:p>
        </w:tc>
        <w:tc>
          <w:tcPr>
            <w:tcW w:w="780" w:type="dxa"/>
            <w:vMerge w:val="restart"/>
            <w:shd w:val="clear" w:color="auto" w:fill="auto"/>
            <w:noWrap/>
            <w:vAlign w:val="bottom"/>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056" w:type="dxa"/>
            <w:vMerge w:val="restart"/>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95</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1301"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0" w:type="auto"/>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center"/>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96</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建北水秀里南区</w:t>
            </w:r>
          </w:p>
        </w:tc>
        <w:tc>
          <w:tcPr>
            <w:tcW w:w="1301"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16</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16</w:t>
            </w:r>
          </w:p>
        </w:tc>
        <w:tc>
          <w:tcPr>
            <w:tcW w:w="780" w:type="dxa"/>
            <w:shd w:val="clear" w:color="auto" w:fill="auto"/>
            <w:noWrap/>
            <w:vAlign w:val="bottom"/>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97</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建北水秀里北区</w:t>
            </w:r>
          </w:p>
        </w:tc>
        <w:tc>
          <w:tcPr>
            <w:tcW w:w="1301"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780" w:type="dxa"/>
            <w:shd w:val="clear" w:color="auto" w:fill="auto"/>
            <w:noWrap/>
            <w:vAlign w:val="bottom"/>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675"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98</w:t>
            </w:r>
          </w:p>
        </w:tc>
        <w:tc>
          <w:tcPr>
            <w:tcW w:w="0" w:type="auto"/>
            <w:vMerge w:val="continue"/>
            <w:shd w:val="clear" w:color="auto" w:fill="auto"/>
            <w:noWrap w:val="0"/>
            <w:vAlign w:val="center"/>
          </w:tcPr>
          <w:p>
            <w:pPr>
              <w:widowControl/>
              <w:spacing w:after="60" w:afterLines="25" w:line="360" w:lineRule="exact"/>
              <w:jc w:val="left"/>
              <w:rPr>
                <w:rFonts w:ascii="宋体" w:hAnsi="宋体" w:cs="宋体"/>
                <w:color w:val="000000"/>
                <w:kern w:val="0"/>
                <w:szCs w:val="21"/>
              </w:rPr>
            </w:pPr>
          </w:p>
        </w:tc>
        <w:tc>
          <w:tcPr>
            <w:tcW w:w="1503"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洪新小区</w:t>
            </w:r>
          </w:p>
        </w:tc>
        <w:tc>
          <w:tcPr>
            <w:tcW w:w="1301" w:type="dxa"/>
            <w:shd w:val="clear" w:color="auto" w:fill="auto"/>
            <w:noWrap w:val="0"/>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开放式</w:t>
            </w:r>
          </w:p>
        </w:tc>
        <w:tc>
          <w:tcPr>
            <w:tcW w:w="13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智安</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18</w:t>
            </w:r>
          </w:p>
        </w:tc>
        <w:tc>
          <w:tcPr>
            <w:tcW w:w="780" w:type="dxa"/>
            <w:shd w:val="clear" w:color="auto" w:fill="auto"/>
            <w:noWrap/>
            <w:vAlign w:val="bottom"/>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624" w:type="dxa"/>
            <w:gridSpan w:val="5"/>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小计</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292</w:t>
            </w:r>
          </w:p>
        </w:tc>
        <w:tc>
          <w:tcPr>
            <w:tcW w:w="72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390</w:t>
            </w:r>
          </w:p>
        </w:tc>
        <w:tc>
          <w:tcPr>
            <w:tcW w:w="90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579</w:t>
            </w:r>
          </w:p>
        </w:tc>
        <w:tc>
          <w:tcPr>
            <w:tcW w:w="780"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262</w:t>
            </w:r>
          </w:p>
        </w:tc>
        <w:tc>
          <w:tcPr>
            <w:tcW w:w="1056" w:type="dxa"/>
            <w:shd w:val="clear" w:color="auto" w:fill="auto"/>
            <w:noWrap/>
            <w:vAlign w:val="center"/>
          </w:tcPr>
          <w:p>
            <w:pPr>
              <w:widowControl/>
              <w:spacing w:after="60" w:afterLines="25" w:line="360" w:lineRule="exact"/>
              <w:jc w:val="center"/>
              <w:rPr>
                <w:rFonts w:ascii="宋体" w:hAnsi="宋体" w:cs="宋体"/>
                <w:color w:val="000000"/>
                <w:kern w:val="0"/>
                <w:szCs w:val="21"/>
              </w:rPr>
            </w:pPr>
            <w:r>
              <w:rPr>
                <w:rFonts w:hint="eastAsia" w:ascii="宋体" w:hAnsi="宋体" w:cs="宋体"/>
                <w:color w:val="000000"/>
                <w:kern w:val="0"/>
                <w:szCs w:val="21"/>
              </w:rPr>
              <w:t>292</w:t>
            </w:r>
          </w:p>
        </w:tc>
      </w:tr>
    </w:tbl>
    <w:p>
      <w:pPr>
        <w:spacing w:before="120" w:beforeLines="50"/>
        <w:ind w:firstLine="422" w:firstLineChars="200"/>
        <w:rPr>
          <w:rFonts w:ascii="宋体" w:hAnsi="宋体"/>
          <w:b/>
          <w:szCs w:val="21"/>
        </w:rPr>
      </w:pPr>
      <w:r>
        <w:rPr>
          <w:rFonts w:hint="eastAsia" w:ascii="宋体" w:hAnsi="宋体"/>
          <w:b/>
          <w:szCs w:val="21"/>
        </w:rPr>
        <w:t>四、服务中所含相关系统、设备参考技术要求</w:t>
      </w:r>
    </w:p>
    <w:tbl>
      <w:tblPr>
        <w:tblStyle w:val="46"/>
        <w:tblW w:w="9640"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2556"/>
        <w:gridCol w:w="6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spacing w:after="60" w:afterLines="25" w:line="360" w:lineRule="exact"/>
              <w:jc w:val="center"/>
            </w:pPr>
            <w:r>
              <w:rPr>
                <w:rFonts w:hint="eastAsia"/>
              </w:rPr>
              <w:t>序号</w:t>
            </w:r>
          </w:p>
        </w:tc>
        <w:tc>
          <w:tcPr>
            <w:tcW w:w="2556" w:type="dxa"/>
            <w:shd w:val="clear" w:color="auto" w:fill="auto"/>
            <w:noWrap w:val="0"/>
            <w:tcMar>
              <w:top w:w="15" w:type="dxa"/>
              <w:left w:w="15" w:type="dxa"/>
              <w:bottom w:w="15" w:type="dxa"/>
              <w:right w:w="15" w:type="dxa"/>
            </w:tcMar>
            <w:vAlign w:val="center"/>
          </w:tcPr>
          <w:p>
            <w:pPr>
              <w:spacing w:after="60" w:afterLines="25" w:line="360" w:lineRule="exact"/>
              <w:jc w:val="center"/>
            </w:pPr>
            <w:r>
              <w:rPr>
                <w:rFonts w:hint="eastAsia"/>
              </w:rPr>
              <w:t>产品类别</w:t>
            </w:r>
          </w:p>
        </w:tc>
        <w:tc>
          <w:tcPr>
            <w:tcW w:w="6297" w:type="dxa"/>
            <w:shd w:val="clear" w:color="auto" w:fill="auto"/>
            <w:noWrap w:val="0"/>
            <w:tcMar>
              <w:top w:w="15" w:type="dxa"/>
              <w:left w:w="15" w:type="dxa"/>
              <w:bottom w:w="15" w:type="dxa"/>
              <w:right w:w="15" w:type="dxa"/>
            </w:tcMar>
            <w:vAlign w:val="center"/>
          </w:tcPr>
          <w:p>
            <w:pPr>
              <w:spacing w:after="60" w:afterLines="25" w:line="360" w:lineRule="exact"/>
              <w:jc w:val="center"/>
            </w:pPr>
            <w:r>
              <w:rPr>
                <w:rFonts w:hint="eastAsia"/>
              </w:rPr>
              <w:t>参考技术规格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1</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双400W超星光白光高清网络球型摄像机</w:t>
            </w:r>
          </w:p>
        </w:tc>
        <w:tc>
          <w:tcPr>
            <w:tcW w:w="6297" w:type="dxa"/>
            <w:shd w:val="clear" w:color="auto" w:fill="auto"/>
            <w:noWrap w:val="0"/>
            <w:tcMar>
              <w:top w:w="15" w:type="dxa"/>
              <w:left w:w="15" w:type="dxa"/>
              <w:bottom w:w="15" w:type="dxa"/>
              <w:right w:w="15" w:type="dxa"/>
            </w:tcMar>
            <w:vAlign w:val="center"/>
          </w:tcPr>
          <w:p>
            <w:pPr>
              <w:spacing w:after="25" w:line="360" w:lineRule="exact"/>
              <w:rPr>
                <w:rFonts w:ascii="宋体" w:hAnsi="宋体"/>
                <w:szCs w:val="21"/>
              </w:rPr>
            </w:pPr>
            <w:r>
              <w:rPr>
                <w:rFonts w:hint="eastAsia" w:ascii="宋体" w:hAnsi="宋体"/>
                <w:szCs w:val="21"/>
              </w:rPr>
              <w:t>内置</w:t>
            </w:r>
            <w:r>
              <w:rPr>
                <w:rFonts w:ascii="宋体" w:hAnsi="宋体"/>
                <w:szCs w:val="21"/>
              </w:rPr>
              <w:t>GPU芯片，支持深度学习算法，有效提升检测准确率</w:t>
            </w:r>
          </w:p>
          <w:p>
            <w:pPr>
              <w:spacing w:after="25" w:line="360" w:lineRule="exact"/>
              <w:rPr>
                <w:rFonts w:ascii="宋体" w:hAnsi="宋体"/>
                <w:szCs w:val="21"/>
              </w:rPr>
            </w:pPr>
            <w:r>
              <w:rPr>
                <w:rFonts w:hint="eastAsia" w:ascii="宋体" w:hAnsi="宋体"/>
                <w:szCs w:val="21"/>
              </w:rPr>
              <w:t>支持视频结构化功能：支持机动车抓拍、机动车属性提取；支持非机动车抓拍、非机动车属性提取；支持人体抓拍、人体属性提取；支持人脸抓拍、人脸属性提取；支持机非人数量统计，搜索报表（球机）；</w:t>
            </w:r>
          </w:p>
          <w:p>
            <w:pPr>
              <w:spacing w:after="25" w:line="360" w:lineRule="exact"/>
              <w:rPr>
                <w:rFonts w:ascii="宋体" w:hAnsi="宋体"/>
                <w:szCs w:val="21"/>
              </w:rPr>
            </w:pPr>
            <w:r>
              <w:rPr>
                <w:rFonts w:hint="eastAsia" w:ascii="宋体" w:hAnsi="宋体"/>
                <w:szCs w:val="21"/>
              </w:rPr>
              <w:t>支持人脸检测；支持人脸优选抓拍；支持人脸增强；支持人脸属性提取；支持</w:t>
            </w:r>
            <w:r>
              <w:rPr>
                <w:rFonts w:ascii="宋体" w:hAnsi="宋体"/>
                <w:szCs w:val="21"/>
              </w:rPr>
              <w:t>7种属性5种表情：性别</w:t>
            </w:r>
            <w:r>
              <w:rPr>
                <w:rFonts w:hint="eastAsia" w:ascii="宋体" w:hAnsi="宋体"/>
                <w:szCs w:val="21"/>
              </w:rPr>
              <w:t>、</w:t>
            </w:r>
            <w:r>
              <w:rPr>
                <w:rFonts w:ascii="宋体" w:hAnsi="宋体"/>
                <w:szCs w:val="21"/>
              </w:rPr>
              <w:t>年龄</w:t>
            </w:r>
            <w:r>
              <w:rPr>
                <w:rFonts w:hint="eastAsia" w:ascii="宋体" w:hAnsi="宋体"/>
                <w:szCs w:val="21"/>
              </w:rPr>
              <w:t>、</w:t>
            </w:r>
            <w:r>
              <w:rPr>
                <w:rFonts w:ascii="宋体" w:hAnsi="宋体"/>
                <w:szCs w:val="21"/>
              </w:rPr>
              <w:t>眼镜</w:t>
            </w:r>
            <w:r>
              <w:rPr>
                <w:rFonts w:hint="eastAsia" w:ascii="宋体" w:hAnsi="宋体"/>
                <w:szCs w:val="21"/>
              </w:rPr>
              <w:t>、</w:t>
            </w:r>
            <w:r>
              <w:rPr>
                <w:rFonts w:ascii="宋体" w:hAnsi="宋体"/>
                <w:szCs w:val="21"/>
              </w:rPr>
              <w:t>表情</w:t>
            </w:r>
            <w:r>
              <w:rPr>
                <w:rFonts w:hint="eastAsia" w:ascii="宋体" w:hAnsi="宋体"/>
                <w:szCs w:val="21"/>
              </w:rPr>
              <w:t>、</w:t>
            </w:r>
            <w:r>
              <w:rPr>
                <w:rFonts w:ascii="宋体" w:hAnsi="宋体"/>
                <w:szCs w:val="21"/>
              </w:rPr>
              <w:t>口罩</w:t>
            </w:r>
            <w:r>
              <w:rPr>
                <w:rFonts w:hint="eastAsia" w:ascii="宋体" w:hAnsi="宋体"/>
                <w:szCs w:val="21"/>
              </w:rPr>
              <w:t>、</w:t>
            </w:r>
            <w:r>
              <w:rPr>
                <w:rFonts w:ascii="宋体" w:hAnsi="宋体"/>
                <w:szCs w:val="21"/>
              </w:rPr>
              <w:t>人种肤色</w:t>
            </w:r>
            <w:r>
              <w:rPr>
                <w:rFonts w:hint="eastAsia" w:ascii="宋体" w:hAnsi="宋体"/>
                <w:szCs w:val="21"/>
              </w:rPr>
              <w:t>、</w:t>
            </w:r>
            <w:r>
              <w:rPr>
                <w:rFonts w:ascii="宋体" w:hAnsi="宋体"/>
                <w:szCs w:val="21"/>
              </w:rPr>
              <w:t>胡子；支持多种人脸抠图方案设置：单寸照</w:t>
            </w:r>
            <w:r>
              <w:rPr>
                <w:rFonts w:hint="eastAsia" w:ascii="宋体" w:hAnsi="宋体"/>
                <w:szCs w:val="21"/>
              </w:rPr>
              <w:t>、</w:t>
            </w:r>
            <w:r>
              <w:rPr>
                <w:rFonts w:ascii="宋体" w:hAnsi="宋体"/>
                <w:szCs w:val="21"/>
              </w:rPr>
              <w:t>人脸；支持人脸识别（前端支持导入1万张人脸库）</w:t>
            </w:r>
          </w:p>
          <w:p>
            <w:pPr>
              <w:spacing w:after="25" w:line="360" w:lineRule="exact"/>
              <w:rPr>
                <w:rFonts w:ascii="宋体" w:hAnsi="宋体"/>
                <w:szCs w:val="21"/>
              </w:rPr>
            </w:pPr>
            <w:r>
              <w:rPr>
                <w:rFonts w:hint="eastAsia" w:ascii="宋体" w:hAnsi="宋体"/>
                <w:szCs w:val="21"/>
              </w:rPr>
              <w:t>支持绊线入侵、区域入侵、穿越围栏、徘徊、物品遗留、物品搬移、快速移动、停车、人员聚集检测；支持人车分类报警；支持联动跟踪；</w:t>
            </w:r>
          </w:p>
          <w:p>
            <w:pPr>
              <w:spacing w:after="25" w:line="360" w:lineRule="exact"/>
              <w:rPr>
                <w:rFonts w:ascii="宋体" w:hAnsi="宋体"/>
                <w:szCs w:val="21"/>
              </w:rPr>
            </w:pPr>
            <w:r>
              <w:rPr>
                <w:rFonts w:hint="eastAsia" w:ascii="宋体" w:hAnsi="宋体" w:cs="宋体"/>
                <w:szCs w:val="21"/>
              </w:rPr>
              <w:t>★</w:t>
            </w:r>
            <w:r>
              <w:rPr>
                <w:rFonts w:hint="eastAsia" w:ascii="宋体" w:hAnsi="宋体"/>
                <w:szCs w:val="21"/>
              </w:rPr>
              <w:t>可对多通道多场景的机动车、非机动车、行人进行巡航检测，能同时支持</w:t>
            </w:r>
            <w:r>
              <w:rPr>
                <w:rFonts w:ascii="宋体" w:hAnsi="宋体"/>
                <w:szCs w:val="21"/>
              </w:rPr>
              <w:t>100个目标进行检测（以</w:t>
            </w:r>
            <w:r>
              <w:rPr>
                <w:rFonts w:hint="eastAsia" w:ascii="宋体" w:hAnsi="宋体"/>
                <w:szCs w:val="21"/>
              </w:rPr>
              <w:t>相关</w:t>
            </w:r>
            <w:r>
              <w:rPr>
                <w:rFonts w:ascii="宋体" w:hAnsi="宋体"/>
                <w:szCs w:val="21"/>
              </w:rPr>
              <w:t>检验报告为准）</w:t>
            </w:r>
          </w:p>
          <w:p>
            <w:pPr>
              <w:spacing w:after="25" w:line="360" w:lineRule="exact"/>
              <w:rPr>
                <w:rFonts w:ascii="宋体" w:hAnsi="宋体"/>
                <w:szCs w:val="21"/>
              </w:rPr>
            </w:pPr>
            <w:r>
              <w:rPr>
                <w:rFonts w:hint="eastAsia" w:ascii="宋体" w:hAnsi="宋体"/>
                <w:szCs w:val="21"/>
              </w:rPr>
              <w:t>枪球一体化设计，兼顾全景与细节，达到单个产品既能看全也能看清的优势</w:t>
            </w:r>
          </w:p>
          <w:p>
            <w:pPr>
              <w:spacing w:after="25" w:line="360" w:lineRule="exact"/>
              <w:rPr>
                <w:rFonts w:ascii="宋体" w:hAnsi="宋体"/>
                <w:szCs w:val="21"/>
              </w:rPr>
            </w:pPr>
            <w:r>
              <w:rPr>
                <w:rFonts w:hint="eastAsia" w:ascii="宋体" w:hAnsi="宋体"/>
                <w:szCs w:val="21"/>
              </w:rPr>
              <w:t>支持双云台，设备具备全景、细节两个通道且都支持远程转动调节位置，灵活布控</w:t>
            </w:r>
          </w:p>
          <w:p>
            <w:pPr>
              <w:spacing w:after="25" w:line="360" w:lineRule="exact"/>
              <w:rPr>
                <w:rFonts w:ascii="宋体" w:hAnsi="宋体"/>
                <w:szCs w:val="21"/>
              </w:rPr>
            </w:pPr>
            <w:r>
              <w:rPr>
                <w:rFonts w:hint="eastAsia" w:ascii="宋体" w:hAnsi="宋体"/>
                <w:szCs w:val="21"/>
              </w:rPr>
              <w:t>细节相机支持4</w:t>
            </w:r>
            <w:r>
              <w:rPr>
                <w:rFonts w:ascii="宋体" w:hAnsi="宋体"/>
                <w:szCs w:val="21"/>
              </w:rPr>
              <w:t>倍光学变倍，16倍数字变倍</w:t>
            </w:r>
          </w:p>
          <w:p>
            <w:pPr>
              <w:spacing w:after="25" w:line="360" w:lineRule="exact"/>
              <w:rPr>
                <w:rFonts w:ascii="宋体" w:hAnsi="宋体"/>
                <w:szCs w:val="21"/>
              </w:rPr>
            </w:pPr>
            <w:r>
              <w:rPr>
                <w:rFonts w:hint="eastAsia" w:ascii="宋体" w:hAnsi="宋体"/>
                <w:szCs w:val="21"/>
              </w:rPr>
              <w:t>全景细节都采用</w:t>
            </w:r>
            <w:r>
              <w:rPr>
                <w:rFonts w:ascii="宋体" w:hAnsi="宋体"/>
                <w:szCs w:val="21"/>
              </w:rPr>
              <w:t>400万像素1/1.8英寸CMOS传感器</w:t>
            </w:r>
          </w:p>
          <w:p>
            <w:pPr>
              <w:spacing w:after="25" w:line="360" w:lineRule="exact"/>
              <w:rPr>
                <w:rFonts w:ascii="宋体" w:hAnsi="宋体"/>
                <w:szCs w:val="21"/>
              </w:rPr>
            </w:pPr>
            <w:r>
              <w:rPr>
                <w:rFonts w:hint="eastAsia" w:ascii="宋体" w:hAnsi="宋体" w:cs="宋体"/>
                <w:szCs w:val="21"/>
              </w:rPr>
              <w:t>★</w:t>
            </w:r>
            <w:r>
              <w:rPr>
                <w:rFonts w:hint="eastAsia" w:ascii="宋体" w:hAnsi="宋体"/>
                <w:szCs w:val="21"/>
              </w:rPr>
              <w:t>为保证夜晚的监控及抓拍目标的效果，全景摄像机光圈需要为</w:t>
            </w:r>
            <w:r>
              <w:rPr>
                <w:rFonts w:ascii="宋体" w:hAnsi="宋体"/>
                <w:szCs w:val="21"/>
              </w:rPr>
              <w:t>F1.0±10 %，细节摄像机需要为：F1.2±10%（以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支持超星光级超低照度。全景相机：</w:t>
            </w:r>
            <w:r>
              <w:rPr>
                <w:rFonts w:ascii="宋体" w:hAnsi="宋体"/>
                <w:szCs w:val="21"/>
              </w:rPr>
              <w:t>0.0005Lux/F1.0（彩色），0.0005Lux/F1.0（黑白）；细节相机：0.001Lux/F1.35（彩色），0.0001Lux/F1.35（黑白）</w:t>
            </w:r>
          </w:p>
          <w:p>
            <w:pPr>
              <w:spacing w:after="25" w:line="360" w:lineRule="exact"/>
              <w:rPr>
                <w:rFonts w:ascii="宋体" w:hAnsi="宋体"/>
                <w:szCs w:val="21"/>
              </w:rPr>
            </w:pPr>
            <w:r>
              <w:rPr>
                <w:rFonts w:hint="eastAsia" w:ascii="宋体" w:hAnsi="宋体"/>
                <w:szCs w:val="21"/>
              </w:rPr>
              <w:t>支持</w:t>
            </w:r>
            <w:r>
              <w:rPr>
                <w:rFonts w:ascii="宋体" w:hAnsi="宋体"/>
                <w:szCs w:val="21"/>
              </w:rPr>
              <w:t>H.265编码，实现超低码流传输</w:t>
            </w:r>
          </w:p>
          <w:p>
            <w:pPr>
              <w:spacing w:after="25" w:line="360" w:lineRule="exact"/>
              <w:rPr>
                <w:rFonts w:ascii="宋体" w:hAnsi="宋体"/>
                <w:szCs w:val="21"/>
              </w:rPr>
            </w:pPr>
            <w:r>
              <w:rPr>
                <w:rFonts w:hint="eastAsia" w:ascii="宋体" w:hAnsi="宋体"/>
                <w:szCs w:val="21"/>
              </w:rPr>
              <w:t>全景相机内置</w:t>
            </w:r>
            <w:r>
              <w:rPr>
                <w:rFonts w:ascii="宋体" w:hAnsi="宋体"/>
                <w:szCs w:val="21"/>
              </w:rPr>
              <w:t>30米白光灯补光，采用暖色调和柔化处理，有效降低炫目程度；细节相机内置100米红外灯补光，采用倍率与红外灯功率匹配算法，补光效果更均匀</w:t>
            </w:r>
          </w:p>
          <w:p>
            <w:pPr>
              <w:spacing w:after="25" w:line="360" w:lineRule="exact"/>
              <w:rPr>
                <w:rFonts w:ascii="宋体" w:hAnsi="宋体"/>
                <w:szCs w:val="21"/>
              </w:rPr>
            </w:pPr>
            <w:r>
              <w:rPr>
                <w:rFonts w:hint="eastAsia" w:ascii="宋体" w:hAnsi="宋体" w:cs="宋体"/>
                <w:szCs w:val="21"/>
              </w:rPr>
              <w:t>★</w:t>
            </w:r>
            <w:r>
              <w:rPr>
                <w:rFonts w:hint="eastAsia" w:ascii="宋体" w:hAnsi="宋体"/>
                <w:szCs w:val="21"/>
              </w:rPr>
              <w:t>设备具备全景、细节两个通道且都支持云台转动位置，全景水平旋转范围：水平角度</w:t>
            </w:r>
            <w:r>
              <w:rPr>
                <w:rFonts w:ascii="宋体" w:hAnsi="宋体"/>
                <w:szCs w:val="21"/>
              </w:rPr>
              <w:t>0～360°，细节水平旋转范围：水平角度0～250° （以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支持</w:t>
            </w:r>
            <w:r>
              <w:rPr>
                <w:rFonts w:ascii="宋体" w:hAnsi="宋体"/>
                <w:szCs w:val="21"/>
              </w:rPr>
              <w:t>300个预置位，8条巡航路径，5条巡迹路径</w:t>
            </w:r>
          </w:p>
          <w:p>
            <w:pPr>
              <w:spacing w:after="25" w:line="360" w:lineRule="exact"/>
              <w:rPr>
                <w:rFonts w:ascii="宋体" w:hAnsi="宋体"/>
                <w:szCs w:val="21"/>
              </w:rPr>
            </w:pPr>
            <w:r>
              <w:rPr>
                <w:rFonts w:hint="eastAsia" w:ascii="宋体" w:hAnsi="宋体"/>
                <w:szCs w:val="21"/>
              </w:rPr>
              <w:t>支持</w:t>
            </w:r>
            <w:r>
              <w:rPr>
                <w:rFonts w:ascii="宋体" w:hAnsi="宋体"/>
                <w:szCs w:val="21"/>
              </w:rPr>
              <w:t>1路音频输入和1路音频输出</w:t>
            </w:r>
          </w:p>
          <w:p>
            <w:pPr>
              <w:spacing w:after="25" w:line="360" w:lineRule="exact"/>
              <w:rPr>
                <w:rFonts w:ascii="宋体" w:hAnsi="宋体"/>
                <w:szCs w:val="21"/>
              </w:rPr>
            </w:pPr>
            <w:r>
              <w:rPr>
                <w:rFonts w:hint="eastAsia" w:ascii="宋体" w:hAnsi="宋体"/>
                <w:szCs w:val="21"/>
              </w:rPr>
              <w:t>内置</w:t>
            </w:r>
            <w:r>
              <w:rPr>
                <w:rFonts w:ascii="宋体" w:hAnsi="宋体"/>
                <w:szCs w:val="21"/>
              </w:rPr>
              <w:t>2路报警输入和1路报警输出，支持报警联动功能</w:t>
            </w:r>
          </w:p>
          <w:p>
            <w:pPr>
              <w:spacing w:after="25" w:line="360" w:lineRule="exact"/>
              <w:rPr>
                <w:rFonts w:ascii="宋体" w:hAnsi="宋体"/>
                <w:szCs w:val="21"/>
              </w:rPr>
            </w:pPr>
            <w:r>
              <w:rPr>
                <w:rFonts w:hint="eastAsia" w:ascii="宋体" w:hAnsi="宋体"/>
                <w:szCs w:val="21"/>
              </w:rPr>
              <w:t>支持</w:t>
            </w:r>
            <w:r>
              <w:rPr>
                <w:rFonts w:ascii="宋体" w:hAnsi="宋体"/>
                <w:szCs w:val="21"/>
              </w:rPr>
              <w:t>IP67防护等级，8000V防雷、防浪涌和防突波保护</w:t>
            </w:r>
          </w:p>
          <w:p>
            <w:pPr>
              <w:spacing w:after="25" w:line="360" w:lineRule="exact"/>
              <w:rPr>
                <w:rFonts w:ascii="宋体" w:hAnsi="宋体"/>
                <w:szCs w:val="21"/>
              </w:rPr>
            </w:pPr>
            <w:r>
              <w:rPr>
                <w:rFonts w:hint="eastAsia" w:ascii="宋体" w:hAnsi="宋体" w:cs="宋体"/>
                <w:szCs w:val="21"/>
              </w:rPr>
              <w:t>★</w:t>
            </w:r>
            <w:r>
              <w:rPr>
                <w:rFonts w:hint="eastAsia" w:ascii="宋体" w:hAnsi="宋体"/>
                <w:szCs w:val="21"/>
              </w:rPr>
              <w:t>电源电压在</w:t>
            </w:r>
            <w:r>
              <w:rPr>
                <w:rFonts w:ascii="宋体" w:hAnsi="宋体"/>
                <w:szCs w:val="21"/>
              </w:rPr>
              <w:t>AC24V±55%/DC36V±55%范围内变化时，设备可正常工作（以</w:t>
            </w:r>
            <w:r>
              <w:rPr>
                <w:rFonts w:hint="eastAsia" w:ascii="宋体" w:hAnsi="宋体"/>
                <w:szCs w:val="21"/>
              </w:rPr>
              <w:t>相关</w:t>
            </w:r>
            <w:r>
              <w:rPr>
                <w:rFonts w:ascii="宋体" w:hAnsi="宋体"/>
                <w:szCs w:val="21"/>
              </w:rPr>
              <w:t>检验报告为准</w:t>
            </w:r>
            <w:r>
              <w:rPr>
                <w:rFonts w:hint="eastAsia" w:ascii="宋体" w:hAnsi="宋体"/>
                <w:szCs w:val="21"/>
              </w:rPr>
              <w:t>）支持国密算法</w:t>
            </w:r>
            <w:r>
              <w:rPr>
                <w:rFonts w:ascii="宋体" w:hAnsi="宋体"/>
                <w:szCs w:val="21"/>
              </w:rPr>
              <w:t>SM1、SM2、SM3、SM4，支持GB35114A级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2</w:t>
            </w:r>
          </w:p>
        </w:tc>
        <w:tc>
          <w:tcPr>
            <w:tcW w:w="2556" w:type="dxa"/>
            <w:shd w:val="clear" w:color="auto" w:fill="auto"/>
            <w:noWrap w:val="0"/>
            <w:tcMar>
              <w:top w:w="15" w:type="dxa"/>
              <w:left w:w="15" w:type="dxa"/>
              <w:bottom w:w="15" w:type="dxa"/>
              <w:right w:w="15" w:type="dxa"/>
            </w:tcMar>
            <w:vAlign w:val="center"/>
          </w:tcPr>
          <w:p>
            <w:pPr>
              <w:spacing w:after="60" w:afterLines="25" w:line="360" w:lineRule="exact"/>
              <w:jc w:val="center"/>
              <w:rPr>
                <w:rFonts w:ascii="宋体" w:hAnsi="宋体" w:cs="宋体"/>
                <w:color w:val="000000"/>
                <w:kern w:val="0"/>
                <w:szCs w:val="21"/>
                <w:lang w:bidi="ar"/>
              </w:rPr>
            </w:pPr>
            <w:r>
              <w:rPr>
                <w:rFonts w:hint="eastAsia" w:ascii="宋体" w:hAnsi="宋体" w:cs="宋体"/>
                <w:color w:val="000000"/>
                <w:kern w:val="0"/>
                <w:szCs w:val="21"/>
                <w:lang w:bidi="ar"/>
              </w:rPr>
              <w:t>智能出入口摄像机</w:t>
            </w:r>
          </w:p>
        </w:tc>
        <w:tc>
          <w:tcPr>
            <w:tcW w:w="6297" w:type="dxa"/>
            <w:shd w:val="clear" w:color="auto" w:fill="auto"/>
            <w:noWrap w:val="0"/>
            <w:tcMar>
              <w:top w:w="15" w:type="dxa"/>
              <w:left w:w="15" w:type="dxa"/>
              <w:bottom w:w="15" w:type="dxa"/>
              <w:right w:w="15" w:type="dxa"/>
            </w:tcMar>
            <w:vAlign w:val="center"/>
          </w:tcPr>
          <w:p>
            <w:pPr>
              <w:spacing w:after="25" w:line="360" w:lineRule="exact"/>
              <w:rPr>
                <w:rFonts w:ascii="宋体" w:hAnsi="宋体"/>
                <w:szCs w:val="21"/>
              </w:rPr>
            </w:pPr>
            <w:r>
              <w:rPr>
                <w:rFonts w:hint="eastAsia" w:ascii="宋体" w:hAnsi="宋体"/>
                <w:szCs w:val="21"/>
              </w:rPr>
              <w:t>采用高性能</w:t>
            </w:r>
            <w:r>
              <w:rPr>
                <w:rFonts w:ascii="宋体" w:hAnsi="宋体"/>
                <w:szCs w:val="21"/>
              </w:rPr>
              <w:t xml:space="preserve"> CMOS图像传感器</w:t>
            </w:r>
          </w:p>
          <w:p>
            <w:pPr>
              <w:spacing w:after="25" w:line="360" w:lineRule="exact"/>
              <w:rPr>
                <w:rFonts w:hint="eastAsia" w:ascii="宋体" w:hAnsi="宋体"/>
                <w:szCs w:val="21"/>
              </w:rPr>
            </w:pPr>
            <w:r>
              <w:rPr>
                <w:rFonts w:hint="eastAsia" w:ascii="宋体" w:hAnsi="宋体"/>
                <w:szCs w:val="21"/>
              </w:rPr>
              <w:t>标配</w:t>
            </w:r>
            <w:r>
              <w:rPr>
                <w:rFonts w:ascii="宋体" w:hAnsi="宋体"/>
                <w:szCs w:val="21"/>
              </w:rPr>
              <w:t>2.7~13.5mm电动变焦镜头</w:t>
            </w:r>
          </w:p>
          <w:p>
            <w:pPr>
              <w:spacing w:after="25" w:line="360" w:lineRule="exact"/>
              <w:rPr>
                <w:rFonts w:ascii="宋体" w:hAnsi="宋体"/>
                <w:szCs w:val="21"/>
              </w:rPr>
            </w:pPr>
            <w:r>
              <w:rPr>
                <w:rFonts w:hint="eastAsia" w:ascii="宋体" w:hAnsi="宋体"/>
                <w:szCs w:val="21"/>
              </w:rPr>
              <w:t>采用高性能图像预处理技术（</w:t>
            </w:r>
            <w:r>
              <w:rPr>
                <w:rFonts w:ascii="宋体" w:hAnsi="宋体"/>
                <w:szCs w:val="21"/>
              </w:rPr>
              <w:t>ISP）</w:t>
            </w:r>
          </w:p>
          <w:p>
            <w:pPr>
              <w:spacing w:after="25" w:line="360" w:lineRule="exact"/>
              <w:rPr>
                <w:rFonts w:ascii="宋体" w:hAnsi="宋体"/>
                <w:szCs w:val="21"/>
              </w:rPr>
            </w:pPr>
            <w:r>
              <w:rPr>
                <w:rFonts w:hint="eastAsia" w:ascii="宋体" w:hAnsi="宋体"/>
                <w:szCs w:val="21"/>
              </w:rPr>
              <w:t>视频压缩标准支持</w:t>
            </w:r>
            <w:r>
              <w:rPr>
                <w:rFonts w:ascii="宋体" w:hAnsi="宋体"/>
                <w:szCs w:val="21"/>
              </w:rPr>
              <w:t>H.265，H.264，MJPEG</w:t>
            </w:r>
          </w:p>
          <w:p>
            <w:pPr>
              <w:spacing w:after="25" w:line="360" w:lineRule="exact"/>
              <w:rPr>
                <w:rFonts w:hint="eastAsia" w:ascii="宋体" w:hAnsi="宋体"/>
                <w:szCs w:val="21"/>
              </w:rPr>
            </w:pPr>
            <w:r>
              <w:rPr>
                <w:rFonts w:ascii="宋体" w:hAnsi="宋体"/>
                <w:szCs w:val="21"/>
              </w:rPr>
              <w:t>支持1路主码流，1路辅码流及一路抓图码流，每个码流参数可独立设置</w:t>
            </w:r>
          </w:p>
          <w:p>
            <w:pPr>
              <w:spacing w:after="25" w:line="360" w:lineRule="exact"/>
              <w:rPr>
                <w:rFonts w:ascii="宋体" w:hAnsi="宋体"/>
                <w:szCs w:val="21"/>
              </w:rPr>
            </w:pPr>
            <w:r>
              <w:rPr>
                <w:rFonts w:ascii="宋体" w:hAnsi="宋体"/>
                <w:szCs w:val="21"/>
              </w:rPr>
              <w:t>视频分辨率为主码流：1920×1080,1280×720；辅码流：1280×720,704×576,352×288图像分辨率为1920×1080（不包括OSD黑边），1600×1200，1280×720</w:t>
            </w:r>
          </w:p>
          <w:p>
            <w:pPr>
              <w:spacing w:after="25" w:line="360" w:lineRule="exact"/>
              <w:rPr>
                <w:rFonts w:hint="eastAsia" w:ascii="宋体" w:hAnsi="宋体"/>
                <w:szCs w:val="21"/>
              </w:rPr>
            </w:pPr>
            <w:r>
              <w:rPr>
                <w:rFonts w:hint="eastAsia" w:ascii="宋体" w:hAnsi="宋体"/>
                <w:szCs w:val="21"/>
              </w:rPr>
              <w:t>支持倾斜车牌识别，水平</w:t>
            </w:r>
            <w:r>
              <w:rPr>
                <w:rFonts w:ascii="宋体" w:hAnsi="宋体"/>
                <w:szCs w:val="21"/>
              </w:rPr>
              <w:t>60度，倾斜30度（以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支持串口推送功能，可将过车信息通过</w:t>
            </w:r>
            <w:r>
              <w:rPr>
                <w:rFonts w:ascii="宋体" w:hAnsi="宋体"/>
                <w:szCs w:val="21"/>
              </w:rPr>
              <w:t>485输出，推送内容可以进行单独配置</w:t>
            </w:r>
          </w:p>
          <w:p>
            <w:pPr>
              <w:spacing w:after="25" w:line="360" w:lineRule="exact"/>
              <w:rPr>
                <w:rFonts w:ascii="宋体" w:hAnsi="宋体"/>
                <w:szCs w:val="21"/>
              </w:rPr>
            </w:pPr>
            <w:r>
              <w:rPr>
                <w:rFonts w:hint="eastAsia" w:ascii="宋体" w:hAnsi="宋体"/>
                <w:szCs w:val="21"/>
              </w:rPr>
              <w:t>支持智能识别功能，可识别车辆特征包括：车牌、车身颜色、车标、车牌颜色、车牌像素大小，车头方向，车牌车辆置信度等信息</w:t>
            </w:r>
          </w:p>
          <w:p>
            <w:pPr>
              <w:spacing w:after="25" w:line="360" w:lineRule="exact"/>
              <w:rPr>
                <w:rFonts w:ascii="宋体" w:hAnsi="宋体"/>
                <w:szCs w:val="21"/>
              </w:rPr>
            </w:pPr>
            <w:r>
              <w:rPr>
                <w:rFonts w:hint="eastAsia" w:ascii="宋体" w:hAnsi="宋体"/>
                <w:szCs w:val="21"/>
              </w:rPr>
              <w:t>支持污损车牌、遮挡车牌识别</w:t>
            </w:r>
            <w:r>
              <w:rPr>
                <w:rFonts w:ascii="宋体" w:hAnsi="宋体"/>
                <w:szCs w:val="21"/>
              </w:rPr>
              <w:t>（以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白天环境光照度应不低于</w:t>
            </w:r>
            <w:r>
              <w:rPr>
                <w:rFonts w:ascii="宋体" w:hAnsi="宋体"/>
                <w:szCs w:val="21"/>
              </w:rPr>
              <w:t>200lx，晚上测试时的辅助设备照明度应不高于100lx。</w:t>
            </w:r>
            <w:r>
              <w:rPr>
                <w:rFonts w:hint="eastAsia" w:ascii="宋体" w:hAnsi="宋体"/>
                <w:szCs w:val="21"/>
              </w:rPr>
              <w:t>最低照度彩色：</w:t>
            </w:r>
            <w:r>
              <w:rPr>
                <w:rFonts w:ascii="宋体" w:hAnsi="宋体"/>
                <w:szCs w:val="21"/>
              </w:rPr>
              <w:t>0.00</w:t>
            </w:r>
            <w:r>
              <w:rPr>
                <w:rFonts w:hint="eastAsia" w:ascii="宋体" w:hAnsi="宋体"/>
                <w:szCs w:val="21"/>
              </w:rPr>
              <w:t>2</w:t>
            </w:r>
            <w:r>
              <w:rPr>
                <w:rFonts w:ascii="宋体" w:hAnsi="宋体"/>
                <w:szCs w:val="21"/>
              </w:rPr>
              <w:t>lx，黑白：0.00</w:t>
            </w:r>
            <w:r>
              <w:rPr>
                <w:rFonts w:hint="eastAsia" w:ascii="宋体" w:hAnsi="宋体"/>
                <w:szCs w:val="21"/>
              </w:rPr>
              <w:t>2</w:t>
            </w:r>
            <w:r>
              <w:rPr>
                <w:rFonts w:ascii="宋体" w:hAnsi="宋体"/>
                <w:szCs w:val="21"/>
              </w:rPr>
              <w:t xml:space="preserve"> lx。抓拍率：≥99</w:t>
            </w:r>
            <w:r>
              <w:rPr>
                <w:rFonts w:hint="eastAsia" w:ascii="宋体" w:hAnsi="宋体"/>
                <w:szCs w:val="21"/>
              </w:rPr>
              <w:t>.</w:t>
            </w:r>
            <w:r>
              <w:rPr>
                <w:rFonts w:ascii="宋体" w:hAnsi="宋体"/>
                <w:szCs w:val="21"/>
              </w:rPr>
              <w:t>9%，识别率：≥99%，车标识别率：≥99%，车型识别率：≥99%，车身颜色识别率：≥99%（以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hint="eastAsia" w:ascii="宋体" w:hAnsi="宋体"/>
                <w:szCs w:val="21"/>
              </w:rPr>
            </w:pPr>
            <w:r>
              <w:rPr>
                <w:rFonts w:hint="eastAsia" w:ascii="宋体" w:hAnsi="宋体"/>
                <w:szCs w:val="21"/>
              </w:rPr>
              <w:t>应能在A</w:t>
            </w:r>
            <w:r>
              <w:rPr>
                <w:rFonts w:ascii="宋体" w:hAnsi="宋体"/>
                <w:szCs w:val="21"/>
              </w:rPr>
              <w:t>C90V</w:t>
            </w:r>
            <w:r>
              <w:rPr>
                <w:rFonts w:hint="eastAsia" w:ascii="宋体" w:hAnsi="宋体"/>
                <w:szCs w:val="21"/>
              </w:rPr>
              <w:t>~</w:t>
            </w:r>
            <w:r>
              <w:rPr>
                <w:rFonts w:ascii="宋体" w:hAnsi="宋体"/>
                <w:szCs w:val="21"/>
              </w:rPr>
              <w:t>AC300V</w:t>
            </w:r>
            <w:r>
              <w:rPr>
                <w:rFonts w:hint="eastAsia" w:ascii="宋体" w:hAnsi="宋体"/>
                <w:szCs w:val="21"/>
              </w:rPr>
              <w:t>的供电条件下正常工作</w:t>
            </w:r>
            <w:r>
              <w:rPr>
                <w:rFonts w:ascii="宋体" w:hAnsi="宋体"/>
                <w:szCs w:val="21"/>
              </w:rPr>
              <w:t>（以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支持</w:t>
            </w:r>
            <w:r>
              <w:rPr>
                <w:rFonts w:ascii="宋体" w:hAnsi="宋体"/>
                <w:szCs w:val="21"/>
              </w:rPr>
              <w:t>2个屏蔽区域，屏蔽区内车牌和车辆不识别</w:t>
            </w:r>
          </w:p>
          <w:p>
            <w:pPr>
              <w:spacing w:after="25" w:line="360" w:lineRule="exact"/>
              <w:rPr>
                <w:rFonts w:ascii="宋体" w:hAnsi="宋体"/>
                <w:szCs w:val="21"/>
              </w:rPr>
            </w:pPr>
            <w:r>
              <w:rPr>
                <w:rFonts w:hint="eastAsia" w:ascii="宋体" w:hAnsi="宋体"/>
                <w:szCs w:val="21"/>
              </w:rPr>
              <w:t>丰富多样的信号、数据及通讯接口，可控制出入口道闸等外设</w:t>
            </w:r>
          </w:p>
          <w:p>
            <w:pPr>
              <w:spacing w:after="25" w:line="360" w:lineRule="exact"/>
              <w:rPr>
                <w:rFonts w:ascii="宋体" w:hAnsi="宋体"/>
                <w:szCs w:val="21"/>
              </w:rPr>
            </w:pPr>
            <w:r>
              <w:rPr>
                <w:rFonts w:hint="eastAsia" w:ascii="宋体" w:hAnsi="宋体"/>
                <w:szCs w:val="21"/>
              </w:rPr>
              <w:t>内置</w:t>
            </w:r>
            <w:r>
              <w:rPr>
                <w:rFonts w:ascii="宋体" w:hAnsi="宋体"/>
                <w:szCs w:val="21"/>
              </w:rPr>
              <w:t>LED补光灯，简化补光灯安装调试</w:t>
            </w:r>
          </w:p>
          <w:p>
            <w:pPr>
              <w:spacing w:after="25" w:line="360" w:lineRule="exact"/>
              <w:rPr>
                <w:rFonts w:ascii="宋体" w:hAnsi="宋体"/>
                <w:szCs w:val="21"/>
              </w:rPr>
            </w:pPr>
            <w:r>
              <w:rPr>
                <w:rFonts w:hint="eastAsia" w:ascii="宋体" w:hAnsi="宋体"/>
                <w:szCs w:val="21"/>
              </w:rPr>
              <w:t>完善的低功耗一体化结构设计，</w:t>
            </w:r>
            <w:r>
              <w:rPr>
                <w:rFonts w:ascii="宋体" w:hAnsi="宋体"/>
                <w:szCs w:val="21"/>
              </w:rPr>
              <w:t>IP67防护等级，防起雾</w:t>
            </w:r>
          </w:p>
          <w:p>
            <w:pPr>
              <w:spacing w:after="25" w:line="360" w:lineRule="exact"/>
              <w:rPr>
                <w:rFonts w:ascii="宋体" w:hAnsi="宋体"/>
                <w:szCs w:val="21"/>
              </w:rPr>
            </w:pPr>
            <w:r>
              <w:rPr>
                <w:rFonts w:hint="eastAsia" w:ascii="宋体" w:hAnsi="宋体"/>
                <w:szCs w:val="21"/>
              </w:rPr>
              <w:t>加长遮阳罩挡雨能力更强，满足户外使用需求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3</w:t>
            </w:r>
          </w:p>
        </w:tc>
        <w:tc>
          <w:tcPr>
            <w:tcW w:w="2556" w:type="dxa"/>
            <w:shd w:val="clear" w:color="auto" w:fill="auto"/>
            <w:noWrap w:val="0"/>
            <w:tcMar>
              <w:top w:w="15" w:type="dxa"/>
              <w:left w:w="15" w:type="dxa"/>
              <w:bottom w:w="15" w:type="dxa"/>
              <w:right w:w="15" w:type="dxa"/>
            </w:tcMar>
            <w:vAlign w:val="center"/>
          </w:tcPr>
          <w:p>
            <w:pPr>
              <w:spacing w:after="60" w:afterLines="25" w:line="360" w:lineRule="exact"/>
              <w:jc w:val="center"/>
              <w:rPr>
                <w:rFonts w:ascii="宋体" w:hAnsi="宋体" w:cs="宋体"/>
                <w:color w:val="000000"/>
                <w:kern w:val="0"/>
                <w:szCs w:val="21"/>
                <w:lang w:bidi="ar"/>
              </w:rPr>
            </w:pPr>
            <w:r>
              <w:rPr>
                <w:rFonts w:hint="eastAsia" w:ascii="宋体" w:hAnsi="宋体" w:cs="宋体"/>
                <w:color w:val="000000"/>
                <w:kern w:val="0"/>
                <w:szCs w:val="21"/>
                <w:lang w:bidi="ar"/>
              </w:rPr>
              <w:t>200W监控摄像机</w:t>
            </w:r>
          </w:p>
        </w:tc>
        <w:tc>
          <w:tcPr>
            <w:tcW w:w="6297" w:type="dxa"/>
            <w:shd w:val="clear" w:color="auto" w:fill="auto"/>
            <w:noWrap w:val="0"/>
            <w:tcMar>
              <w:top w:w="15" w:type="dxa"/>
              <w:left w:w="15" w:type="dxa"/>
              <w:bottom w:w="15" w:type="dxa"/>
              <w:right w:w="15" w:type="dxa"/>
            </w:tcMar>
            <w:vAlign w:val="center"/>
          </w:tcPr>
          <w:p>
            <w:pPr>
              <w:spacing w:after="25" w:line="360" w:lineRule="exact"/>
              <w:rPr>
                <w:rFonts w:ascii="宋体" w:hAnsi="宋体"/>
                <w:szCs w:val="21"/>
              </w:rPr>
            </w:pPr>
            <w:r>
              <w:rPr>
                <w:rFonts w:hint="eastAsia" w:ascii="宋体" w:hAnsi="宋体"/>
                <w:szCs w:val="21"/>
              </w:rPr>
              <w:t>采用高性能</w:t>
            </w:r>
            <w:r>
              <w:rPr>
                <w:rFonts w:ascii="宋体" w:hAnsi="宋体"/>
                <w:szCs w:val="21"/>
              </w:rPr>
              <w:t>200万像素1/2.8英寸CMOS图像传感器，低照度效果好，图像清晰度高</w:t>
            </w:r>
            <w:r>
              <w:rPr>
                <w:rFonts w:hint="eastAsia" w:ascii="宋体" w:hAnsi="宋体"/>
                <w:szCs w:val="21"/>
              </w:rPr>
              <w:t>，可输出</w:t>
            </w:r>
            <w:r>
              <w:rPr>
                <w:rFonts w:ascii="宋体" w:hAnsi="宋体"/>
                <w:szCs w:val="21"/>
              </w:rPr>
              <w:t>200万（1920×1080）@25fps</w:t>
            </w:r>
          </w:p>
          <w:p>
            <w:pPr>
              <w:spacing w:after="25" w:line="360" w:lineRule="exact"/>
              <w:rPr>
                <w:rFonts w:ascii="宋体" w:hAnsi="宋体"/>
                <w:szCs w:val="21"/>
              </w:rPr>
            </w:pPr>
            <w:r>
              <w:rPr>
                <w:rFonts w:hint="eastAsia" w:ascii="宋体" w:hAnsi="宋体"/>
                <w:szCs w:val="21"/>
              </w:rPr>
              <w:t>最低照度彩色：</w:t>
            </w:r>
            <w:r>
              <w:rPr>
                <w:rFonts w:ascii="宋体" w:hAnsi="宋体"/>
                <w:szCs w:val="21"/>
              </w:rPr>
              <w:t>0.00</w:t>
            </w:r>
            <w:r>
              <w:rPr>
                <w:rFonts w:hint="eastAsia" w:ascii="宋体" w:hAnsi="宋体"/>
                <w:szCs w:val="21"/>
              </w:rPr>
              <w:t>2</w:t>
            </w:r>
            <w:r>
              <w:rPr>
                <w:rFonts w:ascii="宋体" w:hAnsi="宋体"/>
                <w:szCs w:val="21"/>
              </w:rPr>
              <w:t>lx，黑白：0.00</w:t>
            </w:r>
            <w:r>
              <w:rPr>
                <w:rFonts w:hint="eastAsia" w:ascii="宋体" w:hAnsi="宋体"/>
                <w:szCs w:val="21"/>
              </w:rPr>
              <w:t>1</w:t>
            </w:r>
            <w:r>
              <w:rPr>
                <w:rFonts w:ascii="宋体" w:hAnsi="宋体"/>
                <w:szCs w:val="21"/>
              </w:rPr>
              <w:t xml:space="preserve"> lx。</w:t>
            </w:r>
          </w:p>
          <w:p>
            <w:pPr>
              <w:spacing w:after="25" w:line="360" w:lineRule="exact"/>
              <w:rPr>
                <w:rFonts w:ascii="宋体" w:hAnsi="宋体"/>
                <w:szCs w:val="21"/>
              </w:rPr>
            </w:pPr>
            <w:r>
              <w:rPr>
                <w:rFonts w:hint="eastAsia" w:ascii="宋体" w:hAnsi="宋体"/>
                <w:szCs w:val="21"/>
              </w:rPr>
              <w:t>支持</w:t>
            </w:r>
            <w:r>
              <w:rPr>
                <w:rFonts w:ascii="宋体" w:hAnsi="宋体"/>
                <w:szCs w:val="21"/>
              </w:rPr>
              <w:t>H.265、H.264、MJPEG视频编码格式，其中H.265和H.264都支持Baseline/Main/High Profile。</w:t>
            </w:r>
          </w:p>
          <w:p>
            <w:pPr>
              <w:spacing w:after="25" w:line="360" w:lineRule="exact"/>
              <w:rPr>
                <w:rFonts w:ascii="宋体" w:hAnsi="宋体"/>
                <w:szCs w:val="21"/>
              </w:rPr>
            </w:pPr>
            <w:r>
              <w:rPr>
                <w:rFonts w:hint="eastAsia" w:ascii="宋体" w:hAnsi="宋体"/>
                <w:szCs w:val="21"/>
              </w:rPr>
              <w:t>支持五码流技术，五码流可同时输出，主码流最大</w:t>
            </w:r>
            <w:r>
              <w:rPr>
                <w:rFonts w:ascii="宋体" w:hAnsi="宋体"/>
                <w:szCs w:val="21"/>
              </w:rPr>
              <w:t>1920x1080@30fps，第二码流最大704x480@30fps，第三码流最大1920x1080 @30fps，第四码流最大704x480@30fps，第五码流最大1920x1080@30fps（以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支持帧率动态控制功能，当触发报警时，视频录像帧率应自动调整至设定值</w:t>
            </w:r>
            <w:r>
              <w:rPr>
                <w:rFonts w:ascii="宋体" w:hAnsi="宋体"/>
                <w:szCs w:val="21"/>
              </w:rPr>
              <w:t>（以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在</w:t>
            </w:r>
            <w:r>
              <w:rPr>
                <w:rFonts w:ascii="宋体" w:hAnsi="宋体"/>
                <w:szCs w:val="21"/>
              </w:rPr>
              <w:t>1920x1080 @30fps下，码率设定为1Mbps，图像传输延时≤200ms</w:t>
            </w:r>
          </w:p>
          <w:p>
            <w:pPr>
              <w:spacing w:after="25" w:line="360" w:lineRule="exact"/>
              <w:rPr>
                <w:rFonts w:ascii="宋体" w:hAnsi="宋体"/>
                <w:szCs w:val="21"/>
              </w:rPr>
            </w:pPr>
            <w:r>
              <w:rPr>
                <w:rFonts w:hint="eastAsia" w:ascii="宋体" w:hAnsi="宋体"/>
                <w:szCs w:val="21"/>
              </w:rPr>
              <w:t>支持智能编码功能，摄像机开启智能编码功能后，码流节约</w:t>
            </w:r>
            <w:r>
              <w:rPr>
                <w:rFonts w:ascii="宋体" w:hAnsi="宋体"/>
                <w:szCs w:val="21"/>
              </w:rPr>
              <w:t>1/2</w:t>
            </w:r>
          </w:p>
          <w:p>
            <w:pPr>
              <w:spacing w:after="25" w:line="360" w:lineRule="exact"/>
              <w:rPr>
                <w:rFonts w:ascii="宋体" w:hAnsi="宋体"/>
                <w:szCs w:val="21"/>
              </w:rPr>
            </w:pPr>
            <w:r>
              <w:rPr>
                <w:rFonts w:hint="eastAsia" w:ascii="宋体" w:hAnsi="宋体"/>
                <w:szCs w:val="21"/>
              </w:rPr>
              <w:t>信噪比不小于</w:t>
            </w:r>
            <w:r>
              <w:rPr>
                <w:rFonts w:ascii="宋体" w:hAnsi="宋体"/>
                <w:szCs w:val="21"/>
              </w:rPr>
              <w:t>56.5dB（以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在</w:t>
            </w:r>
            <w:r>
              <w:rPr>
                <w:rFonts w:ascii="宋体" w:hAnsi="宋体"/>
                <w:szCs w:val="21"/>
              </w:rPr>
              <w:t>IE浏览器具有宽动态设置选项</w:t>
            </w:r>
          </w:p>
          <w:p>
            <w:pPr>
              <w:spacing w:after="25" w:line="360" w:lineRule="exact"/>
              <w:rPr>
                <w:rFonts w:ascii="宋体" w:hAnsi="宋体"/>
                <w:szCs w:val="21"/>
              </w:rPr>
            </w:pPr>
            <w:r>
              <w:rPr>
                <w:rFonts w:hint="eastAsia" w:ascii="宋体" w:hAnsi="宋体"/>
                <w:szCs w:val="21"/>
              </w:rPr>
              <w:t>照度适应范围不小于</w:t>
            </w:r>
            <w:r>
              <w:rPr>
                <w:rFonts w:ascii="宋体" w:hAnsi="宋体"/>
                <w:szCs w:val="21"/>
              </w:rPr>
              <w:t>130dB</w:t>
            </w:r>
          </w:p>
          <w:p>
            <w:pPr>
              <w:spacing w:after="25" w:line="360" w:lineRule="exact"/>
              <w:rPr>
                <w:rFonts w:ascii="宋体" w:hAnsi="宋体"/>
                <w:szCs w:val="21"/>
              </w:rPr>
            </w:pPr>
            <w:r>
              <w:rPr>
                <w:rFonts w:hint="eastAsia" w:ascii="宋体" w:hAnsi="宋体"/>
                <w:szCs w:val="21"/>
              </w:rPr>
              <w:t>设备与客户端之间用</w:t>
            </w:r>
            <w:r>
              <w:rPr>
                <w:rFonts w:ascii="宋体" w:hAnsi="宋体"/>
                <w:szCs w:val="21"/>
              </w:rPr>
              <w:t>300米网线进行传输，每次客户端连续发送1500个数据包，重复测试3次，每次丢包数不大于</w:t>
            </w:r>
            <w:r>
              <w:rPr>
                <w:rFonts w:hint="eastAsia" w:ascii="宋体" w:hAnsi="宋体"/>
                <w:szCs w:val="21"/>
              </w:rPr>
              <w:t>3</w:t>
            </w:r>
            <w:r>
              <w:rPr>
                <w:rFonts w:ascii="宋体" w:hAnsi="宋体"/>
                <w:szCs w:val="21"/>
              </w:rPr>
              <w:t>个（以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具有</w:t>
            </w:r>
            <w:r>
              <w:rPr>
                <w:rFonts w:ascii="宋体" w:hAnsi="宋体"/>
                <w:szCs w:val="21"/>
              </w:rPr>
              <w:t>5%抗丢包处理能力</w:t>
            </w:r>
          </w:p>
          <w:p>
            <w:pPr>
              <w:spacing w:after="25" w:line="360" w:lineRule="exact"/>
              <w:rPr>
                <w:rFonts w:ascii="宋体" w:hAnsi="宋体"/>
                <w:szCs w:val="21"/>
              </w:rPr>
            </w:pPr>
            <w:r>
              <w:rPr>
                <w:rFonts w:hint="eastAsia" w:ascii="宋体" w:hAnsi="宋体"/>
                <w:szCs w:val="21"/>
              </w:rPr>
              <w:t>支持最多同时开启</w:t>
            </w:r>
            <w:r>
              <w:rPr>
                <w:rFonts w:ascii="宋体" w:hAnsi="宋体"/>
                <w:szCs w:val="21"/>
              </w:rPr>
              <w:t>2</w:t>
            </w:r>
            <w:r>
              <w:rPr>
                <w:rFonts w:hint="eastAsia" w:ascii="宋体" w:hAnsi="宋体"/>
                <w:szCs w:val="21"/>
              </w:rPr>
              <w:t>0</w:t>
            </w:r>
            <w:r>
              <w:rPr>
                <w:rFonts w:ascii="宋体" w:hAnsi="宋体"/>
                <w:szCs w:val="21"/>
              </w:rPr>
              <w:t>个视频窗口进行画面浏览</w:t>
            </w:r>
          </w:p>
          <w:p>
            <w:pPr>
              <w:spacing w:after="25" w:line="360" w:lineRule="exact"/>
              <w:rPr>
                <w:rFonts w:ascii="宋体" w:hAnsi="宋体"/>
                <w:szCs w:val="21"/>
              </w:rPr>
            </w:pPr>
            <w:r>
              <w:rPr>
                <w:rFonts w:hint="eastAsia" w:ascii="宋体" w:hAnsi="宋体"/>
                <w:szCs w:val="21"/>
              </w:rPr>
              <w:t>支持通过</w:t>
            </w:r>
            <w:r>
              <w:rPr>
                <w:rFonts w:ascii="宋体" w:hAnsi="宋体"/>
                <w:szCs w:val="21"/>
              </w:rPr>
              <w:t>IE浏览器对视频图像的亮度，对比度，饱和度，锐度，gamma进行设置</w:t>
            </w:r>
          </w:p>
          <w:p>
            <w:pPr>
              <w:spacing w:after="25" w:line="360" w:lineRule="exact"/>
              <w:rPr>
                <w:rFonts w:ascii="宋体" w:hAnsi="宋体"/>
                <w:szCs w:val="21"/>
              </w:rPr>
            </w:pPr>
            <w:r>
              <w:rPr>
                <w:rFonts w:hint="eastAsia" w:ascii="宋体" w:hAnsi="宋体"/>
                <w:szCs w:val="21"/>
              </w:rPr>
              <w:t>支持</w:t>
            </w:r>
            <w:r>
              <w:rPr>
                <w:rFonts w:ascii="宋体" w:hAnsi="宋体"/>
                <w:szCs w:val="21"/>
              </w:rPr>
              <w:t>20行字符叠加，字体大小、颜色、对齐方式可设</w:t>
            </w:r>
          </w:p>
          <w:p>
            <w:pPr>
              <w:spacing w:after="25" w:line="360" w:lineRule="exact"/>
              <w:rPr>
                <w:rFonts w:ascii="宋体" w:hAnsi="宋体"/>
                <w:szCs w:val="21"/>
              </w:rPr>
            </w:pPr>
            <w:r>
              <w:rPr>
                <w:rFonts w:hint="eastAsia" w:ascii="宋体" w:hAnsi="宋体"/>
                <w:szCs w:val="21"/>
              </w:rPr>
              <w:t>支持区域遮盖功能，并能支持</w:t>
            </w:r>
            <w:r>
              <w:rPr>
                <w:rFonts w:ascii="宋体" w:hAnsi="宋体"/>
                <w:szCs w:val="21"/>
              </w:rPr>
              <w:t>8块区域</w:t>
            </w:r>
          </w:p>
          <w:p>
            <w:pPr>
              <w:spacing w:after="25" w:line="360" w:lineRule="exact"/>
              <w:rPr>
                <w:rFonts w:ascii="宋体" w:hAnsi="宋体"/>
                <w:szCs w:val="21"/>
              </w:rPr>
            </w:pPr>
            <w:r>
              <w:rPr>
                <w:rFonts w:hint="eastAsia" w:ascii="宋体" w:hAnsi="宋体"/>
                <w:szCs w:val="21"/>
              </w:rPr>
              <w:t>支持</w:t>
            </w:r>
            <w:r>
              <w:rPr>
                <w:rFonts w:ascii="宋体" w:hAnsi="宋体"/>
                <w:szCs w:val="21"/>
              </w:rPr>
              <w:t>IP地址搜索功能（以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具有</w:t>
            </w:r>
            <w:r>
              <w:rPr>
                <w:rFonts w:ascii="宋体" w:hAnsi="宋体"/>
                <w:szCs w:val="21"/>
              </w:rPr>
              <w:t>1个100M/1000M RJ45网络接口、1个硬件恢复默认按钮</w:t>
            </w:r>
          </w:p>
          <w:p>
            <w:pPr>
              <w:spacing w:after="25" w:line="360" w:lineRule="exact"/>
              <w:rPr>
                <w:rFonts w:ascii="宋体" w:hAnsi="宋体"/>
                <w:szCs w:val="21"/>
              </w:rPr>
            </w:pPr>
            <w:r>
              <w:rPr>
                <w:rFonts w:hint="eastAsia" w:ascii="宋体" w:hAnsi="宋体"/>
                <w:szCs w:val="21"/>
              </w:rPr>
              <w:t>摄像机能够在</w:t>
            </w:r>
            <w:r>
              <w:rPr>
                <w:rFonts w:ascii="宋体" w:hAnsi="宋体"/>
                <w:szCs w:val="21"/>
              </w:rPr>
              <w:t>-45~70摄氏度，湿度小于93%环境下稳定工作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4</w:t>
            </w:r>
          </w:p>
        </w:tc>
        <w:tc>
          <w:tcPr>
            <w:tcW w:w="2556" w:type="dxa"/>
            <w:shd w:val="clear" w:color="auto" w:fill="auto"/>
            <w:noWrap w:val="0"/>
            <w:tcMar>
              <w:top w:w="15" w:type="dxa"/>
              <w:left w:w="15" w:type="dxa"/>
              <w:bottom w:w="15" w:type="dxa"/>
              <w:right w:w="15" w:type="dxa"/>
            </w:tcMar>
            <w:vAlign w:val="center"/>
          </w:tcPr>
          <w:p>
            <w:pPr>
              <w:spacing w:after="60" w:afterLines="25" w:line="360" w:lineRule="exact"/>
              <w:jc w:val="center"/>
              <w:rPr>
                <w:rFonts w:ascii="宋体" w:hAnsi="宋体" w:cs="宋体"/>
                <w:color w:val="000000"/>
                <w:kern w:val="0"/>
                <w:szCs w:val="21"/>
                <w:lang w:bidi="ar"/>
              </w:rPr>
            </w:pPr>
            <w:r>
              <w:rPr>
                <w:rFonts w:hint="eastAsia" w:ascii="宋体" w:hAnsi="宋体" w:cs="宋体"/>
                <w:color w:val="000000"/>
                <w:kern w:val="0"/>
                <w:szCs w:val="21"/>
                <w:lang w:bidi="ar"/>
              </w:rPr>
              <w:t>平台服务器</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hint="eastAsia" w:ascii="宋体" w:hAnsi="宋体" w:cs="宋体"/>
                <w:color w:val="000000"/>
                <w:szCs w:val="21"/>
              </w:rPr>
              <w:t>2颗Intel 4114,64G内存，4*600G SAS 10K 硬盘,支持raid 5；2个10M/100M/1000M 自适应网口；4个USB3.0；1个VGA输出口；2*550W电源；工作温度：10℃～35℃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5</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数据库服务器</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hint="eastAsia" w:ascii="宋体" w:hAnsi="宋体" w:cs="宋体"/>
                <w:color w:val="000000"/>
                <w:kern w:val="0"/>
                <w:szCs w:val="21"/>
                <w:lang w:bidi="ar"/>
              </w:rPr>
              <w:t>2颗Intel 5115 ,128G内存，8*1.2T STAT硬盘，支持raid 5；2个10M/100M/1000M 自适应网口；4个USB3.0；1个VGA输出口；2*550W电源；工作温度：10℃～35℃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6</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流媒体服务器</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hint="eastAsia" w:ascii="宋体" w:hAnsi="宋体" w:cs="宋体"/>
                <w:color w:val="000000"/>
                <w:kern w:val="0"/>
                <w:szCs w:val="21"/>
                <w:lang w:bidi="ar"/>
              </w:rPr>
              <w:t>IntelXeon 4110 CPU 32G内存，4*600G SAS 10K 硬盘,支持raid 1；2个10M/100M/1000M 自适应网口；4个USB3.0；1个VGA输出口；2*550W电源；工作温度：10℃～35℃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7</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共享平台</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ascii="宋体" w:hAnsi="宋体"/>
                <w:spacing w:val="-9"/>
                <w:szCs w:val="21"/>
              </w:rPr>
              <w:t xml:space="preserve">基于 </w:t>
            </w:r>
            <w:r>
              <w:rPr>
                <w:rFonts w:ascii="宋体" w:hAnsi="宋体"/>
                <w:szCs w:val="21"/>
              </w:rPr>
              <w:t xml:space="preserve">IP </w:t>
            </w:r>
            <w:r>
              <w:rPr>
                <w:rFonts w:ascii="宋体" w:hAnsi="宋体"/>
                <w:spacing w:val="-6"/>
                <w:szCs w:val="21"/>
              </w:rPr>
              <w:t>网络的远程监控综合业务平台。系统通过</w:t>
            </w:r>
            <w:r>
              <w:rPr>
                <w:rFonts w:ascii="宋体" w:hAnsi="宋体"/>
                <w:spacing w:val="-7"/>
                <w:szCs w:val="21"/>
              </w:rPr>
              <w:t>统一规范整合接入各类视频监控资源，实现跨地区、跨部门视频图像信息资源的整合共享和互联互通，为用户提供</w:t>
            </w:r>
            <w:r>
              <w:rPr>
                <w:rFonts w:ascii="宋体" w:hAnsi="宋体"/>
                <w:spacing w:val="-5"/>
                <w:szCs w:val="21"/>
              </w:rPr>
              <w:t>视频、图像、语音、数据、告警等多种信息的远程采集、传输、控制、存储、检索、回放、下载、管理等业务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8</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人脸、车辆图片存储</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hint="eastAsia" w:ascii="宋体" w:hAnsi="宋体" w:cs="宋体"/>
                <w:color w:val="000000"/>
                <w:szCs w:val="21"/>
              </w:rPr>
              <w:t>3U16盘位机架；16个热插拔SATA,支持冗余电源，系统缓存：4GB DDR2 ECC内存以上；2个千兆网口；配16块企业级7200rpm 4T SATA硬盘,图片安全存储单元，针对抓拍图片数据进行优化存储，数据流以块式组织，无文件系统，永无碎片；支持中心平台统一调度，支持统一网管，支持RAID 0、1、5、6、10等RAID级别，支持磁盘热备，支持系统断线继续存储；支持设备直连存储，支持中心转发存储，支持客户直接访问和跨网访问；支持无缝接入秀洲区公安视频一体化平台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szCs w:val="21"/>
              </w:rPr>
              <w:t>9</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视频存储</w:t>
            </w:r>
          </w:p>
        </w:tc>
        <w:tc>
          <w:tcPr>
            <w:tcW w:w="6297" w:type="dxa"/>
            <w:shd w:val="clear" w:color="auto" w:fill="auto"/>
            <w:noWrap w:val="0"/>
            <w:tcMar>
              <w:top w:w="15" w:type="dxa"/>
              <w:left w:w="15" w:type="dxa"/>
              <w:bottom w:w="15" w:type="dxa"/>
              <w:right w:w="15" w:type="dxa"/>
            </w:tcMar>
            <w:vAlign w:val="center"/>
          </w:tcPr>
          <w:p>
            <w:pPr>
              <w:spacing w:after="25" w:line="360" w:lineRule="exact"/>
              <w:rPr>
                <w:rFonts w:ascii="宋体" w:hAnsi="宋体"/>
                <w:szCs w:val="21"/>
              </w:rPr>
            </w:pPr>
            <w:r>
              <w:rPr>
                <w:rFonts w:hint="eastAsia" w:ascii="宋体" w:hAnsi="宋体"/>
                <w:szCs w:val="21"/>
              </w:rPr>
              <w:t>采用</w:t>
            </w:r>
            <w:r>
              <w:rPr>
                <w:rFonts w:ascii="宋体" w:hAnsi="宋体"/>
                <w:szCs w:val="21"/>
              </w:rPr>
              <w:t>LINUX操作系统，具有1个控制单元，1个64位四核处理器，8GB内存，可扩展至64GB，具有128GB SSD固态硬盘，可扩展至2个512GB SSD固态硬盘，可扩展1个2.5英寸SATA硬盘，具有2个可热插拔BBU电源，可扩展至4个可热插拔BBU电源</w:t>
            </w:r>
          </w:p>
          <w:p>
            <w:pPr>
              <w:spacing w:after="25" w:line="360" w:lineRule="exact"/>
              <w:rPr>
                <w:rFonts w:hint="eastAsia" w:ascii="宋体" w:hAnsi="宋体"/>
                <w:szCs w:val="21"/>
              </w:rPr>
            </w:pPr>
            <w:r>
              <w:rPr>
                <w:rFonts w:hint="eastAsia" w:ascii="宋体" w:hAnsi="宋体"/>
                <w:szCs w:val="21"/>
              </w:rPr>
              <w:t>设备外部接口可再扩展</w:t>
            </w:r>
            <w:r>
              <w:rPr>
                <w:rFonts w:ascii="宋体" w:hAnsi="宋体"/>
                <w:szCs w:val="21"/>
              </w:rPr>
              <w:t>8个RJ45网络接口或4个RJ45网络接口及4个光纤接口, 2个Mini SAS HD接</w:t>
            </w:r>
            <w:r>
              <w:rPr>
                <w:rFonts w:hint="eastAsia" w:ascii="宋体" w:hAnsi="宋体"/>
                <w:szCs w:val="21"/>
              </w:rPr>
              <w:t>口</w:t>
            </w:r>
          </w:p>
          <w:p>
            <w:pPr>
              <w:spacing w:after="25" w:line="360" w:lineRule="exact"/>
              <w:rPr>
                <w:rFonts w:hint="eastAsia" w:ascii="宋体" w:hAnsi="宋体"/>
                <w:szCs w:val="21"/>
              </w:rPr>
            </w:pPr>
            <w:r>
              <w:rPr>
                <w:rFonts w:hint="eastAsia" w:ascii="宋体" w:hAnsi="宋体"/>
                <w:szCs w:val="21"/>
              </w:rPr>
              <w:t>最大支持2048Mbps前端接入、存储、转发，256Mbps网络回访</w:t>
            </w:r>
          </w:p>
          <w:p>
            <w:pPr>
              <w:spacing w:after="25" w:line="360" w:lineRule="exact"/>
              <w:rPr>
                <w:rFonts w:ascii="宋体" w:hAnsi="宋体"/>
                <w:szCs w:val="21"/>
              </w:rPr>
            </w:pPr>
            <w:r>
              <w:rPr>
                <w:rFonts w:hint="eastAsia" w:ascii="宋体" w:hAnsi="宋体"/>
                <w:szCs w:val="21"/>
              </w:rPr>
              <w:t>设备前面板具有锁止功能，加锁后硬盘无法取出，具有可拆卸式防尘滤网</w:t>
            </w:r>
          </w:p>
          <w:p>
            <w:pPr>
              <w:spacing w:after="25" w:line="360" w:lineRule="exact"/>
              <w:rPr>
                <w:rFonts w:ascii="宋体" w:hAnsi="宋体"/>
                <w:szCs w:val="21"/>
              </w:rPr>
            </w:pPr>
            <w:r>
              <w:rPr>
                <w:rFonts w:hint="eastAsia" w:ascii="宋体" w:hAnsi="宋体"/>
                <w:szCs w:val="21"/>
              </w:rPr>
              <w:t>支持单个</w:t>
            </w:r>
            <w:r>
              <w:rPr>
                <w:rFonts w:ascii="宋体" w:hAnsi="宋体"/>
                <w:szCs w:val="21"/>
              </w:rPr>
              <w:t>SAMBA共享文件夹，可对128个用户同时进行管理；支持单个ftp共享文件夹，可对128个用户同时进行管理（以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设备支持同时接入</w:t>
            </w:r>
            <w:r>
              <w:rPr>
                <w:rFonts w:ascii="宋体" w:hAnsi="宋体"/>
                <w:szCs w:val="21"/>
              </w:rPr>
              <w:t>512路具有人体检测功能的摄像机，当侦测到人体时，可进行人体抠图和人脸抓拍图，并触发报警联动录像、抓拍图片、弹出报警画面、发送语音提示、上传中心、蜂鸣报警以及日志记录；</w:t>
            </w:r>
          </w:p>
          <w:p>
            <w:pPr>
              <w:spacing w:after="25" w:line="360" w:lineRule="exact"/>
              <w:rPr>
                <w:rFonts w:ascii="宋体" w:hAnsi="宋体"/>
                <w:szCs w:val="21"/>
              </w:rPr>
            </w:pPr>
            <w:r>
              <w:rPr>
                <w:rFonts w:hint="eastAsia" w:ascii="宋体" w:hAnsi="宋体"/>
                <w:szCs w:val="21"/>
              </w:rPr>
              <w:t>人体检测属性查询包括：人体上衣类型（长袖、短袖）、上衣颜色（白、橙、粉、黑、红、黄、灰、蓝、绿、紫、棕）、下衣特征（长裤、短裤、裙子）、下衣颜色、是否戴帽子、是否带包；支持按时间、通道、人体检测各属性进行查询检索</w:t>
            </w:r>
          </w:p>
          <w:p>
            <w:pPr>
              <w:spacing w:after="25" w:line="360" w:lineRule="exact"/>
              <w:rPr>
                <w:rFonts w:ascii="宋体" w:hAnsi="宋体"/>
                <w:szCs w:val="21"/>
              </w:rPr>
            </w:pPr>
            <w:r>
              <w:rPr>
                <w:rFonts w:hint="eastAsia" w:ascii="宋体" w:hAnsi="宋体"/>
                <w:szCs w:val="21"/>
              </w:rPr>
              <w:t>支持按人体检测同步关联回放细节通道人脸抓拍图信息和录像</w:t>
            </w:r>
          </w:p>
          <w:p>
            <w:pPr>
              <w:spacing w:after="25" w:line="360" w:lineRule="exact"/>
              <w:rPr>
                <w:rFonts w:ascii="宋体" w:hAnsi="宋体"/>
                <w:szCs w:val="21"/>
              </w:rPr>
            </w:pPr>
            <w:r>
              <w:rPr>
                <w:rFonts w:hint="eastAsia" w:ascii="宋体" w:hAnsi="宋体"/>
                <w:szCs w:val="21"/>
              </w:rPr>
              <w:t>设备支持同时接入</w:t>
            </w:r>
            <w:r>
              <w:rPr>
                <w:rFonts w:ascii="宋体" w:hAnsi="宋体"/>
                <w:szCs w:val="21"/>
              </w:rPr>
              <w:t>512路具有人体检测功能的摄像机，当侦测到人体时，可进行人体抠图和人脸抓拍图，并触发报警联动录像、抓拍图片、弹出报警画面、发送语音提示、上传中心、蜂鸣报警以及日志记录；</w:t>
            </w:r>
          </w:p>
          <w:p>
            <w:pPr>
              <w:spacing w:after="25" w:line="360" w:lineRule="exact"/>
              <w:rPr>
                <w:rFonts w:ascii="宋体" w:hAnsi="宋体"/>
                <w:szCs w:val="21"/>
              </w:rPr>
            </w:pPr>
            <w:r>
              <w:rPr>
                <w:rFonts w:hint="eastAsia" w:ascii="宋体" w:hAnsi="宋体"/>
                <w:szCs w:val="21"/>
              </w:rPr>
              <w:t>人体检测属性查询包括：人体上衣类型（长袖、短袖）、上衣颜色（白、橙、粉、黑、红、黄、灰、蓝、绿、紫、棕）、下衣特征（长裤、短裤、裙子）、下衣颜色、是否戴帽子、是否带包；支持按时间、通道、人体检测各属性进行查询检索</w:t>
            </w:r>
          </w:p>
          <w:p>
            <w:pPr>
              <w:spacing w:after="25" w:line="360" w:lineRule="exact"/>
              <w:rPr>
                <w:rFonts w:ascii="宋体" w:hAnsi="宋体"/>
                <w:szCs w:val="21"/>
              </w:rPr>
            </w:pPr>
            <w:r>
              <w:rPr>
                <w:rFonts w:hint="eastAsia" w:ascii="宋体" w:hAnsi="宋体"/>
                <w:szCs w:val="21"/>
              </w:rPr>
              <w:t>支持按人体检测同步关联回放细节通道人脸抓拍图信息和录像</w:t>
            </w:r>
          </w:p>
          <w:p>
            <w:pPr>
              <w:spacing w:after="25" w:line="360" w:lineRule="exact"/>
              <w:rPr>
                <w:rFonts w:ascii="宋体" w:hAnsi="宋体"/>
                <w:szCs w:val="21"/>
              </w:rPr>
            </w:pPr>
            <w:r>
              <w:rPr>
                <w:rFonts w:hint="eastAsia" w:ascii="宋体" w:hAnsi="宋体"/>
                <w:szCs w:val="21"/>
              </w:rPr>
              <w:t>支持人体检测图片、所在环境大图、对应录像前后</w:t>
            </w:r>
            <w:r>
              <w:rPr>
                <w:rFonts w:ascii="宋体" w:hAnsi="宋体"/>
                <w:szCs w:val="21"/>
              </w:rPr>
              <w:t>10s录像的下载（以</w:t>
            </w:r>
            <w:r>
              <w:rPr>
                <w:rFonts w:hint="eastAsia" w:ascii="宋体" w:hAnsi="宋体"/>
                <w:szCs w:val="21"/>
              </w:rPr>
              <w:t>相关</w:t>
            </w:r>
            <w:r>
              <w:rPr>
                <w:rFonts w:ascii="宋体" w:hAnsi="宋体"/>
                <w:szCs w:val="21"/>
              </w:rPr>
              <w:t>检验报告为准</w:t>
            </w:r>
            <w:r>
              <w:rPr>
                <w:rFonts w:hint="eastAsia" w:ascii="宋体" w:hAnsi="宋体"/>
                <w:szCs w:val="21"/>
              </w:rPr>
              <w:t>）</w:t>
            </w:r>
            <w:r>
              <w:rPr>
                <w:rFonts w:hint="eastAsia" w:ascii="宋体" w:hAnsi="宋体" w:cs="宋体"/>
                <w:szCs w:val="21"/>
              </w:rPr>
              <w:t>★</w:t>
            </w:r>
            <w:r>
              <w:rPr>
                <w:rFonts w:hint="eastAsia" w:ascii="宋体" w:hAnsi="宋体"/>
                <w:szCs w:val="21"/>
              </w:rPr>
              <w:t>最多可支持同时损坏</w:t>
            </w:r>
            <w:r>
              <w:rPr>
                <w:rFonts w:ascii="宋体" w:hAnsi="宋体"/>
                <w:szCs w:val="21"/>
              </w:rPr>
              <w:t>8块盘时所属RAID存储数据不丢失，可以正常读写（以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支持前端设备优先直接连接存储设备进行录像，当直接访问存储设备不通时，系统将通过媒体转发服务器进行录像存储</w:t>
            </w:r>
          </w:p>
          <w:p>
            <w:pPr>
              <w:spacing w:after="25" w:line="360" w:lineRule="exact"/>
              <w:rPr>
                <w:rFonts w:ascii="宋体" w:hAnsi="宋体"/>
                <w:szCs w:val="21"/>
              </w:rPr>
            </w:pPr>
            <w:r>
              <w:rPr>
                <w:rFonts w:hint="eastAsia" w:ascii="宋体" w:hAnsi="宋体"/>
                <w:szCs w:val="21"/>
              </w:rPr>
              <w:t>用户访问存储设备的录像时（回放、下载），系统优先选择用户直接连接存储设备；当用户和存储设备之间链路不通时，系统将通过媒体转发服务器进行自动路由，存储录像。</w:t>
            </w:r>
            <w:r>
              <w:rPr>
                <w:rFonts w:ascii="宋体" w:hAnsi="宋体"/>
                <w:szCs w:val="21"/>
              </w:rPr>
              <w:t>（以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cs="宋体"/>
                <w:szCs w:val="21"/>
              </w:rPr>
              <w:t>★</w:t>
            </w:r>
            <w:r>
              <w:rPr>
                <w:rFonts w:hint="eastAsia" w:ascii="宋体" w:hAnsi="宋体"/>
                <w:szCs w:val="21"/>
              </w:rPr>
              <w:t>可将数据随机分散存储至各个硬盘</w:t>
            </w:r>
            <w:r>
              <w:rPr>
                <w:rFonts w:ascii="宋体" w:hAnsi="宋体"/>
                <w:szCs w:val="21"/>
              </w:rPr>
              <w:t>；可全盘参与某一种业务（读写盘、只读盘、冗余盘、抽帧盘、AI回放盘）（以</w:t>
            </w:r>
            <w:r>
              <w:rPr>
                <w:rFonts w:hint="eastAsia" w:ascii="宋体" w:hAnsi="宋体"/>
                <w:szCs w:val="21"/>
              </w:rPr>
              <w:t>相关</w:t>
            </w:r>
            <w:r>
              <w:rPr>
                <w:rFonts w:ascii="宋体" w:hAnsi="宋体"/>
                <w:szCs w:val="21"/>
              </w:rPr>
              <w:t>检验报告为准</w:t>
            </w:r>
            <w:r>
              <w:rPr>
                <w:rFonts w:hint="eastAsia" w:ascii="宋体" w:hAnsi="宋体"/>
                <w:szCs w:val="21"/>
              </w:rPr>
              <w:t>）</w:t>
            </w:r>
          </w:p>
          <w:p>
            <w:pPr>
              <w:spacing w:after="25" w:line="360" w:lineRule="exact"/>
              <w:rPr>
                <w:rFonts w:ascii="宋体" w:hAnsi="宋体"/>
                <w:szCs w:val="21"/>
              </w:rPr>
            </w:pPr>
            <w:r>
              <w:rPr>
                <w:rFonts w:hint="eastAsia" w:ascii="宋体" w:hAnsi="宋体"/>
                <w:szCs w:val="21"/>
              </w:rPr>
              <w:t>设备可支持当使用账户登录时连续输入身份鉴别信息（用户名或密码）错误次数超过设定的阀值时自动锁定账户一段时间，并产生报警信息；</w:t>
            </w:r>
          </w:p>
          <w:p>
            <w:pPr>
              <w:spacing w:after="25" w:line="360" w:lineRule="exact"/>
              <w:rPr>
                <w:rFonts w:ascii="宋体" w:hAnsi="宋体"/>
                <w:szCs w:val="21"/>
              </w:rPr>
            </w:pPr>
            <w:r>
              <w:rPr>
                <w:rFonts w:hint="eastAsia" w:ascii="宋体" w:hAnsi="宋体"/>
                <w:szCs w:val="21"/>
              </w:rPr>
              <w:t>可限制仅允许用户在特定</w:t>
            </w:r>
            <w:r>
              <w:rPr>
                <w:rFonts w:ascii="宋体" w:hAnsi="宋体"/>
                <w:szCs w:val="21"/>
              </w:rPr>
              <w:t>IP主机上登录设备</w:t>
            </w:r>
          </w:p>
          <w:p>
            <w:pPr>
              <w:spacing w:after="25" w:line="360" w:lineRule="exact"/>
              <w:rPr>
                <w:rFonts w:ascii="宋体" w:hAnsi="宋体"/>
                <w:szCs w:val="21"/>
              </w:rPr>
            </w:pPr>
            <w:r>
              <w:rPr>
                <w:rFonts w:hint="eastAsia" w:ascii="宋体" w:hAnsi="宋体"/>
                <w:szCs w:val="21"/>
              </w:rPr>
              <w:t>可限制仅允许用户在特定时间段登录设备</w:t>
            </w:r>
          </w:p>
          <w:p>
            <w:pPr>
              <w:spacing w:after="25" w:line="360" w:lineRule="exact"/>
              <w:rPr>
                <w:rFonts w:ascii="宋体" w:hAnsi="宋体"/>
                <w:szCs w:val="21"/>
              </w:rPr>
            </w:pPr>
            <w:r>
              <w:rPr>
                <w:rFonts w:hint="eastAsia" w:ascii="宋体" w:hAnsi="宋体"/>
                <w:szCs w:val="21"/>
              </w:rPr>
              <w:t>设备应具备账户密码重置功能，即用户必须通过预留号码的手机中接收到的安全动态码来验证用户身份，验证通过后才能允许用户执行账户密码重置操作</w:t>
            </w:r>
          </w:p>
          <w:p>
            <w:pPr>
              <w:spacing w:after="25" w:line="360" w:lineRule="exact"/>
              <w:rPr>
                <w:rFonts w:ascii="宋体" w:hAnsi="宋体" w:cs="宋体"/>
                <w:color w:val="000000"/>
                <w:szCs w:val="21"/>
              </w:rPr>
            </w:pPr>
            <w:r>
              <w:rPr>
                <w:rFonts w:hint="eastAsia" w:ascii="宋体" w:hAnsi="宋体"/>
                <w:szCs w:val="21"/>
              </w:rPr>
              <w:t>设备可设置当用户账户登录成功后</w:t>
            </w:r>
            <w:r>
              <w:rPr>
                <w:rFonts w:ascii="宋体" w:hAnsi="宋体"/>
                <w:szCs w:val="21"/>
              </w:rPr>
              <w:t>30分钟内无操作，则强制注销该账户登录状态（以</w:t>
            </w:r>
            <w:r>
              <w:rPr>
                <w:rFonts w:hint="eastAsia" w:ascii="宋体" w:hAnsi="宋体"/>
                <w:szCs w:val="21"/>
              </w:rPr>
              <w:t>相关</w:t>
            </w:r>
            <w:r>
              <w:rPr>
                <w:rFonts w:ascii="宋体" w:hAnsi="宋体"/>
                <w:szCs w:val="21"/>
              </w:rPr>
              <w:t>检验报告为准</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10</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汇聚/接入交换机</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hint="eastAsia" w:ascii="宋体" w:hAnsi="宋体" w:cs="宋体"/>
                <w:color w:val="000000"/>
                <w:kern w:val="0"/>
                <w:szCs w:val="21"/>
                <w:lang w:bidi="ar"/>
              </w:rPr>
              <w:t>整机交换容量598Gbps，包转发率222Mpps，配置28个10/100/1000Base-T自适应以太网端口，其中8个combo，4个万兆SFP+口，配置双电源、双风扇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11</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核心交换机</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kern w:val="0"/>
                <w:szCs w:val="21"/>
                <w:lang w:bidi="ar"/>
              </w:rPr>
            </w:pPr>
            <w:r>
              <w:rPr>
                <w:rFonts w:hint="eastAsia" w:ascii="宋体" w:hAnsi="宋体" w:cs="宋体"/>
                <w:color w:val="000000"/>
                <w:kern w:val="0"/>
                <w:szCs w:val="21"/>
                <w:lang w:bidi="ar"/>
              </w:rPr>
              <w:t>和原有核心交换机做IRF虚拟化；双主控（MPUB）</w:t>
            </w:r>
          </w:p>
          <w:p>
            <w:pPr>
              <w:widowControl/>
              <w:spacing w:after="60" w:afterLines="25" w:line="360" w:lineRule="exact"/>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配置业务板卡1块（24千兆光口+4万兆光口）</w:t>
            </w:r>
          </w:p>
          <w:p>
            <w:pPr>
              <w:widowControl/>
              <w:spacing w:after="60" w:afterLines="25" w:line="360" w:lineRule="exact"/>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配置业务板卡1块（24千兆电口+4万兆光口）</w:t>
            </w:r>
          </w:p>
          <w:p>
            <w:pPr>
              <w:widowControl/>
              <w:spacing w:after="60" w:afterLines="25" w:line="360" w:lineRule="exact"/>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配置 业务板卡2块（24万兆光口）</w:t>
            </w:r>
          </w:p>
          <w:p>
            <w:pPr>
              <w:widowControl/>
              <w:spacing w:after="60" w:afterLines="25" w:line="360" w:lineRule="exact"/>
              <w:textAlignment w:val="top"/>
              <w:rPr>
                <w:rFonts w:ascii="宋体" w:hAnsi="宋体" w:cs="宋体"/>
                <w:color w:val="000000"/>
                <w:szCs w:val="21"/>
              </w:rPr>
            </w:pPr>
            <w:r>
              <w:rPr>
                <w:rFonts w:hint="eastAsia" w:ascii="宋体" w:hAnsi="宋体" w:cs="宋体"/>
                <w:color w:val="000000"/>
                <w:kern w:val="0"/>
                <w:szCs w:val="21"/>
                <w:lang w:bidi="ar"/>
              </w:rPr>
              <w:t>配置AC1400电源模块2块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1"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12</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城市车辆平台接入授权扩容</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hint="eastAsia" w:ascii="宋体" w:hAnsi="宋体" w:cs="宋体"/>
                <w:kern w:val="0"/>
                <w:szCs w:val="21"/>
              </w:rPr>
              <w:t>秀洲区城市车辆智能防控平台</w:t>
            </w:r>
            <w:r>
              <w:rPr>
                <w:rFonts w:hint="eastAsia" w:ascii="宋体" w:hAnsi="宋体" w:cs="宋体"/>
                <w:color w:val="000000"/>
                <w:kern w:val="0"/>
                <w:szCs w:val="21"/>
                <w:lang w:bidi="ar"/>
              </w:rPr>
              <w:t>升级扩容，扩容支持80亿条互联网据存储、查询，1000路互联网采集设备接入授权扩容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13</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一体化平台扩容</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hint="eastAsia" w:ascii="宋体" w:hAnsi="宋体" w:cs="宋体"/>
                <w:color w:val="000000"/>
                <w:szCs w:val="21"/>
              </w:rPr>
              <w:t>3000路视频接入开发研发（支持项目所有前后端设备接入市局一体化平台）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14</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互联网采集终端</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hint="eastAsia" w:ascii="宋体" w:hAnsi="宋体" w:cs="宋体"/>
                <w:color w:val="000000"/>
                <w:kern w:val="0"/>
                <w:szCs w:val="21"/>
                <w:lang w:bidi="ar"/>
              </w:rPr>
            </w:pPr>
            <w:r>
              <w:rPr>
                <w:rFonts w:hint="eastAsia" w:ascii="宋体" w:hAnsi="宋体" w:cs="宋体"/>
                <w:kern w:val="0"/>
                <w:szCs w:val="21"/>
              </w:rPr>
              <w:t>支持终端特征信息和RFID信息双采集；RFID标签读取能力：每秒200张以上；RFID电子标签识别速度200公里/小时；RFID识别距离300米内可调；RFID支持多种空口协议；可采集移动终端特征信息，热点信息，虚拟身份信息；支持IEEE802.11a/b/g/n无线协议；2.4G频段；探测范围支持全向、定向模式，探测距离450米可调；电磁兼容性方面满足GB9254标准中B类产品及GB/T17626.x相关测试等级要求；支持POE等多种供电方式；支持远程管理监测、维护升级功能；支持功能扩展，通过外接扩展模块增加功能；IP66防护等级；提供秀洲区城市车辆智能防控平台原厂测试接入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千兆单模模块</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hint="eastAsia" w:ascii="宋体" w:hAnsi="宋体" w:cs="宋体"/>
                <w:color w:val="000000"/>
                <w:kern w:val="0"/>
                <w:szCs w:val="21"/>
                <w:lang w:bidi="ar"/>
              </w:rPr>
              <w:t>光模块-SFP-GE-单模模块(1310nm,40km,LC)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6" w:hRule="atLeast"/>
        </w:trPr>
        <w:tc>
          <w:tcPr>
            <w:tcW w:w="787"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w:t>
            </w:r>
          </w:p>
        </w:tc>
        <w:tc>
          <w:tcPr>
            <w:tcW w:w="2556" w:type="dxa"/>
            <w:shd w:val="clear" w:color="auto" w:fill="auto"/>
            <w:noWrap w:val="0"/>
            <w:tcMar>
              <w:top w:w="15" w:type="dxa"/>
              <w:left w:w="15" w:type="dxa"/>
              <w:bottom w:w="15" w:type="dxa"/>
              <w:right w:w="15" w:type="dxa"/>
            </w:tcMar>
            <w:vAlign w:val="center"/>
          </w:tcPr>
          <w:p>
            <w:pPr>
              <w:widowControl/>
              <w:spacing w:after="60" w:afterLines="25" w:line="360" w:lineRule="exact"/>
              <w:jc w:val="center"/>
              <w:textAlignment w:val="top"/>
              <w:rPr>
                <w:rFonts w:ascii="宋体" w:hAnsi="宋体" w:cs="宋体"/>
                <w:color w:val="000000"/>
                <w:szCs w:val="21"/>
              </w:rPr>
            </w:pPr>
            <w:r>
              <w:rPr>
                <w:rFonts w:hint="eastAsia" w:ascii="宋体" w:hAnsi="宋体" w:cs="宋体"/>
                <w:color w:val="000000"/>
                <w:kern w:val="0"/>
                <w:szCs w:val="21"/>
                <w:lang w:bidi="ar"/>
              </w:rPr>
              <w:t>万兆多模模块</w:t>
            </w:r>
          </w:p>
        </w:tc>
        <w:tc>
          <w:tcPr>
            <w:tcW w:w="6297" w:type="dxa"/>
            <w:shd w:val="clear" w:color="auto" w:fill="auto"/>
            <w:noWrap w:val="0"/>
            <w:tcMar>
              <w:top w:w="15" w:type="dxa"/>
              <w:left w:w="15" w:type="dxa"/>
              <w:bottom w:w="15" w:type="dxa"/>
              <w:right w:w="15" w:type="dxa"/>
            </w:tcMar>
            <w:vAlign w:val="center"/>
          </w:tcPr>
          <w:p>
            <w:pPr>
              <w:widowControl/>
              <w:spacing w:after="60" w:afterLines="25" w:line="360" w:lineRule="exact"/>
              <w:textAlignment w:val="top"/>
              <w:rPr>
                <w:rFonts w:ascii="宋体" w:hAnsi="宋体" w:cs="宋体"/>
                <w:color w:val="000000"/>
                <w:szCs w:val="21"/>
              </w:rPr>
            </w:pPr>
            <w:r>
              <w:rPr>
                <w:rFonts w:hint="eastAsia" w:ascii="宋体" w:hAnsi="宋体" w:cs="宋体"/>
                <w:color w:val="000000"/>
                <w:kern w:val="0"/>
                <w:szCs w:val="21"/>
                <w:lang w:bidi="ar"/>
              </w:rPr>
              <w:t>光模块-SFP+-10G-多模模块(850nm,0.3km,LC)</w:t>
            </w:r>
          </w:p>
        </w:tc>
      </w:tr>
    </w:tbl>
    <w:p>
      <w:pPr>
        <w:spacing w:before="120" w:beforeLines="50"/>
        <w:ind w:firstLine="422" w:firstLineChars="200"/>
        <w:rPr>
          <w:rFonts w:hint="eastAsia" w:ascii="宋体" w:hAnsi="宋体" w:cs="宋体"/>
          <w:b/>
          <w:kern w:val="0"/>
          <w:szCs w:val="21"/>
        </w:rPr>
      </w:pPr>
      <w:r>
        <w:rPr>
          <w:rFonts w:hint="eastAsia" w:ascii="宋体" w:hAnsi="宋体" w:cs="宋体"/>
          <w:b/>
          <w:kern w:val="0"/>
          <w:szCs w:val="21"/>
        </w:rPr>
        <w:t>本项目所有设备及软件系统支持对接到嘉兴市公安局秀洲区分局视频一体化平台。所有需要接入的平台接口由采购人提供。</w:t>
      </w:r>
    </w:p>
    <w:p>
      <w:pPr>
        <w:ind w:firstLine="422" w:firstLineChars="200"/>
        <w:rPr>
          <w:rFonts w:hint="eastAsia" w:ascii="宋体" w:hAnsi="宋体" w:cs="宋体"/>
          <w:b/>
          <w:kern w:val="0"/>
          <w:szCs w:val="21"/>
        </w:rPr>
      </w:pPr>
      <w:r>
        <w:rPr>
          <w:rFonts w:hint="eastAsia" w:ascii="宋体" w:hAnsi="宋体" w:cs="宋体"/>
          <w:b/>
          <w:kern w:val="0"/>
          <w:szCs w:val="21"/>
        </w:rPr>
        <w:t>六、服务要求</w:t>
      </w:r>
    </w:p>
    <w:p>
      <w:pPr>
        <w:ind w:firstLine="420" w:firstLineChars="200"/>
        <w:rPr>
          <w:rFonts w:hint="eastAsia" w:ascii="宋体" w:hAnsi="宋体" w:cs="宋体"/>
          <w:iCs/>
          <w:szCs w:val="21"/>
        </w:rPr>
      </w:pPr>
      <w:r>
        <w:rPr>
          <w:rFonts w:hint="eastAsia" w:ascii="宋体" w:hAnsi="宋体" w:cs="宋体"/>
          <w:iCs/>
          <w:szCs w:val="21"/>
        </w:rPr>
        <w:t>本项目必须符合一切与视频监控相关的国家、省、市的标准、规范或文件，来制定系统方案。</w:t>
      </w:r>
    </w:p>
    <w:p>
      <w:pPr>
        <w:ind w:firstLine="420" w:firstLineChars="200"/>
        <w:rPr>
          <w:rFonts w:hint="eastAsia" w:ascii="宋体" w:hAnsi="宋体" w:cs="宋体"/>
          <w:szCs w:val="21"/>
        </w:rPr>
      </w:pPr>
      <w:r>
        <w:rPr>
          <w:rFonts w:hint="eastAsia" w:ascii="宋体" w:hAnsi="宋体" w:cs="宋体"/>
          <w:iCs/>
          <w:szCs w:val="21"/>
        </w:rPr>
        <w:t>投标人在投标前根据采购单位提供的点位表自行完成监控点位现场踏勘工作，</w:t>
      </w:r>
      <w:r>
        <w:rPr>
          <w:rFonts w:hint="eastAsia" w:ascii="宋体" w:hAnsi="宋体" w:cs="宋体"/>
          <w:szCs w:val="21"/>
        </w:rPr>
        <w:t>须结合现勘实际情况，进行整体方案的设计，设备产品和数量由投标单位自行确定，投标单位需确保在3年的服务期内，所有设备硬件的保修服务，软件版本的升级服务。</w:t>
      </w:r>
    </w:p>
    <w:p>
      <w:pPr>
        <w:ind w:firstLine="420" w:firstLineChars="200"/>
        <w:rPr>
          <w:rFonts w:hint="eastAsia" w:ascii="宋体" w:hAnsi="宋体" w:cs="宋体"/>
          <w:szCs w:val="21"/>
        </w:rPr>
      </w:pPr>
      <w:r>
        <w:rPr>
          <w:rFonts w:hint="eastAsia" w:ascii="宋体" w:hAnsi="宋体" w:cs="宋体"/>
          <w:szCs w:val="21"/>
        </w:rPr>
        <w:t>本项目由投标人全资建设，总价包干，满足项目应用、存储视频存储30天，图片大图存储90天，小图存储365天等需求。</w:t>
      </w:r>
    </w:p>
    <w:p>
      <w:pPr>
        <w:ind w:firstLine="420" w:firstLineChars="200"/>
        <w:rPr>
          <w:rFonts w:hint="eastAsia" w:ascii="宋体" w:hAnsi="宋体" w:cs="宋体"/>
          <w:szCs w:val="21"/>
        </w:rPr>
      </w:pPr>
      <w:r>
        <w:rPr>
          <w:rFonts w:hint="eastAsia" w:ascii="宋体" w:hAnsi="宋体" w:cs="宋体"/>
          <w:szCs w:val="21"/>
        </w:rPr>
        <w:t>投标单位提供的服务及所用到的设备必须满足采购单位3年内的使用需求，所使用的设备，必须符合并高于目前公安视频监控系统的使用要求，公示期内，采购单位有权对中标单位提供的设备进行性能和功能测试，如不能满足的，须无条件进行更换，确保使用效果。如出现严重不符，并无法解决的，采购单位有权取消其中标资格。如果在服务期内出现不能满足用户需求的情况，投标单位需要根据实际情况无条件免费进行设备的更替，以确保服务质量。</w:t>
      </w:r>
    </w:p>
    <w:p>
      <w:pPr>
        <w:ind w:firstLine="420" w:firstLineChars="200"/>
        <w:rPr>
          <w:rFonts w:ascii="宋体" w:hAnsi="宋体" w:cs="宋体"/>
          <w:kern w:val="0"/>
          <w:szCs w:val="21"/>
        </w:rPr>
      </w:pPr>
      <w:r>
        <w:rPr>
          <w:rFonts w:hint="eastAsia" w:ascii="宋体" w:hAnsi="宋体" w:cs="宋体"/>
          <w:kern w:val="0"/>
          <w:szCs w:val="21"/>
        </w:rPr>
        <w:t>投标人应保证所提供的光纤及其过桥、涵洞、河流等特殊地段的防护措施符合国家通信行业有关标准，对于不符合标准的子管及其防护措施，投标人必须承担使其达到符合国家通信行业有关标准的义务。</w:t>
      </w:r>
    </w:p>
    <w:p>
      <w:pPr>
        <w:ind w:firstLine="420" w:firstLineChars="200"/>
        <w:rPr>
          <w:rFonts w:hint="eastAsia" w:ascii="宋体" w:hAnsi="宋体" w:cs="宋体"/>
          <w:szCs w:val="21"/>
        </w:rPr>
      </w:pPr>
      <w:r>
        <w:rPr>
          <w:rFonts w:hint="eastAsia" w:ascii="宋体" w:hAnsi="宋体" w:cs="宋体"/>
          <w:kern w:val="0"/>
          <w:szCs w:val="21"/>
        </w:rPr>
        <w:t>前端设备应具有抗风、抗震、防雷、防雨、防尘、防盐雾、防锈蚀、防变形等功能。投标人在中标后必须对前端进行防雷处理并能达到《安全防范系统雷电浪涌防护技术要求》(GA/T670-2006)标准。</w:t>
      </w:r>
    </w:p>
    <w:p>
      <w:pPr>
        <w:ind w:firstLine="420" w:firstLineChars="200"/>
        <w:rPr>
          <w:rFonts w:hint="eastAsia" w:ascii="宋体" w:hAnsi="宋体" w:cs="宋体"/>
          <w:kern w:val="0"/>
          <w:szCs w:val="21"/>
        </w:rPr>
      </w:pPr>
      <w:r>
        <w:rPr>
          <w:rFonts w:hint="eastAsia" w:ascii="宋体" w:hAnsi="宋体" w:cs="宋体"/>
          <w:szCs w:val="21"/>
        </w:rPr>
        <w:t>中标单位定期进行安全巡检，通过持续运营，持续优化，有效保障应用系统安全、平稳运行，深度巡检每年不低于4次。</w:t>
      </w:r>
      <w:r>
        <w:rPr>
          <w:rFonts w:hint="eastAsia" w:ascii="宋体" w:hAnsi="宋体" w:cs="宋体"/>
          <w:kern w:val="0"/>
          <w:szCs w:val="21"/>
        </w:rPr>
        <w:t>中标人应设立专门的服务咨询中心，提供免费的服务热线电话，接受系统故障保修、使用帮助要求、业务和技术咨询、服务投诉等。该服务咨询中心应该7×24小时全天候运行，应配备足够的咨询人员和技术工程师，热线电话的拨通率应达到100%。在热线电话发生故障情况下，应提供其它备份的方便和迅速的联系方式。</w:t>
      </w:r>
    </w:p>
    <w:p>
      <w:pPr>
        <w:ind w:firstLine="422" w:firstLineChars="200"/>
        <w:rPr>
          <w:rFonts w:hint="eastAsia" w:ascii="宋体" w:hAnsi="宋体" w:cs="宋体"/>
          <w:kern w:val="0"/>
          <w:szCs w:val="21"/>
        </w:rPr>
      </w:pPr>
      <w:r>
        <w:rPr>
          <w:rFonts w:hint="eastAsia" w:ascii="宋体" w:hAnsi="宋体" w:cs="宋体"/>
          <w:b/>
          <w:kern w:val="0"/>
          <w:szCs w:val="21"/>
        </w:rPr>
        <w:t>中标人需派不少于4名的维护人员，提供至少1辆登高车和2辆快速维保车辆为采购人专用，并配备本项目涉及的前端和传输设备数量的2%作为备品备件，用于对本项目新建设备的日常检查维护，所产生一切费用及安全责任由中标人负责。</w:t>
      </w:r>
    </w:p>
    <w:p>
      <w:pPr>
        <w:ind w:firstLine="420" w:firstLineChars="200"/>
        <w:rPr>
          <w:rFonts w:hint="eastAsia" w:ascii="宋体" w:hAnsi="宋体" w:cs="宋体"/>
          <w:kern w:val="0"/>
          <w:szCs w:val="21"/>
        </w:rPr>
      </w:pPr>
      <w:r>
        <w:rPr>
          <w:rFonts w:hint="eastAsia" w:ascii="宋体" w:hAnsi="宋体" w:cs="宋体"/>
          <w:szCs w:val="21"/>
        </w:rPr>
        <w:t>服务期内的响应及修复时限要求（除驻场运维人员以外）：</w:t>
      </w:r>
      <w:r>
        <w:rPr>
          <w:rFonts w:hint="eastAsia" w:ascii="宋体" w:hAnsi="宋体" w:cs="宋体"/>
          <w:kern w:val="0"/>
          <w:szCs w:val="21"/>
        </w:rPr>
        <w:t>在接到用户故障报告后到达用户现场时间不超过1小时，一般性故障2小时内修复，如无法按时排除故障，在有备用光纤资源的情况下，必须在12小时内替代解决，在无备用光纤资源的情况下，必须在24小时内用其它接入手段进行替代。</w:t>
      </w:r>
    </w:p>
    <w:p>
      <w:pPr>
        <w:ind w:firstLine="422" w:firstLineChars="200"/>
        <w:rPr>
          <w:rFonts w:hint="eastAsia" w:ascii="宋体" w:hAnsi="宋体"/>
          <w:b/>
          <w:szCs w:val="21"/>
        </w:rPr>
      </w:pPr>
      <w:r>
        <w:rPr>
          <w:rFonts w:hint="eastAsia" w:ascii="宋体" w:hAnsi="宋体"/>
          <w:b/>
          <w:szCs w:val="21"/>
        </w:rPr>
        <w:t>本项目所签订合同的有效期：</w:t>
      </w:r>
      <w:r>
        <w:rPr>
          <w:rFonts w:hint="eastAsia" w:ascii="宋体" w:hAnsi="宋体" w:cs="宋体"/>
          <w:b/>
          <w:kern w:val="0"/>
          <w:szCs w:val="21"/>
        </w:rPr>
        <w:t>合同签订之日作为起始日，70日（含法定节假日）后的次月1日对应3年后的当天作为截止日，上述期间作为合同的有效期。服务期满后根据中标单位的绩效评价、服务对象满意度考核情况，综合考虑是否续签合同（按浙财采监〔2014〕28号《浙江省财政厅关于印发浙江省政府购买服务采购管理暂行办法》的有关规定续签合同）。</w:t>
      </w:r>
    </w:p>
    <w:p>
      <w:pPr>
        <w:ind w:firstLine="422" w:firstLineChars="200"/>
        <w:rPr>
          <w:rFonts w:hint="eastAsia" w:ascii="宋体" w:hAnsi="宋体" w:cs="宋体"/>
          <w:szCs w:val="21"/>
        </w:rPr>
      </w:pPr>
      <w:r>
        <w:rPr>
          <w:rFonts w:hint="eastAsia" w:ascii="宋体" w:hAnsi="宋体"/>
          <w:b/>
          <w:szCs w:val="21"/>
        </w:rPr>
        <w:t>付款方式：</w:t>
      </w:r>
      <w:r>
        <w:rPr>
          <w:rFonts w:hint="eastAsia" w:ascii="宋体" w:hAnsi="宋体" w:cs="宋体"/>
          <w:b/>
          <w:szCs w:val="21"/>
        </w:rPr>
        <w:t>中标人按照合同约定货到安装调试验收合格后，采购人在合同有效期内按照月服务费形式进行付费。</w:t>
      </w:r>
    </w:p>
    <w:p>
      <w:pPr>
        <w:ind w:firstLine="420" w:firstLineChars="200"/>
        <w:rPr>
          <w:rFonts w:hint="eastAsia" w:ascii="宋体" w:hAnsi="宋体" w:cs="宋体"/>
          <w:szCs w:val="21"/>
        </w:rPr>
      </w:pPr>
      <w:r>
        <w:rPr>
          <w:rFonts w:hint="eastAsia" w:ascii="宋体" w:hAnsi="宋体" w:cs="宋体"/>
          <w:szCs w:val="21"/>
        </w:rPr>
        <w:t>报价中包含视频监控系统建设及运行维护的费用（包括设备费用、视频监控线路租用费、设备电力接入费、日常电费、项目检测费及日常维护费等所有费用）。</w:t>
      </w:r>
    </w:p>
    <w:p>
      <w:pPr>
        <w:ind w:firstLine="420" w:firstLineChars="200"/>
        <w:rPr>
          <w:rFonts w:hint="eastAsia" w:ascii="宋体" w:hAnsi="宋体" w:cs="宋体"/>
          <w:szCs w:val="21"/>
        </w:rPr>
      </w:pPr>
      <w:r>
        <w:rPr>
          <w:rFonts w:hint="eastAsia" w:ascii="宋体" w:hAnsi="宋体" w:cs="宋体"/>
          <w:szCs w:val="21"/>
        </w:rPr>
        <w:t>中标单位在部署和割接所有设备时需保证不影响公安视频监控系统业务正常运行。所使用的设备须与采购单位现有设备无缝连接，并由中标单位完成与相关单位和部门的协调和衔接。</w:t>
      </w:r>
    </w:p>
    <w:p>
      <w:pPr>
        <w:ind w:firstLine="420" w:firstLineChars="200"/>
        <w:rPr>
          <w:rFonts w:hint="eastAsia" w:ascii="宋体" w:hAnsi="宋体" w:cs="宋体"/>
          <w:iCs/>
          <w:szCs w:val="21"/>
        </w:rPr>
      </w:pPr>
      <w:r>
        <w:rPr>
          <w:rFonts w:hint="eastAsia" w:ascii="宋体" w:hAnsi="宋体" w:cs="宋体"/>
          <w:iCs/>
          <w:szCs w:val="21"/>
        </w:rPr>
        <w:t>投标人应为采购人提供方案设计、设备集成、工程设计、系统建设、联调测试、培训、维护等专业化服务。</w:t>
      </w:r>
    </w:p>
    <w:p>
      <w:pPr>
        <w:ind w:firstLine="420" w:firstLineChars="200"/>
        <w:rPr>
          <w:rFonts w:ascii="宋体" w:hAnsi="宋体" w:cs="宋体"/>
          <w:iCs/>
          <w:szCs w:val="21"/>
        </w:rPr>
      </w:pPr>
    </w:p>
    <w:p>
      <w:pPr>
        <w:pStyle w:val="43"/>
        <w:spacing w:before="0" w:after="0"/>
      </w:pPr>
      <w:r>
        <w:br w:type="page"/>
      </w:r>
      <w:bookmarkStart w:id="8" w:name="_Toc50211551"/>
      <w:r>
        <w:rPr>
          <w:rFonts w:hint="eastAsia"/>
        </w:rPr>
        <w:t>第三章  投标人须知</w:t>
      </w:r>
      <w:bookmarkEnd w:id="8"/>
    </w:p>
    <w:p>
      <w:pPr>
        <w:ind w:firstLine="281" w:firstLineChars="100"/>
        <w:jc w:val="center"/>
        <w:rPr>
          <w:rFonts w:ascii="宋体" w:hAnsi="宋体" w:cs="宋体"/>
          <w:b/>
          <w:bCs/>
          <w:sz w:val="28"/>
          <w:szCs w:val="28"/>
        </w:rPr>
      </w:pPr>
      <w:r>
        <w:rPr>
          <w:rFonts w:hint="eastAsia" w:ascii="宋体" w:hAnsi="宋体" w:cs="宋体"/>
          <w:b/>
          <w:bCs/>
          <w:sz w:val="28"/>
          <w:szCs w:val="28"/>
        </w:rPr>
        <w:t>电子交易注意事项</w:t>
      </w:r>
    </w:p>
    <w:p>
      <w:pPr>
        <w:ind w:firstLine="420" w:firstLineChars="200"/>
        <w:jc w:val="left"/>
        <w:rPr>
          <w:rFonts w:ascii="宋体" w:hAnsi="宋体" w:cs="宋体"/>
          <w:szCs w:val="21"/>
        </w:rPr>
      </w:pPr>
      <w:r>
        <w:rPr>
          <w:rFonts w:hint="eastAsia" w:ascii="宋体" w:hAnsi="宋体" w:cs="宋体"/>
          <w:szCs w:val="21"/>
        </w:rPr>
        <w:t>政府采购项目电子交易活动适用《浙江省政府采购项目电子交易管理暂行办法》，现将相关注意事项告知如下：</w:t>
      </w:r>
    </w:p>
    <w:p>
      <w:pPr>
        <w:ind w:firstLine="420" w:firstLineChars="200"/>
        <w:jc w:val="left"/>
        <w:rPr>
          <w:rFonts w:ascii="宋体" w:hAnsi="宋体" w:cs="宋体"/>
          <w:szCs w:val="21"/>
        </w:rPr>
      </w:pPr>
      <w:r>
        <w:rPr>
          <w:rFonts w:hint="eastAsia" w:ascii="宋体" w:hAnsi="宋体" w:cs="宋体"/>
          <w:szCs w:val="21"/>
        </w:rPr>
        <w:t>1.代理机构按照招标文件规定的时间通过电子交易平台组织开标、开启投标文件、开启报价文件，所有供应商均应当准时在线参加，直至评审结束。</w:t>
      </w:r>
    </w:p>
    <w:p>
      <w:pPr>
        <w:ind w:firstLine="420" w:firstLineChars="200"/>
        <w:jc w:val="left"/>
        <w:rPr>
          <w:rFonts w:ascii="宋体" w:hAnsi="宋体" w:cs="宋体"/>
          <w:szCs w:val="21"/>
        </w:rPr>
      </w:pPr>
      <w:r>
        <w:rPr>
          <w:rFonts w:hint="eastAsia" w:ascii="宋体" w:hAnsi="宋体" w:cs="宋体"/>
          <w:szCs w:val="21"/>
        </w:rPr>
        <w:t>2. 投标文件未按时解密，供应商如提供备份投标文件的，以符合要求的备份投标文件作为依据，否则视为投标文件撤回。投标文件已按时解密的，备份投标文件自动失效。</w:t>
      </w:r>
    </w:p>
    <w:p>
      <w:pPr>
        <w:ind w:firstLine="420" w:firstLineChars="200"/>
        <w:jc w:val="left"/>
        <w:rPr>
          <w:rFonts w:ascii="宋体" w:hAnsi="宋体" w:cs="宋体"/>
          <w:szCs w:val="21"/>
        </w:rPr>
      </w:pPr>
      <w:r>
        <w:rPr>
          <w:rFonts w:hint="eastAsia" w:ascii="宋体" w:hAnsi="宋体" w:cs="宋体"/>
          <w:szCs w:val="21"/>
        </w:rPr>
        <w:t>3. 采购过程中出现以下情形，导致电子交易平台无法正常运行，或者无法保证电子交易的公平、公正和安全时，代理机构可中止电子交易活动：</w:t>
      </w:r>
    </w:p>
    <w:p>
      <w:pPr>
        <w:ind w:firstLine="420" w:firstLineChars="200"/>
        <w:jc w:val="left"/>
        <w:rPr>
          <w:rFonts w:ascii="宋体" w:hAnsi="宋体" w:cs="宋体"/>
          <w:szCs w:val="21"/>
        </w:rPr>
      </w:pPr>
      <w:r>
        <w:rPr>
          <w:rFonts w:hint="eastAsia" w:ascii="宋体" w:hAnsi="宋体" w:cs="宋体"/>
          <w:szCs w:val="21"/>
        </w:rPr>
        <w:t>（一）电子交易平台发生故障而无法登录访问的；</w:t>
      </w:r>
    </w:p>
    <w:p>
      <w:pPr>
        <w:ind w:firstLine="420" w:firstLineChars="200"/>
        <w:jc w:val="left"/>
        <w:rPr>
          <w:rFonts w:ascii="宋体" w:hAnsi="宋体" w:cs="宋体"/>
          <w:szCs w:val="21"/>
        </w:rPr>
      </w:pPr>
      <w:r>
        <w:rPr>
          <w:rFonts w:hint="eastAsia" w:ascii="宋体" w:hAnsi="宋体" w:cs="宋体"/>
          <w:szCs w:val="21"/>
        </w:rPr>
        <w:t>（二）电子交易平台应用或数据库出现错误，不能进行正常操作的；</w:t>
      </w:r>
    </w:p>
    <w:p>
      <w:pPr>
        <w:ind w:firstLine="420" w:firstLineChars="200"/>
        <w:jc w:val="left"/>
        <w:rPr>
          <w:rFonts w:ascii="宋体" w:hAnsi="宋体" w:cs="宋体"/>
          <w:szCs w:val="21"/>
        </w:rPr>
      </w:pPr>
      <w:r>
        <w:rPr>
          <w:rFonts w:hint="eastAsia" w:ascii="宋体" w:hAnsi="宋体" w:cs="宋体"/>
          <w:szCs w:val="21"/>
        </w:rPr>
        <w:t>（三）电子交易平台发现严重安全漏洞，有潜在泄密危险的；</w:t>
      </w:r>
    </w:p>
    <w:p>
      <w:pPr>
        <w:ind w:firstLine="420" w:firstLineChars="200"/>
        <w:jc w:val="left"/>
        <w:rPr>
          <w:rFonts w:ascii="宋体" w:hAnsi="宋体" w:cs="宋体"/>
          <w:szCs w:val="21"/>
        </w:rPr>
      </w:pPr>
      <w:r>
        <w:rPr>
          <w:rFonts w:hint="eastAsia" w:ascii="宋体" w:hAnsi="宋体" w:cs="宋体"/>
          <w:szCs w:val="21"/>
        </w:rPr>
        <w:t>（四）病毒发作导致不能进行正常操作的；</w:t>
      </w:r>
    </w:p>
    <w:p>
      <w:pPr>
        <w:ind w:firstLine="420" w:firstLineChars="200"/>
        <w:jc w:val="left"/>
        <w:rPr>
          <w:rFonts w:ascii="宋体" w:hAnsi="宋体" w:cs="宋体"/>
          <w:szCs w:val="21"/>
        </w:rPr>
      </w:pPr>
      <w:r>
        <w:rPr>
          <w:rFonts w:hint="eastAsia" w:ascii="宋体" w:hAnsi="宋体" w:cs="宋体"/>
          <w:szCs w:val="21"/>
        </w:rPr>
        <w:t>（五）其他无法保证电子交易的公平、公正和安全的情况。</w:t>
      </w:r>
    </w:p>
    <w:p>
      <w:pPr>
        <w:ind w:firstLine="420" w:firstLineChars="200"/>
        <w:jc w:val="left"/>
        <w:rPr>
          <w:rFonts w:ascii="宋体" w:hAnsi="宋体" w:cs="宋体"/>
          <w:szCs w:val="21"/>
        </w:rPr>
      </w:pPr>
      <w:r>
        <w:rPr>
          <w:rFonts w:hint="eastAsia" w:ascii="宋体" w:hAnsi="宋体" w:cs="宋体"/>
          <w:szCs w:val="21"/>
        </w:rPr>
        <w:t>出现前款规定情形，不影响采购公平、公正性的，代理机构可以待上述情形消除后继续组织电子交易活动，也可以决定某些环节以纸质形式进行；影响或可能影响采购公平、公正性的，应当重新采购。</w:t>
      </w:r>
    </w:p>
    <w:p>
      <w:pPr>
        <w:ind w:firstLine="420" w:firstLineChars="200"/>
        <w:jc w:val="left"/>
        <w:rPr>
          <w:rFonts w:ascii="宋体" w:hAnsi="宋体" w:cs="宋体"/>
          <w:szCs w:val="21"/>
        </w:rPr>
      </w:pPr>
      <w:r>
        <w:rPr>
          <w:rFonts w:hint="eastAsia" w:ascii="宋体" w:hAnsi="宋体" w:cs="宋体"/>
          <w:szCs w:val="21"/>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ind w:firstLine="420" w:firstLineChars="200"/>
        <w:jc w:val="left"/>
        <w:rPr>
          <w:rFonts w:ascii="宋体" w:hAnsi="宋体" w:cs="宋体"/>
          <w:szCs w:val="21"/>
        </w:rPr>
      </w:pPr>
      <w:r>
        <w:rPr>
          <w:rFonts w:hint="eastAsia" w:ascii="宋体" w:hAnsi="宋体" w:cs="宋体"/>
          <w:szCs w:val="21"/>
        </w:rPr>
        <w:t>如果</w:t>
      </w:r>
      <w:r>
        <w:rPr>
          <w:rFonts w:ascii="宋体" w:hAnsi="宋体" w:cs="宋体"/>
          <w:szCs w:val="21"/>
        </w:rPr>
        <w:t>有现场展示或讲标</w:t>
      </w:r>
      <w:r>
        <w:rPr>
          <w:rFonts w:hint="eastAsia" w:ascii="宋体" w:hAnsi="宋体" w:cs="宋体"/>
          <w:szCs w:val="21"/>
        </w:rPr>
        <w:t>（按</w:t>
      </w:r>
      <w:r>
        <w:rPr>
          <w:rFonts w:ascii="宋体" w:hAnsi="宋体" w:cs="宋体"/>
          <w:szCs w:val="21"/>
        </w:rPr>
        <w:t>第五条</w:t>
      </w:r>
      <w:r>
        <w:rPr>
          <w:rFonts w:hint="eastAsia" w:ascii="宋体" w:hAnsi="宋体" w:cs="宋体"/>
          <w:szCs w:val="21"/>
        </w:rPr>
        <w:t>执行）</w:t>
      </w:r>
    </w:p>
    <w:p>
      <w:pPr>
        <w:ind w:firstLine="420" w:firstLineChars="200"/>
        <w:jc w:val="left"/>
        <w:rPr>
          <w:rFonts w:ascii="宋体" w:hAnsi="宋体" w:cs="宋体"/>
          <w:szCs w:val="21"/>
        </w:rPr>
      </w:pPr>
      <w:r>
        <w:rPr>
          <w:rFonts w:hint="eastAsia" w:ascii="宋体" w:hAnsi="宋体" w:cs="宋体"/>
          <w:szCs w:val="21"/>
        </w:rPr>
        <w:t>5、代理机构工作人员在投标截止时间后建立项目专属钉钉群，邀请投标供应商进群。项目专属钉钉群作用：</w:t>
      </w:r>
    </w:p>
    <w:p>
      <w:pPr>
        <w:ind w:firstLine="420" w:firstLineChars="200"/>
        <w:jc w:val="left"/>
        <w:rPr>
          <w:rFonts w:ascii="宋体" w:hAnsi="宋体" w:cs="宋体"/>
          <w:szCs w:val="21"/>
        </w:rPr>
      </w:pPr>
      <w:r>
        <w:rPr>
          <w:rFonts w:hint="eastAsia" w:ascii="宋体" w:hAnsi="宋体" w:cs="宋体"/>
          <w:szCs w:val="21"/>
        </w:rPr>
        <w:t>5.1、代理机构工作人员通过专属钉钉群通知供应商按电子交易项目要求接受讲标（演示、视频展示）、签发中标通知书（纸质件由采购人代表代为领取，同合同一起寄送给中标供应商）等事宜。</w:t>
      </w:r>
    </w:p>
    <w:p>
      <w:pPr>
        <w:ind w:firstLine="420" w:firstLineChars="200"/>
        <w:jc w:val="left"/>
        <w:rPr>
          <w:rFonts w:ascii="宋体" w:hAnsi="宋体" w:cs="宋体"/>
          <w:szCs w:val="21"/>
        </w:rPr>
      </w:pPr>
      <w:r>
        <w:rPr>
          <w:rFonts w:hint="eastAsia" w:ascii="宋体" w:hAnsi="宋体" w:cs="宋体"/>
          <w:szCs w:val="21"/>
        </w:rPr>
        <w:t>5.2、供应商须在代理机构代理机构宣布评审结束、产生中标候选人期间时刻关注项目专属钉钉，配合专家组工作，如有询标（澄清、质疑），在30分钟内（具体时间以询标函上规定的时间为准备）通过CA进行回复。过期不按要求回复，其投标文件无效。</w:t>
      </w:r>
    </w:p>
    <w:p>
      <w:pPr>
        <w:ind w:firstLine="420" w:firstLineChars="200"/>
        <w:jc w:val="left"/>
        <w:rPr>
          <w:b/>
          <w:sz w:val="28"/>
          <w:szCs w:val="28"/>
        </w:rPr>
      </w:pPr>
      <w:r>
        <w:rPr>
          <w:rFonts w:hint="eastAsia" w:ascii="宋体" w:hAnsi="宋体" w:cs="宋体"/>
          <w:szCs w:val="21"/>
        </w:rPr>
        <w:t>5.3项目专属钉钉群等项目签订政府采购合同之后解散。</w:t>
      </w:r>
    </w:p>
    <w:p>
      <w:pPr>
        <w:jc w:val="center"/>
        <w:rPr>
          <w:b/>
          <w:sz w:val="28"/>
          <w:szCs w:val="28"/>
        </w:rPr>
      </w:pPr>
      <w:r>
        <w:rPr>
          <w:b/>
          <w:sz w:val="28"/>
          <w:szCs w:val="28"/>
        </w:rPr>
        <w:br w:type="page"/>
      </w:r>
      <w:r>
        <w:rPr>
          <w:rFonts w:hint="eastAsia"/>
          <w:b/>
          <w:sz w:val="28"/>
          <w:szCs w:val="28"/>
        </w:rPr>
        <w:t>前附表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8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4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cs="宋体"/>
                <w:szCs w:val="21"/>
              </w:rPr>
            </w:pPr>
            <w:r>
              <w:rPr>
                <w:rFonts w:hint="eastAsia" w:ascii="宋体" w:hAnsi="宋体" w:cs="宋体"/>
                <w:szCs w:val="21"/>
              </w:rPr>
              <w:t>序号</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项目名称：嘉兴市公安局秀洲区分局第二期“智安小区”系统购买服务项目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7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cs="宋体"/>
                <w:szCs w:val="21"/>
              </w:rPr>
            </w:pPr>
            <w:r>
              <w:rPr>
                <w:rFonts w:hint="eastAsia" w:ascii="宋体" w:hAnsi="宋体" w:cs="宋体"/>
                <w:szCs w:val="21"/>
              </w:rPr>
              <w:t>采购内容：详见第二章招标需求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9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投标报价及费用：1.本项目投标应以人民币报价；2.不论投标结果如何，投标人均应自行承担所有与投标有关的全部费用；</w:t>
            </w:r>
            <w:r>
              <w:rPr>
                <w:rFonts w:hint="eastAsia" w:ascii="宋体" w:hAnsi="宋体" w:cs="宋体"/>
                <w:bCs/>
                <w:szCs w:val="21"/>
              </w:rPr>
              <w:t>3.本项目招标代理费按“国家发展改革委发改价格【2011】534号”文件收费标准计取，由中标单位领取中标通知书前一次性支付，请各投标单位投标报价时综合考虑此费用。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41"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1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现场踏勘：本项目须进行现场踏勘（招标文件中不能详细表述的不可预见费用、招标需求和设备技术参数等，投标人需通过现场踏勘后考虑在最终报价内，否则后果由投标人自负）；现场踏勘时间为：不统一组织，由投标人根据具体点位列表自行前往（以属地***出具证明为准）；采购单位：嘉兴市公安局秀洲区分局；联系人：姚亚刚；联系电话：</w:t>
            </w:r>
            <w:r>
              <w:rPr>
                <w:rFonts w:ascii="宋体" w:hAnsi="宋体" w:cs="宋体"/>
                <w:szCs w:val="21"/>
              </w:rPr>
              <w:t>13586333007</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b/>
                <w:szCs w:val="21"/>
              </w:rPr>
            </w:pPr>
            <w:r>
              <w:rPr>
                <w:rFonts w:hint="eastAsia" w:ascii="宋体" w:hAnsi="宋体" w:cs="Arial"/>
                <w:b/>
                <w:szCs w:val="21"/>
                <w:lang w:val="zh-CN"/>
              </w:rPr>
              <w:t>投标文件组成：电子投标文件和备份投标文件均由资信商务及技术文件、投标报价文件两部份组成。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b/>
                <w:szCs w:val="21"/>
              </w:rPr>
            </w:pPr>
            <w:r>
              <w:rPr>
                <w:rFonts w:hint="eastAsia" w:ascii="宋体" w:hAnsi="宋体" w:cs="宋体"/>
                <w:b/>
                <w:szCs w:val="21"/>
              </w:rPr>
              <w:t>开标时间及地点：2020年09月25日14时30分在嘉兴市公共资源交易中心开标室（嘉兴市广场路350号）开标。</w:t>
            </w:r>
            <w:r>
              <w:rPr>
                <w:rFonts w:hint="eastAsia" w:ascii="宋体" w:hAnsi="宋体" w:cs="Arial"/>
                <w:b/>
                <w:szCs w:val="21"/>
                <w:lang w:val="zh-CN"/>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highlight w:val="yellow"/>
              </w:rPr>
            </w:pPr>
            <w:r>
              <w:rPr>
                <w:rFonts w:hint="eastAsia" w:ascii="宋体" w:hAnsi="宋体" w:cs="宋体"/>
                <w:szCs w:val="21"/>
              </w:rPr>
              <w:t>现场演示：无。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b/>
                <w:szCs w:val="21"/>
              </w:rPr>
            </w:pPr>
            <w:r>
              <w:rPr>
                <w:rFonts w:hint="eastAsia" w:ascii="宋体" w:hAnsi="宋体" w:cs="宋体"/>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2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评标结果公告：评标结束后2个工作日内，评标结果公告于浙江省政府采购网(</w:t>
            </w:r>
            <w:r>
              <w:fldChar w:fldCharType="begin"/>
            </w:r>
            <w:r>
              <w:instrText xml:space="preserve"> HYPERLINK "http://www.zjzfcg.gov.cn/" </w:instrText>
            </w:r>
            <w:r>
              <w:fldChar w:fldCharType="separate"/>
            </w:r>
            <w:r>
              <w:rPr>
                <w:rStyle w:val="53"/>
                <w:rFonts w:hint="eastAsia" w:ascii="宋体" w:hAnsi="宋体" w:cs="宋体"/>
                <w:color w:val="auto"/>
                <w:szCs w:val="21"/>
              </w:rPr>
              <w:t>http://zfcg.czt.zj.gov.cn/</w:t>
            </w:r>
            <w:r>
              <w:rPr>
                <w:rFonts w:ascii="宋体" w:hAnsi="宋体" w:cs="宋体"/>
                <w:szCs w:val="21"/>
              </w:rPr>
              <w:fldChar w:fldCharType="end"/>
            </w:r>
            <w:r>
              <w:rPr>
                <w:rFonts w:hint="eastAsia" w:ascii="宋体" w:hAnsi="宋体" w:cs="宋体"/>
                <w:szCs w:val="21"/>
              </w:rPr>
              <w:t>)</w:t>
            </w:r>
            <w:r>
              <w:rPr>
                <w:rFonts w:ascii="宋体" w:hAnsi="宋体" w:cs="宋体"/>
                <w:szCs w:val="21"/>
              </w:rPr>
              <w:t>。</w:t>
            </w:r>
            <w:r>
              <w:rPr>
                <w:rFonts w:hint="eastAsia" w:ascii="宋体" w:hAnsi="宋体" w:cs="宋体"/>
                <w:szCs w:val="21"/>
              </w:rPr>
              <w:t>本项目公告期限为1个工作日，各参加政府采购活动的投标人认为该中标结果和采购过程等使自己的权益受到损害的，可以自本公告期限届满之日（本公告发布之日后第2个工作日）起7个工作日内，以书面形式向采购人或受其委托的分散采购机构提出质疑。质疑投标人对采购人、分散采购机构的答复不满意或者采购人、分散采购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0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中标公告及中标通知书：中标公告发布于上述媒体，中标公告期限为1个工作日。在公告中标结果的同时，采购人或采购代理机构向中标人发出中标通知书。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签订合同时间：中标通知书发出后7日内。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7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cs="宋体"/>
                <w:b/>
                <w:szCs w:val="21"/>
              </w:rPr>
            </w:pPr>
            <w:r>
              <w:rPr>
                <w:rFonts w:hint="eastAsia" w:ascii="宋体" w:hAnsi="宋体" w:cs="宋体"/>
                <w:b/>
                <w:szCs w:val="21"/>
              </w:rPr>
              <w:t>履约保证金：</w:t>
            </w:r>
            <w:r>
              <w:rPr>
                <w:rFonts w:hint="eastAsia" w:ascii="宋体" w:hAnsi="宋体" w:cs="宋体"/>
                <w:b/>
                <w:kern w:val="0"/>
                <w:szCs w:val="21"/>
              </w:rPr>
              <w:t>中标方应在合同签订后30日内向采购人提交合同金额的5%作为履约保证金（网银转账、电汇或银行保函（县级及以上的国有银行出具）或保险公司担保函，有效期与质保期相同），质保期满后，若无任何质量及服务问题，全额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cs="宋体"/>
                <w:b/>
                <w:szCs w:val="21"/>
              </w:rPr>
            </w:pPr>
            <w:r>
              <w:rPr>
                <w:rFonts w:hint="eastAsia" w:ascii="宋体" w:hAnsi="宋体" w:cs="宋体"/>
                <w:b/>
                <w:szCs w:val="21"/>
              </w:rPr>
              <w:t>本项目预算金额：</w:t>
            </w:r>
            <w:r>
              <w:rPr>
                <w:rFonts w:ascii="宋体" w:hAnsi="宋体" w:cs="宋体"/>
                <w:b/>
                <w:szCs w:val="21"/>
              </w:rPr>
              <w:t>人民币</w:t>
            </w:r>
            <w:r>
              <w:rPr>
                <w:rFonts w:hint="eastAsia" w:ascii="宋体" w:hAnsi="宋体" w:cs="宋体"/>
                <w:b/>
                <w:szCs w:val="21"/>
              </w:rPr>
              <w:t>6664800</w:t>
            </w:r>
            <w:r>
              <w:rPr>
                <w:rFonts w:ascii="宋体" w:hAnsi="宋体" w:cs="宋体"/>
                <w:b/>
                <w:szCs w:val="21"/>
              </w:rPr>
              <w:t>元</w:t>
            </w:r>
            <w:r>
              <w:rPr>
                <w:rFonts w:hint="eastAsia" w:ascii="宋体" w:hAnsi="宋体" w:cs="宋体"/>
                <w:b/>
                <w:szCs w:val="21"/>
              </w:rPr>
              <w:t>/年，</w:t>
            </w:r>
            <w:r>
              <w:rPr>
                <w:rFonts w:ascii="宋体" w:hAnsi="宋体" w:cs="宋体"/>
                <w:b/>
                <w:szCs w:val="21"/>
              </w:rPr>
              <w:t>大写：</w:t>
            </w: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 7666200 \* CHINESENUM2</w:instrText>
            </w:r>
            <w:r>
              <w:rPr>
                <w:rFonts w:ascii="宋体" w:hAnsi="宋体" w:cs="宋体"/>
                <w:b/>
                <w:szCs w:val="21"/>
              </w:rPr>
              <w:instrText xml:space="preserve"> </w:instrText>
            </w:r>
            <w:r>
              <w:rPr>
                <w:rFonts w:ascii="宋体" w:hAnsi="宋体" w:cs="宋体"/>
                <w:b/>
                <w:szCs w:val="21"/>
              </w:rPr>
              <w:fldChar w:fldCharType="separate"/>
            </w:r>
            <w:r>
              <w:rPr>
                <w:rFonts w:hint="eastAsia" w:ascii="宋体" w:hAnsi="宋体" w:cs="宋体"/>
                <w:b/>
                <w:szCs w:val="21"/>
                <w:lang/>
              </w:rPr>
              <w:t>陆佰陆拾陆万肆仟捌佰</w:t>
            </w:r>
            <w:r>
              <w:rPr>
                <w:rFonts w:ascii="宋体" w:hAnsi="宋体" w:cs="宋体"/>
                <w:b/>
                <w:szCs w:val="21"/>
              </w:rPr>
              <w:fldChar w:fldCharType="end"/>
            </w:r>
            <w:r>
              <w:rPr>
                <w:rFonts w:ascii="宋体" w:hAnsi="宋体" w:cs="宋体"/>
                <w:b/>
                <w:szCs w:val="21"/>
              </w:rPr>
              <w:t>元整</w:t>
            </w:r>
            <w:r>
              <w:rPr>
                <w:rFonts w:hint="eastAsia" w:ascii="宋体" w:hAnsi="宋体" w:cs="宋体"/>
                <w:b/>
                <w:szCs w:val="21"/>
              </w:rPr>
              <w:t>；最高限价为预算价，超预算价的投标文件无效。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付款方式：中标人按照合同约定货到安装调试验收合格后，采购人在合同有效期内按照月服务费形式进行付费。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0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b/>
                <w:szCs w:val="21"/>
              </w:rPr>
            </w:pPr>
            <w:r>
              <w:rPr>
                <w:rFonts w:hint="eastAsia" w:ascii="宋体" w:hAnsi="宋体" w:cs="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0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关于参考品牌：除采购文件明确的品牌外，欢迎其他能满足本项目技术需求且性能与所明确品牌相当的产品参加本项目投标。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17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信用记录：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提供自招标公告发布之日起至投标截止日内任意时间的“信用中国”网站（www.creditchina.gov.cn）、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17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17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1.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http://xwqy.gsxt.gov.cn/mirco/micro_lib（加盖单位公章）。(注：未提供以上材料的，均不给予价格扣除）</w:t>
            </w:r>
          </w:p>
          <w:p>
            <w:pPr>
              <w:snapToGrid w:val="0"/>
              <w:spacing w:after="60" w:afterLines="25" w:line="360" w:lineRule="exact"/>
              <w:rPr>
                <w:rFonts w:ascii="宋体" w:hAnsi="宋体" w:cs="宋体"/>
                <w:szCs w:val="21"/>
              </w:rPr>
            </w:pPr>
            <w:r>
              <w:rPr>
                <w:rFonts w:hint="eastAsia" w:ascii="宋体" w:hAnsi="宋体" w:cs="宋体"/>
                <w:szCs w:val="21"/>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after="60" w:afterLines="25" w:line="360" w:lineRule="exact"/>
              <w:rPr>
                <w:rFonts w:ascii="宋体" w:hAnsi="宋体" w:cs="宋体"/>
                <w:szCs w:val="21"/>
              </w:rPr>
            </w:pPr>
            <w:r>
              <w:rPr>
                <w:rFonts w:hint="eastAsia" w:ascii="宋体" w:hAnsi="宋体" w:cs="宋体"/>
                <w:szCs w:val="21"/>
              </w:rPr>
              <w:t>3.监狱企业同视为小型、微型企业，享受小微企业政策扶持。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6"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after="60" w:afterLines="25" w:line="360" w:lineRule="exact"/>
              <w:ind w:left="263" w:leftChars="125" w:firstLine="0"/>
              <w:jc w:val="center"/>
              <w:rPr>
                <w:rFonts w:ascii="宋体" w:hAnsi="宋体" w:cs="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宋体"/>
                <w:szCs w:val="21"/>
              </w:rPr>
            </w:pPr>
            <w:r>
              <w:rPr>
                <w:rFonts w:hint="eastAsia" w:ascii="宋体" w:hAnsi="宋体" w:cs="宋体"/>
                <w:szCs w:val="21"/>
              </w:rPr>
              <w:t>解释：本招标文件的解释权属于采购人。</w:t>
            </w:r>
          </w:p>
        </w:tc>
      </w:tr>
    </w:tbl>
    <w:p>
      <w:pPr>
        <w:pStyle w:val="2"/>
        <w:rPr>
          <w:szCs w:val="32"/>
        </w:rPr>
      </w:pPr>
      <w:r>
        <w:rPr>
          <w:rFonts w:hint="eastAsia"/>
          <w:b w:val="0"/>
          <w:sz w:val="32"/>
          <w:szCs w:val="32"/>
        </w:rPr>
        <w:br w:type="page"/>
      </w:r>
      <w:bookmarkStart w:id="9" w:name="_Toc3386498"/>
      <w:bookmarkStart w:id="10" w:name="_Toc39655257"/>
      <w:bookmarkStart w:id="11" w:name="_Toc50211552"/>
      <w:bookmarkStart w:id="12" w:name="_Toc16185628"/>
      <w:bookmarkStart w:id="13" w:name="_Toc42879248"/>
      <w:r>
        <w:rPr>
          <w:rFonts w:hint="eastAsia"/>
          <w:szCs w:val="30"/>
        </w:rPr>
        <w:t>一、总  则</w:t>
      </w:r>
      <w:bookmarkEnd w:id="9"/>
      <w:bookmarkEnd w:id="10"/>
      <w:bookmarkEnd w:id="11"/>
      <w:bookmarkEnd w:id="12"/>
      <w:bookmarkEnd w:id="13"/>
    </w:p>
    <w:p>
      <w:pPr>
        <w:pStyle w:val="3"/>
        <w:spacing w:line="400" w:lineRule="exact"/>
        <w:ind w:firstLine="422" w:firstLineChars="200"/>
      </w:pPr>
      <w:r>
        <w:rPr>
          <w:rFonts w:hint="eastAsia"/>
        </w:rPr>
        <w:t>（一）适用范围</w:t>
      </w:r>
    </w:p>
    <w:p>
      <w:pPr>
        <w:snapToGrid w:val="0"/>
        <w:spacing w:line="400" w:lineRule="exact"/>
        <w:ind w:firstLine="420" w:firstLineChars="200"/>
        <w:jc w:val="left"/>
        <w:rPr>
          <w:rFonts w:ascii="宋体" w:hAnsi="宋体" w:cs="宋体"/>
          <w:szCs w:val="21"/>
        </w:rPr>
      </w:pPr>
      <w:r>
        <w:rPr>
          <w:rFonts w:hint="eastAsia" w:ascii="宋体" w:hAnsi="宋体" w:cs="宋体"/>
          <w:szCs w:val="21"/>
        </w:rPr>
        <w:t>本招标文件适用于</w:t>
      </w:r>
      <w:r>
        <w:rPr>
          <w:rFonts w:ascii="宋体" w:hAnsi="宋体" w:cs="宋体"/>
          <w:szCs w:val="21"/>
        </w:rPr>
        <w:t>本项目</w:t>
      </w:r>
      <w:r>
        <w:rPr>
          <w:rFonts w:hint="eastAsia" w:ascii="宋体" w:hAnsi="宋体" w:cs="宋体"/>
          <w:szCs w:val="21"/>
        </w:rPr>
        <w:t>的招标、投标、评标、定标、验收、合同履约、付款等行为（法律、法规另有规定的，从其规定）。</w:t>
      </w:r>
    </w:p>
    <w:p>
      <w:pPr>
        <w:pStyle w:val="3"/>
        <w:spacing w:line="400" w:lineRule="exact"/>
        <w:ind w:firstLine="422" w:firstLineChars="200"/>
      </w:pPr>
      <w:r>
        <w:rPr>
          <w:rFonts w:hint="eastAsia"/>
        </w:rPr>
        <w:t>（二）定义</w:t>
      </w:r>
    </w:p>
    <w:p>
      <w:pPr>
        <w:snapToGrid w:val="0"/>
        <w:spacing w:line="400" w:lineRule="exact"/>
        <w:ind w:firstLine="420" w:firstLineChars="200"/>
        <w:jc w:val="left"/>
        <w:rPr>
          <w:rFonts w:ascii="宋体" w:hAnsi="宋体" w:cs="宋体"/>
          <w:szCs w:val="21"/>
        </w:rPr>
      </w:pPr>
      <w:r>
        <w:rPr>
          <w:rFonts w:hint="eastAsia" w:ascii="宋体" w:hAnsi="宋体" w:cs="宋体"/>
          <w:szCs w:val="21"/>
        </w:rPr>
        <w:t>1.“采购人”或“招标采购单位”为嘉兴市公安局秀洲区分局。</w:t>
      </w:r>
    </w:p>
    <w:p>
      <w:pPr>
        <w:snapToGrid w:val="0"/>
        <w:spacing w:line="400" w:lineRule="exact"/>
        <w:ind w:firstLine="420" w:firstLineChars="200"/>
        <w:jc w:val="left"/>
        <w:rPr>
          <w:rFonts w:ascii="宋体" w:hAnsi="宋体" w:cs="宋体"/>
          <w:szCs w:val="21"/>
        </w:rPr>
      </w:pPr>
      <w:r>
        <w:rPr>
          <w:rFonts w:hint="eastAsia" w:ascii="宋体" w:hAnsi="宋体" w:cs="宋体"/>
          <w:szCs w:val="21"/>
        </w:rPr>
        <w:t>2.“采购代理机构”为浙江浦发工程项目管理有限公司。</w:t>
      </w:r>
    </w:p>
    <w:p>
      <w:pPr>
        <w:snapToGrid w:val="0"/>
        <w:spacing w:line="400" w:lineRule="exact"/>
        <w:ind w:firstLine="420" w:firstLineChars="200"/>
        <w:jc w:val="left"/>
        <w:rPr>
          <w:rFonts w:ascii="宋体" w:hAnsi="宋体" w:cs="宋体"/>
          <w:szCs w:val="21"/>
        </w:rPr>
      </w:pPr>
      <w:r>
        <w:rPr>
          <w:rFonts w:hint="eastAsia" w:ascii="宋体" w:hAnsi="宋体" w:cs="宋体"/>
          <w:szCs w:val="21"/>
        </w:rPr>
        <w:t>3.“供应商”或“投标人”系指向招标方提交投标文件的单位。</w:t>
      </w:r>
    </w:p>
    <w:p>
      <w:pPr>
        <w:snapToGrid w:val="0"/>
        <w:spacing w:line="400" w:lineRule="exact"/>
        <w:ind w:firstLine="420" w:firstLineChars="200"/>
        <w:jc w:val="left"/>
        <w:rPr>
          <w:rFonts w:ascii="宋体" w:hAnsi="宋体" w:cs="宋体"/>
          <w:szCs w:val="21"/>
        </w:rPr>
      </w:pPr>
      <w:r>
        <w:rPr>
          <w:rFonts w:hint="eastAsia" w:ascii="宋体" w:hAnsi="宋体" w:cs="宋体"/>
          <w:szCs w:val="21"/>
        </w:rPr>
        <w:t>4.“产品”系指供方按招标文件规定，须向采购人提供的一切设备、保险、税金、备品备件、工具、手册及其它有关技术资料和材料。</w:t>
      </w:r>
    </w:p>
    <w:p>
      <w:pPr>
        <w:snapToGrid w:val="0"/>
        <w:spacing w:line="400" w:lineRule="exact"/>
        <w:ind w:firstLine="420" w:firstLineChars="200"/>
        <w:jc w:val="left"/>
        <w:rPr>
          <w:rFonts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napToGrid w:val="0"/>
        <w:spacing w:line="400" w:lineRule="exact"/>
        <w:ind w:firstLine="420" w:firstLineChars="200"/>
        <w:jc w:val="left"/>
        <w:rPr>
          <w:rFonts w:ascii="宋体" w:hAnsi="宋体" w:cs="宋体"/>
          <w:szCs w:val="21"/>
        </w:rPr>
      </w:pPr>
      <w:r>
        <w:rPr>
          <w:rFonts w:hint="eastAsia" w:ascii="宋体" w:hAnsi="宋体" w:cs="宋体"/>
          <w:szCs w:val="21"/>
        </w:rPr>
        <w:t>6.“项目”系指投标人按招标文件规定向采购人提供的产品和服务。</w:t>
      </w:r>
    </w:p>
    <w:p>
      <w:pPr>
        <w:snapToGrid w:val="0"/>
        <w:spacing w:line="400" w:lineRule="exact"/>
        <w:ind w:firstLine="420" w:firstLineChars="200"/>
        <w:jc w:val="left"/>
        <w:rPr>
          <w:rFonts w:ascii="宋体" w:hAnsi="宋体" w:cs="宋体"/>
          <w:szCs w:val="21"/>
        </w:rPr>
      </w:pPr>
      <w:r>
        <w:rPr>
          <w:rFonts w:hint="eastAsia" w:ascii="宋体" w:hAnsi="宋体" w:cs="宋体"/>
          <w:szCs w:val="21"/>
        </w:rPr>
        <w:t>7.“书面形式”包括信函、传真、电报等。</w:t>
      </w:r>
    </w:p>
    <w:p>
      <w:pPr>
        <w:snapToGrid w:val="0"/>
        <w:spacing w:line="400" w:lineRule="exact"/>
        <w:ind w:firstLine="420" w:firstLineChars="200"/>
        <w:jc w:val="left"/>
        <w:rPr>
          <w:rFonts w:ascii="宋体" w:hAnsi="宋体" w:cs="宋体"/>
          <w:szCs w:val="21"/>
        </w:rPr>
      </w:pPr>
      <w:r>
        <w:rPr>
          <w:rFonts w:hint="eastAsia" w:ascii="宋体" w:hAnsi="宋体" w:cs="宋体"/>
          <w:szCs w:val="21"/>
        </w:rPr>
        <w:t>8.“▲”系指实质性要求条款，不满足实行性要求条款的投标文件无效。“★”系指核心产品。</w:t>
      </w:r>
    </w:p>
    <w:p>
      <w:pPr>
        <w:pStyle w:val="3"/>
        <w:spacing w:line="400" w:lineRule="exact"/>
        <w:ind w:firstLine="422" w:firstLineChars="200"/>
      </w:pPr>
      <w:r>
        <w:rPr>
          <w:rFonts w:hint="eastAsia"/>
        </w:rPr>
        <w:t>（三）招标方式</w:t>
      </w:r>
    </w:p>
    <w:p>
      <w:pPr>
        <w:snapToGrid w:val="0"/>
        <w:spacing w:line="400" w:lineRule="exact"/>
        <w:ind w:firstLine="420" w:firstLineChars="200"/>
        <w:jc w:val="left"/>
        <w:rPr>
          <w:rFonts w:ascii="宋体" w:hAnsi="宋体" w:cs="宋体"/>
          <w:szCs w:val="21"/>
        </w:rPr>
      </w:pPr>
      <w:r>
        <w:rPr>
          <w:rFonts w:hint="eastAsia" w:ascii="宋体" w:hAnsi="宋体" w:cs="宋体"/>
          <w:szCs w:val="21"/>
        </w:rPr>
        <w:t>本次招标采用公开招标方式进行。</w:t>
      </w:r>
    </w:p>
    <w:p>
      <w:pPr>
        <w:pStyle w:val="3"/>
        <w:spacing w:line="400" w:lineRule="exact"/>
        <w:ind w:firstLine="422" w:firstLineChars="200"/>
      </w:pPr>
      <w:r>
        <w:rPr>
          <w:rFonts w:hint="eastAsia"/>
        </w:rPr>
        <w:t>（四）投标委托</w:t>
      </w:r>
    </w:p>
    <w:p>
      <w:pPr>
        <w:pStyle w:val="19"/>
        <w:snapToGrid w:val="0"/>
        <w:spacing w:line="400" w:lineRule="exact"/>
        <w:ind w:firstLine="420"/>
        <w:jc w:val="left"/>
        <w:rPr>
          <w:rFonts w:ascii="宋体" w:hAnsi="宋体" w:cs="宋体"/>
          <w:sz w:val="21"/>
          <w:szCs w:val="21"/>
        </w:rPr>
      </w:pPr>
      <w:r>
        <w:rPr>
          <w:rFonts w:hint="eastAsia" w:ascii="宋体" w:hAnsi="宋体" w:cs="宋体"/>
          <w:sz w:val="21"/>
          <w:szCs w:val="21"/>
        </w:rPr>
        <w:t>投标人代表须携带有效身份证件。如投标人代表不是法定代表人，须有法定代表人出具的授权委托书（格式见第六章）。</w:t>
      </w:r>
    </w:p>
    <w:p>
      <w:pPr>
        <w:pStyle w:val="3"/>
        <w:spacing w:line="400" w:lineRule="exact"/>
        <w:ind w:firstLine="422" w:firstLineChars="200"/>
      </w:pPr>
      <w:r>
        <w:rPr>
          <w:rFonts w:hint="eastAsia"/>
        </w:rPr>
        <w:t>（五）投标费用</w:t>
      </w:r>
    </w:p>
    <w:p>
      <w:pPr>
        <w:snapToGrid w:val="0"/>
        <w:spacing w:line="400" w:lineRule="exact"/>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pPr>
        <w:pStyle w:val="3"/>
        <w:spacing w:line="400" w:lineRule="exact"/>
        <w:ind w:firstLine="422" w:firstLineChars="200"/>
      </w:pPr>
      <w:r>
        <w:rPr>
          <w:rFonts w:hint="eastAsia"/>
        </w:rPr>
        <w:t>（六）联合体投标</w:t>
      </w:r>
    </w:p>
    <w:p>
      <w:pPr>
        <w:snapToGrid w:val="0"/>
        <w:spacing w:line="400" w:lineRule="exact"/>
        <w:ind w:firstLine="420" w:firstLineChars="200"/>
        <w:jc w:val="left"/>
        <w:rPr>
          <w:rFonts w:ascii="宋体" w:hAnsi="宋体" w:cs="宋体"/>
          <w:szCs w:val="21"/>
        </w:rPr>
      </w:pPr>
      <w:r>
        <w:rPr>
          <w:rFonts w:hint="eastAsia" w:ascii="宋体" w:hAnsi="宋体" w:cs="宋体"/>
          <w:szCs w:val="21"/>
        </w:rPr>
        <w:t>本项目不接受联合体投标。</w:t>
      </w:r>
    </w:p>
    <w:p>
      <w:pPr>
        <w:pStyle w:val="3"/>
        <w:spacing w:line="400" w:lineRule="exact"/>
        <w:ind w:firstLine="422" w:firstLineChars="200"/>
        <w:rPr>
          <w:kern w:val="0"/>
        </w:rPr>
      </w:pPr>
      <w:r>
        <w:rPr>
          <w:rFonts w:hint="eastAsia"/>
        </w:rPr>
        <w:t>（七）</w:t>
      </w:r>
      <w:r>
        <w:rPr>
          <w:rFonts w:hint="eastAsia"/>
          <w:kern w:val="0"/>
        </w:rPr>
        <w:t>转包与分包</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1.本项目不允许转包。</w:t>
      </w:r>
    </w:p>
    <w:p>
      <w:pPr>
        <w:snapToGrid w:val="0"/>
        <w:spacing w:line="400" w:lineRule="exact"/>
        <w:ind w:firstLine="420" w:firstLineChars="200"/>
        <w:rPr>
          <w:rFonts w:ascii="宋体" w:hAnsi="宋体" w:cs="宋体"/>
          <w:szCs w:val="21"/>
        </w:rPr>
      </w:pPr>
      <w:r>
        <w:rPr>
          <w:rFonts w:hint="eastAsia" w:ascii="宋体" w:hAnsi="宋体" w:cs="宋体"/>
          <w:kern w:val="0"/>
          <w:szCs w:val="21"/>
        </w:rPr>
        <w:t>2.本项目不可以分包。</w:t>
      </w:r>
    </w:p>
    <w:p>
      <w:pPr>
        <w:pStyle w:val="3"/>
        <w:spacing w:line="400" w:lineRule="exact"/>
        <w:ind w:firstLine="422" w:firstLineChars="200"/>
      </w:pPr>
      <w:r>
        <w:rPr>
          <w:rFonts w:hint="eastAsia"/>
        </w:rPr>
        <w:t>（八）是否允许采购进口产品</w:t>
      </w:r>
    </w:p>
    <w:p>
      <w:pPr>
        <w:pStyle w:val="3"/>
        <w:spacing w:line="400" w:lineRule="exact"/>
        <w:ind w:firstLine="420" w:firstLineChars="200"/>
        <w:rPr>
          <w:b w:val="0"/>
          <w:szCs w:val="21"/>
        </w:rPr>
      </w:pPr>
      <w:r>
        <w:rPr>
          <w:rFonts w:hint="eastAsia" w:cs="宋体"/>
          <w:b w:val="0"/>
          <w:szCs w:val="21"/>
        </w:rPr>
        <w:t>不</w:t>
      </w:r>
      <w:r>
        <w:rPr>
          <w:rFonts w:cs="宋体"/>
          <w:b w:val="0"/>
          <w:szCs w:val="21"/>
        </w:rPr>
        <w:t>允许</w:t>
      </w:r>
      <w:r>
        <w:rPr>
          <w:rFonts w:hint="eastAsia" w:cs="宋体"/>
          <w:b w:val="0"/>
          <w:szCs w:val="21"/>
        </w:rPr>
        <w:t>采购进口产品</w:t>
      </w:r>
      <w:r>
        <w:rPr>
          <w:rFonts w:cs="宋体"/>
          <w:b w:val="0"/>
          <w:szCs w:val="21"/>
        </w:rPr>
        <w:t>。</w:t>
      </w:r>
    </w:p>
    <w:p>
      <w:pPr>
        <w:pStyle w:val="3"/>
        <w:spacing w:line="400" w:lineRule="exact"/>
        <w:ind w:firstLine="422" w:firstLineChars="200"/>
      </w:pPr>
      <w:r>
        <w:rPr>
          <w:rFonts w:hint="eastAsia"/>
        </w:rPr>
        <w:t>（九）特别说明：</w:t>
      </w:r>
    </w:p>
    <w:p>
      <w:pPr>
        <w:spacing w:line="400" w:lineRule="exact"/>
        <w:ind w:firstLine="420" w:firstLineChars="200"/>
        <w:rPr>
          <w:rFonts w:ascii="宋体" w:hAnsi="宋体" w:cs="宋体"/>
          <w:szCs w:val="21"/>
        </w:rPr>
      </w:pPr>
      <w:r>
        <w:rPr>
          <w:rFonts w:hint="eastAsia" w:ascii="宋体" w:hAnsi="宋体" w:cs="宋体"/>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00" w:lineRule="exact"/>
        <w:ind w:firstLine="420" w:firstLineChars="200"/>
        <w:rPr>
          <w:rFonts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招标文件规定的方式确定一个投标人获得中标供应商推荐资格，招标文件未规定的采取随机抽取方式确定，其他同品牌投标人不作为中标候选人。</w:t>
      </w:r>
    </w:p>
    <w:p>
      <w:pPr>
        <w:spacing w:line="400" w:lineRule="exact"/>
        <w:ind w:firstLine="420" w:firstLineChars="200"/>
        <w:rPr>
          <w:rFonts w:ascii="宋体" w:hAnsi="宋体" w:cs="宋体"/>
          <w:szCs w:val="21"/>
        </w:rPr>
      </w:pPr>
      <w:r>
        <w:rPr>
          <w:rFonts w:hint="eastAsia" w:ascii="宋体" w:hAnsi="宋体" w:cs="宋体"/>
          <w:szCs w:val="21"/>
        </w:rPr>
        <w:t xml:space="preserve">非单一产品采购项目，采购人应当根据采购项目技术构成、产品价格比重等合理确定核心产品，并在招标文件中载明。多家投标人提供的核心产品品牌相同的，按前两款规定处理。 </w:t>
      </w:r>
    </w:p>
    <w:p>
      <w:pPr>
        <w:spacing w:line="400" w:lineRule="exact"/>
        <w:ind w:firstLine="420" w:firstLineChars="200"/>
        <w:rPr>
          <w:rFonts w:ascii="宋体" w:hAnsi="宋体" w:cs="宋体"/>
          <w:szCs w:val="21"/>
        </w:rPr>
      </w:pPr>
      <w:r>
        <w:rPr>
          <w:rFonts w:hint="eastAsia" w:ascii="宋体" w:hAnsi="宋体" w:cs="宋体"/>
          <w:szCs w:val="21"/>
        </w:rPr>
        <w:t>2.投标人投标所使用的资格、信誉、荣誉、业绩与企业认证必须为本法人所拥有。投标人投标所使用的采购项目实施人员必须为本法人员工（或必须为本法人或控股公司正式员工）。</w:t>
      </w:r>
    </w:p>
    <w:p>
      <w:pPr>
        <w:spacing w:line="400" w:lineRule="exact"/>
        <w:ind w:firstLine="420" w:firstLineChars="200"/>
        <w:rPr>
          <w:rFonts w:ascii="宋体" w:hAnsi="宋体" w:cs="宋体"/>
          <w:szCs w:val="21"/>
        </w:rPr>
      </w:pPr>
      <w:r>
        <w:rPr>
          <w:rFonts w:hint="eastAsia" w:ascii="宋体" w:hAnsi="宋体" w:cs="宋体"/>
          <w:szCs w:val="21"/>
        </w:rPr>
        <w:t>3.投标人应仔细阅读招标文件的所有内容，按照招标文件的要求提交投标文件，并对所提供的全部资料的真实性承担法律责任。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cs="宋体"/>
          <w:szCs w:val="21"/>
        </w:rPr>
      </w:pPr>
      <w:r>
        <w:rPr>
          <w:rFonts w:hint="eastAsia" w:ascii="宋体" w:hAnsi="宋体" w:cs="宋体"/>
          <w:szCs w:val="21"/>
        </w:rPr>
        <w:t>4.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pPr>
        <w:pStyle w:val="3"/>
        <w:spacing w:line="400" w:lineRule="exact"/>
        <w:ind w:firstLine="422" w:firstLineChars="200"/>
      </w:pPr>
      <w:r>
        <w:rPr>
          <w:rFonts w:hint="eastAsia"/>
        </w:rPr>
        <w:t>（十）质疑和投诉</w:t>
      </w:r>
    </w:p>
    <w:p>
      <w:pPr>
        <w:spacing w:line="400" w:lineRule="exact"/>
        <w:ind w:firstLine="420" w:firstLineChars="200"/>
        <w:rPr>
          <w:rFonts w:ascii="宋体" w:hAnsi="宋体" w:cs="宋体"/>
          <w:szCs w:val="21"/>
        </w:rPr>
      </w:pPr>
      <w:r>
        <w:rPr>
          <w:rFonts w:hint="eastAsia" w:ascii="宋体" w:hAnsi="宋体" w:cs="宋体"/>
          <w:szCs w:val="21"/>
        </w:rPr>
        <w:t>1.投标人认为招标文件、招标过程或中标结果使自己的合法权益受到损害的，应当在知道或者应知其权益受到损害之日起七个工作日内，以书面形式向采购人、采购代理单位提出质疑。投标人对招标采购单位的质疑答复不满意或者招标采购单位未在规定时间内作出答复的，可以在答复期满后十五个工作日内向同级采购监管部门投诉。</w:t>
      </w:r>
    </w:p>
    <w:p>
      <w:pPr>
        <w:spacing w:line="400" w:lineRule="exact"/>
        <w:ind w:firstLine="420" w:firstLineChars="200"/>
        <w:rPr>
          <w:rFonts w:ascii="宋体" w:hAnsi="宋体" w:cs="宋体"/>
          <w:szCs w:val="21"/>
        </w:rPr>
      </w:pPr>
      <w:r>
        <w:rPr>
          <w:rFonts w:hint="eastAsia" w:ascii="宋体" w:hAnsi="宋体" w:cs="宋体"/>
          <w:szCs w:val="21"/>
        </w:rPr>
        <w:t>2.质疑和投诉应当满足《政府采购质疑和投诉办法》（中华人民共和国财政部令第94号）要求。</w:t>
      </w:r>
    </w:p>
    <w:p>
      <w:pPr>
        <w:pStyle w:val="2"/>
        <w:spacing w:line="400" w:lineRule="exact"/>
      </w:pPr>
      <w:bookmarkStart w:id="14" w:name="_Toc3386499"/>
      <w:bookmarkStart w:id="15" w:name="_Toc16185629"/>
      <w:bookmarkStart w:id="16" w:name="_Toc39655258"/>
      <w:bookmarkStart w:id="17" w:name="_Toc42879249"/>
      <w:bookmarkStart w:id="18" w:name="_Toc50211553"/>
      <w:r>
        <w:rPr>
          <w:rFonts w:hint="eastAsia"/>
        </w:rPr>
        <w:t>二、招标文件</w:t>
      </w:r>
      <w:bookmarkEnd w:id="14"/>
      <w:bookmarkEnd w:id="15"/>
      <w:bookmarkEnd w:id="16"/>
      <w:bookmarkEnd w:id="17"/>
      <w:bookmarkEnd w:id="18"/>
    </w:p>
    <w:p>
      <w:pPr>
        <w:pStyle w:val="3"/>
        <w:spacing w:line="400" w:lineRule="exact"/>
        <w:ind w:firstLine="422" w:firstLineChars="200"/>
        <w:rPr>
          <w:szCs w:val="21"/>
        </w:rPr>
      </w:pPr>
      <w:r>
        <w:rPr>
          <w:rFonts w:hint="eastAsia"/>
          <w:szCs w:val="21"/>
        </w:rPr>
        <w:t>（一）招标文件的构成。本招标文件由以下部份组成：</w:t>
      </w:r>
    </w:p>
    <w:p>
      <w:pPr>
        <w:snapToGrid w:val="0"/>
        <w:spacing w:line="400" w:lineRule="exact"/>
        <w:ind w:firstLine="420" w:firstLineChars="200"/>
        <w:jc w:val="left"/>
        <w:rPr>
          <w:rFonts w:ascii="宋体" w:hAnsi="宋体" w:cs="宋体"/>
          <w:szCs w:val="21"/>
        </w:rPr>
      </w:pPr>
      <w:r>
        <w:rPr>
          <w:rFonts w:hint="eastAsia" w:ascii="宋体" w:hAnsi="宋体" w:cs="宋体"/>
          <w:szCs w:val="21"/>
        </w:rPr>
        <w:t>1.招标公告</w:t>
      </w:r>
    </w:p>
    <w:p>
      <w:pPr>
        <w:snapToGrid w:val="0"/>
        <w:spacing w:line="400" w:lineRule="exact"/>
        <w:ind w:firstLine="420" w:firstLineChars="200"/>
        <w:jc w:val="left"/>
        <w:rPr>
          <w:rFonts w:ascii="宋体" w:hAnsi="宋体" w:cs="宋体"/>
          <w:szCs w:val="21"/>
        </w:rPr>
      </w:pPr>
      <w:r>
        <w:rPr>
          <w:rFonts w:hint="eastAsia" w:ascii="宋体" w:hAnsi="宋体" w:cs="宋体"/>
          <w:szCs w:val="21"/>
        </w:rPr>
        <w:t>2.招标需求</w:t>
      </w:r>
    </w:p>
    <w:p>
      <w:pPr>
        <w:snapToGrid w:val="0"/>
        <w:spacing w:line="400" w:lineRule="exact"/>
        <w:ind w:firstLine="420" w:firstLineChars="200"/>
        <w:jc w:val="left"/>
        <w:rPr>
          <w:rFonts w:ascii="宋体" w:hAnsi="宋体" w:cs="宋体"/>
          <w:szCs w:val="21"/>
        </w:rPr>
      </w:pPr>
      <w:r>
        <w:rPr>
          <w:rFonts w:hint="eastAsia" w:ascii="宋体" w:hAnsi="宋体" w:cs="宋体"/>
          <w:szCs w:val="21"/>
        </w:rPr>
        <w:t>3.投标人须知</w:t>
      </w:r>
    </w:p>
    <w:p>
      <w:pPr>
        <w:snapToGrid w:val="0"/>
        <w:spacing w:line="400" w:lineRule="exact"/>
        <w:ind w:firstLine="420" w:firstLineChars="200"/>
        <w:jc w:val="left"/>
        <w:rPr>
          <w:rFonts w:ascii="宋体" w:hAnsi="宋体" w:cs="宋体"/>
          <w:szCs w:val="21"/>
        </w:rPr>
      </w:pPr>
      <w:r>
        <w:rPr>
          <w:rFonts w:hint="eastAsia" w:ascii="宋体" w:hAnsi="宋体" w:cs="宋体"/>
          <w:szCs w:val="21"/>
        </w:rPr>
        <w:t>4.评标办法及标准</w:t>
      </w:r>
    </w:p>
    <w:p>
      <w:pPr>
        <w:snapToGrid w:val="0"/>
        <w:spacing w:line="400" w:lineRule="exact"/>
        <w:ind w:firstLine="420" w:firstLineChars="200"/>
        <w:jc w:val="left"/>
        <w:rPr>
          <w:rFonts w:ascii="宋体" w:hAnsi="宋体" w:cs="宋体"/>
          <w:szCs w:val="21"/>
        </w:rPr>
      </w:pPr>
      <w:r>
        <w:rPr>
          <w:rFonts w:hint="eastAsia" w:ascii="宋体" w:hAnsi="宋体" w:cs="宋体"/>
          <w:szCs w:val="21"/>
        </w:rPr>
        <w:t>5.合同主要条款</w:t>
      </w:r>
    </w:p>
    <w:p>
      <w:pPr>
        <w:snapToGrid w:val="0"/>
        <w:spacing w:line="400" w:lineRule="exact"/>
        <w:ind w:firstLine="420" w:firstLineChars="200"/>
        <w:jc w:val="left"/>
        <w:rPr>
          <w:rFonts w:ascii="宋体" w:hAnsi="宋体" w:cs="宋体"/>
          <w:szCs w:val="21"/>
        </w:rPr>
      </w:pPr>
      <w:r>
        <w:rPr>
          <w:rFonts w:hint="eastAsia" w:ascii="宋体" w:hAnsi="宋体" w:cs="宋体"/>
          <w:szCs w:val="21"/>
        </w:rPr>
        <w:t>6.投标文件格式</w:t>
      </w:r>
    </w:p>
    <w:p>
      <w:pPr>
        <w:snapToGrid w:val="0"/>
        <w:spacing w:line="400" w:lineRule="exact"/>
        <w:ind w:firstLine="420" w:firstLineChars="200"/>
        <w:jc w:val="left"/>
        <w:rPr>
          <w:rFonts w:ascii="宋体" w:hAnsi="宋体" w:cs="宋体"/>
          <w:szCs w:val="21"/>
        </w:rPr>
      </w:pPr>
      <w:r>
        <w:rPr>
          <w:rFonts w:hint="eastAsia" w:ascii="宋体" w:hAnsi="宋体" w:cs="宋体"/>
          <w:szCs w:val="21"/>
        </w:rPr>
        <w:t>7.本项目招标文件的澄清、答复、修改、补充的内容</w:t>
      </w:r>
    </w:p>
    <w:p>
      <w:pPr>
        <w:pStyle w:val="3"/>
        <w:spacing w:line="400" w:lineRule="exact"/>
        <w:ind w:firstLine="422" w:firstLineChars="200"/>
      </w:pPr>
      <w:r>
        <w:rPr>
          <w:rFonts w:hint="eastAsia"/>
        </w:rPr>
        <w:t>（二）投标人的风险</w:t>
      </w:r>
    </w:p>
    <w:p>
      <w:pPr>
        <w:pStyle w:val="37"/>
        <w:spacing w:line="400" w:lineRule="exact"/>
        <w:ind w:left="0" w:leftChars="0" w:firstLine="420" w:firstLineChars="200"/>
        <w:rPr>
          <w:rFonts w:ascii="宋体" w:hAnsi="宋体" w:cs="宋体"/>
          <w:bCs/>
          <w:sz w:val="21"/>
          <w:szCs w:val="21"/>
        </w:rPr>
      </w:pPr>
      <w:r>
        <w:rPr>
          <w:rFonts w:hint="eastAsia" w:ascii="宋体" w:hAnsi="宋体" w:cs="宋体"/>
          <w:bCs/>
          <w:sz w:val="21"/>
          <w:szCs w:val="21"/>
        </w:rPr>
        <w:t>投标人没有按照招标文件要求提供全部资料，或者投标人没有对招标文件在各方面作出实质性响应是投标人的风险，并可能导致其投标为无效标。</w:t>
      </w:r>
    </w:p>
    <w:p>
      <w:pPr>
        <w:pStyle w:val="3"/>
        <w:spacing w:line="400" w:lineRule="exact"/>
        <w:ind w:firstLine="422" w:firstLineChars="200"/>
      </w:pPr>
      <w:r>
        <w:rPr>
          <w:rFonts w:hint="eastAsia"/>
        </w:rPr>
        <w:t>（三）招标文件的澄清与修改</w:t>
      </w:r>
    </w:p>
    <w:p>
      <w:pPr>
        <w:snapToGrid w:val="0"/>
        <w:spacing w:line="400" w:lineRule="exact"/>
        <w:ind w:firstLine="420" w:firstLineChars="200"/>
        <w:jc w:val="left"/>
        <w:rPr>
          <w:rFonts w:ascii="宋体" w:hAnsi="宋体" w:cs="宋体"/>
          <w:szCs w:val="21"/>
        </w:rPr>
      </w:pPr>
      <w:r>
        <w:rPr>
          <w:rFonts w:hint="eastAsia" w:ascii="宋体" w:hAnsi="宋体" w:cs="宋体"/>
          <w:szCs w:val="21"/>
        </w:rPr>
        <w:t>1.投标人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snapToGrid w:val="0"/>
        <w:spacing w:line="400" w:lineRule="exact"/>
        <w:ind w:firstLine="420" w:firstLineChars="200"/>
        <w:jc w:val="left"/>
        <w:rPr>
          <w:rFonts w:ascii="宋体" w:hAnsi="宋体" w:cs="宋体"/>
          <w:szCs w:val="21"/>
        </w:rPr>
      </w:pPr>
      <w:r>
        <w:rPr>
          <w:rFonts w:hint="eastAsia" w:ascii="宋体" w:hAnsi="宋体" w:cs="宋体"/>
          <w:szCs w:val="21"/>
        </w:rPr>
        <w:t>2.招标文件澄清或者修改的内容为招标文件的组成部分。当招标文件与澄清或者修改就同一内容的表述不一致时，以最后发出的书面文件为准。</w:t>
      </w:r>
    </w:p>
    <w:p>
      <w:pPr>
        <w:snapToGrid w:val="0"/>
        <w:spacing w:line="400" w:lineRule="exact"/>
        <w:ind w:firstLine="420" w:firstLineChars="200"/>
        <w:jc w:val="left"/>
        <w:rPr>
          <w:rFonts w:ascii="宋体" w:hAnsi="宋体" w:cs="宋体"/>
          <w:szCs w:val="21"/>
        </w:rPr>
      </w:pPr>
      <w:r>
        <w:rPr>
          <w:rFonts w:hint="eastAsia" w:ascii="宋体" w:hAnsi="宋体" w:cs="宋体"/>
          <w:szCs w:val="21"/>
        </w:rPr>
        <w:t>3.对招标文件的澄清、答复、修改或补充都应该通过招标代理机构以法定形式发布，采购人非通过招标代理机构，不得擅自澄清、答复、修改或补充招标文件。</w:t>
      </w:r>
    </w:p>
    <w:p>
      <w:pPr>
        <w:pStyle w:val="2"/>
        <w:spacing w:line="400" w:lineRule="exact"/>
      </w:pPr>
      <w:bookmarkStart w:id="19" w:name="_Toc16185630"/>
      <w:bookmarkStart w:id="20" w:name="_Toc42879250"/>
      <w:bookmarkStart w:id="21" w:name="_Toc50211554"/>
      <w:bookmarkStart w:id="22" w:name="_Toc39655259"/>
      <w:bookmarkStart w:id="23" w:name="_Toc3386500"/>
      <w:r>
        <w:rPr>
          <w:rFonts w:hint="eastAsia"/>
        </w:rPr>
        <w:t>三、投标文件的编制</w:t>
      </w:r>
      <w:bookmarkEnd w:id="19"/>
      <w:bookmarkEnd w:id="20"/>
      <w:bookmarkEnd w:id="21"/>
      <w:bookmarkEnd w:id="22"/>
      <w:bookmarkEnd w:id="23"/>
    </w:p>
    <w:p>
      <w:pPr>
        <w:spacing w:line="400" w:lineRule="exact"/>
        <w:ind w:firstLine="422" w:firstLineChars="200"/>
        <w:rPr>
          <w:rFonts w:ascii="宋体" w:hAnsi="宋体"/>
          <w:b/>
          <w:kern w:val="0"/>
        </w:rPr>
      </w:pPr>
      <w:r>
        <w:rPr>
          <w:rFonts w:hint="eastAsia" w:ascii="宋体" w:hAnsi="宋体"/>
          <w:b/>
          <w:kern w:val="0"/>
        </w:rPr>
        <w:t>本项目所涉投标文件格式请详见第六章，未给出的格式请自拟。资信商务及技术文件中不得出现报价，否则投标文件将被视为无效。</w:t>
      </w:r>
    </w:p>
    <w:p>
      <w:pPr>
        <w:spacing w:line="400" w:lineRule="exact"/>
        <w:ind w:firstLine="422" w:firstLineChars="200"/>
      </w:pPr>
      <w:r>
        <w:rPr>
          <w:rFonts w:hint="eastAsia" w:ascii="宋体" w:hAnsi="宋体"/>
          <w:b/>
          <w:kern w:val="0"/>
        </w:rPr>
        <w:t>电子投标文件按政采云平台供应商电子招投标操作指南（网址：</w:t>
      </w:r>
      <w:r>
        <w:fldChar w:fldCharType="begin"/>
      </w:r>
      <w: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fldChar w:fldCharType="separate"/>
      </w:r>
      <w:r>
        <w:rPr>
          <w:rFonts w:hint="eastAsia" w:ascii="宋体" w:hAnsi="宋体"/>
          <w:b/>
          <w:kern w:val="0"/>
        </w:rPr>
        <w:t>https://help.zcygov.cn/web/site_2/2018/12-28/2573.html）及本招标文件规定的格式和顺序编制电子投标文件并进行关联定</w:t>
      </w:r>
      <w:r>
        <w:rPr>
          <w:rFonts w:ascii="宋体" w:hAnsi="宋体"/>
          <w:b/>
          <w:kern w:val="0"/>
        </w:rPr>
        <w:fldChar w:fldCharType="end"/>
      </w:r>
      <w:r>
        <w:rPr>
          <w:rFonts w:hint="eastAsia" w:ascii="宋体" w:hAnsi="宋体"/>
          <w:b/>
          <w:kern w:val="0"/>
        </w:rPr>
        <w:t>。建议根据招标文件合格供应商的资格要求、投标文件的编制及评分标准等内容一一关联。</w:t>
      </w:r>
    </w:p>
    <w:p>
      <w:pPr>
        <w:pStyle w:val="3"/>
        <w:spacing w:line="400" w:lineRule="exact"/>
        <w:ind w:firstLine="422" w:firstLineChars="200"/>
      </w:pPr>
      <w:r>
        <w:rPr>
          <w:rFonts w:hint="eastAsia"/>
        </w:rPr>
        <w:t>（一）投标文件的组成</w:t>
      </w:r>
    </w:p>
    <w:p>
      <w:pPr>
        <w:snapToGrid w:val="0"/>
        <w:spacing w:line="400" w:lineRule="exact"/>
        <w:ind w:firstLine="420" w:firstLineChars="200"/>
        <w:jc w:val="left"/>
        <w:rPr>
          <w:rFonts w:ascii="宋体" w:hAnsi="宋体" w:cs="宋体"/>
          <w:szCs w:val="21"/>
        </w:rPr>
      </w:pPr>
      <w:r>
        <w:rPr>
          <w:rFonts w:hint="eastAsia" w:ascii="宋体" w:hAnsi="宋体" w:cs="宋体"/>
          <w:szCs w:val="21"/>
        </w:rPr>
        <w:t>投标文件由资信商务及技术文件（包括资信商务文件、技术文件）、投标报价文件两部份组成。</w:t>
      </w:r>
    </w:p>
    <w:p>
      <w:pPr>
        <w:snapToGrid w:val="0"/>
        <w:spacing w:line="400" w:lineRule="exact"/>
        <w:ind w:firstLine="422" w:firstLineChars="200"/>
        <w:jc w:val="left"/>
        <w:rPr>
          <w:rFonts w:ascii="宋体" w:hAnsi="宋体" w:cs="宋体"/>
          <w:b/>
          <w:szCs w:val="21"/>
        </w:rPr>
      </w:pPr>
      <w:r>
        <w:rPr>
          <w:rFonts w:hint="eastAsia" w:ascii="宋体" w:hAnsi="宋体" w:cs="宋体"/>
          <w:b/>
          <w:szCs w:val="21"/>
        </w:rPr>
        <w:t>1.资信商务及技术文件：</w:t>
      </w:r>
    </w:p>
    <w:p>
      <w:pPr>
        <w:snapToGrid w:val="0"/>
        <w:spacing w:line="400" w:lineRule="exact"/>
        <w:ind w:firstLine="422" w:firstLineChars="200"/>
        <w:jc w:val="left"/>
        <w:rPr>
          <w:rFonts w:ascii="宋体" w:hAnsi="宋体" w:cs="宋体"/>
          <w:b/>
          <w:szCs w:val="21"/>
        </w:rPr>
      </w:pPr>
      <w:r>
        <w:rPr>
          <w:rFonts w:hint="eastAsia" w:ascii="宋体" w:hAnsi="宋体" w:cs="宋体"/>
          <w:b/>
          <w:szCs w:val="21"/>
        </w:rPr>
        <w:t>注：投标人应将1.1资信商务文件、1.2技术文件按顺序装订成册后制作成资信商务及技术文件。</w:t>
      </w:r>
    </w:p>
    <w:p>
      <w:pPr>
        <w:snapToGrid w:val="0"/>
        <w:spacing w:line="400" w:lineRule="exact"/>
        <w:ind w:firstLine="422" w:firstLineChars="200"/>
        <w:jc w:val="left"/>
        <w:rPr>
          <w:rFonts w:ascii="宋体" w:hAnsi="宋体" w:cs="宋体"/>
          <w:b/>
          <w:szCs w:val="21"/>
        </w:rPr>
      </w:pPr>
      <w:r>
        <w:rPr>
          <w:rFonts w:hint="eastAsia" w:ascii="宋体" w:hAnsi="宋体" w:cs="宋体"/>
          <w:b/>
          <w:szCs w:val="21"/>
        </w:rPr>
        <w:t>1.1资信商务文件：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（1）</w:t>
      </w:r>
      <w:r>
        <w:rPr>
          <w:rFonts w:hint="eastAsia" w:ascii="宋体" w:hAnsi="宋体"/>
        </w:rPr>
        <w:t>资格文件：符合合格供应商的资格要求的相关文件及证明材料；</w:t>
      </w:r>
      <w:r>
        <w:rPr>
          <w:rFonts w:hint="eastAsia" w:ascii="宋体" w:hAnsi="宋体" w:cs="Arial"/>
        </w:rPr>
        <w:t>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投标时同时提供自磋商公告发布之日起至投标截止日内任意时间的“信用中国”网站（www.creditchina.gov.cn）和中国政府采购网（www.ccgp.gov.cn）供应商信用查询网页截图。</w:t>
      </w:r>
    </w:p>
    <w:p>
      <w:pPr>
        <w:snapToGrid w:val="0"/>
        <w:spacing w:line="400" w:lineRule="exact"/>
        <w:ind w:firstLine="409" w:firstLineChars="195"/>
        <w:jc w:val="left"/>
        <w:rPr>
          <w:rFonts w:ascii="宋体" w:hAnsi="宋体" w:cs="宋体"/>
          <w:szCs w:val="21"/>
        </w:rPr>
      </w:pPr>
      <w:r>
        <w:rPr>
          <w:rFonts w:hint="eastAsia" w:ascii="宋体" w:hAnsi="宋体" w:cs="宋体"/>
          <w:szCs w:val="21"/>
        </w:rPr>
        <w:t>（2）投标声明书；</w:t>
      </w:r>
    </w:p>
    <w:p>
      <w:pPr>
        <w:snapToGrid w:val="0"/>
        <w:spacing w:line="400" w:lineRule="exact"/>
        <w:ind w:firstLine="409" w:firstLineChars="195"/>
        <w:jc w:val="left"/>
        <w:rPr>
          <w:rFonts w:ascii="宋体" w:hAnsi="宋体" w:cs="宋体"/>
          <w:szCs w:val="21"/>
        </w:rPr>
      </w:pPr>
      <w:r>
        <w:rPr>
          <w:rFonts w:hint="eastAsia" w:ascii="宋体" w:hAnsi="宋体" w:cs="宋体"/>
          <w:szCs w:val="21"/>
        </w:rPr>
        <w:t>（3）法定代表人授权委托书；</w:t>
      </w:r>
    </w:p>
    <w:p>
      <w:pPr>
        <w:snapToGrid w:val="0"/>
        <w:spacing w:line="400" w:lineRule="exact"/>
        <w:ind w:firstLine="409" w:firstLineChars="195"/>
        <w:jc w:val="left"/>
        <w:rPr>
          <w:rFonts w:ascii="宋体" w:hAnsi="宋体" w:cs="宋体"/>
          <w:szCs w:val="21"/>
        </w:rPr>
      </w:pPr>
      <w:r>
        <w:rPr>
          <w:rFonts w:hint="eastAsia" w:ascii="宋体" w:hAnsi="宋体" w:cs="宋体"/>
          <w:szCs w:val="21"/>
        </w:rPr>
        <w:t>（4）供应商市场行为信誉（信用）情况承诺书；</w:t>
      </w:r>
    </w:p>
    <w:p>
      <w:pPr>
        <w:snapToGrid w:val="0"/>
        <w:spacing w:line="400" w:lineRule="exact"/>
        <w:ind w:firstLine="409" w:firstLineChars="195"/>
        <w:jc w:val="left"/>
        <w:rPr>
          <w:rFonts w:ascii="宋体" w:hAnsi="宋体" w:cs="宋体"/>
          <w:szCs w:val="21"/>
        </w:rPr>
      </w:pPr>
      <w:r>
        <w:rPr>
          <w:rFonts w:hint="eastAsia" w:ascii="宋体" w:hAnsi="宋体" w:cs="宋体"/>
          <w:szCs w:val="21"/>
        </w:rPr>
        <w:t>（5）无重大违法记录声明函；</w:t>
      </w:r>
    </w:p>
    <w:p>
      <w:pPr>
        <w:snapToGrid w:val="0"/>
        <w:spacing w:line="400" w:lineRule="exact"/>
        <w:ind w:firstLine="409" w:firstLineChars="195"/>
        <w:jc w:val="left"/>
        <w:rPr>
          <w:rFonts w:ascii="宋体" w:hAnsi="宋体" w:cs="宋体"/>
          <w:szCs w:val="21"/>
        </w:rPr>
      </w:pPr>
      <w:r>
        <w:rPr>
          <w:rFonts w:hint="eastAsia" w:ascii="宋体" w:hAnsi="宋体" w:cs="宋体"/>
          <w:szCs w:val="21"/>
        </w:rPr>
        <w:t>（6）营业执照副本等复印件（复印件加盖公章，下同）；</w:t>
      </w:r>
    </w:p>
    <w:p>
      <w:pPr>
        <w:snapToGrid w:val="0"/>
        <w:spacing w:line="400" w:lineRule="exact"/>
        <w:ind w:firstLine="409" w:firstLineChars="195"/>
        <w:jc w:val="left"/>
        <w:rPr>
          <w:rFonts w:ascii="宋体" w:hAnsi="宋体" w:cs="宋体"/>
          <w:szCs w:val="21"/>
        </w:rPr>
      </w:pPr>
      <w:r>
        <w:rPr>
          <w:rFonts w:hint="eastAsia" w:ascii="宋体" w:hAnsi="宋体" w:cs="宋体"/>
          <w:szCs w:val="21"/>
        </w:rPr>
        <w:t>（7）最近一个季度依法缴纳税收的证明（税费凭证复印件或者依法缴纳税费或依法免缴税费的证明），最近一个季度的财务状况表（资产负债表、利润表）；</w:t>
      </w:r>
    </w:p>
    <w:p>
      <w:pPr>
        <w:snapToGrid w:val="0"/>
        <w:spacing w:line="400" w:lineRule="exact"/>
        <w:ind w:firstLine="409" w:firstLineChars="195"/>
        <w:jc w:val="left"/>
        <w:rPr>
          <w:rFonts w:ascii="宋体" w:hAnsi="宋体" w:cs="宋体"/>
          <w:szCs w:val="21"/>
        </w:rPr>
      </w:pPr>
      <w:r>
        <w:rPr>
          <w:rFonts w:hint="eastAsia" w:ascii="宋体" w:hAnsi="宋体" w:cs="宋体"/>
          <w:szCs w:val="21"/>
        </w:rPr>
        <w:t>（8）类似案例成功的业绩（合同复印件）；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（9）与本项目实施相关的投标人各类资质证书、认证证书、许可证等（如信誉荣誉、节能环保、本地化服务等。提供复印件）；</w:t>
      </w:r>
    </w:p>
    <w:p>
      <w:pPr>
        <w:spacing w:line="400" w:lineRule="exact"/>
        <w:ind w:firstLine="420" w:firstLineChars="200"/>
        <w:rPr>
          <w:rFonts w:ascii="宋体" w:hAnsi="宋体" w:cs="宋体"/>
          <w:szCs w:val="21"/>
        </w:rPr>
      </w:pPr>
      <w:r>
        <w:rPr>
          <w:rFonts w:hint="eastAsia" w:ascii="宋体" w:hAnsi="宋体" w:cs="宋体"/>
        </w:rPr>
        <w:t>（10）</w:t>
      </w:r>
      <w:r>
        <w:rPr>
          <w:rFonts w:hint="eastAsia" w:ascii="宋体" w:hAnsi="宋体" w:cs="宋体"/>
          <w:szCs w:val="21"/>
        </w:rPr>
        <w:t>投标人情况介绍；</w:t>
      </w:r>
    </w:p>
    <w:p>
      <w:pPr>
        <w:spacing w:line="400" w:lineRule="exact"/>
        <w:ind w:firstLine="420" w:firstLineChars="200"/>
        <w:rPr>
          <w:rFonts w:ascii="宋体" w:hAnsi="宋体" w:cs="宋体"/>
          <w:szCs w:val="21"/>
        </w:rPr>
      </w:pPr>
      <w:r>
        <w:rPr>
          <w:rFonts w:hint="eastAsia" w:ascii="宋体" w:hAnsi="宋体" w:cs="宋体"/>
          <w:szCs w:val="21"/>
        </w:rPr>
        <w:t>（11）商务响应表；</w:t>
      </w:r>
    </w:p>
    <w:p>
      <w:pPr>
        <w:snapToGrid w:val="0"/>
        <w:spacing w:line="400" w:lineRule="exact"/>
        <w:ind w:firstLine="409" w:firstLineChars="195"/>
        <w:jc w:val="left"/>
        <w:rPr>
          <w:rFonts w:ascii="宋体" w:hAnsi="宋体" w:cs="宋体"/>
          <w:szCs w:val="21"/>
        </w:rPr>
      </w:pPr>
      <w:r>
        <w:rPr>
          <w:rFonts w:hint="eastAsia" w:ascii="宋体" w:hAnsi="宋体" w:cs="宋体"/>
          <w:szCs w:val="21"/>
        </w:rPr>
        <w:t>（12）中小企业声明函、残疾人福利性单位声明函及其他符合政策性加分条件的承诺函及证明材料；</w:t>
      </w:r>
    </w:p>
    <w:p>
      <w:pPr>
        <w:snapToGrid w:val="0"/>
        <w:spacing w:line="400" w:lineRule="exact"/>
        <w:ind w:firstLine="409" w:firstLineChars="195"/>
        <w:jc w:val="left"/>
        <w:rPr>
          <w:rFonts w:ascii="宋体" w:hAnsi="宋体" w:cs="宋体"/>
          <w:szCs w:val="21"/>
        </w:rPr>
      </w:pPr>
      <w:r>
        <w:rPr>
          <w:rFonts w:hint="eastAsia" w:ascii="宋体" w:hAnsi="宋体" w:cs="宋体"/>
          <w:szCs w:val="21"/>
        </w:rPr>
        <w:t>（13）监狱企业证明材料（若有）；</w:t>
      </w:r>
    </w:p>
    <w:p>
      <w:pPr>
        <w:snapToGrid w:val="0"/>
        <w:spacing w:line="400" w:lineRule="exact"/>
        <w:ind w:firstLine="409" w:firstLineChars="195"/>
        <w:jc w:val="left"/>
        <w:rPr>
          <w:rFonts w:ascii="宋体" w:hAnsi="宋体" w:cs="宋体"/>
          <w:szCs w:val="21"/>
        </w:rPr>
      </w:pPr>
      <w:r>
        <w:rPr>
          <w:rFonts w:hint="eastAsia" w:ascii="宋体" w:hAnsi="宋体" w:cs="宋体"/>
          <w:szCs w:val="21"/>
        </w:rPr>
        <w:t>（14）</w:t>
      </w:r>
      <w:r>
        <w:rPr>
          <w:rFonts w:hint="eastAsia" w:ascii="宋体" w:hAnsi="宋体"/>
        </w:rPr>
        <w:t>投标人截止投标时间前三年内的奖惩情况说明，格式自拟；</w:t>
      </w:r>
    </w:p>
    <w:p>
      <w:pPr>
        <w:snapToGrid w:val="0"/>
        <w:spacing w:line="400" w:lineRule="exact"/>
        <w:ind w:firstLine="409" w:firstLineChars="195"/>
        <w:jc w:val="left"/>
        <w:rPr>
          <w:rFonts w:ascii="宋体" w:hAnsi="宋体" w:cs="宋体"/>
          <w:szCs w:val="21"/>
        </w:rPr>
      </w:pPr>
      <w:r>
        <w:rPr>
          <w:rFonts w:hint="eastAsia" w:ascii="宋体" w:hAnsi="宋体" w:cs="宋体"/>
          <w:szCs w:val="21"/>
        </w:rPr>
        <w:t>（15）</w:t>
      </w:r>
      <w:r>
        <w:rPr>
          <w:rFonts w:hint="eastAsia" w:ascii="宋体" w:hAnsi="宋体"/>
        </w:rPr>
        <w:t>投标人采购需求要求和评分标准要求的承诺，如质保期、软件产品质保期以后的维护费用报价等；</w:t>
      </w:r>
    </w:p>
    <w:p>
      <w:pPr>
        <w:snapToGrid w:val="0"/>
        <w:spacing w:line="400" w:lineRule="exact"/>
        <w:ind w:firstLine="409" w:firstLineChars="195"/>
        <w:jc w:val="left"/>
        <w:rPr>
          <w:rFonts w:ascii="宋体" w:hAnsi="宋体" w:cs="宋体"/>
          <w:szCs w:val="21"/>
        </w:rPr>
      </w:pPr>
      <w:r>
        <w:rPr>
          <w:rFonts w:hint="eastAsia" w:ascii="宋体" w:hAnsi="宋体" w:cs="宋体"/>
          <w:szCs w:val="21"/>
        </w:rPr>
        <w:t>（16）投标人需要说明的其他文件和说明（未尽事宜可按评分细则部分制作）。</w:t>
      </w:r>
    </w:p>
    <w:p>
      <w:pPr>
        <w:snapToGrid w:val="0"/>
        <w:spacing w:line="400" w:lineRule="exact"/>
        <w:ind w:firstLine="422" w:firstLineChars="200"/>
        <w:jc w:val="left"/>
        <w:rPr>
          <w:rFonts w:ascii="宋体" w:hAnsi="宋体" w:cs="宋体"/>
          <w:b/>
          <w:szCs w:val="21"/>
        </w:rPr>
      </w:pPr>
      <w:r>
        <w:rPr>
          <w:rFonts w:hint="eastAsia" w:ascii="宋体" w:hAnsi="宋体" w:cs="宋体"/>
          <w:b/>
          <w:szCs w:val="21"/>
        </w:rPr>
        <w:t>1.2技术文件（本项目适用C）：</w:t>
      </w:r>
    </w:p>
    <w:p>
      <w:pPr>
        <w:snapToGrid w:val="0"/>
        <w:spacing w:line="400" w:lineRule="exact"/>
        <w:ind w:firstLine="409" w:firstLineChars="195"/>
        <w:jc w:val="left"/>
        <w:rPr>
          <w:rFonts w:ascii="宋体" w:hAnsi="宋体" w:cs="宋体"/>
          <w:szCs w:val="21"/>
        </w:rPr>
      </w:pPr>
      <w:r>
        <w:rPr>
          <w:rFonts w:hint="eastAsia" w:ascii="宋体" w:hAnsi="宋体" w:cs="宋体"/>
          <w:szCs w:val="21"/>
        </w:rPr>
        <w:t>A.货物类项目的投标技术文件：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1）投标产品详细清单（不含报价）及技术响应表，详细列明所投项目主要设备清单，完整配置方案及技术指标，项目的核心产品必须明确所投品牌、规格型号及具体技术指标。任何含糊不清的表述对评标结果的影响将是投标人的责任。</w:t>
      </w:r>
    </w:p>
    <w:p>
      <w:pPr>
        <w:snapToGrid w:val="0"/>
        <w:spacing w:line="400" w:lineRule="exact"/>
        <w:ind w:firstLine="409" w:firstLineChars="195"/>
        <w:jc w:val="left"/>
        <w:rPr>
          <w:rFonts w:ascii="宋体" w:hAnsi="宋体" w:cs="宋体"/>
          <w:szCs w:val="21"/>
        </w:rPr>
      </w:pPr>
      <w:r>
        <w:rPr>
          <w:rFonts w:hint="eastAsia" w:ascii="宋体" w:hAnsi="宋体" w:cs="宋体"/>
          <w:szCs w:val="21"/>
        </w:rPr>
        <w:t>（2）对本项目系统总体要求的理解；</w:t>
      </w:r>
    </w:p>
    <w:p>
      <w:pPr>
        <w:snapToGrid w:val="0"/>
        <w:spacing w:line="400" w:lineRule="exact"/>
        <w:ind w:firstLine="409" w:firstLineChars="195"/>
        <w:jc w:val="left"/>
        <w:rPr>
          <w:rFonts w:ascii="宋体" w:hAnsi="宋体" w:cs="宋体"/>
          <w:szCs w:val="21"/>
        </w:rPr>
      </w:pPr>
      <w:r>
        <w:rPr>
          <w:rFonts w:hint="eastAsia" w:ascii="宋体" w:hAnsi="宋体" w:cs="宋体"/>
          <w:szCs w:val="21"/>
        </w:rPr>
        <w:t>（3）投标人建议的安装、调试、验收方法或方案；</w:t>
      </w:r>
    </w:p>
    <w:p>
      <w:pPr>
        <w:snapToGrid w:val="0"/>
        <w:spacing w:line="400" w:lineRule="exact"/>
        <w:ind w:firstLine="409" w:firstLineChars="195"/>
        <w:jc w:val="left"/>
        <w:rPr>
          <w:rFonts w:ascii="宋体" w:hAnsi="宋体" w:cs="宋体"/>
          <w:szCs w:val="21"/>
        </w:rPr>
      </w:pPr>
      <w:r>
        <w:rPr>
          <w:rFonts w:hint="eastAsia" w:ascii="宋体" w:hAnsi="宋体" w:cs="宋体"/>
          <w:szCs w:val="21"/>
        </w:rPr>
        <w:t>（4）技术服务、技术培训、售后服务的内容和措施；</w:t>
      </w:r>
    </w:p>
    <w:p>
      <w:pPr>
        <w:snapToGrid w:val="0"/>
        <w:spacing w:line="400" w:lineRule="exact"/>
        <w:ind w:firstLine="409" w:firstLineChars="195"/>
        <w:jc w:val="left"/>
        <w:rPr>
          <w:rFonts w:ascii="宋体" w:hAnsi="宋体" w:cs="宋体"/>
          <w:szCs w:val="21"/>
        </w:rPr>
      </w:pPr>
      <w:r>
        <w:rPr>
          <w:rFonts w:hint="eastAsia" w:ascii="宋体" w:hAnsi="宋体" w:cs="宋体"/>
          <w:szCs w:val="21"/>
        </w:rPr>
        <w:t>（5）项目实施人员一览表；</w:t>
      </w:r>
    </w:p>
    <w:p>
      <w:pPr>
        <w:snapToGrid w:val="0"/>
        <w:spacing w:line="400" w:lineRule="exact"/>
        <w:ind w:firstLine="409" w:firstLineChars="195"/>
        <w:jc w:val="left"/>
        <w:rPr>
          <w:rFonts w:ascii="宋体" w:hAnsi="宋体" w:cs="宋体"/>
          <w:szCs w:val="21"/>
        </w:rPr>
      </w:pPr>
      <w:r>
        <w:rPr>
          <w:rFonts w:hint="eastAsia" w:ascii="宋体" w:hAnsi="宋体" w:cs="宋体"/>
          <w:szCs w:val="21"/>
        </w:rPr>
        <w:t>（6）投入本项目的设备一览表；</w:t>
      </w:r>
    </w:p>
    <w:p>
      <w:pPr>
        <w:snapToGrid w:val="0"/>
        <w:spacing w:line="400" w:lineRule="exact"/>
        <w:ind w:firstLine="409" w:firstLineChars="195"/>
        <w:jc w:val="left"/>
        <w:rPr>
          <w:rFonts w:ascii="宋体" w:hAnsi="宋体" w:cs="宋体"/>
          <w:szCs w:val="21"/>
        </w:rPr>
      </w:pPr>
      <w:r>
        <w:rPr>
          <w:rFonts w:hint="eastAsia" w:ascii="宋体" w:hAnsi="宋体" w:cs="宋体"/>
          <w:szCs w:val="21"/>
        </w:rPr>
        <w:t>（7）</w:t>
      </w:r>
      <w:r>
        <w:rPr>
          <w:rFonts w:hint="eastAsia" w:ascii="宋体" w:hAnsi="宋体"/>
        </w:rPr>
        <w:t>投标人采购需求要求的承诺；</w:t>
      </w:r>
    </w:p>
    <w:p>
      <w:pPr>
        <w:snapToGrid w:val="0"/>
        <w:spacing w:line="400" w:lineRule="exact"/>
        <w:ind w:firstLine="409" w:firstLineChars="195"/>
        <w:jc w:val="left"/>
        <w:rPr>
          <w:rFonts w:ascii="宋体" w:hAnsi="宋体" w:cs="宋体"/>
          <w:szCs w:val="21"/>
        </w:rPr>
      </w:pPr>
      <w:r>
        <w:rPr>
          <w:rFonts w:hint="eastAsia" w:ascii="宋体" w:hAnsi="宋体" w:cs="宋体"/>
          <w:szCs w:val="21"/>
        </w:rPr>
        <w:t>（8）优惠条件：投标人承诺给予采购人的各种优惠条件，包括售后服务、备品备件、专用耗材等方面的优惠；</w:t>
      </w:r>
    </w:p>
    <w:p>
      <w:pPr>
        <w:snapToGrid w:val="0"/>
        <w:spacing w:line="400" w:lineRule="exact"/>
        <w:ind w:firstLine="409" w:firstLineChars="195"/>
        <w:jc w:val="left"/>
        <w:rPr>
          <w:rFonts w:ascii="宋体" w:hAnsi="宋体" w:cs="宋体"/>
          <w:szCs w:val="21"/>
        </w:rPr>
      </w:pPr>
      <w:r>
        <w:rPr>
          <w:rFonts w:hint="eastAsia" w:ascii="宋体" w:hAnsi="宋体" w:cs="宋体"/>
          <w:szCs w:val="21"/>
        </w:rPr>
        <w:t>（9）投标人需要说明的其他内容（未尽事宜可按评分细则部分制作）。</w:t>
      </w:r>
    </w:p>
    <w:p>
      <w:pPr>
        <w:snapToGrid w:val="0"/>
        <w:spacing w:line="400" w:lineRule="exact"/>
        <w:ind w:firstLine="409" w:firstLineChars="195"/>
        <w:jc w:val="left"/>
        <w:rPr>
          <w:rFonts w:ascii="宋体" w:hAnsi="宋体" w:cs="宋体"/>
          <w:szCs w:val="21"/>
        </w:rPr>
      </w:pPr>
      <w:r>
        <w:rPr>
          <w:rFonts w:hint="eastAsia" w:ascii="宋体" w:hAnsi="宋体" w:cs="宋体"/>
          <w:szCs w:val="21"/>
        </w:rPr>
        <w:t>B.服务类项目的投标技术文件：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（1）对本项目系统总体要求的理解；</w:t>
      </w:r>
    </w:p>
    <w:p>
      <w:pPr>
        <w:snapToGrid w:val="0"/>
        <w:spacing w:line="400" w:lineRule="exact"/>
        <w:ind w:firstLine="409" w:firstLineChars="195"/>
        <w:jc w:val="left"/>
        <w:rPr>
          <w:rFonts w:ascii="宋体" w:hAnsi="宋体" w:cs="宋体"/>
          <w:szCs w:val="21"/>
        </w:rPr>
      </w:pPr>
      <w:r>
        <w:rPr>
          <w:rFonts w:hint="eastAsia" w:ascii="宋体" w:hAnsi="宋体" w:cs="宋体"/>
          <w:szCs w:val="21"/>
        </w:rPr>
        <w:t>（2）项目总体架构及技术解决方案；</w:t>
      </w:r>
    </w:p>
    <w:p>
      <w:pPr>
        <w:snapToGrid w:val="0"/>
        <w:spacing w:line="400" w:lineRule="exact"/>
        <w:ind w:firstLine="409" w:firstLineChars="195"/>
        <w:jc w:val="left"/>
        <w:rPr>
          <w:rFonts w:ascii="宋体" w:hAnsi="宋体" w:cs="宋体"/>
          <w:szCs w:val="21"/>
        </w:rPr>
      </w:pPr>
      <w:r>
        <w:rPr>
          <w:rFonts w:hint="eastAsia" w:ascii="宋体" w:hAnsi="宋体" w:cs="宋体"/>
          <w:szCs w:val="21"/>
        </w:rPr>
        <w:t>（3）保证项目质量的技术力量及技术措施；</w:t>
      </w:r>
    </w:p>
    <w:p>
      <w:pPr>
        <w:snapToGrid w:val="0"/>
        <w:spacing w:line="400" w:lineRule="exact"/>
        <w:ind w:firstLine="409" w:firstLineChars="195"/>
        <w:jc w:val="left"/>
        <w:rPr>
          <w:rFonts w:ascii="宋体" w:hAnsi="宋体" w:cs="宋体"/>
          <w:szCs w:val="21"/>
        </w:rPr>
      </w:pPr>
      <w:r>
        <w:rPr>
          <w:rFonts w:hint="eastAsia" w:ascii="宋体" w:hAnsi="宋体" w:cs="宋体"/>
          <w:szCs w:val="21"/>
        </w:rPr>
        <w:t>（4）保证工期的施工组织方案及人力安排；</w:t>
      </w:r>
    </w:p>
    <w:p>
      <w:pPr>
        <w:snapToGrid w:val="0"/>
        <w:spacing w:line="400" w:lineRule="exact"/>
        <w:ind w:firstLine="409" w:firstLineChars="195"/>
        <w:jc w:val="left"/>
        <w:rPr>
          <w:rFonts w:ascii="宋体" w:hAnsi="宋体" w:cs="宋体"/>
          <w:szCs w:val="21"/>
        </w:rPr>
      </w:pPr>
      <w:r>
        <w:rPr>
          <w:rFonts w:hint="eastAsia" w:ascii="宋体" w:hAnsi="宋体" w:cs="宋体"/>
          <w:szCs w:val="21"/>
        </w:rPr>
        <w:t>（5）项目实施人员一览表；</w:t>
      </w:r>
    </w:p>
    <w:p>
      <w:pPr>
        <w:snapToGrid w:val="0"/>
        <w:spacing w:line="400" w:lineRule="exact"/>
        <w:ind w:firstLine="409" w:firstLineChars="195"/>
        <w:jc w:val="left"/>
        <w:rPr>
          <w:rFonts w:ascii="宋体" w:hAnsi="宋体" w:cs="宋体"/>
          <w:szCs w:val="21"/>
        </w:rPr>
      </w:pPr>
      <w:r>
        <w:rPr>
          <w:rFonts w:hint="eastAsia" w:ascii="宋体" w:hAnsi="宋体" w:cs="宋体"/>
          <w:szCs w:val="21"/>
        </w:rPr>
        <w:t>（6）工程量、原材料、人工配置清单（均不含报价）；</w:t>
      </w:r>
    </w:p>
    <w:p>
      <w:pPr>
        <w:snapToGrid w:val="0"/>
        <w:spacing w:line="400" w:lineRule="exact"/>
        <w:ind w:firstLine="409" w:firstLineChars="195"/>
        <w:jc w:val="left"/>
        <w:rPr>
          <w:rFonts w:ascii="宋体" w:hAnsi="宋体" w:cs="宋体"/>
          <w:szCs w:val="21"/>
        </w:rPr>
      </w:pPr>
      <w:r>
        <w:rPr>
          <w:rFonts w:hint="eastAsia" w:ascii="宋体" w:hAnsi="宋体" w:cs="宋体"/>
          <w:szCs w:val="21"/>
        </w:rPr>
        <w:t>（7）技术服务、技术培训、售后服务的内容和措施；</w:t>
      </w:r>
    </w:p>
    <w:p>
      <w:pPr>
        <w:snapToGrid w:val="0"/>
        <w:spacing w:line="400" w:lineRule="exact"/>
        <w:ind w:firstLine="409" w:firstLineChars="195"/>
        <w:jc w:val="left"/>
        <w:rPr>
          <w:rFonts w:ascii="宋体" w:hAnsi="宋体" w:cs="宋体"/>
          <w:szCs w:val="21"/>
        </w:rPr>
      </w:pPr>
      <w:r>
        <w:rPr>
          <w:rFonts w:hint="eastAsia" w:ascii="宋体" w:hAnsi="宋体" w:cs="宋体"/>
          <w:szCs w:val="21"/>
        </w:rPr>
        <w:t>（8）投标人对本项目的合理化建议和改进措施；</w:t>
      </w:r>
    </w:p>
    <w:p>
      <w:pPr>
        <w:snapToGrid w:val="0"/>
        <w:spacing w:line="400" w:lineRule="exact"/>
        <w:ind w:firstLine="409" w:firstLineChars="195"/>
        <w:jc w:val="left"/>
        <w:rPr>
          <w:rFonts w:ascii="宋体" w:hAnsi="宋体" w:cs="宋体"/>
          <w:szCs w:val="21"/>
        </w:rPr>
      </w:pPr>
      <w:r>
        <w:rPr>
          <w:rFonts w:hint="eastAsia" w:ascii="宋体" w:hAnsi="宋体" w:cs="宋体"/>
          <w:szCs w:val="21"/>
        </w:rPr>
        <w:t>（9）</w:t>
      </w:r>
      <w:r>
        <w:rPr>
          <w:rFonts w:hint="eastAsia" w:ascii="宋体" w:hAnsi="宋体"/>
        </w:rPr>
        <w:t>投标人采购需求要求的承诺；</w:t>
      </w:r>
    </w:p>
    <w:p>
      <w:pPr>
        <w:snapToGrid w:val="0"/>
        <w:spacing w:line="400" w:lineRule="exact"/>
        <w:ind w:firstLine="409" w:firstLineChars="195"/>
        <w:jc w:val="left"/>
        <w:rPr>
          <w:rFonts w:ascii="宋体" w:hAnsi="宋体" w:cs="宋体"/>
          <w:szCs w:val="21"/>
        </w:rPr>
      </w:pPr>
      <w:r>
        <w:rPr>
          <w:rFonts w:hint="eastAsia" w:ascii="宋体" w:hAnsi="宋体" w:cs="宋体"/>
          <w:szCs w:val="21"/>
        </w:rPr>
        <w:t>（10）投标人认为需要提供的其他文件及资料（格式自拟）。</w:t>
      </w:r>
    </w:p>
    <w:p>
      <w:pPr>
        <w:snapToGrid w:val="0"/>
        <w:spacing w:line="400" w:lineRule="exact"/>
        <w:ind w:firstLine="409" w:firstLineChars="195"/>
        <w:jc w:val="left"/>
        <w:rPr>
          <w:rFonts w:ascii="宋体" w:hAnsi="宋体" w:cs="宋体"/>
          <w:szCs w:val="21"/>
        </w:rPr>
      </w:pPr>
      <w:r>
        <w:rPr>
          <w:rFonts w:hint="eastAsia" w:ascii="宋体" w:hAnsi="宋体" w:cs="宋体"/>
          <w:szCs w:val="21"/>
        </w:rPr>
        <w:t>C.货物并安装（或施工）服务类项目的投标技术文件，应包含上述A、B项的全部内容（重复除外）。</w:t>
      </w:r>
    </w:p>
    <w:p>
      <w:pPr>
        <w:snapToGrid w:val="0"/>
        <w:spacing w:line="400" w:lineRule="exact"/>
        <w:ind w:firstLine="409" w:firstLineChars="195"/>
        <w:jc w:val="left"/>
        <w:rPr>
          <w:rFonts w:ascii="宋体" w:hAnsi="宋体" w:cs="宋体"/>
          <w:szCs w:val="21"/>
        </w:rPr>
      </w:pPr>
      <w:r>
        <w:rPr>
          <w:rFonts w:hint="eastAsia" w:ascii="宋体" w:hAnsi="宋体" w:cs="宋体"/>
          <w:szCs w:val="21"/>
        </w:rPr>
        <w:t>未尽事宜请各投标人按评分细则制作技术部份。</w:t>
      </w:r>
    </w:p>
    <w:p>
      <w:pPr>
        <w:snapToGrid w:val="0"/>
        <w:spacing w:line="400" w:lineRule="exact"/>
        <w:ind w:firstLine="422" w:firstLineChars="200"/>
        <w:jc w:val="left"/>
        <w:rPr>
          <w:rFonts w:ascii="宋体" w:hAnsi="宋体" w:cs="宋体"/>
          <w:b/>
          <w:szCs w:val="21"/>
        </w:rPr>
      </w:pPr>
      <w:r>
        <w:rPr>
          <w:rFonts w:hint="eastAsia" w:ascii="宋体" w:hAnsi="宋体" w:cs="宋体"/>
          <w:b/>
          <w:szCs w:val="21"/>
        </w:rPr>
        <w:t>2.报价文件：</w:t>
      </w:r>
    </w:p>
    <w:p>
      <w:pPr>
        <w:tabs>
          <w:tab w:val="left" w:pos="3870"/>
          <w:tab w:val="left" w:pos="4085"/>
        </w:tabs>
        <w:snapToGrid w:val="0"/>
        <w:spacing w:line="400" w:lineRule="exact"/>
        <w:ind w:firstLine="420" w:firstLineChars="200"/>
        <w:jc w:val="left"/>
        <w:rPr>
          <w:rFonts w:ascii="宋体" w:hAnsi="宋体" w:cs="宋体"/>
          <w:i/>
          <w:szCs w:val="21"/>
        </w:rPr>
      </w:pPr>
      <w:r>
        <w:rPr>
          <w:rFonts w:hint="eastAsia" w:ascii="宋体" w:hAnsi="宋体" w:cs="宋体"/>
          <w:szCs w:val="21"/>
        </w:rPr>
        <w:t>（1）投标函；</w:t>
      </w:r>
    </w:p>
    <w:p>
      <w:pPr>
        <w:pStyle w:val="27"/>
        <w:snapToGrid w:val="0"/>
        <w:spacing w:line="400" w:lineRule="exact"/>
        <w:ind w:left="0" w:leftChars="0" w:firstLine="420" w:firstLineChars="200"/>
        <w:rPr>
          <w:rFonts w:ascii="宋体" w:hAnsi="宋体" w:eastAsia="宋体" w:cs="宋体"/>
          <w:sz w:val="21"/>
          <w:szCs w:val="21"/>
        </w:rPr>
      </w:pPr>
      <w:r>
        <w:rPr>
          <w:rFonts w:hint="eastAsia" w:ascii="宋体" w:hAnsi="宋体" w:eastAsia="宋体" w:cs="宋体"/>
          <w:sz w:val="21"/>
          <w:szCs w:val="21"/>
        </w:rPr>
        <w:t>（2）开标一览表；</w:t>
      </w:r>
    </w:p>
    <w:p>
      <w:pPr>
        <w:pStyle w:val="27"/>
        <w:snapToGrid w:val="0"/>
        <w:spacing w:line="400" w:lineRule="exact"/>
        <w:ind w:left="0" w:leftChars="0" w:firstLine="420" w:firstLineChars="200"/>
        <w:rPr>
          <w:rFonts w:ascii="宋体" w:hAnsi="宋体" w:eastAsia="宋体" w:cs="宋体"/>
          <w:sz w:val="21"/>
          <w:szCs w:val="21"/>
        </w:rPr>
      </w:pPr>
      <w:r>
        <w:rPr>
          <w:rFonts w:hint="eastAsia" w:ascii="宋体" w:hAnsi="宋体" w:eastAsia="宋体" w:cs="宋体"/>
          <w:sz w:val="21"/>
          <w:szCs w:val="21"/>
        </w:rPr>
        <w:t>（3）投标报价明细表；</w:t>
      </w:r>
    </w:p>
    <w:p>
      <w:pPr>
        <w:spacing w:line="400" w:lineRule="exact"/>
        <w:ind w:firstLine="420" w:firstLineChars="200"/>
        <w:rPr>
          <w:rFonts w:ascii="宋体" w:hAnsi="宋体" w:cs="宋体"/>
          <w:szCs w:val="21"/>
        </w:rPr>
      </w:pPr>
      <w:r>
        <w:rPr>
          <w:rFonts w:hint="eastAsia" w:ascii="宋体" w:hAnsi="宋体" w:cs="宋体"/>
        </w:rPr>
        <w:t>（4）</w:t>
      </w:r>
      <w:r>
        <w:rPr>
          <w:rFonts w:hint="eastAsia" w:ascii="宋体" w:hAnsi="宋体" w:cs="宋体"/>
          <w:szCs w:val="21"/>
        </w:rPr>
        <w:t>投标人针对报价需要说明的其他文件和说明。</w:t>
      </w:r>
    </w:p>
    <w:p>
      <w:pPr>
        <w:pStyle w:val="40"/>
        <w:tabs>
          <w:tab w:val="left" w:pos="180"/>
          <w:tab w:val="left" w:pos="720"/>
          <w:tab w:val="left" w:pos="1800"/>
          <w:tab w:val="left" w:pos="2340"/>
        </w:tabs>
        <w:spacing w:line="400" w:lineRule="exact"/>
        <w:ind w:firstLine="422" w:firstLineChars="200"/>
        <w:jc w:val="both"/>
        <w:rPr>
          <w:rFonts w:ascii="宋体" w:hAnsi="宋体" w:cs="宋体"/>
          <w:sz w:val="21"/>
          <w:szCs w:val="21"/>
        </w:rPr>
      </w:pPr>
      <w:r>
        <w:rPr>
          <w:rFonts w:hint="eastAsia" w:ascii="宋体" w:hAnsi="宋体" w:cs="宋体"/>
          <w:sz w:val="21"/>
          <w:szCs w:val="21"/>
        </w:rPr>
        <w:t>注：法定代表人身份证明或授权委托书、投标声明书、投标函、开标一览表必须由法定代表人或授权委托人签字（或盖章）并加盖单位公章。</w:t>
      </w:r>
    </w:p>
    <w:p>
      <w:pPr>
        <w:pStyle w:val="3"/>
        <w:spacing w:line="400" w:lineRule="exact"/>
        <w:ind w:firstLine="422" w:firstLineChars="200"/>
      </w:pPr>
      <w:r>
        <w:rPr>
          <w:rFonts w:hint="eastAsia"/>
        </w:rPr>
        <w:t>（二）投标文件的语言及计量</w:t>
      </w:r>
    </w:p>
    <w:p>
      <w:pPr>
        <w:snapToGrid w:val="0"/>
        <w:spacing w:line="400" w:lineRule="exact"/>
        <w:ind w:firstLine="420" w:firstLineChars="200"/>
        <w:jc w:val="left"/>
        <w:rPr>
          <w:rFonts w:ascii="宋体" w:hAnsi="宋体" w:cs="宋体"/>
          <w:szCs w:val="21"/>
        </w:rPr>
      </w:pPr>
      <w:r>
        <w:rPr>
          <w:rFonts w:hint="eastAsia" w:ascii="宋体" w:hAnsi="宋体" w:cs="宋体"/>
          <w:szCs w:val="21"/>
        </w:rPr>
        <w:t>1.投标文件以及投标人与招标人就有关投标事宜的所有来往函电，均应以中文汉语书写。除签名、盖章、专用名称等特殊情形外，以中文汉语以外的文字表述的投标文件视同未提供。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pStyle w:val="3"/>
        <w:spacing w:line="400" w:lineRule="exact"/>
        <w:ind w:firstLine="422" w:firstLineChars="200"/>
      </w:pPr>
      <w:r>
        <w:rPr>
          <w:rFonts w:hint="eastAsia"/>
        </w:rPr>
        <w:t>（三）投标报价</w:t>
      </w:r>
    </w:p>
    <w:p>
      <w:pPr>
        <w:snapToGrid w:val="0"/>
        <w:spacing w:line="400" w:lineRule="exact"/>
        <w:ind w:firstLine="420" w:firstLineChars="200"/>
        <w:jc w:val="left"/>
        <w:rPr>
          <w:rFonts w:ascii="宋体" w:hAnsi="宋体" w:cs="宋体"/>
          <w:szCs w:val="21"/>
        </w:rPr>
      </w:pPr>
      <w:r>
        <w:rPr>
          <w:rFonts w:hint="eastAsia" w:ascii="宋体" w:hAnsi="宋体" w:cs="宋体"/>
          <w:szCs w:val="21"/>
        </w:rPr>
        <w:t>1.投标报价应按招标文件中相关附表格式填写。</w:t>
      </w:r>
    </w:p>
    <w:p>
      <w:pPr>
        <w:snapToGrid w:val="0"/>
        <w:spacing w:line="400" w:lineRule="exact"/>
        <w:ind w:firstLine="422" w:firstLineChars="200"/>
        <w:jc w:val="left"/>
        <w:rPr>
          <w:rFonts w:ascii="宋体" w:hAnsi="宋体" w:cs="宋体"/>
          <w:b/>
        </w:rPr>
      </w:pPr>
      <w:r>
        <w:rPr>
          <w:rFonts w:hint="eastAsia" w:ascii="宋体" w:hAnsi="宋体" w:cs="宋体"/>
          <w:b/>
          <w:szCs w:val="21"/>
        </w:rPr>
        <w:t>2.</w:t>
      </w:r>
      <w:r>
        <w:rPr>
          <w:rFonts w:hint="eastAsia" w:ascii="宋体" w:hAnsi="宋体" w:cs="宋体"/>
          <w:b/>
        </w:rPr>
        <w:t>投标报价是履行合同的最终价格，包括完成所有产品供货、履行所有规定服务及投标过程所产生的全部费用。产品及服务须达到招标文件规定的质量标准及使用要求。</w:t>
      </w:r>
    </w:p>
    <w:p>
      <w:pPr>
        <w:snapToGrid w:val="0"/>
        <w:spacing w:line="400" w:lineRule="exact"/>
        <w:ind w:firstLine="420" w:firstLineChars="200"/>
        <w:jc w:val="left"/>
        <w:rPr>
          <w:rFonts w:ascii="宋体" w:hAnsi="宋体" w:cs="宋体"/>
          <w:szCs w:val="21"/>
        </w:rPr>
      </w:pPr>
      <w:r>
        <w:rPr>
          <w:rFonts w:hint="eastAsia" w:ascii="宋体" w:hAnsi="宋体" w:cs="宋体"/>
          <w:szCs w:val="21"/>
        </w:rPr>
        <w:t>3.投标文件只允许有一个报价，有选择的或有条件的报价将不予接受。</w:t>
      </w:r>
    </w:p>
    <w:p>
      <w:pPr>
        <w:pStyle w:val="3"/>
        <w:spacing w:line="400" w:lineRule="exact"/>
        <w:ind w:firstLine="422" w:firstLineChars="200"/>
      </w:pPr>
      <w:r>
        <w:rPr>
          <w:rFonts w:hint="eastAsia"/>
        </w:rPr>
        <w:t>（四）投标文件的有效期</w:t>
      </w:r>
    </w:p>
    <w:p>
      <w:pPr>
        <w:pStyle w:val="12"/>
        <w:tabs>
          <w:tab w:val="left" w:pos="420"/>
          <w:tab w:val="clear" w:pos="360"/>
        </w:tabs>
        <w:snapToGrid w:val="0"/>
        <w:spacing w:line="400" w:lineRule="exact"/>
        <w:ind w:left="0" w:firstLine="420" w:firstLineChars="200"/>
        <w:rPr>
          <w:rFonts w:ascii="宋体" w:hAnsi="宋体" w:cs="宋体"/>
          <w:szCs w:val="21"/>
        </w:rPr>
      </w:pPr>
      <w:r>
        <w:rPr>
          <w:rFonts w:hint="eastAsia" w:ascii="宋体" w:hAnsi="宋体" w:cs="宋体"/>
          <w:szCs w:val="21"/>
        </w:rPr>
        <w:t>1.自投标截止日起90天投标文件应保持有效。有效期不足的投标文件将被拒绝。</w:t>
      </w:r>
    </w:p>
    <w:p>
      <w:pPr>
        <w:pStyle w:val="12"/>
        <w:tabs>
          <w:tab w:val="left" w:pos="420"/>
          <w:tab w:val="clear" w:pos="360"/>
        </w:tabs>
        <w:snapToGrid w:val="0"/>
        <w:spacing w:line="400" w:lineRule="exact"/>
        <w:ind w:left="0" w:firstLine="420" w:firstLineChars="200"/>
        <w:rPr>
          <w:rFonts w:ascii="宋体" w:hAnsi="宋体" w:cs="宋体"/>
          <w:szCs w:val="21"/>
        </w:rPr>
      </w:pPr>
      <w:r>
        <w:rPr>
          <w:rFonts w:hint="eastAsia" w:ascii="宋体" w:hAnsi="宋体" w:cs="宋体"/>
          <w:szCs w:val="21"/>
        </w:rPr>
        <w:t>2.在特殊情况下，采购人可与投标人协商延长投标书的有效期，这种要求和答复均以书面形式进行。</w:t>
      </w:r>
    </w:p>
    <w:p>
      <w:pPr>
        <w:spacing w:line="400" w:lineRule="exact"/>
        <w:ind w:firstLine="420" w:firstLineChars="200"/>
        <w:rPr>
          <w:rFonts w:ascii="宋体" w:hAnsi="宋体"/>
        </w:rPr>
      </w:pPr>
      <w:r>
        <w:rPr>
          <w:rFonts w:hint="eastAsia" w:ascii="宋体" w:hAnsi="宋体"/>
        </w:rPr>
        <w:t>3.投标人可拒绝接受延期要求，或同意延长有效期，但不能修改投标文件。</w:t>
      </w:r>
    </w:p>
    <w:p>
      <w:pPr>
        <w:spacing w:line="400" w:lineRule="exact"/>
        <w:ind w:firstLine="420" w:firstLineChars="200"/>
      </w:pPr>
      <w:r>
        <w:rPr>
          <w:rFonts w:hint="eastAsia" w:ascii="宋体" w:hAnsi="宋体"/>
        </w:rPr>
        <w:t>4.中标人的投标文件自开标之日起至合同履行完毕止均应保持有效。</w:t>
      </w:r>
    </w:p>
    <w:p>
      <w:pPr>
        <w:pStyle w:val="3"/>
        <w:spacing w:line="400" w:lineRule="exact"/>
        <w:ind w:firstLine="422" w:firstLineChars="200"/>
      </w:pPr>
      <w:r>
        <w:rPr>
          <w:rFonts w:hint="eastAsia"/>
        </w:rPr>
        <w:t>（五）投标文件的签署和份数</w:t>
      </w:r>
    </w:p>
    <w:p>
      <w:pPr>
        <w:pStyle w:val="3"/>
        <w:spacing w:line="400" w:lineRule="exact"/>
        <w:ind w:firstLine="420" w:firstLineChars="200"/>
        <w:rPr>
          <w:b w:val="0"/>
        </w:rPr>
      </w:pPr>
      <w:r>
        <w:rPr>
          <w:rFonts w:hint="eastAsia" w:ascii="宋体" w:hAnsi="宋体"/>
          <w:b w:val="0"/>
        </w:rPr>
        <w:t>电子投标文件按政采云平台供应商电子招投标操作指南（网址：https://help.zcygov.cn/web/site_2/2018/12-28/2573.html）及本招标文件规定的格式和顺序编制电子投标文件并进行关联定位。</w:t>
      </w:r>
    </w:p>
    <w:p>
      <w:pPr>
        <w:pStyle w:val="3"/>
        <w:spacing w:line="400" w:lineRule="exact"/>
        <w:ind w:firstLine="422" w:firstLineChars="200"/>
      </w:pPr>
      <w:r>
        <w:rPr>
          <w:rFonts w:hint="eastAsia"/>
        </w:rPr>
        <w:t>（六）投标无效的情形</w:t>
      </w:r>
    </w:p>
    <w:p>
      <w:pPr>
        <w:snapToGrid w:val="0"/>
        <w:spacing w:line="400" w:lineRule="exact"/>
        <w:ind w:firstLine="420" w:firstLineChars="200"/>
        <w:rPr>
          <w:rFonts w:ascii="宋体" w:hAnsi="宋体" w:cs="宋体"/>
          <w:bCs/>
          <w:szCs w:val="21"/>
        </w:rPr>
      </w:pPr>
      <w:r>
        <w:rPr>
          <w:rFonts w:hint="eastAsia" w:ascii="宋体" w:hAnsi="宋体" w:cs="宋体"/>
          <w:bCs/>
          <w:szCs w:val="21"/>
        </w:rPr>
        <w:t>实质上没有响应招标文件要求的投标将被视为无效投标。供应商修改、补正投标文件后，不影响评标委员会对其投标文件所作的评价和评分结果。</w:t>
      </w:r>
    </w:p>
    <w:p>
      <w:pPr>
        <w:snapToGrid w:val="0"/>
        <w:spacing w:line="400" w:lineRule="exact"/>
        <w:ind w:firstLine="413" w:firstLineChars="196"/>
        <w:rPr>
          <w:rFonts w:ascii="宋体" w:hAnsi="宋体" w:cs="宋体"/>
          <w:b/>
          <w:szCs w:val="21"/>
        </w:rPr>
      </w:pPr>
      <w:r>
        <w:rPr>
          <w:rFonts w:ascii="宋体" w:hAnsi="宋体" w:cs="宋体"/>
          <w:b/>
          <w:szCs w:val="21"/>
        </w:rPr>
        <w:t>1</w:t>
      </w:r>
      <w:r>
        <w:rPr>
          <w:rFonts w:hint="eastAsia" w:ascii="宋体" w:hAnsi="宋体" w:cs="宋体"/>
          <w:b/>
          <w:szCs w:val="21"/>
        </w:rPr>
        <w:t>.</w:t>
      </w:r>
      <w:r>
        <w:rPr>
          <w:rFonts w:ascii="宋体" w:hAnsi="宋体" w:cs="宋体"/>
          <w:b/>
          <w:szCs w:val="21"/>
        </w:rPr>
        <w:t>电子投标文件解密失败的，且未在规定时间内提交</w:t>
      </w:r>
      <w:r>
        <w:rPr>
          <w:rFonts w:hint="eastAsia" w:ascii="宋体" w:hAnsi="宋体" w:cs="宋体"/>
          <w:b/>
          <w:szCs w:val="21"/>
        </w:rPr>
        <w:t>有效</w:t>
      </w:r>
      <w:r>
        <w:rPr>
          <w:rFonts w:ascii="宋体" w:hAnsi="宋体" w:cs="宋体"/>
          <w:b/>
          <w:szCs w:val="21"/>
        </w:rPr>
        <w:t>备份投标文件的</w:t>
      </w:r>
      <w:r>
        <w:rPr>
          <w:rFonts w:hint="eastAsia" w:ascii="宋体" w:hAnsi="宋体" w:cs="宋体"/>
          <w:b/>
          <w:szCs w:val="21"/>
        </w:rPr>
        <w:t>。</w:t>
      </w:r>
    </w:p>
    <w:p>
      <w:pPr>
        <w:snapToGrid w:val="0"/>
        <w:spacing w:line="400" w:lineRule="exact"/>
        <w:ind w:firstLine="413" w:firstLineChars="196"/>
        <w:rPr>
          <w:rFonts w:ascii="宋体" w:hAnsi="宋体" w:cs="宋体"/>
          <w:b/>
          <w:szCs w:val="21"/>
        </w:rPr>
      </w:pPr>
      <w:r>
        <w:rPr>
          <w:rFonts w:ascii="宋体" w:hAnsi="宋体" w:cs="宋体"/>
          <w:b/>
          <w:szCs w:val="21"/>
        </w:rPr>
        <w:t>2.</w:t>
      </w:r>
      <w:r>
        <w:rPr>
          <w:rFonts w:hint="eastAsia" w:ascii="宋体" w:hAnsi="宋体" w:cs="宋体"/>
          <w:b/>
          <w:szCs w:val="21"/>
        </w:rPr>
        <w:t>没有通过资格审查的，</w:t>
      </w:r>
      <w:r>
        <w:rPr>
          <w:rFonts w:ascii="宋体" w:hAnsi="宋体" w:cs="宋体"/>
          <w:b/>
          <w:szCs w:val="21"/>
        </w:rPr>
        <w:t>投标文件将被视为无效。</w:t>
      </w:r>
    </w:p>
    <w:p>
      <w:pPr>
        <w:snapToGrid w:val="0"/>
        <w:spacing w:line="400" w:lineRule="exact"/>
        <w:ind w:firstLine="413" w:firstLineChars="196"/>
        <w:rPr>
          <w:rFonts w:ascii="宋体" w:hAnsi="宋体" w:cs="宋体"/>
          <w:b/>
          <w:bCs/>
          <w:szCs w:val="21"/>
        </w:rPr>
      </w:pPr>
      <w:r>
        <w:rPr>
          <w:rFonts w:hint="eastAsia" w:ascii="宋体" w:hAnsi="宋体" w:cs="宋体"/>
          <w:b/>
          <w:bCs/>
          <w:szCs w:val="21"/>
        </w:rPr>
        <w:t>3.</w:t>
      </w:r>
      <w:r>
        <w:rPr>
          <w:rFonts w:ascii="宋体" w:hAnsi="宋体" w:cs="宋体"/>
          <w:b/>
          <w:bCs/>
          <w:szCs w:val="21"/>
        </w:rPr>
        <w:t>在符合性审查和商务评审时，如发现下列情形之一的，投标文件将被视为无效：</w:t>
      </w:r>
    </w:p>
    <w:p>
      <w:pPr>
        <w:snapToGrid w:val="0"/>
        <w:spacing w:line="400" w:lineRule="exact"/>
        <w:ind w:firstLine="411" w:firstLineChars="196"/>
        <w:rPr>
          <w:rFonts w:ascii="宋体" w:hAnsi="宋体" w:cs="宋体"/>
          <w:szCs w:val="21"/>
        </w:rPr>
      </w:pPr>
      <w:r>
        <w:rPr>
          <w:rFonts w:hint="eastAsia" w:ascii="宋体" w:hAnsi="宋体" w:cs="宋体"/>
          <w:bCs/>
          <w:szCs w:val="21"/>
        </w:rPr>
        <w:t>（1</w:t>
      </w:r>
      <w:r>
        <w:rPr>
          <w:rFonts w:ascii="宋体" w:hAnsi="宋体" w:cs="宋体"/>
          <w:bCs/>
          <w:szCs w:val="21"/>
        </w:rPr>
        <w:t>）</w:t>
      </w:r>
      <w:r>
        <w:rPr>
          <w:rFonts w:ascii="宋体" w:hAnsi="宋体" w:cs="宋体"/>
          <w:szCs w:val="21"/>
        </w:rPr>
        <w:t>电子投标文件未按规定要求提供电子签章的</w:t>
      </w:r>
      <w:r>
        <w:rPr>
          <w:rFonts w:hint="eastAsia" w:ascii="宋体" w:hAnsi="宋体" w:cs="宋体"/>
          <w:szCs w:val="21"/>
        </w:rPr>
        <w:t>；</w:t>
      </w:r>
    </w:p>
    <w:p>
      <w:pPr>
        <w:snapToGrid w:val="0"/>
        <w:spacing w:line="400" w:lineRule="exact"/>
        <w:ind w:firstLine="420" w:firstLineChars="200"/>
        <w:rPr>
          <w:rFonts w:ascii="宋体" w:hAnsi="宋体" w:cs="宋体"/>
          <w:bCs/>
          <w:szCs w:val="21"/>
        </w:rPr>
      </w:pPr>
      <w:r>
        <w:rPr>
          <w:rFonts w:hint="eastAsia" w:ascii="宋体" w:hAnsi="宋体" w:cs="宋体"/>
          <w:szCs w:val="21"/>
        </w:rPr>
        <w:t>（2）</w:t>
      </w:r>
      <w:r>
        <w:rPr>
          <w:rFonts w:hint="eastAsia" w:ascii="宋体" w:hAnsi="宋体" w:cs="宋体"/>
          <w:bCs/>
          <w:szCs w:val="21"/>
        </w:rPr>
        <w:t>在资信商务技术文件中出现报价的；</w:t>
      </w:r>
    </w:p>
    <w:p>
      <w:pPr>
        <w:snapToGrid w:val="0"/>
        <w:spacing w:line="40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资格证明文件不全的，或者不符合招标文件标明的资格要求的</w:t>
      </w:r>
      <w:r>
        <w:rPr>
          <w:rFonts w:hint="eastAsia" w:ascii="宋体" w:hAnsi="宋体" w:cs="宋体"/>
          <w:szCs w:val="21"/>
        </w:rPr>
        <w:t>；</w:t>
      </w:r>
    </w:p>
    <w:p>
      <w:pPr>
        <w:snapToGrid w:val="0"/>
        <w:spacing w:line="400" w:lineRule="exact"/>
        <w:ind w:firstLine="411" w:firstLineChars="196"/>
        <w:rPr>
          <w:rFonts w:ascii="宋体" w:hAnsi="宋体" w:cs="宋体"/>
          <w:bCs/>
          <w:kern w:val="0"/>
          <w:szCs w:val="21"/>
        </w:rPr>
      </w:pPr>
      <w:r>
        <w:rPr>
          <w:rFonts w:hint="eastAsia" w:ascii="宋体" w:hAnsi="宋体" w:cs="宋体"/>
          <w:szCs w:val="21"/>
        </w:rPr>
        <w:t>（4</w:t>
      </w:r>
      <w:r>
        <w:rPr>
          <w:rFonts w:ascii="宋体" w:hAnsi="宋体" w:cs="宋体"/>
          <w:szCs w:val="21"/>
        </w:rPr>
        <w:t>）投标文件无法定代表人签字</w:t>
      </w:r>
      <w:r>
        <w:rPr>
          <w:rFonts w:hint="eastAsia" w:ascii="宋体" w:hAnsi="宋体" w:cs="宋体"/>
          <w:szCs w:val="21"/>
        </w:rPr>
        <w:t>（或盖章），</w:t>
      </w:r>
      <w:r>
        <w:rPr>
          <w:rFonts w:ascii="宋体" w:hAnsi="宋体" w:cs="宋体"/>
          <w:szCs w:val="21"/>
        </w:rPr>
        <w:t>或未</w:t>
      </w:r>
      <w:r>
        <w:rPr>
          <w:rFonts w:hint="eastAsia" w:ascii="宋体" w:hAnsi="宋体" w:cs="宋体"/>
          <w:bCs/>
          <w:kern w:val="0"/>
          <w:szCs w:val="21"/>
        </w:rPr>
        <w:t>提供法定代表人授权委托书、投标声明书或者填写项目不齐全的；</w:t>
      </w:r>
    </w:p>
    <w:p>
      <w:pPr>
        <w:snapToGrid w:val="0"/>
        <w:spacing w:line="400" w:lineRule="exact"/>
        <w:ind w:firstLine="411" w:firstLineChars="196"/>
        <w:rPr>
          <w:rFonts w:ascii="宋体" w:hAnsi="宋体" w:cs="宋体"/>
          <w:szCs w:val="21"/>
        </w:rPr>
      </w:pPr>
      <w:r>
        <w:rPr>
          <w:rFonts w:ascii="宋体" w:hAnsi="宋体" w:cs="宋体"/>
          <w:szCs w:val="21"/>
        </w:rPr>
        <w:t>（</w:t>
      </w:r>
      <w:r>
        <w:rPr>
          <w:rFonts w:hint="eastAsia" w:ascii="宋体" w:hAnsi="宋体" w:cs="宋体"/>
          <w:snapToGrid w:val="0"/>
          <w:szCs w:val="21"/>
        </w:rPr>
        <w:t>5</w:t>
      </w:r>
      <w:r>
        <w:rPr>
          <w:rFonts w:ascii="宋体" w:hAnsi="宋体" w:cs="宋体"/>
          <w:snapToGrid w:val="0"/>
          <w:szCs w:val="21"/>
        </w:rPr>
        <w:t>）</w:t>
      </w:r>
      <w:r>
        <w:rPr>
          <w:rFonts w:hint="eastAsia" w:ascii="宋体" w:hAnsi="宋体" w:cs="宋体"/>
          <w:szCs w:val="21"/>
        </w:rPr>
        <w:t>投标代表人未能出具身份证明或与法定代表人授权委托人身份不符的；</w:t>
      </w:r>
    </w:p>
    <w:p>
      <w:pPr>
        <w:snapToGrid w:val="0"/>
        <w:spacing w:line="400" w:lineRule="exact"/>
        <w:ind w:firstLine="411" w:firstLineChars="196"/>
        <w:rPr>
          <w:rFonts w:ascii="宋体" w:hAnsi="宋体" w:cs="宋体"/>
          <w:snapToGrid w:val="0"/>
          <w:szCs w:val="21"/>
        </w:rPr>
      </w:pPr>
      <w:r>
        <w:rPr>
          <w:rFonts w:ascii="宋体" w:hAnsi="宋体" w:cs="宋体"/>
          <w:szCs w:val="21"/>
        </w:rPr>
        <w:t>（</w:t>
      </w:r>
      <w:r>
        <w:rPr>
          <w:rFonts w:hint="eastAsia" w:ascii="宋体" w:hAnsi="宋体" w:cs="宋体"/>
          <w:szCs w:val="21"/>
        </w:rPr>
        <w:t>6</w:t>
      </w:r>
      <w:r>
        <w:rPr>
          <w:rFonts w:ascii="宋体" w:hAnsi="宋体" w:cs="宋体"/>
          <w:szCs w:val="21"/>
        </w:rPr>
        <w:t>）投标文件格式不规范、项目不齐全或者内容虚假的；</w:t>
      </w:r>
    </w:p>
    <w:p>
      <w:pPr>
        <w:snapToGrid w:val="0"/>
        <w:spacing w:line="400" w:lineRule="exact"/>
        <w:ind w:firstLine="411" w:firstLineChars="196"/>
        <w:rPr>
          <w:rFonts w:ascii="宋体" w:hAnsi="宋体" w:cs="宋体"/>
          <w:snapToGrid w:val="0"/>
          <w:szCs w:val="21"/>
        </w:rPr>
      </w:pPr>
      <w:r>
        <w:rPr>
          <w:rFonts w:ascii="宋体" w:hAnsi="宋体" w:cs="宋体"/>
          <w:szCs w:val="21"/>
        </w:rPr>
        <w:t>（</w:t>
      </w:r>
      <w:r>
        <w:rPr>
          <w:rFonts w:hint="eastAsia" w:ascii="宋体" w:hAnsi="宋体" w:cs="宋体"/>
          <w:snapToGrid w:val="0"/>
          <w:szCs w:val="21"/>
        </w:rPr>
        <w:t>7</w:t>
      </w:r>
      <w:r>
        <w:rPr>
          <w:rFonts w:ascii="宋体" w:hAnsi="宋体" w:cs="宋体"/>
          <w:snapToGrid w:val="0"/>
          <w:szCs w:val="21"/>
        </w:rPr>
        <w:t>）</w:t>
      </w:r>
      <w:r>
        <w:rPr>
          <w:rFonts w:ascii="宋体" w:hAnsi="宋体" w:cs="宋体"/>
          <w:szCs w:val="21"/>
        </w:rPr>
        <w:t>投标文件的实质性内容未使用中文表述、意思表述不明确、前后矛盾或者使用计量单位不符合招标文件要求的（经评标委员会认定</w:t>
      </w:r>
      <w:r>
        <w:rPr>
          <w:rFonts w:hint="eastAsia" w:ascii="宋体" w:hAnsi="宋体" w:cs="宋体"/>
          <w:szCs w:val="21"/>
        </w:rPr>
        <w:t>并</w:t>
      </w:r>
      <w:r>
        <w:rPr>
          <w:rFonts w:ascii="宋体" w:hAnsi="宋体" w:cs="宋体"/>
          <w:szCs w:val="21"/>
        </w:rPr>
        <w:t>允许其当场更正的笔误除外）</w:t>
      </w:r>
      <w:r>
        <w:rPr>
          <w:rFonts w:hint="eastAsia" w:ascii="宋体" w:hAnsi="宋体" w:cs="宋体"/>
          <w:szCs w:val="21"/>
        </w:rPr>
        <w:t>；</w:t>
      </w:r>
    </w:p>
    <w:p>
      <w:pPr>
        <w:snapToGrid w:val="0"/>
        <w:spacing w:line="400" w:lineRule="exact"/>
        <w:ind w:firstLine="411" w:firstLineChars="196"/>
        <w:rPr>
          <w:rFonts w:ascii="宋体" w:hAnsi="宋体" w:cs="宋体"/>
          <w:snapToGrid w:val="0"/>
          <w:szCs w:val="21"/>
        </w:rPr>
      </w:pPr>
      <w:r>
        <w:rPr>
          <w:rFonts w:ascii="宋体" w:hAnsi="宋体" w:cs="宋体"/>
          <w:szCs w:val="21"/>
        </w:rPr>
        <w:t>（</w:t>
      </w:r>
      <w:r>
        <w:rPr>
          <w:rFonts w:hint="eastAsia" w:ascii="宋体" w:hAnsi="宋体" w:cs="宋体"/>
          <w:szCs w:val="21"/>
        </w:rPr>
        <w:t>8</w:t>
      </w:r>
      <w:r>
        <w:rPr>
          <w:rFonts w:ascii="宋体" w:hAnsi="宋体" w:cs="宋体"/>
          <w:szCs w:val="21"/>
        </w:rPr>
        <w:t>）</w:t>
      </w:r>
      <w:r>
        <w:rPr>
          <w:rFonts w:ascii="宋体" w:hAnsi="宋体" w:cs="宋体"/>
          <w:snapToGrid w:val="0"/>
          <w:szCs w:val="21"/>
        </w:rPr>
        <w:t>投标有效期、交货时间、质保期等商务条款不能满足招标文件要求的；</w:t>
      </w:r>
    </w:p>
    <w:p>
      <w:pPr>
        <w:snapToGrid w:val="0"/>
        <w:spacing w:line="400" w:lineRule="exact"/>
        <w:ind w:firstLine="411" w:firstLineChars="196"/>
        <w:rPr>
          <w:rFonts w:ascii="宋体" w:hAnsi="宋体" w:cs="宋体"/>
          <w:szCs w:val="21"/>
        </w:rPr>
      </w:pPr>
      <w:r>
        <w:rPr>
          <w:rFonts w:hint="eastAsia" w:ascii="宋体" w:hAnsi="宋体" w:cs="宋体"/>
          <w:szCs w:val="21"/>
        </w:rPr>
        <w:t>（9）未实质性</w:t>
      </w:r>
      <w:r>
        <w:rPr>
          <w:rFonts w:ascii="宋体" w:hAnsi="宋体" w:cs="宋体"/>
          <w:szCs w:val="21"/>
        </w:rPr>
        <w:t>响应招标文件要求或者投标文件有招标方不能接受的附加条件的</w:t>
      </w:r>
      <w:r>
        <w:rPr>
          <w:rFonts w:hint="eastAsia" w:ascii="宋体" w:hAnsi="宋体" w:cs="宋体"/>
          <w:szCs w:val="21"/>
        </w:rPr>
        <w:t>；</w:t>
      </w:r>
    </w:p>
    <w:p>
      <w:pPr>
        <w:snapToGrid w:val="0"/>
        <w:spacing w:line="400" w:lineRule="exact"/>
        <w:ind w:firstLine="411" w:firstLineChars="196"/>
        <w:rPr>
          <w:rFonts w:ascii="宋体" w:hAnsi="宋体" w:cs="宋体"/>
          <w:szCs w:val="21"/>
        </w:rPr>
      </w:pPr>
      <w:r>
        <w:rPr>
          <w:rFonts w:hint="eastAsia" w:ascii="宋体" w:hAnsi="宋体" w:cs="宋体"/>
          <w:szCs w:val="21"/>
        </w:rPr>
        <w:t>（10）不符合本招标文件中的实质性要求条款。</w:t>
      </w:r>
    </w:p>
    <w:p>
      <w:pPr>
        <w:snapToGrid w:val="0"/>
        <w:spacing w:line="400" w:lineRule="exact"/>
        <w:ind w:firstLine="411" w:firstLineChars="196"/>
        <w:rPr>
          <w:rFonts w:ascii="宋体" w:hAnsi="宋体" w:cs="宋体"/>
          <w:szCs w:val="21"/>
        </w:rPr>
      </w:pPr>
      <w:r>
        <w:rPr>
          <w:rFonts w:hint="eastAsia" w:ascii="宋体" w:hAnsi="宋体" w:cs="宋体"/>
          <w:szCs w:val="21"/>
        </w:rPr>
        <w:t>①</w:t>
      </w:r>
      <w:r>
        <w:rPr>
          <w:rFonts w:ascii="宋体" w:hAnsi="宋体" w:cs="宋体"/>
          <w:szCs w:val="21"/>
        </w:rPr>
        <w:t>未提供或未如实提供投标货物的技术参数，或者投标文件标明的响应或偏离与事实不符或虚假投标的；</w:t>
      </w:r>
    </w:p>
    <w:p>
      <w:pPr>
        <w:snapToGrid w:val="0"/>
        <w:spacing w:line="400" w:lineRule="exact"/>
        <w:ind w:firstLine="411" w:firstLineChars="196"/>
        <w:rPr>
          <w:rFonts w:ascii="宋体" w:hAnsi="宋体" w:cs="宋体"/>
          <w:szCs w:val="21"/>
        </w:rPr>
      </w:pPr>
      <w:r>
        <w:rPr>
          <w:rFonts w:hint="eastAsia" w:ascii="宋体" w:hAnsi="宋体" w:cs="宋体"/>
          <w:szCs w:val="21"/>
        </w:rPr>
        <w:t>②</w:t>
      </w:r>
      <w:r>
        <w:rPr>
          <w:rFonts w:ascii="宋体" w:hAnsi="宋体" w:cs="宋体"/>
          <w:snapToGrid w:val="0"/>
          <w:szCs w:val="21"/>
        </w:rPr>
        <w:t>明显不符合招标文件</w:t>
      </w:r>
      <w:r>
        <w:rPr>
          <w:rFonts w:hint="eastAsia" w:ascii="宋体" w:hAnsi="宋体" w:cs="宋体"/>
          <w:snapToGrid w:val="0"/>
          <w:szCs w:val="21"/>
        </w:rPr>
        <w:t>要求</w:t>
      </w:r>
      <w:r>
        <w:rPr>
          <w:rFonts w:ascii="宋体" w:hAnsi="宋体" w:cs="宋体"/>
          <w:snapToGrid w:val="0"/>
          <w:szCs w:val="21"/>
        </w:rPr>
        <w:t>的规格型号、质量标准，或者</w:t>
      </w:r>
      <w:r>
        <w:rPr>
          <w:rFonts w:hint="eastAsia" w:ascii="宋体" w:hAnsi="宋体" w:cs="宋体"/>
          <w:snapToGrid w:val="0"/>
          <w:szCs w:val="21"/>
        </w:rPr>
        <w:t>与</w:t>
      </w:r>
      <w:r>
        <w:rPr>
          <w:rFonts w:ascii="宋体" w:hAnsi="宋体" w:cs="宋体"/>
          <w:szCs w:val="21"/>
        </w:rPr>
        <w:t>招标文件中标“▲”的技术指标、主要功能项目发生实质性偏离的；</w:t>
      </w:r>
    </w:p>
    <w:p>
      <w:pPr>
        <w:pStyle w:val="19"/>
        <w:snapToGrid w:val="0"/>
        <w:spacing w:line="400" w:lineRule="exact"/>
        <w:ind w:firstLine="411" w:firstLineChars="196"/>
        <w:rPr>
          <w:rFonts w:ascii="宋体" w:hAnsi="宋体" w:cs="宋体"/>
          <w:sz w:val="21"/>
          <w:szCs w:val="21"/>
        </w:rPr>
      </w:pPr>
      <w:r>
        <w:rPr>
          <w:rFonts w:hint="eastAsia" w:ascii="宋体" w:hAnsi="宋体" w:cs="宋体"/>
          <w:snapToGrid w:val="0"/>
          <w:sz w:val="21"/>
          <w:szCs w:val="21"/>
        </w:rPr>
        <w:t>③</w:t>
      </w:r>
      <w:r>
        <w:rPr>
          <w:rFonts w:ascii="宋体" w:hAnsi="宋体" w:cs="宋体"/>
          <w:sz w:val="21"/>
          <w:szCs w:val="21"/>
        </w:rPr>
        <w:t>投标技术方案不明确，存在一个或一个以上备选（替代）投标方案的</w:t>
      </w:r>
      <w:r>
        <w:rPr>
          <w:rFonts w:hint="eastAsia" w:ascii="宋体" w:hAnsi="宋体" w:cs="宋体"/>
          <w:sz w:val="21"/>
          <w:szCs w:val="21"/>
        </w:rPr>
        <w:t>。</w:t>
      </w:r>
    </w:p>
    <w:p>
      <w:pPr>
        <w:pStyle w:val="19"/>
        <w:snapToGrid w:val="0"/>
        <w:spacing w:line="400" w:lineRule="exact"/>
        <w:ind w:firstLine="413" w:firstLineChars="196"/>
        <w:rPr>
          <w:rFonts w:ascii="宋体" w:hAnsi="宋体" w:cs="宋体"/>
          <w:b/>
          <w:bCs/>
          <w:sz w:val="21"/>
          <w:szCs w:val="21"/>
        </w:rPr>
      </w:pPr>
      <w:r>
        <w:rPr>
          <w:rFonts w:hint="eastAsia" w:ascii="宋体" w:hAnsi="宋体" w:cs="宋体"/>
          <w:b/>
          <w:bCs/>
          <w:sz w:val="21"/>
          <w:szCs w:val="21"/>
        </w:rPr>
        <w:t>4.在报价评审时，如发现下列情形之一的，投标文件将被视为无效：</w:t>
      </w:r>
    </w:p>
    <w:p>
      <w:pPr>
        <w:pStyle w:val="19"/>
        <w:snapToGrid w:val="0"/>
        <w:spacing w:line="400" w:lineRule="exact"/>
        <w:ind w:firstLine="411" w:firstLineChars="196"/>
        <w:rPr>
          <w:rFonts w:ascii="宋体" w:hAnsi="宋体" w:cs="宋体"/>
          <w:sz w:val="21"/>
          <w:szCs w:val="21"/>
        </w:rPr>
      </w:pPr>
      <w:r>
        <w:rPr>
          <w:rFonts w:hint="eastAsia" w:ascii="宋体" w:hAnsi="宋体" w:cs="宋体"/>
          <w:sz w:val="21"/>
          <w:szCs w:val="21"/>
        </w:rPr>
        <w:t>（1）未采用人民币报价或者未按照招标文件标明的币种报价的；</w:t>
      </w:r>
    </w:p>
    <w:p>
      <w:pPr>
        <w:pStyle w:val="19"/>
        <w:snapToGrid w:val="0"/>
        <w:spacing w:line="400" w:lineRule="exact"/>
        <w:ind w:firstLine="411" w:firstLineChars="196"/>
        <w:rPr>
          <w:rFonts w:ascii="宋体" w:hAnsi="宋体" w:cs="宋体"/>
          <w:sz w:val="21"/>
          <w:szCs w:val="21"/>
        </w:rPr>
      </w:pPr>
      <w:r>
        <w:rPr>
          <w:rFonts w:hint="eastAsia" w:ascii="宋体" w:hAnsi="宋体" w:cs="宋体"/>
          <w:sz w:val="21"/>
          <w:szCs w:val="21"/>
        </w:rPr>
        <w:t>（2）报价超出最高限价；</w:t>
      </w:r>
    </w:p>
    <w:p>
      <w:pPr>
        <w:pStyle w:val="19"/>
        <w:snapToGrid w:val="0"/>
        <w:spacing w:line="400" w:lineRule="exact"/>
        <w:ind w:firstLine="420"/>
        <w:rPr>
          <w:rFonts w:ascii="宋体" w:hAnsi="宋体" w:cs="宋体"/>
          <w:sz w:val="21"/>
          <w:szCs w:val="21"/>
        </w:rPr>
      </w:pPr>
      <w:r>
        <w:rPr>
          <w:rFonts w:hint="eastAsia" w:ascii="宋体" w:hAnsi="宋体" w:cs="宋体"/>
          <w:sz w:val="21"/>
          <w:szCs w:val="21"/>
        </w:rPr>
        <w:t>（3）投标报价具有选择性，或者开标价格与投标文件承诺的优惠（折扣）价格不一致的。</w:t>
      </w:r>
    </w:p>
    <w:p>
      <w:pPr>
        <w:snapToGrid w:val="0"/>
        <w:spacing w:line="400" w:lineRule="exact"/>
        <w:ind w:firstLine="422" w:firstLineChars="200"/>
        <w:jc w:val="left"/>
        <w:rPr>
          <w:rFonts w:ascii="宋体" w:hAnsi="宋体" w:cs="宋体"/>
          <w:szCs w:val="21"/>
        </w:rPr>
      </w:pPr>
      <w:r>
        <w:rPr>
          <w:rFonts w:hint="eastAsia" w:ascii="宋体" w:hAnsi="宋体" w:cs="宋体"/>
          <w:b/>
          <w:szCs w:val="21"/>
        </w:rPr>
        <w:t>5.被拒绝的投标文件为无效。</w:t>
      </w:r>
    </w:p>
    <w:p>
      <w:pPr>
        <w:pStyle w:val="2"/>
        <w:spacing w:line="400" w:lineRule="exact"/>
        <w:rPr>
          <w:snapToGrid w:val="0"/>
        </w:rPr>
      </w:pPr>
      <w:bookmarkStart w:id="24" w:name="_Toc16185631"/>
      <w:bookmarkStart w:id="25" w:name="_Toc50211555"/>
      <w:bookmarkStart w:id="26" w:name="_Toc42879251"/>
      <w:bookmarkStart w:id="27" w:name="_Toc3386501"/>
      <w:bookmarkStart w:id="28" w:name="_Toc39655260"/>
      <w:r>
        <w:rPr>
          <w:rFonts w:hint="eastAsia"/>
        </w:rPr>
        <w:t>四、开标</w:t>
      </w:r>
      <w:bookmarkEnd w:id="24"/>
      <w:bookmarkEnd w:id="25"/>
      <w:bookmarkEnd w:id="26"/>
      <w:bookmarkEnd w:id="27"/>
      <w:bookmarkEnd w:id="28"/>
    </w:p>
    <w:p>
      <w:pPr>
        <w:pStyle w:val="25"/>
        <w:snapToGrid w:val="0"/>
        <w:spacing w:line="400" w:lineRule="exact"/>
        <w:ind w:firstLine="420" w:firstLineChars="200"/>
        <w:rPr>
          <w:rFonts w:hAnsi="宋体" w:cs="宋体"/>
          <w:szCs w:val="21"/>
        </w:rPr>
      </w:pPr>
      <w:r>
        <w:rPr>
          <w:rFonts w:hint="eastAsia" w:hAnsi="宋体" w:cs="宋体"/>
          <w:szCs w:val="21"/>
        </w:rPr>
        <w:t>1、本项目实行电子开评标，供应商无需到开标现场，但须准时在线参加，直至评审结束。代理机构工作人员将会在项目专属钉钉群与各供应商互动。</w:t>
      </w:r>
    </w:p>
    <w:p>
      <w:pPr>
        <w:pStyle w:val="25"/>
        <w:snapToGrid w:val="0"/>
        <w:spacing w:line="400" w:lineRule="exact"/>
        <w:ind w:firstLine="420" w:firstLineChars="200"/>
        <w:rPr>
          <w:rFonts w:hAnsi="宋体" w:cs="宋体"/>
          <w:szCs w:val="21"/>
        </w:rPr>
      </w:pPr>
      <w:r>
        <w:rPr>
          <w:rFonts w:hint="eastAsia" w:hAnsi="宋体" w:cs="宋体"/>
          <w:szCs w:val="21"/>
        </w:rPr>
        <w:t>2、电子开评标及评审程序</w:t>
      </w:r>
    </w:p>
    <w:p>
      <w:pPr>
        <w:pStyle w:val="25"/>
        <w:snapToGrid w:val="0"/>
        <w:spacing w:line="400" w:lineRule="exact"/>
        <w:ind w:firstLine="420" w:firstLineChars="200"/>
        <w:rPr>
          <w:rFonts w:hAnsi="宋体" w:cs="宋体"/>
          <w:szCs w:val="21"/>
        </w:rPr>
      </w:pPr>
      <w:r>
        <w:rPr>
          <w:rFonts w:hint="eastAsia" w:hAnsi="宋体" w:cs="宋体"/>
          <w:szCs w:val="21"/>
        </w:rPr>
        <w:t>2.1投标截止时间后的半小时内，由各供应商自行对电子投标文件进行解密，请各供应商务必在规定时间内完成电子投标文件的解密工作；开启报价环节，供应商须在30分钟内在系统里CA签字确认，否则报价文件无效；</w:t>
      </w:r>
    </w:p>
    <w:p>
      <w:pPr>
        <w:pStyle w:val="25"/>
        <w:snapToGrid w:val="0"/>
        <w:spacing w:line="400" w:lineRule="exact"/>
        <w:ind w:firstLine="420" w:firstLineChars="200"/>
        <w:rPr>
          <w:rFonts w:hAnsi="宋体" w:cs="宋体"/>
          <w:szCs w:val="21"/>
        </w:rPr>
      </w:pPr>
      <w:r>
        <w:rPr>
          <w:rFonts w:hint="eastAsia" w:hAnsi="宋体" w:cs="宋体"/>
          <w:szCs w:val="21"/>
        </w:rPr>
        <w:t>2.2采购人或代理机构对供应商的资格审查文件进行审查；评标委员会对供应商的资信商务及技术响应文件进行评审；</w:t>
      </w:r>
    </w:p>
    <w:p>
      <w:pPr>
        <w:pStyle w:val="25"/>
        <w:snapToGrid w:val="0"/>
        <w:spacing w:line="400" w:lineRule="exact"/>
        <w:ind w:firstLine="420" w:firstLineChars="200"/>
        <w:rPr>
          <w:rFonts w:hAnsi="宋体" w:cs="宋体"/>
          <w:szCs w:val="21"/>
        </w:rPr>
      </w:pPr>
      <w:r>
        <w:rPr>
          <w:rFonts w:hint="eastAsia" w:hAnsi="宋体" w:cs="宋体"/>
          <w:szCs w:val="21"/>
        </w:rPr>
        <w:t>2.3评标委员会对报价文件进行评审；</w:t>
      </w:r>
    </w:p>
    <w:p>
      <w:pPr>
        <w:pStyle w:val="25"/>
        <w:snapToGrid w:val="0"/>
        <w:spacing w:line="400" w:lineRule="exact"/>
        <w:ind w:firstLine="420" w:firstLineChars="200"/>
        <w:rPr>
          <w:rFonts w:hAnsi="宋体" w:cs="宋体"/>
          <w:szCs w:val="21"/>
        </w:rPr>
      </w:pPr>
      <w:r>
        <w:rPr>
          <w:rFonts w:hint="eastAsia" w:hAnsi="宋体" w:cs="宋体"/>
          <w:szCs w:val="21"/>
        </w:rPr>
        <w:t>2.4评标委员会撰写评审报告，推荐中标候选人；</w:t>
      </w:r>
    </w:p>
    <w:p>
      <w:pPr>
        <w:pStyle w:val="25"/>
        <w:snapToGrid w:val="0"/>
        <w:spacing w:line="400" w:lineRule="exact"/>
        <w:ind w:firstLine="420" w:firstLineChars="200"/>
      </w:pPr>
      <w:r>
        <w:rPr>
          <w:rFonts w:hint="eastAsia" w:hAnsi="宋体" w:cs="宋体"/>
          <w:szCs w:val="21"/>
        </w:rPr>
        <w:t>2.5代理机构在项目专属钉钉群宣布评审结果。</w:t>
      </w:r>
    </w:p>
    <w:p>
      <w:pPr>
        <w:pStyle w:val="3"/>
        <w:spacing w:line="400" w:lineRule="exact"/>
        <w:ind w:firstLine="422" w:firstLineChars="200"/>
        <w:rPr>
          <w:rFonts w:ascii="宋体" w:hAnsi="宋体"/>
        </w:rPr>
      </w:pPr>
      <w:r>
        <w:rPr>
          <w:rFonts w:hint="eastAsia" w:ascii="宋体" w:hAnsi="宋体"/>
        </w:rPr>
        <w:t>3.开标程序</w:t>
      </w:r>
    </w:p>
    <w:p>
      <w:pPr>
        <w:pStyle w:val="25"/>
        <w:snapToGrid w:val="0"/>
        <w:spacing w:line="400" w:lineRule="exact"/>
        <w:ind w:firstLine="420" w:firstLineChars="200"/>
        <w:rPr>
          <w:rFonts w:hAnsi="宋体" w:cs="宋体"/>
          <w:szCs w:val="21"/>
        </w:rPr>
      </w:pPr>
      <w:r>
        <w:rPr>
          <w:rFonts w:hint="eastAsia" w:hAnsi="宋体" w:cs="宋体"/>
          <w:szCs w:val="21"/>
        </w:rPr>
        <w:t>3.1开标会议由代理机构主持，主持人宣布开标会议开始；</w:t>
      </w:r>
    </w:p>
    <w:p>
      <w:pPr>
        <w:pStyle w:val="25"/>
        <w:snapToGrid w:val="0"/>
        <w:spacing w:line="400" w:lineRule="exact"/>
        <w:ind w:firstLine="420" w:firstLineChars="200"/>
        <w:rPr>
          <w:rFonts w:hAnsi="宋体" w:cs="宋体"/>
          <w:szCs w:val="21"/>
        </w:rPr>
      </w:pPr>
      <w:r>
        <w:rPr>
          <w:rFonts w:hint="eastAsia" w:hAnsi="宋体" w:cs="宋体"/>
          <w:szCs w:val="21"/>
        </w:rPr>
        <w:t>3.2主持人介绍参加开标会的人员名单；</w:t>
      </w:r>
    </w:p>
    <w:p>
      <w:pPr>
        <w:pStyle w:val="25"/>
        <w:snapToGrid w:val="0"/>
        <w:spacing w:line="400" w:lineRule="exact"/>
        <w:ind w:firstLine="420" w:firstLineChars="200"/>
        <w:rPr>
          <w:rFonts w:hAnsi="宋体" w:cs="宋体"/>
          <w:szCs w:val="21"/>
        </w:rPr>
      </w:pPr>
      <w:r>
        <w:rPr>
          <w:rFonts w:hint="eastAsia" w:hAnsi="宋体" w:cs="宋体"/>
          <w:szCs w:val="21"/>
        </w:rPr>
        <w:t>3.3主持人宣布评标期间的有关事项；告知应当回避的情形，提请有关人员回避；组织供应商签署不存在影响公平竞争的《政府采购活动现场确认声明书》；</w:t>
      </w:r>
    </w:p>
    <w:p>
      <w:pPr>
        <w:pStyle w:val="25"/>
        <w:snapToGrid w:val="0"/>
        <w:spacing w:line="400" w:lineRule="exact"/>
        <w:ind w:firstLine="420" w:firstLineChars="200"/>
        <w:rPr>
          <w:rFonts w:hAnsi="宋体" w:cs="宋体"/>
          <w:szCs w:val="21"/>
        </w:rPr>
      </w:pPr>
      <w:r>
        <w:rPr>
          <w:rFonts w:hint="eastAsia" w:hAnsi="宋体" w:cs="宋体"/>
          <w:szCs w:val="21"/>
        </w:rPr>
        <w:t>3.4投标人或其当场推荐的代表，或者招标采购人委托的公证机构检查投标文件密封的完整性并签字确认；</w:t>
      </w:r>
    </w:p>
    <w:p>
      <w:pPr>
        <w:pStyle w:val="25"/>
        <w:snapToGrid w:val="0"/>
        <w:spacing w:line="400" w:lineRule="exact"/>
        <w:ind w:firstLine="420" w:firstLineChars="200"/>
        <w:rPr>
          <w:rFonts w:hAnsi="宋体" w:cs="宋体"/>
          <w:szCs w:val="21"/>
        </w:rPr>
      </w:pPr>
      <w:r>
        <w:rPr>
          <w:rFonts w:hint="eastAsia" w:hAnsi="宋体" w:cs="宋体"/>
          <w:szCs w:val="21"/>
        </w:rPr>
        <w:t>3.5按各投标人提交投标文件时间的先后顺序打开资信商务文件、技术文件外包装，清点投标文件正本、副本数量，符合招标文件要求的送评标室评审；不符合要求的，当场退还投标人，并由投标人代表签字确认；报价文件等资信技术评审结束后再开启；</w:t>
      </w:r>
    </w:p>
    <w:p>
      <w:pPr>
        <w:pStyle w:val="25"/>
        <w:snapToGrid w:val="0"/>
        <w:spacing w:line="400" w:lineRule="exact"/>
        <w:ind w:firstLine="420" w:firstLineChars="200"/>
        <w:rPr>
          <w:rFonts w:hAnsi="宋体" w:cs="宋体"/>
          <w:szCs w:val="21"/>
        </w:rPr>
      </w:pPr>
      <w:r>
        <w:rPr>
          <w:rFonts w:hint="eastAsia" w:hAnsi="宋体" w:cs="宋体"/>
          <w:szCs w:val="21"/>
        </w:rPr>
        <w:t>3.6评审组首先对资信商务及技术进行评审打分，并完成资信和技术分的评审；</w:t>
      </w:r>
    </w:p>
    <w:p>
      <w:pPr>
        <w:pStyle w:val="25"/>
        <w:snapToGrid w:val="0"/>
        <w:spacing w:line="400" w:lineRule="exact"/>
        <w:ind w:firstLine="420" w:firstLineChars="200"/>
        <w:rPr>
          <w:rFonts w:hAnsi="宋体" w:cs="宋体"/>
          <w:szCs w:val="21"/>
        </w:rPr>
      </w:pPr>
      <w:r>
        <w:rPr>
          <w:rFonts w:hint="eastAsia" w:hAnsi="宋体" w:cs="宋体"/>
          <w:szCs w:val="21"/>
        </w:rPr>
        <w:t>3.7在开标室由主持人开启投标人的报价文件，宣读《投标报价一览表》中的投标人名称及在其投标文件中承诺的投标报价、投标内容（投标设备名称、规格型号或者服务项目名称），以及主持人认为有必要宣读的其他内容，并由投标人代表确认；</w:t>
      </w:r>
    </w:p>
    <w:p>
      <w:pPr>
        <w:pStyle w:val="25"/>
        <w:snapToGrid w:val="0"/>
        <w:spacing w:line="400" w:lineRule="exact"/>
        <w:ind w:firstLine="420" w:firstLineChars="200"/>
        <w:rPr>
          <w:rFonts w:hAnsi="宋体" w:cs="宋体"/>
          <w:szCs w:val="21"/>
        </w:rPr>
      </w:pPr>
      <w:r>
        <w:rPr>
          <w:rFonts w:hint="eastAsia" w:hAnsi="宋体" w:cs="宋体"/>
          <w:szCs w:val="21"/>
        </w:rPr>
        <w:t>3.8招标代理机构记录人做开标记录，同时由主持人、记录人、监督人当场签字确认；</w:t>
      </w:r>
    </w:p>
    <w:p>
      <w:pPr>
        <w:pStyle w:val="25"/>
        <w:snapToGrid w:val="0"/>
        <w:spacing w:line="400" w:lineRule="exact"/>
        <w:ind w:firstLine="420" w:firstLineChars="200"/>
        <w:rPr>
          <w:rFonts w:hAnsi="宋体" w:cs="宋体"/>
          <w:szCs w:val="21"/>
        </w:rPr>
      </w:pPr>
      <w:r>
        <w:rPr>
          <w:rFonts w:hint="eastAsia" w:hAnsi="宋体" w:cs="宋体"/>
          <w:szCs w:val="21"/>
        </w:rPr>
        <w:t>3.9开标及评审会议结束。</w:t>
      </w:r>
    </w:p>
    <w:p>
      <w:pPr>
        <w:pStyle w:val="2"/>
        <w:spacing w:line="400" w:lineRule="exact"/>
      </w:pPr>
      <w:bookmarkStart w:id="29" w:name="_Toc3386502"/>
      <w:bookmarkStart w:id="30" w:name="_Toc16185632"/>
      <w:bookmarkStart w:id="31" w:name="_Toc39655261"/>
      <w:bookmarkStart w:id="32" w:name="_Toc42879252"/>
      <w:bookmarkStart w:id="33" w:name="_Toc50211556"/>
      <w:r>
        <w:rPr>
          <w:rFonts w:hint="eastAsia"/>
        </w:rPr>
        <w:t>五、评标</w:t>
      </w:r>
      <w:bookmarkEnd w:id="29"/>
      <w:bookmarkEnd w:id="30"/>
      <w:bookmarkEnd w:id="31"/>
      <w:bookmarkEnd w:id="32"/>
      <w:bookmarkEnd w:id="33"/>
    </w:p>
    <w:p>
      <w:pPr>
        <w:pStyle w:val="3"/>
        <w:spacing w:line="400" w:lineRule="exact"/>
        <w:ind w:firstLine="422" w:firstLineChars="200"/>
      </w:pPr>
      <w:r>
        <w:rPr>
          <w:rFonts w:hint="eastAsia"/>
        </w:rPr>
        <w:t>（一）组建评标委员会</w:t>
      </w:r>
    </w:p>
    <w:p>
      <w:pPr>
        <w:pStyle w:val="25"/>
        <w:spacing w:line="400" w:lineRule="exact"/>
        <w:ind w:firstLine="420" w:firstLineChars="200"/>
        <w:rPr>
          <w:rFonts w:hAnsi="宋体" w:cs="宋体"/>
          <w:szCs w:val="21"/>
        </w:rPr>
      </w:pPr>
      <w:r>
        <w:rPr>
          <w:rFonts w:hint="eastAsia" w:hAnsi="宋体" w:cs="宋体"/>
          <w:szCs w:val="21"/>
        </w:rPr>
        <w:t>本项目评标委员会由政府采购评审专家</w:t>
      </w:r>
      <w:r>
        <w:rPr>
          <w:rFonts w:hint="eastAsia" w:hAnsi="宋体" w:cs="宋体"/>
          <w:szCs w:val="21"/>
          <w:u w:val="single"/>
        </w:rPr>
        <w:t xml:space="preserve"> </w:t>
      </w:r>
      <w:r>
        <w:rPr>
          <w:rFonts w:hAnsi="宋体" w:cs="宋体"/>
          <w:szCs w:val="21"/>
          <w:u w:val="single"/>
        </w:rPr>
        <w:t>4</w:t>
      </w:r>
      <w:r>
        <w:rPr>
          <w:rFonts w:hint="eastAsia" w:hAnsi="宋体" w:cs="宋体"/>
          <w:szCs w:val="21"/>
          <w:u w:val="single"/>
        </w:rPr>
        <w:t xml:space="preserve"> </w:t>
      </w:r>
      <w:r>
        <w:rPr>
          <w:rFonts w:hint="eastAsia" w:hAnsi="宋体" w:cs="宋体"/>
          <w:szCs w:val="21"/>
        </w:rPr>
        <w:t>人和采购人代表</w:t>
      </w:r>
      <w:r>
        <w:rPr>
          <w:rFonts w:hint="eastAsia" w:hAnsi="宋体" w:cs="宋体"/>
          <w:szCs w:val="21"/>
          <w:u w:val="single"/>
        </w:rPr>
        <w:t xml:space="preserve"> </w:t>
      </w:r>
      <w:r>
        <w:rPr>
          <w:rFonts w:hAnsi="宋体" w:cs="宋体"/>
          <w:szCs w:val="21"/>
          <w:u w:val="single"/>
        </w:rPr>
        <w:t>1</w:t>
      </w:r>
      <w:r>
        <w:rPr>
          <w:rFonts w:hint="eastAsia" w:hAnsi="宋体" w:cs="宋体"/>
          <w:szCs w:val="21"/>
          <w:u w:val="single"/>
        </w:rPr>
        <w:t xml:space="preserve"> </w:t>
      </w:r>
      <w:r>
        <w:rPr>
          <w:rFonts w:hint="eastAsia" w:hAnsi="宋体" w:cs="宋体"/>
          <w:szCs w:val="21"/>
        </w:rPr>
        <w:t>人，共</w:t>
      </w:r>
      <w:r>
        <w:rPr>
          <w:rFonts w:hint="eastAsia" w:hAnsi="宋体" w:cs="宋体"/>
          <w:szCs w:val="21"/>
          <w:u w:val="single"/>
        </w:rPr>
        <w:t xml:space="preserve"> </w:t>
      </w:r>
      <w:r>
        <w:rPr>
          <w:rFonts w:hAnsi="宋体" w:cs="宋体"/>
          <w:szCs w:val="21"/>
          <w:u w:val="single"/>
        </w:rPr>
        <w:t>5</w:t>
      </w:r>
      <w:r>
        <w:rPr>
          <w:rFonts w:hint="eastAsia" w:hAnsi="宋体" w:cs="宋体"/>
          <w:szCs w:val="21"/>
          <w:u w:val="single"/>
        </w:rPr>
        <w:t xml:space="preserve"> </w:t>
      </w:r>
      <w:r>
        <w:rPr>
          <w:rFonts w:hint="eastAsia" w:hAnsi="宋体" w:cs="宋体"/>
          <w:szCs w:val="21"/>
        </w:rPr>
        <w:t>人组成。</w:t>
      </w:r>
    </w:p>
    <w:p>
      <w:pPr>
        <w:pStyle w:val="25"/>
        <w:spacing w:line="400" w:lineRule="exact"/>
        <w:ind w:firstLine="420" w:firstLineChars="200"/>
        <w:rPr>
          <w:rFonts w:hAnsi="宋体" w:cs="宋体"/>
          <w:szCs w:val="21"/>
        </w:rPr>
      </w:pPr>
      <w:r>
        <w:rPr>
          <w:rFonts w:hint="eastAsia" w:hAnsi="宋体" w:cs="宋体"/>
          <w:szCs w:val="21"/>
        </w:rPr>
        <w:t>评标委员会负责具体评标事务，并独立履行下列职责：</w:t>
      </w:r>
    </w:p>
    <w:p>
      <w:pPr>
        <w:pStyle w:val="25"/>
        <w:spacing w:line="400" w:lineRule="exact"/>
        <w:ind w:firstLine="420" w:firstLineChars="200"/>
        <w:rPr>
          <w:rFonts w:hAnsi="宋体" w:cs="宋体"/>
          <w:szCs w:val="21"/>
        </w:rPr>
      </w:pPr>
      <w:r>
        <w:rPr>
          <w:rFonts w:hint="eastAsia" w:hAnsi="宋体" w:cs="宋体"/>
          <w:szCs w:val="21"/>
        </w:rPr>
        <w:t>1、审查、评价投标文件是否符合招标文件的商务、技术等实质性要求</w:t>
      </w:r>
      <w:r>
        <w:rPr>
          <w:rFonts w:hAnsi="宋体" w:cs="宋体"/>
          <w:szCs w:val="21"/>
        </w:rPr>
        <w:t>；</w:t>
      </w:r>
    </w:p>
    <w:p>
      <w:pPr>
        <w:pStyle w:val="25"/>
        <w:spacing w:line="400" w:lineRule="exact"/>
        <w:ind w:firstLine="420" w:firstLineChars="200"/>
        <w:rPr>
          <w:rFonts w:hAnsi="宋体" w:cs="宋体"/>
          <w:szCs w:val="21"/>
        </w:rPr>
      </w:pPr>
      <w:r>
        <w:rPr>
          <w:rFonts w:hint="eastAsia" w:hAnsi="宋体" w:cs="宋体"/>
          <w:szCs w:val="21"/>
        </w:rPr>
        <w:t>2、要求投标人对投标文件有关事项作出澄清或者说明</w:t>
      </w:r>
      <w:r>
        <w:rPr>
          <w:rFonts w:hAnsi="宋体" w:cs="宋体"/>
          <w:szCs w:val="21"/>
        </w:rPr>
        <w:t>；</w:t>
      </w:r>
    </w:p>
    <w:p>
      <w:pPr>
        <w:pStyle w:val="25"/>
        <w:spacing w:line="400" w:lineRule="exact"/>
        <w:ind w:firstLine="420" w:firstLineChars="200"/>
        <w:rPr>
          <w:rFonts w:hAnsi="宋体" w:cs="宋体"/>
          <w:szCs w:val="21"/>
        </w:rPr>
      </w:pPr>
      <w:r>
        <w:rPr>
          <w:rFonts w:hint="eastAsia" w:hAnsi="宋体" w:cs="宋体"/>
          <w:szCs w:val="21"/>
        </w:rPr>
        <w:t>3、对投标文件进行比较和评价</w:t>
      </w:r>
      <w:r>
        <w:rPr>
          <w:rFonts w:hAnsi="宋体" w:cs="宋体"/>
          <w:szCs w:val="21"/>
        </w:rPr>
        <w:t>；</w:t>
      </w:r>
    </w:p>
    <w:p>
      <w:pPr>
        <w:pStyle w:val="25"/>
        <w:spacing w:line="400" w:lineRule="exact"/>
        <w:ind w:firstLine="420" w:firstLineChars="200"/>
        <w:rPr>
          <w:rFonts w:hAnsi="宋体" w:cs="宋体"/>
          <w:szCs w:val="21"/>
        </w:rPr>
      </w:pPr>
      <w:r>
        <w:rPr>
          <w:rFonts w:hint="eastAsia" w:hAnsi="宋体" w:cs="宋体"/>
          <w:szCs w:val="21"/>
        </w:rPr>
        <w:t>4、确定中标候选人名单，以及根据采购人委托直接确定中标人</w:t>
      </w:r>
      <w:r>
        <w:rPr>
          <w:rFonts w:hAnsi="宋体" w:cs="宋体"/>
          <w:szCs w:val="21"/>
        </w:rPr>
        <w:t>；</w:t>
      </w:r>
    </w:p>
    <w:p>
      <w:pPr>
        <w:pStyle w:val="25"/>
        <w:spacing w:line="400" w:lineRule="exact"/>
        <w:ind w:firstLine="420" w:firstLineChars="200"/>
        <w:rPr>
          <w:rFonts w:hAnsi="宋体" w:cs="宋体"/>
          <w:szCs w:val="21"/>
        </w:rPr>
      </w:pPr>
      <w:r>
        <w:rPr>
          <w:rFonts w:hint="eastAsia" w:hAnsi="宋体" w:cs="宋体"/>
          <w:szCs w:val="21"/>
        </w:rPr>
        <w:t>5、向采购人、分散采购机构或者有关部门报告评标中发现的违法行为。</w:t>
      </w:r>
    </w:p>
    <w:p>
      <w:pPr>
        <w:pStyle w:val="25"/>
        <w:spacing w:line="400" w:lineRule="exact"/>
        <w:ind w:firstLine="420" w:firstLineChars="200"/>
        <w:rPr>
          <w:rFonts w:hAnsi="宋体" w:cs="宋体"/>
          <w:szCs w:val="21"/>
        </w:rPr>
      </w:pPr>
      <w:r>
        <w:rPr>
          <w:rFonts w:hint="eastAsia" w:hAnsi="宋体" w:cs="宋体"/>
          <w:szCs w:val="21"/>
        </w:rPr>
        <w:t>除采购人代表、评标现场组织人员外，采购人的其他工作人员以及与评标工作无关的人员不得进入评标现场。</w:t>
      </w:r>
    </w:p>
    <w:p>
      <w:pPr>
        <w:pStyle w:val="3"/>
        <w:spacing w:line="400" w:lineRule="exact"/>
        <w:ind w:firstLine="422" w:firstLineChars="200"/>
      </w:pPr>
      <w:r>
        <w:rPr>
          <w:rFonts w:hint="eastAsia"/>
        </w:rPr>
        <w:t>（二）评标的方式</w:t>
      </w:r>
    </w:p>
    <w:p>
      <w:pPr>
        <w:pStyle w:val="25"/>
        <w:spacing w:line="400" w:lineRule="exact"/>
        <w:ind w:firstLine="420" w:firstLineChars="200"/>
        <w:rPr>
          <w:rFonts w:hAnsi="宋体" w:cs="宋体"/>
          <w:szCs w:val="21"/>
        </w:rPr>
      </w:pPr>
      <w:r>
        <w:rPr>
          <w:rFonts w:hint="eastAsia" w:hAnsi="宋体" w:cs="宋体"/>
          <w:szCs w:val="21"/>
        </w:rPr>
        <w:t>本项目采用不公开方式评标，评标的依据为招标文件和投标文件。</w:t>
      </w:r>
    </w:p>
    <w:p>
      <w:pPr>
        <w:pStyle w:val="3"/>
        <w:spacing w:line="400" w:lineRule="exact"/>
        <w:ind w:firstLine="422" w:firstLineChars="200"/>
      </w:pPr>
      <w:r>
        <w:rPr>
          <w:rFonts w:hint="eastAsia"/>
        </w:rPr>
        <w:t>（三）评标程序</w:t>
      </w:r>
    </w:p>
    <w:p>
      <w:pPr>
        <w:pStyle w:val="25"/>
        <w:spacing w:line="400" w:lineRule="exact"/>
        <w:ind w:firstLine="420" w:firstLineChars="200"/>
        <w:rPr>
          <w:rFonts w:hAnsi="宋体" w:cs="宋体"/>
          <w:szCs w:val="21"/>
        </w:rPr>
      </w:pPr>
      <w:r>
        <w:rPr>
          <w:rFonts w:hint="eastAsia" w:hAnsi="宋体" w:cs="宋体"/>
          <w:szCs w:val="21"/>
        </w:rPr>
        <w:t>采购人可以在评标前说明项目背景和采购需求，说明内容不得含有歧视性、倾向性意见，不得超出招标文件所述范围。说明应当提交书面材料，并随采购文件一并存档。</w:t>
      </w:r>
    </w:p>
    <w:p>
      <w:pPr>
        <w:pStyle w:val="25"/>
        <w:spacing w:line="400" w:lineRule="exact"/>
        <w:ind w:firstLine="422" w:firstLineChars="200"/>
        <w:rPr>
          <w:rFonts w:hAnsi="宋体" w:cs="宋体"/>
          <w:b/>
          <w:szCs w:val="21"/>
        </w:rPr>
      </w:pPr>
      <w:r>
        <w:rPr>
          <w:rFonts w:hint="eastAsia" w:hAnsi="宋体" w:cs="宋体"/>
          <w:b/>
          <w:szCs w:val="21"/>
        </w:rPr>
        <w:t>1.形式审查</w:t>
      </w:r>
    </w:p>
    <w:p>
      <w:pPr>
        <w:pStyle w:val="25"/>
        <w:spacing w:line="400" w:lineRule="exact"/>
        <w:ind w:firstLine="420" w:firstLineChars="200"/>
        <w:rPr>
          <w:rFonts w:hAnsi="宋体" w:cs="宋体"/>
          <w:szCs w:val="21"/>
        </w:rPr>
      </w:pPr>
      <w:r>
        <w:rPr>
          <w:rFonts w:hint="eastAsia" w:hAnsi="宋体" w:cs="宋体"/>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p>
    <w:p>
      <w:pPr>
        <w:pStyle w:val="25"/>
        <w:spacing w:line="400" w:lineRule="exact"/>
        <w:ind w:firstLine="422" w:firstLineChars="200"/>
        <w:rPr>
          <w:rFonts w:hAnsi="宋体" w:cs="宋体"/>
          <w:b/>
          <w:szCs w:val="21"/>
        </w:rPr>
      </w:pPr>
      <w:r>
        <w:rPr>
          <w:rFonts w:hint="eastAsia" w:hAnsi="宋体" w:cs="宋体"/>
          <w:b/>
          <w:szCs w:val="21"/>
        </w:rPr>
        <w:t>2.实质审查与比较</w:t>
      </w:r>
    </w:p>
    <w:p>
      <w:pPr>
        <w:snapToGrid w:val="0"/>
        <w:spacing w:line="400" w:lineRule="exact"/>
        <w:ind w:firstLine="420" w:firstLineChars="200"/>
        <w:rPr>
          <w:rFonts w:ascii="宋体" w:hAnsi="宋体" w:cs="宋体"/>
          <w:szCs w:val="21"/>
        </w:rPr>
      </w:pPr>
      <w:r>
        <w:rPr>
          <w:rFonts w:hint="eastAsia" w:ascii="宋体" w:hAnsi="宋体" w:cs="宋体"/>
          <w:szCs w:val="21"/>
        </w:rPr>
        <w:t>（1）评标委员会审查投标文件的实质性内容是否符合招标文件的实质性要求。</w:t>
      </w:r>
    </w:p>
    <w:p>
      <w:pPr>
        <w:snapToGrid w:val="0"/>
        <w:spacing w:line="400" w:lineRule="exact"/>
        <w:ind w:firstLine="420" w:firstLineChars="200"/>
        <w:rPr>
          <w:rFonts w:ascii="宋体" w:hAnsi="宋体" w:cs="宋体"/>
          <w:szCs w:val="21"/>
        </w:rPr>
      </w:pPr>
      <w:r>
        <w:rPr>
          <w:rFonts w:hint="eastAsia" w:ascii="宋体" w:hAnsi="宋体" w:cs="宋体"/>
          <w:szCs w:val="21"/>
        </w:rPr>
        <w:t>（2）评标委员会将根据投标人的投标文件进行审查、核对，如有疑问，将对投标人进行询标，投标人要向评标委员会澄清有关问题，并最终以书面形式进行答复。询标时，投标人代表未到场或者拒绝澄清或者澄清的内容改变了投标文件的实质性内容的，评标委员会有权对该投标文件作出不利于投标人的评判。</w:t>
      </w:r>
    </w:p>
    <w:p>
      <w:pPr>
        <w:snapToGrid w:val="0"/>
        <w:spacing w:line="400" w:lineRule="exact"/>
        <w:ind w:firstLine="420" w:firstLineChars="200"/>
        <w:rPr>
          <w:rFonts w:ascii="宋体" w:hAnsi="宋体" w:cs="宋体"/>
          <w:szCs w:val="21"/>
        </w:rPr>
      </w:pPr>
      <w:r>
        <w:rPr>
          <w:rFonts w:hint="eastAsia" w:ascii="宋体" w:hAnsi="宋体" w:cs="宋体"/>
          <w:szCs w:val="21"/>
        </w:rPr>
        <w:t>（3）各投标人的资信商务及技术分按照评标委员会成员的独立评分结果汇总后的算术平均分计算，由政府采购业务系统计算。</w:t>
      </w:r>
    </w:p>
    <w:p>
      <w:pPr>
        <w:snapToGrid w:val="0"/>
        <w:spacing w:line="400" w:lineRule="exact"/>
        <w:ind w:firstLine="420" w:firstLineChars="200"/>
        <w:rPr>
          <w:rFonts w:ascii="宋体" w:hAnsi="宋体" w:cs="宋体"/>
          <w:szCs w:val="21"/>
        </w:rPr>
      </w:pPr>
      <w:r>
        <w:rPr>
          <w:rFonts w:hint="eastAsia" w:ascii="宋体" w:hAnsi="宋体" w:cs="宋体"/>
          <w:szCs w:val="21"/>
        </w:rPr>
        <w:t>（4）报价审查后由政府采购业务系统自动计算各投标人的报价得分。</w:t>
      </w:r>
    </w:p>
    <w:p>
      <w:pPr>
        <w:snapToGrid w:val="0"/>
        <w:spacing w:line="400" w:lineRule="exact"/>
        <w:ind w:firstLine="420" w:firstLineChars="200"/>
        <w:rPr>
          <w:rFonts w:ascii="宋体" w:hAnsi="宋体" w:cs="宋体"/>
          <w:szCs w:val="21"/>
        </w:rPr>
      </w:pPr>
      <w:r>
        <w:rPr>
          <w:rFonts w:hint="eastAsia" w:ascii="宋体" w:hAnsi="宋体" w:cs="宋体"/>
          <w:szCs w:val="21"/>
        </w:rPr>
        <w:t>（5）评标委员会完成评标后，政府采购业务系统自动汇总各部分得分，计算出本项目最终得分。评标委员会按评标原则推荐中标候选人同时起草评标报告。</w:t>
      </w:r>
    </w:p>
    <w:p>
      <w:pPr>
        <w:pStyle w:val="3"/>
        <w:spacing w:line="400" w:lineRule="exact"/>
        <w:ind w:firstLine="422" w:firstLineChars="200"/>
      </w:pPr>
      <w:r>
        <w:rPr>
          <w:rFonts w:hint="eastAsia"/>
        </w:rPr>
        <w:t>（四）澄清问题的形式</w:t>
      </w:r>
    </w:p>
    <w:p>
      <w:pPr>
        <w:snapToGrid w:val="0"/>
        <w:spacing w:line="400" w:lineRule="exact"/>
        <w:ind w:firstLine="420" w:firstLineChars="200"/>
        <w:rPr>
          <w:rFonts w:ascii="宋体" w:hAnsi="宋体" w:cs="宋体"/>
          <w:szCs w:val="21"/>
        </w:rPr>
      </w:pPr>
      <w:r>
        <w:rPr>
          <w:rFonts w:hint="eastAsia" w:ascii="宋体" w:hAnsi="宋体" w:cs="宋体"/>
          <w:szCs w:val="21"/>
        </w:rPr>
        <w:t>对投标文件中含义不明确、同类问题表述不一致或者有明显文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3"/>
        <w:spacing w:line="400" w:lineRule="exact"/>
        <w:ind w:firstLine="422" w:firstLineChars="200"/>
      </w:pPr>
      <w:r>
        <w:rPr>
          <w:rFonts w:hint="eastAsia"/>
        </w:rPr>
        <w:t>（五）错误修正</w:t>
      </w:r>
    </w:p>
    <w:p>
      <w:pPr>
        <w:snapToGrid w:val="0"/>
        <w:spacing w:line="400" w:lineRule="exact"/>
        <w:ind w:firstLine="420" w:firstLineChars="200"/>
        <w:rPr>
          <w:rFonts w:ascii="宋体" w:hAnsi="宋体" w:cs="宋体"/>
          <w:szCs w:val="21"/>
        </w:rPr>
      </w:pPr>
      <w:r>
        <w:rPr>
          <w:rFonts w:hint="eastAsia" w:ascii="宋体" w:hAnsi="宋体" w:cs="宋体"/>
          <w:szCs w:val="21"/>
        </w:rPr>
        <w:t>评标委员会将对确定为实质上响应招标文件要求的投标文件进行校核，修正错误的原则如下：</w:t>
      </w:r>
    </w:p>
    <w:p>
      <w:pPr>
        <w:pStyle w:val="3"/>
        <w:spacing w:line="400" w:lineRule="exact"/>
        <w:ind w:firstLine="420" w:firstLineChars="200"/>
        <w:rPr>
          <w:rFonts w:ascii="宋体" w:hAnsi="宋体" w:cs="宋体"/>
          <w:b w:val="0"/>
          <w:szCs w:val="21"/>
        </w:rPr>
      </w:pPr>
      <w:r>
        <w:rPr>
          <w:rFonts w:hint="eastAsia" w:ascii="宋体" w:hAnsi="宋体" w:cs="宋体"/>
          <w:b w:val="0"/>
          <w:szCs w:val="21"/>
        </w:rPr>
        <w:t>1.开标一览表总价与投标报价明细表汇总数不一致的，以开标一览表为准；</w:t>
      </w:r>
    </w:p>
    <w:p>
      <w:pPr>
        <w:pStyle w:val="3"/>
        <w:spacing w:line="400" w:lineRule="exact"/>
        <w:ind w:firstLine="420" w:firstLineChars="200"/>
        <w:rPr>
          <w:rFonts w:ascii="宋体" w:hAnsi="宋体" w:cs="宋体"/>
          <w:b w:val="0"/>
          <w:szCs w:val="21"/>
        </w:rPr>
      </w:pPr>
      <w:r>
        <w:rPr>
          <w:rFonts w:hint="eastAsia" w:ascii="宋体" w:hAnsi="宋体" w:cs="宋体"/>
          <w:b w:val="0"/>
          <w:szCs w:val="21"/>
        </w:rPr>
        <w:t>2.投标文件的大写金额和小写金额不一致的，以大写金额为准；</w:t>
      </w:r>
    </w:p>
    <w:p>
      <w:pPr>
        <w:pStyle w:val="3"/>
        <w:spacing w:line="400" w:lineRule="exact"/>
        <w:ind w:firstLine="420" w:firstLineChars="200"/>
        <w:rPr>
          <w:rFonts w:ascii="宋体" w:hAnsi="宋体" w:cs="宋体"/>
          <w:b w:val="0"/>
          <w:szCs w:val="21"/>
        </w:rPr>
      </w:pPr>
      <w:r>
        <w:rPr>
          <w:rFonts w:hint="eastAsia" w:ascii="宋体" w:hAnsi="宋体" w:cs="宋体"/>
          <w:b w:val="0"/>
          <w:szCs w:val="21"/>
        </w:rPr>
        <w:t>3.总价金额与按单价汇总金额不一致的，以单价金额计算结果为准；</w:t>
      </w:r>
    </w:p>
    <w:p>
      <w:pPr>
        <w:pStyle w:val="3"/>
        <w:spacing w:line="400" w:lineRule="exact"/>
        <w:ind w:firstLine="420" w:firstLineChars="200"/>
        <w:rPr>
          <w:rFonts w:ascii="宋体" w:hAnsi="宋体" w:cs="宋体"/>
          <w:b w:val="0"/>
          <w:szCs w:val="21"/>
        </w:rPr>
      </w:pPr>
      <w:r>
        <w:rPr>
          <w:rFonts w:hint="eastAsia" w:ascii="宋体" w:hAnsi="宋体" w:cs="宋体"/>
          <w:b w:val="0"/>
          <w:szCs w:val="21"/>
        </w:rPr>
        <w:t>4.对不同文字文本投标文件的解释发生异议的，以中文文本为准。</w:t>
      </w:r>
    </w:p>
    <w:p>
      <w:pPr>
        <w:pStyle w:val="3"/>
        <w:spacing w:line="400" w:lineRule="exact"/>
        <w:ind w:firstLine="422" w:firstLineChars="200"/>
        <w:rPr>
          <w:rFonts w:ascii="宋体" w:hAnsi="宋体" w:cs="宋体"/>
          <w:szCs w:val="21"/>
        </w:rPr>
      </w:pPr>
      <w:r>
        <w:rPr>
          <w:rFonts w:hint="eastAsia" w:ascii="宋体" w:hAnsi="宋体" w:cs="宋体"/>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3"/>
        <w:spacing w:line="400" w:lineRule="exact"/>
        <w:ind w:firstLine="422" w:firstLineChars="200"/>
      </w:pPr>
      <w:r>
        <w:rPr>
          <w:rFonts w:hint="eastAsia"/>
        </w:rPr>
        <w:t>（六）评标原则和评标办法</w:t>
      </w:r>
    </w:p>
    <w:p>
      <w:pPr>
        <w:pStyle w:val="25"/>
        <w:spacing w:line="400" w:lineRule="exact"/>
        <w:ind w:firstLine="420" w:firstLineChars="200"/>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pacing w:line="400" w:lineRule="exact"/>
        <w:ind w:firstLine="420" w:firstLineChars="200"/>
        <w:rPr>
          <w:rFonts w:hAnsi="宋体" w:cs="宋体"/>
          <w:szCs w:val="21"/>
        </w:rPr>
      </w:pPr>
      <w:r>
        <w:rPr>
          <w:rFonts w:hint="eastAsia" w:hAnsi="宋体" w:cs="宋体"/>
          <w:szCs w:val="21"/>
        </w:rPr>
        <w:t>2.评标办法。本项目评标办法采用综合评分法。具体评标内容及评分标准等详见《第四章：评标办法及评分标准》。</w:t>
      </w:r>
    </w:p>
    <w:p>
      <w:pPr>
        <w:pStyle w:val="25"/>
        <w:snapToGrid w:val="0"/>
        <w:spacing w:line="400" w:lineRule="exact"/>
        <w:ind w:firstLine="422" w:firstLineChars="200"/>
        <w:rPr>
          <w:rFonts w:hAnsi="宋体"/>
          <w:b/>
        </w:rPr>
      </w:pPr>
      <w:r>
        <w:rPr>
          <w:rFonts w:hAnsi="宋体"/>
          <w:b/>
        </w:rPr>
        <w:t>（七）评标过程的监控</w:t>
      </w:r>
    </w:p>
    <w:p>
      <w:pPr>
        <w:pStyle w:val="25"/>
        <w:snapToGrid w:val="0"/>
        <w:spacing w:line="400" w:lineRule="exact"/>
        <w:ind w:firstLine="420" w:firstLineChars="200"/>
        <w:rPr>
          <w:rFonts w:hAnsi="宋体"/>
        </w:rPr>
      </w:pPr>
      <w:r>
        <w:rPr>
          <w:rFonts w:hAnsi="宋体"/>
        </w:rPr>
        <w:t>本项目评标过程实行全程录音、录像监控</w:t>
      </w:r>
      <w:r>
        <w:rPr>
          <w:rFonts w:hint="eastAsia" w:hAnsi="宋体"/>
        </w:rPr>
        <w:t>，嘉兴市公共资源交易管理办公室</w:t>
      </w:r>
      <w:r>
        <w:rPr>
          <w:rFonts w:hAnsi="宋体"/>
        </w:rPr>
        <w:t>督</w:t>
      </w:r>
      <w:r>
        <w:rPr>
          <w:rFonts w:hint="eastAsia" w:hAnsi="宋体"/>
        </w:rPr>
        <w:t>察</w:t>
      </w:r>
      <w:r>
        <w:rPr>
          <w:rFonts w:hAnsi="宋体"/>
        </w:rPr>
        <w:t>员进行现场监督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图影响评标结果的不公正活动，可能导致其投标被拒绝。</w:t>
      </w:r>
    </w:p>
    <w:p>
      <w:pPr>
        <w:pStyle w:val="2"/>
        <w:spacing w:line="400" w:lineRule="exact"/>
      </w:pPr>
      <w:bookmarkStart w:id="34" w:name="_Toc50211557"/>
      <w:bookmarkStart w:id="35" w:name="_Toc3386503"/>
      <w:bookmarkStart w:id="36" w:name="_Toc39655262"/>
      <w:bookmarkStart w:id="37" w:name="_Toc42879253"/>
      <w:bookmarkStart w:id="38" w:name="_Toc16185633"/>
      <w:r>
        <w:rPr>
          <w:rFonts w:hint="eastAsia"/>
        </w:rPr>
        <w:t>六、定标</w:t>
      </w:r>
      <w:bookmarkEnd w:id="34"/>
      <w:bookmarkEnd w:id="35"/>
      <w:bookmarkEnd w:id="36"/>
      <w:bookmarkEnd w:id="37"/>
      <w:bookmarkEnd w:id="38"/>
    </w:p>
    <w:p>
      <w:pPr>
        <w:pStyle w:val="3"/>
        <w:spacing w:line="400" w:lineRule="exact"/>
        <w:ind w:firstLine="422" w:firstLineChars="200"/>
      </w:pPr>
      <w:r>
        <w:rPr>
          <w:rFonts w:hint="eastAsia"/>
        </w:rPr>
        <w:t>（一）确定中标人。本项目由采购人确定中标人。</w:t>
      </w:r>
    </w:p>
    <w:p>
      <w:pPr>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采购代理机构在评标结束后2个工作日内将评标报告交采购人确认，同时在发布招标公告的网站上对评标结果进行</w:t>
      </w:r>
      <w:r>
        <w:rPr>
          <w:rFonts w:hint="eastAsia" w:ascii="宋体" w:hAnsi="宋体"/>
          <w:szCs w:val="21"/>
        </w:rPr>
        <w:t>公告</w:t>
      </w:r>
      <w:r>
        <w:rPr>
          <w:rFonts w:ascii="宋体" w:hAnsi="宋体"/>
          <w:szCs w:val="21"/>
        </w:rPr>
        <w:t>。</w:t>
      </w:r>
    </w:p>
    <w:p>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投标人对评标结果无异议的，采购人应在收到评标报告后5个工作日内对评标结果进行确认。如有投标人对评标结果提出质疑的，采购人可在质疑处理完毕后确定中标人。</w:t>
      </w:r>
    </w:p>
    <w:p>
      <w:pPr>
        <w:snapToGrid w:val="0"/>
        <w:spacing w:line="400" w:lineRule="exact"/>
        <w:ind w:firstLine="420" w:firstLineChars="200"/>
        <w:rPr>
          <w:rFonts w:ascii="宋体" w:hAnsi="宋体"/>
          <w:szCs w:val="21"/>
        </w:rPr>
      </w:pPr>
      <w:r>
        <w:rPr>
          <w:rFonts w:hint="eastAsia" w:ascii="宋体" w:hAnsi="宋体"/>
          <w:szCs w:val="21"/>
        </w:rPr>
        <w:t>3.在公告中标结果的同时，采购</w:t>
      </w:r>
      <w:r>
        <w:rPr>
          <w:rFonts w:ascii="宋体" w:hAnsi="宋体"/>
          <w:szCs w:val="21"/>
        </w:rPr>
        <w:t>代理</w:t>
      </w:r>
      <w:r>
        <w:rPr>
          <w:rFonts w:hint="eastAsia" w:ascii="宋体" w:hAnsi="宋体"/>
          <w:szCs w:val="21"/>
        </w:rPr>
        <w:t>机构向中标人发出中标通知书。</w:t>
      </w:r>
    </w:p>
    <w:p>
      <w:pPr>
        <w:pStyle w:val="3"/>
        <w:spacing w:line="400" w:lineRule="exact"/>
        <w:ind w:firstLine="422" w:firstLineChars="200"/>
      </w:pPr>
      <w:r>
        <w:rPr>
          <w:rFonts w:hint="eastAsia"/>
        </w:rPr>
        <w:t>（二）其他</w:t>
      </w:r>
    </w:p>
    <w:p>
      <w:pPr>
        <w:snapToGrid w:val="0"/>
        <w:spacing w:line="400" w:lineRule="exact"/>
        <w:ind w:firstLine="420" w:firstLineChars="200"/>
        <w:rPr>
          <w:rFonts w:ascii="宋体" w:hAnsi="宋体" w:cs="宋体"/>
          <w:b/>
          <w:szCs w:val="21"/>
        </w:rPr>
      </w:pPr>
      <w:r>
        <w:rPr>
          <w:rFonts w:hint="eastAsia" w:ascii="宋体" w:hAnsi="宋体" w:cs="宋体"/>
          <w:szCs w:val="21"/>
        </w:rPr>
        <w:t>1.此次招投标实行资格后审。中标结果将在招标文件规定的网站进行公示。对于投</w:t>
      </w:r>
      <w:r>
        <w:rPr>
          <w:rFonts w:hint="eastAsia" w:ascii="宋体" w:hAnsi="宋体" w:cs="宋体"/>
        </w:rPr>
        <w:t>标人有行贿、违规违法经营等行为的，一经发现查实，取消该投标人的中标资格。</w:t>
      </w:r>
    </w:p>
    <w:p>
      <w:pPr>
        <w:snapToGrid w:val="0"/>
        <w:spacing w:line="400" w:lineRule="exact"/>
        <w:ind w:firstLine="420" w:firstLineChars="200"/>
        <w:rPr>
          <w:rFonts w:ascii="宋体" w:hAnsi="宋体" w:cs="宋体"/>
          <w:szCs w:val="21"/>
        </w:rPr>
      </w:pPr>
      <w:r>
        <w:rPr>
          <w:rFonts w:hint="eastAsia" w:ascii="宋体" w:hAnsi="宋体" w:cs="宋体"/>
          <w:szCs w:val="21"/>
        </w:rPr>
        <w:t>2.中标人因自身原因放弃中标成交或因不可抗力不能履行合同的；经质疑，采购代理机构审查确认因中标人在本次采购活动中存在违法违规行为或其他原因使质疑成立的；采购人可以与排位在中标人之后第一位的中标候选人签订政府采购合同，以此类推，也可重新开展政府采购活动。</w:t>
      </w:r>
    </w:p>
    <w:p>
      <w:pPr>
        <w:pStyle w:val="2"/>
        <w:spacing w:line="400" w:lineRule="exact"/>
      </w:pPr>
      <w:bookmarkStart w:id="39" w:name="_Toc50211558"/>
      <w:bookmarkStart w:id="40" w:name="_Toc3386504"/>
      <w:bookmarkStart w:id="41" w:name="_Toc16185634"/>
      <w:bookmarkStart w:id="42" w:name="_Toc42879254"/>
      <w:bookmarkStart w:id="43" w:name="_Toc39655263"/>
      <w:r>
        <w:rPr>
          <w:rFonts w:hint="eastAsia"/>
        </w:rPr>
        <w:t>七、合同授予</w:t>
      </w:r>
      <w:bookmarkEnd w:id="39"/>
      <w:bookmarkEnd w:id="40"/>
      <w:bookmarkEnd w:id="41"/>
      <w:bookmarkEnd w:id="42"/>
      <w:bookmarkEnd w:id="43"/>
    </w:p>
    <w:p>
      <w:pPr>
        <w:pStyle w:val="3"/>
        <w:spacing w:line="400" w:lineRule="exact"/>
        <w:ind w:firstLine="422" w:firstLineChars="200"/>
      </w:pPr>
      <w:r>
        <w:rPr>
          <w:rFonts w:hint="eastAsia"/>
        </w:rPr>
        <w:t>（一）签订合同</w:t>
      </w:r>
    </w:p>
    <w:p>
      <w:pPr>
        <w:snapToGrid w:val="0"/>
        <w:spacing w:line="400" w:lineRule="exact"/>
        <w:ind w:firstLine="420" w:firstLineChars="200"/>
        <w:rPr>
          <w:rFonts w:ascii="宋体" w:hAnsi="宋体" w:cs="宋体"/>
          <w:szCs w:val="21"/>
        </w:rPr>
      </w:pPr>
      <w:r>
        <w:rPr>
          <w:rFonts w:hint="eastAsia" w:ascii="宋体" w:hAnsi="宋体" w:cs="宋体"/>
          <w:szCs w:val="21"/>
        </w:rPr>
        <w:t>1.采购人与中标人应当在《中标通知书》发出之日起7日内签订政府采购合同。同时，招标代理机构对合同内容进行审查，如发现与投标结果和投标承诺内容不一致的，应予以纠正。</w:t>
      </w:r>
    </w:p>
    <w:p>
      <w:pPr>
        <w:snapToGrid w:val="0"/>
        <w:spacing w:line="400" w:lineRule="exact"/>
        <w:ind w:firstLine="420" w:firstLineChars="200"/>
        <w:rPr>
          <w:rFonts w:ascii="宋体" w:hAnsi="宋体" w:cs="宋体"/>
          <w:szCs w:val="21"/>
        </w:rPr>
      </w:pPr>
      <w:r>
        <w:rPr>
          <w:rFonts w:hint="eastAsia" w:ascii="宋体" w:hAnsi="宋体" w:cs="宋体"/>
          <w:szCs w:val="21"/>
        </w:rPr>
        <w:t>2.中标人拖延、拒签合同的，将被取消中标资格。</w:t>
      </w:r>
    </w:p>
    <w:p>
      <w:pPr>
        <w:snapToGrid w:val="0"/>
        <w:spacing w:line="400" w:lineRule="exact"/>
        <w:ind w:firstLine="420" w:firstLineChars="200"/>
        <w:rPr>
          <w:rFonts w:ascii="宋体" w:hAnsi="宋体" w:cs="宋体"/>
          <w:szCs w:val="21"/>
        </w:rPr>
      </w:pPr>
      <w:r>
        <w:rPr>
          <w:rFonts w:hint="eastAsia" w:ascii="宋体" w:hAnsi="宋体" w:cs="宋体"/>
          <w:szCs w:val="21"/>
        </w:rPr>
        <w:t>3.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pStyle w:val="3"/>
        <w:spacing w:line="400" w:lineRule="exact"/>
        <w:ind w:firstLine="422" w:firstLineChars="200"/>
      </w:pPr>
      <w:r>
        <w:rPr>
          <w:rFonts w:hint="eastAsia"/>
        </w:rPr>
        <w:t>（二）履约保证金及质量保证金（如有）</w:t>
      </w:r>
    </w:p>
    <w:p>
      <w:pPr>
        <w:pStyle w:val="25"/>
        <w:spacing w:line="400" w:lineRule="exact"/>
        <w:ind w:firstLine="420" w:firstLineChars="200"/>
        <w:rPr>
          <w:rFonts w:hAnsi="宋体" w:cs="宋体"/>
          <w:szCs w:val="21"/>
        </w:rPr>
      </w:pPr>
      <w:r>
        <w:rPr>
          <w:rFonts w:hint="eastAsia" w:hAnsi="宋体" w:cs="宋体"/>
          <w:szCs w:val="21"/>
        </w:rPr>
        <w:t>1.中标人应根据招标文件确定的履约保证金金额，向采购人交纳履约保证金。</w:t>
      </w:r>
    </w:p>
    <w:p>
      <w:pPr>
        <w:pStyle w:val="25"/>
        <w:spacing w:line="400" w:lineRule="exact"/>
        <w:ind w:firstLine="420" w:firstLineChars="200"/>
        <w:rPr>
          <w:rFonts w:hAnsi="宋体" w:cs="宋体"/>
          <w:szCs w:val="21"/>
        </w:rPr>
      </w:pPr>
      <w:r>
        <w:rPr>
          <w:rFonts w:hint="eastAsia" w:hAnsi="宋体" w:cs="宋体"/>
          <w:szCs w:val="21"/>
        </w:rPr>
        <w:t>2.签订合同后，如中标人不按双方签订合同约定履约，则没收其全部履约保证金，履约保证金不足以赔偿损失的，按实际损失赔偿。</w:t>
      </w:r>
    </w:p>
    <w:p>
      <w:pPr>
        <w:pStyle w:val="25"/>
        <w:spacing w:line="400" w:lineRule="exact"/>
        <w:ind w:firstLine="420" w:firstLineChars="200"/>
        <w:rPr>
          <w:rFonts w:hAnsi="宋体" w:cs="宋体"/>
          <w:szCs w:val="21"/>
        </w:rPr>
      </w:pPr>
      <w:r>
        <w:rPr>
          <w:rFonts w:hint="eastAsia" w:hAnsi="宋体" w:cs="宋体"/>
          <w:szCs w:val="21"/>
        </w:rPr>
        <w:t>3.履约保证金在中标人按合同约定交货验收合格后自行转为质量保证金，在承诺质保期内，中标供应商提供的货物质量和服务符合合同约定，质保期满后无息退还。</w:t>
      </w:r>
    </w:p>
    <w:p>
      <w:pPr>
        <w:pStyle w:val="3"/>
        <w:spacing w:line="400" w:lineRule="exact"/>
        <w:ind w:firstLine="422" w:firstLineChars="200"/>
        <w:rPr>
          <w:szCs w:val="21"/>
        </w:rPr>
      </w:pPr>
      <w:r>
        <w:rPr>
          <w:rFonts w:hint="eastAsia"/>
        </w:rPr>
        <w:t>（三）合同管理</w:t>
      </w:r>
    </w:p>
    <w:p>
      <w:pPr>
        <w:pStyle w:val="25"/>
        <w:snapToGrid w:val="0"/>
        <w:spacing w:line="400" w:lineRule="exact"/>
        <w:ind w:firstLine="420" w:firstLineChars="200"/>
        <w:rPr>
          <w:rFonts w:hAnsi="宋体" w:cs="宋体"/>
          <w:szCs w:val="21"/>
        </w:rPr>
      </w:pPr>
      <w:r>
        <w:rPr>
          <w:rFonts w:hint="eastAsia" w:hAnsi="宋体" w:cs="宋体"/>
          <w:szCs w:val="21"/>
        </w:rPr>
        <w:t>1.中标供应商与采购人签订合同后，将合同原件交给浙江浦发工程项目管理有限公司鉴证。</w:t>
      </w:r>
    </w:p>
    <w:p>
      <w:pPr>
        <w:pStyle w:val="25"/>
        <w:snapToGrid w:val="0"/>
        <w:spacing w:line="400" w:lineRule="exact"/>
        <w:ind w:firstLine="420" w:firstLineChars="200"/>
        <w:rPr>
          <w:rFonts w:hAnsi="宋体" w:cs="宋体"/>
          <w:szCs w:val="21"/>
        </w:rPr>
      </w:pPr>
      <w:r>
        <w:rPr>
          <w:rFonts w:hint="eastAsia" w:hAnsi="宋体" w:cs="宋体"/>
          <w:szCs w:val="21"/>
        </w:rPr>
        <w:t>2.采购人在合同签订后七个工作日内要及时向财政监督管理部门申请备案。</w:t>
      </w:r>
    </w:p>
    <w:p>
      <w:pPr>
        <w:pStyle w:val="43"/>
        <w:spacing w:before="0" w:after="0"/>
        <w:rPr>
          <w:szCs w:val="30"/>
        </w:rPr>
      </w:pPr>
      <w:r>
        <w:rPr>
          <w:rFonts w:hint="eastAsia"/>
        </w:rPr>
        <w:br w:type="page"/>
      </w:r>
      <w:bookmarkStart w:id="44" w:name="_Toc50211559"/>
      <w:r>
        <w:rPr>
          <w:rFonts w:hint="eastAsia"/>
        </w:rPr>
        <w:t>第四章  评标办法及评分标准</w:t>
      </w:r>
      <w:bookmarkEnd w:id="44"/>
    </w:p>
    <w:p>
      <w:pPr>
        <w:ind w:firstLine="420" w:firstLineChars="200"/>
        <w:rPr>
          <w:rFonts w:ascii="宋体" w:hAnsi="宋体"/>
          <w:szCs w:val="21"/>
        </w:rPr>
      </w:pPr>
      <w:bookmarkStart w:id="45" w:name="_Toc19362"/>
      <w:bookmarkEnd w:id="45"/>
      <w:r>
        <w:rPr>
          <w:rFonts w:hint="eastAsia" w:ascii="宋体" w:hAnsi="宋体"/>
          <w:szCs w:val="21"/>
        </w:rPr>
        <w:t>为公正、公平、科学地选择中标人，根据《中华人民共和国政府采购法》等有关法律法规的规定，并结合本项目的实际，制定本办法。</w:t>
      </w:r>
    </w:p>
    <w:p>
      <w:pPr>
        <w:ind w:firstLine="420" w:firstLineChars="200"/>
        <w:rPr>
          <w:rFonts w:ascii="宋体" w:hAnsi="宋体"/>
          <w:szCs w:val="21"/>
        </w:rPr>
      </w:pPr>
      <w:r>
        <w:rPr>
          <w:rFonts w:hint="eastAsia" w:ascii="宋体" w:hAnsi="宋体"/>
          <w:szCs w:val="21"/>
        </w:rPr>
        <w:t>本办法适用于该项目的评标。</w:t>
      </w:r>
    </w:p>
    <w:p>
      <w:pPr>
        <w:ind w:firstLine="422" w:firstLineChars="200"/>
        <w:rPr>
          <w:rFonts w:ascii="宋体" w:hAnsi="宋体"/>
          <w:b/>
          <w:szCs w:val="21"/>
        </w:rPr>
      </w:pPr>
      <w:r>
        <w:rPr>
          <w:rFonts w:hint="eastAsia" w:ascii="宋体" w:hAnsi="宋体"/>
          <w:b/>
          <w:szCs w:val="21"/>
        </w:rPr>
        <w:t>一 、总则</w:t>
      </w:r>
    </w:p>
    <w:p>
      <w:pPr>
        <w:ind w:firstLine="420" w:firstLineChars="200"/>
        <w:rPr>
          <w:rFonts w:ascii="宋体" w:hAnsi="宋体"/>
          <w:szCs w:val="21"/>
        </w:rPr>
      </w:pPr>
      <w:r>
        <w:rPr>
          <w:rFonts w:hint="eastAsia" w:ascii="宋体" w:hAnsi="宋体"/>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仍不能分出前后的，以先递交投标文件者优先。排名第一的投标人为中标候选人，排名第二的投标人为候补中标候选人，其他投标人中标候选资格依此类推。</w:t>
      </w:r>
      <w:r>
        <w:rPr>
          <w:rFonts w:hint="eastAsia" w:ascii="宋体" w:hAnsi="宋体"/>
          <w:b/>
          <w:szCs w:val="21"/>
        </w:rPr>
        <w:t>中标人拒绝与采购人签订合同的，采购人可以按照评审报告推荐的中标候选人名单顺序，确定下一候选人为中标人，也可以重新开展政府采购活动</w:t>
      </w:r>
      <w:r>
        <w:rPr>
          <w:rFonts w:hint="eastAsia" w:ascii="宋体" w:hAnsi="宋体"/>
          <w:szCs w:val="21"/>
        </w:rPr>
        <w:t>。评分过程中采用四舍五入法，并保留小数2位。</w:t>
      </w:r>
    </w:p>
    <w:p>
      <w:pPr>
        <w:ind w:firstLine="420" w:firstLineChars="200"/>
        <w:rPr>
          <w:rFonts w:ascii="宋体" w:hAnsi="宋体"/>
          <w:szCs w:val="21"/>
        </w:rPr>
      </w:pPr>
      <w:r>
        <w:rPr>
          <w:rFonts w:hint="eastAsia" w:ascii="宋体" w:hAnsi="宋体"/>
          <w:szCs w:val="21"/>
        </w:rPr>
        <w:t>投标人评标综合得分=价格分+技术资信商务及其他分</w:t>
      </w:r>
    </w:p>
    <w:p>
      <w:pPr>
        <w:ind w:firstLine="422" w:firstLineChars="200"/>
        <w:rPr>
          <w:rFonts w:ascii="宋体" w:hAnsi="宋体"/>
          <w:b/>
          <w:szCs w:val="21"/>
        </w:rPr>
      </w:pPr>
      <w:r>
        <w:rPr>
          <w:rFonts w:hint="eastAsia" w:ascii="宋体" w:hAnsi="宋体"/>
          <w:b/>
          <w:szCs w:val="21"/>
        </w:rPr>
        <w:t>二</w:t>
      </w:r>
      <w:r>
        <w:rPr>
          <w:rFonts w:ascii="宋体" w:hAnsi="宋体"/>
          <w:b/>
          <w:szCs w:val="21"/>
        </w:rPr>
        <w:t xml:space="preserve"> </w:t>
      </w:r>
      <w:r>
        <w:rPr>
          <w:rFonts w:hint="eastAsia" w:ascii="宋体" w:hAnsi="宋体"/>
          <w:b/>
          <w:szCs w:val="21"/>
        </w:rPr>
        <w:t>、评标内容及标准</w:t>
      </w:r>
    </w:p>
    <w:p>
      <w:pPr>
        <w:pStyle w:val="19"/>
        <w:ind w:firstLine="422"/>
        <w:rPr>
          <w:rFonts w:ascii="宋体" w:hAnsi="宋体"/>
          <w:b/>
          <w:bCs/>
          <w:sz w:val="21"/>
          <w:szCs w:val="21"/>
        </w:rPr>
      </w:pPr>
      <w:r>
        <w:rPr>
          <w:rFonts w:ascii="宋体" w:hAnsi="宋体"/>
          <w:b/>
          <w:sz w:val="21"/>
          <w:szCs w:val="21"/>
        </w:rPr>
        <w:t>（一）</w:t>
      </w:r>
      <w:r>
        <w:rPr>
          <w:rFonts w:ascii="宋体" w:hAnsi="宋体"/>
          <w:b/>
          <w:bCs/>
          <w:sz w:val="21"/>
          <w:szCs w:val="21"/>
        </w:rPr>
        <w:t>价格分（</w:t>
      </w:r>
      <w:r>
        <w:rPr>
          <w:rFonts w:hint="eastAsia" w:ascii="宋体" w:hAnsi="宋体"/>
          <w:b/>
          <w:bCs/>
          <w:sz w:val="21"/>
          <w:szCs w:val="21"/>
        </w:rPr>
        <w:t>20分）</w:t>
      </w:r>
    </w:p>
    <w:p>
      <w:pPr>
        <w:pStyle w:val="19"/>
        <w:ind w:firstLine="420"/>
        <w:rPr>
          <w:rFonts w:ascii="宋体" w:hAnsi="宋体"/>
          <w:bCs/>
          <w:sz w:val="21"/>
          <w:szCs w:val="21"/>
        </w:rPr>
      </w:pPr>
      <w:r>
        <w:rPr>
          <w:rFonts w:hint="eastAsia" w:ascii="宋体" w:hAnsi="宋体"/>
          <w:bCs/>
          <w:sz w:val="21"/>
          <w:szCs w:val="21"/>
        </w:rPr>
        <w:t>1.价格分采用低价优先法计算，即满足招标文件要求且投标价格最低的投标报价为评标基准价，其他投标人的价格分按照下列公式计算：</w:t>
      </w:r>
    </w:p>
    <w:p>
      <w:pPr>
        <w:ind w:firstLine="420" w:firstLineChars="200"/>
        <w:rPr>
          <w:rFonts w:ascii="宋体" w:hAnsi="宋体"/>
          <w:szCs w:val="21"/>
        </w:rPr>
      </w:pPr>
      <w:r>
        <w:rPr>
          <w:rFonts w:hint="eastAsia" w:ascii="宋体" w:hAnsi="宋体"/>
          <w:szCs w:val="21"/>
        </w:rPr>
        <w:t>价格分=（评标基准价/投标报价）*20%*100</w:t>
      </w:r>
    </w:p>
    <w:p>
      <w:pPr>
        <w:widowControl/>
        <w:ind w:firstLine="404" w:firstLineChars="200"/>
        <w:jc w:val="left"/>
        <w:rPr>
          <w:rFonts w:ascii="宋体" w:hAnsi="宋体"/>
          <w:bCs/>
          <w:spacing w:val="-4"/>
          <w:szCs w:val="21"/>
        </w:rPr>
      </w:pPr>
      <w:r>
        <w:rPr>
          <w:rFonts w:hint="eastAsia" w:ascii="宋体" w:hAnsi="宋体"/>
          <w:bCs/>
          <w:spacing w:val="-4"/>
          <w:szCs w:val="21"/>
        </w:rPr>
        <w:t>2.</w:t>
      </w:r>
      <w:r>
        <w:rPr>
          <w:rFonts w:ascii="宋体" w:hAnsi="宋体"/>
          <w:bCs/>
          <w:spacing w:val="-4"/>
          <w:szCs w:val="21"/>
        </w:rPr>
        <w:t>根据财库〔2011〕181号的相关规定，在评审时对小型和微型企业的投标报价给予</w:t>
      </w:r>
      <w:r>
        <w:rPr>
          <w:rFonts w:hint="eastAsia" w:ascii="宋体" w:hAnsi="宋体"/>
          <w:bCs/>
          <w:spacing w:val="-4"/>
          <w:szCs w:val="21"/>
        </w:rPr>
        <w:t>6</w:t>
      </w:r>
      <w:r>
        <w:rPr>
          <w:rFonts w:ascii="宋体" w:hAnsi="宋体"/>
          <w:bCs/>
          <w:spacing w:val="-4"/>
          <w:szCs w:val="21"/>
        </w:rPr>
        <w:t>%的扣除，取扣除后的价格作为最终投标报价（此最终投标报价仅作为价格分计算）。</w:t>
      </w:r>
      <w:r>
        <w:rPr>
          <w:rFonts w:ascii="宋体" w:hAnsi="宋体"/>
          <w:b/>
          <w:bCs/>
          <w:spacing w:val="-4"/>
          <w:szCs w:val="21"/>
        </w:rPr>
        <w:t>属于小型和微型企业的，投标文件中必须同时提供</w:t>
      </w:r>
    </w:p>
    <w:p>
      <w:pPr>
        <w:widowControl/>
        <w:numPr>
          <w:ilvl w:val="0"/>
          <w:numId w:val="3"/>
        </w:numPr>
        <w:ind w:left="0" w:firstLine="404" w:firstLineChars="200"/>
        <w:jc w:val="left"/>
        <w:rPr>
          <w:rFonts w:ascii="宋体" w:hAnsi="宋体"/>
          <w:bCs/>
          <w:spacing w:val="-4"/>
          <w:szCs w:val="21"/>
        </w:rPr>
      </w:pPr>
      <w:r>
        <w:rPr>
          <w:rFonts w:ascii="宋体" w:hAnsi="宋体"/>
          <w:bCs/>
          <w:spacing w:val="-4"/>
          <w:szCs w:val="21"/>
        </w:rPr>
        <w:t>《中小企业声明函》</w:t>
      </w:r>
      <w:r>
        <w:rPr>
          <w:rFonts w:hint="eastAsia" w:ascii="宋体" w:hAnsi="宋体"/>
          <w:bCs/>
          <w:spacing w:val="-4"/>
          <w:szCs w:val="21"/>
        </w:rPr>
        <w:t>（模板见第六章）；</w:t>
      </w:r>
    </w:p>
    <w:p>
      <w:pPr>
        <w:widowControl/>
        <w:ind w:firstLine="404" w:firstLineChars="200"/>
        <w:jc w:val="left"/>
        <w:rPr>
          <w:rFonts w:ascii="宋体" w:hAnsi="宋体"/>
          <w:bCs/>
          <w:spacing w:val="-4"/>
          <w:szCs w:val="21"/>
        </w:rPr>
      </w:pPr>
      <w:r>
        <w:rPr>
          <w:rFonts w:hint="eastAsia" w:ascii="宋体" w:hAnsi="宋体"/>
          <w:bCs/>
          <w:spacing w:val="-4"/>
          <w:szCs w:val="21"/>
        </w:rPr>
        <w:t>②</w:t>
      </w:r>
      <w:r>
        <w:rPr>
          <w:rFonts w:ascii="宋体" w:hAnsi="宋体"/>
          <w:bCs/>
          <w:spacing w:val="-4"/>
          <w:szCs w:val="21"/>
        </w:rPr>
        <w:t>“国家企业信用信息公示系统——小微企业名录”页面查询结果</w:t>
      </w:r>
      <w:r>
        <w:rPr>
          <w:rFonts w:hint="eastAsia" w:ascii="宋体" w:hAnsi="宋体"/>
          <w:bCs/>
          <w:spacing w:val="-4"/>
          <w:szCs w:val="21"/>
        </w:rPr>
        <w:t>（网站截图）</w:t>
      </w:r>
      <w:r>
        <w:fldChar w:fldCharType="begin"/>
      </w:r>
      <w:r>
        <w:instrText xml:space="preserve"> HYPERLINK "http://xwqy.gsxt.gov.cn/mirco/micro_lib" </w:instrText>
      </w:r>
      <w:r>
        <w:fldChar w:fldCharType="separate"/>
      </w:r>
      <w:r>
        <w:rPr>
          <w:rStyle w:val="53"/>
          <w:rFonts w:ascii="宋体" w:hAnsi="宋体"/>
          <w:bCs/>
          <w:color w:val="auto"/>
          <w:spacing w:val="-4"/>
          <w:szCs w:val="21"/>
        </w:rPr>
        <w:t>http://xwqy.gsxt.gov.cn/mirco/micro_lib</w:t>
      </w:r>
      <w:r>
        <w:rPr>
          <w:rFonts w:ascii="宋体" w:hAnsi="宋体"/>
          <w:bCs/>
          <w:spacing w:val="-4"/>
          <w:szCs w:val="21"/>
        </w:rPr>
        <w:fldChar w:fldCharType="end"/>
      </w:r>
      <w:r>
        <w:rPr>
          <w:rFonts w:hint="eastAsia" w:ascii="宋体" w:hAnsi="宋体"/>
          <w:bCs/>
          <w:spacing w:val="-4"/>
          <w:szCs w:val="21"/>
        </w:rPr>
        <w:t>，</w:t>
      </w:r>
      <w:r>
        <w:rPr>
          <w:rFonts w:ascii="宋体" w:hAnsi="宋体"/>
          <w:bCs/>
          <w:spacing w:val="-4"/>
          <w:szCs w:val="21"/>
        </w:rPr>
        <w:t>查询时间为投标前一周内，并加盖单位公章。</w:t>
      </w:r>
    </w:p>
    <w:p>
      <w:pPr>
        <w:widowControl/>
        <w:ind w:firstLine="404" w:firstLineChars="200"/>
        <w:jc w:val="left"/>
        <w:rPr>
          <w:rFonts w:ascii="宋体" w:hAnsi="宋体"/>
          <w:bCs/>
          <w:spacing w:val="-4"/>
          <w:szCs w:val="21"/>
        </w:rPr>
      </w:pPr>
      <w:r>
        <w:rPr>
          <w:rFonts w:ascii="宋体" w:hAnsi="宋体"/>
          <w:bCs/>
          <w:spacing w:val="-4"/>
          <w:szCs w:val="21"/>
        </w:rPr>
        <w:t>(注：未提供以上材料的，均不给予价格扣除）</w:t>
      </w:r>
    </w:p>
    <w:p>
      <w:pPr>
        <w:widowControl/>
        <w:ind w:firstLine="404" w:firstLineChars="200"/>
        <w:jc w:val="left"/>
        <w:rPr>
          <w:rFonts w:ascii="宋体" w:hAnsi="宋体"/>
          <w:bCs/>
          <w:spacing w:val="-4"/>
          <w:szCs w:val="21"/>
        </w:rPr>
      </w:pPr>
      <w:r>
        <w:rPr>
          <w:rFonts w:hint="eastAsia" w:ascii="宋体" w:hAnsi="宋体"/>
          <w:bCs/>
          <w:spacing w:val="-4"/>
          <w:szCs w:val="21"/>
        </w:rPr>
        <w:t>3.</w:t>
      </w:r>
      <w:r>
        <w:rPr>
          <w:rFonts w:ascii="宋体" w:hAnsi="宋体"/>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bCs/>
          <w:spacing w:val="-4"/>
          <w:szCs w:val="21"/>
        </w:rPr>
        <w:t>及相关证明材料</w:t>
      </w:r>
      <w:r>
        <w:rPr>
          <w:rFonts w:ascii="宋体" w:hAnsi="宋体"/>
          <w:bCs/>
          <w:spacing w:val="-4"/>
          <w:szCs w:val="21"/>
        </w:rPr>
        <w:t>。</w:t>
      </w:r>
    </w:p>
    <w:p>
      <w:pPr>
        <w:widowControl/>
        <w:ind w:firstLine="404" w:firstLineChars="200"/>
        <w:jc w:val="left"/>
        <w:rPr>
          <w:rFonts w:ascii="宋体" w:hAnsi="宋体"/>
          <w:bCs/>
          <w:spacing w:val="-4"/>
          <w:szCs w:val="21"/>
        </w:rPr>
      </w:pPr>
      <w:r>
        <w:rPr>
          <w:rFonts w:hint="eastAsia" w:ascii="宋体" w:hAnsi="宋体"/>
          <w:bCs/>
          <w:spacing w:val="-4"/>
          <w:szCs w:val="21"/>
        </w:rPr>
        <w:t>4. 监狱企业同视为小型、微型企业，享受小微企业政策扶持（提供相关证明材料）。</w:t>
      </w:r>
    </w:p>
    <w:p>
      <w:pPr>
        <w:pStyle w:val="19"/>
        <w:ind w:firstLine="420"/>
        <w:rPr>
          <w:rFonts w:ascii="宋体" w:hAnsi="宋体"/>
          <w:bCs/>
          <w:sz w:val="21"/>
          <w:szCs w:val="21"/>
        </w:rPr>
      </w:pPr>
      <w:r>
        <w:rPr>
          <w:rFonts w:hint="eastAsia" w:ascii="宋体" w:hAnsi="宋体"/>
          <w:bCs/>
          <w:sz w:val="21"/>
          <w:szCs w:val="21"/>
        </w:rPr>
        <w:t>5. 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rPr>
          <w:rFonts w:ascii="宋体" w:hAnsi="宋体"/>
          <w:b/>
          <w:sz w:val="21"/>
          <w:szCs w:val="21"/>
        </w:rPr>
      </w:pPr>
      <w:r>
        <w:br w:type="page"/>
      </w:r>
      <w:r>
        <w:rPr>
          <w:rFonts w:hint="eastAsia" w:ascii="宋体" w:hAnsi="宋体"/>
          <w:b/>
          <w:sz w:val="21"/>
          <w:szCs w:val="21"/>
        </w:rPr>
        <w:t>（二）技术资信商务及其他分</w:t>
      </w:r>
      <w:r>
        <w:rPr>
          <w:rFonts w:ascii="宋体" w:hAnsi="宋体"/>
          <w:b/>
          <w:sz w:val="21"/>
          <w:szCs w:val="21"/>
        </w:rPr>
        <w:t>（</w:t>
      </w:r>
      <w:r>
        <w:rPr>
          <w:rFonts w:hint="eastAsia" w:ascii="宋体" w:hAnsi="宋体"/>
          <w:b/>
          <w:sz w:val="21"/>
          <w:szCs w:val="21"/>
        </w:rPr>
        <w:t>80</w:t>
      </w:r>
      <w:r>
        <w:rPr>
          <w:rFonts w:ascii="宋体" w:hAnsi="宋体"/>
          <w:b/>
          <w:sz w:val="21"/>
          <w:szCs w:val="21"/>
        </w:rPr>
        <w:t>分）</w:t>
      </w:r>
    </w:p>
    <w:p>
      <w:pPr>
        <w:ind w:firstLine="422" w:firstLineChars="200"/>
        <w:jc w:val="left"/>
        <w:rPr>
          <w:rFonts w:hint="eastAsia" w:ascii="宋体" w:hAnsi="宋体"/>
          <w:b/>
          <w:szCs w:val="21"/>
        </w:rPr>
      </w:pPr>
      <w:r>
        <w:rPr>
          <w:rFonts w:hint="eastAsia" w:ascii="宋体" w:hAnsi="宋体"/>
          <w:b/>
          <w:szCs w:val="21"/>
        </w:rPr>
        <w:t>1、服务方案合理性、完整性、可行性（6分）</w:t>
      </w:r>
    </w:p>
    <w:p>
      <w:pPr>
        <w:ind w:firstLine="420" w:firstLineChars="200"/>
        <w:jc w:val="left"/>
        <w:rPr>
          <w:rFonts w:hint="eastAsia" w:ascii="宋体" w:hAnsi="宋体"/>
          <w:szCs w:val="21"/>
        </w:rPr>
      </w:pPr>
      <w:r>
        <w:rPr>
          <w:rFonts w:hint="eastAsia" w:ascii="宋体" w:hAnsi="宋体"/>
          <w:szCs w:val="21"/>
        </w:rPr>
        <w:t>投标人提供的服务方案（包含但不限于：前端码流流向，码流终结位置，系统拓扑结构描述、存储、服务器摆放位置等）完整、准确、规范，符合招标需求，对招标文件技术性条款进行详细应答说明，得6分，未对招标文件技术性条款进行详细应答说明的，扣2分，前端码流流向，码流终结位置，系统拓扑结构描述、存储、服务器摆放位置等未明确的，一项扣1分，扣完为止。</w:t>
      </w:r>
    </w:p>
    <w:p>
      <w:pPr>
        <w:ind w:firstLine="422" w:firstLineChars="200"/>
        <w:jc w:val="left"/>
        <w:rPr>
          <w:rFonts w:hint="eastAsia" w:ascii="宋体" w:hAnsi="宋体"/>
          <w:b/>
          <w:szCs w:val="21"/>
        </w:rPr>
      </w:pPr>
      <w:r>
        <w:rPr>
          <w:rFonts w:hint="eastAsia" w:ascii="宋体" w:hAnsi="宋体"/>
          <w:b/>
          <w:szCs w:val="21"/>
        </w:rPr>
        <w:t>2、投标产品、系统平台技术参数先进性（34分）</w:t>
      </w:r>
    </w:p>
    <w:p>
      <w:pPr>
        <w:ind w:firstLine="420" w:firstLineChars="200"/>
        <w:jc w:val="left"/>
        <w:rPr>
          <w:rFonts w:hint="eastAsia" w:ascii="宋体" w:hAnsi="宋体"/>
          <w:szCs w:val="21"/>
        </w:rPr>
      </w:pPr>
      <w:r>
        <w:rPr>
          <w:rFonts w:hint="eastAsia" w:ascii="宋体" w:hAnsi="宋体"/>
          <w:szCs w:val="21"/>
        </w:rPr>
        <w:t>缺少必要功能（打▲的）的投标无效；所投设备技术参数功能项目齐全且与招标需求基本一致的，得6分，有实质性正偏离的，每项加1分，最多加4分，有负偏离的，每项扣2分，扣完为止。</w:t>
      </w:r>
    </w:p>
    <w:p>
      <w:pPr>
        <w:ind w:firstLine="420" w:firstLineChars="200"/>
        <w:jc w:val="left"/>
        <w:rPr>
          <w:rFonts w:hint="eastAsia" w:ascii="宋体" w:hAnsi="宋体"/>
          <w:szCs w:val="21"/>
        </w:rPr>
      </w:pPr>
      <w:r>
        <w:rPr>
          <w:rFonts w:hint="eastAsia" w:ascii="宋体" w:hAnsi="宋体"/>
          <w:szCs w:val="21"/>
        </w:rPr>
        <w:t>根据投标人所投的人脸识别应用系统和车辆识别系统功能符合招投标需求的，得4分，有实质性正偏离的，每项加1分，最多加2分，有负偏离的，每项扣2分，扣完为止。</w:t>
      </w:r>
    </w:p>
    <w:p>
      <w:pPr>
        <w:ind w:firstLine="420" w:firstLineChars="200"/>
        <w:rPr>
          <w:rFonts w:hint="eastAsia"/>
          <w:iCs/>
          <w:color w:val="000000"/>
        </w:rPr>
      </w:pPr>
      <w:r>
        <w:rPr>
          <w:rFonts w:hint="eastAsia" w:ascii="宋体" w:hAnsi="宋体"/>
          <w:color w:val="000000"/>
          <w:szCs w:val="21"/>
        </w:rPr>
        <w:t>提供本系统与秀洲区城市车辆智能防控平台进行融合的解决方案的，</w:t>
      </w:r>
      <w:r>
        <w:rPr>
          <w:rFonts w:hint="eastAsia" w:ascii="宋体" w:hAnsi="宋体"/>
          <w:szCs w:val="21"/>
        </w:rPr>
        <w:t>得5分，</w:t>
      </w:r>
      <w:r>
        <w:rPr>
          <w:rFonts w:hint="eastAsia" w:ascii="宋体" w:hAnsi="宋体"/>
          <w:color w:val="000000"/>
          <w:szCs w:val="21"/>
        </w:rPr>
        <w:t>提供</w:t>
      </w:r>
      <w:r>
        <w:rPr>
          <w:rFonts w:hint="eastAsia" w:ascii="宋体" w:hAnsi="宋体"/>
          <w:color w:val="000000"/>
        </w:rPr>
        <w:t>RFID</w:t>
      </w:r>
      <w:r>
        <w:rPr>
          <w:rFonts w:hint="eastAsia" w:ascii="宋体" w:hAnsi="宋体"/>
          <w:iCs/>
          <w:color w:val="000000"/>
        </w:rPr>
        <w:t>终端设备与</w:t>
      </w:r>
      <w:r>
        <w:rPr>
          <w:rFonts w:hint="eastAsia" w:ascii="宋体" w:hAnsi="宋体"/>
          <w:color w:val="000000"/>
        </w:rPr>
        <w:t>秀洲区城市车辆智能防控平台</w:t>
      </w:r>
      <w:r>
        <w:rPr>
          <w:rFonts w:hint="eastAsia" w:ascii="宋体" w:hAnsi="宋体"/>
          <w:iCs/>
          <w:color w:val="000000"/>
        </w:rPr>
        <w:t>无缝对接的</w:t>
      </w:r>
      <w:r>
        <w:rPr>
          <w:rFonts w:hint="eastAsia" w:ascii="宋体" w:hAnsi="宋体"/>
          <w:color w:val="000000"/>
        </w:rPr>
        <w:t>平台</w:t>
      </w:r>
      <w:r>
        <w:rPr>
          <w:rFonts w:hint="eastAsia" w:ascii="宋体" w:hAnsi="宋体"/>
          <w:iCs/>
          <w:color w:val="000000"/>
        </w:rPr>
        <w:t>原厂测试接入证明</w:t>
      </w:r>
      <w:r>
        <w:rPr>
          <w:rFonts w:hint="eastAsia" w:ascii="宋体" w:hAnsi="宋体"/>
          <w:color w:val="000000"/>
          <w:szCs w:val="21"/>
        </w:rPr>
        <w:t>的，</w:t>
      </w:r>
      <w:r>
        <w:rPr>
          <w:rFonts w:hint="eastAsia" w:ascii="宋体" w:hAnsi="宋体"/>
          <w:szCs w:val="21"/>
        </w:rPr>
        <w:t>得5分。</w:t>
      </w:r>
    </w:p>
    <w:p>
      <w:pPr>
        <w:ind w:firstLine="420" w:firstLineChars="200"/>
        <w:rPr>
          <w:iCs/>
          <w:color w:val="000000"/>
        </w:rPr>
      </w:pPr>
      <w:r>
        <w:rPr>
          <w:rFonts w:hint="eastAsia" w:ascii="宋体" w:hAnsi="宋体"/>
          <w:color w:val="000000"/>
          <w:szCs w:val="21"/>
        </w:rPr>
        <w:t>提供</w:t>
      </w:r>
      <w:r>
        <w:rPr>
          <w:rFonts w:hint="eastAsia" w:ascii="宋体" w:hAnsi="宋体" w:cs="宋体"/>
          <w:kern w:val="0"/>
          <w:szCs w:val="21"/>
        </w:rPr>
        <w:t>设备及软件系统对接到嘉兴市公安局秀洲区分局视频一体化平台</w:t>
      </w:r>
      <w:r>
        <w:rPr>
          <w:rFonts w:hint="eastAsia" w:ascii="宋体" w:hAnsi="宋体"/>
          <w:color w:val="000000"/>
          <w:szCs w:val="21"/>
        </w:rPr>
        <w:t>融合的解决方案的</w:t>
      </w:r>
      <w:r>
        <w:rPr>
          <w:rFonts w:hint="eastAsia" w:ascii="宋体" w:hAnsi="宋体"/>
          <w:szCs w:val="21"/>
        </w:rPr>
        <w:t>得4分，</w:t>
      </w:r>
      <w:r>
        <w:rPr>
          <w:rFonts w:hint="eastAsia" w:ascii="宋体" w:hAnsi="宋体"/>
          <w:color w:val="000000"/>
          <w:szCs w:val="21"/>
        </w:rPr>
        <w:t>提供</w:t>
      </w:r>
      <w:r>
        <w:rPr>
          <w:rFonts w:hint="eastAsia" w:ascii="宋体" w:hAnsi="宋体"/>
          <w:iCs/>
          <w:color w:val="000000"/>
        </w:rPr>
        <w:t>设备与</w:t>
      </w:r>
      <w:r>
        <w:rPr>
          <w:rFonts w:hint="eastAsia" w:ascii="宋体" w:hAnsi="宋体" w:cs="宋体"/>
          <w:kern w:val="0"/>
          <w:szCs w:val="21"/>
        </w:rPr>
        <w:t>嘉兴市公安局秀洲区分局视频一体化平台</w:t>
      </w:r>
      <w:r>
        <w:rPr>
          <w:rFonts w:hint="eastAsia" w:ascii="宋体" w:hAnsi="宋体"/>
          <w:iCs/>
          <w:color w:val="000000"/>
        </w:rPr>
        <w:t>无缝对接的</w:t>
      </w:r>
      <w:r>
        <w:rPr>
          <w:rFonts w:hint="eastAsia" w:ascii="宋体" w:hAnsi="宋体"/>
          <w:color w:val="000000"/>
        </w:rPr>
        <w:t>平台</w:t>
      </w:r>
      <w:r>
        <w:rPr>
          <w:rFonts w:hint="eastAsia" w:ascii="宋体" w:hAnsi="宋体"/>
          <w:iCs/>
          <w:color w:val="000000"/>
        </w:rPr>
        <w:t>原厂测试接入证明</w:t>
      </w:r>
      <w:r>
        <w:rPr>
          <w:rFonts w:hint="eastAsia" w:ascii="宋体" w:hAnsi="宋体"/>
          <w:color w:val="000000"/>
          <w:szCs w:val="21"/>
        </w:rPr>
        <w:t>的，</w:t>
      </w:r>
      <w:r>
        <w:rPr>
          <w:rFonts w:hint="eastAsia" w:ascii="宋体" w:hAnsi="宋体"/>
          <w:szCs w:val="21"/>
        </w:rPr>
        <w:t>得4分。</w:t>
      </w:r>
    </w:p>
    <w:p>
      <w:pPr>
        <w:ind w:firstLine="422" w:firstLineChars="200"/>
        <w:jc w:val="left"/>
        <w:rPr>
          <w:rFonts w:ascii="宋体" w:hAnsi="宋体"/>
          <w:b/>
          <w:szCs w:val="21"/>
        </w:rPr>
      </w:pPr>
      <w:r>
        <w:rPr>
          <w:rFonts w:hint="eastAsia" w:ascii="宋体" w:hAnsi="宋体"/>
          <w:b/>
          <w:szCs w:val="21"/>
        </w:rPr>
        <w:t>3、项目施工措施（10分）</w:t>
      </w:r>
    </w:p>
    <w:p>
      <w:pPr>
        <w:ind w:firstLine="420" w:firstLineChars="200"/>
        <w:jc w:val="left"/>
        <w:rPr>
          <w:rFonts w:ascii="宋体" w:hAnsi="宋体"/>
          <w:szCs w:val="21"/>
        </w:rPr>
      </w:pPr>
      <w:r>
        <w:rPr>
          <w:rFonts w:hint="eastAsia" w:ascii="宋体" w:hAnsi="宋体"/>
          <w:szCs w:val="21"/>
        </w:rPr>
        <w:t>根据投标人项目实施方案中明确供货组织措施、质量保证措施、安全管理措施、施工方案等情况的，得2分，未明确的，得0分。</w:t>
      </w:r>
    </w:p>
    <w:p>
      <w:pPr>
        <w:ind w:firstLine="420" w:firstLineChars="200"/>
        <w:jc w:val="left"/>
        <w:rPr>
          <w:rFonts w:ascii="宋体" w:hAnsi="宋体"/>
          <w:szCs w:val="21"/>
        </w:rPr>
      </w:pPr>
      <w:r>
        <w:rPr>
          <w:rFonts w:hint="eastAsia" w:ascii="宋体" w:hAnsi="宋体"/>
          <w:szCs w:val="21"/>
        </w:rPr>
        <w:t>投标人为保障项目整体按时完成所具备的优势进行比较得分，较好的得</w:t>
      </w:r>
      <w:r>
        <w:rPr>
          <w:rFonts w:ascii="宋体" w:hAnsi="宋体"/>
          <w:szCs w:val="21"/>
        </w:rPr>
        <w:t>4-</w:t>
      </w:r>
      <w:r>
        <w:rPr>
          <w:rFonts w:hint="eastAsia" w:ascii="宋体" w:hAnsi="宋体"/>
          <w:szCs w:val="21"/>
        </w:rPr>
        <w:t>5分，一般的得</w:t>
      </w:r>
      <w:r>
        <w:rPr>
          <w:rFonts w:ascii="宋体" w:hAnsi="宋体"/>
          <w:szCs w:val="21"/>
        </w:rPr>
        <w:t>1-3</w:t>
      </w:r>
      <w:r>
        <w:rPr>
          <w:rFonts w:hint="eastAsia" w:ascii="宋体" w:hAnsi="宋体"/>
          <w:szCs w:val="21"/>
        </w:rPr>
        <w:t>分，不予描述的得0分。</w:t>
      </w:r>
    </w:p>
    <w:p>
      <w:pPr>
        <w:ind w:firstLine="420" w:firstLineChars="200"/>
        <w:jc w:val="left"/>
        <w:rPr>
          <w:rFonts w:ascii="宋体" w:hAnsi="宋体"/>
          <w:szCs w:val="21"/>
        </w:rPr>
      </w:pPr>
      <w:r>
        <w:rPr>
          <w:rFonts w:hint="eastAsia" w:ascii="宋体" w:hAnsi="宋体"/>
          <w:szCs w:val="21"/>
        </w:rPr>
        <w:t>投标人承诺的施工期符合70日（含法定节假日）招标需求的，得2分，承诺施工期每减少5天加0.5分，最多加1分。</w:t>
      </w:r>
    </w:p>
    <w:p>
      <w:pPr>
        <w:ind w:firstLine="422" w:firstLineChars="200"/>
        <w:jc w:val="left"/>
        <w:rPr>
          <w:rFonts w:ascii="宋体" w:hAnsi="宋体"/>
          <w:b/>
          <w:szCs w:val="21"/>
        </w:rPr>
      </w:pPr>
      <w:r>
        <w:rPr>
          <w:rFonts w:hint="eastAsia" w:ascii="宋体" w:hAnsi="宋体"/>
          <w:b/>
          <w:szCs w:val="21"/>
        </w:rPr>
        <w:t>4、售后服务方案（5分）</w:t>
      </w:r>
    </w:p>
    <w:p>
      <w:pPr>
        <w:ind w:firstLine="420" w:firstLineChars="200"/>
        <w:jc w:val="left"/>
        <w:rPr>
          <w:rFonts w:hint="eastAsia" w:ascii="宋体" w:hAnsi="宋体"/>
          <w:szCs w:val="21"/>
        </w:rPr>
      </w:pPr>
      <w:r>
        <w:rPr>
          <w:rFonts w:hint="eastAsia" w:ascii="宋体" w:hAnsi="宋体"/>
          <w:szCs w:val="21"/>
        </w:rPr>
        <w:t>根据投标文件中具体售后服务方案（包含但不限于：保修范围，保修、服务标准，故障响应修复时间方式等保障措施）符合招标需求的，得3分，保修范围，保修、服务标准，故障响应修复时间方式等保障措施，主要设备厂商售后服务情况高于招标需求的，每项加1分，最多加2分。</w:t>
      </w:r>
    </w:p>
    <w:p>
      <w:pPr>
        <w:ind w:firstLine="422" w:firstLineChars="200"/>
        <w:jc w:val="left"/>
        <w:rPr>
          <w:rFonts w:ascii="宋体" w:hAnsi="宋体"/>
          <w:b/>
          <w:szCs w:val="21"/>
        </w:rPr>
      </w:pPr>
      <w:r>
        <w:rPr>
          <w:rFonts w:hint="eastAsia" w:ascii="宋体" w:hAnsi="宋体"/>
          <w:b/>
          <w:szCs w:val="21"/>
        </w:rPr>
        <w:t>5、运营、维保实力（8分）</w:t>
      </w:r>
    </w:p>
    <w:p>
      <w:pPr>
        <w:ind w:firstLine="420" w:firstLineChars="200"/>
        <w:jc w:val="left"/>
        <w:rPr>
          <w:rFonts w:ascii="宋体" w:hAnsi="宋体"/>
          <w:szCs w:val="21"/>
        </w:rPr>
      </w:pPr>
      <w:r>
        <w:rPr>
          <w:rFonts w:hint="eastAsia" w:ascii="宋体" w:hAnsi="宋体"/>
          <w:szCs w:val="21"/>
        </w:rPr>
        <w:t>投标人拟投入本项目的本地维保队伍人数，符合招标需求的，得2分，每增加2人，加1分，最多加2分，需提供6个月社保证明复印件加盖公章；</w:t>
      </w:r>
    </w:p>
    <w:p>
      <w:pPr>
        <w:ind w:firstLine="420" w:firstLineChars="200"/>
        <w:jc w:val="left"/>
        <w:rPr>
          <w:rFonts w:ascii="宋体" w:hAnsi="宋体"/>
          <w:szCs w:val="21"/>
        </w:rPr>
      </w:pPr>
      <w:r>
        <w:rPr>
          <w:rFonts w:hint="eastAsia" w:ascii="宋体" w:hAnsi="宋体"/>
          <w:szCs w:val="21"/>
        </w:rPr>
        <w:t>投标人拟投入本项目登高车、快速运维车辆数量，符合招标需求的，得2分，每增加一辆车辆，加1分，最多加2分，需提供车辆照片和行驶证复印件，租赁车辆需提供长期租赁合同。</w:t>
      </w:r>
    </w:p>
    <w:p>
      <w:pPr>
        <w:ind w:firstLine="422" w:firstLineChars="200"/>
        <w:jc w:val="left"/>
        <w:rPr>
          <w:rFonts w:ascii="宋体" w:hAnsi="宋体"/>
          <w:b/>
          <w:szCs w:val="21"/>
        </w:rPr>
      </w:pPr>
      <w:r>
        <w:rPr>
          <w:rFonts w:hint="eastAsia" w:ascii="宋体" w:hAnsi="宋体"/>
          <w:b/>
          <w:szCs w:val="21"/>
        </w:rPr>
        <w:t>6、投标人同类项目业绩情况（6分）</w:t>
      </w:r>
    </w:p>
    <w:p>
      <w:pPr>
        <w:ind w:firstLine="420" w:firstLineChars="200"/>
        <w:jc w:val="left"/>
        <w:rPr>
          <w:rFonts w:ascii="宋体" w:hAnsi="宋体"/>
          <w:szCs w:val="21"/>
        </w:rPr>
      </w:pPr>
      <w:r>
        <w:rPr>
          <w:rFonts w:hint="eastAsia" w:ascii="宋体" w:hAnsi="宋体"/>
          <w:szCs w:val="21"/>
        </w:rPr>
        <w:t>2016</w:t>
      </w:r>
      <w:r>
        <w:rPr>
          <w:rFonts w:ascii="宋体" w:hAnsi="宋体"/>
          <w:szCs w:val="21"/>
        </w:rPr>
        <w:t>年</w:t>
      </w:r>
      <w:r>
        <w:rPr>
          <w:rFonts w:hint="eastAsia" w:ascii="宋体" w:hAnsi="宋体"/>
          <w:szCs w:val="21"/>
        </w:rPr>
        <w:t>至今完成过同类项目业绩，每个得2分，最高得6分，须提供合同复印件加盖公章。</w:t>
      </w:r>
    </w:p>
    <w:p>
      <w:pPr>
        <w:ind w:firstLine="422" w:firstLineChars="200"/>
        <w:jc w:val="left"/>
        <w:rPr>
          <w:rFonts w:ascii="宋体" w:hAnsi="宋体"/>
          <w:b/>
          <w:szCs w:val="21"/>
        </w:rPr>
      </w:pPr>
      <w:r>
        <w:rPr>
          <w:rFonts w:hint="eastAsia" w:ascii="宋体" w:hAnsi="宋体"/>
          <w:b/>
          <w:szCs w:val="21"/>
        </w:rPr>
        <w:t>7、现场踏勘（4分）</w:t>
      </w:r>
    </w:p>
    <w:p>
      <w:pPr>
        <w:ind w:firstLine="420" w:firstLineChars="200"/>
        <w:jc w:val="left"/>
        <w:rPr>
          <w:rFonts w:ascii="宋体" w:hAnsi="宋体"/>
          <w:szCs w:val="21"/>
        </w:rPr>
      </w:pPr>
      <w:r>
        <w:rPr>
          <w:rFonts w:hint="eastAsia" w:ascii="宋体" w:hAnsi="宋体"/>
          <w:szCs w:val="21"/>
        </w:rPr>
        <w:t>根据投标人对服务点位熟悉情况，完成点位现场踏勘并提供证明资料的（以属地***出具证明为准），得4分，未进行勘查的，得0分。</w:t>
      </w:r>
    </w:p>
    <w:p>
      <w:pPr>
        <w:ind w:firstLine="422" w:firstLineChars="200"/>
        <w:jc w:val="left"/>
        <w:rPr>
          <w:rFonts w:ascii="宋体" w:hAnsi="宋体"/>
          <w:b/>
          <w:szCs w:val="21"/>
        </w:rPr>
      </w:pPr>
      <w:r>
        <w:rPr>
          <w:rFonts w:hint="eastAsia" w:ascii="宋体" w:hAnsi="宋体"/>
          <w:b/>
          <w:szCs w:val="21"/>
        </w:rPr>
        <w:t>8、政策分（2分）</w:t>
      </w:r>
    </w:p>
    <w:p>
      <w:pPr>
        <w:ind w:firstLine="420" w:firstLineChars="200"/>
        <w:jc w:val="left"/>
        <w:rPr>
          <w:rFonts w:ascii="宋体" w:hAnsi="宋体"/>
          <w:szCs w:val="21"/>
        </w:rPr>
      </w:pPr>
      <w:r>
        <w:rPr>
          <w:rFonts w:hint="eastAsia" w:ascii="宋体" w:hAnsi="宋体"/>
          <w:szCs w:val="21"/>
        </w:rPr>
        <w:t>政府采购节能产品、环境标志产品实施品目清单管理：投标产品符合财库〔2019〕9号《关于调整优化节能产品、环境标志产品政府采购执行机制的通知》条件的，每种产品得1分，最高得2分。</w:t>
      </w:r>
    </w:p>
    <w:p>
      <w:pPr>
        <w:ind w:firstLine="422" w:firstLineChars="200"/>
        <w:jc w:val="left"/>
        <w:rPr>
          <w:rFonts w:ascii="宋体" w:hAnsi="宋体"/>
          <w:b/>
          <w:szCs w:val="21"/>
        </w:rPr>
      </w:pPr>
      <w:r>
        <w:rPr>
          <w:rFonts w:hint="eastAsia" w:ascii="宋体" w:hAnsi="宋体"/>
          <w:b/>
          <w:szCs w:val="21"/>
        </w:rPr>
        <w:t>9、诚信分（3分）</w:t>
      </w:r>
    </w:p>
    <w:p>
      <w:pPr>
        <w:ind w:firstLine="420" w:firstLineChars="200"/>
        <w:jc w:val="left"/>
        <w:rPr>
          <w:rFonts w:ascii="宋体" w:hAnsi="宋体"/>
          <w:szCs w:val="21"/>
        </w:rPr>
      </w:pPr>
      <w:r>
        <w:rPr>
          <w:rFonts w:hint="eastAsia" w:ascii="宋体" w:hAnsi="宋体"/>
          <w:szCs w:val="21"/>
        </w:rPr>
        <w:t>凡在投标截止时间前三年受到行政处罚、行政处理（含通报）或记入不良行为的，此项得分为0，若无处罚、行政处理（含通报）或记入不良行为的得3分（供应商自行提供，如有不良记录又虚假隐瞒的，一经发现将取消投标资格）。</w:t>
      </w:r>
    </w:p>
    <w:p>
      <w:pPr>
        <w:ind w:firstLine="422" w:firstLineChars="200"/>
        <w:jc w:val="left"/>
        <w:rPr>
          <w:rFonts w:ascii="宋体" w:hAnsi="宋体"/>
          <w:b/>
          <w:szCs w:val="21"/>
        </w:rPr>
      </w:pPr>
      <w:r>
        <w:rPr>
          <w:rFonts w:hint="eastAsia" w:ascii="宋体" w:hAnsi="宋体"/>
          <w:b/>
          <w:szCs w:val="21"/>
        </w:rPr>
        <w:t>10、其他优惠条件（1分）</w:t>
      </w:r>
    </w:p>
    <w:p>
      <w:pPr>
        <w:ind w:firstLine="420" w:firstLineChars="200"/>
        <w:jc w:val="left"/>
        <w:rPr>
          <w:rFonts w:ascii="宋体" w:hAnsi="宋体"/>
          <w:szCs w:val="21"/>
        </w:rPr>
      </w:pPr>
      <w:r>
        <w:rPr>
          <w:rFonts w:hint="eastAsia" w:ascii="宋体" w:hAnsi="宋体"/>
          <w:szCs w:val="21"/>
        </w:rPr>
        <w:t>根据投标人承诺给予招标人的实质性优惠条件，横向比较后酌情打分，得0-1分。</w:t>
      </w:r>
    </w:p>
    <w:p>
      <w:pPr>
        <w:ind w:firstLine="422" w:firstLineChars="200"/>
        <w:jc w:val="left"/>
        <w:rPr>
          <w:rFonts w:ascii="宋体" w:hAnsi="宋体"/>
          <w:b/>
          <w:szCs w:val="21"/>
        </w:rPr>
      </w:pPr>
      <w:r>
        <w:rPr>
          <w:rFonts w:hint="eastAsia" w:ascii="宋体" w:hAnsi="宋体"/>
          <w:b/>
          <w:szCs w:val="21"/>
        </w:rPr>
        <w:t>11、投标文件制作（1分）</w:t>
      </w:r>
    </w:p>
    <w:p>
      <w:pPr>
        <w:pStyle w:val="25"/>
        <w:adjustRightInd w:val="0"/>
        <w:snapToGrid w:val="0"/>
        <w:ind w:firstLine="420" w:firstLineChars="200"/>
        <w:rPr>
          <w:rFonts w:hAnsi="宋体" w:cs="宋体"/>
          <w:b/>
          <w:szCs w:val="21"/>
        </w:rPr>
      </w:pPr>
      <w:r>
        <w:rPr>
          <w:rFonts w:hint="eastAsia" w:hAnsi="宋体"/>
          <w:szCs w:val="21"/>
        </w:rPr>
        <w:t>投标文件编制完整，格式规范，合格供应商资格要求、投标文件的编制及评分标准等内容关联到位、投标产品品牌、规格、型号、配件清单清楚并符合招标文件要求的，得1分；投标文件有关内容前后矛盾、与招标文件要求不一致等，评标委员会允许且需要通过询标等程序进行澄清的，该项不得分；投标文件存在其他错漏的，每项（次）扣</w:t>
      </w:r>
      <w:r>
        <w:rPr>
          <w:rFonts w:hAnsi="宋体"/>
          <w:szCs w:val="21"/>
        </w:rPr>
        <w:t xml:space="preserve"> 0.2 </w:t>
      </w:r>
      <w:r>
        <w:rPr>
          <w:rFonts w:hint="eastAsia" w:hAnsi="宋体"/>
          <w:szCs w:val="21"/>
        </w:rPr>
        <w:t>分，扣完该项得分为止；合格供应商资格要求、投标文件的编制及评分标准等内容未进行一一关联，得0分。</w:t>
      </w:r>
    </w:p>
    <w:p>
      <w:pPr>
        <w:pStyle w:val="43"/>
        <w:spacing w:before="0" w:after="0"/>
      </w:pPr>
      <w:r>
        <w:br w:type="page"/>
      </w:r>
      <w:bookmarkStart w:id="46" w:name="_Toc50211560"/>
      <w:r>
        <w:rPr>
          <w:rFonts w:hint="eastAsia"/>
        </w:rPr>
        <w:t>第五章  政府采购合同主要条款（指引）</w:t>
      </w:r>
      <w:bookmarkEnd w:id="46"/>
    </w:p>
    <w:p>
      <w:pPr>
        <w:pStyle w:val="2"/>
      </w:pPr>
      <w:bookmarkStart w:id="47" w:name="_Toc16185637"/>
      <w:bookmarkStart w:id="48" w:name="_Toc50211561"/>
      <w:bookmarkStart w:id="49" w:name="_Toc39655266"/>
      <w:bookmarkStart w:id="50" w:name="_Toc3386511"/>
      <w:bookmarkStart w:id="51" w:name="_Toc42879257"/>
      <w:r>
        <w:rPr>
          <w:rFonts w:hint="eastAsia"/>
        </w:rPr>
        <w:t>一、通用必备条款部分</w:t>
      </w:r>
      <w:bookmarkEnd w:id="47"/>
      <w:bookmarkEnd w:id="48"/>
      <w:bookmarkEnd w:id="49"/>
      <w:bookmarkEnd w:id="50"/>
      <w:bookmarkEnd w:id="51"/>
    </w:p>
    <w:p>
      <w:pPr>
        <w:widowControl/>
        <w:jc w:val="left"/>
        <w:rPr>
          <w:rFonts w:ascii="宋体" w:hAnsi="宋体" w:cs="宋体"/>
          <w:kern w:val="0"/>
          <w:szCs w:val="21"/>
        </w:rPr>
      </w:pPr>
      <w:r>
        <w:rPr>
          <w:rFonts w:hint="eastAsia" w:ascii="宋体" w:hAnsi="宋体" w:cs="宋体"/>
          <w:kern w:val="0"/>
          <w:szCs w:val="21"/>
        </w:rPr>
        <w:t>招标编号：ZJPF-JX2020027</w:t>
      </w:r>
    </w:p>
    <w:p>
      <w:pPr>
        <w:widowControl/>
        <w:jc w:val="left"/>
        <w:rPr>
          <w:rFonts w:ascii="宋体" w:hAnsi="宋体" w:cs="宋体"/>
          <w:kern w:val="0"/>
          <w:szCs w:val="21"/>
        </w:rPr>
      </w:pPr>
      <w:r>
        <w:rPr>
          <w:rFonts w:hint="eastAsia" w:ascii="宋体" w:hAnsi="宋体" w:cs="宋体"/>
          <w:kern w:val="0"/>
          <w:szCs w:val="21"/>
        </w:rPr>
        <w:t>合同编号：ZJPF-JX2020027</w:t>
      </w:r>
    </w:p>
    <w:p>
      <w:pPr>
        <w:widowControl/>
        <w:jc w:val="left"/>
        <w:rPr>
          <w:rFonts w:ascii="宋体" w:hAnsi="宋体" w:cs="宋体"/>
          <w:kern w:val="0"/>
          <w:szCs w:val="21"/>
        </w:rPr>
      </w:pPr>
      <w:r>
        <w:rPr>
          <w:rFonts w:hint="eastAsia" w:ascii="宋体" w:hAnsi="宋体" w:cs="宋体"/>
          <w:kern w:val="0"/>
          <w:szCs w:val="21"/>
        </w:rPr>
        <w:t>政府采购计划（预算）确认号：</w:t>
      </w:r>
      <w:r>
        <w:rPr>
          <w:rFonts w:hint="eastAsia" w:ascii="宋体" w:hAnsi="宋体" w:cs="宋体"/>
          <w:szCs w:val="21"/>
        </w:rPr>
        <w:t>嘉兴市秀洲区财政局</w:t>
      </w:r>
      <w:r>
        <w:rPr>
          <w:rFonts w:ascii="宋体" w:hAnsi="宋体" w:cs="宋体"/>
          <w:szCs w:val="21"/>
        </w:rPr>
        <w:t>XZ-00016060</w:t>
      </w:r>
      <w:r>
        <w:rPr>
          <w:rFonts w:hint="eastAsia" w:ascii="宋体" w:hAnsi="宋体" w:cs="宋体"/>
          <w:szCs w:val="21"/>
        </w:rPr>
        <w:t>号</w:t>
      </w:r>
    </w:p>
    <w:p>
      <w:pPr>
        <w:widowControl/>
        <w:jc w:val="left"/>
        <w:rPr>
          <w:rFonts w:ascii="宋体" w:hAnsi="宋体" w:cs="宋体"/>
          <w:kern w:val="0"/>
          <w:szCs w:val="21"/>
        </w:rPr>
      </w:pPr>
      <w:r>
        <w:rPr>
          <w:rFonts w:hint="eastAsia" w:ascii="宋体" w:hAnsi="宋体" w:cs="宋体"/>
          <w:kern w:val="0"/>
          <w:szCs w:val="21"/>
        </w:rPr>
        <w:t>采购人（以下称甲方）：嘉兴市公安局秀洲区分局</w:t>
      </w:r>
    </w:p>
    <w:p>
      <w:pPr>
        <w:widowControl/>
        <w:jc w:val="left"/>
        <w:rPr>
          <w:rFonts w:ascii="宋体" w:hAnsi="宋体" w:cs="宋体"/>
          <w:kern w:val="0"/>
          <w:szCs w:val="21"/>
        </w:rPr>
      </w:pPr>
      <w:r>
        <w:rPr>
          <w:rFonts w:hint="eastAsia" w:ascii="宋体" w:hAnsi="宋体" w:cs="宋体"/>
          <w:kern w:val="0"/>
          <w:szCs w:val="21"/>
        </w:rPr>
        <w:t>供应商（以下称乙方）：</w:t>
      </w:r>
    </w:p>
    <w:p>
      <w:pPr>
        <w:widowControl/>
        <w:jc w:val="left"/>
        <w:rPr>
          <w:rFonts w:ascii="宋体" w:hAnsi="宋体" w:cs="宋体"/>
          <w:kern w:val="0"/>
          <w:szCs w:val="21"/>
        </w:rPr>
      </w:pPr>
      <w:r>
        <w:rPr>
          <w:rFonts w:hint="eastAsia" w:ascii="宋体" w:hAnsi="宋体" w:cs="宋体"/>
          <w:kern w:val="0"/>
          <w:szCs w:val="21"/>
        </w:rPr>
        <w:t>采购代理机构：浙江浦发工程项目管理有限公司</w:t>
      </w:r>
    </w:p>
    <w:p>
      <w:pPr>
        <w:widowControl/>
        <w:jc w:val="left"/>
        <w:rPr>
          <w:rFonts w:ascii="宋体" w:hAnsi="宋体" w:cs="宋体"/>
          <w:kern w:val="0"/>
          <w:szCs w:val="21"/>
        </w:rPr>
      </w:pPr>
      <w:r>
        <w:rPr>
          <w:rFonts w:hint="eastAsia" w:ascii="宋体" w:hAnsi="宋体" w:cs="宋体"/>
          <w:kern w:val="0"/>
          <w:szCs w:val="21"/>
        </w:rPr>
        <w:t>采购方式：公开招标</w:t>
      </w:r>
    </w:p>
    <w:p>
      <w:pPr>
        <w:widowControl/>
        <w:ind w:firstLine="420" w:firstLineChars="200"/>
        <w:jc w:val="left"/>
        <w:rPr>
          <w:rFonts w:ascii="宋体" w:hAnsi="宋体" w:cs="宋体"/>
          <w:kern w:val="0"/>
          <w:szCs w:val="21"/>
        </w:rPr>
      </w:pPr>
      <w:r>
        <w:rPr>
          <w:rFonts w:hint="eastAsia" w:ascii="宋体" w:hAnsi="宋体" w:cs="宋体"/>
          <w:kern w:val="0"/>
          <w:szCs w:val="21"/>
        </w:rPr>
        <w:t>根据《中华人民共和国政府采购法》、《中华人民共和国合同法》等法律法规的规定，甲乙双方按照</w:t>
      </w:r>
      <w:r>
        <w:rPr>
          <w:rFonts w:ascii="宋体" w:hAnsi="宋体" w:cs="宋体"/>
          <w:kern w:val="0"/>
          <w:szCs w:val="21"/>
          <w:u w:val="single"/>
        </w:rPr>
        <w:t xml:space="preserve"> </w:t>
      </w:r>
      <w:r>
        <w:rPr>
          <w:rFonts w:hint="eastAsia" w:ascii="宋体" w:hAnsi="宋体" w:cs="宋体"/>
          <w:szCs w:val="21"/>
          <w:u w:val="single"/>
        </w:rPr>
        <w:t>嘉兴市公安局秀洲区分局第二期“智安小区”系统购买服务项目</w:t>
      </w:r>
      <w:r>
        <w:rPr>
          <w:rFonts w:ascii="宋体" w:hAnsi="宋体" w:cs="宋体"/>
          <w:szCs w:val="21"/>
          <w:u w:val="single"/>
        </w:rPr>
        <w:t xml:space="preserve"> </w:t>
      </w:r>
      <w:r>
        <w:rPr>
          <w:rFonts w:hint="eastAsia" w:ascii="宋体" w:hAnsi="宋体" w:cs="宋体"/>
          <w:kern w:val="0"/>
          <w:szCs w:val="21"/>
        </w:rPr>
        <w:t>采购结果签订本合同。</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第一条 合同组成</w:t>
      </w:r>
    </w:p>
    <w:p>
      <w:pPr>
        <w:widowControl/>
        <w:ind w:firstLine="420" w:firstLineChars="200"/>
        <w:jc w:val="left"/>
        <w:rPr>
          <w:rFonts w:ascii="宋体" w:hAnsi="宋体" w:cs="宋体"/>
          <w:kern w:val="0"/>
          <w:szCs w:val="21"/>
        </w:rPr>
      </w:pPr>
      <w:r>
        <w:rPr>
          <w:rFonts w:hint="eastAsia" w:ascii="宋体" w:hAnsi="宋体" w:cs="宋体"/>
          <w:kern w:val="0"/>
          <w:szCs w:val="21"/>
        </w:rPr>
        <w:t>本次政府采购活动的相关文件为本合同的组成部分，这些文件包括但不限于：</w:t>
      </w:r>
    </w:p>
    <w:p>
      <w:pPr>
        <w:widowControl/>
        <w:ind w:firstLine="420" w:firstLineChars="200"/>
        <w:jc w:val="left"/>
        <w:rPr>
          <w:rFonts w:ascii="宋体" w:hAnsi="宋体" w:cs="宋体"/>
          <w:kern w:val="0"/>
          <w:szCs w:val="21"/>
        </w:rPr>
      </w:pPr>
      <w:r>
        <w:rPr>
          <w:rFonts w:hint="eastAsia" w:ascii="宋体" w:hAnsi="宋体" w:cs="宋体"/>
          <w:kern w:val="0"/>
          <w:szCs w:val="21"/>
        </w:rPr>
        <w:t>（1）本合同文本；</w:t>
      </w:r>
    </w:p>
    <w:p>
      <w:pPr>
        <w:widowControl/>
        <w:ind w:firstLine="420" w:firstLineChars="200"/>
        <w:jc w:val="left"/>
        <w:rPr>
          <w:rFonts w:ascii="宋体" w:hAnsi="宋体" w:cs="宋体"/>
          <w:kern w:val="0"/>
          <w:szCs w:val="21"/>
        </w:rPr>
      </w:pPr>
      <w:r>
        <w:rPr>
          <w:rFonts w:hint="eastAsia" w:ascii="宋体" w:hAnsi="宋体" w:cs="宋体"/>
          <w:kern w:val="0"/>
          <w:szCs w:val="21"/>
        </w:rPr>
        <w:t>（2）采购文件与采购响应文件；</w:t>
      </w:r>
    </w:p>
    <w:p>
      <w:pPr>
        <w:widowControl/>
        <w:ind w:firstLine="420" w:firstLineChars="200"/>
        <w:jc w:val="left"/>
        <w:rPr>
          <w:rFonts w:ascii="宋体" w:hAnsi="宋体" w:cs="宋体"/>
          <w:kern w:val="0"/>
          <w:szCs w:val="21"/>
        </w:rPr>
      </w:pPr>
      <w:r>
        <w:rPr>
          <w:rFonts w:hint="eastAsia" w:ascii="宋体" w:hAnsi="宋体" w:cs="宋体"/>
          <w:kern w:val="0"/>
          <w:szCs w:val="21"/>
        </w:rPr>
        <w:t>（3）中标或成交通知书。</w:t>
      </w:r>
    </w:p>
    <w:p>
      <w:pPr>
        <w:widowControl/>
        <w:ind w:firstLine="420" w:firstLineChars="200"/>
        <w:jc w:val="left"/>
        <w:rPr>
          <w:rFonts w:ascii="宋体" w:hAnsi="宋体" w:cs="宋体"/>
          <w:kern w:val="0"/>
          <w:szCs w:val="21"/>
        </w:rPr>
      </w:pPr>
      <w:r>
        <w:rPr>
          <w:rFonts w:hint="eastAsia" w:ascii="宋体" w:hAnsi="宋体" w:cs="宋体"/>
          <w:kern w:val="0"/>
          <w:szCs w:val="21"/>
        </w:rPr>
        <w:t>组成本合同的所有文件必须为书面形式。政府采购合同备案时，须提供以上（1）、（3）两项，如由社会中介机构代理，须提供代理协议，合同如有变更的，须提供变更协议。</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第二条 合同标的与相关属性</w:t>
      </w:r>
    </w:p>
    <w:p>
      <w:pPr>
        <w:widowControl/>
        <w:ind w:firstLine="420" w:firstLineChars="200"/>
        <w:jc w:val="left"/>
        <w:rPr>
          <w:rFonts w:ascii="宋体" w:hAnsi="宋体" w:cs="宋体"/>
          <w:kern w:val="0"/>
          <w:szCs w:val="21"/>
        </w:rPr>
      </w:pPr>
      <w:r>
        <w:rPr>
          <w:rFonts w:hint="eastAsia" w:ascii="宋体" w:hAnsi="宋体" w:cs="宋体"/>
          <w:kern w:val="0"/>
          <w:szCs w:val="21"/>
        </w:rPr>
        <w:t>1、本次采购的是</w:t>
      </w:r>
      <w:r>
        <w:rPr>
          <w:rFonts w:hint="eastAsia" w:ascii="宋体" w:hAnsi="宋体" w:cs="宋体"/>
          <w:kern w:val="0"/>
          <w:szCs w:val="21"/>
          <w:u w:val="single"/>
        </w:rPr>
        <w:t xml:space="preserve"> 嘉兴市公安局秀洲区分局第二期“智安小区”系统购买服务项目 </w:t>
      </w:r>
      <w:r>
        <w:rPr>
          <w:rFonts w:hint="eastAsia" w:ascii="宋体" w:hAnsi="宋体" w:cs="宋体"/>
          <w:kern w:val="0"/>
          <w:szCs w:val="21"/>
        </w:rPr>
        <w:t>。</w:t>
      </w:r>
    </w:p>
    <w:p>
      <w:pPr>
        <w:widowControl/>
        <w:ind w:firstLine="420" w:firstLineChars="200"/>
        <w:jc w:val="left"/>
        <w:rPr>
          <w:rFonts w:ascii="宋体" w:hAnsi="宋体" w:cs="宋体"/>
          <w:kern w:val="0"/>
          <w:szCs w:val="21"/>
        </w:rPr>
      </w:pPr>
      <w:r>
        <w:rPr>
          <w:rFonts w:hint="eastAsia" w:ascii="宋体" w:hAnsi="宋体" w:cs="宋体"/>
          <w:kern w:val="0"/>
          <w:szCs w:val="21"/>
        </w:rPr>
        <w:t>2、乙方是否属于中小微企业：</w:t>
      </w:r>
      <w:r>
        <w:rPr>
          <w:rFonts w:hint="eastAsia" w:ascii="宋体" w:hAnsi="宋体" w:cs="宋体"/>
          <w:kern w:val="0"/>
          <w:szCs w:val="21"/>
        </w:rPr>
        <w:sym w:font="Wingdings 2" w:char="00A3"/>
      </w:r>
      <w:r>
        <w:rPr>
          <w:rFonts w:hint="eastAsia" w:ascii="宋体" w:hAnsi="宋体" w:cs="宋体"/>
          <w:kern w:val="0"/>
          <w:szCs w:val="21"/>
        </w:rPr>
        <w:t>是  □否</w:t>
      </w:r>
    </w:p>
    <w:p>
      <w:pPr>
        <w:widowControl/>
        <w:ind w:firstLine="420" w:firstLineChars="200"/>
        <w:jc w:val="left"/>
        <w:rPr>
          <w:rFonts w:ascii="宋体" w:hAnsi="宋体" w:cs="宋体"/>
          <w:kern w:val="0"/>
          <w:szCs w:val="21"/>
        </w:rPr>
      </w:pPr>
      <w:r>
        <w:rPr>
          <w:rFonts w:hint="eastAsia" w:ascii="宋体" w:hAnsi="宋体" w:cs="宋体"/>
          <w:kern w:val="0"/>
          <w:szCs w:val="21"/>
        </w:rPr>
        <w:t>3、本合同项下产品属于（可多选）：□环保产品；□节能产品；□进口产品</w:t>
      </w:r>
    </w:p>
    <w:tbl>
      <w:tblPr>
        <w:tblStyle w:val="46"/>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
        <w:gridCol w:w="1674"/>
        <w:gridCol w:w="2148"/>
        <w:gridCol w:w="1156"/>
        <w:gridCol w:w="771"/>
        <w:gridCol w:w="1733"/>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91" w:hRule="atLeast"/>
          <w:jc w:val="center"/>
        </w:trPr>
        <w:tc>
          <w:tcPr>
            <w:tcW w:w="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rFonts w:hint="eastAsia"/>
                <w:b/>
                <w:sz w:val="18"/>
                <w:szCs w:val="18"/>
              </w:rPr>
              <w:t>序号</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rFonts w:hint="eastAsia"/>
                <w:b/>
                <w:sz w:val="18"/>
                <w:szCs w:val="18"/>
              </w:rPr>
              <w:t>品目名称</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rFonts w:hint="eastAsia"/>
                <w:b/>
                <w:sz w:val="18"/>
                <w:szCs w:val="18"/>
              </w:rPr>
              <w:t>规格型号、技术参数</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rFonts w:hint="eastAsia"/>
                <w:b/>
                <w:sz w:val="18"/>
                <w:szCs w:val="18"/>
              </w:rPr>
              <w:t>单位</w:t>
            </w: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rFonts w:hint="eastAsia"/>
                <w:b/>
                <w:sz w:val="18"/>
                <w:szCs w:val="18"/>
              </w:rPr>
              <w:t>数量</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rFonts w:hint="eastAsia"/>
                <w:b/>
                <w:sz w:val="18"/>
                <w:szCs w:val="18"/>
              </w:rPr>
              <w:t>预算金额</w:t>
            </w:r>
            <w:r>
              <w:rPr>
                <w:b/>
                <w:sz w:val="18"/>
                <w:szCs w:val="18"/>
              </w:rPr>
              <w:t>(</w:t>
            </w:r>
            <w:r>
              <w:rPr>
                <w:rFonts w:hint="eastAsia"/>
                <w:b/>
                <w:sz w:val="18"/>
                <w:szCs w:val="18"/>
              </w:rPr>
              <w:t>元</w:t>
            </w:r>
            <w:r>
              <w:rPr>
                <w:b/>
                <w:sz w:val="18"/>
                <w:szCs w:val="18"/>
              </w:rPr>
              <w:t>)</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rFonts w:hint="eastAsia"/>
                <w:b/>
                <w:sz w:val="18"/>
                <w:szCs w:val="18"/>
              </w:rPr>
              <w:t>采购金额</w:t>
            </w:r>
            <w:r>
              <w:rPr>
                <w:b/>
                <w:sz w:val="18"/>
                <w:szCs w:val="18"/>
              </w:rPr>
              <w:t>(</w:t>
            </w:r>
            <w:r>
              <w:rPr>
                <w:rFonts w:hint="eastAsia"/>
                <w:b/>
                <w:sz w:val="18"/>
                <w:szCs w:val="18"/>
              </w:rPr>
              <w:t>元</w:t>
            </w:r>
            <w:r>
              <w:rPr>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3"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682"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214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733"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733"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5"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682"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214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733"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733"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1"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tc>
        <w:tc>
          <w:tcPr>
            <w:tcW w:w="4986" w:type="dxa"/>
            <w:gridSpan w:val="4"/>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rFonts w:hint="eastAsia"/>
                <w:b/>
                <w:sz w:val="18"/>
                <w:szCs w:val="18"/>
              </w:rPr>
              <w:t>合</w:t>
            </w:r>
            <w:r>
              <w:rPr>
                <w:b/>
                <w:sz w:val="18"/>
                <w:szCs w:val="18"/>
              </w:rPr>
              <w:t xml:space="preserve"> </w:t>
            </w:r>
            <w:r>
              <w:rPr>
                <w:rFonts w:hint="eastAsia"/>
                <w:b/>
                <w:sz w:val="18"/>
                <w:szCs w:val="18"/>
              </w:rPr>
              <w:t>计</w:t>
            </w:r>
          </w:p>
        </w:tc>
        <w:tc>
          <w:tcPr>
            <w:tcW w:w="771"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733"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733"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r>
    </w:tbl>
    <w:p>
      <w:pPr>
        <w:widowControl/>
        <w:ind w:firstLine="422" w:firstLineChars="200"/>
        <w:jc w:val="left"/>
        <w:rPr>
          <w:rFonts w:ascii="宋体" w:hAnsi="宋体" w:cs="宋体"/>
          <w:b/>
          <w:bCs/>
          <w:kern w:val="0"/>
          <w:szCs w:val="21"/>
        </w:rPr>
      </w:pPr>
      <w:r>
        <w:rPr>
          <w:rFonts w:hint="eastAsia" w:ascii="宋体" w:hAnsi="宋体" w:cs="宋体"/>
          <w:b/>
          <w:bCs/>
          <w:kern w:val="0"/>
          <w:szCs w:val="21"/>
        </w:rPr>
        <w:t>第三条 合同价款</w:t>
      </w:r>
    </w:p>
    <w:p>
      <w:pPr>
        <w:widowControl/>
        <w:ind w:firstLine="420" w:firstLineChars="200"/>
        <w:jc w:val="left"/>
        <w:rPr>
          <w:rFonts w:ascii="宋体" w:hAnsi="宋体" w:cs="宋体"/>
          <w:kern w:val="0"/>
          <w:szCs w:val="21"/>
        </w:rPr>
      </w:pPr>
      <w:r>
        <w:rPr>
          <w:rFonts w:hint="eastAsia" w:ascii="宋体" w:hAnsi="宋体" w:cs="宋体"/>
          <w:kern w:val="0"/>
          <w:szCs w:val="21"/>
        </w:rPr>
        <w:t>1、本合同项下总价款为</w:t>
      </w:r>
      <w:r>
        <w:rPr>
          <w:rFonts w:hint="eastAsia" w:ascii="宋体" w:hAnsi="宋体" w:cs="宋体"/>
          <w:kern w:val="0"/>
          <w:szCs w:val="21"/>
          <w:u w:val="single"/>
        </w:rPr>
        <w:t xml:space="preserve">￥         </w:t>
      </w:r>
      <w:r>
        <w:rPr>
          <w:rFonts w:hint="eastAsia" w:ascii="宋体" w:hAnsi="宋体" w:cs="宋体"/>
          <w:kern w:val="0"/>
          <w:szCs w:val="21"/>
        </w:rPr>
        <w:t>元（大写）人民币</w:t>
      </w:r>
      <w:r>
        <w:rPr>
          <w:rFonts w:hint="eastAsia" w:ascii="宋体" w:hAnsi="宋体" w:cs="宋体"/>
          <w:kern w:val="0"/>
          <w:szCs w:val="21"/>
          <w:u w:val="single"/>
        </w:rPr>
        <w:t xml:space="preserve">              </w:t>
      </w:r>
      <w:r>
        <w:rPr>
          <w:rFonts w:hint="eastAsia" w:ascii="宋体" w:hAnsi="宋体" w:cs="宋体"/>
          <w:kern w:val="0"/>
          <w:szCs w:val="21"/>
        </w:rPr>
        <w:t>元，分项价款在“投标报价表”中明确。</w:t>
      </w:r>
    </w:p>
    <w:p>
      <w:pPr>
        <w:widowControl/>
        <w:ind w:firstLine="420" w:firstLineChars="200"/>
        <w:jc w:val="left"/>
        <w:rPr>
          <w:rFonts w:ascii="宋体" w:hAnsi="宋体" w:cs="宋体"/>
          <w:kern w:val="0"/>
          <w:szCs w:val="21"/>
        </w:rPr>
      </w:pPr>
      <w:r>
        <w:rPr>
          <w:rFonts w:hint="eastAsia" w:ascii="宋体" w:hAnsi="宋体" w:cs="宋体"/>
          <w:kern w:val="0"/>
          <w:szCs w:val="21"/>
        </w:rPr>
        <w:t>2、本合同总价款含所有税费(包括货款、标准附件、备品备件、专用工具、包装、运输、装卸、保险、税金、货到就位以及安装、调试、培训、保修、招标服务费等一切费用。)</w:t>
      </w:r>
    </w:p>
    <w:p>
      <w:pPr>
        <w:widowControl/>
        <w:ind w:firstLine="420" w:firstLineChars="200"/>
        <w:jc w:val="left"/>
        <w:rPr>
          <w:rFonts w:ascii="宋体" w:hAnsi="宋体" w:cs="宋体"/>
          <w:kern w:val="0"/>
          <w:szCs w:val="21"/>
        </w:rPr>
      </w:pPr>
      <w:r>
        <w:rPr>
          <w:rFonts w:hint="eastAsia" w:ascii="宋体" w:hAnsi="宋体" w:cs="宋体"/>
          <w:kern w:val="0"/>
          <w:szCs w:val="21"/>
        </w:rPr>
        <w:t>3、本合同付款方式为以下第</w:t>
      </w:r>
      <w:r>
        <w:rPr>
          <w:rFonts w:hint="eastAsia" w:ascii="宋体" w:hAnsi="宋体" w:cs="宋体"/>
          <w:kern w:val="0"/>
          <w:szCs w:val="21"/>
          <w:u w:val="single"/>
        </w:rPr>
        <w:t xml:space="preserve">        </w:t>
      </w:r>
      <w:r>
        <w:rPr>
          <w:rFonts w:hint="eastAsia" w:ascii="宋体" w:hAnsi="宋体" w:cs="宋体"/>
          <w:kern w:val="0"/>
          <w:szCs w:val="21"/>
        </w:rPr>
        <w:t>项：</w:t>
      </w:r>
    </w:p>
    <w:p>
      <w:pPr>
        <w:widowControl/>
        <w:ind w:firstLine="420" w:firstLineChars="200"/>
        <w:jc w:val="left"/>
        <w:rPr>
          <w:rFonts w:ascii="宋体" w:hAnsi="宋体" w:cs="宋体"/>
          <w:kern w:val="0"/>
          <w:szCs w:val="21"/>
        </w:rPr>
      </w:pPr>
      <w:r>
        <w:rPr>
          <w:rFonts w:hint="eastAsia" w:ascii="宋体" w:hAnsi="宋体" w:cs="宋体"/>
          <w:kern w:val="0"/>
          <w:szCs w:val="21"/>
        </w:rPr>
        <w:t>（1）本合同项下的采购资金系甲方自行支付，付款程序为</w:t>
      </w:r>
      <w:bookmarkStart w:id="52" w:name="OLE_LINK4"/>
      <w:r>
        <w:rPr>
          <w:rFonts w:hint="eastAsia" w:ascii="宋体" w:hAnsi="宋体" w:cs="宋体"/>
          <w:kern w:val="0"/>
          <w:szCs w:val="21"/>
          <w:u w:val="single"/>
        </w:rPr>
        <w:t xml:space="preserve">                     </w:t>
      </w:r>
      <w:r>
        <w:rPr>
          <w:rFonts w:hint="eastAsia" w:ascii="宋体" w:hAnsi="宋体" w:cs="宋体"/>
          <w:kern w:val="0"/>
          <w:szCs w:val="21"/>
        </w:rPr>
        <w:t>；</w:t>
      </w:r>
      <w:bookmarkEnd w:id="52"/>
    </w:p>
    <w:p>
      <w:pPr>
        <w:widowControl/>
        <w:ind w:firstLine="420" w:firstLineChars="200"/>
        <w:jc w:val="left"/>
        <w:rPr>
          <w:rFonts w:ascii="宋体" w:hAnsi="宋体" w:cs="宋体"/>
          <w:kern w:val="0"/>
          <w:szCs w:val="21"/>
        </w:rPr>
      </w:pPr>
      <w:r>
        <w:rPr>
          <w:rFonts w:hint="eastAsia" w:ascii="宋体" w:hAnsi="宋体" w:cs="宋体"/>
          <w:kern w:val="0"/>
          <w:szCs w:val="21"/>
        </w:rPr>
        <w:t>（2）本合同项下的采购资金须财政直接支付，付款程序为：</w:t>
      </w:r>
      <w:r>
        <w:rPr>
          <w:rFonts w:hint="eastAsia" w:ascii="宋体" w:hAnsi="宋体" w:cs="宋体"/>
          <w:kern w:val="0"/>
          <w:szCs w:val="21"/>
          <w:u w:val="single"/>
        </w:rPr>
        <w:t xml:space="preserve">                    </w:t>
      </w:r>
      <w:r>
        <w:rPr>
          <w:rFonts w:hint="eastAsia" w:ascii="宋体" w:hAnsi="宋体" w:cs="宋体"/>
          <w:kern w:val="0"/>
          <w:szCs w:val="21"/>
        </w:rPr>
        <w:t>。</w:t>
      </w:r>
    </w:p>
    <w:p>
      <w:pPr>
        <w:widowControl/>
        <w:ind w:firstLine="420" w:firstLineChars="200"/>
        <w:jc w:val="left"/>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w:t>
      </w:r>
      <w:r>
        <w:rPr>
          <w:rFonts w:hint="eastAsia" w:ascii="宋体" w:hAnsi="宋体" w:cs="宋体"/>
          <w:kern w:val="0"/>
          <w:szCs w:val="21"/>
        </w:rPr>
        <w:t>。</w:t>
      </w:r>
    </w:p>
    <w:p>
      <w:pPr>
        <w:widowControl/>
        <w:ind w:firstLine="420" w:firstLineChars="200"/>
        <w:jc w:val="left"/>
        <w:rPr>
          <w:rFonts w:ascii="宋体" w:hAnsi="宋体" w:cs="宋体"/>
          <w:kern w:val="0"/>
          <w:szCs w:val="21"/>
        </w:rPr>
      </w:pPr>
      <w:r>
        <w:rPr>
          <w:rFonts w:hint="eastAsia" w:ascii="宋体" w:hAnsi="宋体" w:cs="宋体"/>
          <w:kern w:val="0"/>
          <w:szCs w:val="21"/>
        </w:rPr>
        <w:t>4、本合同项下的采购资金付款进度按招投标文件规定，未规定时按以下第</w:t>
      </w:r>
      <w:r>
        <w:rPr>
          <w:rFonts w:hint="eastAsia" w:ascii="宋体" w:hAnsi="宋体" w:cs="宋体"/>
          <w:kern w:val="0"/>
          <w:szCs w:val="21"/>
          <w:u w:val="single"/>
        </w:rPr>
        <w:t xml:space="preserve">     </w:t>
      </w:r>
      <w:r>
        <w:rPr>
          <w:rFonts w:hint="eastAsia" w:ascii="宋体" w:hAnsi="宋体" w:cs="宋体"/>
          <w:kern w:val="0"/>
          <w:szCs w:val="21"/>
        </w:rPr>
        <w:t>项支付：</w:t>
      </w:r>
    </w:p>
    <w:p>
      <w:pPr>
        <w:widowControl/>
        <w:ind w:firstLine="420" w:firstLineChars="200"/>
        <w:jc w:val="left"/>
        <w:rPr>
          <w:rFonts w:ascii="宋体" w:hAnsi="宋体" w:cs="宋体"/>
          <w:kern w:val="0"/>
          <w:szCs w:val="21"/>
        </w:rPr>
      </w:pPr>
      <w:r>
        <w:rPr>
          <w:rFonts w:hint="eastAsia" w:ascii="宋体" w:hAnsi="宋体" w:cs="宋体"/>
          <w:kern w:val="0"/>
          <w:szCs w:val="21"/>
        </w:rPr>
        <w:t>（1）一次性付款：乙方合同履行达到</w:t>
      </w:r>
      <w:r>
        <w:rPr>
          <w:rFonts w:hint="eastAsia" w:ascii="宋体" w:hAnsi="宋体" w:cs="宋体"/>
          <w:kern w:val="0"/>
          <w:szCs w:val="21"/>
          <w:u w:val="single"/>
        </w:rPr>
        <w:t xml:space="preserve">         </w:t>
      </w:r>
      <w:r>
        <w:rPr>
          <w:rFonts w:hint="eastAsia" w:ascii="宋体" w:hAnsi="宋体" w:cs="宋体"/>
          <w:kern w:val="0"/>
          <w:szCs w:val="21"/>
        </w:rPr>
        <w:t>（条件）时，一次性付款；</w:t>
      </w:r>
    </w:p>
    <w:p>
      <w:pPr>
        <w:widowControl/>
        <w:ind w:firstLine="420" w:firstLineChars="200"/>
        <w:jc w:val="left"/>
        <w:rPr>
          <w:rFonts w:ascii="宋体" w:hAnsi="宋体" w:cs="宋体"/>
          <w:kern w:val="0"/>
          <w:szCs w:val="21"/>
        </w:rPr>
      </w:pPr>
      <w:r>
        <w:rPr>
          <w:rFonts w:hint="eastAsia" w:ascii="宋体" w:hAnsi="宋体" w:cs="宋体"/>
          <w:kern w:val="0"/>
          <w:szCs w:val="21"/>
        </w:rPr>
        <w:t>（2）分期付款：</w:t>
      </w:r>
      <w:r>
        <w:rPr>
          <w:rFonts w:hint="eastAsia" w:ascii="宋体" w:hAnsi="宋体" w:cs="宋体"/>
          <w:kern w:val="0"/>
          <w:szCs w:val="21"/>
          <w:u w:val="single"/>
        </w:rPr>
        <w:t xml:space="preserve">        </w:t>
      </w:r>
      <w:r>
        <w:rPr>
          <w:rFonts w:hint="eastAsia" w:ascii="宋体" w:hAnsi="宋体" w:cs="宋体"/>
          <w:kern w:val="0"/>
          <w:szCs w:val="21"/>
        </w:rPr>
        <w:t>时支付</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时支付</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时支付</w:t>
      </w:r>
      <w:r>
        <w:rPr>
          <w:rFonts w:hint="eastAsia" w:ascii="宋体" w:hAnsi="宋体" w:cs="宋体"/>
          <w:kern w:val="0"/>
          <w:szCs w:val="21"/>
          <w:u w:val="single"/>
        </w:rPr>
        <w:t xml:space="preserve">        </w:t>
      </w:r>
      <w:r>
        <w:rPr>
          <w:rFonts w:hint="eastAsia" w:ascii="宋体" w:hAnsi="宋体" w:cs="宋体"/>
          <w:kern w:val="0"/>
          <w:szCs w:val="21"/>
        </w:rPr>
        <w:t>；</w:t>
      </w:r>
    </w:p>
    <w:p>
      <w:pPr>
        <w:widowControl/>
        <w:ind w:firstLine="420" w:firstLineChars="200"/>
        <w:jc w:val="left"/>
        <w:rPr>
          <w:rFonts w:ascii="宋体" w:hAnsi="宋体" w:cs="宋体"/>
          <w:kern w:val="0"/>
          <w:szCs w:val="21"/>
        </w:rPr>
      </w:pPr>
      <w:r>
        <w:rPr>
          <w:rFonts w:hint="eastAsia" w:ascii="宋体" w:hAnsi="宋体" w:cs="宋体"/>
          <w:kern w:val="0"/>
          <w:szCs w:val="21"/>
        </w:rPr>
        <w:t>若收取了履约保证金，则不应重复设置尾款支付条件。</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第四条 履约保证金</w:t>
      </w:r>
    </w:p>
    <w:p>
      <w:pPr>
        <w:widowControl/>
        <w:ind w:firstLine="420" w:firstLineChars="200"/>
        <w:jc w:val="left"/>
        <w:rPr>
          <w:rFonts w:ascii="宋体" w:hAnsi="宋体" w:cs="宋体"/>
          <w:kern w:val="0"/>
          <w:szCs w:val="21"/>
        </w:rPr>
      </w:pPr>
      <w:r>
        <w:rPr>
          <w:rFonts w:hint="eastAsia" w:ascii="宋体" w:hAnsi="宋体" w:cs="宋体"/>
          <w:kern w:val="0"/>
          <w:szCs w:val="21"/>
        </w:rPr>
        <w:t>按以下第</w:t>
      </w:r>
      <w:r>
        <w:rPr>
          <w:rFonts w:hint="eastAsia" w:ascii="宋体" w:hAnsi="宋体" w:cs="宋体"/>
          <w:kern w:val="0"/>
          <w:szCs w:val="21"/>
          <w:u w:val="single"/>
        </w:rPr>
        <w:t xml:space="preserve">   </w:t>
      </w:r>
      <w:r>
        <w:rPr>
          <w:rFonts w:hint="eastAsia" w:ascii="宋体" w:hAnsi="宋体" w:cs="宋体"/>
          <w:kern w:val="0"/>
          <w:szCs w:val="21"/>
        </w:rPr>
        <w:t>项处理：</w:t>
      </w:r>
    </w:p>
    <w:p>
      <w:pPr>
        <w:widowControl/>
        <w:ind w:firstLine="420" w:firstLineChars="200"/>
        <w:jc w:val="left"/>
        <w:rPr>
          <w:rFonts w:ascii="宋体" w:hAnsi="宋体" w:cs="宋体"/>
          <w:kern w:val="0"/>
          <w:szCs w:val="21"/>
        </w:rPr>
      </w:pPr>
      <w:r>
        <w:rPr>
          <w:rFonts w:hint="eastAsia" w:ascii="宋体" w:hAnsi="宋体" w:cs="宋体"/>
          <w:kern w:val="0"/>
          <w:szCs w:val="21"/>
        </w:rPr>
        <w:t>1、本项目设置履约保证金，乙方应于签订合同后7个日历日内向甲方提交履约保证金</w:t>
      </w:r>
      <w:r>
        <w:rPr>
          <w:rFonts w:hint="eastAsia" w:ascii="宋体" w:hAnsi="宋体" w:cs="宋体"/>
          <w:kern w:val="0"/>
          <w:szCs w:val="21"/>
          <w:u w:val="single"/>
        </w:rPr>
        <w:t xml:space="preserve">         </w:t>
      </w:r>
      <w:r>
        <w:rPr>
          <w:rFonts w:hint="eastAsia" w:ascii="宋体" w:hAnsi="宋体" w:cs="宋体"/>
          <w:kern w:val="0"/>
          <w:szCs w:val="21"/>
        </w:rPr>
        <w:t>元（本合同金额的5%）。签订合同后且履约保证金已缴纳，如中标人不按双方合同约定履约，则没收其全部履约保证金，履约保证金不足以赔偿损失的，按实际损失赔偿。</w:t>
      </w:r>
      <w:r>
        <w:rPr>
          <w:rFonts w:hint="eastAsia" w:ascii="宋体" w:hAnsi="宋体" w:cs="宋体"/>
          <w:szCs w:val="21"/>
        </w:rPr>
        <w:t>履约保证金在项目竣工验收合格自动后转为质量保证金，在承诺质保期内，中标供应商提供的货物及服务质量符合合同约定，质保期满后无息退还。</w:t>
      </w:r>
    </w:p>
    <w:p>
      <w:pPr>
        <w:widowControl/>
        <w:ind w:firstLine="420" w:firstLineChars="200"/>
        <w:jc w:val="left"/>
        <w:rPr>
          <w:rFonts w:ascii="宋体" w:hAnsi="宋体" w:cs="宋体"/>
          <w:kern w:val="0"/>
          <w:szCs w:val="21"/>
        </w:rPr>
      </w:pPr>
      <w:r>
        <w:rPr>
          <w:rFonts w:hint="eastAsia" w:ascii="宋体" w:hAnsi="宋体" w:cs="宋体"/>
          <w:kern w:val="0"/>
          <w:szCs w:val="21"/>
        </w:rPr>
        <w:t>2、本项目不设置履约保证金</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第五条 合同的变更和终止</w:t>
      </w:r>
    </w:p>
    <w:p>
      <w:pPr>
        <w:widowControl/>
        <w:ind w:firstLine="420" w:firstLineChars="200"/>
        <w:jc w:val="left"/>
        <w:rPr>
          <w:rFonts w:ascii="宋体" w:hAnsi="宋体" w:cs="宋体"/>
          <w:kern w:val="0"/>
          <w:szCs w:val="21"/>
        </w:rPr>
      </w:pPr>
      <w:r>
        <w:rPr>
          <w:rFonts w:hint="eastAsia" w:ascii="宋体" w:hAnsi="宋体" w:cs="宋体"/>
          <w:kern w:val="0"/>
          <w:szCs w:val="21"/>
        </w:rPr>
        <w:t>除《政府采购法》第49条、第50条第二款规定的情形外，本合同一经签订，甲乙双方不得擅自终止合同或对合同实质性条款进行变更。确有特殊情况的，须经同级财政部门备案同意。</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第六条 合同的转让与分包</w:t>
      </w:r>
    </w:p>
    <w:p>
      <w:pPr>
        <w:widowControl/>
        <w:ind w:firstLine="420" w:firstLineChars="200"/>
        <w:jc w:val="left"/>
        <w:rPr>
          <w:rFonts w:ascii="宋体" w:hAnsi="宋体" w:cs="宋体"/>
          <w:kern w:val="0"/>
          <w:szCs w:val="21"/>
        </w:rPr>
      </w:pPr>
      <w:r>
        <w:rPr>
          <w:rFonts w:hint="eastAsia" w:ascii="宋体" w:hAnsi="宋体" w:cs="宋体"/>
          <w:kern w:val="0"/>
          <w:szCs w:val="21"/>
        </w:rPr>
        <w:t>乙方不得擅自部分或全部转让其应履行的合同义务。乙方分包的，应经过甲方书面同意。</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第七条 争议的解决</w:t>
      </w:r>
    </w:p>
    <w:p>
      <w:pPr>
        <w:widowControl/>
        <w:ind w:firstLine="420" w:firstLineChars="200"/>
        <w:jc w:val="left"/>
        <w:rPr>
          <w:rFonts w:ascii="宋体" w:hAnsi="宋体" w:cs="宋体"/>
          <w:kern w:val="0"/>
          <w:szCs w:val="21"/>
        </w:rPr>
      </w:pPr>
      <w:r>
        <w:rPr>
          <w:rFonts w:hint="eastAsia" w:ascii="宋体" w:hAnsi="宋体" w:cs="宋体"/>
          <w:kern w:val="0"/>
          <w:szCs w:val="21"/>
        </w:rPr>
        <w:t>1、因履行本合同引起的或与本合同有关的争议，甲、乙双方应首先通过友好协商解决，如果协商不能解决争议，则采取以下第</w:t>
      </w:r>
      <w:r>
        <w:rPr>
          <w:rFonts w:hint="eastAsia" w:ascii="宋体" w:hAnsi="宋体" w:cs="宋体"/>
          <w:kern w:val="0"/>
          <w:szCs w:val="21"/>
          <w:u w:val="single"/>
        </w:rPr>
        <w:t xml:space="preserve">  （1）  </w:t>
      </w:r>
      <w:r>
        <w:rPr>
          <w:rFonts w:hint="eastAsia" w:ascii="宋体" w:hAnsi="宋体" w:cs="宋体"/>
          <w:kern w:val="0"/>
          <w:szCs w:val="21"/>
        </w:rPr>
        <w:t>种方式解决争议：</w:t>
      </w:r>
    </w:p>
    <w:p>
      <w:pPr>
        <w:widowControl/>
        <w:ind w:firstLine="420" w:firstLineChars="200"/>
        <w:jc w:val="left"/>
        <w:rPr>
          <w:rFonts w:ascii="宋体" w:hAnsi="宋体" w:cs="宋体"/>
          <w:kern w:val="0"/>
          <w:szCs w:val="21"/>
        </w:rPr>
      </w:pPr>
      <w:r>
        <w:rPr>
          <w:rFonts w:hint="eastAsia" w:ascii="宋体" w:hAnsi="宋体" w:cs="宋体"/>
          <w:kern w:val="0"/>
          <w:szCs w:val="21"/>
        </w:rPr>
        <w:t>（1）向甲方所在地有管辖权的人民法院提起诉讼；</w:t>
      </w:r>
    </w:p>
    <w:p>
      <w:pPr>
        <w:widowControl/>
        <w:ind w:firstLine="420" w:firstLineChars="200"/>
        <w:jc w:val="left"/>
        <w:rPr>
          <w:rFonts w:ascii="宋体" w:hAnsi="宋体" w:cs="宋体"/>
          <w:kern w:val="0"/>
          <w:szCs w:val="21"/>
        </w:rPr>
      </w:pPr>
      <w:r>
        <w:rPr>
          <w:rFonts w:hint="eastAsia" w:ascii="宋体" w:hAnsi="宋体" w:cs="宋体"/>
          <w:kern w:val="0"/>
          <w:szCs w:val="21"/>
        </w:rPr>
        <w:t>（2）向</w:t>
      </w:r>
      <w:r>
        <w:rPr>
          <w:rFonts w:hint="eastAsia" w:ascii="宋体" w:hAnsi="宋体" w:cs="宋体"/>
          <w:kern w:val="0"/>
          <w:szCs w:val="21"/>
          <w:u w:val="single"/>
        </w:rPr>
        <w:t xml:space="preserve">         </w:t>
      </w:r>
      <w:r>
        <w:rPr>
          <w:rFonts w:hint="eastAsia" w:ascii="宋体" w:hAnsi="宋体" w:cs="宋体"/>
          <w:kern w:val="0"/>
          <w:szCs w:val="21"/>
        </w:rPr>
        <w:t>仲裁委员申请仲裁。</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第八条 合同备案及其他</w:t>
      </w:r>
    </w:p>
    <w:p>
      <w:pPr>
        <w:widowControl/>
        <w:jc w:val="left"/>
        <w:rPr>
          <w:rFonts w:ascii="宋体" w:hAnsi="宋体" w:cs="宋体"/>
          <w:kern w:val="0"/>
          <w:szCs w:val="21"/>
        </w:rPr>
      </w:pPr>
      <w:r>
        <w:rPr>
          <w:rFonts w:hint="eastAsia" w:ascii="宋体" w:hAnsi="宋体" w:cs="宋体"/>
          <w:kern w:val="0"/>
          <w:szCs w:val="21"/>
        </w:rPr>
        <w:t xml:space="preserve">    本合同一式</w:t>
      </w:r>
      <w:r>
        <w:rPr>
          <w:rFonts w:hint="eastAsia" w:ascii="宋体" w:hAnsi="宋体" w:cs="宋体"/>
          <w:kern w:val="0"/>
          <w:szCs w:val="21"/>
          <w:u w:val="single"/>
        </w:rPr>
        <w:t xml:space="preserve">  </w:t>
      </w:r>
      <w:r>
        <w:rPr>
          <w:rFonts w:ascii="宋体" w:hAnsi="宋体" w:cs="宋体"/>
          <w:kern w:val="0"/>
          <w:szCs w:val="21"/>
          <w:u w:val="single"/>
        </w:rPr>
        <w:t>五</w:t>
      </w:r>
      <w:r>
        <w:rPr>
          <w:rFonts w:hint="eastAsia" w:ascii="宋体" w:hAnsi="宋体" w:cs="宋体"/>
          <w:kern w:val="0"/>
          <w:szCs w:val="21"/>
          <w:u w:val="single"/>
        </w:rPr>
        <w:t xml:space="preserve"> </w:t>
      </w:r>
      <w:r>
        <w:rPr>
          <w:rFonts w:hint="eastAsia" w:ascii="宋体" w:hAnsi="宋体" w:cs="宋体"/>
          <w:kern w:val="0"/>
          <w:szCs w:val="21"/>
        </w:rPr>
        <w:t>份，甲乙双方各执</w:t>
      </w:r>
      <w:r>
        <w:rPr>
          <w:rFonts w:hint="eastAsia" w:ascii="宋体" w:hAnsi="宋体" w:cs="宋体"/>
          <w:kern w:val="0"/>
          <w:szCs w:val="21"/>
          <w:u w:val="single"/>
        </w:rPr>
        <w:t xml:space="preserve"> </w:t>
      </w:r>
      <w:r>
        <w:rPr>
          <w:rFonts w:ascii="宋体" w:hAnsi="宋体" w:cs="宋体"/>
          <w:kern w:val="0"/>
          <w:szCs w:val="21"/>
          <w:u w:val="single"/>
        </w:rPr>
        <w:t>一</w:t>
      </w:r>
      <w:r>
        <w:rPr>
          <w:rFonts w:hint="eastAsia" w:ascii="宋体" w:hAnsi="宋体" w:cs="宋体"/>
          <w:kern w:val="0"/>
          <w:szCs w:val="21"/>
          <w:u w:val="single"/>
        </w:rPr>
        <w:t xml:space="preserve"> </w:t>
      </w:r>
      <w:r>
        <w:rPr>
          <w:rFonts w:hint="eastAsia" w:ascii="宋体" w:hAnsi="宋体" w:cs="宋体"/>
          <w:kern w:val="0"/>
          <w:szCs w:val="21"/>
        </w:rPr>
        <w:t>份，</w:t>
      </w:r>
      <w:r>
        <w:rPr>
          <w:rFonts w:hint="eastAsia" w:ascii="宋体" w:hAnsi="宋体" w:cs="宋体"/>
          <w:kern w:val="0"/>
          <w:szCs w:val="21"/>
          <w:u w:val="single"/>
        </w:rPr>
        <w:t xml:space="preserve"> 一 </w:t>
      </w:r>
      <w:r>
        <w:rPr>
          <w:rFonts w:hint="eastAsia" w:ascii="宋体" w:hAnsi="宋体" w:cs="宋体"/>
          <w:kern w:val="0"/>
          <w:szCs w:val="21"/>
        </w:rPr>
        <w:t>份报送政府采购监督管理部门备案，</w:t>
      </w:r>
      <w:r>
        <w:rPr>
          <w:rFonts w:hint="eastAsia" w:ascii="宋体" w:hAnsi="宋体" w:cs="宋体"/>
          <w:kern w:val="0"/>
          <w:szCs w:val="21"/>
          <w:u w:val="single"/>
        </w:rPr>
        <w:t xml:space="preserve"> </w:t>
      </w:r>
      <w:r>
        <w:rPr>
          <w:rFonts w:ascii="宋体" w:hAnsi="宋体" w:cs="宋体"/>
          <w:kern w:val="0"/>
          <w:szCs w:val="21"/>
          <w:u w:val="single"/>
        </w:rPr>
        <w:t>一</w:t>
      </w:r>
      <w:r>
        <w:rPr>
          <w:rFonts w:hint="eastAsia" w:ascii="宋体" w:hAnsi="宋体" w:cs="宋体"/>
          <w:kern w:val="0"/>
          <w:szCs w:val="21"/>
          <w:u w:val="single"/>
        </w:rPr>
        <w:t xml:space="preserve"> </w:t>
      </w:r>
      <w:r>
        <w:rPr>
          <w:rFonts w:hint="eastAsia" w:ascii="宋体" w:hAnsi="宋体" w:cs="宋体"/>
          <w:kern w:val="0"/>
          <w:szCs w:val="21"/>
        </w:rPr>
        <w:t>份留采购代理单位存档备查。</w:t>
      </w:r>
      <w:r>
        <w:rPr>
          <w:rFonts w:hint="eastAsia" w:ascii="宋体" w:hAnsi="宋体" w:cs="宋体"/>
          <w:kern w:val="0"/>
          <w:szCs w:val="21"/>
          <w:u w:val="single"/>
        </w:rPr>
        <w:t xml:space="preserve"> 一 </w:t>
      </w:r>
      <w:r>
        <w:rPr>
          <w:rFonts w:hint="eastAsia" w:ascii="宋体" w:hAnsi="宋体" w:cs="宋体"/>
          <w:kern w:val="0"/>
          <w:szCs w:val="21"/>
        </w:rPr>
        <w:t>份送</w:t>
      </w:r>
      <w:r>
        <w:rPr>
          <w:rFonts w:hint="eastAsia" w:ascii="宋体" w:hAnsi="宋体" w:cs="宋体"/>
          <w:szCs w:val="21"/>
        </w:rPr>
        <w:t>财政核算支付中心</w:t>
      </w:r>
      <w:r>
        <w:rPr>
          <w:rFonts w:hint="eastAsia" w:ascii="宋体" w:hAnsi="宋体" w:cs="宋体"/>
          <w:kern w:val="0"/>
          <w:szCs w:val="21"/>
        </w:rPr>
        <w:t>。</w:t>
      </w:r>
      <w:r>
        <w:rPr>
          <w:rFonts w:hint="eastAsia" w:ascii="宋体" w:hAnsi="宋体" w:cs="宋体"/>
          <w:b/>
          <w:bCs/>
          <w:kern w:val="0"/>
          <w:szCs w:val="21"/>
          <w:u w:val="single"/>
        </w:rPr>
        <w:t>（若执行“政采贷”，另加二份）</w:t>
      </w:r>
    </w:p>
    <w:p>
      <w:pPr>
        <w:pStyle w:val="2"/>
        <w:rPr>
          <w:sz w:val="32"/>
          <w:szCs w:val="32"/>
        </w:rPr>
      </w:pPr>
      <w:r>
        <w:rPr>
          <w:rFonts w:hint="eastAsia"/>
          <w:szCs w:val="21"/>
        </w:rPr>
        <w:br w:type="page"/>
      </w:r>
      <w:bookmarkStart w:id="53" w:name="_Toc3386512"/>
      <w:bookmarkStart w:id="54" w:name="_Toc16185638"/>
      <w:bookmarkStart w:id="55" w:name="_Toc42879258"/>
      <w:bookmarkStart w:id="56" w:name="_Toc39655267"/>
      <w:bookmarkStart w:id="57" w:name="_Toc50211562"/>
      <w:r>
        <w:rPr>
          <w:rFonts w:hint="eastAsia"/>
        </w:rPr>
        <w:t>二、特殊专用条款部分</w:t>
      </w:r>
      <w:bookmarkEnd w:id="53"/>
      <w:bookmarkEnd w:id="54"/>
      <w:bookmarkEnd w:id="55"/>
      <w:bookmarkEnd w:id="56"/>
      <w:bookmarkEnd w:id="57"/>
    </w:p>
    <w:p>
      <w:pPr>
        <w:widowControl/>
        <w:ind w:firstLine="422" w:firstLineChars="200"/>
        <w:jc w:val="left"/>
        <w:rPr>
          <w:rFonts w:ascii="宋体" w:hAnsi="宋体" w:cs="宋体"/>
          <w:b/>
          <w:bCs/>
          <w:kern w:val="0"/>
          <w:szCs w:val="21"/>
        </w:rPr>
      </w:pPr>
      <w:r>
        <w:rPr>
          <w:rFonts w:hint="eastAsia" w:ascii="宋体" w:hAnsi="宋体" w:cs="宋体"/>
          <w:b/>
          <w:bCs/>
          <w:kern w:val="0"/>
          <w:szCs w:val="21"/>
        </w:rPr>
        <w:t>一、货物</w:t>
      </w:r>
      <w:r>
        <w:rPr>
          <w:rFonts w:ascii="宋体" w:hAnsi="宋体" w:cs="宋体"/>
          <w:b/>
          <w:bCs/>
          <w:kern w:val="0"/>
          <w:szCs w:val="21"/>
        </w:rPr>
        <w:t>或服务</w:t>
      </w:r>
      <w:r>
        <w:rPr>
          <w:rFonts w:hint="eastAsia" w:ascii="宋体" w:hAnsi="宋体" w:cs="宋体"/>
          <w:b/>
          <w:bCs/>
          <w:kern w:val="0"/>
          <w:szCs w:val="21"/>
        </w:rPr>
        <w:t>内容</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二、技术资料</w:t>
      </w:r>
    </w:p>
    <w:p>
      <w:pPr>
        <w:widowControl/>
        <w:ind w:firstLine="420" w:firstLineChars="200"/>
        <w:jc w:val="left"/>
        <w:rPr>
          <w:rFonts w:ascii="宋体" w:hAnsi="宋体" w:cs="宋体"/>
          <w:kern w:val="0"/>
          <w:szCs w:val="21"/>
        </w:rPr>
      </w:pPr>
      <w:r>
        <w:rPr>
          <w:rFonts w:hint="eastAsia" w:ascii="宋体" w:hAnsi="宋体" w:cs="宋体"/>
          <w:kern w:val="0"/>
          <w:szCs w:val="21"/>
        </w:rPr>
        <w:t>1、乙方应按招标文件规定的时间向甲方提供使用货物的有关技术资料。</w:t>
      </w:r>
    </w:p>
    <w:p>
      <w:pPr>
        <w:widowControl/>
        <w:ind w:firstLine="420" w:firstLineChars="200"/>
        <w:jc w:val="left"/>
        <w:rPr>
          <w:rFonts w:ascii="宋体" w:hAnsi="宋体" w:cs="宋体"/>
          <w:kern w:val="0"/>
          <w:szCs w:val="21"/>
        </w:rPr>
      </w:pPr>
      <w:r>
        <w:rPr>
          <w:rFonts w:hint="eastAsia" w:ascii="宋体" w:hAnsi="宋体" w:cs="宋体"/>
          <w:kern w:val="0"/>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三、知识产权</w:t>
      </w:r>
    </w:p>
    <w:p>
      <w:pPr>
        <w:widowControl/>
        <w:ind w:firstLine="420" w:firstLineChars="200"/>
        <w:jc w:val="left"/>
        <w:rPr>
          <w:rFonts w:ascii="宋体" w:hAnsi="宋体" w:cs="宋体"/>
          <w:kern w:val="0"/>
          <w:szCs w:val="21"/>
        </w:rPr>
      </w:pPr>
      <w:r>
        <w:rPr>
          <w:rFonts w:hint="eastAsia" w:ascii="宋体" w:hAnsi="宋体" w:cs="宋体"/>
          <w:kern w:val="0"/>
          <w:szCs w:val="21"/>
        </w:rPr>
        <w:t>乙方应保证所提供的货物或其任何一部分均不会侵犯任何第三方的知识产权。</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四、产权担保</w:t>
      </w:r>
    </w:p>
    <w:p>
      <w:pPr>
        <w:widowControl/>
        <w:ind w:firstLine="420" w:firstLineChars="200"/>
        <w:jc w:val="left"/>
        <w:rPr>
          <w:rFonts w:ascii="宋体" w:hAnsi="宋体" w:cs="宋体"/>
          <w:kern w:val="0"/>
          <w:szCs w:val="21"/>
        </w:rPr>
      </w:pPr>
      <w:r>
        <w:rPr>
          <w:rFonts w:hint="eastAsia" w:ascii="宋体" w:hAnsi="宋体" w:cs="宋体"/>
          <w:kern w:val="0"/>
          <w:szCs w:val="21"/>
        </w:rPr>
        <w:t>乙方保证所交付的货物的所有权完全属于乙方且无任何抵押、查封等产权瑕疵。</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五、合同有效期、交货方式及交货地点</w:t>
      </w:r>
    </w:p>
    <w:p>
      <w:pPr>
        <w:widowControl/>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Arial"/>
          <w:kern w:val="0"/>
          <w:szCs w:val="21"/>
        </w:rPr>
        <w:t>合同有效期：合同签订之日作为起始日，70日（含法定节假日）后的次月1日对应3年后的当天作为截止日，上述期间作为合同的有效期。服务期满后根据中标单位的绩效评价、服务对象满意度考核情况，综合考虑是否续签合同</w:t>
      </w:r>
      <w:r>
        <w:rPr>
          <w:rFonts w:hint="eastAsia" w:ascii="宋体" w:hAnsi="宋体" w:cs="宋体"/>
          <w:kern w:val="0"/>
          <w:szCs w:val="21"/>
        </w:rPr>
        <w:t>（按浙财采监〔2014〕28号《浙江省财政厅关于印发浙江省政府购买服务采购管理暂行办法》的有关规定续签合同）。</w:t>
      </w:r>
    </w:p>
    <w:p>
      <w:pPr>
        <w:widowControl/>
        <w:ind w:firstLine="420" w:firstLineChars="200"/>
        <w:jc w:val="left"/>
        <w:rPr>
          <w:rFonts w:ascii="宋体" w:hAnsi="宋体" w:cs="宋体"/>
          <w:kern w:val="0"/>
          <w:szCs w:val="21"/>
        </w:rPr>
      </w:pPr>
      <w:r>
        <w:rPr>
          <w:rFonts w:hint="eastAsia" w:ascii="宋体" w:hAnsi="宋体" w:cs="宋体"/>
          <w:kern w:val="0"/>
          <w:szCs w:val="21"/>
        </w:rPr>
        <w:t>2、交货方式：乙方送货上门至甲方，并配合逐项验收。</w:t>
      </w:r>
    </w:p>
    <w:p>
      <w:pPr>
        <w:widowControl/>
        <w:ind w:firstLine="420" w:firstLineChars="200"/>
        <w:jc w:val="left"/>
        <w:rPr>
          <w:rFonts w:ascii="宋体" w:hAnsi="宋体" w:cs="宋体"/>
          <w:kern w:val="0"/>
          <w:szCs w:val="21"/>
        </w:rPr>
      </w:pPr>
      <w:r>
        <w:rPr>
          <w:rFonts w:hint="eastAsia" w:ascii="宋体" w:hAnsi="宋体" w:cs="宋体"/>
          <w:kern w:val="0"/>
          <w:szCs w:val="21"/>
        </w:rPr>
        <w:t>3、交货地点：采购方指定地点。</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六、质量保证及售后服务</w:t>
      </w:r>
    </w:p>
    <w:p>
      <w:pPr>
        <w:widowControl/>
        <w:ind w:firstLine="420" w:firstLineChars="200"/>
        <w:jc w:val="left"/>
        <w:rPr>
          <w:rFonts w:ascii="宋体" w:hAnsi="宋体" w:cs="宋体"/>
          <w:kern w:val="0"/>
          <w:szCs w:val="21"/>
        </w:rPr>
      </w:pPr>
      <w:r>
        <w:rPr>
          <w:rFonts w:hint="eastAsia" w:ascii="宋体" w:hAnsi="宋体" w:cs="宋体"/>
          <w:kern w:val="0"/>
          <w:szCs w:val="21"/>
        </w:rPr>
        <w:t>1、乙方应按招标文件规定的货物性能、技术要求、质量标准向甲方提供未经使用的全新产品。</w:t>
      </w:r>
    </w:p>
    <w:p>
      <w:pPr>
        <w:widowControl/>
        <w:ind w:firstLine="420" w:firstLineChars="200"/>
        <w:jc w:val="left"/>
        <w:rPr>
          <w:rFonts w:ascii="宋体" w:hAnsi="宋体" w:cs="宋体"/>
          <w:kern w:val="0"/>
          <w:szCs w:val="21"/>
        </w:rPr>
      </w:pPr>
      <w:r>
        <w:rPr>
          <w:rFonts w:hint="eastAsia" w:ascii="宋体" w:hAnsi="宋体" w:cs="宋体"/>
          <w:kern w:val="0"/>
          <w:szCs w:val="21"/>
        </w:rPr>
        <w:t>2、乙方提供的货物在质量期内因货物本身的质量问题发生故障，乙方应负责免费更换。对达不到技术要求者，根据实际情况，经双方协商，可按以下办法处理：</w:t>
      </w:r>
    </w:p>
    <w:p>
      <w:pPr>
        <w:widowControl/>
        <w:ind w:firstLine="420" w:firstLineChars="200"/>
        <w:jc w:val="left"/>
        <w:rPr>
          <w:rFonts w:ascii="宋体" w:hAnsi="宋体" w:cs="宋体"/>
          <w:kern w:val="0"/>
          <w:szCs w:val="21"/>
        </w:rPr>
      </w:pPr>
      <w:r>
        <w:rPr>
          <w:rFonts w:hint="eastAsia" w:ascii="宋体" w:hAnsi="宋体" w:cs="宋体"/>
          <w:kern w:val="0"/>
          <w:szCs w:val="21"/>
        </w:rPr>
        <w:t>1）更换：由乙方承担所发生的全部费用。</w:t>
      </w:r>
    </w:p>
    <w:p>
      <w:pPr>
        <w:widowControl/>
        <w:ind w:firstLine="420" w:firstLineChars="200"/>
        <w:jc w:val="left"/>
        <w:rPr>
          <w:rFonts w:ascii="宋体" w:hAnsi="宋体" w:cs="宋体"/>
          <w:kern w:val="0"/>
          <w:szCs w:val="21"/>
        </w:rPr>
      </w:pPr>
      <w:r>
        <w:rPr>
          <w:rFonts w:hint="eastAsia" w:ascii="宋体" w:hAnsi="宋体" w:cs="宋体"/>
          <w:kern w:val="0"/>
          <w:szCs w:val="21"/>
        </w:rPr>
        <w:t>2）贬值处理：由甲乙双方合议定价。</w:t>
      </w:r>
    </w:p>
    <w:p>
      <w:pPr>
        <w:widowControl/>
        <w:ind w:firstLine="420" w:firstLineChars="200"/>
        <w:jc w:val="left"/>
        <w:rPr>
          <w:rFonts w:ascii="宋体" w:hAnsi="宋体" w:cs="宋体"/>
          <w:kern w:val="0"/>
          <w:szCs w:val="21"/>
        </w:rPr>
      </w:pPr>
      <w:r>
        <w:rPr>
          <w:rFonts w:hint="eastAsia" w:ascii="宋体" w:hAnsi="宋体" w:cs="宋体"/>
          <w:kern w:val="0"/>
          <w:szCs w:val="21"/>
        </w:rPr>
        <w:t>3）退货处理：乙方应退还甲方支付的合同款，同时应承担该货物的直接费用（运输、保险、检验、货款利息及银行手续费等）。</w:t>
      </w:r>
    </w:p>
    <w:p>
      <w:pPr>
        <w:widowControl/>
        <w:ind w:firstLine="420" w:firstLineChars="200"/>
        <w:jc w:val="left"/>
        <w:rPr>
          <w:rFonts w:ascii="宋体" w:hAnsi="宋体" w:cs="宋体"/>
          <w:kern w:val="0"/>
          <w:szCs w:val="21"/>
        </w:rPr>
      </w:pPr>
      <w:r>
        <w:rPr>
          <w:rFonts w:hint="eastAsia" w:ascii="宋体" w:hAnsi="宋体" w:cs="宋体"/>
          <w:kern w:val="0"/>
          <w:szCs w:val="21"/>
        </w:rPr>
        <w:t>3、如在使用过程中发生质量问题，乙方在接到甲方通知后在</w:t>
      </w:r>
      <w:r>
        <w:rPr>
          <w:rFonts w:hint="eastAsia" w:ascii="宋体" w:hAnsi="宋体" w:cs="宋体"/>
          <w:kern w:val="0"/>
          <w:szCs w:val="21"/>
          <w:u w:val="single"/>
        </w:rPr>
        <w:t xml:space="preserve">   </w:t>
      </w:r>
      <w:r>
        <w:rPr>
          <w:rFonts w:hint="eastAsia" w:ascii="宋体" w:hAnsi="宋体" w:cs="宋体"/>
          <w:kern w:val="0"/>
          <w:szCs w:val="21"/>
        </w:rPr>
        <w:t>小时内到达甲方现场。</w:t>
      </w:r>
    </w:p>
    <w:p>
      <w:pPr>
        <w:widowControl/>
        <w:ind w:firstLine="420" w:firstLineChars="200"/>
        <w:jc w:val="left"/>
        <w:rPr>
          <w:rFonts w:ascii="宋体" w:hAnsi="宋体" w:cs="宋体"/>
          <w:kern w:val="0"/>
          <w:szCs w:val="21"/>
        </w:rPr>
      </w:pPr>
      <w:r>
        <w:rPr>
          <w:rFonts w:hint="eastAsia" w:ascii="宋体" w:hAnsi="宋体" w:cs="宋体"/>
          <w:kern w:val="0"/>
          <w:szCs w:val="21"/>
        </w:rPr>
        <w:t>4、在质保期内，乙方应对货物出现的质量及安全问题负责处理解决并承担一切费用。</w:t>
      </w:r>
    </w:p>
    <w:p>
      <w:pPr>
        <w:widowControl/>
        <w:ind w:firstLine="420" w:firstLineChars="200"/>
        <w:jc w:val="left"/>
        <w:rPr>
          <w:rFonts w:ascii="宋体" w:hAnsi="宋体" w:cs="宋体"/>
          <w:kern w:val="0"/>
          <w:szCs w:val="21"/>
        </w:rPr>
      </w:pPr>
      <w:r>
        <w:rPr>
          <w:rFonts w:hint="eastAsia" w:ascii="宋体" w:hAnsi="宋体" w:cs="宋体"/>
          <w:kern w:val="0"/>
          <w:szCs w:val="21"/>
        </w:rPr>
        <w:t>5、上述的货物免费保修期为</w:t>
      </w:r>
      <w:r>
        <w:rPr>
          <w:rFonts w:hint="eastAsia" w:ascii="宋体" w:hAnsi="宋体" w:cs="宋体"/>
          <w:kern w:val="0"/>
          <w:szCs w:val="21"/>
          <w:u w:val="single"/>
        </w:rPr>
        <w:t xml:space="preserve">      </w:t>
      </w:r>
      <w:r>
        <w:rPr>
          <w:rFonts w:hint="eastAsia" w:ascii="宋体" w:hAnsi="宋体" w:cs="宋体"/>
          <w:kern w:val="0"/>
          <w:szCs w:val="21"/>
        </w:rPr>
        <w:t>年，因人为因素出现的故障不在免费保修范围内。超过保修期的机器设备，终生维修，维修时只收部件成本费。</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七、调试和验收</w:t>
      </w:r>
    </w:p>
    <w:p>
      <w:pPr>
        <w:widowControl/>
        <w:ind w:firstLine="420" w:firstLineChars="200"/>
        <w:jc w:val="left"/>
        <w:rPr>
          <w:rFonts w:ascii="宋体" w:hAnsi="宋体" w:cs="宋体"/>
          <w:kern w:val="0"/>
          <w:szCs w:val="21"/>
        </w:rPr>
      </w:pPr>
      <w:r>
        <w:rPr>
          <w:rFonts w:hint="eastAsia" w:ascii="宋体" w:hAnsi="宋体" w:cs="宋体"/>
          <w:kern w:val="0"/>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widowControl/>
        <w:ind w:firstLine="420" w:firstLineChars="200"/>
        <w:jc w:val="left"/>
        <w:rPr>
          <w:rFonts w:ascii="宋体" w:hAnsi="宋体" w:cs="宋体"/>
          <w:kern w:val="0"/>
          <w:szCs w:val="21"/>
        </w:rPr>
      </w:pPr>
      <w:r>
        <w:rPr>
          <w:rFonts w:hint="eastAsia" w:ascii="宋体" w:hAnsi="宋体" w:cs="宋体"/>
          <w:kern w:val="0"/>
          <w:szCs w:val="21"/>
        </w:rPr>
        <w:t>2、乙方交货前应对产品作出全面检查和对验收文件进行整理，并列出清单，作为甲方收货验收和使用的技术条件依据，检验的结果应随货物交甲方。</w:t>
      </w:r>
    </w:p>
    <w:p>
      <w:pPr>
        <w:widowControl/>
        <w:ind w:firstLine="420" w:firstLineChars="200"/>
        <w:jc w:val="left"/>
        <w:rPr>
          <w:rFonts w:ascii="宋体" w:hAnsi="宋体" w:cs="宋体"/>
          <w:kern w:val="0"/>
          <w:szCs w:val="21"/>
        </w:rPr>
      </w:pPr>
      <w:r>
        <w:rPr>
          <w:rFonts w:hint="eastAsia" w:ascii="宋体" w:hAnsi="宋体" w:cs="宋体"/>
          <w:kern w:val="0"/>
          <w:szCs w:val="21"/>
        </w:rPr>
        <w:t>3、甲方对乙方提供的货物在使用前进行调试时，乙方需负责安装并培训甲方的使用操作人员，并协助甲方一起调试，直到符合技术要求，甲方才做最终验收。</w:t>
      </w:r>
    </w:p>
    <w:p>
      <w:pPr>
        <w:widowControl/>
        <w:ind w:firstLine="420" w:firstLineChars="200"/>
        <w:jc w:val="left"/>
        <w:rPr>
          <w:rFonts w:ascii="宋体" w:hAnsi="宋体" w:cs="宋体"/>
          <w:kern w:val="0"/>
          <w:szCs w:val="21"/>
        </w:rPr>
      </w:pPr>
      <w:r>
        <w:rPr>
          <w:rFonts w:hint="eastAsia" w:ascii="宋体" w:hAnsi="宋体" w:cs="宋体"/>
          <w:kern w:val="0"/>
          <w:szCs w:val="21"/>
        </w:rPr>
        <w:t>4、对技术复杂的货物，甲方应请国家认可的专业检测机构参与初步验收及最终验收，并由其出具质量检测报告。</w:t>
      </w:r>
    </w:p>
    <w:p>
      <w:pPr>
        <w:widowControl/>
        <w:ind w:firstLine="420" w:firstLineChars="200"/>
        <w:jc w:val="left"/>
        <w:rPr>
          <w:rFonts w:ascii="宋体" w:hAnsi="宋体" w:cs="宋体"/>
          <w:kern w:val="0"/>
          <w:szCs w:val="21"/>
        </w:rPr>
      </w:pPr>
      <w:r>
        <w:rPr>
          <w:rFonts w:hint="eastAsia" w:ascii="宋体" w:hAnsi="宋体" w:cs="宋体"/>
          <w:kern w:val="0"/>
          <w:szCs w:val="21"/>
        </w:rPr>
        <w:t>5、验收时乙方必须在现场，验收完毕后作出验收结果报告；验收费用由乙方负责。</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八、货物包装、发运及运输</w:t>
      </w:r>
    </w:p>
    <w:p>
      <w:pPr>
        <w:widowControl/>
        <w:ind w:firstLine="420" w:firstLineChars="200"/>
        <w:jc w:val="left"/>
        <w:rPr>
          <w:rFonts w:ascii="宋体" w:hAnsi="宋体" w:cs="宋体"/>
          <w:kern w:val="0"/>
          <w:szCs w:val="21"/>
        </w:rPr>
      </w:pPr>
      <w:r>
        <w:rPr>
          <w:rFonts w:hint="eastAsia" w:ascii="宋体" w:hAnsi="宋体" w:cs="宋体"/>
          <w:kern w:val="0"/>
          <w:szCs w:val="21"/>
        </w:rPr>
        <w:t>1、乙方应在货物发运前对其进行满足运输距离、防潮、防震、防锈和防破损装卸等要求包装，以保证货物安全运达采购方指定地点。</w:t>
      </w:r>
    </w:p>
    <w:p>
      <w:pPr>
        <w:widowControl/>
        <w:ind w:firstLine="420" w:firstLineChars="200"/>
        <w:jc w:val="left"/>
        <w:rPr>
          <w:rFonts w:ascii="宋体" w:hAnsi="宋体" w:cs="宋体"/>
          <w:kern w:val="0"/>
          <w:szCs w:val="21"/>
        </w:rPr>
      </w:pPr>
      <w:r>
        <w:rPr>
          <w:rFonts w:hint="eastAsia" w:ascii="宋体" w:hAnsi="宋体" w:cs="宋体"/>
          <w:kern w:val="0"/>
          <w:szCs w:val="21"/>
        </w:rPr>
        <w:t>2、使用说明书、质量检验证明书、随配附件和工具以及清单一并附于货物内。</w:t>
      </w:r>
    </w:p>
    <w:p>
      <w:pPr>
        <w:widowControl/>
        <w:ind w:firstLine="420" w:firstLineChars="200"/>
        <w:jc w:val="left"/>
        <w:rPr>
          <w:rFonts w:ascii="宋体" w:hAnsi="宋体" w:cs="宋体"/>
          <w:kern w:val="0"/>
          <w:szCs w:val="21"/>
        </w:rPr>
      </w:pPr>
      <w:r>
        <w:rPr>
          <w:rFonts w:hint="eastAsia" w:ascii="宋体" w:hAnsi="宋体" w:cs="宋体"/>
          <w:kern w:val="0"/>
          <w:szCs w:val="21"/>
        </w:rPr>
        <w:t>3、乙方在货物发运手续办理完毕后24小时内或货到甲方48小时前通知甲方，以准备接货。</w:t>
      </w:r>
    </w:p>
    <w:p>
      <w:pPr>
        <w:widowControl/>
        <w:ind w:firstLine="420" w:firstLineChars="200"/>
        <w:jc w:val="left"/>
        <w:rPr>
          <w:rFonts w:ascii="宋体" w:hAnsi="宋体" w:cs="宋体"/>
          <w:kern w:val="0"/>
          <w:szCs w:val="21"/>
        </w:rPr>
      </w:pPr>
      <w:r>
        <w:rPr>
          <w:rFonts w:hint="eastAsia" w:ascii="宋体" w:hAnsi="宋体" w:cs="宋体"/>
          <w:kern w:val="0"/>
          <w:szCs w:val="21"/>
        </w:rPr>
        <w:t>4、货物在交付甲方前发生的风险均由乙方负责。</w:t>
      </w:r>
    </w:p>
    <w:p>
      <w:pPr>
        <w:widowControl/>
        <w:ind w:firstLine="420" w:firstLineChars="200"/>
        <w:jc w:val="left"/>
        <w:rPr>
          <w:rFonts w:ascii="宋体" w:hAnsi="宋体" w:cs="宋体"/>
          <w:kern w:val="0"/>
          <w:szCs w:val="21"/>
        </w:rPr>
      </w:pPr>
      <w:r>
        <w:rPr>
          <w:rFonts w:hint="eastAsia" w:ascii="宋体" w:hAnsi="宋体" w:cs="宋体"/>
          <w:kern w:val="0"/>
          <w:szCs w:val="21"/>
        </w:rPr>
        <w:t>5、货物在规定的交付期限内由乙方送达甲方指定的地点视为交付，乙方同时需通知甲方货物已送达。</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九、违约责任</w:t>
      </w:r>
    </w:p>
    <w:p>
      <w:pPr>
        <w:widowControl/>
        <w:ind w:firstLine="420" w:firstLineChars="200"/>
        <w:jc w:val="left"/>
        <w:rPr>
          <w:rFonts w:ascii="宋体" w:hAnsi="宋体" w:cs="宋体"/>
          <w:kern w:val="0"/>
          <w:szCs w:val="21"/>
        </w:rPr>
      </w:pPr>
      <w:r>
        <w:rPr>
          <w:rFonts w:hint="eastAsia" w:ascii="宋体" w:hAnsi="宋体" w:cs="宋体"/>
          <w:kern w:val="0"/>
          <w:szCs w:val="21"/>
        </w:rPr>
        <w:t>1、甲方无正当理由拒收货物的，甲方向乙方偿付拒收货款总值的百分之五违约金。</w:t>
      </w:r>
    </w:p>
    <w:p>
      <w:pPr>
        <w:widowControl/>
        <w:ind w:firstLine="420" w:firstLineChars="200"/>
        <w:jc w:val="left"/>
        <w:rPr>
          <w:rFonts w:ascii="宋体" w:hAnsi="宋体" w:cs="宋体"/>
          <w:kern w:val="0"/>
          <w:szCs w:val="21"/>
        </w:rPr>
      </w:pPr>
      <w:r>
        <w:rPr>
          <w:rFonts w:hint="eastAsia" w:ascii="宋体" w:hAnsi="宋体" w:cs="宋体"/>
          <w:kern w:val="0"/>
          <w:szCs w:val="21"/>
        </w:rPr>
        <w:t>2、甲方无故逾期验收和办理货款支付手续的，甲方应按逾期付款总额每日万分之五向乙方支付违约金。</w:t>
      </w:r>
    </w:p>
    <w:p>
      <w:pPr>
        <w:widowControl/>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b/>
          <w:kern w:val="0"/>
          <w:szCs w:val="21"/>
        </w:rPr>
        <w:t>因乙方原因导致验收无法通过造成逾期交货的，甲方将在履约保证金中进行扣罚，扣罚标准为每延期一天扣除履约保证金1000元。</w:t>
      </w:r>
      <w:r>
        <w:rPr>
          <w:rFonts w:hint="eastAsia" w:ascii="宋体" w:hAnsi="宋体" w:cs="宋体"/>
          <w:kern w:val="0"/>
          <w:szCs w:val="21"/>
        </w:rPr>
        <w:t xml:space="preserve">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ind w:firstLine="420" w:firstLineChars="200"/>
        <w:jc w:val="left"/>
        <w:rPr>
          <w:rFonts w:ascii="宋体" w:hAnsi="宋体" w:cs="宋体"/>
          <w:kern w:val="0"/>
          <w:szCs w:val="21"/>
        </w:rPr>
      </w:pPr>
      <w:r>
        <w:rPr>
          <w:rFonts w:hint="eastAsia" w:ascii="宋体" w:hAnsi="宋体" w:cs="宋体"/>
          <w:kern w:val="0"/>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ind w:firstLine="422" w:firstLineChars="200"/>
        <w:jc w:val="left"/>
        <w:rPr>
          <w:rFonts w:ascii="宋体" w:hAnsi="宋体" w:cs="宋体"/>
          <w:b/>
          <w:bCs/>
          <w:kern w:val="0"/>
          <w:szCs w:val="21"/>
        </w:rPr>
      </w:pPr>
      <w:r>
        <w:rPr>
          <w:rFonts w:hint="eastAsia" w:ascii="宋体" w:hAnsi="宋体" w:cs="宋体"/>
          <w:b/>
          <w:bCs/>
          <w:kern w:val="0"/>
          <w:szCs w:val="21"/>
        </w:rPr>
        <w:t>十、不可抗力事件处理</w:t>
      </w:r>
    </w:p>
    <w:p>
      <w:pPr>
        <w:widowControl/>
        <w:ind w:firstLine="420" w:firstLineChars="200"/>
        <w:jc w:val="left"/>
        <w:rPr>
          <w:rFonts w:ascii="宋体" w:hAnsi="宋体" w:cs="宋体"/>
          <w:kern w:val="0"/>
          <w:szCs w:val="21"/>
        </w:rPr>
      </w:pPr>
      <w:r>
        <w:rPr>
          <w:rFonts w:hint="eastAsia" w:ascii="宋体" w:hAnsi="宋体" w:cs="宋体"/>
          <w:kern w:val="0"/>
          <w:szCs w:val="21"/>
        </w:rPr>
        <w:t>1、在合同有效期内，任何一方因不可抗力事件导致不能履行合同，则合同履行期可延长，其延长期与不可抗力影响期相同。</w:t>
      </w:r>
    </w:p>
    <w:p>
      <w:pPr>
        <w:widowControl/>
        <w:ind w:firstLine="420" w:firstLineChars="200"/>
        <w:jc w:val="left"/>
        <w:rPr>
          <w:rFonts w:ascii="宋体" w:hAnsi="宋体" w:cs="宋体"/>
          <w:kern w:val="0"/>
          <w:szCs w:val="21"/>
        </w:rPr>
      </w:pPr>
      <w:r>
        <w:rPr>
          <w:rFonts w:hint="eastAsia" w:ascii="宋体" w:hAnsi="宋体" w:cs="宋体"/>
          <w:kern w:val="0"/>
          <w:szCs w:val="21"/>
        </w:rPr>
        <w:t>2、不可抗力事件发生后，应立即通知对方，并寄送有关权威机构出具的证明。</w:t>
      </w:r>
    </w:p>
    <w:p>
      <w:pPr>
        <w:widowControl/>
        <w:ind w:firstLine="420" w:firstLineChars="200"/>
        <w:jc w:val="left"/>
        <w:rPr>
          <w:rFonts w:ascii="宋体" w:hAnsi="宋体" w:cs="宋体"/>
          <w:sz w:val="22"/>
          <w:szCs w:val="22"/>
        </w:rPr>
      </w:pPr>
      <w:r>
        <w:rPr>
          <w:rFonts w:hint="eastAsia" w:ascii="宋体" w:hAnsi="宋体" w:cs="宋体"/>
          <w:kern w:val="0"/>
          <w:szCs w:val="21"/>
        </w:rPr>
        <w:t>3、不可抗力事件延续120天以上，双方应通过友好协商，确定是否继续履行合同</w:t>
      </w:r>
      <w:r>
        <w:rPr>
          <w:rFonts w:hint="eastAsia" w:ascii="宋体" w:hAnsi="宋体" w:cs="宋体"/>
          <w:sz w:val="22"/>
          <w:szCs w:val="22"/>
        </w:rPr>
        <w:t>。</w:t>
      </w:r>
    </w:p>
    <w:p>
      <w:pPr>
        <w:ind w:firstLine="315" w:firstLineChars="150"/>
        <w:rPr>
          <w:rFonts w:hint="eastAsia" w:ascii="宋体" w:hAnsi="宋体" w:cs="宋体"/>
          <w:szCs w:val="21"/>
        </w:rPr>
      </w:pPr>
    </w:p>
    <w:p>
      <w:pPr>
        <w:ind w:firstLine="315" w:firstLineChars="150"/>
        <w:rPr>
          <w:rFonts w:hint="eastAsia"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autoSpaceDE w:val="0"/>
        <w:autoSpaceDN w:val="0"/>
        <w:adjustRightInd w:val="0"/>
        <w:rPr>
          <w:rFonts w:ascii="宋体" w:hAnsi="宋体" w:cs="宋体"/>
          <w:szCs w:val="21"/>
        </w:rPr>
      </w:pPr>
      <w:r>
        <w:rPr>
          <w:rFonts w:hint="eastAsia" w:ascii="宋体" w:hAnsi="宋体" w:cs="宋体"/>
          <w:szCs w:val="21"/>
        </w:rPr>
        <w:t xml:space="preserve">甲方：                               乙方： </w:t>
      </w:r>
    </w:p>
    <w:p>
      <w:pPr>
        <w:autoSpaceDE w:val="0"/>
        <w:autoSpaceDN w:val="0"/>
        <w:adjustRightInd w:val="0"/>
        <w:rPr>
          <w:rFonts w:ascii="宋体" w:hAnsi="宋体" w:cs="宋体"/>
          <w:szCs w:val="21"/>
        </w:rPr>
      </w:pPr>
      <w:r>
        <w:rPr>
          <w:rFonts w:hint="eastAsia" w:ascii="宋体" w:hAnsi="宋体" w:cs="宋体"/>
          <w:szCs w:val="21"/>
        </w:rPr>
        <w:t xml:space="preserve">地址：                               地址： </w:t>
      </w:r>
    </w:p>
    <w:p>
      <w:pPr>
        <w:autoSpaceDE w:val="0"/>
        <w:autoSpaceDN w:val="0"/>
        <w:adjustRightInd w:val="0"/>
        <w:rPr>
          <w:rFonts w:ascii="宋体" w:hAnsi="宋体" w:cs="宋体"/>
          <w:szCs w:val="21"/>
        </w:rPr>
      </w:pPr>
      <w:r>
        <w:rPr>
          <w:rFonts w:hint="eastAsia" w:ascii="宋体" w:hAnsi="宋体" w:cs="宋体"/>
          <w:szCs w:val="21"/>
        </w:rPr>
        <w:t>法定代表人或                         法定代表人或</w:t>
      </w:r>
    </w:p>
    <w:p>
      <w:pPr>
        <w:autoSpaceDE w:val="0"/>
        <w:autoSpaceDN w:val="0"/>
        <w:adjustRightInd w:val="0"/>
        <w:rPr>
          <w:rFonts w:ascii="宋体" w:hAnsi="宋体" w:cs="宋体"/>
          <w:szCs w:val="21"/>
        </w:rPr>
      </w:pPr>
      <w:r>
        <w:rPr>
          <w:rFonts w:hint="eastAsia" w:ascii="宋体" w:hAnsi="宋体" w:cs="宋体"/>
          <w:szCs w:val="21"/>
        </w:rPr>
        <w:t>授权委托代理人：（签字）             授权委托代理人：（签字）</w:t>
      </w:r>
    </w:p>
    <w:p>
      <w:pPr>
        <w:autoSpaceDE w:val="0"/>
        <w:autoSpaceDN w:val="0"/>
        <w:adjustRightInd w:val="0"/>
        <w:ind w:firstLine="3885" w:firstLineChars="1850"/>
        <w:rPr>
          <w:rFonts w:ascii="宋体" w:hAnsi="宋体" w:cs="宋体"/>
          <w:szCs w:val="21"/>
        </w:rPr>
      </w:pPr>
      <w:r>
        <w:rPr>
          <w:rFonts w:hint="eastAsia" w:ascii="宋体" w:hAnsi="宋体" w:cs="宋体"/>
          <w:szCs w:val="21"/>
        </w:rPr>
        <w:t>开户银行：</w:t>
      </w:r>
    </w:p>
    <w:p>
      <w:pPr>
        <w:autoSpaceDE w:val="0"/>
        <w:autoSpaceDN w:val="0"/>
        <w:adjustRightInd w:val="0"/>
        <w:ind w:firstLine="3885" w:firstLineChars="1850"/>
        <w:rPr>
          <w:rFonts w:ascii="宋体" w:hAnsi="宋体" w:cs="宋体"/>
          <w:szCs w:val="21"/>
        </w:rPr>
      </w:pPr>
      <w:r>
        <w:rPr>
          <w:rFonts w:hint="eastAsia" w:ascii="宋体" w:hAnsi="宋体" w:cs="宋体"/>
          <w:szCs w:val="21"/>
        </w:rPr>
        <w:t>账号：</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rPr>
          <w:rFonts w:ascii="宋体" w:hAnsi="宋体"/>
          <w:szCs w:val="21"/>
        </w:rPr>
      </w:pPr>
      <w:r>
        <w:rPr>
          <w:rFonts w:hint="eastAsia" w:ascii="宋体" w:hAnsi="宋体"/>
          <w:szCs w:val="21"/>
        </w:rPr>
        <w:t>合同鉴证单位：浙江浦发工程项目管理有限公司</w:t>
      </w:r>
    </w:p>
    <w:p>
      <w:pPr>
        <w:ind w:right="-670"/>
        <w:rPr>
          <w:rFonts w:ascii="宋体" w:hAnsi="宋体"/>
          <w:szCs w:val="21"/>
        </w:rPr>
      </w:pPr>
    </w:p>
    <w:p>
      <w:pPr>
        <w:ind w:right="-670"/>
        <w:rPr>
          <w:rFonts w:ascii="宋体" w:hAnsi="宋体"/>
          <w:szCs w:val="21"/>
        </w:rPr>
      </w:pPr>
      <w:r>
        <w:rPr>
          <w:rFonts w:hint="eastAsia" w:ascii="宋体" w:hAnsi="宋体" w:cs="宋体"/>
          <w:szCs w:val="21"/>
        </w:rPr>
        <w:t>法定代表人或</w:t>
      </w:r>
      <w:r>
        <w:rPr>
          <w:rFonts w:hint="eastAsia" w:ascii="宋体" w:hAnsi="宋体"/>
          <w:szCs w:val="21"/>
        </w:rPr>
        <w:t>经办人：</w:t>
      </w:r>
    </w:p>
    <w:p>
      <w:pPr>
        <w:autoSpaceDE w:val="0"/>
        <w:autoSpaceDN w:val="0"/>
        <w:adjustRightInd w:val="0"/>
        <w:rPr>
          <w:rFonts w:ascii="宋体" w:hAnsi="宋体" w:cs="宋体"/>
          <w:szCs w:val="21"/>
        </w:rPr>
      </w:pPr>
    </w:p>
    <w:p>
      <w:pPr>
        <w:tabs>
          <w:tab w:val="left" w:pos="6237"/>
        </w:tabs>
        <w:autoSpaceDE w:val="0"/>
        <w:autoSpaceDN w:val="0"/>
        <w:adjustRightInd w:val="0"/>
        <w:ind w:right="418" w:firstLine="6094" w:firstLineChars="2902"/>
        <w:rPr>
          <w:rFonts w:ascii="宋体" w:hAnsi="宋体" w:cs="宋体"/>
          <w:szCs w:val="21"/>
        </w:rPr>
      </w:pPr>
      <w:r>
        <w:rPr>
          <w:rFonts w:hint="eastAsia" w:ascii="宋体" w:hAnsi="宋体" w:cs="宋体"/>
          <w:szCs w:val="21"/>
        </w:rPr>
        <w:t>签订地点：</w:t>
      </w:r>
    </w:p>
    <w:p>
      <w:pPr>
        <w:autoSpaceDE w:val="0"/>
        <w:autoSpaceDN w:val="0"/>
        <w:adjustRightInd w:val="0"/>
        <w:ind w:right="418" w:firstLine="6094" w:firstLineChars="2902"/>
        <w:rPr>
          <w:rFonts w:ascii="宋体" w:hAnsi="宋体" w:cs="宋体"/>
          <w:szCs w:val="21"/>
        </w:rPr>
      </w:pPr>
      <w:r>
        <w:rPr>
          <w:rFonts w:hint="eastAsia" w:ascii="宋体" w:hAnsi="宋体" w:cs="宋体"/>
          <w:szCs w:val="21"/>
        </w:rPr>
        <w:t>签订日期：   年   月   日</w:t>
      </w:r>
    </w:p>
    <w:p>
      <w:pPr>
        <w:autoSpaceDE w:val="0"/>
        <w:autoSpaceDN w:val="0"/>
        <w:adjustRightInd w:val="0"/>
        <w:ind w:right="418" w:firstLine="6094" w:firstLineChars="2902"/>
        <w:rPr>
          <w:rFonts w:ascii="宋体" w:hAnsi="宋体" w:cs="宋体"/>
          <w:szCs w:val="21"/>
        </w:rPr>
        <w:sectPr>
          <w:footerReference r:id="rId12" w:type="first"/>
          <w:headerReference r:id="rId11" w:type="default"/>
          <w:pgSz w:w="11906" w:h="16838"/>
          <w:pgMar w:top="1247" w:right="1418" w:bottom="1276" w:left="1418" w:header="851" w:footer="483" w:gutter="0"/>
          <w:cols w:space="720" w:num="1"/>
          <w:titlePg/>
          <w:docGrid w:linePitch="312" w:charSpace="0"/>
        </w:sectPr>
      </w:pPr>
    </w:p>
    <w:tbl>
      <w:tblPr>
        <w:tblStyle w:val="46"/>
        <w:tblW w:w="14190" w:type="dxa"/>
        <w:tblInd w:w="93" w:type="dxa"/>
        <w:tblLayout w:type="fixed"/>
        <w:tblCellMar>
          <w:top w:w="0" w:type="dxa"/>
          <w:left w:w="108" w:type="dxa"/>
          <w:bottom w:w="0" w:type="dxa"/>
          <w:right w:w="108" w:type="dxa"/>
        </w:tblCellMar>
      </w:tblPr>
      <w:tblGrid>
        <w:gridCol w:w="4566"/>
        <w:gridCol w:w="4784"/>
        <w:gridCol w:w="1265"/>
        <w:gridCol w:w="1582"/>
        <w:gridCol w:w="1993"/>
      </w:tblGrid>
      <w:tr>
        <w:tblPrEx>
          <w:tblCellMar>
            <w:top w:w="0" w:type="dxa"/>
            <w:left w:w="108" w:type="dxa"/>
            <w:bottom w:w="0" w:type="dxa"/>
            <w:right w:w="108" w:type="dxa"/>
          </w:tblCellMar>
        </w:tblPrEx>
        <w:trPr>
          <w:wBefore w:w="0" w:type="dxa"/>
          <w:trHeight w:val="447" w:hRule="atLeast"/>
        </w:trPr>
        <w:tc>
          <w:tcPr>
            <w:tcW w:w="14190" w:type="dxa"/>
            <w:gridSpan w:val="5"/>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政 府 采 购 项 目 验 收 单</w:t>
            </w:r>
          </w:p>
        </w:tc>
      </w:tr>
      <w:tr>
        <w:tblPrEx>
          <w:tblCellMar>
            <w:top w:w="0" w:type="dxa"/>
            <w:left w:w="108" w:type="dxa"/>
            <w:bottom w:w="0" w:type="dxa"/>
            <w:right w:w="108" w:type="dxa"/>
          </w:tblCellMar>
        </w:tblPrEx>
        <w:trPr>
          <w:wBefore w:w="0" w:type="dxa"/>
          <w:trHeight w:val="346" w:hRule="atLeast"/>
        </w:trPr>
        <w:tc>
          <w:tcPr>
            <w:tcW w:w="14190" w:type="dxa"/>
            <w:gridSpan w:val="5"/>
            <w:tcBorders>
              <w:top w:val="nil"/>
              <w:left w:val="nil"/>
              <w:bottom w:val="nil"/>
              <w:right w:val="nil"/>
            </w:tcBorders>
            <w:noWrap w:val="0"/>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按照《政府采购委托汇总确认书》</w:t>
            </w:r>
            <w:r>
              <w:rPr>
                <w:rFonts w:hint="eastAsia" w:ascii="宋体" w:hAnsi="宋体" w:cs="宋体"/>
                <w:szCs w:val="21"/>
              </w:rPr>
              <w:t>嘉兴市秀洲区财政局</w:t>
            </w:r>
            <w:r>
              <w:rPr>
                <w:rFonts w:ascii="宋体" w:hAnsi="宋体" w:cs="宋体"/>
                <w:szCs w:val="21"/>
              </w:rPr>
              <w:t>XZ-00016060</w:t>
            </w:r>
            <w:r>
              <w:rPr>
                <w:rFonts w:hint="eastAsia" w:ascii="宋体" w:hAnsi="宋体" w:cs="宋体"/>
                <w:szCs w:val="21"/>
              </w:rPr>
              <w:t>号</w:t>
            </w:r>
            <w:r>
              <w:rPr>
                <w:rFonts w:hint="eastAsia" w:ascii="宋体" w:hAnsi="宋体" w:cs="宋体"/>
                <w:kern w:val="0"/>
                <w:szCs w:val="21"/>
              </w:rPr>
              <w:t>，采购编号：</w:t>
            </w:r>
            <w:r>
              <w:rPr>
                <w:rFonts w:hint="eastAsia" w:ascii="宋体" w:hAnsi="宋体" w:cs="宋体"/>
                <w:kern w:val="0"/>
                <w:szCs w:val="21"/>
                <w:u w:val="single"/>
              </w:rPr>
              <w:t xml:space="preserve">            </w:t>
            </w:r>
            <w:r>
              <w:rPr>
                <w:rFonts w:hint="eastAsia" w:ascii="宋体" w:hAnsi="宋体" w:cs="宋体"/>
                <w:kern w:val="0"/>
                <w:szCs w:val="21"/>
              </w:rPr>
              <w:t>，合同号：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wBefore w:w="0" w:type="dxa"/>
          <w:trHeight w:val="346" w:hRule="atLeast"/>
        </w:trPr>
        <w:tc>
          <w:tcPr>
            <w:tcW w:w="14190" w:type="dxa"/>
            <w:gridSpan w:val="5"/>
            <w:tcBorders>
              <w:top w:val="nil"/>
              <w:left w:val="nil"/>
              <w:bottom w:val="nil"/>
              <w:right w:val="nil"/>
            </w:tcBorders>
            <w:noWrap w:val="0"/>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以下项目已采购到位并验收合格。</w:t>
            </w:r>
          </w:p>
        </w:tc>
      </w:tr>
      <w:tr>
        <w:tblPrEx>
          <w:tblCellMar>
            <w:top w:w="0" w:type="dxa"/>
            <w:left w:w="108" w:type="dxa"/>
            <w:bottom w:w="0" w:type="dxa"/>
            <w:right w:w="108" w:type="dxa"/>
          </w:tblCellMar>
        </w:tblPrEx>
        <w:trPr>
          <w:wBefore w:w="0" w:type="dxa"/>
          <w:trHeight w:val="853" w:hRule="atLeast"/>
        </w:trPr>
        <w:tc>
          <w:tcPr>
            <w:tcW w:w="4566"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采购货物（服务，工程）名称</w:t>
            </w:r>
          </w:p>
        </w:tc>
        <w:tc>
          <w:tcPr>
            <w:tcW w:w="4784"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规格、型号</w:t>
            </w:r>
          </w:p>
        </w:tc>
        <w:tc>
          <w:tcPr>
            <w:tcW w:w="1265"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1582"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核定总价</w:t>
            </w:r>
          </w:p>
        </w:tc>
        <w:tc>
          <w:tcPr>
            <w:tcW w:w="1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采购人验收意见</w:t>
            </w:r>
          </w:p>
        </w:tc>
      </w:tr>
      <w:tr>
        <w:tblPrEx>
          <w:tblCellMar>
            <w:top w:w="0" w:type="dxa"/>
            <w:left w:w="108" w:type="dxa"/>
            <w:bottom w:w="0" w:type="dxa"/>
            <w:right w:w="108" w:type="dxa"/>
          </w:tblCellMar>
        </w:tblPrEx>
        <w:trPr>
          <w:wBefore w:w="0" w:type="dxa"/>
          <w:trHeight w:val="693" w:hRule="atLeast"/>
        </w:trPr>
        <w:tc>
          <w:tcPr>
            <w:tcW w:w="4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7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99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wBefore w:w="0" w:type="dxa"/>
          <w:trHeight w:val="844" w:hRule="atLeast"/>
        </w:trPr>
        <w:tc>
          <w:tcPr>
            <w:tcW w:w="45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合计总价款（人民币）</w:t>
            </w:r>
          </w:p>
        </w:tc>
        <w:tc>
          <w:tcPr>
            <w:tcW w:w="9624" w:type="dxa"/>
            <w:gridSpan w:val="4"/>
            <w:tcBorders>
              <w:top w:val="nil"/>
              <w:left w:val="nil"/>
              <w:bottom w:val="single" w:color="auto" w:sz="4" w:space="0"/>
              <w:right w:val="single" w:color="000000"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人民币</w:t>
            </w:r>
            <w:r>
              <w:rPr>
                <w:rFonts w:hint="eastAsia" w:ascii="宋体" w:hAnsi="宋体" w:cs="宋体"/>
                <w:kern w:val="0"/>
                <w:szCs w:val="21"/>
                <w:u w:val="single"/>
              </w:rPr>
              <w:t xml:space="preserve">                 </w:t>
            </w:r>
            <w:r>
              <w:rPr>
                <w:rFonts w:hint="eastAsia" w:ascii="宋体" w:hAnsi="宋体" w:cs="宋体"/>
                <w:kern w:val="0"/>
                <w:szCs w:val="21"/>
              </w:rPr>
              <w:t xml:space="preserve">元整。       ￥: </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wBefore w:w="0" w:type="dxa"/>
          <w:trHeight w:val="842" w:hRule="atLeast"/>
        </w:trPr>
        <w:tc>
          <w:tcPr>
            <w:tcW w:w="4566" w:type="dxa"/>
            <w:tcBorders>
              <w:top w:val="nil"/>
              <w:left w:val="single" w:color="auto" w:sz="4" w:space="0"/>
              <w:bottom w:val="nil"/>
              <w:right w:val="nil"/>
            </w:tcBorders>
            <w:noWrap w:val="0"/>
            <w:vAlign w:val="bottom"/>
          </w:tcPr>
          <w:p>
            <w:pPr>
              <w:widowControl/>
              <w:jc w:val="left"/>
              <w:rPr>
                <w:rFonts w:ascii="宋体" w:hAnsi="宋体" w:cs="宋体"/>
                <w:kern w:val="0"/>
                <w:szCs w:val="21"/>
              </w:rPr>
            </w:pPr>
            <w:r>
              <w:rPr>
                <w:rFonts w:hint="eastAsia" w:ascii="宋体" w:hAnsi="宋体" w:cs="宋体"/>
                <w:kern w:val="0"/>
                <w:szCs w:val="21"/>
              </w:rPr>
              <w:t xml:space="preserve">供货单位（盖章）：                     </w:t>
            </w:r>
          </w:p>
        </w:tc>
        <w:tc>
          <w:tcPr>
            <w:tcW w:w="4784" w:type="dxa"/>
            <w:tcBorders>
              <w:top w:val="nil"/>
              <w:left w:val="nil"/>
              <w:bottom w:val="nil"/>
              <w:right w:val="nil"/>
            </w:tcBorders>
            <w:noWrap w:val="0"/>
            <w:vAlign w:val="center"/>
          </w:tcPr>
          <w:p>
            <w:pPr>
              <w:widowControl/>
              <w:jc w:val="right"/>
              <w:rPr>
                <w:rFonts w:ascii="宋体" w:hAnsi="宋体" w:cs="宋体"/>
                <w:kern w:val="0"/>
                <w:szCs w:val="21"/>
              </w:rPr>
            </w:pPr>
            <w:r>
              <w:rPr>
                <w:rFonts w:hint="eastAsia" w:ascii="宋体" w:hAnsi="宋体" w:cs="宋体"/>
                <w:kern w:val="0"/>
                <w:szCs w:val="21"/>
              </w:rPr>
              <w:t>采购人（盖章）:</w:t>
            </w:r>
          </w:p>
        </w:tc>
        <w:tc>
          <w:tcPr>
            <w:tcW w:w="2847" w:type="dxa"/>
            <w:gridSpan w:val="2"/>
            <w:tcBorders>
              <w:top w:val="nil"/>
              <w:left w:val="nil"/>
              <w:bottom w:val="nil"/>
              <w:right w:val="nil"/>
            </w:tcBorders>
            <w:noWrap w:val="0"/>
            <w:vAlign w:val="bottom"/>
          </w:tcPr>
          <w:p>
            <w:pPr>
              <w:widowControl/>
              <w:jc w:val="left"/>
              <w:rPr>
                <w:rFonts w:ascii="宋体" w:hAnsi="宋体" w:cs="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wBefore w:w="0" w:type="dxa"/>
          <w:trHeight w:val="722" w:hRule="atLeast"/>
        </w:trPr>
        <w:tc>
          <w:tcPr>
            <w:tcW w:w="4566" w:type="dxa"/>
            <w:tcBorders>
              <w:top w:val="nil"/>
              <w:left w:val="single" w:color="auto" w:sz="4" w:space="0"/>
              <w:bottom w:val="nil"/>
              <w:right w:val="nil"/>
            </w:tcBorders>
            <w:noWrap w:val="0"/>
            <w:vAlign w:val="bottom"/>
          </w:tcPr>
          <w:p>
            <w:pPr>
              <w:widowControl/>
              <w:jc w:val="left"/>
              <w:rPr>
                <w:rFonts w:ascii="宋体" w:hAnsi="宋体" w:cs="宋体"/>
                <w:kern w:val="0"/>
                <w:szCs w:val="21"/>
              </w:rPr>
            </w:pPr>
            <w:r>
              <w:rPr>
                <w:rFonts w:hint="eastAsia" w:ascii="宋体" w:hAnsi="宋体" w:cs="宋体"/>
                <w:kern w:val="0"/>
                <w:szCs w:val="21"/>
              </w:rPr>
              <w:t>经办项目负责人：</w:t>
            </w:r>
          </w:p>
        </w:tc>
        <w:tc>
          <w:tcPr>
            <w:tcW w:w="4784" w:type="dxa"/>
            <w:tcBorders>
              <w:top w:val="nil"/>
              <w:left w:val="nil"/>
              <w:bottom w:val="nil"/>
              <w:right w:val="nil"/>
            </w:tcBorders>
            <w:noWrap w:val="0"/>
            <w:vAlign w:val="center"/>
          </w:tcPr>
          <w:p>
            <w:pPr>
              <w:widowControl/>
              <w:jc w:val="right"/>
              <w:rPr>
                <w:rFonts w:ascii="宋体" w:hAnsi="宋体" w:cs="宋体"/>
                <w:kern w:val="0"/>
                <w:szCs w:val="21"/>
              </w:rPr>
            </w:pPr>
            <w:r>
              <w:rPr>
                <w:rFonts w:hint="eastAsia" w:ascii="宋体" w:hAnsi="宋体" w:cs="宋体"/>
                <w:kern w:val="0"/>
                <w:szCs w:val="21"/>
              </w:rPr>
              <w:t>项目验收组组长：</w:t>
            </w:r>
          </w:p>
        </w:tc>
        <w:tc>
          <w:tcPr>
            <w:tcW w:w="2847" w:type="dxa"/>
            <w:gridSpan w:val="2"/>
            <w:tcBorders>
              <w:top w:val="nil"/>
              <w:left w:val="nil"/>
              <w:bottom w:val="nil"/>
              <w:right w:val="nil"/>
            </w:tcBorders>
            <w:noWrap w:val="0"/>
            <w:vAlign w:val="bottom"/>
          </w:tcPr>
          <w:p>
            <w:pPr>
              <w:widowControl/>
              <w:jc w:val="left"/>
              <w:rPr>
                <w:rFonts w:ascii="宋体" w:hAnsi="宋体" w:cs="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wBefore w:w="0" w:type="dxa"/>
          <w:trHeight w:val="701" w:hRule="atLeast"/>
        </w:trPr>
        <w:tc>
          <w:tcPr>
            <w:tcW w:w="4566" w:type="dxa"/>
            <w:tcBorders>
              <w:top w:val="nil"/>
              <w:left w:val="single" w:color="auto" w:sz="4" w:space="0"/>
              <w:bottom w:val="nil"/>
              <w:right w:val="nil"/>
            </w:tcBorders>
            <w:noWrap w:val="0"/>
            <w:vAlign w:val="bottom"/>
          </w:tcPr>
          <w:p>
            <w:pPr>
              <w:widowControl/>
              <w:jc w:val="left"/>
              <w:rPr>
                <w:rFonts w:ascii="宋体" w:hAnsi="宋体" w:cs="宋体"/>
                <w:kern w:val="0"/>
                <w:szCs w:val="21"/>
              </w:rPr>
            </w:pPr>
            <w:r>
              <w:rPr>
                <w:rFonts w:hint="eastAsia" w:ascii="宋体" w:hAnsi="宋体" w:cs="宋体"/>
                <w:kern w:val="0"/>
                <w:szCs w:val="21"/>
              </w:rPr>
              <w:t>联系电话：</w:t>
            </w:r>
          </w:p>
        </w:tc>
        <w:tc>
          <w:tcPr>
            <w:tcW w:w="4784" w:type="dxa"/>
            <w:tcBorders>
              <w:top w:val="nil"/>
              <w:left w:val="nil"/>
              <w:bottom w:val="nil"/>
              <w:right w:val="nil"/>
            </w:tcBorders>
            <w:noWrap w:val="0"/>
            <w:vAlign w:val="center"/>
          </w:tcPr>
          <w:p>
            <w:pPr>
              <w:widowControl/>
              <w:jc w:val="right"/>
              <w:rPr>
                <w:rFonts w:ascii="宋体" w:hAnsi="宋体" w:cs="宋体"/>
                <w:kern w:val="0"/>
                <w:szCs w:val="21"/>
              </w:rPr>
            </w:pPr>
            <w:r>
              <w:rPr>
                <w:rFonts w:hint="eastAsia" w:ascii="宋体" w:hAnsi="宋体" w:cs="宋体"/>
                <w:kern w:val="0"/>
                <w:szCs w:val="21"/>
              </w:rPr>
              <w:t>联系电话：</w:t>
            </w:r>
          </w:p>
        </w:tc>
        <w:tc>
          <w:tcPr>
            <w:tcW w:w="1265" w:type="dxa"/>
            <w:tcBorders>
              <w:top w:val="nil"/>
              <w:left w:val="nil"/>
              <w:bottom w:val="nil"/>
              <w:right w:val="nil"/>
            </w:tcBorders>
            <w:noWrap w:val="0"/>
            <w:vAlign w:val="bottom"/>
          </w:tcPr>
          <w:p>
            <w:pPr>
              <w:widowControl/>
              <w:jc w:val="left"/>
              <w:rPr>
                <w:rFonts w:ascii="宋体" w:hAnsi="宋体" w:cs="宋体"/>
                <w:kern w:val="0"/>
                <w:szCs w:val="21"/>
              </w:rPr>
            </w:pPr>
          </w:p>
        </w:tc>
        <w:tc>
          <w:tcPr>
            <w:tcW w:w="1582" w:type="dxa"/>
            <w:tcBorders>
              <w:top w:val="nil"/>
              <w:left w:val="nil"/>
              <w:bottom w:val="nil"/>
              <w:right w:val="nil"/>
            </w:tcBorders>
            <w:noWrap w:val="0"/>
            <w:vAlign w:val="bottom"/>
          </w:tcPr>
          <w:p>
            <w:pPr>
              <w:widowControl/>
              <w:jc w:val="left"/>
              <w:rPr>
                <w:rFonts w:ascii="宋体" w:hAnsi="宋体" w:cs="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wBefore w:w="0" w:type="dxa"/>
          <w:trHeight w:val="712" w:hRule="atLeast"/>
        </w:trPr>
        <w:tc>
          <w:tcPr>
            <w:tcW w:w="4566" w:type="dxa"/>
            <w:tcBorders>
              <w:top w:val="nil"/>
              <w:left w:val="single" w:color="auto" w:sz="4" w:space="0"/>
              <w:bottom w:val="nil"/>
              <w:right w:val="nil"/>
            </w:tcBorders>
            <w:noWrap w:val="0"/>
            <w:vAlign w:val="bottom"/>
          </w:tcPr>
          <w:p>
            <w:pPr>
              <w:widowControl/>
              <w:jc w:val="left"/>
              <w:rPr>
                <w:rFonts w:ascii="宋体" w:hAnsi="宋体" w:cs="宋体"/>
                <w:kern w:val="0"/>
                <w:szCs w:val="21"/>
              </w:rPr>
            </w:pPr>
            <w:r>
              <w:rPr>
                <w:rFonts w:hint="eastAsia" w:ascii="宋体" w:hAnsi="宋体" w:cs="宋体"/>
                <w:kern w:val="0"/>
                <w:szCs w:val="21"/>
              </w:rPr>
              <w:t>开户银行：</w:t>
            </w:r>
          </w:p>
        </w:tc>
        <w:tc>
          <w:tcPr>
            <w:tcW w:w="4784" w:type="dxa"/>
            <w:tcBorders>
              <w:top w:val="nil"/>
              <w:left w:val="nil"/>
              <w:bottom w:val="nil"/>
              <w:right w:val="nil"/>
            </w:tcBorders>
            <w:noWrap w:val="0"/>
            <w:vAlign w:val="center"/>
          </w:tcPr>
          <w:p>
            <w:pPr>
              <w:widowControl/>
              <w:jc w:val="right"/>
              <w:rPr>
                <w:rFonts w:ascii="宋体" w:hAnsi="宋体" w:cs="宋体"/>
                <w:kern w:val="0"/>
                <w:szCs w:val="21"/>
              </w:rPr>
            </w:pPr>
            <w:r>
              <w:rPr>
                <w:rFonts w:hint="eastAsia" w:ascii="宋体" w:hAnsi="宋体" w:cs="宋体"/>
                <w:kern w:val="0"/>
                <w:szCs w:val="21"/>
              </w:rPr>
              <w:t>项目验收组成员（签名）：</w:t>
            </w:r>
          </w:p>
        </w:tc>
        <w:tc>
          <w:tcPr>
            <w:tcW w:w="1265" w:type="dxa"/>
            <w:tcBorders>
              <w:top w:val="nil"/>
              <w:left w:val="nil"/>
              <w:bottom w:val="nil"/>
              <w:right w:val="nil"/>
            </w:tcBorders>
            <w:noWrap w:val="0"/>
            <w:vAlign w:val="bottom"/>
          </w:tcPr>
          <w:p>
            <w:pPr>
              <w:widowControl/>
              <w:jc w:val="left"/>
              <w:rPr>
                <w:rFonts w:ascii="宋体" w:hAnsi="宋体" w:cs="宋体"/>
                <w:kern w:val="0"/>
                <w:szCs w:val="21"/>
              </w:rPr>
            </w:pPr>
          </w:p>
        </w:tc>
        <w:tc>
          <w:tcPr>
            <w:tcW w:w="1582" w:type="dxa"/>
            <w:tcBorders>
              <w:top w:val="nil"/>
              <w:left w:val="nil"/>
              <w:bottom w:val="nil"/>
              <w:right w:val="nil"/>
            </w:tcBorders>
            <w:noWrap w:val="0"/>
            <w:vAlign w:val="bottom"/>
          </w:tcPr>
          <w:p>
            <w:pPr>
              <w:widowControl/>
              <w:jc w:val="left"/>
              <w:rPr>
                <w:rFonts w:ascii="宋体" w:hAnsi="宋体" w:cs="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wBefore w:w="0" w:type="dxa"/>
          <w:trHeight w:val="864" w:hRule="atLeast"/>
        </w:trPr>
        <w:tc>
          <w:tcPr>
            <w:tcW w:w="4566" w:type="dxa"/>
            <w:tcBorders>
              <w:top w:val="nil"/>
              <w:left w:val="single" w:color="auto" w:sz="4" w:space="0"/>
              <w:bottom w:val="single" w:color="auto" w:sz="4" w:space="0"/>
              <w:right w:val="nil"/>
            </w:tcBorders>
            <w:noWrap w:val="0"/>
            <w:vAlign w:val="center"/>
          </w:tcPr>
          <w:p>
            <w:pPr>
              <w:widowControl/>
              <w:rPr>
                <w:rFonts w:ascii="宋体" w:hAnsi="宋体" w:cs="宋体"/>
                <w:kern w:val="0"/>
                <w:szCs w:val="21"/>
              </w:rPr>
            </w:pPr>
            <w:r>
              <w:rPr>
                <w:rFonts w:hint="eastAsia" w:ascii="宋体" w:hAnsi="宋体" w:cs="宋体"/>
                <w:kern w:val="0"/>
                <w:szCs w:val="21"/>
              </w:rPr>
              <w:t>银行帐号：</w:t>
            </w:r>
          </w:p>
        </w:tc>
        <w:tc>
          <w:tcPr>
            <w:tcW w:w="4784" w:type="dxa"/>
            <w:tcBorders>
              <w:top w:val="nil"/>
              <w:left w:val="nil"/>
              <w:bottom w:val="single" w:color="auto" w:sz="4" w:space="0"/>
              <w:right w:val="nil"/>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4840" w:type="dxa"/>
            <w:gridSpan w:val="3"/>
            <w:tcBorders>
              <w:top w:val="nil"/>
              <w:left w:val="nil"/>
              <w:bottom w:val="single" w:color="auto" w:sz="4" w:space="0"/>
              <w:right w:val="single" w:color="000000" w:sz="4" w:space="0"/>
            </w:tcBorders>
            <w:noWrap w:val="0"/>
            <w:vAlign w:val="center"/>
          </w:tcPr>
          <w:p>
            <w:pPr>
              <w:widowControl/>
              <w:rPr>
                <w:rFonts w:ascii="宋体" w:hAnsi="宋体" w:cs="宋体"/>
                <w:kern w:val="0"/>
                <w:szCs w:val="21"/>
              </w:rPr>
            </w:pPr>
            <w:r>
              <w:rPr>
                <w:rFonts w:hint="eastAsia" w:ascii="宋体" w:hAnsi="宋体" w:cs="宋体"/>
                <w:kern w:val="0"/>
                <w:szCs w:val="21"/>
              </w:rPr>
              <w:t>验收时间：       年     月     日</w:t>
            </w:r>
          </w:p>
        </w:tc>
      </w:tr>
      <w:tr>
        <w:tblPrEx>
          <w:tblCellMar>
            <w:top w:w="0" w:type="dxa"/>
            <w:left w:w="108" w:type="dxa"/>
            <w:bottom w:w="0" w:type="dxa"/>
            <w:right w:w="108" w:type="dxa"/>
          </w:tblCellMar>
        </w:tblPrEx>
        <w:trPr>
          <w:wBefore w:w="0" w:type="dxa"/>
          <w:trHeight w:val="210" w:hRule="atLeast"/>
        </w:trPr>
        <w:tc>
          <w:tcPr>
            <w:tcW w:w="14190" w:type="dxa"/>
            <w:gridSpan w:val="5"/>
            <w:tcBorders>
              <w:top w:val="single" w:color="auto" w:sz="4" w:space="0"/>
              <w:left w:val="nil"/>
              <w:bottom w:val="nil"/>
              <w:right w:val="nil"/>
            </w:tcBorders>
            <w:noWrap w:val="0"/>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本单一式四联：第一联采购人留存，第二联作为财政支付凭证，第三联供货单位留存，第四联采购办存档备查。</w:t>
            </w:r>
          </w:p>
        </w:tc>
      </w:tr>
    </w:tbl>
    <w:p>
      <w:pPr>
        <w:autoSpaceDE w:val="0"/>
        <w:autoSpaceDN w:val="0"/>
        <w:adjustRightInd w:val="0"/>
        <w:ind w:right="418" w:firstLine="6094" w:firstLineChars="2902"/>
        <w:rPr>
          <w:rFonts w:ascii="宋体" w:hAnsi="宋体" w:cs="宋体"/>
          <w:szCs w:val="21"/>
        </w:rPr>
        <w:sectPr>
          <w:pgSz w:w="16838" w:h="11906" w:orient="landscape"/>
          <w:pgMar w:top="1418" w:right="1247" w:bottom="1418" w:left="1276" w:header="851" w:footer="483" w:gutter="0"/>
          <w:cols w:space="720" w:num="1"/>
          <w:titlePg/>
          <w:docGrid w:linePitch="312" w:charSpace="0"/>
        </w:sectPr>
      </w:pPr>
    </w:p>
    <w:p>
      <w:pPr>
        <w:pStyle w:val="43"/>
        <w:spacing w:before="0" w:after="0"/>
        <w:rPr>
          <w:sz w:val="30"/>
          <w:szCs w:val="30"/>
        </w:rPr>
      </w:pPr>
      <w:bookmarkStart w:id="58" w:name="_Toc50211563"/>
      <w:r>
        <w:rPr>
          <w:rFonts w:hint="eastAsia"/>
        </w:rPr>
        <w:t>第六章  投标文件格式</w:t>
      </w:r>
      <w:bookmarkEnd w:id="58"/>
    </w:p>
    <w:p>
      <w:pPr>
        <w:pStyle w:val="2"/>
      </w:pPr>
      <w:bookmarkStart w:id="59" w:name="_Toc42879260"/>
      <w:bookmarkStart w:id="60" w:name="_Toc39655269"/>
      <w:bookmarkStart w:id="61" w:name="_Toc16185640"/>
      <w:bookmarkStart w:id="62" w:name="_Toc3386514"/>
      <w:bookmarkStart w:id="63" w:name="_Toc50211564"/>
      <w:r>
        <w:rPr>
          <w:rFonts w:hint="eastAsia"/>
        </w:rPr>
        <w:t>一、资信商务及技术文件格式</w:t>
      </w:r>
      <w:bookmarkEnd w:id="59"/>
      <w:bookmarkEnd w:id="60"/>
      <w:bookmarkEnd w:id="61"/>
      <w:bookmarkEnd w:id="62"/>
      <w:bookmarkEnd w:id="63"/>
    </w:p>
    <w:p>
      <w:pPr>
        <w:snapToGrid w:val="0"/>
        <w:rPr>
          <w:rFonts w:ascii="宋体" w:hAnsi="宋体" w:cs="宋体"/>
          <w:bCs/>
          <w:sz w:val="24"/>
        </w:rPr>
      </w:pPr>
      <w:r>
        <w:rPr>
          <w:rFonts w:hint="eastAsia" w:ascii="宋体" w:hAnsi="宋体" w:cs="宋体"/>
          <w:sz w:val="24"/>
        </w:rPr>
        <w:t>·资信商务</w:t>
      </w:r>
      <w:r>
        <w:rPr>
          <w:rFonts w:hint="eastAsia" w:ascii="宋体" w:hAnsi="宋体" w:cs="宋体"/>
          <w:bCs/>
          <w:sz w:val="24"/>
        </w:rPr>
        <w:t>及</w:t>
      </w:r>
      <w:r>
        <w:rPr>
          <w:rFonts w:hint="eastAsia" w:ascii="宋体" w:hAnsi="宋体" w:cs="宋体"/>
          <w:sz w:val="24"/>
        </w:rPr>
        <w:t>技术文件</w:t>
      </w:r>
      <w:r>
        <w:rPr>
          <w:rFonts w:hint="eastAsia" w:ascii="宋体" w:hAnsi="宋体" w:cs="宋体"/>
          <w:bCs/>
          <w:sz w:val="24"/>
        </w:rPr>
        <w:t>的外包装封面格式（不可缺）：</w:t>
      </w:r>
    </w:p>
    <w:p>
      <w:pPr>
        <w:snapToGrid w:val="0"/>
        <w:jc w:val="center"/>
        <w:rPr>
          <w:rFonts w:ascii="宋体" w:hAnsi="宋体" w:cs="宋体"/>
          <w:sz w:val="24"/>
        </w:rPr>
      </w:pPr>
      <w:r>
        <w:rPr>
          <w:rFonts w:hint="eastAsia" w:ascii="宋体" w:hAnsi="宋体" w:cs="宋体"/>
          <w:sz w:val="24"/>
        </w:rPr>
        <w:t>资信商务及技术文件</w:t>
      </w:r>
    </w:p>
    <w:p>
      <w:pPr>
        <w:snapToGrid w:val="0"/>
        <w:ind w:firstLine="960" w:firstLineChars="400"/>
        <w:rPr>
          <w:rFonts w:ascii="宋体" w:hAnsi="宋体" w:cs="宋体"/>
          <w:bCs/>
          <w:sz w:val="24"/>
        </w:rPr>
      </w:pPr>
      <w:r>
        <w:rPr>
          <w:rFonts w:hint="eastAsia" w:ascii="宋体" w:hAnsi="宋体" w:cs="宋体"/>
          <w:bCs/>
          <w:sz w:val="24"/>
        </w:rPr>
        <w:t>项目名称：</w:t>
      </w:r>
    </w:p>
    <w:p>
      <w:pPr>
        <w:snapToGrid w:val="0"/>
        <w:ind w:firstLine="480" w:firstLineChars="200"/>
        <w:rPr>
          <w:rFonts w:ascii="宋体" w:hAnsi="宋体" w:cs="宋体"/>
          <w:bCs/>
          <w:sz w:val="24"/>
        </w:rPr>
      </w:pPr>
      <w:r>
        <w:rPr>
          <w:rFonts w:hint="eastAsia" w:ascii="宋体" w:hAnsi="宋体" w:cs="宋体"/>
          <w:bCs/>
          <w:sz w:val="24"/>
        </w:rPr>
        <w:t xml:space="preserve">    项目编号：</w:t>
      </w:r>
    </w:p>
    <w:p>
      <w:pPr>
        <w:snapToGrid w:val="0"/>
        <w:ind w:firstLine="480" w:firstLineChars="200"/>
        <w:rPr>
          <w:rFonts w:ascii="宋体" w:hAnsi="宋体" w:cs="宋体"/>
          <w:bCs/>
          <w:sz w:val="24"/>
          <w:szCs w:val="24"/>
        </w:rPr>
      </w:pPr>
      <w:r>
        <w:rPr>
          <w:rFonts w:hint="eastAsia" w:ascii="宋体" w:hAnsi="宋体" w:cs="宋体"/>
          <w:bCs/>
          <w:sz w:val="24"/>
        </w:rPr>
        <w:t xml:space="preserve">    </w:t>
      </w:r>
      <w:r>
        <w:rPr>
          <w:rFonts w:hint="eastAsia" w:ascii="宋体" w:hAnsi="宋体" w:cs="宋体"/>
          <w:bCs/>
          <w:sz w:val="24"/>
          <w:szCs w:val="24"/>
        </w:rPr>
        <w:t>投标人名称：</w:t>
      </w:r>
    </w:p>
    <w:p>
      <w:pPr>
        <w:pStyle w:val="13"/>
        <w:spacing w:line="360" w:lineRule="auto"/>
        <w:ind w:firstLine="960" w:firstLineChars="400"/>
        <w:rPr>
          <w:rFonts w:hAnsi="宋体" w:cs="宋体"/>
          <w:bCs/>
          <w:color w:val="auto"/>
          <w:sz w:val="24"/>
          <w:szCs w:val="24"/>
        </w:rPr>
      </w:pPr>
      <w:r>
        <w:rPr>
          <w:rFonts w:hint="eastAsia" w:hAnsi="宋体" w:cs="宋体"/>
          <w:bCs/>
          <w:color w:val="auto"/>
          <w:sz w:val="24"/>
          <w:szCs w:val="24"/>
        </w:rPr>
        <w:t>投标人地址：</w:t>
      </w:r>
    </w:p>
    <w:p>
      <w:pPr>
        <w:pStyle w:val="13"/>
        <w:spacing w:line="360" w:lineRule="auto"/>
        <w:ind w:firstLine="960" w:firstLineChars="400"/>
        <w:rPr>
          <w:rFonts w:hAnsi="宋体" w:cs="宋体"/>
          <w:bCs/>
          <w:color w:val="auto"/>
          <w:sz w:val="24"/>
          <w:szCs w:val="24"/>
        </w:rPr>
      </w:pPr>
      <w:r>
        <w:rPr>
          <w:rFonts w:hint="eastAsia" w:hAnsi="宋体" w:cs="宋体"/>
          <w:bCs/>
          <w:color w:val="auto"/>
          <w:sz w:val="24"/>
          <w:szCs w:val="24"/>
        </w:rPr>
        <w:t>在  年  月  日  时  分之前不得启封</w:t>
      </w:r>
    </w:p>
    <w:p>
      <w:pPr>
        <w:pStyle w:val="13"/>
        <w:spacing w:line="360" w:lineRule="auto"/>
        <w:ind w:firstLine="1497" w:firstLineChars="416"/>
        <w:rPr>
          <w:rFonts w:hAnsi="宋体" w:cs="宋体"/>
          <w:color w:val="auto"/>
          <w:sz w:val="36"/>
        </w:rPr>
      </w:pPr>
    </w:p>
    <w:p>
      <w:pPr>
        <w:snapToGrid w:val="0"/>
        <w:ind w:firstLine="645"/>
        <w:jc w:val="center"/>
        <w:rPr>
          <w:rFonts w:ascii="宋体" w:hAnsi="宋体" w:cs="宋体"/>
          <w:sz w:val="24"/>
        </w:rPr>
      </w:pPr>
      <w:r>
        <w:rPr>
          <w:rFonts w:hint="eastAsia" w:ascii="宋体" w:hAnsi="宋体" w:cs="宋体"/>
          <w:sz w:val="24"/>
        </w:rPr>
        <w:t xml:space="preserve">                        年  月  日</w:t>
      </w:r>
    </w:p>
    <w:p>
      <w:pPr>
        <w:snapToGrid w:val="0"/>
        <w:ind w:firstLine="645"/>
        <w:jc w:val="center"/>
        <w:rPr>
          <w:rFonts w:ascii="宋体" w:hAnsi="宋体" w:cs="宋体"/>
          <w:sz w:val="24"/>
        </w:rPr>
      </w:pPr>
    </w:p>
    <w:p>
      <w:pPr>
        <w:snapToGrid w:val="0"/>
        <w:ind w:firstLine="645"/>
        <w:jc w:val="center"/>
        <w:rPr>
          <w:rFonts w:ascii="宋体" w:hAnsi="宋体" w:cs="宋体"/>
          <w:sz w:val="24"/>
        </w:rPr>
      </w:pPr>
    </w:p>
    <w:p>
      <w:pPr>
        <w:snapToGrid w:val="0"/>
        <w:rPr>
          <w:rFonts w:ascii="宋体" w:hAnsi="宋体" w:cs="宋体"/>
          <w:sz w:val="24"/>
        </w:rPr>
      </w:pPr>
      <w:r>
        <w:rPr>
          <w:rFonts w:hint="eastAsia" w:ascii="宋体" w:hAnsi="宋体" w:cs="宋体"/>
          <w:sz w:val="24"/>
        </w:rPr>
        <w:t>·资信商务</w:t>
      </w:r>
      <w:r>
        <w:rPr>
          <w:rFonts w:hint="eastAsia" w:ascii="宋体" w:hAnsi="宋体" w:cs="宋体"/>
          <w:bCs/>
          <w:sz w:val="24"/>
        </w:rPr>
        <w:t>及</w:t>
      </w:r>
      <w:r>
        <w:rPr>
          <w:rFonts w:hint="eastAsia" w:ascii="宋体" w:hAnsi="宋体" w:cs="宋体"/>
          <w:sz w:val="24"/>
        </w:rPr>
        <w:t>技术文件封面格式：</w:t>
      </w:r>
    </w:p>
    <w:p>
      <w:pPr>
        <w:snapToGrid w:val="0"/>
        <w:rPr>
          <w:rFonts w:ascii="宋体" w:hAnsi="宋体" w:cs="宋体"/>
          <w:b/>
          <w:bCs/>
          <w:sz w:val="32"/>
        </w:rPr>
      </w:pPr>
      <w:r>
        <w:rPr>
          <w:rFonts w:hint="eastAsia" w:ascii="宋体" w:hAnsi="宋体" w:cs="宋体"/>
          <w:sz w:val="24"/>
        </w:rPr>
        <w:t xml:space="preserve">                                                    </w:t>
      </w:r>
      <w:r>
        <w:rPr>
          <w:rFonts w:hint="eastAsia" w:ascii="宋体" w:hAnsi="宋体" w:cs="宋体"/>
          <w:b/>
          <w:bCs/>
        </w:rPr>
        <w:t>正本/或副本</w:t>
      </w:r>
    </w:p>
    <w:p>
      <w:pPr>
        <w:snapToGrid w:val="0"/>
        <w:rPr>
          <w:rFonts w:ascii="宋体" w:hAnsi="宋体" w:cs="宋体"/>
          <w:sz w:val="24"/>
        </w:rPr>
      </w:pPr>
    </w:p>
    <w:p>
      <w:pPr>
        <w:snapToGrid w:val="0"/>
        <w:jc w:val="center"/>
        <w:rPr>
          <w:rFonts w:ascii="宋体" w:hAnsi="宋体" w:cs="宋体"/>
          <w:bCs/>
          <w:sz w:val="24"/>
        </w:rPr>
      </w:pPr>
    </w:p>
    <w:p>
      <w:pPr>
        <w:snapToGrid w:val="0"/>
        <w:jc w:val="center"/>
        <w:rPr>
          <w:rFonts w:ascii="宋体" w:hAnsi="宋体" w:cs="宋体"/>
          <w:bCs/>
          <w:sz w:val="24"/>
        </w:rPr>
      </w:pPr>
      <w:r>
        <w:rPr>
          <w:rFonts w:hint="eastAsia" w:ascii="宋体" w:hAnsi="宋体" w:cs="宋体"/>
          <w:bCs/>
          <w:sz w:val="24"/>
        </w:rPr>
        <w:t>资信商务及</w:t>
      </w:r>
      <w:r>
        <w:rPr>
          <w:rFonts w:hint="eastAsia" w:ascii="宋体" w:hAnsi="宋体" w:cs="宋体"/>
          <w:sz w:val="24"/>
        </w:rPr>
        <w:t>技术文件</w:t>
      </w:r>
    </w:p>
    <w:p>
      <w:pPr>
        <w:snapToGrid w:val="0"/>
        <w:rPr>
          <w:rFonts w:ascii="宋体" w:hAnsi="宋体" w:cs="宋体"/>
          <w:bCs/>
          <w:sz w:val="24"/>
        </w:rPr>
      </w:pPr>
    </w:p>
    <w:p>
      <w:pPr>
        <w:snapToGrid w:val="0"/>
        <w:ind w:firstLine="1068" w:firstLineChars="445"/>
        <w:rPr>
          <w:rFonts w:ascii="宋体" w:hAnsi="宋体" w:cs="宋体"/>
          <w:bCs/>
          <w:sz w:val="24"/>
        </w:rPr>
      </w:pPr>
      <w:r>
        <w:rPr>
          <w:rFonts w:hint="eastAsia" w:ascii="宋体" w:hAnsi="宋体" w:cs="宋体"/>
          <w:bCs/>
          <w:sz w:val="24"/>
        </w:rPr>
        <w:t>项目名称：</w:t>
      </w:r>
    </w:p>
    <w:p>
      <w:pPr>
        <w:snapToGrid w:val="0"/>
        <w:ind w:firstLine="480" w:firstLineChars="200"/>
        <w:rPr>
          <w:rFonts w:ascii="宋体" w:hAnsi="宋体" w:cs="宋体"/>
          <w:bCs/>
          <w:sz w:val="24"/>
        </w:rPr>
      </w:pPr>
      <w:r>
        <w:rPr>
          <w:rFonts w:hint="eastAsia" w:ascii="宋体" w:hAnsi="宋体" w:cs="宋体"/>
          <w:bCs/>
          <w:sz w:val="24"/>
        </w:rPr>
        <w:t xml:space="preserve">     项目编号：</w:t>
      </w:r>
    </w:p>
    <w:p>
      <w:pPr>
        <w:snapToGrid w:val="0"/>
        <w:ind w:firstLine="480" w:firstLineChars="200"/>
        <w:rPr>
          <w:rFonts w:ascii="宋体" w:hAnsi="宋体" w:cs="宋体"/>
          <w:bCs/>
          <w:sz w:val="24"/>
          <w:szCs w:val="24"/>
        </w:rPr>
      </w:pPr>
      <w:r>
        <w:rPr>
          <w:rFonts w:hint="eastAsia" w:ascii="宋体" w:hAnsi="宋体" w:cs="宋体"/>
          <w:bCs/>
          <w:sz w:val="24"/>
        </w:rPr>
        <w:t xml:space="preserve">     </w:t>
      </w:r>
      <w:r>
        <w:rPr>
          <w:rFonts w:hint="eastAsia" w:ascii="宋体" w:hAnsi="宋体" w:cs="宋体"/>
          <w:bCs/>
          <w:sz w:val="24"/>
          <w:szCs w:val="24"/>
        </w:rPr>
        <w:t>投标人名称：</w:t>
      </w:r>
    </w:p>
    <w:p>
      <w:pPr>
        <w:pStyle w:val="13"/>
        <w:spacing w:line="360" w:lineRule="auto"/>
        <w:ind w:firstLine="1080" w:firstLineChars="450"/>
        <w:rPr>
          <w:rFonts w:hAnsi="宋体" w:cs="宋体"/>
          <w:bCs/>
          <w:color w:val="auto"/>
          <w:sz w:val="24"/>
          <w:szCs w:val="24"/>
        </w:rPr>
      </w:pPr>
      <w:r>
        <w:rPr>
          <w:rFonts w:hint="eastAsia" w:hAnsi="宋体" w:cs="宋体"/>
          <w:bCs/>
          <w:color w:val="auto"/>
          <w:sz w:val="24"/>
          <w:szCs w:val="24"/>
        </w:rPr>
        <w:t>投标人地址：</w:t>
      </w:r>
    </w:p>
    <w:p>
      <w:pPr>
        <w:snapToGrid w:val="0"/>
        <w:ind w:firstLine="645"/>
        <w:jc w:val="center"/>
        <w:rPr>
          <w:rFonts w:ascii="宋体" w:hAnsi="宋体" w:cs="宋体"/>
        </w:rPr>
      </w:pPr>
      <w:r>
        <w:rPr>
          <w:rFonts w:hint="eastAsia" w:ascii="宋体" w:hAnsi="宋体" w:cs="宋体"/>
          <w:sz w:val="24"/>
        </w:rPr>
        <w:t xml:space="preserve">                        年  月  日</w:t>
      </w:r>
    </w:p>
    <w:p>
      <w:pPr>
        <w:snapToGrid w:val="0"/>
        <w:ind w:firstLine="480" w:firstLineChars="200"/>
        <w:rPr>
          <w:rFonts w:ascii="宋体" w:hAnsi="宋体" w:cs="宋体"/>
          <w:sz w:val="24"/>
        </w:rPr>
      </w:pPr>
      <w:r>
        <w:rPr>
          <w:rFonts w:hint="eastAsia" w:ascii="宋体" w:hAnsi="宋体" w:cs="宋体"/>
          <w:sz w:val="24"/>
        </w:rPr>
        <w:br w:type="page"/>
      </w:r>
      <w:bookmarkStart w:id="64" w:name="OLE_LINK11"/>
    </w:p>
    <w:p>
      <w:pPr>
        <w:snapToGrid w:val="0"/>
        <w:ind w:firstLine="482" w:firstLineChars="200"/>
        <w:rPr>
          <w:rFonts w:ascii="宋体" w:hAnsi="宋体"/>
          <w:sz w:val="24"/>
          <w:szCs w:val="24"/>
        </w:rPr>
      </w:pPr>
      <w:r>
        <w:rPr>
          <w:rFonts w:hint="eastAsia" w:ascii="宋体" w:hAnsi="宋体"/>
          <w:b/>
          <w:sz w:val="24"/>
          <w:szCs w:val="24"/>
        </w:rPr>
        <w:t>资信商务及技术文件、投标报价文件目录</w:t>
      </w:r>
      <w:r>
        <w:rPr>
          <w:rFonts w:hint="eastAsia" w:ascii="宋体" w:hAnsi="宋体"/>
          <w:b/>
          <w:bCs/>
          <w:sz w:val="24"/>
          <w:szCs w:val="24"/>
        </w:rPr>
        <w:t>（请按照“第三章供应商须知，</w:t>
      </w:r>
      <w:r>
        <w:rPr>
          <w:rFonts w:ascii="宋体" w:hAnsi="宋体"/>
          <w:b/>
          <w:bCs/>
          <w:sz w:val="24"/>
          <w:szCs w:val="24"/>
        </w:rPr>
        <w:t>三、投标文件的编制</w:t>
      </w:r>
      <w:r>
        <w:rPr>
          <w:rFonts w:hint="eastAsia" w:ascii="宋体" w:hAnsi="宋体"/>
          <w:b/>
          <w:bCs/>
          <w:sz w:val="24"/>
          <w:szCs w:val="24"/>
        </w:rPr>
        <w:t>”的顺序，结合评标办法自行编制目录）</w:t>
      </w:r>
    </w:p>
    <w:p>
      <w:pPr>
        <w:snapToGrid w:val="0"/>
        <w:ind w:firstLine="482" w:firstLineChars="200"/>
        <w:rPr>
          <w:rFonts w:ascii="宋体" w:hAnsi="宋体"/>
          <w:b/>
          <w:bCs/>
          <w:sz w:val="24"/>
          <w:szCs w:val="24"/>
        </w:rPr>
      </w:pPr>
      <w:r>
        <w:rPr>
          <w:rFonts w:hint="eastAsia" w:ascii="宋体" w:hAnsi="宋体"/>
          <w:b/>
          <w:bCs/>
          <w:sz w:val="24"/>
          <w:szCs w:val="24"/>
        </w:rPr>
        <w:t>例如：</w:t>
      </w:r>
    </w:p>
    <w:p>
      <w:pPr>
        <w:snapToGrid w:val="0"/>
        <w:ind w:firstLine="482" w:firstLineChars="200"/>
        <w:rPr>
          <w:rFonts w:ascii="宋体" w:hAnsi="宋体"/>
          <w:sz w:val="24"/>
          <w:szCs w:val="24"/>
        </w:rPr>
      </w:pPr>
      <w:r>
        <w:rPr>
          <w:rFonts w:hint="eastAsia" w:ascii="宋体" w:hAnsi="宋体"/>
          <w:b/>
          <w:bCs/>
          <w:sz w:val="24"/>
          <w:szCs w:val="24"/>
        </w:rPr>
        <w:t>资信商务技术文件：</w:t>
      </w:r>
    </w:p>
    <w:p>
      <w:pPr>
        <w:snapToGrid w:val="0"/>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）资格文件 </w:t>
      </w:r>
      <w:r>
        <w:rPr>
          <w:rFonts w:hint="eastAsia" w:ascii="宋体" w:hAnsi="宋体"/>
          <w:sz w:val="24"/>
          <w:szCs w:val="24"/>
        </w:rPr>
        <w:t>———————————————————————（页码）</w:t>
      </w:r>
    </w:p>
    <w:p>
      <w:pPr>
        <w:snapToGrid w:val="0"/>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投标声明书</w:t>
      </w:r>
      <w:r>
        <w:rPr>
          <w:rFonts w:ascii="宋体" w:hAnsi="宋体"/>
          <w:sz w:val="24"/>
          <w:szCs w:val="24"/>
        </w:rPr>
        <w:t xml:space="preserve"> (格式见附件) </w:t>
      </w:r>
      <w:r>
        <w:rPr>
          <w:rFonts w:hint="eastAsia" w:ascii="宋体" w:hAnsi="宋体"/>
          <w:sz w:val="24"/>
          <w:szCs w:val="24"/>
        </w:rPr>
        <w:t>————————————————（页码）</w:t>
      </w:r>
    </w:p>
    <w:p>
      <w:pPr>
        <w:snapToGrid w:val="0"/>
        <w:ind w:firstLine="480" w:firstLineChars="200"/>
        <w:jc w:val="left"/>
        <w:rPr>
          <w:rFonts w:ascii="宋体" w:hAnsi="宋体" w:cs="宋体"/>
          <w:b/>
          <w:sz w:val="24"/>
        </w:rPr>
      </w:pPr>
      <w:r>
        <w:rPr>
          <w:rFonts w:hint="eastAsia" w:ascii="宋体" w:hAnsi="宋体"/>
          <w:sz w:val="24"/>
          <w:szCs w:val="24"/>
        </w:rPr>
        <w:t>（3</w:t>
      </w:r>
      <w:r>
        <w:rPr>
          <w:rFonts w:ascii="宋体" w:hAnsi="宋体"/>
          <w:sz w:val="24"/>
          <w:szCs w:val="24"/>
        </w:rPr>
        <w:t>）法定代表人授权委托书(格式见附件)</w:t>
      </w:r>
      <w:r>
        <w:rPr>
          <w:rFonts w:hint="eastAsia" w:ascii="宋体" w:hAnsi="宋体"/>
          <w:sz w:val="24"/>
          <w:szCs w:val="24"/>
        </w:rPr>
        <w:t xml:space="preserve"> ————————————（页码）</w:t>
      </w:r>
      <w:r>
        <w:rPr>
          <w:rFonts w:ascii="宋体" w:hAnsi="宋体" w:cs="宋体"/>
          <w:sz w:val="24"/>
        </w:rPr>
        <w:br w:type="page"/>
      </w:r>
      <w:r>
        <w:rPr>
          <w:rFonts w:hint="eastAsia" w:ascii="宋体" w:hAnsi="宋体" w:cs="宋体"/>
          <w:b/>
          <w:sz w:val="24"/>
        </w:rPr>
        <w:t>1、投标声明书格式：</w:t>
      </w:r>
    </w:p>
    <w:bookmarkEnd w:id="64"/>
    <w:p>
      <w:pPr>
        <w:snapToGrid w:val="0"/>
        <w:jc w:val="center"/>
        <w:rPr>
          <w:rFonts w:ascii="宋体" w:hAnsi="宋体" w:cs="宋体"/>
          <w:b/>
          <w:bCs/>
          <w:sz w:val="32"/>
          <w:szCs w:val="32"/>
        </w:rPr>
      </w:pPr>
      <w:bookmarkStart w:id="65" w:name="OLE_LINK12"/>
      <w:r>
        <w:rPr>
          <w:rFonts w:hint="eastAsia" w:ascii="宋体" w:hAnsi="宋体" w:cs="宋体"/>
          <w:b/>
          <w:bCs/>
          <w:sz w:val="32"/>
          <w:szCs w:val="32"/>
        </w:rPr>
        <w:t>投标声明书</w:t>
      </w:r>
    </w:p>
    <w:p>
      <w:pPr>
        <w:snapToGrid w:val="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（采购单位名称）：</w:t>
      </w:r>
    </w:p>
    <w:p>
      <w:pPr>
        <w:snapToGrid w:val="0"/>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（投标人名称）的法定代表人，我方愿意参加贵方组织的</w:t>
      </w:r>
      <w:r>
        <w:rPr>
          <w:rFonts w:hint="eastAsia" w:ascii="宋体" w:hAnsi="宋体" w:cs="宋体"/>
          <w:sz w:val="24"/>
          <w:u w:val="single"/>
        </w:rPr>
        <w:t xml:space="preserve">                       </w:t>
      </w:r>
      <w:r>
        <w:rPr>
          <w:rFonts w:hint="eastAsia" w:ascii="宋体" w:hAnsi="宋体" w:cs="宋体"/>
          <w:sz w:val="24"/>
        </w:rPr>
        <w:t>项目标项</w:t>
      </w:r>
      <w:r>
        <w:rPr>
          <w:rFonts w:hint="eastAsia" w:ascii="宋体" w:hAnsi="宋体" w:cs="宋体"/>
          <w:sz w:val="24"/>
          <w:u w:val="single"/>
        </w:rPr>
        <w:t xml:space="preserve">     </w:t>
      </w:r>
      <w:r>
        <w:rPr>
          <w:rFonts w:hint="eastAsia" w:ascii="宋体" w:hAnsi="宋体" w:cs="宋体"/>
          <w:sz w:val="24"/>
        </w:rPr>
        <w:t>的投标，为便于贵方公正、择优地确定中标人及服务，我方就本次投标有关事项郑重声明如下：</w:t>
      </w:r>
    </w:p>
    <w:p>
      <w:pPr>
        <w:snapToGrid w:val="0"/>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pPr>
        <w:snapToGrid w:val="0"/>
        <w:ind w:firstLine="480" w:firstLineChars="200"/>
        <w:rPr>
          <w:rFonts w:ascii="宋体" w:hAnsi="宋体" w:cs="宋体"/>
          <w:sz w:val="24"/>
        </w:rPr>
      </w:pPr>
      <w:r>
        <w:rPr>
          <w:rFonts w:hint="eastAsia" w:ascii="宋体" w:hAnsi="宋体" w:cs="宋体"/>
          <w:sz w:val="24"/>
        </w:rPr>
        <w:t>2.我方不是投标人的附属机构；在获知本项目投标信息后，与采购人聘请的为此项目提供招标代理公司及其附属机构没有任何联系。</w:t>
      </w:r>
    </w:p>
    <w:p>
      <w:pPr>
        <w:snapToGrid w:val="0"/>
        <w:ind w:firstLine="480" w:firstLineChars="200"/>
        <w:rPr>
          <w:rFonts w:ascii="宋体" w:hAnsi="宋体" w:cs="宋体"/>
          <w:sz w:val="24"/>
        </w:rPr>
      </w:pPr>
      <w:r>
        <w:rPr>
          <w:rFonts w:hint="eastAsia" w:ascii="宋体" w:hAnsi="宋体" w:cs="宋体"/>
          <w:sz w:val="24"/>
        </w:rPr>
        <w:t>3.我方及由本人担任法定代表人的其他机构最近三年内被通报或者被处罚的违法行为有：</w:t>
      </w:r>
      <w:r>
        <w:rPr>
          <w:rFonts w:hint="eastAsia" w:ascii="宋体" w:hAnsi="宋体" w:cs="宋体"/>
          <w:b/>
          <w:bCs/>
          <w:sz w:val="24"/>
        </w:rPr>
        <w:t>（若有，请如实填写；若无，请作出“参加政府采购活动前三年内，在经营活动中没有重大违法记录”的承诺）</w:t>
      </w:r>
      <w:r>
        <w:rPr>
          <w:rFonts w:hint="eastAsia" w:ascii="宋体" w:hAnsi="宋体" w:cs="宋体"/>
          <w:sz w:val="24"/>
          <w:u w:val="single"/>
        </w:rPr>
        <w:t xml:space="preserve">                              </w:t>
      </w:r>
      <w:r>
        <w:rPr>
          <w:rFonts w:hint="eastAsia" w:ascii="宋体" w:hAnsi="宋体" w:cs="宋体"/>
          <w:sz w:val="24"/>
        </w:rPr>
        <w:t>。</w:t>
      </w:r>
    </w:p>
    <w:p>
      <w:pPr>
        <w:snapToGrid w:val="0"/>
        <w:ind w:firstLine="480" w:firstLineChars="200"/>
        <w:rPr>
          <w:rFonts w:ascii="宋体" w:hAnsi="宋体" w:cs="宋体"/>
          <w:sz w:val="24"/>
        </w:rPr>
      </w:pPr>
      <w:r>
        <w:rPr>
          <w:rFonts w:hint="eastAsia" w:ascii="宋体" w:hAnsi="宋体" w:cs="宋体"/>
          <w:sz w:val="24"/>
        </w:rPr>
        <w:t>4.以上事项如有虚假或隐瞒，我方愿意承担一切后果，并不再寻求任何旨在减轻或免除法律责任的辩解。</w:t>
      </w:r>
    </w:p>
    <w:p>
      <w:pPr>
        <w:pStyle w:val="21"/>
        <w:tabs>
          <w:tab w:val="left" w:pos="939"/>
        </w:tabs>
        <w:snapToGrid w:val="0"/>
        <w:ind w:left="773" w:leftChars="150" w:hanging="458" w:hangingChars="191"/>
        <w:rPr>
          <w:rFonts w:ascii="宋体" w:hAnsi="宋体" w:cs="宋体"/>
          <w:sz w:val="24"/>
        </w:rPr>
      </w:pPr>
    </w:p>
    <w:p>
      <w:pPr>
        <w:snapToGrid w:val="0"/>
        <w:rPr>
          <w:rFonts w:ascii="宋体" w:hAnsi="宋体" w:cs="宋体"/>
          <w:sz w:val="24"/>
          <w:u w:val="single"/>
        </w:rPr>
      </w:pPr>
      <w:r>
        <w:rPr>
          <w:rFonts w:hint="eastAsia" w:ascii="宋体" w:hAnsi="宋体" w:cs="宋体"/>
          <w:sz w:val="24"/>
        </w:rPr>
        <w:t>法定代表人（签字或盖章）：</w:t>
      </w:r>
      <w:r>
        <w:rPr>
          <w:rFonts w:hint="eastAsia" w:ascii="宋体" w:hAnsi="宋体" w:cs="宋体"/>
          <w:sz w:val="24"/>
          <w:u w:val="single"/>
        </w:rPr>
        <w:t xml:space="preserve">             </w:t>
      </w:r>
    </w:p>
    <w:p>
      <w:pPr>
        <w:widowControl/>
        <w:jc w:val="left"/>
        <w:rPr>
          <w:rFonts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r>
        <w:rPr>
          <w:rFonts w:hint="eastAsia" w:ascii="宋体" w:hAnsi="宋体" w:cs="宋体"/>
          <w:sz w:val="24"/>
        </w:rPr>
        <w:t xml:space="preserve">                      </w:t>
      </w:r>
    </w:p>
    <w:p>
      <w:pPr>
        <w:widowControl/>
        <w:jc w:val="left"/>
        <w:rPr>
          <w:rFonts w:ascii="宋体" w:hAnsi="宋体" w:cs="宋体"/>
          <w:sz w:val="24"/>
        </w:rPr>
      </w:pPr>
      <w:r>
        <w:rPr>
          <w:rFonts w:hint="eastAsia" w:ascii="宋体" w:hAnsi="宋体" w:cs="宋体"/>
          <w:sz w:val="24"/>
        </w:rPr>
        <w:t xml:space="preserve">        年    月    日</w:t>
      </w:r>
    </w:p>
    <w:bookmarkEnd w:id="65"/>
    <w:p>
      <w:pPr>
        <w:snapToGrid w:val="0"/>
        <w:jc w:val="left"/>
        <w:rPr>
          <w:rFonts w:ascii="宋体" w:hAnsi="宋体" w:cs="宋体"/>
          <w:b/>
          <w:sz w:val="24"/>
        </w:rPr>
      </w:pPr>
      <w:r>
        <w:rPr>
          <w:rFonts w:hint="eastAsia" w:ascii="宋体" w:hAnsi="宋体" w:cs="宋体"/>
          <w:sz w:val="24"/>
        </w:rPr>
        <w:br w:type="page"/>
      </w:r>
      <w:bookmarkStart w:id="66" w:name="OLE_LINK15"/>
      <w:r>
        <w:rPr>
          <w:rFonts w:hint="eastAsia" w:ascii="宋体" w:hAnsi="宋体" w:cs="宋体"/>
          <w:b/>
          <w:sz w:val="24"/>
        </w:rPr>
        <w:t>2、法定代表人授权委托书格式：</w:t>
      </w:r>
      <w:bookmarkEnd w:id="66"/>
    </w:p>
    <w:p>
      <w:pPr>
        <w:snapToGrid w:val="0"/>
        <w:jc w:val="center"/>
        <w:rPr>
          <w:rFonts w:ascii="宋体" w:hAnsi="宋体" w:cs="宋体"/>
          <w:b/>
          <w:sz w:val="32"/>
          <w:szCs w:val="32"/>
        </w:rPr>
      </w:pPr>
      <w:r>
        <w:rPr>
          <w:rFonts w:hint="eastAsia" w:ascii="宋体" w:hAnsi="宋体" w:cs="宋体"/>
          <w:b/>
          <w:sz w:val="32"/>
          <w:szCs w:val="32"/>
        </w:rPr>
        <w:t>法定代表人授权委托书</w:t>
      </w:r>
    </w:p>
    <w:p>
      <w:pPr>
        <w:snapToGrid w:val="0"/>
        <w:rPr>
          <w:rFonts w:ascii="宋体" w:hAnsi="宋体" w:cs="宋体"/>
          <w:b/>
          <w:bCs/>
          <w:sz w:val="24"/>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sz w:val="24"/>
        </w:rPr>
        <w:t>（采购单位名称）：</w:t>
      </w:r>
    </w:p>
    <w:p>
      <w:pPr>
        <w:snapToGrid w:val="0"/>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w:t>
      </w:r>
      <w:r>
        <w:rPr>
          <w:rFonts w:hint="eastAsia" w:ascii="宋体" w:hAnsi="宋体" w:cs="宋体"/>
          <w:sz w:val="24"/>
        </w:rPr>
        <w:t>项目标项</w:t>
      </w:r>
      <w:r>
        <w:rPr>
          <w:rFonts w:hint="eastAsia" w:ascii="宋体" w:hAnsi="宋体" w:cs="宋体"/>
          <w:sz w:val="24"/>
          <w:u w:val="single"/>
        </w:rPr>
        <w:t xml:space="preserve">      </w:t>
      </w:r>
      <w:r>
        <w:rPr>
          <w:rFonts w:hint="eastAsia" w:ascii="宋体" w:hAnsi="宋体" w:cs="宋体"/>
          <w:sz w:val="24"/>
        </w:rPr>
        <w:t>的投标活动，并代表我方全权办理针对上述项目的投标、开标、评标、签约等具体事务和签署相关文件。</w:t>
      </w:r>
    </w:p>
    <w:p>
      <w:pPr>
        <w:snapToGrid w:val="0"/>
        <w:ind w:firstLine="480" w:firstLineChars="200"/>
        <w:rPr>
          <w:rFonts w:ascii="宋体" w:hAnsi="宋体" w:cs="宋体"/>
          <w:sz w:val="24"/>
        </w:rPr>
      </w:pPr>
      <w:r>
        <w:rPr>
          <w:rFonts w:hint="eastAsia" w:ascii="宋体" w:hAnsi="宋体" w:cs="宋体"/>
          <w:sz w:val="24"/>
        </w:rPr>
        <w:t>我方对被授权人的签名事项负全部责任。</w:t>
      </w:r>
    </w:p>
    <w:p>
      <w:pPr>
        <w:snapToGrid w:val="0"/>
        <w:ind w:firstLine="480"/>
        <w:rPr>
          <w:rFonts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ind w:firstLine="480"/>
        <w:rPr>
          <w:rFonts w:ascii="宋体" w:hAnsi="宋体" w:cs="宋体"/>
          <w:sz w:val="24"/>
        </w:rPr>
      </w:pPr>
      <w:r>
        <w:rPr>
          <w:rFonts w:hint="eastAsia" w:ascii="宋体" w:hAnsi="宋体" w:cs="宋体"/>
          <w:sz w:val="24"/>
        </w:rPr>
        <w:t>被授权人无转委托权，特此委托。</w:t>
      </w:r>
    </w:p>
    <w:p>
      <w:pPr>
        <w:snapToGrid w:val="0"/>
        <w:rPr>
          <w:rFonts w:ascii="宋体" w:hAnsi="宋体" w:cs="宋体"/>
          <w:sz w:val="24"/>
        </w:rPr>
      </w:pPr>
    </w:p>
    <w:p>
      <w:pPr>
        <w:snapToGrid w:val="0"/>
        <w:rPr>
          <w:rFonts w:ascii="宋体" w:hAnsi="宋体" w:cs="宋体"/>
          <w:sz w:val="24"/>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p>
    <w:p>
      <w:pPr>
        <w:snapToGrid w:val="0"/>
        <w:ind w:firstLine="960" w:firstLineChars="400"/>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rPr>
          <w:rFonts w:ascii="宋体" w:hAnsi="宋体" w:cs="宋体"/>
          <w:sz w:val="24"/>
        </w:rPr>
      </w:pPr>
      <w:r>
        <w:rPr>
          <w:rFonts w:hint="eastAsia" w:ascii="宋体" w:hAnsi="宋体" w:cs="宋体"/>
          <w:sz w:val="24"/>
        </w:rPr>
        <w:t>被授权人身份证号码：</w:t>
      </w:r>
      <w:r>
        <w:rPr>
          <w:rFonts w:hint="eastAsia" w:ascii="宋体" w:hAnsi="宋体" w:cs="宋体"/>
          <w:sz w:val="24"/>
          <w:u w:val="single"/>
        </w:rPr>
        <w:t xml:space="preserve">                             </w:t>
      </w:r>
      <w:r>
        <w:rPr>
          <w:rFonts w:hint="eastAsia" w:ascii="宋体" w:hAnsi="宋体" w:cs="宋体"/>
          <w:sz w:val="24"/>
        </w:rPr>
        <w:t xml:space="preserve"> </w:t>
      </w:r>
    </w:p>
    <w:p>
      <w:pPr>
        <w:snapToGrid w:val="0"/>
        <w:rPr>
          <w:rFonts w:ascii="宋体" w:hAnsi="宋体" w:cs="宋体"/>
          <w:sz w:val="24"/>
        </w:rPr>
      </w:pPr>
      <w:r>
        <w:rPr>
          <w:rFonts w:hint="eastAsia" w:ascii="宋体" w:hAnsi="宋体" w:cs="宋体"/>
          <w:sz w:val="24"/>
        </w:rPr>
        <w:t>法定代表人身份证粘贴处（正反面）            被授权人身份证粘贴处（正反面）</w:t>
      </w: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r>
        <w:rPr>
          <w:rFonts w:hint="eastAsia" w:ascii="宋体" w:hAnsi="宋体" w:cs="宋体"/>
          <w:sz w:val="24"/>
        </w:rPr>
        <w:t xml:space="preserve">                                     投标人公章：</w:t>
      </w:r>
    </w:p>
    <w:p>
      <w:pPr>
        <w:snapToGrid w:val="0"/>
        <w:jc w:val="center"/>
        <w:rPr>
          <w:rFonts w:ascii="宋体" w:hAnsi="宋体" w:cs="宋体"/>
          <w:sz w:val="24"/>
        </w:rPr>
      </w:pPr>
      <w:r>
        <w:rPr>
          <w:rFonts w:hint="eastAsia" w:ascii="宋体" w:hAnsi="宋体" w:cs="宋体"/>
          <w:sz w:val="24"/>
        </w:rPr>
        <w:t xml:space="preserve">                                        年    月    日</w:t>
      </w:r>
    </w:p>
    <w:p>
      <w:pPr>
        <w:snapToGrid w:val="0"/>
        <w:jc w:val="left"/>
        <w:rPr>
          <w:rFonts w:ascii="宋体" w:hAnsi="宋体" w:cs="宋体"/>
          <w:b/>
          <w:sz w:val="24"/>
        </w:rPr>
      </w:pPr>
      <w:r>
        <w:rPr>
          <w:rFonts w:hint="eastAsia" w:ascii="宋体" w:hAnsi="宋体" w:cs="宋体"/>
          <w:sz w:val="24"/>
        </w:rPr>
        <w:br w:type="page"/>
      </w:r>
      <w:r>
        <w:rPr>
          <w:rFonts w:hint="eastAsia" w:ascii="宋体" w:hAnsi="宋体" w:cs="宋体"/>
          <w:b/>
          <w:sz w:val="24"/>
        </w:rPr>
        <w:t>3、供应商市场行为信誉（信用）情况承诺书：</w:t>
      </w:r>
    </w:p>
    <w:p>
      <w:pPr>
        <w:pStyle w:val="35"/>
        <w:snapToGrid w:val="0"/>
        <w:ind w:left="643" w:hanging="643"/>
        <w:jc w:val="center"/>
        <w:rPr>
          <w:rFonts w:ascii="宋体" w:hAnsi="宋体" w:cs="宋体"/>
          <w:b/>
          <w:sz w:val="32"/>
          <w:szCs w:val="32"/>
        </w:rPr>
      </w:pPr>
      <w:r>
        <w:rPr>
          <w:rFonts w:hint="eastAsia" w:ascii="宋体" w:hAnsi="宋体" w:cs="宋体"/>
          <w:b/>
          <w:sz w:val="32"/>
          <w:szCs w:val="32"/>
        </w:rPr>
        <w:t>供应商市场行为信誉（信用）情况承诺书（申明书）</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84"/>
        <w:gridCol w:w="193"/>
        <w:gridCol w:w="2641"/>
        <w:gridCol w:w="2078"/>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4" w:hRule="atLeast"/>
        </w:trPr>
        <w:tc>
          <w:tcPr>
            <w:tcW w:w="2266" w:type="dxa"/>
            <w:gridSpan w:val="3"/>
            <w:noWrap w:val="0"/>
            <w:vAlign w:val="center"/>
          </w:tcPr>
          <w:p>
            <w:pPr>
              <w:spacing w:line="240" w:lineRule="auto"/>
              <w:jc w:val="center"/>
              <w:rPr>
                <w:rFonts w:ascii="宋体" w:hAnsi="宋体" w:cs="宋体"/>
                <w:sz w:val="24"/>
              </w:rPr>
            </w:pPr>
            <w:r>
              <w:rPr>
                <w:rFonts w:hint="eastAsia" w:ascii="宋体" w:hAnsi="宋体" w:cs="宋体"/>
              </w:rPr>
              <w:t>投（竞）标</w:t>
            </w:r>
            <w:r>
              <w:rPr>
                <w:rFonts w:hint="eastAsia" w:ascii="宋体" w:hAnsi="宋体" w:cs="宋体"/>
                <w:bCs/>
              </w:rPr>
              <w:t>供应商</w:t>
            </w:r>
            <w:r>
              <w:rPr>
                <w:rFonts w:hint="eastAsia" w:ascii="宋体" w:hAnsi="宋体" w:cs="宋体"/>
              </w:rPr>
              <w:t xml:space="preserve">名称 </w:t>
            </w:r>
          </w:p>
        </w:tc>
        <w:tc>
          <w:tcPr>
            <w:tcW w:w="2641" w:type="dxa"/>
            <w:noWrap w:val="0"/>
            <w:vAlign w:val="center"/>
          </w:tcPr>
          <w:p>
            <w:pPr>
              <w:spacing w:line="240" w:lineRule="auto"/>
              <w:rPr>
                <w:rFonts w:ascii="宋体" w:hAnsi="宋体" w:cs="宋体"/>
                <w:sz w:val="18"/>
                <w:szCs w:val="18"/>
              </w:rPr>
            </w:pPr>
          </w:p>
        </w:tc>
        <w:tc>
          <w:tcPr>
            <w:tcW w:w="2078" w:type="dxa"/>
            <w:noWrap w:val="0"/>
            <w:vAlign w:val="center"/>
          </w:tcPr>
          <w:p>
            <w:pPr>
              <w:spacing w:line="240" w:lineRule="auto"/>
              <w:jc w:val="center"/>
              <w:rPr>
                <w:rFonts w:ascii="宋体" w:hAnsi="宋体" w:cs="宋体"/>
              </w:rPr>
            </w:pPr>
            <w:r>
              <w:rPr>
                <w:rFonts w:hint="eastAsia" w:ascii="宋体" w:hAnsi="宋体" w:cs="宋体"/>
              </w:rPr>
              <w:t>企业资质等级</w:t>
            </w:r>
          </w:p>
          <w:p>
            <w:pPr>
              <w:spacing w:line="240" w:lineRule="auto"/>
              <w:jc w:val="center"/>
              <w:rPr>
                <w:rFonts w:ascii="宋体" w:hAnsi="宋体" w:cs="宋体"/>
                <w:sz w:val="24"/>
              </w:rPr>
            </w:pPr>
            <w:r>
              <w:rPr>
                <w:rFonts w:hint="eastAsia" w:ascii="宋体" w:hAnsi="宋体" w:cs="宋体"/>
              </w:rPr>
              <w:t xml:space="preserve">（如 有） </w:t>
            </w:r>
          </w:p>
        </w:tc>
        <w:tc>
          <w:tcPr>
            <w:tcW w:w="2301" w:type="dxa"/>
            <w:noWrap w:val="0"/>
            <w:vAlign w:val="center"/>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0" w:hRule="atLeast"/>
        </w:trPr>
        <w:tc>
          <w:tcPr>
            <w:tcW w:w="2266" w:type="dxa"/>
            <w:gridSpan w:val="3"/>
            <w:noWrap w:val="0"/>
            <w:vAlign w:val="center"/>
          </w:tcPr>
          <w:p>
            <w:pPr>
              <w:spacing w:line="240" w:lineRule="auto"/>
              <w:jc w:val="center"/>
              <w:rPr>
                <w:rFonts w:ascii="宋体" w:hAnsi="宋体" w:cs="宋体"/>
                <w:sz w:val="24"/>
              </w:rPr>
            </w:pPr>
            <w:r>
              <w:rPr>
                <w:rFonts w:hint="eastAsia" w:ascii="宋体" w:hAnsi="宋体" w:cs="宋体"/>
              </w:rPr>
              <w:t xml:space="preserve">企 业 地 址 </w:t>
            </w:r>
          </w:p>
        </w:tc>
        <w:tc>
          <w:tcPr>
            <w:tcW w:w="2641" w:type="dxa"/>
            <w:noWrap w:val="0"/>
            <w:vAlign w:val="center"/>
          </w:tcPr>
          <w:p>
            <w:pPr>
              <w:spacing w:line="240" w:lineRule="auto"/>
              <w:rPr>
                <w:rFonts w:ascii="宋体" w:hAnsi="宋体" w:cs="宋体"/>
                <w:sz w:val="18"/>
                <w:szCs w:val="18"/>
              </w:rPr>
            </w:pPr>
          </w:p>
        </w:tc>
        <w:tc>
          <w:tcPr>
            <w:tcW w:w="2078" w:type="dxa"/>
            <w:noWrap w:val="0"/>
            <w:vAlign w:val="center"/>
          </w:tcPr>
          <w:p>
            <w:pPr>
              <w:spacing w:line="240" w:lineRule="auto"/>
              <w:jc w:val="center"/>
              <w:rPr>
                <w:rFonts w:ascii="宋体" w:hAnsi="宋体" w:cs="宋体"/>
                <w:sz w:val="24"/>
              </w:rPr>
            </w:pPr>
            <w:r>
              <w:rPr>
                <w:rFonts w:hint="eastAsia" w:ascii="宋体" w:hAnsi="宋体" w:cs="宋体"/>
              </w:rPr>
              <w:t xml:space="preserve">联 系 电 话 </w:t>
            </w:r>
          </w:p>
        </w:tc>
        <w:tc>
          <w:tcPr>
            <w:tcW w:w="2301" w:type="dxa"/>
            <w:noWrap w:val="0"/>
            <w:vAlign w:val="center"/>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5" w:hRule="atLeast"/>
        </w:trPr>
        <w:tc>
          <w:tcPr>
            <w:tcW w:w="2266" w:type="dxa"/>
            <w:gridSpan w:val="3"/>
            <w:noWrap w:val="0"/>
            <w:vAlign w:val="center"/>
          </w:tcPr>
          <w:p>
            <w:pPr>
              <w:spacing w:line="240" w:lineRule="auto"/>
              <w:jc w:val="center"/>
              <w:rPr>
                <w:rFonts w:ascii="宋体" w:hAnsi="宋体" w:cs="宋体"/>
                <w:sz w:val="24"/>
              </w:rPr>
            </w:pPr>
            <w:r>
              <w:rPr>
                <w:rFonts w:hint="eastAsia" w:ascii="宋体" w:hAnsi="宋体" w:cs="宋体"/>
              </w:rPr>
              <w:t xml:space="preserve">拟投（竞）标项目名称 </w:t>
            </w:r>
          </w:p>
        </w:tc>
        <w:tc>
          <w:tcPr>
            <w:tcW w:w="2641" w:type="dxa"/>
            <w:noWrap w:val="0"/>
            <w:vAlign w:val="center"/>
          </w:tcPr>
          <w:p>
            <w:pPr>
              <w:spacing w:line="240" w:lineRule="auto"/>
              <w:rPr>
                <w:rFonts w:ascii="宋体" w:hAnsi="宋体" w:cs="宋体"/>
                <w:sz w:val="18"/>
                <w:szCs w:val="18"/>
              </w:rPr>
            </w:pPr>
          </w:p>
        </w:tc>
        <w:tc>
          <w:tcPr>
            <w:tcW w:w="2078" w:type="dxa"/>
            <w:noWrap w:val="0"/>
            <w:vAlign w:val="center"/>
          </w:tcPr>
          <w:p>
            <w:pPr>
              <w:spacing w:line="240" w:lineRule="auto"/>
              <w:jc w:val="center"/>
              <w:rPr>
                <w:rFonts w:ascii="宋体" w:hAnsi="宋体" w:cs="宋体"/>
                <w:sz w:val="24"/>
              </w:rPr>
            </w:pPr>
            <w:r>
              <w:rPr>
                <w:rFonts w:hint="eastAsia" w:ascii="宋体" w:hAnsi="宋体" w:cs="宋体"/>
              </w:rPr>
              <w:t xml:space="preserve">拟投标项目负责人姓名及资质 </w:t>
            </w:r>
          </w:p>
        </w:tc>
        <w:tc>
          <w:tcPr>
            <w:tcW w:w="2301" w:type="dxa"/>
            <w:noWrap w:val="0"/>
            <w:vAlign w:val="top"/>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8" w:hRule="atLeast"/>
        </w:trPr>
        <w:tc>
          <w:tcPr>
            <w:tcW w:w="1189" w:type="dxa"/>
            <w:vMerge w:val="restart"/>
            <w:noWrap w:val="0"/>
            <w:vAlign w:val="center"/>
          </w:tcPr>
          <w:p>
            <w:pPr>
              <w:spacing w:line="240" w:lineRule="auto"/>
              <w:jc w:val="center"/>
              <w:rPr>
                <w:rFonts w:ascii="宋体" w:hAnsi="宋体" w:cs="宋体"/>
                <w:sz w:val="24"/>
              </w:rPr>
            </w:pPr>
            <w:r>
              <w:rPr>
                <w:rFonts w:hint="eastAsia" w:ascii="宋体" w:hAnsi="宋体" w:cs="宋体"/>
              </w:rPr>
              <w:t>供应商</w:t>
            </w:r>
          </w:p>
          <w:p>
            <w:pPr>
              <w:spacing w:line="240" w:lineRule="auto"/>
              <w:jc w:val="center"/>
              <w:rPr>
                <w:rFonts w:ascii="宋体" w:hAnsi="宋体" w:cs="宋体"/>
                <w:sz w:val="24"/>
              </w:rPr>
            </w:pPr>
            <w:r>
              <w:rPr>
                <w:rFonts w:hint="eastAsia" w:ascii="宋体" w:hAnsi="宋体" w:cs="宋体"/>
              </w:rPr>
              <w:t>市场</w:t>
            </w:r>
          </w:p>
          <w:p>
            <w:pPr>
              <w:spacing w:line="240" w:lineRule="auto"/>
              <w:jc w:val="center"/>
              <w:rPr>
                <w:rFonts w:ascii="宋体" w:hAnsi="宋体" w:cs="宋体"/>
              </w:rPr>
            </w:pPr>
            <w:r>
              <w:rPr>
                <w:rFonts w:hint="eastAsia" w:ascii="宋体" w:hAnsi="宋体" w:cs="宋体"/>
              </w:rPr>
              <w:t>行为</w:t>
            </w:r>
          </w:p>
          <w:p>
            <w:pPr>
              <w:spacing w:line="240" w:lineRule="auto"/>
              <w:jc w:val="center"/>
              <w:rPr>
                <w:rFonts w:ascii="宋体" w:hAnsi="宋体" w:cs="宋体"/>
                <w:sz w:val="24"/>
              </w:rPr>
            </w:pPr>
            <w:r>
              <w:rPr>
                <w:rFonts w:hint="eastAsia" w:ascii="宋体" w:hAnsi="宋体" w:cs="宋体"/>
              </w:rPr>
              <w:t>信誉</w:t>
            </w:r>
          </w:p>
          <w:p>
            <w:pPr>
              <w:spacing w:line="240" w:lineRule="auto"/>
              <w:jc w:val="center"/>
              <w:rPr>
                <w:rFonts w:ascii="宋体" w:hAnsi="宋体" w:cs="宋体"/>
              </w:rPr>
            </w:pPr>
            <w:r>
              <w:rPr>
                <w:rFonts w:hint="eastAsia" w:ascii="宋体" w:hAnsi="宋体" w:cs="宋体"/>
              </w:rPr>
              <w:t>情况</w:t>
            </w:r>
          </w:p>
        </w:tc>
        <w:tc>
          <w:tcPr>
            <w:tcW w:w="3718" w:type="dxa"/>
            <w:gridSpan w:val="3"/>
            <w:noWrap w:val="0"/>
            <w:vAlign w:val="center"/>
          </w:tcPr>
          <w:p>
            <w:pPr>
              <w:spacing w:line="240" w:lineRule="auto"/>
              <w:rPr>
                <w:rFonts w:ascii="宋体" w:hAnsi="宋体" w:cs="宋体"/>
              </w:rPr>
            </w:pPr>
            <w:r>
              <w:rPr>
                <w:rFonts w:hint="eastAsia" w:ascii="宋体" w:hAnsi="宋体" w:cs="宋体"/>
              </w:rPr>
              <w:t>有无受到财政监管部门处理、公告的不良行为。（未注明公告期限的）</w:t>
            </w:r>
          </w:p>
        </w:tc>
        <w:tc>
          <w:tcPr>
            <w:tcW w:w="4379" w:type="dxa"/>
            <w:gridSpan w:val="2"/>
            <w:noWrap w:val="0"/>
            <w:vAlign w:val="top"/>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7" w:hRule="atLeast"/>
        </w:trPr>
        <w:tc>
          <w:tcPr>
            <w:tcW w:w="1189" w:type="dxa"/>
            <w:vMerge w:val="continue"/>
            <w:noWrap w:val="0"/>
            <w:vAlign w:val="center"/>
          </w:tcPr>
          <w:p>
            <w:pPr>
              <w:spacing w:line="240" w:lineRule="auto"/>
              <w:jc w:val="center"/>
              <w:rPr>
                <w:rFonts w:ascii="宋体" w:hAnsi="宋体" w:cs="宋体"/>
              </w:rPr>
            </w:pPr>
          </w:p>
        </w:tc>
        <w:tc>
          <w:tcPr>
            <w:tcW w:w="3718" w:type="dxa"/>
            <w:gridSpan w:val="3"/>
            <w:noWrap w:val="0"/>
            <w:vAlign w:val="center"/>
          </w:tcPr>
          <w:p>
            <w:pPr>
              <w:spacing w:line="240" w:lineRule="auto"/>
              <w:rPr>
                <w:rFonts w:ascii="宋体" w:hAnsi="宋体" w:cs="宋体"/>
              </w:rPr>
            </w:pPr>
            <w:r>
              <w:rPr>
                <w:rFonts w:hint="eastAsia" w:ascii="宋体" w:hAnsi="宋体" w:cs="宋体"/>
              </w:rPr>
              <w:t>有无受到财政监管部门处理、公告的不良行为（在公告期内）。</w:t>
            </w:r>
          </w:p>
        </w:tc>
        <w:tc>
          <w:tcPr>
            <w:tcW w:w="4379" w:type="dxa"/>
            <w:gridSpan w:val="2"/>
            <w:noWrap w:val="0"/>
            <w:vAlign w:val="top"/>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19" w:hRule="atLeast"/>
        </w:trPr>
        <w:tc>
          <w:tcPr>
            <w:tcW w:w="1189" w:type="dxa"/>
            <w:vMerge w:val="continue"/>
            <w:noWrap w:val="0"/>
            <w:vAlign w:val="center"/>
          </w:tcPr>
          <w:p>
            <w:pPr>
              <w:spacing w:line="240" w:lineRule="auto"/>
              <w:rPr>
                <w:rFonts w:ascii="宋体" w:hAnsi="宋体" w:cs="宋体"/>
                <w:sz w:val="24"/>
              </w:rPr>
            </w:pPr>
          </w:p>
        </w:tc>
        <w:tc>
          <w:tcPr>
            <w:tcW w:w="3718" w:type="dxa"/>
            <w:gridSpan w:val="3"/>
            <w:noWrap w:val="0"/>
            <w:vAlign w:val="center"/>
          </w:tcPr>
          <w:p>
            <w:pPr>
              <w:spacing w:line="240" w:lineRule="auto"/>
              <w:rPr>
                <w:rFonts w:ascii="宋体" w:hAnsi="宋体" w:cs="宋体"/>
                <w:sz w:val="24"/>
              </w:rPr>
            </w:pPr>
            <w:r>
              <w:rPr>
                <w:rFonts w:hint="eastAsia" w:ascii="宋体" w:hAnsi="宋体" w:cs="宋体"/>
              </w:rPr>
              <w:t>有无受到财政监管部门处理、公告的不良行为（不在公告期但在三年内）。</w:t>
            </w:r>
          </w:p>
        </w:tc>
        <w:tc>
          <w:tcPr>
            <w:tcW w:w="4379" w:type="dxa"/>
            <w:gridSpan w:val="2"/>
            <w:noWrap w:val="0"/>
            <w:vAlign w:val="top"/>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847" w:hRule="atLeast"/>
        </w:trPr>
        <w:tc>
          <w:tcPr>
            <w:tcW w:w="1189" w:type="dxa"/>
            <w:vMerge w:val="continue"/>
            <w:noWrap w:val="0"/>
            <w:vAlign w:val="center"/>
          </w:tcPr>
          <w:p>
            <w:pPr>
              <w:spacing w:line="240" w:lineRule="auto"/>
              <w:rPr>
                <w:rFonts w:ascii="宋体" w:hAnsi="宋体" w:cs="宋体"/>
                <w:sz w:val="24"/>
              </w:rPr>
            </w:pPr>
          </w:p>
        </w:tc>
        <w:tc>
          <w:tcPr>
            <w:tcW w:w="3718" w:type="dxa"/>
            <w:gridSpan w:val="3"/>
            <w:noWrap w:val="0"/>
            <w:vAlign w:val="center"/>
          </w:tcPr>
          <w:p>
            <w:pPr>
              <w:spacing w:line="240" w:lineRule="auto"/>
              <w:rPr>
                <w:rFonts w:ascii="宋体" w:hAnsi="宋体" w:cs="宋体"/>
              </w:rPr>
            </w:pPr>
            <w:r>
              <w:rPr>
                <w:rFonts w:hint="eastAsia" w:ascii="宋体" w:hAnsi="宋体" w:cs="宋体"/>
              </w:rPr>
              <w:t>申请报名前三年内，在经营活动中有无重大违法记录（重大违法记录包括：（一）县级以上行政机关对供应商或其法定代表人、董事、监事、高级管理人员在经营活动中的违法行为做出的行政处罚决定，但警告和罚款额在人民币一万元以下的行政处罚决定除外。（二）各级司法机关对供应商或其法定代表人、董事、监事、高级管理人员在经营活动中的违法行为做出的刑事判决。）</w:t>
            </w:r>
          </w:p>
        </w:tc>
        <w:tc>
          <w:tcPr>
            <w:tcW w:w="4379" w:type="dxa"/>
            <w:gridSpan w:val="2"/>
            <w:noWrap w:val="0"/>
            <w:vAlign w:val="top"/>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402" w:hRule="atLeast"/>
        </w:trPr>
        <w:tc>
          <w:tcPr>
            <w:tcW w:w="1189" w:type="dxa"/>
            <w:noWrap w:val="0"/>
            <w:vAlign w:val="center"/>
          </w:tcPr>
          <w:p>
            <w:pPr>
              <w:spacing w:line="240" w:lineRule="auto"/>
              <w:jc w:val="center"/>
              <w:rPr>
                <w:rFonts w:ascii="宋体" w:hAnsi="宋体" w:cs="宋体"/>
                <w:sz w:val="24"/>
              </w:rPr>
            </w:pPr>
            <w:r>
              <w:rPr>
                <w:rFonts w:hint="eastAsia" w:ascii="宋体" w:hAnsi="宋体" w:cs="宋体"/>
              </w:rPr>
              <w:t>供应商</w:t>
            </w:r>
          </w:p>
          <w:p>
            <w:pPr>
              <w:spacing w:line="240" w:lineRule="auto"/>
              <w:jc w:val="center"/>
              <w:rPr>
                <w:rFonts w:ascii="宋体" w:hAnsi="宋体" w:cs="宋体"/>
                <w:sz w:val="24"/>
              </w:rPr>
            </w:pPr>
            <w:r>
              <w:rPr>
                <w:rFonts w:hint="eastAsia" w:ascii="宋体" w:hAnsi="宋体" w:cs="宋体"/>
              </w:rPr>
              <w:t>信用</w:t>
            </w:r>
          </w:p>
          <w:p>
            <w:pPr>
              <w:spacing w:line="240" w:lineRule="auto"/>
              <w:jc w:val="center"/>
              <w:rPr>
                <w:rFonts w:ascii="宋体" w:hAnsi="宋体" w:cs="宋体"/>
                <w:sz w:val="24"/>
              </w:rPr>
            </w:pPr>
            <w:r>
              <w:rPr>
                <w:rFonts w:hint="eastAsia" w:ascii="宋体" w:hAnsi="宋体" w:cs="宋体"/>
              </w:rPr>
              <w:t>情况</w:t>
            </w:r>
          </w:p>
        </w:tc>
        <w:tc>
          <w:tcPr>
            <w:tcW w:w="3718" w:type="dxa"/>
            <w:gridSpan w:val="3"/>
            <w:noWrap w:val="0"/>
            <w:vAlign w:val="center"/>
          </w:tcPr>
          <w:p>
            <w:pPr>
              <w:spacing w:line="240" w:lineRule="auto"/>
              <w:rPr>
                <w:rFonts w:ascii="宋体" w:hAnsi="宋体" w:cs="宋体"/>
              </w:rPr>
            </w:pPr>
            <w:r>
              <w:rPr>
                <w:rFonts w:hint="eastAsia" w:ascii="宋体" w:hAnsi="宋体" w:cs="宋体"/>
              </w:rPr>
              <w:t>是否列入失信被执行人、重大税收违法案件当事人名单、政府采购严重违法失信行为记录名单及其他不符合《中华人民共和国政府采购法》第二十二条规定条件。</w:t>
            </w:r>
          </w:p>
        </w:tc>
        <w:tc>
          <w:tcPr>
            <w:tcW w:w="4379" w:type="dxa"/>
            <w:gridSpan w:val="2"/>
            <w:noWrap w:val="0"/>
            <w:vAlign w:val="top"/>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56" w:hRule="atLeast"/>
        </w:trPr>
        <w:tc>
          <w:tcPr>
            <w:tcW w:w="2073" w:type="dxa"/>
            <w:gridSpan w:val="2"/>
            <w:noWrap w:val="0"/>
            <w:vAlign w:val="center"/>
          </w:tcPr>
          <w:p>
            <w:pPr>
              <w:spacing w:line="240" w:lineRule="auto"/>
              <w:jc w:val="center"/>
              <w:rPr>
                <w:rFonts w:ascii="宋体" w:hAnsi="宋体" w:cs="宋体"/>
              </w:rPr>
            </w:pPr>
            <w:r>
              <w:rPr>
                <w:rFonts w:hint="eastAsia" w:ascii="宋体" w:hAnsi="宋体" w:cs="宋体"/>
              </w:rPr>
              <w:t>投标供应商</w:t>
            </w:r>
          </w:p>
          <w:p>
            <w:pPr>
              <w:spacing w:line="240" w:lineRule="auto"/>
              <w:jc w:val="center"/>
              <w:rPr>
                <w:rFonts w:ascii="宋体" w:hAnsi="宋体" w:cs="宋体"/>
                <w:sz w:val="24"/>
              </w:rPr>
            </w:pPr>
            <w:r>
              <w:rPr>
                <w:rFonts w:hint="eastAsia" w:ascii="宋体" w:hAnsi="宋体" w:cs="宋体"/>
              </w:rPr>
              <w:t xml:space="preserve"> 声 明 </w:t>
            </w:r>
          </w:p>
        </w:tc>
        <w:tc>
          <w:tcPr>
            <w:tcW w:w="7213" w:type="dxa"/>
            <w:gridSpan w:val="4"/>
            <w:noWrap w:val="0"/>
            <w:vAlign w:val="top"/>
          </w:tcPr>
          <w:p>
            <w:pPr>
              <w:pStyle w:val="19"/>
              <w:spacing w:line="240" w:lineRule="auto"/>
              <w:ind w:firstLine="411" w:firstLineChars="196"/>
              <w:rPr>
                <w:rFonts w:ascii="宋体" w:hAnsi="宋体" w:cs="宋体"/>
                <w:sz w:val="21"/>
                <w:szCs w:val="18"/>
              </w:rPr>
            </w:pPr>
            <w:r>
              <w:rPr>
                <w:rFonts w:hint="eastAsia" w:ascii="宋体" w:hAnsi="宋体" w:cs="宋体"/>
                <w:sz w:val="21"/>
                <w:szCs w:val="18"/>
              </w:rPr>
              <w:t>以上内容是本企业市场行为信誉（信用）的真实反映，如有不实，愿取消本项目投标资格。</w:t>
            </w:r>
          </w:p>
          <w:p>
            <w:pPr>
              <w:spacing w:line="240" w:lineRule="auto"/>
              <w:jc w:val="center"/>
              <w:rPr>
                <w:rFonts w:ascii="宋体" w:hAnsi="宋体" w:cs="宋体"/>
                <w:sz w:val="24"/>
              </w:rPr>
            </w:pPr>
            <w:r>
              <w:rPr>
                <w:rFonts w:hint="eastAsia" w:ascii="宋体" w:hAnsi="宋体" w:cs="宋体"/>
              </w:rPr>
              <w:t xml:space="preserve">法定代表人签名： </w:t>
            </w:r>
          </w:p>
          <w:p>
            <w:pPr>
              <w:spacing w:line="240" w:lineRule="auto"/>
              <w:jc w:val="center"/>
              <w:rPr>
                <w:rFonts w:ascii="宋体" w:hAnsi="宋体" w:cs="宋体"/>
                <w:sz w:val="24"/>
              </w:rPr>
            </w:pPr>
            <w:r>
              <w:rPr>
                <w:rFonts w:hint="eastAsia" w:ascii="宋体" w:hAnsi="宋体" w:cs="宋体"/>
              </w:rPr>
              <w:t xml:space="preserve">(单位公章) </w:t>
            </w:r>
          </w:p>
          <w:p>
            <w:pPr>
              <w:spacing w:line="240" w:lineRule="auto"/>
              <w:jc w:val="center"/>
              <w:rPr>
                <w:rFonts w:ascii="宋体" w:hAnsi="宋体" w:cs="宋体"/>
                <w:sz w:val="24"/>
              </w:rPr>
            </w:pPr>
            <w:r>
              <w:rPr>
                <w:rFonts w:hint="eastAsia" w:ascii="宋体" w:hAnsi="宋体" w:cs="宋体"/>
              </w:rPr>
              <w:t xml:space="preserve">               日 期：    年  月   日 </w:t>
            </w:r>
          </w:p>
        </w:tc>
      </w:tr>
    </w:tbl>
    <w:p>
      <w:pPr>
        <w:rPr>
          <w:rFonts w:ascii="宋体" w:hAnsi="宋体" w:cs="宋体"/>
          <w:sz w:val="18"/>
          <w:szCs w:val="18"/>
        </w:rPr>
      </w:pPr>
      <w:r>
        <w:rPr>
          <w:rFonts w:hint="eastAsia" w:ascii="宋体" w:hAnsi="宋体" w:cs="宋体"/>
          <w:sz w:val="18"/>
          <w:szCs w:val="18"/>
        </w:rPr>
        <w:t>注：1、本表格内容须如实填写；</w:t>
      </w:r>
    </w:p>
    <w:p>
      <w:pPr>
        <w:ind w:firstLine="360" w:firstLineChars="200"/>
        <w:rPr>
          <w:rFonts w:ascii="宋体" w:hAnsi="宋体" w:cs="宋体"/>
          <w:sz w:val="18"/>
          <w:szCs w:val="18"/>
        </w:rPr>
      </w:pPr>
      <w:r>
        <w:rPr>
          <w:rFonts w:hint="eastAsia" w:ascii="宋体" w:hAnsi="宋体" w:cs="宋体"/>
          <w:sz w:val="18"/>
          <w:szCs w:val="18"/>
        </w:rPr>
        <w:t>2、本表格须在投标时作为投（竞）标文件的商务部分内容放入投（竞）标文件中；</w:t>
      </w:r>
    </w:p>
    <w:p>
      <w:pPr>
        <w:ind w:firstLine="360" w:firstLineChars="200"/>
        <w:rPr>
          <w:rFonts w:ascii="宋体" w:hAnsi="宋体" w:cs="宋体"/>
          <w:sz w:val="18"/>
          <w:szCs w:val="18"/>
        </w:rPr>
      </w:pPr>
      <w:r>
        <w:rPr>
          <w:rFonts w:hint="eastAsia" w:ascii="宋体" w:hAnsi="宋体" w:cs="宋体"/>
          <w:sz w:val="18"/>
          <w:szCs w:val="18"/>
        </w:rPr>
        <w:t>3、本表格由供应商自己填写，若无表中所列情况，则在相应栏中写“无”，若有，须按具体次数分别说明（包括处罚时间、事由、处罚主体等）；</w:t>
      </w:r>
    </w:p>
    <w:p>
      <w:pPr>
        <w:ind w:firstLine="435"/>
        <w:rPr>
          <w:rFonts w:ascii="宋体" w:hAnsi="宋体" w:cs="宋体"/>
          <w:sz w:val="18"/>
          <w:szCs w:val="18"/>
        </w:rPr>
      </w:pPr>
      <w:r>
        <w:rPr>
          <w:rFonts w:hint="eastAsia" w:ascii="宋体" w:hAnsi="宋体" w:cs="宋体"/>
          <w:sz w:val="18"/>
          <w:szCs w:val="18"/>
        </w:rPr>
        <w:t>4、联合体成员存在不良信用记录的，视同联合体存在不良信用记录；</w:t>
      </w:r>
    </w:p>
    <w:p>
      <w:pPr>
        <w:ind w:firstLine="435"/>
        <w:rPr>
          <w:rFonts w:ascii="宋体" w:hAnsi="宋体" w:cs="宋体"/>
          <w:b/>
          <w:sz w:val="18"/>
          <w:szCs w:val="18"/>
        </w:rPr>
      </w:pPr>
      <w:r>
        <w:rPr>
          <w:rFonts w:hint="eastAsia" w:ascii="宋体" w:hAnsi="宋体" w:cs="宋体"/>
          <w:b/>
          <w:sz w:val="18"/>
          <w:szCs w:val="18"/>
        </w:rPr>
        <w:t>5、供应商对上述情况进行承诺同时须提供“信用中国”网站（www.creditchina.gov.cn）、中国政府采购网（www.ccgp.gov.cn）查询截图，并加盖公章（截图查询日期须在开标截止前两个星期内）。</w:t>
      </w:r>
    </w:p>
    <w:p>
      <w:pPr>
        <w:snapToGrid w:val="0"/>
        <w:jc w:val="left"/>
        <w:rPr>
          <w:rFonts w:ascii="宋体" w:hAnsi="宋体" w:cs="宋体"/>
          <w:b/>
          <w:sz w:val="24"/>
        </w:rPr>
      </w:pPr>
      <w:r>
        <w:rPr>
          <w:rFonts w:hint="eastAsia" w:ascii="宋体" w:hAnsi="宋体" w:cs="宋体"/>
          <w:b/>
        </w:rPr>
        <w:br w:type="page"/>
      </w:r>
      <w:bookmarkStart w:id="67" w:name="OLE_LINK16"/>
      <w:r>
        <w:rPr>
          <w:rFonts w:hint="eastAsia" w:ascii="宋体" w:hAnsi="宋体" w:cs="宋体"/>
          <w:b/>
          <w:sz w:val="24"/>
        </w:rPr>
        <w:t>4、无重大违法记录声明函格式</w:t>
      </w:r>
    </w:p>
    <w:p>
      <w:pPr>
        <w:jc w:val="center"/>
        <w:rPr>
          <w:rFonts w:ascii="宋体" w:hAnsi="宋体" w:cs="宋体"/>
          <w:b/>
          <w:sz w:val="32"/>
        </w:rPr>
      </w:pPr>
      <w:r>
        <w:rPr>
          <w:rFonts w:hint="eastAsia" w:ascii="宋体" w:hAnsi="宋体" w:cs="宋体"/>
          <w:b/>
          <w:sz w:val="32"/>
        </w:rPr>
        <w:t>无重大违法记录声明函</w:t>
      </w:r>
    </w:p>
    <w:p>
      <w:pPr>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（采购单位名称）：</w:t>
      </w:r>
    </w:p>
    <w:p>
      <w:pPr>
        <w:ind w:firstLine="480"/>
        <w:rPr>
          <w:rFonts w:ascii="宋体" w:hAnsi="宋体" w:cs="宋体"/>
          <w:sz w:val="24"/>
        </w:rPr>
      </w:pPr>
      <w:r>
        <w:rPr>
          <w:rFonts w:hint="eastAsia" w:ascii="宋体" w:hAnsi="宋体" w:cs="宋体"/>
          <w:sz w:val="24"/>
        </w:rPr>
        <w:t>针对</w:t>
      </w:r>
      <w:r>
        <w:rPr>
          <w:rFonts w:hint="eastAsia" w:ascii="宋体" w:hAnsi="宋体" w:cs="宋体"/>
          <w:sz w:val="24"/>
          <w:u w:val="single"/>
        </w:rPr>
        <w:t xml:space="preserve">           （项目名称）           </w:t>
      </w:r>
      <w:r>
        <w:rPr>
          <w:rFonts w:hint="eastAsia" w:ascii="宋体" w:hAnsi="宋体" w:cs="宋体"/>
          <w:sz w:val="24"/>
        </w:rPr>
        <w:t>投标，本公司作出如下承诺：</w:t>
      </w:r>
    </w:p>
    <w:p>
      <w:pPr>
        <w:ind w:firstLine="480"/>
        <w:rPr>
          <w:rFonts w:ascii="宋体" w:hAnsi="宋体" w:cs="宋体"/>
          <w:sz w:val="24"/>
        </w:rPr>
      </w:pPr>
      <w:r>
        <w:rPr>
          <w:rFonts w:hint="eastAsia" w:ascii="宋体" w:hAnsi="宋体" w:cs="宋体"/>
          <w:sz w:val="24"/>
        </w:rPr>
        <w:t>本公司参加政府采购活动前三年内，没有因违法经营受到刑事处罚或者停产停业、吊销许可证或者执照、较大数额罚款等行政处罚。</w:t>
      </w:r>
    </w:p>
    <w:p>
      <w:pPr>
        <w:ind w:firstLine="480"/>
        <w:rPr>
          <w:rFonts w:ascii="宋体" w:hAnsi="宋体" w:cs="宋体"/>
          <w:sz w:val="24"/>
        </w:rPr>
      </w:pPr>
    </w:p>
    <w:p>
      <w:pPr>
        <w:ind w:firstLine="480"/>
        <w:rPr>
          <w:rFonts w:ascii="宋体" w:hAnsi="宋体" w:cs="宋体"/>
          <w:sz w:val="24"/>
        </w:rPr>
      </w:pPr>
    </w:p>
    <w:p>
      <w:pPr>
        <w:tabs>
          <w:tab w:val="left" w:pos="5760"/>
        </w:tabs>
        <w:ind w:firstLine="720"/>
        <w:jc w:val="center"/>
        <w:rPr>
          <w:rFonts w:ascii="宋体" w:hAnsi="宋体" w:cs="宋体"/>
          <w:sz w:val="24"/>
        </w:rPr>
      </w:pPr>
      <w:r>
        <w:rPr>
          <w:rFonts w:hint="eastAsia" w:ascii="宋体" w:hAnsi="宋体" w:cs="宋体"/>
          <w:sz w:val="24"/>
        </w:rPr>
        <w:t xml:space="preserve">                           投标人（盖章）：</w:t>
      </w:r>
    </w:p>
    <w:p>
      <w:pPr>
        <w:rPr>
          <w:rFonts w:ascii="宋体" w:hAnsi="宋体" w:cs="宋体"/>
          <w:sz w:val="24"/>
          <w:szCs w:val="24"/>
        </w:rPr>
      </w:pPr>
      <w:r>
        <w:rPr>
          <w:rFonts w:hint="eastAsia" w:ascii="宋体" w:hAnsi="宋体" w:cs="宋体"/>
          <w:sz w:val="24"/>
          <w:szCs w:val="24"/>
        </w:rPr>
        <w:t xml:space="preserve">                                              日期：  年   月   日</w:t>
      </w:r>
    </w:p>
    <w:p>
      <w:pPr>
        <w:rPr>
          <w:rFonts w:ascii="宋体" w:hAnsi="宋体" w:cs="宋体"/>
          <w:sz w:val="24"/>
          <w:szCs w:val="24"/>
        </w:rPr>
      </w:pPr>
    </w:p>
    <w:p>
      <w:pPr>
        <w:rPr>
          <w:rFonts w:ascii="宋体" w:hAnsi="宋体" w:cs="宋体"/>
          <w:sz w:val="24"/>
          <w:szCs w:val="24"/>
        </w:rPr>
      </w:pPr>
    </w:p>
    <w:p>
      <w:pPr>
        <w:snapToGrid w:val="0"/>
        <w:jc w:val="left"/>
        <w:rPr>
          <w:rFonts w:ascii="宋体" w:hAnsi="宋体" w:cs="宋体"/>
          <w:b/>
          <w:sz w:val="24"/>
        </w:rPr>
      </w:pPr>
      <w:r>
        <w:rPr>
          <w:rFonts w:hint="eastAsia" w:ascii="宋体" w:hAnsi="宋体" w:cs="宋体"/>
          <w:b/>
          <w:sz w:val="24"/>
        </w:rPr>
        <w:t>5、类似案例成功的业绩</w:t>
      </w:r>
    </w:p>
    <w:p>
      <w:pPr>
        <w:pStyle w:val="308"/>
        <w:jc w:val="center"/>
        <w:rPr>
          <w:rFonts w:hAnsi="宋体" w:eastAsia="宋体" w:cs="宋体"/>
          <w:b/>
          <w:sz w:val="32"/>
          <w:szCs w:val="32"/>
        </w:rPr>
      </w:pPr>
      <w:r>
        <w:rPr>
          <w:rFonts w:hint="eastAsia" w:hAnsi="宋体" w:eastAsia="宋体" w:cs="宋体"/>
          <w:b/>
          <w:sz w:val="32"/>
          <w:szCs w:val="32"/>
        </w:rPr>
        <w:t>成功案例业绩一览表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1" w:type="dxa"/>
            <w:noWrap w:val="0"/>
            <w:vAlign w:val="center"/>
          </w:tcPr>
          <w:p>
            <w:pPr>
              <w:jc w:val="center"/>
              <w:rPr>
                <w:rFonts w:ascii="宋体" w:hAnsi="宋体" w:cs="宋体"/>
                <w:b/>
                <w:sz w:val="24"/>
                <w:szCs w:val="24"/>
              </w:rPr>
            </w:pPr>
            <w:r>
              <w:rPr>
                <w:rFonts w:hint="eastAsia" w:ascii="宋体" w:hAnsi="宋体" w:cs="宋体"/>
                <w:b/>
                <w:sz w:val="24"/>
                <w:szCs w:val="24"/>
              </w:rPr>
              <w:t>序号</w:t>
            </w:r>
          </w:p>
        </w:tc>
        <w:tc>
          <w:tcPr>
            <w:tcW w:w="1330" w:type="dxa"/>
            <w:noWrap w:val="0"/>
            <w:vAlign w:val="center"/>
          </w:tcPr>
          <w:p>
            <w:pPr>
              <w:jc w:val="center"/>
              <w:rPr>
                <w:rFonts w:ascii="宋体" w:hAnsi="宋体" w:cs="宋体"/>
                <w:b/>
                <w:sz w:val="24"/>
                <w:szCs w:val="24"/>
              </w:rPr>
            </w:pPr>
            <w:r>
              <w:rPr>
                <w:rFonts w:hint="eastAsia" w:ascii="宋体" w:hAnsi="宋体" w:cs="宋体"/>
                <w:b/>
                <w:sz w:val="24"/>
                <w:szCs w:val="24"/>
              </w:rPr>
              <w:t>采购人</w:t>
            </w:r>
            <w:r>
              <w:rPr>
                <w:rFonts w:hint="eastAsia" w:ascii="宋体" w:hAnsi="宋体" w:cs="宋体"/>
                <w:b/>
                <w:sz w:val="24"/>
                <w:szCs w:val="24"/>
              </w:rPr>
              <w:br w:type="textWrapping"/>
            </w:r>
            <w:r>
              <w:rPr>
                <w:rFonts w:hint="eastAsia" w:ascii="宋体" w:hAnsi="宋体" w:cs="宋体"/>
                <w:b/>
                <w:sz w:val="24"/>
                <w:szCs w:val="24"/>
              </w:rPr>
              <w:t>名   称</w:t>
            </w:r>
          </w:p>
        </w:tc>
        <w:tc>
          <w:tcPr>
            <w:tcW w:w="1511" w:type="dxa"/>
            <w:noWrap w:val="0"/>
            <w:vAlign w:val="center"/>
          </w:tcPr>
          <w:p>
            <w:pPr>
              <w:tabs>
                <w:tab w:val="left" w:pos="6252"/>
              </w:tabs>
              <w:jc w:val="center"/>
              <w:rPr>
                <w:rFonts w:ascii="宋体" w:hAnsi="宋体" w:cs="宋体"/>
                <w:b/>
                <w:sz w:val="24"/>
                <w:szCs w:val="24"/>
              </w:rPr>
            </w:pPr>
            <w:r>
              <w:rPr>
                <w:rFonts w:hint="eastAsia" w:ascii="宋体" w:hAnsi="宋体" w:cs="宋体"/>
                <w:b/>
                <w:sz w:val="24"/>
                <w:szCs w:val="24"/>
              </w:rPr>
              <w:t>项目起止时间</w:t>
            </w:r>
          </w:p>
        </w:tc>
        <w:tc>
          <w:tcPr>
            <w:tcW w:w="1259" w:type="dxa"/>
            <w:noWrap w:val="0"/>
            <w:vAlign w:val="center"/>
          </w:tcPr>
          <w:p>
            <w:pPr>
              <w:tabs>
                <w:tab w:val="left" w:pos="6252"/>
              </w:tabs>
              <w:jc w:val="center"/>
              <w:rPr>
                <w:rFonts w:ascii="宋体" w:hAnsi="宋体" w:cs="宋体"/>
                <w:b/>
                <w:sz w:val="24"/>
                <w:szCs w:val="24"/>
              </w:rPr>
            </w:pPr>
            <w:r>
              <w:rPr>
                <w:rFonts w:hint="eastAsia" w:ascii="宋体" w:hAnsi="宋体" w:cs="宋体"/>
                <w:b/>
                <w:sz w:val="24"/>
                <w:szCs w:val="24"/>
              </w:rPr>
              <w:t>设备或项目名称</w:t>
            </w:r>
          </w:p>
        </w:tc>
        <w:tc>
          <w:tcPr>
            <w:tcW w:w="943" w:type="dxa"/>
            <w:noWrap w:val="0"/>
            <w:vAlign w:val="center"/>
          </w:tcPr>
          <w:p>
            <w:pPr>
              <w:tabs>
                <w:tab w:val="left" w:pos="6252"/>
              </w:tabs>
              <w:jc w:val="center"/>
              <w:rPr>
                <w:rFonts w:ascii="宋体" w:hAnsi="宋体" w:cs="宋体"/>
                <w:b/>
                <w:sz w:val="24"/>
                <w:szCs w:val="24"/>
              </w:rPr>
            </w:pPr>
            <w:r>
              <w:rPr>
                <w:rFonts w:hint="eastAsia" w:ascii="宋体" w:hAnsi="宋体" w:cs="宋体"/>
                <w:b/>
                <w:sz w:val="24"/>
                <w:szCs w:val="24"/>
              </w:rPr>
              <w:t>采购</w:t>
            </w:r>
            <w:r>
              <w:rPr>
                <w:rFonts w:hint="eastAsia" w:ascii="宋体" w:hAnsi="宋体" w:cs="宋体"/>
                <w:b/>
                <w:sz w:val="24"/>
                <w:szCs w:val="24"/>
              </w:rPr>
              <w:br w:type="textWrapping"/>
            </w:r>
            <w:r>
              <w:rPr>
                <w:rFonts w:hint="eastAsia" w:ascii="宋体" w:hAnsi="宋体" w:cs="宋体"/>
                <w:b/>
                <w:sz w:val="24"/>
                <w:szCs w:val="24"/>
              </w:rPr>
              <w:t>数量</w:t>
            </w:r>
          </w:p>
        </w:tc>
        <w:tc>
          <w:tcPr>
            <w:tcW w:w="818" w:type="dxa"/>
            <w:noWrap w:val="0"/>
            <w:vAlign w:val="center"/>
          </w:tcPr>
          <w:p>
            <w:pPr>
              <w:tabs>
                <w:tab w:val="left" w:pos="6252"/>
              </w:tabs>
              <w:jc w:val="center"/>
              <w:rPr>
                <w:rFonts w:ascii="宋体" w:hAnsi="宋体" w:cs="宋体"/>
                <w:b/>
                <w:sz w:val="24"/>
                <w:szCs w:val="24"/>
              </w:rPr>
            </w:pPr>
            <w:r>
              <w:rPr>
                <w:rFonts w:hint="eastAsia" w:ascii="宋体" w:hAnsi="宋体" w:cs="宋体"/>
                <w:b/>
                <w:sz w:val="24"/>
                <w:szCs w:val="24"/>
              </w:rPr>
              <w:t>单价</w:t>
            </w:r>
          </w:p>
        </w:tc>
        <w:tc>
          <w:tcPr>
            <w:tcW w:w="1331" w:type="dxa"/>
            <w:noWrap w:val="0"/>
            <w:vAlign w:val="center"/>
          </w:tcPr>
          <w:p>
            <w:pPr>
              <w:tabs>
                <w:tab w:val="left" w:pos="6252"/>
              </w:tabs>
              <w:jc w:val="center"/>
              <w:rPr>
                <w:rFonts w:ascii="宋体" w:hAnsi="宋体" w:cs="宋体"/>
                <w:b/>
                <w:sz w:val="24"/>
                <w:szCs w:val="24"/>
              </w:rPr>
            </w:pPr>
            <w:r>
              <w:rPr>
                <w:rFonts w:hint="eastAsia" w:ascii="宋体" w:hAnsi="宋体" w:cs="宋体"/>
                <w:b/>
                <w:sz w:val="24"/>
                <w:szCs w:val="24"/>
              </w:rPr>
              <w:t>合同金额</w:t>
            </w:r>
          </w:p>
          <w:p>
            <w:pPr>
              <w:tabs>
                <w:tab w:val="left" w:pos="6252"/>
              </w:tabs>
              <w:jc w:val="center"/>
              <w:rPr>
                <w:rFonts w:ascii="宋体" w:hAnsi="宋体" w:cs="宋体"/>
                <w:b/>
                <w:sz w:val="24"/>
                <w:szCs w:val="24"/>
              </w:rPr>
            </w:pPr>
            <w:r>
              <w:rPr>
                <w:rFonts w:hint="eastAsia" w:ascii="宋体" w:hAnsi="宋体" w:cs="宋体"/>
                <w:b/>
                <w:sz w:val="24"/>
                <w:szCs w:val="24"/>
              </w:rPr>
              <w:t>（万元）</w:t>
            </w:r>
          </w:p>
        </w:tc>
        <w:tc>
          <w:tcPr>
            <w:tcW w:w="1850" w:type="dxa"/>
            <w:noWrap w:val="0"/>
            <w:vAlign w:val="center"/>
          </w:tcPr>
          <w:p>
            <w:pPr>
              <w:tabs>
                <w:tab w:val="left" w:pos="6252"/>
              </w:tabs>
              <w:jc w:val="center"/>
              <w:rPr>
                <w:rFonts w:ascii="宋体" w:hAnsi="宋体" w:cs="宋体"/>
                <w:b/>
                <w:sz w:val="24"/>
                <w:szCs w:val="24"/>
              </w:rPr>
            </w:pPr>
            <w:r>
              <w:rPr>
                <w:rFonts w:hint="eastAsia" w:ascii="宋体" w:hAnsi="宋体" w:cs="宋体"/>
                <w:b/>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641" w:type="dxa"/>
            <w:noWrap w:val="0"/>
            <w:vAlign w:val="center"/>
          </w:tcPr>
          <w:p>
            <w:pPr>
              <w:jc w:val="center"/>
              <w:rPr>
                <w:rFonts w:ascii="宋体" w:hAnsi="宋体" w:cs="宋体"/>
                <w:sz w:val="24"/>
                <w:szCs w:val="24"/>
              </w:rPr>
            </w:pPr>
            <w:r>
              <w:rPr>
                <w:rFonts w:hint="eastAsia" w:ascii="宋体" w:hAnsi="宋体" w:cs="宋体"/>
                <w:sz w:val="24"/>
                <w:szCs w:val="24"/>
              </w:rPr>
              <w:t>1</w:t>
            </w:r>
          </w:p>
        </w:tc>
        <w:tc>
          <w:tcPr>
            <w:tcW w:w="1330" w:type="dxa"/>
            <w:noWrap w:val="0"/>
            <w:vAlign w:val="center"/>
          </w:tcPr>
          <w:p>
            <w:pPr>
              <w:jc w:val="center"/>
              <w:rPr>
                <w:rFonts w:ascii="宋体" w:hAnsi="宋体" w:cs="宋体"/>
                <w:sz w:val="24"/>
                <w:szCs w:val="24"/>
              </w:rPr>
            </w:pPr>
          </w:p>
        </w:tc>
        <w:tc>
          <w:tcPr>
            <w:tcW w:w="1511" w:type="dxa"/>
            <w:noWrap w:val="0"/>
            <w:vAlign w:val="top"/>
          </w:tcPr>
          <w:p>
            <w:pPr>
              <w:jc w:val="center"/>
              <w:rPr>
                <w:rFonts w:ascii="宋体" w:hAnsi="宋体" w:cs="宋体"/>
                <w:sz w:val="24"/>
                <w:szCs w:val="24"/>
              </w:rPr>
            </w:pPr>
          </w:p>
        </w:tc>
        <w:tc>
          <w:tcPr>
            <w:tcW w:w="1259" w:type="dxa"/>
            <w:noWrap w:val="0"/>
            <w:vAlign w:val="top"/>
          </w:tcPr>
          <w:p>
            <w:pPr>
              <w:jc w:val="center"/>
              <w:rPr>
                <w:rFonts w:ascii="宋体" w:hAnsi="宋体" w:cs="宋体"/>
                <w:sz w:val="24"/>
                <w:szCs w:val="24"/>
              </w:rPr>
            </w:pPr>
          </w:p>
        </w:tc>
        <w:tc>
          <w:tcPr>
            <w:tcW w:w="943" w:type="dxa"/>
            <w:noWrap w:val="0"/>
            <w:vAlign w:val="top"/>
          </w:tcPr>
          <w:p>
            <w:pPr>
              <w:jc w:val="center"/>
              <w:rPr>
                <w:rFonts w:ascii="宋体" w:hAnsi="宋体" w:cs="宋体"/>
                <w:sz w:val="24"/>
                <w:szCs w:val="24"/>
              </w:rPr>
            </w:pPr>
          </w:p>
        </w:tc>
        <w:tc>
          <w:tcPr>
            <w:tcW w:w="818" w:type="dxa"/>
            <w:noWrap w:val="0"/>
            <w:vAlign w:val="top"/>
          </w:tcPr>
          <w:p>
            <w:pPr>
              <w:jc w:val="center"/>
              <w:rPr>
                <w:rFonts w:ascii="宋体" w:hAnsi="宋体" w:cs="宋体"/>
                <w:sz w:val="24"/>
                <w:szCs w:val="24"/>
              </w:rPr>
            </w:pPr>
          </w:p>
        </w:tc>
        <w:tc>
          <w:tcPr>
            <w:tcW w:w="1331" w:type="dxa"/>
            <w:noWrap w:val="0"/>
            <w:vAlign w:val="center"/>
          </w:tcPr>
          <w:p>
            <w:pPr>
              <w:jc w:val="center"/>
              <w:rPr>
                <w:rFonts w:ascii="宋体" w:hAnsi="宋体" w:cs="宋体"/>
                <w:sz w:val="24"/>
                <w:szCs w:val="24"/>
              </w:rPr>
            </w:pPr>
          </w:p>
        </w:tc>
        <w:tc>
          <w:tcPr>
            <w:tcW w:w="1850" w:type="dxa"/>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jc w:val="center"/>
        </w:trPr>
        <w:tc>
          <w:tcPr>
            <w:tcW w:w="641" w:type="dxa"/>
            <w:noWrap w:val="0"/>
            <w:vAlign w:val="center"/>
          </w:tcPr>
          <w:p>
            <w:pPr>
              <w:jc w:val="center"/>
              <w:rPr>
                <w:rFonts w:ascii="宋体" w:hAnsi="宋体" w:cs="宋体"/>
                <w:sz w:val="24"/>
                <w:szCs w:val="24"/>
              </w:rPr>
            </w:pPr>
            <w:r>
              <w:rPr>
                <w:rFonts w:hint="eastAsia" w:ascii="宋体" w:hAnsi="宋体" w:cs="宋体"/>
                <w:sz w:val="24"/>
                <w:szCs w:val="24"/>
              </w:rPr>
              <w:t>2</w:t>
            </w:r>
          </w:p>
        </w:tc>
        <w:tc>
          <w:tcPr>
            <w:tcW w:w="1330" w:type="dxa"/>
            <w:noWrap w:val="0"/>
            <w:vAlign w:val="center"/>
          </w:tcPr>
          <w:p>
            <w:pPr>
              <w:jc w:val="center"/>
              <w:rPr>
                <w:rFonts w:ascii="宋体" w:hAnsi="宋体" w:cs="宋体"/>
                <w:sz w:val="24"/>
                <w:szCs w:val="24"/>
              </w:rPr>
            </w:pPr>
          </w:p>
        </w:tc>
        <w:tc>
          <w:tcPr>
            <w:tcW w:w="1511" w:type="dxa"/>
            <w:noWrap w:val="0"/>
            <w:vAlign w:val="top"/>
          </w:tcPr>
          <w:p>
            <w:pPr>
              <w:jc w:val="center"/>
              <w:rPr>
                <w:rFonts w:ascii="宋体" w:hAnsi="宋体" w:cs="宋体"/>
                <w:sz w:val="24"/>
                <w:szCs w:val="24"/>
              </w:rPr>
            </w:pPr>
          </w:p>
        </w:tc>
        <w:tc>
          <w:tcPr>
            <w:tcW w:w="1259" w:type="dxa"/>
            <w:noWrap w:val="0"/>
            <w:vAlign w:val="top"/>
          </w:tcPr>
          <w:p>
            <w:pPr>
              <w:jc w:val="center"/>
              <w:rPr>
                <w:rFonts w:ascii="宋体" w:hAnsi="宋体" w:cs="宋体"/>
                <w:sz w:val="24"/>
                <w:szCs w:val="24"/>
              </w:rPr>
            </w:pPr>
          </w:p>
        </w:tc>
        <w:tc>
          <w:tcPr>
            <w:tcW w:w="943" w:type="dxa"/>
            <w:noWrap w:val="0"/>
            <w:vAlign w:val="top"/>
          </w:tcPr>
          <w:p>
            <w:pPr>
              <w:jc w:val="center"/>
              <w:rPr>
                <w:rFonts w:ascii="宋体" w:hAnsi="宋体" w:cs="宋体"/>
                <w:sz w:val="24"/>
                <w:szCs w:val="24"/>
              </w:rPr>
            </w:pPr>
          </w:p>
        </w:tc>
        <w:tc>
          <w:tcPr>
            <w:tcW w:w="818" w:type="dxa"/>
            <w:noWrap w:val="0"/>
            <w:vAlign w:val="top"/>
          </w:tcPr>
          <w:p>
            <w:pPr>
              <w:jc w:val="center"/>
              <w:rPr>
                <w:rFonts w:ascii="宋体" w:hAnsi="宋体" w:cs="宋体"/>
                <w:sz w:val="24"/>
                <w:szCs w:val="24"/>
              </w:rPr>
            </w:pPr>
          </w:p>
        </w:tc>
        <w:tc>
          <w:tcPr>
            <w:tcW w:w="1331" w:type="dxa"/>
            <w:noWrap w:val="0"/>
            <w:vAlign w:val="center"/>
          </w:tcPr>
          <w:p>
            <w:pPr>
              <w:jc w:val="center"/>
              <w:rPr>
                <w:rFonts w:ascii="宋体" w:hAnsi="宋体" w:cs="宋体"/>
                <w:sz w:val="24"/>
                <w:szCs w:val="24"/>
              </w:rPr>
            </w:pPr>
          </w:p>
        </w:tc>
        <w:tc>
          <w:tcPr>
            <w:tcW w:w="1850" w:type="dxa"/>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8" w:hRule="atLeast"/>
          <w:jc w:val="center"/>
        </w:trPr>
        <w:tc>
          <w:tcPr>
            <w:tcW w:w="641" w:type="dxa"/>
            <w:noWrap w:val="0"/>
            <w:vAlign w:val="center"/>
          </w:tcPr>
          <w:p>
            <w:pPr>
              <w:jc w:val="center"/>
              <w:rPr>
                <w:rFonts w:ascii="宋体" w:hAnsi="宋体" w:cs="宋体"/>
                <w:sz w:val="24"/>
                <w:szCs w:val="24"/>
              </w:rPr>
            </w:pPr>
            <w:r>
              <w:rPr>
                <w:rFonts w:hint="eastAsia" w:ascii="宋体" w:hAnsi="宋体" w:cs="宋体"/>
                <w:sz w:val="24"/>
                <w:szCs w:val="24"/>
              </w:rPr>
              <w:t>3</w:t>
            </w:r>
          </w:p>
        </w:tc>
        <w:tc>
          <w:tcPr>
            <w:tcW w:w="1330" w:type="dxa"/>
            <w:noWrap w:val="0"/>
            <w:vAlign w:val="center"/>
          </w:tcPr>
          <w:p>
            <w:pPr>
              <w:jc w:val="center"/>
              <w:rPr>
                <w:rFonts w:ascii="宋体" w:hAnsi="宋体" w:cs="宋体"/>
                <w:sz w:val="24"/>
                <w:szCs w:val="24"/>
              </w:rPr>
            </w:pPr>
          </w:p>
        </w:tc>
        <w:tc>
          <w:tcPr>
            <w:tcW w:w="1511" w:type="dxa"/>
            <w:noWrap w:val="0"/>
            <w:vAlign w:val="top"/>
          </w:tcPr>
          <w:p>
            <w:pPr>
              <w:jc w:val="center"/>
              <w:rPr>
                <w:rFonts w:ascii="宋体" w:hAnsi="宋体" w:cs="宋体"/>
                <w:sz w:val="24"/>
                <w:szCs w:val="24"/>
              </w:rPr>
            </w:pPr>
          </w:p>
        </w:tc>
        <w:tc>
          <w:tcPr>
            <w:tcW w:w="1259" w:type="dxa"/>
            <w:noWrap w:val="0"/>
            <w:vAlign w:val="top"/>
          </w:tcPr>
          <w:p>
            <w:pPr>
              <w:jc w:val="center"/>
              <w:rPr>
                <w:rFonts w:ascii="宋体" w:hAnsi="宋体" w:cs="宋体"/>
                <w:sz w:val="24"/>
                <w:szCs w:val="24"/>
              </w:rPr>
            </w:pPr>
          </w:p>
        </w:tc>
        <w:tc>
          <w:tcPr>
            <w:tcW w:w="943" w:type="dxa"/>
            <w:noWrap w:val="0"/>
            <w:vAlign w:val="top"/>
          </w:tcPr>
          <w:p>
            <w:pPr>
              <w:jc w:val="center"/>
              <w:rPr>
                <w:rFonts w:ascii="宋体" w:hAnsi="宋体" w:cs="宋体"/>
                <w:sz w:val="24"/>
                <w:szCs w:val="24"/>
              </w:rPr>
            </w:pPr>
          </w:p>
        </w:tc>
        <w:tc>
          <w:tcPr>
            <w:tcW w:w="818" w:type="dxa"/>
            <w:noWrap w:val="0"/>
            <w:vAlign w:val="top"/>
          </w:tcPr>
          <w:p>
            <w:pPr>
              <w:jc w:val="center"/>
              <w:rPr>
                <w:rFonts w:ascii="宋体" w:hAnsi="宋体" w:cs="宋体"/>
                <w:sz w:val="24"/>
                <w:szCs w:val="24"/>
              </w:rPr>
            </w:pPr>
          </w:p>
        </w:tc>
        <w:tc>
          <w:tcPr>
            <w:tcW w:w="1331" w:type="dxa"/>
            <w:noWrap w:val="0"/>
            <w:vAlign w:val="center"/>
          </w:tcPr>
          <w:p>
            <w:pPr>
              <w:jc w:val="center"/>
              <w:rPr>
                <w:rFonts w:ascii="宋体" w:hAnsi="宋体" w:cs="宋体"/>
                <w:sz w:val="24"/>
                <w:szCs w:val="24"/>
              </w:rPr>
            </w:pPr>
          </w:p>
        </w:tc>
        <w:tc>
          <w:tcPr>
            <w:tcW w:w="1850" w:type="dxa"/>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4" w:hRule="atLeast"/>
          <w:jc w:val="center"/>
        </w:trPr>
        <w:tc>
          <w:tcPr>
            <w:tcW w:w="641" w:type="dxa"/>
            <w:noWrap w:val="0"/>
            <w:vAlign w:val="center"/>
          </w:tcPr>
          <w:p>
            <w:pPr>
              <w:jc w:val="center"/>
              <w:rPr>
                <w:rFonts w:ascii="宋体" w:hAnsi="宋体" w:cs="宋体"/>
                <w:sz w:val="24"/>
                <w:szCs w:val="24"/>
              </w:rPr>
            </w:pPr>
            <w:r>
              <w:rPr>
                <w:rFonts w:hint="eastAsia" w:ascii="宋体" w:hAnsi="宋体" w:cs="宋体"/>
                <w:sz w:val="24"/>
                <w:szCs w:val="24"/>
              </w:rPr>
              <w:t>……</w:t>
            </w:r>
          </w:p>
        </w:tc>
        <w:tc>
          <w:tcPr>
            <w:tcW w:w="1330" w:type="dxa"/>
            <w:noWrap w:val="0"/>
            <w:vAlign w:val="center"/>
          </w:tcPr>
          <w:p>
            <w:pPr>
              <w:jc w:val="center"/>
              <w:rPr>
                <w:rFonts w:ascii="宋体" w:hAnsi="宋体" w:cs="宋体"/>
                <w:sz w:val="24"/>
                <w:szCs w:val="24"/>
              </w:rPr>
            </w:pPr>
          </w:p>
        </w:tc>
        <w:tc>
          <w:tcPr>
            <w:tcW w:w="1511" w:type="dxa"/>
            <w:noWrap w:val="0"/>
            <w:vAlign w:val="top"/>
          </w:tcPr>
          <w:p>
            <w:pPr>
              <w:jc w:val="center"/>
              <w:rPr>
                <w:rFonts w:ascii="宋体" w:hAnsi="宋体" w:cs="宋体"/>
                <w:sz w:val="24"/>
                <w:szCs w:val="24"/>
              </w:rPr>
            </w:pPr>
          </w:p>
        </w:tc>
        <w:tc>
          <w:tcPr>
            <w:tcW w:w="1259" w:type="dxa"/>
            <w:noWrap w:val="0"/>
            <w:vAlign w:val="top"/>
          </w:tcPr>
          <w:p>
            <w:pPr>
              <w:jc w:val="center"/>
              <w:rPr>
                <w:rFonts w:ascii="宋体" w:hAnsi="宋体" w:cs="宋体"/>
                <w:sz w:val="24"/>
                <w:szCs w:val="24"/>
              </w:rPr>
            </w:pPr>
          </w:p>
        </w:tc>
        <w:tc>
          <w:tcPr>
            <w:tcW w:w="943" w:type="dxa"/>
            <w:noWrap w:val="0"/>
            <w:vAlign w:val="top"/>
          </w:tcPr>
          <w:p>
            <w:pPr>
              <w:jc w:val="center"/>
              <w:rPr>
                <w:rFonts w:ascii="宋体" w:hAnsi="宋体" w:cs="宋体"/>
                <w:sz w:val="24"/>
                <w:szCs w:val="24"/>
              </w:rPr>
            </w:pPr>
          </w:p>
        </w:tc>
        <w:tc>
          <w:tcPr>
            <w:tcW w:w="818" w:type="dxa"/>
            <w:noWrap w:val="0"/>
            <w:vAlign w:val="top"/>
          </w:tcPr>
          <w:p>
            <w:pPr>
              <w:jc w:val="center"/>
              <w:rPr>
                <w:rFonts w:ascii="宋体" w:hAnsi="宋体" w:cs="宋体"/>
                <w:sz w:val="24"/>
                <w:szCs w:val="24"/>
              </w:rPr>
            </w:pPr>
          </w:p>
        </w:tc>
        <w:tc>
          <w:tcPr>
            <w:tcW w:w="1331" w:type="dxa"/>
            <w:noWrap w:val="0"/>
            <w:vAlign w:val="center"/>
          </w:tcPr>
          <w:p>
            <w:pPr>
              <w:jc w:val="center"/>
              <w:rPr>
                <w:rFonts w:ascii="宋体" w:hAnsi="宋体" w:cs="宋体"/>
                <w:sz w:val="24"/>
                <w:szCs w:val="24"/>
              </w:rPr>
            </w:pPr>
          </w:p>
        </w:tc>
        <w:tc>
          <w:tcPr>
            <w:tcW w:w="1850" w:type="dxa"/>
            <w:noWrap w:val="0"/>
            <w:vAlign w:val="center"/>
          </w:tcPr>
          <w:p>
            <w:pPr>
              <w:jc w:val="center"/>
              <w:rPr>
                <w:rFonts w:ascii="宋体" w:hAnsi="宋体" w:cs="宋体"/>
                <w:sz w:val="24"/>
                <w:szCs w:val="24"/>
              </w:rPr>
            </w:pPr>
          </w:p>
        </w:tc>
      </w:tr>
    </w:tbl>
    <w:p>
      <w:pPr>
        <w:snapToGrid w:val="0"/>
        <w:ind w:firstLine="200"/>
        <w:rPr>
          <w:rFonts w:ascii="宋体" w:hAnsi="宋体" w:cs="宋体"/>
          <w:b/>
          <w:sz w:val="24"/>
          <w:szCs w:val="24"/>
        </w:rPr>
      </w:pPr>
      <w:r>
        <w:rPr>
          <w:rFonts w:hint="eastAsia" w:ascii="宋体" w:hAnsi="宋体" w:cs="宋体"/>
          <w:b/>
          <w:sz w:val="24"/>
          <w:szCs w:val="24"/>
        </w:rPr>
        <w:t>注：1.此表不提供，视为无业绩。</w:t>
      </w:r>
    </w:p>
    <w:p>
      <w:pPr>
        <w:snapToGrid w:val="0"/>
        <w:ind w:firstLine="704" w:firstLineChars="292"/>
        <w:rPr>
          <w:rFonts w:ascii="宋体" w:hAnsi="宋体" w:cs="宋体"/>
          <w:b/>
          <w:sz w:val="24"/>
          <w:szCs w:val="24"/>
        </w:rPr>
      </w:pPr>
      <w:r>
        <w:rPr>
          <w:rFonts w:hint="eastAsia" w:ascii="宋体" w:hAnsi="宋体" w:cs="宋体"/>
          <w:b/>
          <w:sz w:val="24"/>
          <w:szCs w:val="24"/>
        </w:rPr>
        <w:t>2.此表仅提供了格式，表格不够可自行增加。</w:t>
      </w:r>
    </w:p>
    <w:p>
      <w:pPr>
        <w:snapToGrid w:val="0"/>
        <w:ind w:firstLine="701" w:firstLineChars="291"/>
        <w:rPr>
          <w:rFonts w:ascii="宋体" w:hAnsi="宋体" w:cs="宋体"/>
          <w:b/>
          <w:sz w:val="24"/>
          <w:szCs w:val="24"/>
        </w:rPr>
      </w:pPr>
      <w:r>
        <w:rPr>
          <w:rFonts w:hint="eastAsia" w:ascii="宋体" w:hAnsi="宋体" w:cs="宋体"/>
          <w:b/>
          <w:sz w:val="24"/>
          <w:szCs w:val="24"/>
        </w:rPr>
        <w:t>3.后附中标通知书或合同复印件以及验收单（复印件加盖公章）。</w:t>
      </w:r>
    </w:p>
    <w:p>
      <w:pPr>
        <w:snapToGrid w:val="0"/>
        <w:ind w:firstLine="701" w:firstLineChars="291"/>
        <w:rPr>
          <w:rFonts w:ascii="宋体" w:hAnsi="宋体" w:cs="宋体"/>
          <w:b/>
          <w:sz w:val="24"/>
          <w:szCs w:val="24"/>
        </w:rPr>
      </w:pPr>
      <w:r>
        <w:rPr>
          <w:rFonts w:hint="eastAsia" w:ascii="宋体" w:hAnsi="宋体" w:cs="宋体"/>
          <w:b/>
          <w:sz w:val="24"/>
          <w:szCs w:val="24"/>
        </w:rPr>
        <w:t>4.如本表格不适合投标人的实际情况，可自行制表填写。</w:t>
      </w:r>
    </w:p>
    <w:p>
      <w:pPr>
        <w:snapToGrid w:val="0"/>
        <w:ind w:firstLine="200"/>
        <w:rPr>
          <w:rFonts w:ascii="宋体" w:hAnsi="宋体" w:cs="宋体"/>
          <w:sz w:val="24"/>
          <w:szCs w:val="24"/>
          <w:u w:val="single"/>
        </w:rPr>
      </w:pPr>
      <w:r>
        <w:rPr>
          <w:rFonts w:hint="eastAsia" w:ascii="宋体" w:hAnsi="宋体" w:cs="宋体"/>
          <w:sz w:val="24"/>
          <w:szCs w:val="24"/>
        </w:rPr>
        <w:t>被授权人签字（或盖章）：</w:t>
      </w:r>
      <w:r>
        <w:rPr>
          <w:rFonts w:hint="eastAsia" w:ascii="宋体" w:hAnsi="宋体" w:cs="宋体"/>
          <w:sz w:val="24"/>
          <w:szCs w:val="24"/>
          <w:u w:val="single"/>
        </w:rPr>
        <w:t xml:space="preserve">             </w:t>
      </w:r>
    </w:p>
    <w:p>
      <w:pPr>
        <w:snapToGrid w:val="0"/>
        <w:ind w:firstLine="240" w:firstLineChars="100"/>
        <w:rPr>
          <w:rFonts w:ascii="宋体" w:hAnsi="宋体" w:cs="宋体"/>
          <w:sz w:val="24"/>
          <w:szCs w:val="24"/>
        </w:rPr>
      </w:pPr>
      <w:r>
        <w:rPr>
          <w:rFonts w:hint="eastAsia" w:ascii="宋体" w:hAnsi="宋体" w:cs="宋体"/>
          <w:sz w:val="24"/>
          <w:szCs w:val="24"/>
        </w:rPr>
        <w:t xml:space="preserve">投标人公章：                    </w:t>
      </w:r>
    </w:p>
    <w:p>
      <w:pPr>
        <w:pStyle w:val="308"/>
        <w:jc w:val="right"/>
        <w:rPr>
          <w:rFonts w:hAnsi="宋体" w:eastAsia="宋体" w:cs="宋体"/>
          <w:sz w:val="24"/>
          <w:szCs w:val="24"/>
        </w:rPr>
      </w:pPr>
      <w:r>
        <w:rPr>
          <w:rFonts w:hint="eastAsia" w:hAnsi="宋体" w:eastAsia="宋体" w:cs="宋体"/>
          <w:sz w:val="24"/>
          <w:szCs w:val="24"/>
        </w:rPr>
        <w:t>年    月    日</w:t>
      </w:r>
    </w:p>
    <w:p>
      <w:pPr>
        <w:snapToGrid w:val="0"/>
        <w:jc w:val="left"/>
        <w:rPr>
          <w:rFonts w:ascii="宋体" w:hAnsi="宋体" w:cs="宋体"/>
          <w:b/>
          <w:sz w:val="24"/>
        </w:rPr>
      </w:pPr>
      <w:r>
        <w:rPr>
          <w:rFonts w:hAnsi="宋体" w:cs="宋体"/>
          <w:sz w:val="24"/>
          <w:szCs w:val="24"/>
        </w:rPr>
        <w:br w:type="page"/>
      </w:r>
      <w:r>
        <w:rPr>
          <w:rFonts w:hint="eastAsia" w:ascii="宋体" w:hAnsi="宋体" w:cs="宋体"/>
          <w:b/>
          <w:sz w:val="24"/>
        </w:rPr>
        <w:t>6、投标人情况介绍</w:t>
      </w:r>
    </w:p>
    <w:p>
      <w:pPr>
        <w:ind w:left="65" w:right="6"/>
        <w:jc w:val="center"/>
        <w:rPr>
          <w:rFonts w:ascii="宋体" w:hAnsi="宋体" w:cs="宋体"/>
          <w:b/>
          <w:sz w:val="32"/>
          <w:szCs w:val="32"/>
        </w:rPr>
      </w:pPr>
      <w:r>
        <w:rPr>
          <w:rFonts w:hint="eastAsia" w:ascii="宋体" w:hAnsi="宋体" w:cs="宋体"/>
          <w:b/>
          <w:sz w:val="32"/>
          <w:szCs w:val="32"/>
        </w:rPr>
        <w:t>投标人基本情况表</w:t>
      </w:r>
    </w:p>
    <w:tbl>
      <w:tblPr>
        <w:tblStyle w:val="4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01" w:hRule="atLeast"/>
        </w:trPr>
        <w:tc>
          <w:tcPr>
            <w:tcW w:w="645" w:type="dxa"/>
            <w:vMerge w:val="restart"/>
            <w:noWrap w:val="0"/>
            <w:vAlign w:val="center"/>
          </w:tcPr>
          <w:p>
            <w:pPr>
              <w:spacing w:line="240" w:lineRule="auto"/>
              <w:jc w:val="center"/>
              <w:rPr>
                <w:rFonts w:ascii="宋体" w:hAnsi="宋体" w:cs="宋体"/>
                <w:sz w:val="24"/>
                <w:szCs w:val="24"/>
              </w:rPr>
            </w:pPr>
            <w:r>
              <w:rPr>
                <w:rFonts w:hint="eastAsia" w:ascii="宋体" w:hAnsi="宋体" w:cs="宋体"/>
                <w:sz w:val="24"/>
                <w:szCs w:val="24"/>
              </w:rPr>
              <w:t>投</w:t>
            </w: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r>
              <w:rPr>
                <w:rFonts w:hint="eastAsia" w:ascii="宋体" w:hAnsi="宋体" w:cs="宋体"/>
                <w:sz w:val="24"/>
                <w:szCs w:val="24"/>
              </w:rPr>
              <w:t>标</w:t>
            </w: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r>
              <w:rPr>
                <w:rFonts w:hint="eastAsia" w:ascii="宋体" w:hAnsi="宋体" w:cs="宋体"/>
                <w:sz w:val="24"/>
                <w:szCs w:val="24"/>
              </w:rPr>
              <w:t>人</w:t>
            </w: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r>
              <w:rPr>
                <w:rFonts w:hint="eastAsia" w:ascii="宋体" w:hAnsi="宋体" w:cs="宋体"/>
                <w:sz w:val="24"/>
                <w:szCs w:val="24"/>
              </w:rPr>
              <w:t>概</w:t>
            </w: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r>
              <w:rPr>
                <w:rFonts w:hint="eastAsia" w:ascii="宋体" w:hAnsi="宋体" w:cs="宋体"/>
                <w:sz w:val="24"/>
                <w:szCs w:val="24"/>
              </w:rPr>
              <w:t>况</w:t>
            </w: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公司名称</w:t>
            </w:r>
          </w:p>
        </w:tc>
        <w:tc>
          <w:tcPr>
            <w:tcW w:w="6795" w:type="dxa"/>
            <w:gridSpan w:val="3"/>
            <w:noWrap w:val="0"/>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5" w:hRule="atLeast"/>
        </w:trPr>
        <w:tc>
          <w:tcPr>
            <w:tcW w:w="645" w:type="dxa"/>
            <w:vMerge w:val="continue"/>
            <w:noWrap w:val="0"/>
            <w:vAlign w:val="center"/>
          </w:tcPr>
          <w:p>
            <w:pPr>
              <w:spacing w:line="240" w:lineRule="auto"/>
              <w:jc w:val="center"/>
              <w:rPr>
                <w:rFonts w:ascii="宋体" w:hAnsi="宋体" w:cs="宋体"/>
                <w:sz w:val="24"/>
                <w:szCs w:val="24"/>
              </w:rPr>
            </w:pP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地址</w:t>
            </w:r>
          </w:p>
        </w:tc>
        <w:tc>
          <w:tcPr>
            <w:tcW w:w="6795" w:type="dxa"/>
            <w:gridSpan w:val="3"/>
            <w:noWrap w:val="0"/>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0" w:hRule="atLeast"/>
        </w:trPr>
        <w:tc>
          <w:tcPr>
            <w:tcW w:w="645" w:type="dxa"/>
            <w:vMerge w:val="continue"/>
            <w:noWrap w:val="0"/>
            <w:vAlign w:val="center"/>
          </w:tcPr>
          <w:p>
            <w:pPr>
              <w:spacing w:line="240" w:lineRule="auto"/>
              <w:jc w:val="center"/>
              <w:rPr>
                <w:rFonts w:ascii="宋体" w:hAnsi="宋体" w:cs="宋体"/>
                <w:sz w:val="24"/>
                <w:szCs w:val="24"/>
              </w:rPr>
            </w:pP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经营范围</w:t>
            </w:r>
          </w:p>
        </w:tc>
        <w:tc>
          <w:tcPr>
            <w:tcW w:w="6795" w:type="dxa"/>
            <w:gridSpan w:val="3"/>
            <w:noWrap w:val="0"/>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0" w:hRule="atLeast"/>
        </w:trPr>
        <w:tc>
          <w:tcPr>
            <w:tcW w:w="645" w:type="dxa"/>
            <w:vMerge w:val="continue"/>
            <w:noWrap w:val="0"/>
            <w:vAlign w:val="center"/>
          </w:tcPr>
          <w:p>
            <w:pPr>
              <w:spacing w:line="240" w:lineRule="auto"/>
              <w:jc w:val="center"/>
              <w:rPr>
                <w:rFonts w:ascii="宋体" w:hAnsi="宋体" w:cs="宋体"/>
                <w:sz w:val="24"/>
                <w:szCs w:val="24"/>
              </w:rPr>
            </w:pP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成立时间</w:t>
            </w:r>
          </w:p>
        </w:tc>
        <w:tc>
          <w:tcPr>
            <w:tcW w:w="2119" w:type="dxa"/>
            <w:noWrap w:val="0"/>
            <w:vAlign w:val="center"/>
          </w:tcPr>
          <w:p>
            <w:pPr>
              <w:spacing w:line="240" w:lineRule="auto"/>
              <w:jc w:val="center"/>
              <w:rPr>
                <w:rFonts w:ascii="宋体" w:hAnsi="宋体" w:cs="宋体"/>
                <w:sz w:val="24"/>
                <w:szCs w:val="24"/>
              </w:rPr>
            </w:pPr>
          </w:p>
        </w:tc>
        <w:tc>
          <w:tcPr>
            <w:tcW w:w="192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经济性质</w:t>
            </w:r>
          </w:p>
        </w:tc>
        <w:tc>
          <w:tcPr>
            <w:tcW w:w="2756" w:type="dxa"/>
            <w:noWrap w:val="0"/>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1" w:hRule="atLeast"/>
        </w:trPr>
        <w:tc>
          <w:tcPr>
            <w:tcW w:w="645" w:type="dxa"/>
            <w:vMerge w:val="continue"/>
            <w:noWrap w:val="0"/>
            <w:vAlign w:val="center"/>
          </w:tcPr>
          <w:p>
            <w:pPr>
              <w:spacing w:line="240" w:lineRule="auto"/>
              <w:jc w:val="center"/>
              <w:rPr>
                <w:rFonts w:ascii="宋体" w:hAnsi="宋体" w:cs="宋体"/>
                <w:sz w:val="24"/>
                <w:szCs w:val="24"/>
              </w:rPr>
            </w:pP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法定代表人</w:t>
            </w:r>
          </w:p>
        </w:tc>
        <w:tc>
          <w:tcPr>
            <w:tcW w:w="2119" w:type="dxa"/>
            <w:noWrap w:val="0"/>
            <w:vAlign w:val="center"/>
          </w:tcPr>
          <w:p>
            <w:pPr>
              <w:spacing w:line="240" w:lineRule="auto"/>
              <w:jc w:val="center"/>
              <w:rPr>
                <w:rFonts w:ascii="宋体" w:hAnsi="宋体" w:cs="宋体"/>
                <w:sz w:val="24"/>
                <w:szCs w:val="24"/>
              </w:rPr>
            </w:pPr>
          </w:p>
        </w:tc>
        <w:tc>
          <w:tcPr>
            <w:tcW w:w="192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联系电话</w:t>
            </w:r>
          </w:p>
        </w:tc>
        <w:tc>
          <w:tcPr>
            <w:tcW w:w="2756" w:type="dxa"/>
            <w:noWrap w:val="0"/>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0" w:hRule="atLeast"/>
        </w:trPr>
        <w:tc>
          <w:tcPr>
            <w:tcW w:w="645" w:type="dxa"/>
            <w:vMerge w:val="continue"/>
            <w:noWrap w:val="0"/>
            <w:vAlign w:val="center"/>
          </w:tcPr>
          <w:p>
            <w:pPr>
              <w:spacing w:line="240" w:lineRule="auto"/>
              <w:jc w:val="center"/>
              <w:rPr>
                <w:rFonts w:ascii="宋体" w:hAnsi="宋体" w:cs="宋体"/>
                <w:sz w:val="24"/>
                <w:szCs w:val="24"/>
              </w:rPr>
            </w:pP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注册资金</w:t>
            </w:r>
          </w:p>
        </w:tc>
        <w:tc>
          <w:tcPr>
            <w:tcW w:w="2119" w:type="dxa"/>
            <w:noWrap w:val="0"/>
            <w:vAlign w:val="center"/>
          </w:tcPr>
          <w:p>
            <w:pPr>
              <w:spacing w:line="240" w:lineRule="auto"/>
              <w:jc w:val="center"/>
              <w:rPr>
                <w:rFonts w:ascii="宋体" w:hAnsi="宋体" w:cs="宋体"/>
                <w:sz w:val="24"/>
                <w:szCs w:val="24"/>
              </w:rPr>
            </w:pPr>
          </w:p>
        </w:tc>
        <w:tc>
          <w:tcPr>
            <w:tcW w:w="192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技术人员数</w:t>
            </w:r>
          </w:p>
        </w:tc>
        <w:tc>
          <w:tcPr>
            <w:tcW w:w="2756" w:type="dxa"/>
            <w:noWrap w:val="0"/>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3" w:hRule="atLeast"/>
        </w:trPr>
        <w:tc>
          <w:tcPr>
            <w:tcW w:w="645" w:type="dxa"/>
            <w:vMerge w:val="continue"/>
            <w:noWrap w:val="0"/>
            <w:vAlign w:val="center"/>
          </w:tcPr>
          <w:p>
            <w:pPr>
              <w:spacing w:line="240" w:lineRule="auto"/>
              <w:jc w:val="center"/>
              <w:rPr>
                <w:rFonts w:ascii="宋体" w:hAnsi="宋体" w:cs="宋体"/>
                <w:sz w:val="24"/>
                <w:szCs w:val="24"/>
              </w:rPr>
            </w:pP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资产总额</w:t>
            </w:r>
          </w:p>
        </w:tc>
        <w:tc>
          <w:tcPr>
            <w:tcW w:w="2119" w:type="dxa"/>
            <w:noWrap w:val="0"/>
            <w:vAlign w:val="center"/>
          </w:tcPr>
          <w:p>
            <w:pPr>
              <w:spacing w:line="240" w:lineRule="auto"/>
              <w:jc w:val="center"/>
              <w:rPr>
                <w:rFonts w:ascii="宋体" w:hAnsi="宋体" w:cs="宋体"/>
                <w:sz w:val="24"/>
                <w:szCs w:val="24"/>
              </w:rPr>
            </w:pPr>
          </w:p>
        </w:tc>
        <w:tc>
          <w:tcPr>
            <w:tcW w:w="192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净资产</w:t>
            </w:r>
          </w:p>
        </w:tc>
        <w:tc>
          <w:tcPr>
            <w:tcW w:w="2756" w:type="dxa"/>
            <w:noWrap w:val="0"/>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17" w:hRule="atLeast"/>
        </w:trPr>
        <w:tc>
          <w:tcPr>
            <w:tcW w:w="645" w:type="dxa"/>
            <w:vMerge w:val="continue"/>
            <w:noWrap w:val="0"/>
            <w:vAlign w:val="center"/>
          </w:tcPr>
          <w:p>
            <w:pPr>
              <w:spacing w:line="240" w:lineRule="auto"/>
              <w:jc w:val="center"/>
              <w:rPr>
                <w:rFonts w:ascii="宋体" w:hAnsi="宋体" w:cs="宋体"/>
                <w:sz w:val="24"/>
                <w:szCs w:val="24"/>
              </w:rPr>
            </w:pP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工商登记号</w:t>
            </w:r>
          </w:p>
        </w:tc>
        <w:tc>
          <w:tcPr>
            <w:tcW w:w="2119" w:type="dxa"/>
            <w:noWrap w:val="0"/>
            <w:vAlign w:val="center"/>
          </w:tcPr>
          <w:p>
            <w:pPr>
              <w:spacing w:line="240" w:lineRule="auto"/>
              <w:jc w:val="center"/>
              <w:rPr>
                <w:rFonts w:ascii="宋体" w:hAnsi="宋体" w:cs="宋体"/>
                <w:sz w:val="24"/>
                <w:szCs w:val="24"/>
              </w:rPr>
            </w:pPr>
          </w:p>
        </w:tc>
        <w:tc>
          <w:tcPr>
            <w:tcW w:w="192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税务登记号</w:t>
            </w:r>
          </w:p>
        </w:tc>
        <w:tc>
          <w:tcPr>
            <w:tcW w:w="2756" w:type="dxa"/>
            <w:noWrap w:val="0"/>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4" w:hRule="atLeast"/>
        </w:trPr>
        <w:tc>
          <w:tcPr>
            <w:tcW w:w="645" w:type="dxa"/>
            <w:vMerge w:val="continue"/>
            <w:noWrap w:val="0"/>
            <w:vAlign w:val="center"/>
          </w:tcPr>
          <w:p>
            <w:pPr>
              <w:spacing w:line="240" w:lineRule="auto"/>
              <w:jc w:val="center"/>
              <w:rPr>
                <w:rFonts w:ascii="宋体" w:hAnsi="宋体" w:cs="宋体"/>
                <w:sz w:val="24"/>
                <w:szCs w:val="24"/>
              </w:rPr>
            </w:pP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是否依法纳税</w:t>
            </w:r>
          </w:p>
        </w:tc>
        <w:tc>
          <w:tcPr>
            <w:tcW w:w="2119" w:type="dxa"/>
            <w:noWrap w:val="0"/>
            <w:vAlign w:val="center"/>
          </w:tcPr>
          <w:p>
            <w:pPr>
              <w:spacing w:line="240" w:lineRule="auto"/>
              <w:jc w:val="center"/>
              <w:rPr>
                <w:rFonts w:ascii="宋体" w:hAnsi="宋体" w:cs="宋体"/>
                <w:sz w:val="24"/>
                <w:szCs w:val="24"/>
              </w:rPr>
            </w:pPr>
          </w:p>
        </w:tc>
        <w:tc>
          <w:tcPr>
            <w:tcW w:w="192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是否参加社保</w:t>
            </w:r>
          </w:p>
        </w:tc>
        <w:tc>
          <w:tcPr>
            <w:tcW w:w="2756" w:type="dxa"/>
            <w:noWrap w:val="0"/>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71" w:hRule="atLeast"/>
        </w:trPr>
        <w:tc>
          <w:tcPr>
            <w:tcW w:w="645" w:type="dxa"/>
            <w:vMerge w:val="continue"/>
            <w:noWrap w:val="0"/>
            <w:vAlign w:val="center"/>
          </w:tcPr>
          <w:p>
            <w:pPr>
              <w:spacing w:line="240" w:lineRule="auto"/>
              <w:jc w:val="center"/>
              <w:rPr>
                <w:rFonts w:ascii="宋体" w:hAnsi="宋体" w:cs="宋体"/>
                <w:sz w:val="24"/>
                <w:szCs w:val="24"/>
              </w:rPr>
            </w:pPr>
          </w:p>
        </w:tc>
        <w:tc>
          <w:tcPr>
            <w:tcW w:w="1800" w:type="dxa"/>
            <w:noWrap w:val="0"/>
            <w:vAlign w:val="center"/>
          </w:tcPr>
          <w:p>
            <w:pPr>
              <w:spacing w:line="240" w:lineRule="auto"/>
              <w:jc w:val="center"/>
              <w:rPr>
                <w:rFonts w:ascii="宋体" w:hAnsi="宋体" w:cs="宋体"/>
                <w:sz w:val="24"/>
                <w:szCs w:val="24"/>
              </w:rPr>
            </w:pPr>
            <w:r>
              <w:rPr>
                <w:rFonts w:hint="eastAsia" w:ascii="宋体" w:hAnsi="宋体" w:cs="宋体"/>
                <w:sz w:val="24"/>
                <w:szCs w:val="24"/>
              </w:rPr>
              <w:t>近三年公司</w:t>
            </w:r>
          </w:p>
          <w:p>
            <w:pPr>
              <w:spacing w:line="240" w:lineRule="auto"/>
              <w:jc w:val="center"/>
              <w:rPr>
                <w:rFonts w:ascii="宋体" w:hAnsi="宋体" w:cs="宋体"/>
                <w:sz w:val="24"/>
                <w:szCs w:val="24"/>
              </w:rPr>
            </w:pPr>
            <w:r>
              <w:rPr>
                <w:rFonts w:hint="eastAsia" w:ascii="宋体" w:hAnsi="宋体" w:cs="宋体"/>
                <w:sz w:val="24"/>
                <w:szCs w:val="24"/>
              </w:rPr>
              <w:t>业绩、信誉</w:t>
            </w:r>
          </w:p>
        </w:tc>
        <w:tc>
          <w:tcPr>
            <w:tcW w:w="6795" w:type="dxa"/>
            <w:gridSpan w:val="3"/>
            <w:noWrap w:val="0"/>
            <w:vAlign w:val="center"/>
          </w:tcPr>
          <w:p>
            <w:pPr>
              <w:spacing w:line="240" w:lineRule="auto"/>
              <w:rPr>
                <w:rFonts w:ascii="宋体" w:hAnsi="宋体" w:cs="宋体"/>
                <w:sz w:val="24"/>
                <w:szCs w:val="24"/>
              </w:rPr>
            </w:pPr>
            <w:r>
              <w:rPr>
                <w:rFonts w:hint="eastAsia" w:ascii="宋体" w:hAnsi="宋体" w:cs="宋体"/>
                <w:sz w:val="24"/>
                <w:szCs w:val="24"/>
              </w:rPr>
              <w:t>合同总额：     万元，合同履行情况：</w:t>
            </w:r>
          </w:p>
          <w:p>
            <w:pPr>
              <w:spacing w:line="240" w:lineRule="auto"/>
              <w:jc w:val="center"/>
              <w:rPr>
                <w:rFonts w:ascii="宋体" w:hAnsi="宋体" w:cs="宋体"/>
                <w:sz w:val="24"/>
                <w:szCs w:val="24"/>
              </w:rPr>
            </w:pPr>
          </w:p>
          <w:p>
            <w:pPr>
              <w:spacing w:line="24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784" w:hRule="atLeast"/>
        </w:trPr>
        <w:tc>
          <w:tcPr>
            <w:tcW w:w="645" w:type="dxa"/>
            <w:vMerge w:val="continue"/>
            <w:noWrap w:val="0"/>
            <w:vAlign w:val="center"/>
          </w:tcPr>
          <w:p>
            <w:pPr>
              <w:spacing w:line="240" w:lineRule="auto"/>
              <w:jc w:val="center"/>
              <w:rPr>
                <w:rFonts w:ascii="宋体" w:hAnsi="宋体" w:cs="宋体"/>
                <w:sz w:val="24"/>
                <w:szCs w:val="24"/>
              </w:rPr>
            </w:pPr>
          </w:p>
        </w:tc>
        <w:tc>
          <w:tcPr>
            <w:tcW w:w="8595" w:type="dxa"/>
            <w:gridSpan w:val="4"/>
            <w:noWrap w:val="0"/>
            <w:vAlign w:val="top"/>
          </w:tcPr>
          <w:p>
            <w:pPr>
              <w:spacing w:line="240" w:lineRule="auto"/>
              <w:rPr>
                <w:rFonts w:ascii="宋体" w:hAnsi="宋体" w:cs="宋体"/>
                <w:sz w:val="24"/>
                <w:szCs w:val="24"/>
              </w:rPr>
            </w:pPr>
            <w:r>
              <w:rPr>
                <w:rFonts w:hint="eastAsia" w:ascii="宋体" w:hAnsi="宋体" w:cs="宋体"/>
                <w:sz w:val="24"/>
                <w:szCs w:val="24"/>
              </w:rPr>
              <w:t>单位优势及特点：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1" w:hRule="atLeast"/>
        </w:trPr>
        <w:tc>
          <w:tcPr>
            <w:tcW w:w="2445" w:type="dxa"/>
            <w:gridSpan w:val="2"/>
            <w:noWrap w:val="0"/>
            <w:vAlign w:val="center"/>
          </w:tcPr>
          <w:p>
            <w:pPr>
              <w:spacing w:line="240" w:lineRule="auto"/>
              <w:jc w:val="center"/>
              <w:rPr>
                <w:rFonts w:ascii="宋体" w:hAnsi="宋体" w:cs="宋体"/>
                <w:sz w:val="24"/>
                <w:szCs w:val="24"/>
              </w:rPr>
            </w:pPr>
            <w:r>
              <w:rPr>
                <w:rFonts w:hint="eastAsia" w:ascii="宋体" w:hAnsi="宋体" w:cs="宋体"/>
                <w:sz w:val="24"/>
                <w:szCs w:val="24"/>
              </w:rPr>
              <w:t>法定代表人签字</w:t>
            </w:r>
          </w:p>
        </w:tc>
        <w:tc>
          <w:tcPr>
            <w:tcW w:w="6795" w:type="dxa"/>
            <w:gridSpan w:val="3"/>
            <w:noWrap w:val="0"/>
            <w:vAlign w:val="center"/>
          </w:tcPr>
          <w:p>
            <w:pPr>
              <w:spacing w:line="240" w:lineRule="auto"/>
              <w:jc w:val="center"/>
              <w:rPr>
                <w:rFonts w:ascii="宋体" w:hAnsi="宋体" w:cs="宋体"/>
                <w:sz w:val="24"/>
                <w:szCs w:val="24"/>
              </w:rPr>
            </w:pPr>
            <w:r>
              <w:rPr>
                <w:rFonts w:hint="eastAsia" w:ascii="宋体" w:hAnsi="宋体" w:cs="宋体"/>
                <w:sz w:val="24"/>
                <w:szCs w:val="24"/>
              </w:rPr>
              <w:t>（单位公章）</w:t>
            </w:r>
          </w:p>
          <w:p>
            <w:pPr>
              <w:spacing w:line="240" w:lineRule="auto"/>
              <w:jc w:val="right"/>
              <w:rPr>
                <w:rFonts w:ascii="宋体" w:hAnsi="宋体" w:cs="宋体"/>
                <w:sz w:val="24"/>
                <w:szCs w:val="24"/>
              </w:rPr>
            </w:pPr>
            <w:r>
              <w:rPr>
                <w:rFonts w:hint="eastAsia" w:ascii="宋体" w:hAnsi="宋体" w:cs="宋体"/>
                <w:sz w:val="24"/>
                <w:szCs w:val="24"/>
              </w:rPr>
              <w:t>年   月   日</w:t>
            </w:r>
          </w:p>
        </w:tc>
      </w:tr>
    </w:tbl>
    <w:p>
      <w:pPr>
        <w:pStyle w:val="42"/>
        <w:spacing w:before="0" w:beforeAutospacing="0" w:after="0" w:afterAutospacing="0"/>
        <w:rPr>
          <w:rFonts w:cs="宋体"/>
          <w:snapToGrid w:val="0"/>
        </w:rPr>
      </w:pPr>
      <w:r>
        <w:rPr>
          <w:rFonts w:hint="eastAsia" w:cs="宋体"/>
          <w:snapToGrid w:val="0"/>
        </w:rPr>
        <w:t>说明：本表后应附有单位简介。</w:t>
      </w:r>
    </w:p>
    <w:p>
      <w:pPr>
        <w:snapToGrid w:val="0"/>
        <w:rPr>
          <w:rFonts w:ascii="宋体" w:hAnsi="宋体" w:cs="宋体"/>
          <w:sz w:val="24"/>
          <w:szCs w:val="24"/>
        </w:rPr>
      </w:pPr>
    </w:p>
    <w:p>
      <w:pPr>
        <w:snapToGrid w:val="0"/>
        <w:rPr>
          <w:rFonts w:ascii="宋体" w:hAnsi="宋体" w:cs="宋体"/>
          <w:spacing w:val="20"/>
          <w:sz w:val="24"/>
          <w:szCs w:val="24"/>
          <w:u w:val="single"/>
        </w:rPr>
      </w:pPr>
      <w:r>
        <w:rPr>
          <w:rFonts w:hint="eastAsia" w:ascii="宋体" w:hAnsi="宋体" w:cs="宋体"/>
          <w:sz w:val="24"/>
          <w:szCs w:val="24"/>
        </w:rPr>
        <w:t>被授权人签字（或盖章）</w:t>
      </w:r>
      <w:r>
        <w:rPr>
          <w:rFonts w:hint="eastAsia" w:ascii="宋体" w:hAnsi="宋体" w:cs="宋体"/>
          <w:spacing w:val="20"/>
          <w:sz w:val="24"/>
          <w:szCs w:val="24"/>
        </w:rPr>
        <w:t>：</w:t>
      </w:r>
      <w:r>
        <w:rPr>
          <w:rFonts w:hint="eastAsia" w:ascii="宋体" w:hAnsi="宋体" w:cs="宋体"/>
          <w:spacing w:val="20"/>
          <w:sz w:val="24"/>
          <w:szCs w:val="24"/>
          <w:u w:val="single"/>
        </w:rPr>
        <w:t xml:space="preserve">        </w:t>
      </w:r>
    </w:p>
    <w:p>
      <w:pPr>
        <w:snapToGrid w:val="0"/>
        <w:rPr>
          <w:rFonts w:ascii="宋体" w:hAnsi="宋体" w:cs="宋体"/>
          <w:b/>
          <w:sz w:val="24"/>
        </w:rPr>
      </w:pPr>
      <w:r>
        <w:rPr>
          <w:rFonts w:hint="eastAsia" w:hAnsi="宋体" w:cs="宋体"/>
          <w:sz w:val="24"/>
          <w:szCs w:val="24"/>
        </w:rPr>
        <w:t>投标人公章：                           年    月    日</w:t>
      </w:r>
      <w:r>
        <w:rPr>
          <w:rFonts w:hAnsi="宋体" w:cs="宋体"/>
          <w:sz w:val="24"/>
          <w:szCs w:val="24"/>
        </w:rPr>
        <w:br w:type="page"/>
      </w:r>
      <w:r>
        <w:rPr>
          <w:rFonts w:hint="eastAsia" w:ascii="宋体" w:hAnsi="宋体" w:cs="宋体"/>
          <w:b/>
          <w:sz w:val="24"/>
        </w:rPr>
        <w:t>7、商务响应表</w:t>
      </w:r>
    </w:p>
    <w:p>
      <w:pPr>
        <w:snapToGrid w:val="0"/>
        <w:jc w:val="center"/>
        <w:rPr>
          <w:rFonts w:ascii="宋体" w:hAnsi="宋体" w:cs="宋体"/>
          <w:b/>
          <w:bCs/>
          <w:sz w:val="28"/>
          <w:szCs w:val="28"/>
          <w:u w:val="single"/>
        </w:rPr>
      </w:pPr>
      <w:r>
        <w:rPr>
          <w:rFonts w:hint="eastAsia" w:ascii="宋体" w:hAnsi="宋体" w:cs="宋体"/>
          <w:b/>
          <w:bCs/>
          <w:sz w:val="28"/>
          <w:szCs w:val="28"/>
        </w:rPr>
        <w:t>商务响应表</w:t>
      </w:r>
    </w:p>
    <w:tbl>
      <w:tblPr>
        <w:tblStyle w:val="46"/>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jc w:val="center"/>
              <w:rPr>
                <w:rFonts w:ascii="宋体" w:hAnsi="宋体" w:cs="宋体"/>
                <w:sz w:val="24"/>
                <w:szCs w:val="24"/>
              </w:rPr>
            </w:pPr>
            <w:r>
              <w:rPr>
                <w:rFonts w:hint="eastAsia" w:ascii="宋体" w:hAnsi="宋体" w:cs="宋体"/>
                <w:sz w:val="24"/>
                <w:szCs w:val="24"/>
              </w:rPr>
              <w:t>序号</w:t>
            </w:r>
          </w:p>
        </w:tc>
        <w:tc>
          <w:tcPr>
            <w:tcW w:w="3086" w:type="dxa"/>
            <w:noWrap w:val="0"/>
            <w:vAlign w:val="top"/>
          </w:tcPr>
          <w:p>
            <w:pPr>
              <w:spacing w:before="240" w:after="240"/>
              <w:jc w:val="center"/>
              <w:rPr>
                <w:rFonts w:ascii="宋体" w:hAnsi="宋体" w:cs="宋体"/>
                <w:sz w:val="24"/>
                <w:szCs w:val="24"/>
              </w:rPr>
            </w:pPr>
            <w:r>
              <w:rPr>
                <w:rFonts w:hint="eastAsia" w:ascii="宋体" w:hAnsi="宋体" w:cs="宋体"/>
                <w:sz w:val="24"/>
                <w:szCs w:val="24"/>
              </w:rPr>
              <w:t>招标文件的规定</w:t>
            </w:r>
          </w:p>
        </w:tc>
        <w:tc>
          <w:tcPr>
            <w:tcW w:w="3086" w:type="dxa"/>
            <w:noWrap w:val="0"/>
            <w:vAlign w:val="top"/>
          </w:tcPr>
          <w:p>
            <w:pPr>
              <w:spacing w:before="240" w:after="240"/>
              <w:jc w:val="center"/>
              <w:rPr>
                <w:rFonts w:ascii="宋体" w:hAnsi="宋体" w:cs="宋体"/>
                <w:sz w:val="24"/>
                <w:szCs w:val="24"/>
              </w:rPr>
            </w:pPr>
            <w:r>
              <w:rPr>
                <w:rFonts w:hint="eastAsia" w:ascii="宋体" w:hAnsi="宋体" w:cs="宋体"/>
                <w:sz w:val="24"/>
                <w:szCs w:val="24"/>
              </w:rPr>
              <w:t>投标文件的相应</w:t>
            </w:r>
          </w:p>
        </w:tc>
        <w:tc>
          <w:tcPr>
            <w:tcW w:w="1411" w:type="dxa"/>
            <w:noWrap w:val="0"/>
            <w:vAlign w:val="top"/>
          </w:tcPr>
          <w:p>
            <w:pPr>
              <w:spacing w:before="240" w:after="240"/>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rPr>
                <w:rFonts w:ascii="宋体" w:hAnsi="宋体" w:cs="宋体"/>
                <w:sz w:val="24"/>
                <w:szCs w:val="24"/>
              </w:rPr>
            </w:pPr>
          </w:p>
        </w:tc>
        <w:tc>
          <w:tcPr>
            <w:tcW w:w="3086" w:type="dxa"/>
            <w:noWrap w:val="0"/>
            <w:vAlign w:val="top"/>
          </w:tcPr>
          <w:p>
            <w:pPr>
              <w:spacing w:before="240" w:after="240"/>
              <w:rPr>
                <w:rFonts w:ascii="宋体" w:hAnsi="宋体" w:cs="宋体"/>
                <w:sz w:val="24"/>
                <w:szCs w:val="24"/>
              </w:rPr>
            </w:pPr>
          </w:p>
        </w:tc>
        <w:tc>
          <w:tcPr>
            <w:tcW w:w="3086" w:type="dxa"/>
            <w:noWrap w:val="0"/>
            <w:vAlign w:val="top"/>
          </w:tcPr>
          <w:p>
            <w:pPr>
              <w:spacing w:before="240" w:after="240"/>
              <w:rPr>
                <w:rFonts w:ascii="宋体" w:hAnsi="宋体" w:cs="宋体"/>
                <w:sz w:val="24"/>
                <w:szCs w:val="24"/>
              </w:rPr>
            </w:pPr>
          </w:p>
        </w:tc>
        <w:tc>
          <w:tcPr>
            <w:tcW w:w="1411" w:type="dxa"/>
            <w:noWrap w:val="0"/>
            <w:vAlign w:val="top"/>
          </w:tcPr>
          <w:p>
            <w:pPr>
              <w:spacing w:before="240" w:after="24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rPr>
                <w:rFonts w:ascii="宋体" w:hAnsi="宋体" w:cs="宋体"/>
                <w:sz w:val="24"/>
                <w:szCs w:val="24"/>
              </w:rPr>
            </w:pPr>
          </w:p>
        </w:tc>
        <w:tc>
          <w:tcPr>
            <w:tcW w:w="3086" w:type="dxa"/>
            <w:noWrap w:val="0"/>
            <w:vAlign w:val="top"/>
          </w:tcPr>
          <w:p>
            <w:pPr>
              <w:spacing w:before="240" w:after="240"/>
              <w:rPr>
                <w:rFonts w:ascii="宋体" w:hAnsi="宋体" w:cs="宋体"/>
                <w:sz w:val="24"/>
                <w:szCs w:val="24"/>
              </w:rPr>
            </w:pPr>
          </w:p>
        </w:tc>
        <w:tc>
          <w:tcPr>
            <w:tcW w:w="3086" w:type="dxa"/>
            <w:noWrap w:val="0"/>
            <w:vAlign w:val="top"/>
          </w:tcPr>
          <w:p>
            <w:pPr>
              <w:spacing w:before="240" w:after="240"/>
              <w:rPr>
                <w:rFonts w:ascii="宋体" w:hAnsi="宋体" w:cs="宋体"/>
                <w:sz w:val="24"/>
                <w:szCs w:val="24"/>
              </w:rPr>
            </w:pPr>
          </w:p>
        </w:tc>
        <w:tc>
          <w:tcPr>
            <w:tcW w:w="1411" w:type="dxa"/>
            <w:noWrap w:val="0"/>
            <w:vAlign w:val="top"/>
          </w:tcPr>
          <w:p>
            <w:pPr>
              <w:spacing w:before="240" w:after="24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rPr>
                <w:rFonts w:ascii="宋体" w:hAnsi="宋体" w:cs="宋体"/>
                <w:sz w:val="24"/>
                <w:szCs w:val="24"/>
              </w:rPr>
            </w:pPr>
          </w:p>
        </w:tc>
        <w:tc>
          <w:tcPr>
            <w:tcW w:w="3086" w:type="dxa"/>
            <w:noWrap w:val="0"/>
            <w:vAlign w:val="top"/>
          </w:tcPr>
          <w:p>
            <w:pPr>
              <w:spacing w:before="240" w:after="240"/>
              <w:rPr>
                <w:rFonts w:ascii="宋体" w:hAnsi="宋体" w:cs="宋体"/>
                <w:sz w:val="24"/>
                <w:szCs w:val="24"/>
              </w:rPr>
            </w:pPr>
          </w:p>
        </w:tc>
        <w:tc>
          <w:tcPr>
            <w:tcW w:w="3086" w:type="dxa"/>
            <w:noWrap w:val="0"/>
            <w:vAlign w:val="top"/>
          </w:tcPr>
          <w:p>
            <w:pPr>
              <w:spacing w:before="240" w:after="240"/>
              <w:rPr>
                <w:rFonts w:ascii="宋体" w:hAnsi="宋体" w:cs="宋体"/>
                <w:sz w:val="24"/>
                <w:szCs w:val="24"/>
              </w:rPr>
            </w:pPr>
          </w:p>
        </w:tc>
        <w:tc>
          <w:tcPr>
            <w:tcW w:w="1411" w:type="dxa"/>
            <w:noWrap w:val="0"/>
            <w:vAlign w:val="top"/>
          </w:tcPr>
          <w:p>
            <w:pPr>
              <w:spacing w:before="240" w:after="240"/>
              <w:rPr>
                <w:rFonts w:ascii="宋体" w:hAnsi="宋体" w:cs="宋体"/>
                <w:sz w:val="24"/>
                <w:szCs w:val="24"/>
              </w:rPr>
            </w:pPr>
          </w:p>
        </w:tc>
      </w:tr>
    </w:tbl>
    <w:p>
      <w:pPr>
        <w:pStyle w:val="17"/>
        <w:spacing w:line="360" w:lineRule="auto"/>
        <w:ind w:left="141" w:leftChars="67"/>
        <w:jc w:val="left"/>
        <w:rPr>
          <w:rFonts w:cs="宋体"/>
          <w:sz w:val="21"/>
          <w:szCs w:val="21"/>
        </w:rPr>
      </w:pPr>
      <w:r>
        <w:rPr>
          <w:rFonts w:hint="eastAsia" w:cs="宋体"/>
          <w:sz w:val="24"/>
          <w:szCs w:val="24"/>
        </w:rPr>
        <w:t>注：投标人的投标文件（除技术规格部分）与招标文件之规定存在偏离的，应在此表中如实说明。未在上表中说明的，将被认为完全响应招标文件的规定。</w:t>
      </w:r>
    </w:p>
    <w:p>
      <w:pPr>
        <w:pStyle w:val="17"/>
        <w:spacing w:line="360" w:lineRule="auto"/>
        <w:rPr>
          <w:rFonts w:cs="宋体"/>
          <w:sz w:val="21"/>
          <w:szCs w:val="21"/>
        </w:rPr>
      </w:pPr>
    </w:p>
    <w:p>
      <w:pPr>
        <w:snapToGrid w:val="0"/>
        <w:rPr>
          <w:rFonts w:ascii="宋体" w:hAnsi="宋体" w:cs="宋体"/>
          <w:spacing w:val="20"/>
          <w:sz w:val="24"/>
          <w:u w:val="single"/>
        </w:rPr>
      </w:pPr>
      <w:r>
        <w:rPr>
          <w:rFonts w:hint="eastAsia" w:ascii="宋体" w:hAnsi="宋体" w:cs="宋体"/>
          <w:sz w:val="24"/>
        </w:rPr>
        <w:t>被授权人签字（或盖章）</w:t>
      </w:r>
      <w:r>
        <w:rPr>
          <w:rFonts w:hint="eastAsia" w:ascii="宋体" w:hAnsi="宋体" w:cs="宋体"/>
          <w:spacing w:val="20"/>
          <w:sz w:val="24"/>
        </w:rPr>
        <w:t>：</w:t>
      </w:r>
      <w:r>
        <w:rPr>
          <w:rFonts w:hint="eastAsia" w:ascii="宋体" w:hAnsi="宋体" w:cs="宋体"/>
          <w:spacing w:val="20"/>
          <w:sz w:val="24"/>
          <w:u w:val="single"/>
        </w:rPr>
        <w:t xml:space="preserve">        </w:t>
      </w:r>
    </w:p>
    <w:p>
      <w:pPr>
        <w:snapToGrid w:val="0"/>
        <w:jc w:val="left"/>
        <w:rPr>
          <w:rFonts w:ascii="宋体" w:hAnsi="宋体" w:cs="宋体"/>
          <w:b/>
          <w:sz w:val="24"/>
        </w:rPr>
      </w:pPr>
      <w:r>
        <w:rPr>
          <w:rFonts w:hint="eastAsia" w:hAnsi="宋体" w:cs="宋体"/>
          <w:sz w:val="24"/>
        </w:rPr>
        <w:t>投标人公章：                                   年    月    日</w:t>
      </w:r>
      <w:r>
        <w:rPr>
          <w:rFonts w:hint="eastAsia" w:ascii="宋体" w:hAnsi="宋体" w:cs="宋体"/>
          <w:szCs w:val="21"/>
        </w:rPr>
        <w:br w:type="page"/>
      </w:r>
      <w:bookmarkEnd w:id="67"/>
      <w:r>
        <w:rPr>
          <w:rFonts w:hint="eastAsia" w:ascii="宋体" w:hAnsi="宋体" w:cs="宋体"/>
          <w:b/>
          <w:sz w:val="24"/>
        </w:rPr>
        <w:t>8、中小企业声明函（格式见附件）、残疾人福利性单位声明函（格式见附件）及其他符合政策性加分条件的承诺函及证明材料</w:t>
      </w:r>
    </w:p>
    <w:p>
      <w:pPr>
        <w:snapToGrid w:val="0"/>
        <w:jc w:val="left"/>
        <w:rPr>
          <w:rFonts w:ascii="宋体" w:hAnsi="宋体" w:cs="宋体"/>
          <w:b/>
          <w:sz w:val="24"/>
        </w:rPr>
      </w:pPr>
    </w:p>
    <w:p>
      <w:pPr>
        <w:pStyle w:val="25"/>
        <w:snapToGrid w:val="0"/>
        <w:jc w:val="center"/>
        <w:rPr>
          <w:rFonts w:hAnsi="宋体" w:cs="宋体"/>
          <w:b/>
          <w:sz w:val="32"/>
          <w:szCs w:val="32"/>
        </w:rPr>
      </w:pPr>
      <w:r>
        <w:rPr>
          <w:rFonts w:hint="eastAsia" w:hAnsi="宋体" w:cs="宋体"/>
          <w:b/>
          <w:sz w:val="32"/>
          <w:szCs w:val="32"/>
        </w:rPr>
        <w:t>中小企业声明函</w:t>
      </w:r>
    </w:p>
    <w:p>
      <w:pPr>
        <w:pStyle w:val="25"/>
        <w:snapToGrid w:val="0"/>
        <w:ind w:firstLine="480" w:firstLineChars="200"/>
        <w:rPr>
          <w:rFonts w:hAnsi="宋体" w:cs="宋体"/>
          <w:sz w:val="24"/>
          <w:szCs w:val="24"/>
        </w:rPr>
      </w:pPr>
      <w:r>
        <w:rPr>
          <w:rFonts w:hint="eastAsia" w:hAnsi="宋体" w:cs="宋体"/>
          <w:sz w:val="24"/>
        </w:rPr>
        <w:t>本单位郑重声明，</w:t>
      </w:r>
      <w:r>
        <w:rPr>
          <w:rFonts w:hint="eastAsia" w:hAnsi="宋体" w:cs="宋体"/>
          <w:sz w:val="24"/>
          <w:szCs w:val="24"/>
        </w:rPr>
        <w:t>根据《政府采购促进中小企业发展暂行办法》(财库[2011]181号文件的规定，本公司为</w:t>
      </w:r>
      <w:r>
        <w:rPr>
          <w:rFonts w:hint="eastAsia" w:hAnsi="宋体" w:cs="宋体"/>
          <w:sz w:val="24"/>
          <w:szCs w:val="24"/>
          <w:u w:val="single"/>
        </w:rPr>
        <w:t xml:space="preserve">    </w:t>
      </w:r>
      <w:r>
        <w:rPr>
          <w:rFonts w:hint="eastAsia" w:hAnsi="宋体" w:cs="宋体"/>
          <w:sz w:val="24"/>
          <w:szCs w:val="24"/>
        </w:rPr>
        <w:t>型（中、小、微）企业。本公司同时满足以下条件：</w:t>
      </w:r>
    </w:p>
    <w:p>
      <w:pPr>
        <w:pStyle w:val="25"/>
        <w:snapToGrid w:val="0"/>
        <w:ind w:firstLine="480" w:firstLineChars="200"/>
        <w:rPr>
          <w:rFonts w:hAnsi="宋体" w:cs="宋体"/>
          <w:sz w:val="24"/>
          <w:szCs w:val="24"/>
        </w:rPr>
      </w:pPr>
      <w:r>
        <w:rPr>
          <w:rFonts w:hint="eastAsia" w:hAnsi="宋体" w:cs="宋体"/>
          <w:sz w:val="24"/>
          <w:szCs w:val="24"/>
        </w:rPr>
        <w:t>（一）符合中小企业划分标准。</w:t>
      </w:r>
    </w:p>
    <w:p>
      <w:pPr>
        <w:pStyle w:val="25"/>
        <w:snapToGrid w:val="0"/>
        <w:ind w:firstLine="480" w:firstLineChars="200"/>
        <w:rPr>
          <w:rFonts w:hAnsi="宋体" w:cs="宋体"/>
          <w:sz w:val="24"/>
          <w:szCs w:val="24"/>
        </w:rPr>
      </w:pPr>
      <w:r>
        <w:rPr>
          <w:rFonts w:hint="eastAsia" w:hAnsi="宋体" w:cs="宋体"/>
          <w:sz w:val="24"/>
          <w:szCs w:val="24"/>
        </w:rPr>
        <w:t>（二）提供本企业制造的货物、承担的工程或者服务，或者提供其他中小企业制造的货物。本项所称货物不包括使用大型企业注册商标的货物。</w:t>
      </w:r>
    </w:p>
    <w:p>
      <w:pPr>
        <w:pStyle w:val="25"/>
        <w:snapToGrid w:val="0"/>
        <w:ind w:firstLine="480" w:firstLineChars="200"/>
        <w:rPr>
          <w:rFonts w:hAnsi="宋体" w:cs="宋体"/>
          <w:sz w:val="24"/>
          <w:szCs w:val="24"/>
        </w:rPr>
      </w:pPr>
      <w:r>
        <w:rPr>
          <w:rFonts w:hint="eastAsia" w:hAnsi="宋体" w:cs="宋体"/>
          <w:sz w:val="24"/>
          <w:szCs w:val="24"/>
        </w:rPr>
        <w:t>（三）本公司参加</w:t>
      </w:r>
      <w:r>
        <w:rPr>
          <w:rFonts w:hint="eastAsia" w:hAnsi="宋体" w:cs="宋体"/>
          <w:sz w:val="24"/>
          <w:szCs w:val="24"/>
          <w:u w:val="single"/>
        </w:rPr>
        <w:t xml:space="preserve">                                  </w:t>
      </w:r>
      <w:r>
        <w:rPr>
          <w:rFonts w:hint="eastAsia" w:hAnsi="宋体" w:cs="宋体"/>
          <w:sz w:val="24"/>
          <w:szCs w:val="24"/>
        </w:rPr>
        <w:t>项目采购活动，由本公司承担工程，提供服务。本公司对上述声明的真实性负责，如有虚假，将依法承担责任。</w:t>
      </w:r>
    </w:p>
    <w:p>
      <w:pPr>
        <w:pStyle w:val="25"/>
        <w:snapToGrid w:val="0"/>
        <w:ind w:firstLine="480" w:firstLineChars="200"/>
        <w:rPr>
          <w:rFonts w:hAnsi="宋体" w:cs="宋体"/>
          <w:sz w:val="24"/>
          <w:szCs w:val="24"/>
        </w:rPr>
      </w:pPr>
    </w:p>
    <w:p>
      <w:pPr>
        <w:pStyle w:val="25"/>
        <w:snapToGrid w:val="0"/>
        <w:ind w:firstLine="480" w:firstLineChars="200"/>
        <w:rPr>
          <w:rFonts w:hAnsi="宋体" w:cs="宋体"/>
          <w:sz w:val="24"/>
          <w:szCs w:val="24"/>
        </w:rPr>
      </w:pPr>
      <w:r>
        <w:rPr>
          <w:rFonts w:hint="eastAsia" w:hAnsi="宋体" w:cs="宋体"/>
          <w:sz w:val="24"/>
          <w:szCs w:val="24"/>
        </w:rPr>
        <w:t xml:space="preserve">                                              投标人（盖章）</w:t>
      </w:r>
    </w:p>
    <w:p>
      <w:pPr>
        <w:pStyle w:val="25"/>
        <w:snapToGrid w:val="0"/>
        <w:ind w:firstLine="480" w:firstLineChars="200"/>
        <w:rPr>
          <w:rFonts w:hAnsi="宋体" w:cs="宋体"/>
          <w:sz w:val="24"/>
          <w:szCs w:val="24"/>
        </w:rPr>
      </w:pPr>
      <w:r>
        <w:rPr>
          <w:rFonts w:hint="eastAsia" w:hAnsi="宋体" w:cs="宋体"/>
          <w:sz w:val="24"/>
          <w:szCs w:val="24"/>
        </w:rPr>
        <w:t xml:space="preserve">                                              日期：  年   月   日</w:t>
      </w:r>
    </w:p>
    <w:p>
      <w:pPr>
        <w:pStyle w:val="25"/>
        <w:snapToGrid w:val="0"/>
        <w:ind w:firstLine="480" w:firstLineChars="200"/>
        <w:rPr>
          <w:rFonts w:hAnsi="宋体" w:cs="宋体"/>
          <w:sz w:val="24"/>
          <w:szCs w:val="24"/>
        </w:rPr>
      </w:pPr>
    </w:p>
    <w:p>
      <w:pPr>
        <w:pStyle w:val="42"/>
        <w:spacing w:before="0" w:beforeAutospacing="0" w:after="0" w:afterAutospacing="0"/>
        <w:jc w:val="both"/>
        <w:rPr>
          <w:rFonts w:cs="宋体"/>
          <w:b/>
        </w:rPr>
      </w:pPr>
      <w:r>
        <w:rPr>
          <w:rFonts w:hint="eastAsia" w:cs="宋体"/>
          <w:b/>
        </w:rPr>
        <w:t>残疾人福利性单位声明函格式</w:t>
      </w:r>
    </w:p>
    <w:p>
      <w:pPr>
        <w:pStyle w:val="25"/>
        <w:snapToGrid w:val="0"/>
        <w:jc w:val="center"/>
        <w:rPr>
          <w:rFonts w:hAnsi="宋体" w:cs="宋体"/>
          <w:b/>
          <w:sz w:val="32"/>
          <w:szCs w:val="32"/>
        </w:rPr>
      </w:pPr>
      <w:r>
        <w:rPr>
          <w:rFonts w:hint="eastAsia" w:hAnsi="宋体" w:cs="宋体"/>
          <w:b/>
          <w:sz w:val="32"/>
          <w:szCs w:val="32"/>
        </w:rPr>
        <w:t>残疾人福利性单位声明函</w:t>
      </w:r>
    </w:p>
    <w:p>
      <w:pPr>
        <w:pStyle w:val="25"/>
        <w:snapToGrid w:val="0"/>
        <w:jc w:val="center"/>
        <w:rPr>
          <w:rFonts w:hAnsi="宋体" w:cs="宋体"/>
          <w:b/>
          <w:sz w:val="32"/>
          <w:szCs w:val="32"/>
        </w:rPr>
      </w:pPr>
    </w:p>
    <w:p>
      <w:pPr>
        <w:pStyle w:val="25"/>
        <w:snapToGrid w:val="0"/>
        <w:ind w:firstLine="480" w:firstLineChars="200"/>
        <w:rPr>
          <w:rFonts w:hAnsi="宋体" w:cs="宋体"/>
          <w:sz w:val="24"/>
          <w:szCs w:val="24"/>
        </w:rPr>
      </w:pPr>
      <w:r>
        <w:rPr>
          <w:rFonts w:hint="eastAsia" w:hAnsi="宋体" w:cs="宋体"/>
          <w:sz w:val="24"/>
        </w:rPr>
        <w:t>本单位郑重声明，根据《财政部 民政部 中国残疾人联合会关于促进残疾人就业政府采购政策的通知》（财库〔2017〕141号）的规定，本单位为符合条件的残疾人福利性单位，且</w:t>
      </w:r>
      <w:r>
        <w:rPr>
          <w:rFonts w:hint="eastAsia" w:hAnsi="宋体" w:cs="宋体"/>
          <w:sz w:val="24"/>
          <w:szCs w:val="24"/>
        </w:rPr>
        <w:t>本单位参加</w:t>
      </w:r>
      <w:r>
        <w:rPr>
          <w:rFonts w:hint="eastAsia" w:hAnsi="宋体" w:cs="宋体"/>
          <w:sz w:val="24"/>
          <w:szCs w:val="24"/>
          <w:u w:val="single"/>
        </w:rPr>
        <w:t xml:space="preserve">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项目采购活动提供本单位制造的货物（由本单位承担工程、提供服务），或者提供其他残疾人福利性单位制造的货物（不包括使用非残疾人福利性单位注册商标的货物）。</w:t>
      </w:r>
    </w:p>
    <w:p>
      <w:pPr>
        <w:pStyle w:val="25"/>
        <w:snapToGrid w:val="0"/>
        <w:ind w:firstLine="480" w:firstLineChars="200"/>
        <w:rPr>
          <w:rFonts w:hAnsi="宋体" w:cs="宋体"/>
          <w:sz w:val="24"/>
          <w:szCs w:val="24"/>
        </w:rPr>
      </w:pPr>
      <w:r>
        <w:rPr>
          <w:rFonts w:hint="eastAsia" w:hAnsi="宋体" w:cs="宋体"/>
          <w:sz w:val="24"/>
          <w:szCs w:val="24"/>
        </w:rPr>
        <w:t>本单位对上述声明的真实性负责。如有虚假，将依法承担相应责任。</w:t>
      </w:r>
    </w:p>
    <w:p>
      <w:pPr>
        <w:pStyle w:val="25"/>
        <w:snapToGrid w:val="0"/>
        <w:ind w:firstLine="480" w:firstLineChars="200"/>
        <w:rPr>
          <w:rFonts w:hAnsi="宋体" w:cs="宋体"/>
          <w:sz w:val="24"/>
          <w:szCs w:val="24"/>
        </w:rPr>
      </w:pPr>
    </w:p>
    <w:p>
      <w:pPr>
        <w:pStyle w:val="25"/>
        <w:snapToGrid w:val="0"/>
        <w:ind w:firstLine="480" w:firstLineChars="200"/>
        <w:rPr>
          <w:rFonts w:hAnsi="宋体" w:cs="宋体"/>
          <w:sz w:val="24"/>
          <w:szCs w:val="24"/>
        </w:rPr>
      </w:pPr>
    </w:p>
    <w:p>
      <w:pPr>
        <w:pStyle w:val="25"/>
        <w:snapToGrid w:val="0"/>
        <w:ind w:firstLine="480" w:firstLineChars="200"/>
        <w:rPr>
          <w:rFonts w:hAnsi="宋体" w:cs="宋体"/>
          <w:sz w:val="24"/>
          <w:szCs w:val="24"/>
        </w:rPr>
      </w:pPr>
      <w:r>
        <w:rPr>
          <w:rFonts w:hint="eastAsia" w:hAnsi="宋体" w:cs="宋体"/>
          <w:sz w:val="24"/>
          <w:szCs w:val="24"/>
        </w:rPr>
        <w:t xml:space="preserve">                                              投标人（盖章）</w:t>
      </w:r>
    </w:p>
    <w:p>
      <w:pPr>
        <w:pStyle w:val="25"/>
        <w:snapToGrid w:val="0"/>
        <w:ind w:firstLine="480" w:firstLineChars="200"/>
        <w:rPr>
          <w:rFonts w:hAnsi="宋体" w:cs="宋体"/>
          <w:sz w:val="24"/>
          <w:szCs w:val="24"/>
        </w:rPr>
      </w:pPr>
      <w:r>
        <w:rPr>
          <w:rFonts w:hint="eastAsia" w:hAnsi="宋体" w:cs="宋体"/>
          <w:sz w:val="24"/>
          <w:szCs w:val="24"/>
        </w:rPr>
        <w:t xml:space="preserve">                                              日期：  年   月   日</w:t>
      </w:r>
    </w:p>
    <w:p>
      <w:pPr>
        <w:snapToGrid w:val="0"/>
        <w:jc w:val="left"/>
        <w:rPr>
          <w:rFonts w:ascii="宋体" w:hAnsi="宋体" w:cs="宋体"/>
          <w:b/>
          <w:sz w:val="24"/>
        </w:rPr>
      </w:pPr>
    </w:p>
    <w:p>
      <w:pPr>
        <w:snapToGrid w:val="0"/>
        <w:rPr>
          <w:rFonts w:ascii="宋体" w:hAnsi="宋体" w:cs="宋体"/>
          <w:b/>
          <w:sz w:val="24"/>
        </w:rPr>
      </w:pPr>
      <w:r>
        <w:rPr>
          <w:rFonts w:hint="eastAsia" w:ascii="宋体" w:hAnsi="宋体" w:cs="宋体"/>
          <w:b/>
          <w:szCs w:val="21"/>
        </w:rPr>
        <w:br w:type="page"/>
      </w:r>
      <w:r>
        <w:rPr>
          <w:rFonts w:hint="eastAsia" w:ascii="宋体" w:hAnsi="宋体" w:cs="宋体"/>
          <w:b/>
          <w:sz w:val="24"/>
        </w:rPr>
        <w:t>9、投标产品详细清单（不含报价）</w:t>
      </w:r>
    </w:p>
    <w:p>
      <w:pPr>
        <w:ind w:firstLine="422" w:firstLineChars="200"/>
        <w:jc w:val="center"/>
        <w:rPr>
          <w:rFonts w:ascii="宋体" w:hAnsi="宋体"/>
          <w:b/>
          <w:szCs w:val="21"/>
        </w:rPr>
      </w:pPr>
      <w:r>
        <w:rPr>
          <w:rFonts w:hint="eastAsia" w:ascii="宋体" w:hAnsi="宋体"/>
          <w:b/>
          <w:szCs w:val="21"/>
        </w:rPr>
        <w:t>投标产品详细清单</w:t>
      </w:r>
    </w:p>
    <w:p>
      <w:pPr>
        <w:ind w:firstLine="420" w:firstLineChars="200"/>
        <w:rPr>
          <w:rFonts w:ascii="宋体" w:hAnsi="宋体"/>
          <w:szCs w:val="21"/>
        </w:rPr>
      </w:pPr>
      <w:r>
        <w:rPr>
          <w:rFonts w:hint="eastAsia" w:ascii="宋体" w:hAnsi="宋体"/>
          <w:szCs w:val="21"/>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序号</w:t>
            </w:r>
          </w:p>
        </w:tc>
        <w:tc>
          <w:tcPr>
            <w:tcW w:w="1801" w:type="dxa"/>
            <w:noWrap w:val="0"/>
            <w:vAlign w:val="center"/>
          </w:tcPr>
          <w:p>
            <w:pPr>
              <w:spacing w:after="60" w:afterLines="25" w:line="360" w:lineRule="exact"/>
              <w:jc w:val="center"/>
              <w:rPr>
                <w:rFonts w:ascii="宋体" w:hAnsi="宋体"/>
                <w:szCs w:val="21"/>
              </w:rPr>
            </w:pPr>
            <w:r>
              <w:rPr>
                <w:rFonts w:hint="eastAsia" w:ascii="宋体" w:hAnsi="宋体"/>
                <w:szCs w:val="21"/>
              </w:rPr>
              <w:t>设备名称</w:t>
            </w:r>
          </w:p>
        </w:tc>
        <w:tc>
          <w:tcPr>
            <w:tcW w:w="900" w:type="dxa"/>
            <w:noWrap w:val="0"/>
            <w:vAlign w:val="center"/>
          </w:tcPr>
          <w:p>
            <w:pPr>
              <w:spacing w:after="60" w:afterLines="25" w:line="360" w:lineRule="exact"/>
              <w:jc w:val="center"/>
              <w:rPr>
                <w:rFonts w:ascii="宋体" w:hAnsi="宋体"/>
                <w:szCs w:val="21"/>
              </w:rPr>
            </w:pPr>
            <w:r>
              <w:rPr>
                <w:rFonts w:hint="eastAsia" w:ascii="宋体" w:hAnsi="宋体"/>
                <w:szCs w:val="21"/>
              </w:rPr>
              <w:t>数量</w:t>
            </w:r>
          </w:p>
        </w:tc>
        <w:tc>
          <w:tcPr>
            <w:tcW w:w="1080" w:type="dxa"/>
            <w:noWrap w:val="0"/>
            <w:vAlign w:val="center"/>
          </w:tcPr>
          <w:p>
            <w:pPr>
              <w:spacing w:after="60" w:afterLines="25" w:line="360" w:lineRule="exact"/>
              <w:jc w:val="center"/>
              <w:rPr>
                <w:rFonts w:ascii="宋体" w:hAnsi="宋体"/>
                <w:szCs w:val="21"/>
              </w:rPr>
            </w:pPr>
            <w:r>
              <w:rPr>
                <w:rFonts w:hint="eastAsia" w:ascii="宋体" w:hAnsi="宋体"/>
                <w:szCs w:val="21"/>
              </w:rPr>
              <w:t>品牌</w:t>
            </w:r>
          </w:p>
        </w:tc>
        <w:tc>
          <w:tcPr>
            <w:tcW w:w="1260" w:type="dxa"/>
            <w:noWrap w:val="0"/>
            <w:vAlign w:val="center"/>
          </w:tcPr>
          <w:p>
            <w:pPr>
              <w:spacing w:after="60" w:afterLines="25" w:line="360" w:lineRule="exact"/>
              <w:jc w:val="center"/>
              <w:rPr>
                <w:rFonts w:ascii="宋体" w:hAnsi="宋体"/>
                <w:szCs w:val="21"/>
              </w:rPr>
            </w:pPr>
            <w:r>
              <w:rPr>
                <w:rFonts w:hint="eastAsia" w:ascii="宋体" w:hAnsi="宋体"/>
                <w:szCs w:val="21"/>
              </w:rPr>
              <w:t>规格型号</w:t>
            </w:r>
          </w:p>
        </w:tc>
        <w:tc>
          <w:tcPr>
            <w:tcW w:w="1620" w:type="dxa"/>
            <w:noWrap w:val="0"/>
            <w:vAlign w:val="center"/>
          </w:tcPr>
          <w:p>
            <w:pPr>
              <w:spacing w:after="60" w:afterLines="25" w:line="360" w:lineRule="exact"/>
              <w:jc w:val="center"/>
              <w:rPr>
                <w:rFonts w:ascii="宋体" w:hAnsi="宋体"/>
                <w:szCs w:val="21"/>
              </w:rPr>
            </w:pPr>
            <w:r>
              <w:rPr>
                <w:rFonts w:hint="eastAsia" w:ascii="宋体" w:hAnsi="宋体"/>
                <w:szCs w:val="21"/>
              </w:rPr>
              <w:t>性能及指标</w:t>
            </w:r>
          </w:p>
        </w:tc>
        <w:tc>
          <w:tcPr>
            <w:tcW w:w="1199" w:type="dxa"/>
            <w:noWrap w:val="0"/>
            <w:vAlign w:val="center"/>
          </w:tcPr>
          <w:p>
            <w:pPr>
              <w:spacing w:after="60" w:afterLines="25" w:line="360" w:lineRule="exact"/>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1</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2</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3</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4</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16" w:type="dxa"/>
            <w:noWrap w:val="0"/>
            <w:vAlign w:val="center"/>
          </w:tcPr>
          <w:p>
            <w:pPr>
              <w:spacing w:after="60" w:afterLines="25" w:line="360" w:lineRule="exact"/>
              <w:jc w:val="center"/>
              <w:rPr>
                <w:rFonts w:ascii="宋体" w:hAnsi="宋体"/>
                <w:szCs w:val="21"/>
              </w:rPr>
            </w:pPr>
            <w:r>
              <w:rPr>
                <w:rFonts w:ascii="宋体" w:hAnsi="宋体"/>
                <w:szCs w:val="21"/>
              </w:rPr>
              <w:t>…</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r>
              <w:rPr>
                <w:rFonts w:ascii="宋体" w:hAnsi="宋体"/>
                <w:szCs w:val="21"/>
              </w:rPr>
              <w:t>…</w:t>
            </w:r>
          </w:p>
        </w:tc>
      </w:tr>
    </w:tbl>
    <w:p>
      <w:pPr>
        <w:ind w:firstLine="420" w:firstLineChars="200"/>
        <w:rPr>
          <w:rFonts w:ascii="宋体" w:hAnsi="宋体"/>
          <w:szCs w:val="21"/>
        </w:rPr>
      </w:pPr>
      <w:r>
        <w:rPr>
          <w:rFonts w:hint="eastAsia" w:ascii="宋体" w:hAnsi="宋体"/>
          <w:szCs w:val="21"/>
        </w:rPr>
        <w:t>注：响应文件中必须明确主要设备的品牌、规格型号、性能指标等内容。</w:t>
      </w:r>
    </w:p>
    <w:p>
      <w:pPr>
        <w:jc w:val="left"/>
        <w:rPr>
          <w:rFonts w:ascii="宋体" w:hAnsi="宋体"/>
          <w:szCs w:val="21"/>
        </w:rPr>
      </w:pPr>
      <w:r>
        <w:rPr>
          <w:rFonts w:hint="eastAsia" w:ascii="宋体" w:hAnsi="宋体"/>
          <w:szCs w:val="21"/>
        </w:rPr>
        <w:t xml:space="preserve">  供应商代表（签名）：                         供应商（加盖公章）：</w:t>
      </w:r>
    </w:p>
    <w:p>
      <w:pPr>
        <w:ind w:firstLine="420" w:firstLineChars="200"/>
        <w:rPr>
          <w:rFonts w:ascii="宋体" w:hAnsi="宋体"/>
          <w:szCs w:val="21"/>
        </w:rPr>
      </w:pPr>
      <w:r>
        <w:rPr>
          <w:rFonts w:hint="eastAsia" w:ascii="宋体" w:hAnsi="宋体"/>
          <w:szCs w:val="21"/>
        </w:rPr>
        <w:t xml:space="preserve">                                          </w:t>
      </w:r>
    </w:p>
    <w:p>
      <w:pPr>
        <w:snapToGrid w:val="0"/>
        <w:jc w:val="right"/>
        <w:rPr>
          <w:rFonts w:ascii="宋体" w:hAnsi="宋体" w:cs="宋体"/>
          <w:b/>
          <w:bCs/>
          <w:sz w:val="24"/>
        </w:rPr>
      </w:pPr>
      <w:r>
        <w:rPr>
          <w:rFonts w:hint="eastAsia" w:ascii="宋体" w:hAnsi="宋体"/>
          <w:szCs w:val="21"/>
        </w:rPr>
        <w:t xml:space="preserve"> 日期：    年   月   日</w:t>
      </w:r>
    </w:p>
    <w:p>
      <w:pPr>
        <w:snapToGrid w:val="0"/>
        <w:jc w:val="left"/>
        <w:rPr>
          <w:rFonts w:ascii="宋体" w:hAnsi="宋体" w:cs="宋体"/>
          <w:sz w:val="24"/>
        </w:rPr>
      </w:pPr>
      <w:r>
        <w:rPr>
          <w:rFonts w:hint="eastAsia" w:ascii="宋体" w:hAnsi="宋体" w:cs="宋体"/>
          <w:b/>
          <w:bCs/>
          <w:sz w:val="24"/>
        </w:rPr>
        <w:t>技术响应表格式：</w:t>
      </w:r>
    </w:p>
    <w:p>
      <w:pPr>
        <w:snapToGrid w:val="0"/>
        <w:jc w:val="center"/>
        <w:rPr>
          <w:rFonts w:ascii="宋体" w:hAnsi="宋体" w:cs="宋体"/>
          <w:b/>
          <w:bCs/>
          <w:sz w:val="28"/>
          <w:szCs w:val="28"/>
          <w:u w:val="single"/>
        </w:rPr>
      </w:pPr>
      <w:r>
        <w:rPr>
          <w:rFonts w:hint="eastAsia" w:ascii="宋体" w:hAnsi="宋体" w:cs="宋体"/>
          <w:b/>
          <w:bCs/>
          <w:sz w:val="28"/>
          <w:szCs w:val="28"/>
        </w:rPr>
        <w:t>技术响应表</w:t>
      </w:r>
    </w:p>
    <w:tbl>
      <w:tblPr>
        <w:tblStyle w:val="46"/>
        <w:tblW w:w="0" w:type="auto"/>
        <w:tblInd w:w="1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2"/>
        <w:gridCol w:w="2475"/>
        <w:gridCol w:w="1583"/>
        <w:gridCol w:w="2070"/>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9" w:hRule="atLeast"/>
        </w:trPr>
        <w:tc>
          <w:tcPr>
            <w:tcW w:w="3907"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bookmarkStart w:id="68" w:name="_Toc406403001"/>
            <w:bookmarkStart w:id="69" w:name="_Toc377653976"/>
            <w:bookmarkStart w:id="70" w:name="_Toc406402957"/>
            <w:bookmarkStart w:id="71" w:name="_Toc402963128"/>
            <w:bookmarkStart w:id="72" w:name="_Toc401570314"/>
            <w:bookmarkStart w:id="73" w:name="_Toc377028057"/>
            <w:bookmarkStart w:id="74" w:name="_Toc377028119"/>
            <w:bookmarkStart w:id="75" w:name="_Toc382928118"/>
            <w:bookmarkStart w:id="76" w:name="_Toc382928236"/>
            <w:bookmarkStart w:id="77" w:name="_Toc385854156"/>
            <w:bookmarkStart w:id="78" w:name="_Toc402963095"/>
            <w:bookmarkStart w:id="79" w:name="_Toc385854110"/>
            <w:bookmarkStart w:id="80" w:name="_Toc381081903"/>
            <w:bookmarkStart w:id="81" w:name="_Toc401570290"/>
            <w:r>
              <w:rPr>
                <w:rFonts w:hint="eastAsia"/>
              </w:rPr>
              <w:t>招标文件要求</w:t>
            </w:r>
            <w:bookmarkEnd w:id="68"/>
            <w:bookmarkEnd w:id="69"/>
            <w:bookmarkEnd w:id="70"/>
            <w:bookmarkEnd w:id="71"/>
            <w:bookmarkEnd w:id="72"/>
            <w:bookmarkEnd w:id="73"/>
            <w:bookmarkEnd w:id="74"/>
            <w:bookmarkEnd w:id="75"/>
            <w:bookmarkEnd w:id="76"/>
            <w:bookmarkEnd w:id="77"/>
            <w:bookmarkEnd w:id="78"/>
            <w:bookmarkEnd w:id="79"/>
            <w:bookmarkEnd w:id="80"/>
            <w:bookmarkEnd w:id="81"/>
          </w:p>
        </w:tc>
        <w:tc>
          <w:tcPr>
            <w:tcW w:w="3653"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bookmarkStart w:id="82" w:name="_Toc401570315"/>
            <w:bookmarkStart w:id="83" w:name="_Toc406403002"/>
            <w:bookmarkStart w:id="84" w:name="_Toc382928237"/>
            <w:bookmarkStart w:id="85" w:name="_Toc382928119"/>
            <w:bookmarkStart w:id="86" w:name="_Toc402963129"/>
            <w:bookmarkStart w:id="87" w:name="_Toc377028120"/>
            <w:bookmarkStart w:id="88" w:name="_Toc402963096"/>
            <w:bookmarkStart w:id="89" w:name="_Toc377653977"/>
            <w:bookmarkStart w:id="90" w:name="_Toc381081904"/>
            <w:bookmarkStart w:id="91" w:name="_Toc401570291"/>
            <w:bookmarkStart w:id="92" w:name="_Toc406402958"/>
            <w:bookmarkStart w:id="93" w:name="_Toc377028058"/>
            <w:bookmarkStart w:id="94" w:name="_Toc385854157"/>
            <w:bookmarkStart w:id="95" w:name="_Toc385854111"/>
            <w:r>
              <w:rPr>
                <w:rFonts w:hint="eastAsia"/>
              </w:rPr>
              <w:t>投标文件响应</w:t>
            </w:r>
            <w:bookmarkEnd w:id="82"/>
            <w:bookmarkEnd w:id="83"/>
            <w:bookmarkEnd w:id="84"/>
            <w:bookmarkEnd w:id="85"/>
            <w:bookmarkEnd w:id="86"/>
            <w:bookmarkEnd w:id="87"/>
            <w:bookmarkEnd w:id="88"/>
            <w:bookmarkEnd w:id="89"/>
            <w:bookmarkEnd w:id="90"/>
            <w:bookmarkEnd w:id="91"/>
            <w:bookmarkEnd w:id="92"/>
            <w:bookmarkEnd w:id="93"/>
            <w:bookmarkEnd w:id="94"/>
            <w:bookmarkEnd w:id="95"/>
          </w:p>
        </w:tc>
        <w:tc>
          <w:tcPr>
            <w:tcW w:w="15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bookmarkStart w:id="96" w:name="_Toc382928120"/>
            <w:bookmarkStart w:id="97" w:name="_Toc377028059"/>
            <w:bookmarkStart w:id="98" w:name="_Toc382928238"/>
            <w:bookmarkStart w:id="99" w:name="_Toc406403003"/>
            <w:bookmarkStart w:id="100" w:name="_Toc401570292"/>
            <w:bookmarkStart w:id="101" w:name="_Toc401570316"/>
            <w:bookmarkStart w:id="102" w:name="_Toc402963097"/>
            <w:bookmarkStart w:id="103" w:name="_Toc381081905"/>
            <w:bookmarkStart w:id="104" w:name="_Toc385854158"/>
            <w:bookmarkStart w:id="105" w:name="_Toc402963130"/>
            <w:bookmarkStart w:id="106" w:name="_Toc385854112"/>
            <w:bookmarkStart w:id="107" w:name="_Toc377028121"/>
            <w:bookmarkStart w:id="108" w:name="_Toc377653978"/>
            <w:bookmarkStart w:id="109" w:name="_Toc406402959"/>
            <w:r>
              <w:rPr>
                <w:rFonts w:hint="eastAsia"/>
              </w:rPr>
              <w:t>偏离</w:t>
            </w:r>
            <w:r>
              <w:rPr>
                <w:rFonts w:hint="eastAsia"/>
              </w:rPr>
              <w:br w:type="textWrapping"/>
            </w:r>
            <w:r>
              <w:rPr>
                <w:rFonts w:hint="eastAsia"/>
              </w:rPr>
              <w:t>情况</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pPr>
            <w:bookmarkStart w:id="110" w:name="_Toc401570317"/>
            <w:bookmarkStart w:id="111" w:name="_Toc406403004"/>
            <w:bookmarkStart w:id="112" w:name="_Toc402963098"/>
            <w:bookmarkStart w:id="113" w:name="_Toc377028122"/>
            <w:bookmarkStart w:id="114" w:name="_Toc382928239"/>
            <w:bookmarkStart w:id="115" w:name="_Toc385854113"/>
            <w:bookmarkStart w:id="116" w:name="_Toc381081906"/>
            <w:bookmarkStart w:id="117" w:name="_Toc402963131"/>
            <w:bookmarkStart w:id="118" w:name="_Toc385854159"/>
            <w:bookmarkStart w:id="119" w:name="_Toc406402960"/>
            <w:bookmarkStart w:id="120" w:name="_Toc401570293"/>
            <w:bookmarkStart w:id="121" w:name="_Toc377653979"/>
            <w:bookmarkStart w:id="122" w:name="_Toc382928121"/>
            <w:bookmarkStart w:id="123" w:name="_Toc377028060"/>
            <w:r>
              <w:rPr>
                <w:rFonts w:hint="eastAsia"/>
              </w:rPr>
              <w:t>项目</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pPr>
            <w:bookmarkStart w:id="124" w:name="_Toc381081907"/>
            <w:bookmarkStart w:id="125" w:name="_Toc385854114"/>
            <w:bookmarkStart w:id="126" w:name="_Toc377028123"/>
            <w:bookmarkStart w:id="127" w:name="_Toc385854160"/>
            <w:bookmarkStart w:id="128" w:name="_Toc401570318"/>
            <w:bookmarkStart w:id="129" w:name="_Toc377653980"/>
            <w:bookmarkStart w:id="130" w:name="_Toc382928240"/>
            <w:bookmarkStart w:id="131" w:name="_Toc401570294"/>
            <w:bookmarkStart w:id="132" w:name="_Toc406402961"/>
            <w:bookmarkStart w:id="133" w:name="_Toc402963132"/>
            <w:bookmarkStart w:id="134" w:name="_Toc377028061"/>
            <w:bookmarkStart w:id="135" w:name="_Toc402963099"/>
            <w:bookmarkStart w:id="136" w:name="_Toc406403005"/>
            <w:bookmarkStart w:id="137" w:name="_Toc382928122"/>
            <w:r>
              <w:rPr>
                <w:rFonts w:hint="eastAsia"/>
              </w:rPr>
              <w:t>要求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pPr>
            <w:bookmarkStart w:id="138" w:name="_Toc382928123"/>
            <w:bookmarkStart w:id="139" w:name="_Toc382928241"/>
            <w:bookmarkStart w:id="140" w:name="_Toc402963133"/>
            <w:bookmarkStart w:id="141" w:name="_Toc401570295"/>
            <w:bookmarkStart w:id="142" w:name="_Toc406402962"/>
            <w:bookmarkStart w:id="143" w:name="_Toc401570319"/>
            <w:bookmarkStart w:id="144" w:name="_Toc402963100"/>
            <w:bookmarkStart w:id="145" w:name="_Toc406403006"/>
            <w:bookmarkStart w:id="146" w:name="_Toc377028062"/>
            <w:bookmarkStart w:id="147" w:name="_Toc385854161"/>
            <w:bookmarkStart w:id="148" w:name="_Toc381081908"/>
            <w:bookmarkStart w:id="149" w:name="_Toc377653981"/>
            <w:bookmarkStart w:id="150" w:name="_Toc385854115"/>
            <w:bookmarkStart w:id="151" w:name="_Toc377028124"/>
            <w:r>
              <w:rPr>
                <w:rFonts w:hint="eastAsia"/>
              </w:rPr>
              <w:t>设备名称</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pPr>
            <w:bookmarkStart w:id="152" w:name="_Toc381081909"/>
            <w:bookmarkStart w:id="153" w:name="_Toc385854116"/>
            <w:bookmarkStart w:id="154" w:name="_Toc406403007"/>
            <w:bookmarkStart w:id="155" w:name="_Toc401570320"/>
            <w:bookmarkStart w:id="156" w:name="_Toc382928242"/>
            <w:bookmarkStart w:id="157" w:name="_Toc382928124"/>
            <w:bookmarkStart w:id="158" w:name="_Toc401570296"/>
            <w:bookmarkStart w:id="159" w:name="_Toc406402963"/>
            <w:bookmarkStart w:id="160" w:name="_Toc377653982"/>
            <w:bookmarkStart w:id="161" w:name="_Toc402963134"/>
            <w:bookmarkStart w:id="162" w:name="_Toc377028125"/>
            <w:bookmarkStart w:id="163" w:name="_Toc385854162"/>
            <w:bookmarkStart w:id="164" w:name="_Toc402963101"/>
            <w:bookmarkStart w:id="165" w:name="_Toc377028063"/>
            <w:r>
              <w:rPr>
                <w:rFonts w:hint="eastAsia"/>
              </w:rPr>
              <w:t>性能及指标</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c>
        <w:tc>
          <w:tcPr>
            <w:tcW w:w="1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r>
    </w:tbl>
    <w:p>
      <w:pPr>
        <w:pStyle w:val="17"/>
        <w:spacing w:line="360" w:lineRule="auto"/>
        <w:jc w:val="left"/>
        <w:rPr>
          <w:rFonts w:cs="宋体"/>
          <w:sz w:val="21"/>
          <w:szCs w:val="21"/>
        </w:rPr>
      </w:pPr>
      <w:r>
        <w:rPr>
          <w:rFonts w:hint="eastAsia" w:cs="宋体"/>
          <w:sz w:val="21"/>
          <w:szCs w:val="21"/>
        </w:rPr>
        <w:t>注：投标人应根据投标设备的性能指标、对照招标文件要求在“偏离情况”栏注明“正偏离”、“负偏离”或“无偏离”。</w:t>
      </w:r>
    </w:p>
    <w:p>
      <w:pPr>
        <w:snapToGrid w:val="0"/>
        <w:rPr>
          <w:rFonts w:ascii="宋体" w:hAnsi="宋体" w:cs="宋体"/>
          <w:spacing w:val="20"/>
          <w:sz w:val="24"/>
          <w:u w:val="single"/>
        </w:rPr>
      </w:pPr>
      <w:r>
        <w:rPr>
          <w:rFonts w:hint="eastAsia" w:ascii="宋体" w:hAnsi="宋体" w:cs="宋体"/>
          <w:sz w:val="24"/>
        </w:rPr>
        <w:t>被授权人签字（或盖章）</w:t>
      </w:r>
      <w:r>
        <w:rPr>
          <w:rFonts w:hint="eastAsia" w:ascii="宋体" w:hAnsi="宋体" w:cs="宋体"/>
          <w:spacing w:val="20"/>
          <w:sz w:val="24"/>
        </w:rPr>
        <w:t>：</w:t>
      </w:r>
      <w:r>
        <w:rPr>
          <w:rFonts w:hint="eastAsia" w:ascii="宋体" w:hAnsi="宋体" w:cs="宋体"/>
          <w:spacing w:val="20"/>
          <w:sz w:val="24"/>
          <w:u w:val="single"/>
        </w:rPr>
        <w:t xml:space="preserve">        </w:t>
      </w:r>
    </w:p>
    <w:p>
      <w:pPr>
        <w:pStyle w:val="308"/>
        <w:ind w:right="480"/>
        <w:rPr>
          <w:rFonts w:hAnsi="宋体" w:cs="宋体"/>
          <w:b/>
          <w:sz w:val="24"/>
        </w:rPr>
      </w:pPr>
      <w:r>
        <w:rPr>
          <w:rFonts w:hint="eastAsia" w:hAnsi="宋体" w:eastAsia="宋体" w:cs="宋体"/>
          <w:sz w:val="24"/>
        </w:rPr>
        <w:t>投标人公章：                                   年    月    日</w:t>
      </w:r>
    </w:p>
    <w:p>
      <w:pPr>
        <w:snapToGrid w:val="0"/>
        <w:jc w:val="left"/>
        <w:rPr>
          <w:rFonts w:ascii="宋体" w:hAnsi="宋体" w:cs="宋体"/>
          <w:b/>
          <w:sz w:val="24"/>
        </w:rPr>
      </w:pPr>
      <w:r>
        <w:rPr>
          <w:rFonts w:hint="eastAsia" w:ascii="宋体" w:hAnsi="宋体" w:cs="宋体"/>
          <w:b/>
          <w:sz w:val="24"/>
        </w:rPr>
        <w:t>10、项目实施人员</w:t>
      </w:r>
    </w:p>
    <w:p>
      <w:pPr>
        <w:pStyle w:val="25"/>
        <w:adjustRightInd w:val="0"/>
        <w:jc w:val="center"/>
        <w:textAlignment w:val="baseline"/>
        <w:rPr>
          <w:rFonts w:hAnsi="宋体" w:cs="宋体"/>
          <w:sz w:val="28"/>
          <w:szCs w:val="28"/>
        </w:rPr>
      </w:pPr>
      <w:r>
        <w:rPr>
          <w:rFonts w:hint="eastAsia" w:hAnsi="宋体" w:cs="宋体"/>
          <w:b/>
          <w:sz w:val="28"/>
          <w:szCs w:val="28"/>
        </w:rPr>
        <w:t>项目实施人员一览表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342"/>
        <w:gridCol w:w="915"/>
        <w:gridCol w:w="928"/>
        <w:gridCol w:w="1134"/>
        <w:gridCol w:w="1134"/>
        <w:gridCol w:w="976"/>
        <w:gridCol w:w="17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序号</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项目组所任职务</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姓名</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cs="宋体"/>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cs="宋体"/>
              </w:rPr>
              <w:t>年龄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cs="宋体"/>
              </w:rPr>
              <w:t>学 历</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cs="宋体"/>
              </w:rPr>
              <w:t>专业</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2</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9"/>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3</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9"/>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4</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9"/>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5</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9"/>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r>
              <w:rPr>
                <w:rFonts w:hint="eastAsia" w:ascii="宋体" w:hAnsi="宋体" w:cs="宋体"/>
                <w:sz w:val="21"/>
                <w:szCs w:val="21"/>
                <w:lang w:val="en-US" w:eastAsia="zh-CN"/>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9"/>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p>
        </w:tc>
      </w:tr>
    </w:tbl>
    <w:p>
      <w:pPr>
        <w:ind w:firstLine="422" w:firstLineChars="200"/>
        <w:rPr>
          <w:rFonts w:ascii="宋体" w:hAnsi="宋体" w:cs="宋体"/>
          <w:b/>
          <w:szCs w:val="21"/>
        </w:rPr>
      </w:pPr>
      <w:r>
        <w:rPr>
          <w:rFonts w:hint="eastAsia" w:ascii="宋体" w:hAnsi="宋体" w:cs="宋体"/>
          <w:b/>
          <w:szCs w:val="21"/>
        </w:rPr>
        <w:t>注：1、“项目实施人员”指投标单位针对该项目实施所配备的人员。</w:t>
      </w:r>
    </w:p>
    <w:p>
      <w:pPr>
        <w:ind w:firstLine="843" w:firstLineChars="400"/>
        <w:rPr>
          <w:rFonts w:ascii="宋体" w:hAnsi="宋体" w:cs="宋体"/>
          <w:b/>
          <w:szCs w:val="21"/>
        </w:rPr>
      </w:pPr>
      <w:r>
        <w:rPr>
          <w:rFonts w:hint="eastAsia" w:ascii="宋体" w:hAnsi="宋体" w:cs="宋体"/>
          <w:b/>
          <w:szCs w:val="21"/>
        </w:rPr>
        <w:t>2、后附各专业人员</w:t>
      </w:r>
      <w:r>
        <w:rPr>
          <w:rFonts w:hint="eastAsia" w:ascii="宋体" w:hAnsi="宋体" w:cs="宋体"/>
          <w:b/>
        </w:rPr>
        <w:t>身份证、学历证书、职称证书、社保缴纳等相关证明材料</w:t>
      </w:r>
      <w:r>
        <w:rPr>
          <w:rFonts w:hint="eastAsia" w:ascii="宋体" w:hAnsi="宋体" w:cs="宋体"/>
          <w:b/>
          <w:szCs w:val="21"/>
        </w:rPr>
        <w:t>复印件；项目负责人须填写简历表。</w:t>
      </w:r>
    </w:p>
    <w:p>
      <w:pPr>
        <w:ind w:firstLine="843" w:firstLineChars="400"/>
        <w:rPr>
          <w:rFonts w:ascii="宋体" w:hAnsi="宋体" w:cs="宋体"/>
          <w:b/>
          <w:szCs w:val="21"/>
        </w:rPr>
      </w:pPr>
      <w:r>
        <w:rPr>
          <w:rFonts w:hint="eastAsia" w:ascii="宋体" w:hAnsi="宋体" w:cs="宋体"/>
          <w:b/>
          <w:szCs w:val="21"/>
        </w:rPr>
        <w:t>3、表格不够填写可添加。如本表格不适合投标人的实际情况，可自行制表填写。</w:t>
      </w:r>
    </w:p>
    <w:p>
      <w:pPr>
        <w:ind w:firstLine="843" w:firstLineChars="400"/>
        <w:rPr>
          <w:rFonts w:ascii="宋体" w:hAnsi="宋体" w:cs="宋体"/>
          <w:b/>
          <w:szCs w:val="21"/>
        </w:rPr>
      </w:pPr>
    </w:p>
    <w:p>
      <w:pPr>
        <w:snapToGrid w:val="0"/>
        <w:rPr>
          <w:rFonts w:ascii="宋体" w:hAnsi="宋体" w:cs="宋体"/>
          <w:spacing w:val="20"/>
          <w:sz w:val="24"/>
          <w:u w:val="single"/>
        </w:rPr>
      </w:pPr>
      <w:r>
        <w:rPr>
          <w:rFonts w:hint="eastAsia" w:ascii="宋体" w:hAnsi="宋体" w:cs="宋体"/>
          <w:sz w:val="24"/>
        </w:rPr>
        <w:t>被授权人签字（或盖章）</w:t>
      </w:r>
      <w:r>
        <w:rPr>
          <w:rFonts w:hint="eastAsia" w:ascii="宋体" w:hAnsi="宋体" w:cs="宋体"/>
          <w:spacing w:val="20"/>
          <w:sz w:val="24"/>
        </w:rPr>
        <w:t>：</w:t>
      </w:r>
      <w:r>
        <w:rPr>
          <w:rFonts w:hint="eastAsia" w:ascii="宋体" w:hAnsi="宋体" w:cs="宋体"/>
          <w:spacing w:val="20"/>
          <w:sz w:val="24"/>
          <w:u w:val="single"/>
        </w:rPr>
        <w:t xml:space="preserve">        </w:t>
      </w:r>
    </w:p>
    <w:p>
      <w:pPr>
        <w:snapToGrid w:val="0"/>
        <w:rPr>
          <w:rFonts w:ascii="宋体" w:hAnsi="宋体" w:cs="宋体"/>
          <w:sz w:val="24"/>
        </w:rPr>
      </w:pPr>
      <w:r>
        <w:rPr>
          <w:rFonts w:hint="eastAsia" w:ascii="宋体" w:hAnsi="宋体" w:cs="宋体"/>
          <w:sz w:val="24"/>
        </w:rPr>
        <w:t>投标人公章：                                 年    月    日</w:t>
      </w:r>
    </w:p>
    <w:p>
      <w:pPr>
        <w:pStyle w:val="42"/>
        <w:spacing w:before="0" w:beforeAutospacing="0" w:after="0" w:afterAutospacing="0"/>
        <w:jc w:val="both"/>
        <w:rPr>
          <w:rFonts w:cs="宋体"/>
        </w:rPr>
      </w:pPr>
    </w:p>
    <w:p>
      <w:pPr>
        <w:pStyle w:val="42"/>
        <w:spacing w:before="0" w:beforeAutospacing="0" w:after="0" w:afterAutospacing="0"/>
        <w:jc w:val="center"/>
        <w:rPr>
          <w:rFonts w:cs="宋体"/>
          <w:b/>
        </w:rPr>
      </w:pPr>
      <w:r>
        <w:rPr>
          <w:rFonts w:hint="eastAsia" w:cs="宋体"/>
        </w:rPr>
        <w:br w:type="page"/>
      </w:r>
      <w:r>
        <w:rPr>
          <w:rFonts w:hint="eastAsia" w:cs="宋体"/>
          <w:b/>
          <w:sz w:val="28"/>
          <w:szCs w:val="28"/>
        </w:rPr>
        <w:t>项目负责人简历表</w:t>
      </w:r>
    </w:p>
    <w:p>
      <w:pPr>
        <w:pStyle w:val="42"/>
        <w:spacing w:before="0" w:beforeAutospacing="0" w:after="0" w:afterAutospacing="0"/>
        <w:jc w:val="center"/>
        <w:rPr>
          <w:rFonts w:cs="宋体"/>
          <w:b/>
          <w:snapToGrid w:val="0"/>
        </w:rPr>
      </w:pPr>
    </w:p>
    <w:tbl>
      <w:tblPr>
        <w:tblStyle w:val="46"/>
        <w:tblW w:w="0" w:type="auto"/>
        <w:jc w:val="center"/>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33"/>
        <w:gridCol w:w="31"/>
        <w:gridCol w:w="150"/>
        <w:gridCol w:w="1165"/>
      </w:tblGrid>
      <w:tr>
        <w:tblPrEx>
          <w:tblCellMar>
            <w:top w:w="57" w:type="dxa"/>
            <w:left w:w="57" w:type="dxa"/>
            <w:bottom w:w="57" w:type="dxa"/>
            <w:right w:w="57" w:type="dxa"/>
          </w:tblCellMar>
        </w:tblPrEx>
        <w:trPr>
          <w:wBefore w:w="0" w:type="dxa"/>
          <w:trHeight w:val="743"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distribute"/>
              <w:rPr>
                <w:rFonts w:ascii="宋体" w:hAnsi="宋体" w:cs="宋体"/>
              </w:rPr>
            </w:pPr>
            <w:r>
              <w:rPr>
                <w:rFonts w:hint="eastAsia" w:ascii="宋体" w:hAnsi="宋体" w:cs="宋体"/>
              </w:rPr>
              <w:t>项目负责</w:t>
            </w:r>
          </w:p>
          <w:p>
            <w:pPr>
              <w:jc w:val="distribute"/>
              <w:rPr>
                <w:rFonts w:ascii="宋体" w:hAnsi="宋体" w:cs="宋体"/>
              </w:rPr>
            </w:pPr>
            <w:r>
              <w:rPr>
                <w:rFonts w:hint="eastAsia" w:ascii="宋体" w:hAnsi="宋体" w:cs="宋体"/>
              </w:rPr>
              <w:t>人姓名</w:t>
            </w:r>
          </w:p>
        </w:tc>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性</w:t>
            </w:r>
          </w:p>
          <w:p>
            <w:pPr>
              <w:jc w:val="center"/>
              <w:rPr>
                <w:rFonts w:ascii="宋体" w:hAnsi="宋体" w:cs="宋体"/>
              </w:rPr>
            </w:pPr>
            <w:r>
              <w:rPr>
                <w:rFonts w:hint="eastAsia" w:ascii="宋体" w:hAnsi="宋体" w:cs="宋体"/>
              </w:rPr>
              <w:t>别</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年</w:t>
            </w:r>
          </w:p>
          <w:p>
            <w:pPr>
              <w:jc w:val="center"/>
              <w:rPr>
                <w:rFonts w:ascii="宋体" w:hAnsi="宋体" w:cs="宋体"/>
              </w:rPr>
            </w:pPr>
            <w:r>
              <w:rPr>
                <w:rFonts w:hint="eastAsia" w:ascii="宋体" w:hAnsi="宋体" w:cs="宋体"/>
              </w:rPr>
              <w:t>龄</w:t>
            </w:r>
          </w:p>
        </w:tc>
        <w:tc>
          <w:tcPr>
            <w:tcW w:w="79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c>
          <w:tcPr>
            <w:tcW w:w="614"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学</w:t>
            </w:r>
          </w:p>
          <w:p>
            <w:pPr>
              <w:jc w:val="center"/>
              <w:rPr>
                <w:rFonts w:ascii="宋体" w:hAnsi="宋体" w:cs="宋体"/>
              </w:rPr>
            </w:pPr>
            <w:r>
              <w:rPr>
                <w:rFonts w:hint="eastAsia" w:ascii="宋体" w:hAnsi="宋体" w:cs="宋体"/>
              </w:rPr>
              <w:t>历</w:t>
            </w:r>
          </w:p>
        </w:tc>
        <w:tc>
          <w:tcPr>
            <w:tcW w:w="11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r>
      <w:tr>
        <w:tblPrEx>
          <w:tblCellMar>
            <w:top w:w="57" w:type="dxa"/>
            <w:left w:w="57" w:type="dxa"/>
            <w:bottom w:w="57" w:type="dxa"/>
            <w:right w:w="57" w:type="dxa"/>
          </w:tblCellMar>
        </w:tblPrEx>
        <w:trPr>
          <w:wBefore w:w="0" w:type="dxa"/>
          <w:trHeight w:val="490"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distribute"/>
              <w:rPr>
                <w:rFonts w:ascii="宋体" w:hAnsi="宋体" w:cs="宋体"/>
              </w:rPr>
            </w:pPr>
            <w:r>
              <w:rPr>
                <w:rFonts w:hint="eastAsia" w:ascii="宋体" w:hAnsi="宋体" w:cs="宋体"/>
              </w:rPr>
              <w:t>行政职务</w:t>
            </w:r>
          </w:p>
        </w:tc>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专业职称</w:t>
            </w:r>
          </w:p>
        </w:tc>
        <w:tc>
          <w:tcPr>
            <w:tcW w:w="132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c>
          <w:tcPr>
            <w:tcW w:w="1378"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专业年限</w:t>
            </w:r>
          </w:p>
        </w:tc>
        <w:tc>
          <w:tcPr>
            <w:tcW w:w="131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r>
      <w:tr>
        <w:tblPrEx>
          <w:tblCellMar>
            <w:top w:w="57" w:type="dxa"/>
            <w:left w:w="57" w:type="dxa"/>
            <w:bottom w:w="57" w:type="dxa"/>
            <w:right w:w="57" w:type="dxa"/>
          </w:tblCellMar>
        </w:tblPrEx>
        <w:trPr>
          <w:wBefore w:w="0" w:type="dxa"/>
          <w:cantSplit/>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工 作 单 位</w:t>
            </w:r>
          </w:p>
        </w:tc>
        <w:tc>
          <w:tcPr>
            <w:tcW w:w="420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c>
          <w:tcPr>
            <w:tcW w:w="1347"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电话</w:t>
            </w:r>
          </w:p>
        </w:tc>
        <w:tc>
          <w:tcPr>
            <w:tcW w:w="1346"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r>
      <w:tr>
        <w:tblPrEx>
          <w:tblCellMar>
            <w:top w:w="57" w:type="dxa"/>
            <w:left w:w="57" w:type="dxa"/>
            <w:bottom w:w="57" w:type="dxa"/>
            <w:right w:w="57" w:type="dxa"/>
          </w:tblCellMar>
        </w:tblPrEx>
        <w:trPr>
          <w:wBefore w:w="0" w:type="dxa"/>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distribute"/>
              <w:rPr>
                <w:rFonts w:ascii="宋体" w:hAnsi="宋体" w:cs="宋体"/>
              </w:rPr>
            </w:pPr>
            <w:r>
              <w:rPr>
                <w:rFonts w:hint="eastAsia" w:ascii="宋体" w:hAnsi="宋体" w:cs="宋体"/>
              </w:rPr>
              <w:t>通讯地址</w:t>
            </w:r>
          </w:p>
        </w:tc>
        <w:tc>
          <w:tcPr>
            <w:tcW w:w="420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c>
          <w:tcPr>
            <w:tcW w:w="1347"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邮编</w:t>
            </w:r>
          </w:p>
        </w:tc>
        <w:tc>
          <w:tcPr>
            <w:tcW w:w="1346"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r>
      <w:tr>
        <w:tblPrEx>
          <w:tblCellMar>
            <w:top w:w="57" w:type="dxa"/>
            <w:left w:w="57" w:type="dxa"/>
            <w:bottom w:w="57" w:type="dxa"/>
            <w:right w:w="57" w:type="dxa"/>
          </w:tblCellMar>
        </w:tblPrEx>
        <w:trPr>
          <w:wBefore w:w="0" w:type="dxa"/>
          <w:cantSplit/>
          <w:trHeight w:val="551" w:hRule="atLeast"/>
          <w:jc w:val="center"/>
        </w:trPr>
        <w:tc>
          <w:tcPr>
            <w:tcW w:w="8919" w:type="dxa"/>
            <w:gridSpan w:val="14"/>
            <w:tcBorders>
              <w:top w:val="single" w:color="auto" w:sz="6" w:space="0"/>
              <w:left w:val="single" w:color="auto" w:sz="6" w:space="0"/>
              <w:bottom w:val="nil"/>
              <w:right w:val="single" w:color="auto" w:sz="6" w:space="0"/>
            </w:tcBorders>
            <w:noWrap w:val="0"/>
            <w:vAlign w:val="center"/>
          </w:tcPr>
          <w:p>
            <w:pPr>
              <w:ind w:firstLine="2310" w:firstLineChars="1100"/>
              <w:rPr>
                <w:rFonts w:ascii="宋体" w:hAnsi="宋体" w:cs="宋体"/>
              </w:rPr>
            </w:pPr>
            <w:r>
              <w:rPr>
                <w:rFonts w:hint="eastAsia" w:ascii="宋体" w:hAnsi="宋体" w:cs="宋体"/>
              </w:rPr>
              <w:t>类似项目工作经验</w:t>
            </w:r>
          </w:p>
        </w:tc>
      </w:tr>
      <w:tr>
        <w:tblPrEx>
          <w:tblCellMar>
            <w:top w:w="57" w:type="dxa"/>
            <w:left w:w="57" w:type="dxa"/>
            <w:bottom w:w="57" w:type="dxa"/>
            <w:right w:w="57" w:type="dxa"/>
          </w:tblCellMar>
        </w:tblPrEx>
        <w:trPr>
          <w:wBefore w:w="0" w:type="dxa"/>
          <w:cantSplit/>
          <w:trHeight w:val="795" w:hRule="atLeast"/>
          <w:jc w:val="center"/>
        </w:trPr>
        <w:tc>
          <w:tcPr>
            <w:tcW w:w="222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时间</w:t>
            </w: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担任职务</w:t>
            </w:r>
          </w:p>
        </w:tc>
        <w:tc>
          <w:tcPr>
            <w:tcW w:w="2395" w:type="dxa"/>
            <w:gridSpan w:val="5"/>
            <w:tcBorders>
              <w:top w:val="single" w:color="auto" w:sz="6" w:space="0"/>
              <w:left w:val="single" w:color="auto" w:sz="6" w:space="0"/>
              <w:bottom w:val="single" w:color="auto" w:sz="6" w:space="0"/>
              <w:right w:val="single" w:color="auto" w:sz="6" w:space="0"/>
            </w:tcBorders>
            <w:noWrap w:val="0"/>
            <w:vAlign w:val="center"/>
          </w:tcPr>
          <w:p>
            <w:pPr>
              <w:ind w:firstLine="105" w:firstLineChars="50"/>
              <w:rPr>
                <w:rFonts w:ascii="宋体" w:hAnsi="宋体" w:cs="宋体"/>
              </w:rPr>
            </w:pPr>
            <w:r>
              <w:rPr>
                <w:rFonts w:hint="eastAsia" w:ascii="宋体" w:hAnsi="宋体" w:cs="宋体"/>
              </w:rPr>
              <w:t>发包人及联系电话</w:t>
            </w:r>
          </w:p>
        </w:tc>
      </w:tr>
      <w:tr>
        <w:tblPrEx>
          <w:tblCellMar>
            <w:top w:w="57" w:type="dxa"/>
            <w:left w:w="57" w:type="dxa"/>
            <w:bottom w:w="57" w:type="dxa"/>
            <w:right w:w="57" w:type="dxa"/>
          </w:tblCellMar>
        </w:tblPrEx>
        <w:trPr>
          <w:wBefore w:w="0" w:type="dxa"/>
          <w:cantSplit/>
          <w:trHeight w:val="639" w:hRule="atLeast"/>
          <w:jc w:val="center"/>
        </w:trPr>
        <w:tc>
          <w:tcPr>
            <w:tcW w:w="2223" w:type="dxa"/>
            <w:gridSpan w:val="2"/>
            <w:tcBorders>
              <w:top w:val="single" w:color="auto" w:sz="6" w:space="0"/>
              <w:left w:val="single" w:color="auto" w:sz="6" w:space="0"/>
              <w:bottom w:val="single" w:color="auto" w:sz="4" w:space="0"/>
              <w:right w:val="single" w:color="auto" w:sz="6" w:space="0"/>
            </w:tcBorders>
            <w:noWrap w:val="0"/>
            <w:vAlign w:val="center"/>
          </w:tcPr>
          <w:p>
            <w:pPr>
              <w:jc w:val="center"/>
              <w:rPr>
                <w:rFonts w:ascii="宋体" w:hAnsi="宋体" w:cs="宋体"/>
              </w:rPr>
            </w:pPr>
          </w:p>
          <w:p>
            <w:pPr>
              <w:jc w:val="center"/>
              <w:rPr>
                <w:rFonts w:ascii="宋体" w:hAnsi="宋体" w:cs="宋体"/>
              </w:rPr>
            </w:pPr>
          </w:p>
        </w:tc>
        <w:tc>
          <w:tcPr>
            <w:tcW w:w="3105" w:type="dxa"/>
            <w:gridSpan w:val="3"/>
            <w:tcBorders>
              <w:top w:val="single" w:color="auto" w:sz="6" w:space="0"/>
              <w:left w:val="single" w:color="auto" w:sz="6" w:space="0"/>
              <w:bottom w:val="single" w:color="auto" w:sz="4" w:space="0"/>
              <w:right w:val="single" w:color="auto" w:sz="6" w:space="0"/>
            </w:tcBorders>
            <w:noWrap w:val="0"/>
            <w:vAlign w:val="center"/>
          </w:tcPr>
          <w:p>
            <w:pPr>
              <w:jc w:val="center"/>
              <w:rPr>
                <w:rFonts w:ascii="宋体" w:hAnsi="宋体" w:cs="宋体"/>
              </w:rPr>
            </w:pPr>
          </w:p>
        </w:tc>
        <w:tc>
          <w:tcPr>
            <w:tcW w:w="1196" w:type="dxa"/>
            <w:gridSpan w:val="4"/>
            <w:tcBorders>
              <w:top w:val="single" w:color="auto" w:sz="6" w:space="0"/>
              <w:left w:val="single" w:color="auto" w:sz="6" w:space="0"/>
              <w:bottom w:val="single" w:color="auto" w:sz="4" w:space="0"/>
              <w:right w:val="single" w:color="auto" w:sz="6" w:space="0"/>
            </w:tcBorders>
            <w:noWrap w:val="0"/>
            <w:vAlign w:val="center"/>
          </w:tcPr>
          <w:p>
            <w:pPr>
              <w:jc w:val="center"/>
              <w:rPr>
                <w:rFonts w:ascii="宋体" w:hAnsi="宋体" w:cs="宋体"/>
              </w:rPr>
            </w:pPr>
          </w:p>
        </w:tc>
        <w:tc>
          <w:tcPr>
            <w:tcW w:w="2395"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rPr>
            </w:pPr>
          </w:p>
        </w:tc>
      </w:tr>
    </w:tbl>
    <w:p>
      <w:pPr>
        <w:rPr>
          <w:rFonts w:ascii="宋体" w:hAnsi="宋体" w:cs="宋体"/>
          <w:b/>
          <w:szCs w:val="21"/>
        </w:rPr>
      </w:pPr>
      <w:r>
        <w:rPr>
          <w:rFonts w:hint="eastAsia" w:ascii="宋体" w:hAnsi="宋体" w:cs="宋体"/>
          <w:b/>
          <w:szCs w:val="21"/>
        </w:rPr>
        <w:t>注：后附项目负责人</w:t>
      </w:r>
      <w:r>
        <w:rPr>
          <w:rFonts w:hint="eastAsia" w:ascii="宋体" w:hAnsi="宋体" w:cs="宋体"/>
          <w:b/>
        </w:rPr>
        <w:t>身份证、学历证书、职称证书以及业绩等相关证明材料</w:t>
      </w:r>
      <w:r>
        <w:rPr>
          <w:rFonts w:hint="eastAsia" w:ascii="宋体" w:hAnsi="宋体" w:cs="宋体"/>
          <w:b/>
          <w:szCs w:val="21"/>
        </w:rPr>
        <w:t>复印件（加盖公章）；</w:t>
      </w:r>
    </w:p>
    <w:p>
      <w:pPr>
        <w:rPr>
          <w:rFonts w:ascii="宋体" w:hAnsi="宋体" w:cs="宋体"/>
          <w:b/>
          <w:sz w:val="24"/>
        </w:rPr>
      </w:pPr>
    </w:p>
    <w:p>
      <w:pPr>
        <w:rPr>
          <w:rFonts w:ascii="宋体" w:hAnsi="宋体" w:cs="宋体"/>
          <w:b/>
          <w:sz w:val="24"/>
        </w:rPr>
      </w:pPr>
    </w:p>
    <w:p>
      <w:pPr>
        <w:snapToGrid w:val="0"/>
        <w:rPr>
          <w:rFonts w:ascii="宋体" w:hAnsi="宋体" w:cs="宋体"/>
          <w:spacing w:val="20"/>
          <w:sz w:val="24"/>
          <w:u w:val="single"/>
        </w:rPr>
      </w:pPr>
      <w:r>
        <w:rPr>
          <w:rFonts w:hint="eastAsia" w:ascii="宋体" w:hAnsi="宋体" w:cs="宋体"/>
          <w:sz w:val="24"/>
        </w:rPr>
        <w:t>被授权人签字（或盖章）</w:t>
      </w:r>
      <w:r>
        <w:rPr>
          <w:rFonts w:hint="eastAsia" w:ascii="宋体" w:hAnsi="宋体" w:cs="宋体"/>
          <w:spacing w:val="20"/>
          <w:sz w:val="24"/>
        </w:rPr>
        <w:t>：</w:t>
      </w:r>
      <w:r>
        <w:rPr>
          <w:rFonts w:hint="eastAsia" w:ascii="宋体" w:hAnsi="宋体" w:cs="宋体"/>
          <w:spacing w:val="20"/>
          <w:sz w:val="24"/>
          <w:u w:val="single"/>
        </w:rPr>
        <w:t xml:space="preserve">        </w:t>
      </w:r>
    </w:p>
    <w:p>
      <w:pPr>
        <w:rPr>
          <w:rFonts w:ascii="宋体" w:hAnsi="宋体" w:cs="宋体"/>
          <w:sz w:val="24"/>
        </w:rPr>
      </w:pPr>
      <w:r>
        <w:rPr>
          <w:rFonts w:hint="eastAsia" w:ascii="宋体" w:hAnsi="宋体" w:cs="宋体"/>
          <w:sz w:val="24"/>
        </w:rPr>
        <w:t>投标人公章：                               年    月    日</w:t>
      </w:r>
    </w:p>
    <w:p>
      <w:pPr>
        <w:snapToGrid w:val="0"/>
        <w:jc w:val="left"/>
        <w:rPr>
          <w:rFonts w:ascii="宋体" w:hAnsi="宋体" w:cs="宋体"/>
          <w:b/>
          <w:sz w:val="24"/>
        </w:rPr>
      </w:pPr>
      <w:r>
        <w:rPr>
          <w:rFonts w:ascii="宋体" w:hAnsi="宋体" w:cs="宋体"/>
          <w:sz w:val="24"/>
        </w:rPr>
        <w:br w:type="page"/>
      </w:r>
      <w:r>
        <w:rPr>
          <w:rFonts w:hint="eastAsia" w:ascii="宋体" w:hAnsi="宋体" w:cs="宋体"/>
          <w:b/>
          <w:sz w:val="24"/>
        </w:rPr>
        <w:t>11、投入本项目的设备一览表</w:t>
      </w:r>
    </w:p>
    <w:p>
      <w:pPr>
        <w:pStyle w:val="13"/>
        <w:overflowPunct w:val="0"/>
        <w:ind w:firstLine="0"/>
        <w:jc w:val="center"/>
        <w:rPr>
          <w:rFonts w:hAnsi="宋体" w:cs="宋体"/>
          <w:b/>
          <w:color w:val="auto"/>
          <w:sz w:val="24"/>
          <w:szCs w:val="24"/>
        </w:rPr>
      </w:pPr>
      <w:r>
        <w:rPr>
          <w:rFonts w:hint="eastAsia" w:hAnsi="宋体" w:cs="宋体"/>
          <w:b/>
          <w:color w:val="auto"/>
          <w:sz w:val="24"/>
          <w:szCs w:val="24"/>
        </w:rPr>
        <w:t>投入设备一览表</w:t>
      </w:r>
    </w:p>
    <w:p>
      <w:pPr>
        <w:pStyle w:val="13"/>
        <w:overflowPunct w:val="0"/>
        <w:ind w:firstLine="0"/>
        <w:rPr>
          <w:rFonts w:hAnsi="宋体" w:cs="宋体"/>
          <w:b/>
          <w:color w:val="auto"/>
          <w:sz w:val="24"/>
          <w:szCs w:val="24"/>
        </w:rPr>
      </w:pP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308"/>
              <w:jc w:val="center"/>
              <w:rPr>
                <w:rFonts w:hAnsi="宋体" w:eastAsia="宋体" w:cs="宋体"/>
                <w:sz w:val="24"/>
                <w:szCs w:val="24"/>
              </w:rPr>
            </w:pPr>
            <w:r>
              <w:rPr>
                <w:rFonts w:hint="eastAsia" w:hAnsi="宋体" w:eastAsia="宋体" w:cs="宋体"/>
                <w:sz w:val="24"/>
                <w:szCs w:val="24"/>
              </w:rPr>
              <w:t>序号</w:t>
            </w:r>
          </w:p>
        </w:tc>
        <w:tc>
          <w:tcPr>
            <w:tcW w:w="1816" w:type="dxa"/>
            <w:noWrap w:val="0"/>
            <w:vAlign w:val="center"/>
          </w:tcPr>
          <w:p>
            <w:pPr>
              <w:pStyle w:val="308"/>
              <w:jc w:val="center"/>
              <w:rPr>
                <w:rFonts w:hAnsi="宋体" w:eastAsia="宋体" w:cs="宋体"/>
                <w:sz w:val="24"/>
                <w:szCs w:val="24"/>
              </w:rPr>
            </w:pPr>
            <w:r>
              <w:rPr>
                <w:rFonts w:hint="eastAsia" w:hAnsi="宋体" w:eastAsia="宋体" w:cs="宋体"/>
                <w:sz w:val="24"/>
                <w:szCs w:val="24"/>
              </w:rPr>
              <w:t>名称</w:t>
            </w:r>
          </w:p>
        </w:tc>
        <w:tc>
          <w:tcPr>
            <w:tcW w:w="1211" w:type="dxa"/>
            <w:noWrap w:val="0"/>
            <w:vAlign w:val="center"/>
          </w:tcPr>
          <w:p>
            <w:pPr>
              <w:pStyle w:val="308"/>
              <w:jc w:val="center"/>
              <w:rPr>
                <w:rFonts w:hAnsi="宋体" w:eastAsia="宋体" w:cs="宋体"/>
                <w:sz w:val="24"/>
                <w:szCs w:val="24"/>
              </w:rPr>
            </w:pPr>
            <w:r>
              <w:rPr>
                <w:rFonts w:hint="eastAsia" w:hAnsi="宋体" w:eastAsia="宋体" w:cs="宋体"/>
                <w:sz w:val="24"/>
                <w:szCs w:val="24"/>
              </w:rPr>
              <w:t>品牌</w:t>
            </w:r>
          </w:p>
        </w:tc>
        <w:tc>
          <w:tcPr>
            <w:tcW w:w="1211" w:type="dxa"/>
            <w:tcBorders>
              <w:bottom w:val="single" w:color="auto" w:sz="4" w:space="0"/>
            </w:tcBorders>
            <w:noWrap w:val="0"/>
            <w:vAlign w:val="center"/>
          </w:tcPr>
          <w:p>
            <w:pPr>
              <w:pStyle w:val="308"/>
              <w:jc w:val="center"/>
              <w:rPr>
                <w:rFonts w:hAnsi="宋体" w:eastAsia="宋体" w:cs="宋体"/>
                <w:sz w:val="24"/>
                <w:szCs w:val="24"/>
              </w:rPr>
            </w:pPr>
            <w:r>
              <w:rPr>
                <w:rFonts w:hint="eastAsia" w:hAnsi="宋体" w:eastAsia="宋体" w:cs="宋体"/>
                <w:sz w:val="24"/>
                <w:szCs w:val="24"/>
              </w:rPr>
              <w:t>型号、规格</w:t>
            </w:r>
          </w:p>
        </w:tc>
        <w:tc>
          <w:tcPr>
            <w:tcW w:w="679" w:type="dxa"/>
            <w:tcBorders>
              <w:right w:val="single" w:color="auto" w:sz="4" w:space="0"/>
            </w:tcBorders>
            <w:noWrap w:val="0"/>
            <w:vAlign w:val="center"/>
          </w:tcPr>
          <w:p>
            <w:pPr>
              <w:pStyle w:val="308"/>
              <w:jc w:val="center"/>
              <w:rPr>
                <w:rFonts w:hAnsi="宋体" w:eastAsia="宋体" w:cs="宋体"/>
                <w:sz w:val="24"/>
                <w:szCs w:val="24"/>
              </w:rPr>
            </w:pPr>
            <w:r>
              <w:rPr>
                <w:rFonts w:hint="eastAsia" w:hAnsi="宋体" w:eastAsia="宋体" w:cs="宋体"/>
                <w:sz w:val="24"/>
                <w:szCs w:val="24"/>
              </w:rPr>
              <w:t>单位</w:t>
            </w:r>
          </w:p>
        </w:tc>
        <w:tc>
          <w:tcPr>
            <w:tcW w:w="679" w:type="dxa"/>
            <w:tcBorders>
              <w:left w:val="single" w:color="auto" w:sz="4" w:space="0"/>
            </w:tcBorders>
            <w:noWrap w:val="0"/>
            <w:vAlign w:val="center"/>
          </w:tcPr>
          <w:p>
            <w:pPr>
              <w:pStyle w:val="308"/>
              <w:jc w:val="center"/>
              <w:rPr>
                <w:rFonts w:hAnsi="宋体" w:eastAsia="宋体" w:cs="宋体"/>
                <w:sz w:val="24"/>
                <w:szCs w:val="24"/>
              </w:rPr>
            </w:pPr>
            <w:r>
              <w:rPr>
                <w:rFonts w:hint="eastAsia" w:hAnsi="宋体" w:eastAsia="宋体" w:cs="宋体"/>
                <w:sz w:val="24"/>
                <w:szCs w:val="24"/>
              </w:rPr>
              <w:t>数量</w:t>
            </w:r>
          </w:p>
        </w:tc>
        <w:tc>
          <w:tcPr>
            <w:tcW w:w="2400" w:type="dxa"/>
            <w:noWrap w:val="0"/>
            <w:vAlign w:val="center"/>
          </w:tcPr>
          <w:p>
            <w:pPr>
              <w:pStyle w:val="308"/>
              <w:jc w:val="center"/>
              <w:rPr>
                <w:rFonts w:hAnsi="宋体" w:eastAsia="宋体" w:cs="宋体"/>
                <w:sz w:val="24"/>
                <w:szCs w:val="24"/>
              </w:rPr>
            </w:pPr>
            <w:r>
              <w:rPr>
                <w:rFonts w:hint="eastAsia" w:hAnsi="宋体" w:eastAsia="宋体" w:cs="宋体"/>
                <w:sz w:val="24"/>
                <w:szCs w:val="24"/>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308"/>
              <w:jc w:val="center"/>
              <w:rPr>
                <w:rFonts w:hAnsi="宋体" w:eastAsia="宋体" w:cs="宋体"/>
                <w:sz w:val="24"/>
                <w:szCs w:val="24"/>
              </w:rPr>
            </w:pPr>
          </w:p>
        </w:tc>
        <w:tc>
          <w:tcPr>
            <w:tcW w:w="1816" w:type="dxa"/>
            <w:noWrap w:val="0"/>
            <w:vAlign w:val="center"/>
          </w:tcPr>
          <w:p>
            <w:pPr>
              <w:pStyle w:val="308"/>
              <w:jc w:val="center"/>
              <w:rPr>
                <w:rFonts w:hAnsi="宋体" w:eastAsia="宋体" w:cs="宋体"/>
                <w:sz w:val="24"/>
                <w:szCs w:val="24"/>
              </w:rPr>
            </w:pPr>
          </w:p>
        </w:tc>
        <w:tc>
          <w:tcPr>
            <w:tcW w:w="1211" w:type="dxa"/>
            <w:noWrap w:val="0"/>
            <w:vAlign w:val="top"/>
          </w:tcPr>
          <w:p>
            <w:pPr>
              <w:pStyle w:val="308"/>
              <w:jc w:val="center"/>
              <w:rPr>
                <w:rFonts w:hAnsi="宋体" w:eastAsia="宋体" w:cs="宋体"/>
                <w:sz w:val="24"/>
                <w:szCs w:val="24"/>
              </w:rPr>
            </w:pPr>
          </w:p>
        </w:tc>
        <w:tc>
          <w:tcPr>
            <w:tcW w:w="1211" w:type="dxa"/>
            <w:tcBorders>
              <w:top w:val="single" w:color="auto" w:sz="4" w:space="0"/>
            </w:tcBorders>
            <w:noWrap w:val="0"/>
            <w:vAlign w:val="center"/>
          </w:tcPr>
          <w:p>
            <w:pPr>
              <w:pStyle w:val="308"/>
              <w:jc w:val="center"/>
              <w:rPr>
                <w:rFonts w:hAnsi="宋体" w:eastAsia="宋体" w:cs="宋体"/>
                <w:sz w:val="24"/>
                <w:szCs w:val="24"/>
              </w:rPr>
            </w:pPr>
          </w:p>
        </w:tc>
        <w:tc>
          <w:tcPr>
            <w:tcW w:w="679" w:type="dxa"/>
            <w:tcBorders>
              <w:right w:val="single" w:color="auto" w:sz="4" w:space="0"/>
            </w:tcBorders>
            <w:noWrap w:val="0"/>
            <w:vAlign w:val="center"/>
          </w:tcPr>
          <w:p>
            <w:pPr>
              <w:pStyle w:val="308"/>
              <w:jc w:val="center"/>
              <w:rPr>
                <w:rFonts w:hAnsi="宋体" w:eastAsia="宋体" w:cs="宋体"/>
                <w:sz w:val="24"/>
                <w:szCs w:val="24"/>
              </w:rPr>
            </w:pPr>
          </w:p>
        </w:tc>
        <w:tc>
          <w:tcPr>
            <w:tcW w:w="679" w:type="dxa"/>
            <w:tcBorders>
              <w:left w:val="single" w:color="auto" w:sz="4" w:space="0"/>
            </w:tcBorders>
            <w:noWrap w:val="0"/>
            <w:vAlign w:val="center"/>
          </w:tcPr>
          <w:p>
            <w:pPr>
              <w:pStyle w:val="308"/>
              <w:jc w:val="center"/>
              <w:rPr>
                <w:rFonts w:hAnsi="宋体" w:eastAsia="宋体" w:cs="宋体"/>
                <w:sz w:val="24"/>
                <w:szCs w:val="24"/>
              </w:rPr>
            </w:pPr>
          </w:p>
        </w:tc>
        <w:tc>
          <w:tcPr>
            <w:tcW w:w="2400" w:type="dxa"/>
            <w:noWrap w:val="0"/>
            <w:vAlign w:val="center"/>
          </w:tcPr>
          <w:p>
            <w:pPr>
              <w:pStyle w:val="308"/>
              <w:jc w:val="center"/>
              <w:rPr>
                <w:rFonts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308"/>
              <w:jc w:val="center"/>
              <w:rPr>
                <w:rFonts w:hAnsi="宋体" w:eastAsia="宋体" w:cs="宋体"/>
                <w:sz w:val="24"/>
                <w:szCs w:val="24"/>
              </w:rPr>
            </w:pPr>
          </w:p>
        </w:tc>
        <w:tc>
          <w:tcPr>
            <w:tcW w:w="1816" w:type="dxa"/>
            <w:noWrap w:val="0"/>
            <w:vAlign w:val="center"/>
          </w:tcPr>
          <w:p>
            <w:pPr>
              <w:pStyle w:val="308"/>
              <w:jc w:val="center"/>
              <w:rPr>
                <w:rFonts w:hAnsi="宋体" w:eastAsia="宋体" w:cs="宋体"/>
                <w:sz w:val="24"/>
                <w:szCs w:val="24"/>
              </w:rPr>
            </w:pPr>
          </w:p>
        </w:tc>
        <w:tc>
          <w:tcPr>
            <w:tcW w:w="1211" w:type="dxa"/>
            <w:noWrap w:val="0"/>
            <w:vAlign w:val="top"/>
          </w:tcPr>
          <w:p>
            <w:pPr>
              <w:pStyle w:val="308"/>
              <w:jc w:val="center"/>
              <w:rPr>
                <w:rFonts w:hAnsi="宋体" w:eastAsia="宋体" w:cs="宋体"/>
                <w:sz w:val="24"/>
                <w:szCs w:val="24"/>
              </w:rPr>
            </w:pPr>
          </w:p>
        </w:tc>
        <w:tc>
          <w:tcPr>
            <w:tcW w:w="1211" w:type="dxa"/>
            <w:noWrap w:val="0"/>
            <w:vAlign w:val="center"/>
          </w:tcPr>
          <w:p>
            <w:pPr>
              <w:pStyle w:val="308"/>
              <w:jc w:val="center"/>
              <w:rPr>
                <w:rFonts w:hAnsi="宋体" w:eastAsia="宋体" w:cs="宋体"/>
                <w:sz w:val="24"/>
                <w:szCs w:val="24"/>
              </w:rPr>
            </w:pPr>
          </w:p>
        </w:tc>
        <w:tc>
          <w:tcPr>
            <w:tcW w:w="679" w:type="dxa"/>
            <w:tcBorders>
              <w:right w:val="single" w:color="auto" w:sz="4" w:space="0"/>
            </w:tcBorders>
            <w:noWrap w:val="0"/>
            <w:vAlign w:val="center"/>
          </w:tcPr>
          <w:p>
            <w:pPr>
              <w:pStyle w:val="308"/>
              <w:jc w:val="center"/>
              <w:rPr>
                <w:rFonts w:hAnsi="宋体" w:eastAsia="宋体" w:cs="宋体"/>
                <w:sz w:val="24"/>
                <w:szCs w:val="24"/>
              </w:rPr>
            </w:pPr>
          </w:p>
        </w:tc>
        <w:tc>
          <w:tcPr>
            <w:tcW w:w="679" w:type="dxa"/>
            <w:tcBorders>
              <w:left w:val="single" w:color="auto" w:sz="4" w:space="0"/>
            </w:tcBorders>
            <w:noWrap w:val="0"/>
            <w:vAlign w:val="center"/>
          </w:tcPr>
          <w:p>
            <w:pPr>
              <w:pStyle w:val="308"/>
              <w:jc w:val="center"/>
              <w:rPr>
                <w:rFonts w:hAnsi="宋体" w:eastAsia="宋体" w:cs="宋体"/>
                <w:sz w:val="24"/>
                <w:szCs w:val="24"/>
              </w:rPr>
            </w:pPr>
          </w:p>
        </w:tc>
        <w:tc>
          <w:tcPr>
            <w:tcW w:w="2400" w:type="dxa"/>
            <w:noWrap w:val="0"/>
            <w:vAlign w:val="center"/>
          </w:tcPr>
          <w:p>
            <w:pPr>
              <w:pStyle w:val="308"/>
              <w:jc w:val="center"/>
              <w:rPr>
                <w:rFonts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308"/>
              <w:jc w:val="center"/>
              <w:rPr>
                <w:rFonts w:hAnsi="宋体" w:eastAsia="宋体" w:cs="宋体"/>
                <w:sz w:val="24"/>
                <w:szCs w:val="24"/>
              </w:rPr>
            </w:pPr>
          </w:p>
        </w:tc>
        <w:tc>
          <w:tcPr>
            <w:tcW w:w="1816" w:type="dxa"/>
            <w:noWrap w:val="0"/>
            <w:vAlign w:val="center"/>
          </w:tcPr>
          <w:p>
            <w:pPr>
              <w:pStyle w:val="308"/>
              <w:jc w:val="center"/>
              <w:rPr>
                <w:rFonts w:hAnsi="宋体" w:eastAsia="宋体" w:cs="宋体"/>
                <w:sz w:val="24"/>
                <w:szCs w:val="24"/>
              </w:rPr>
            </w:pPr>
          </w:p>
        </w:tc>
        <w:tc>
          <w:tcPr>
            <w:tcW w:w="1211" w:type="dxa"/>
            <w:noWrap w:val="0"/>
            <w:vAlign w:val="top"/>
          </w:tcPr>
          <w:p>
            <w:pPr>
              <w:pStyle w:val="308"/>
              <w:jc w:val="center"/>
              <w:rPr>
                <w:rFonts w:hAnsi="宋体" w:eastAsia="宋体" w:cs="宋体"/>
                <w:sz w:val="24"/>
                <w:szCs w:val="24"/>
              </w:rPr>
            </w:pPr>
          </w:p>
        </w:tc>
        <w:tc>
          <w:tcPr>
            <w:tcW w:w="1211" w:type="dxa"/>
            <w:noWrap w:val="0"/>
            <w:vAlign w:val="center"/>
          </w:tcPr>
          <w:p>
            <w:pPr>
              <w:pStyle w:val="308"/>
              <w:jc w:val="center"/>
              <w:rPr>
                <w:rFonts w:hAnsi="宋体" w:eastAsia="宋体" w:cs="宋体"/>
                <w:sz w:val="24"/>
                <w:szCs w:val="24"/>
              </w:rPr>
            </w:pPr>
          </w:p>
        </w:tc>
        <w:tc>
          <w:tcPr>
            <w:tcW w:w="679" w:type="dxa"/>
            <w:tcBorders>
              <w:right w:val="single" w:color="auto" w:sz="4" w:space="0"/>
            </w:tcBorders>
            <w:noWrap w:val="0"/>
            <w:vAlign w:val="center"/>
          </w:tcPr>
          <w:p>
            <w:pPr>
              <w:pStyle w:val="308"/>
              <w:jc w:val="center"/>
              <w:rPr>
                <w:rFonts w:hAnsi="宋体" w:eastAsia="宋体" w:cs="宋体"/>
                <w:sz w:val="24"/>
                <w:szCs w:val="24"/>
              </w:rPr>
            </w:pPr>
          </w:p>
        </w:tc>
        <w:tc>
          <w:tcPr>
            <w:tcW w:w="679" w:type="dxa"/>
            <w:tcBorders>
              <w:left w:val="single" w:color="auto" w:sz="4" w:space="0"/>
            </w:tcBorders>
            <w:noWrap w:val="0"/>
            <w:vAlign w:val="center"/>
          </w:tcPr>
          <w:p>
            <w:pPr>
              <w:pStyle w:val="308"/>
              <w:jc w:val="center"/>
              <w:rPr>
                <w:rFonts w:hAnsi="宋体" w:eastAsia="宋体" w:cs="宋体"/>
                <w:sz w:val="24"/>
                <w:szCs w:val="24"/>
              </w:rPr>
            </w:pPr>
          </w:p>
        </w:tc>
        <w:tc>
          <w:tcPr>
            <w:tcW w:w="2400" w:type="dxa"/>
            <w:noWrap w:val="0"/>
            <w:vAlign w:val="center"/>
          </w:tcPr>
          <w:p>
            <w:pPr>
              <w:pStyle w:val="308"/>
              <w:jc w:val="center"/>
              <w:rPr>
                <w:rFonts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308"/>
              <w:jc w:val="center"/>
              <w:rPr>
                <w:rFonts w:hAnsi="宋体" w:eastAsia="宋体" w:cs="宋体"/>
                <w:sz w:val="24"/>
                <w:szCs w:val="24"/>
              </w:rPr>
            </w:pPr>
          </w:p>
        </w:tc>
        <w:tc>
          <w:tcPr>
            <w:tcW w:w="1816" w:type="dxa"/>
            <w:noWrap w:val="0"/>
            <w:vAlign w:val="center"/>
          </w:tcPr>
          <w:p>
            <w:pPr>
              <w:pStyle w:val="308"/>
              <w:jc w:val="center"/>
              <w:rPr>
                <w:rFonts w:hAnsi="宋体" w:eastAsia="宋体" w:cs="宋体"/>
                <w:sz w:val="24"/>
                <w:szCs w:val="24"/>
              </w:rPr>
            </w:pPr>
          </w:p>
        </w:tc>
        <w:tc>
          <w:tcPr>
            <w:tcW w:w="1211" w:type="dxa"/>
            <w:noWrap w:val="0"/>
            <w:vAlign w:val="top"/>
          </w:tcPr>
          <w:p>
            <w:pPr>
              <w:pStyle w:val="308"/>
              <w:jc w:val="center"/>
              <w:rPr>
                <w:rFonts w:hAnsi="宋体" w:eastAsia="宋体" w:cs="宋体"/>
                <w:sz w:val="24"/>
                <w:szCs w:val="24"/>
              </w:rPr>
            </w:pPr>
          </w:p>
        </w:tc>
        <w:tc>
          <w:tcPr>
            <w:tcW w:w="1211" w:type="dxa"/>
            <w:noWrap w:val="0"/>
            <w:vAlign w:val="center"/>
          </w:tcPr>
          <w:p>
            <w:pPr>
              <w:pStyle w:val="308"/>
              <w:jc w:val="center"/>
              <w:rPr>
                <w:rFonts w:hAnsi="宋体" w:eastAsia="宋体" w:cs="宋体"/>
                <w:sz w:val="24"/>
                <w:szCs w:val="24"/>
              </w:rPr>
            </w:pPr>
          </w:p>
        </w:tc>
        <w:tc>
          <w:tcPr>
            <w:tcW w:w="679" w:type="dxa"/>
            <w:tcBorders>
              <w:right w:val="single" w:color="auto" w:sz="4" w:space="0"/>
            </w:tcBorders>
            <w:noWrap w:val="0"/>
            <w:vAlign w:val="center"/>
          </w:tcPr>
          <w:p>
            <w:pPr>
              <w:pStyle w:val="308"/>
              <w:jc w:val="center"/>
              <w:rPr>
                <w:rFonts w:hAnsi="宋体" w:eastAsia="宋体" w:cs="宋体"/>
                <w:sz w:val="24"/>
                <w:szCs w:val="24"/>
              </w:rPr>
            </w:pPr>
          </w:p>
        </w:tc>
        <w:tc>
          <w:tcPr>
            <w:tcW w:w="679" w:type="dxa"/>
            <w:tcBorders>
              <w:left w:val="single" w:color="auto" w:sz="4" w:space="0"/>
            </w:tcBorders>
            <w:noWrap w:val="0"/>
            <w:vAlign w:val="center"/>
          </w:tcPr>
          <w:p>
            <w:pPr>
              <w:pStyle w:val="308"/>
              <w:jc w:val="center"/>
              <w:rPr>
                <w:rFonts w:hAnsi="宋体" w:eastAsia="宋体" w:cs="宋体"/>
                <w:sz w:val="24"/>
                <w:szCs w:val="24"/>
              </w:rPr>
            </w:pPr>
          </w:p>
        </w:tc>
        <w:tc>
          <w:tcPr>
            <w:tcW w:w="2400" w:type="dxa"/>
            <w:noWrap w:val="0"/>
            <w:vAlign w:val="center"/>
          </w:tcPr>
          <w:p>
            <w:pPr>
              <w:pStyle w:val="308"/>
              <w:jc w:val="center"/>
              <w:rPr>
                <w:rFonts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308"/>
              <w:jc w:val="center"/>
              <w:rPr>
                <w:rFonts w:hAnsi="宋体" w:eastAsia="宋体" w:cs="宋体"/>
                <w:sz w:val="24"/>
                <w:szCs w:val="24"/>
              </w:rPr>
            </w:pPr>
          </w:p>
        </w:tc>
        <w:tc>
          <w:tcPr>
            <w:tcW w:w="1816" w:type="dxa"/>
            <w:noWrap w:val="0"/>
            <w:vAlign w:val="center"/>
          </w:tcPr>
          <w:p>
            <w:pPr>
              <w:pStyle w:val="308"/>
              <w:jc w:val="center"/>
              <w:rPr>
                <w:rFonts w:hAnsi="宋体" w:eastAsia="宋体" w:cs="宋体"/>
                <w:sz w:val="24"/>
                <w:szCs w:val="24"/>
              </w:rPr>
            </w:pPr>
          </w:p>
        </w:tc>
        <w:tc>
          <w:tcPr>
            <w:tcW w:w="1211" w:type="dxa"/>
            <w:noWrap w:val="0"/>
            <w:vAlign w:val="top"/>
          </w:tcPr>
          <w:p>
            <w:pPr>
              <w:pStyle w:val="308"/>
              <w:jc w:val="center"/>
              <w:rPr>
                <w:rFonts w:hAnsi="宋体" w:eastAsia="宋体" w:cs="宋体"/>
                <w:sz w:val="24"/>
                <w:szCs w:val="24"/>
              </w:rPr>
            </w:pPr>
          </w:p>
        </w:tc>
        <w:tc>
          <w:tcPr>
            <w:tcW w:w="1211" w:type="dxa"/>
            <w:noWrap w:val="0"/>
            <w:vAlign w:val="center"/>
          </w:tcPr>
          <w:p>
            <w:pPr>
              <w:pStyle w:val="308"/>
              <w:jc w:val="center"/>
              <w:rPr>
                <w:rFonts w:hAnsi="宋体" w:eastAsia="宋体" w:cs="宋体"/>
                <w:sz w:val="24"/>
                <w:szCs w:val="24"/>
              </w:rPr>
            </w:pPr>
          </w:p>
        </w:tc>
        <w:tc>
          <w:tcPr>
            <w:tcW w:w="679" w:type="dxa"/>
            <w:tcBorders>
              <w:right w:val="single" w:color="auto" w:sz="4" w:space="0"/>
            </w:tcBorders>
            <w:noWrap w:val="0"/>
            <w:vAlign w:val="center"/>
          </w:tcPr>
          <w:p>
            <w:pPr>
              <w:pStyle w:val="308"/>
              <w:jc w:val="center"/>
              <w:rPr>
                <w:rFonts w:hAnsi="宋体" w:eastAsia="宋体" w:cs="宋体"/>
                <w:sz w:val="24"/>
                <w:szCs w:val="24"/>
              </w:rPr>
            </w:pPr>
          </w:p>
        </w:tc>
        <w:tc>
          <w:tcPr>
            <w:tcW w:w="679" w:type="dxa"/>
            <w:tcBorders>
              <w:left w:val="single" w:color="auto" w:sz="4" w:space="0"/>
            </w:tcBorders>
            <w:noWrap w:val="0"/>
            <w:vAlign w:val="center"/>
          </w:tcPr>
          <w:p>
            <w:pPr>
              <w:pStyle w:val="308"/>
              <w:jc w:val="center"/>
              <w:rPr>
                <w:rFonts w:hAnsi="宋体" w:eastAsia="宋体" w:cs="宋体"/>
                <w:sz w:val="24"/>
                <w:szCs w:val="24"/>
              </w:rPr>
            </w:pPr>
          </w:p>
        </w:tc>
        <w:tc>
          <w:tcPr>
            <w:tcW w:w="2400" w:type="dxa"/>
            <w:noWrap w:val="0"/>
            <w:vAlign w:val="center"/>
          </w:tcPr>
          <w:p>
            <w:pPr>
              <w:pStyle w:val="308"/>
              <w:jc w:val="center"/>
              <w:rPr>
                <w:rFonts w:hAnsi="宋体" w:eastAsia="宋体" w:cs="宋体"/>
                <w:sz w:val="24"/>
                <w:szCs w:val="24"/>
              </w:rPr>
            </w:pPr>
          </w:p>
        </w:tc>
      </w:tr>
    </w:tbl>
    <w:p>
      <w:pPr>
        <w:snapToGrid w:val="0"/>
        <w:spacing w:before="50" w:after="50"/>
        <w:rPr>
          <w:rFonts w:ascii="宋体" w:hAnsi="宋体" w:cs="宋体"/>
          <w:spacing w:val="20"/>
          <w:sz w:val="24"/>
          <w:szCs w:val="24"/>
          <w:u w:val="single"/>
        </w:rPr>
      </w:pPr>
      <w:r>
        <w:rPr>
          <w:rFonts w:hint="eastAsia" w:ascii="宋体" w:hAnsi="宋体" w:cs="宋体"/>
          <w:sz w:val="24"/>
          <w:szCs w:val="24"/>
        </w:rPr>
        <w:t>被授权人签字（或盖章）</w:t>
      </w:r>
      <w:r>
        <w:rPr>
          <w:rFonts w:hint="eastAsia" w:ascii="宋体" w:hAnsi="宋体" w:cs="宋体"/>
          <w:spacing w:val="20"/>
          <w:sz w:val="24"/>
          <w:szCs w:val="24"/>
        </w:rPr>
        <w:t>：</w:t>
      </w:r>
      <w:r>
        <w:rPr>
          <w:rFonts w:hint="eastAsia" w:ascii="宋体" w:hAnsi="宋体" w:cs="宋体"/>
          <w:spacing w:val="20"/>
          <w:sz w:val="24"/>
          <w:szCs w:val="24"/>
          <w:u w:val="single"/>
        </w:rPr>
        <w:t xml:space="preserve">        </w:t>
      </w:r>
    </w:p>
    <w:p>
      <w:pPr>
        <w:rPr>
          <w:rFonts w:ascii="宋体" w:hAnsi="宋体" w:cs="宋体"/>
          <w:sz w:val="24"/>
          <w:szCs w:val="24"/>
        </w:rPr>
      </w:pPr>
      <w:bookmarkStart w:id="166" w:name="_Toc39655270"/>
      <w:r>
        <w:rPr>
          <w:rFonts w:hint="eastAsia" w:ascii="宋体" w:hAnsi="宋体" w:cs="宋体"/>
          <w:sz w:val="24"/>
          <w:szCs w:val="24"/>
        </w:rPr>
        <w:t>投标人公章：                                    年    月    日</w:t>
      </w:r>
      <w:bookmarkEnd w:id="166"/>
    </w:p>
    <w:p>
      <w:pPr>
        <w:rPr>
          <w:rFonts w:ascii="宋体" w:hAnsi="宋体" w:cs="宋体"/>
          <w:sz w:val="24"/>
          <w:szCs w:val="24"/>
        </w:rPr>
      </w:pPr>
    </w:p>
    <w:p>
      <w:pPr>
        <w:snapToGrid w:val="0"/>
        <w:jc w:val="left"/>
        <w:rPr>
          <w:rFonts w:ascii="宋体" w:hAnsi="宋体" w:cs="宋体"/>
          <w:b/>
          <w:sz w:val="24"/>
        </w:rPr>
      </w:pPr>
      <w:r>
        <w:rPr>
          <w:rFonts w:hint="eastAsia" w:ascii="宋体" w:hAnsi="宋体" w:cs="宋体"/>
          <w:b/>
          <w:sz w:val="24"/>
        </w:rPr>
        <w:t>12、选配件、专用耗材、售后服务优惠表(没有可不填)</w:t>
      </w:r>
    </w:p>
    <w:p>
      <w:pPr>
        <w:pStyle w:val="13"/>
        <w:overflowPunct w:val="0"/>
        <w:ind w:firstLine="0"/>
        <w:jc w:val="center"/>
        <w:rPr>
          <w:rFonts w:hAnsi="宋体" w:cs="宋体"/>
          <w:b/>
          <w:color w:val="auto"/>
          <w:sz w:val="24"/>
          <w:szCs w:val="24"/>
        </w:rPr>
      </w:pPr>
      <w:r>
        <w:rPr>
          <w:rFonts w:hint="eastAsia" w:hAnsi="宋体" w:cs="宋体"/>
          <w:b/>
          <w:color w:val="auto"/>
          <w:sz w:val="24"/>
          <w:szCs w:val="24"/>
        </w:rPr>
        <w:t>选配件、专用耗材、售后服务优惠表</w:t>
      </w:r>
    </w:p>
    <w:p>
      <w:pPr>
        <w:pStyle w:val="13"/>
        <w:overflowPunct w:val="0"/>
        <w:ind w:firstLine="0"/>
        <w:jc w:val="center"/>
        <w:rPr>
          <w:rFonts w:hAnsi="宋体" w:cs="宋体"/>
          <w:b/>
          <w:color w:val="auto"/>
          <w:sz w:val="24"/>
          <w:szCs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8"/>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5" w:hRule="atLeast"/>
        </w:trPr>
        <w:tc>
          <w:tcPr>
            <w:tcW w:w="1101" w:type="dxa"/>
            <w:noWrap w:val="0"/>
            <w:vAlign w:val="center"/>
          </w:tcPr>
          <w:p>
            <w:pPr>
              <w:snapToGrid w:val="0"/>
              <w:spacing w:after="60" w:afterLines="25" w:line="360" w:lineRule="exact"/>
              <w:jc w:val="center"/>
              <w:rPr>
                <w:rFonts w:ascii="宋体" w:hAnsi="宋体" w:cs="宋体"/>
                <w:sz w:val="24"/>
              </w:rPr>
            </w:pPr>
            <w:r>
              <w:rPr>
                <w:rFonts w:hint="eastAsia" w:ascii="宋体" w:hAnsi="宋体" w:cs="宋体"/>
                <w:sz w:val="24"/>
              </w:rPr>
              <w:t>序号</w:t>
            </w:r>
          </w:p>
        </w:tc>
        <w:tc>
          <w:tcPr>
            <w:tcW w:w="3118" w:type="dxa"/>
            <w:noWrap w:val="0"/>
            <w:vAlign w:val="center"/>
          </w:tcPr>
          <w:p>
            <w:pPr>
              <w:snapToGrid w:val="0"/>
              <w:spacing w:after="60" w:afterLines="25" w:line="360" w:lineRule="exact"/>
              <w:jc w:val="center"/>
              <w:rPr>
                <w:rFonts w:ascii="宋体" w:hAnsi="宋体" w:cs="宋体"/>
                <w:sz w:val="24"/>
              </w:rPr>
            </w:pPr>
            <w:r>
              <w:rPr>
                <w:rFonts w:hint="eastAsia" w:ascii="宋体" w:hAnsi="宋体" w:cs="宋体"/>
                <w:sz w:val="24"/>
              </w:rPr>
              <w:t>优惠内容</w:t>
            </w:r>
          </w:p>
        </w:tc>
        <w:tc>
          <w:tcPr>
            <w:tcW w:w="1984" w:type="dxa"/>
            <w:noWrap w:val="0"/>
            <w:vAlign w:val="center"/>
          </w:tcPr>
          <w:p>
            <w:pPr>
              <w:snapToGrid w:val="0"/>
              <w:spacing w:after="60" w:afterLines="25" w:line="360" w:lineRule="exact"/>
              <w:jc w:val="center"/>
              <w:rPr>
                <w:rFonts w:ascii="宋体" w:hAnsi="宋体" w:cs="宋体"/>
                <w:sz w:val="24"/>
              </w:rPr>
            </w:pPr>
            <w:r>
              <w:rPr>
                <w:rFonts w:hint="eastAsia" w:ascii="宋体" w:hAnsi="宋体" w:cs="宋体"/>
                <w:sz w:val="24"/>
              </w:rPr>
              <w:t>单价</w:t>
            </w:r>
          </w:p>
        </w:tc>
        <w:tc>
          <w:tcPr>
            <w:tcW w:w="2835" w:type="dxa"/>
            <w:noWrap w:val="0"/>
            <w:vAlign w:val="center"/>
          </w:tcPr>
          <w:p>
            <w:pPr>
              <w:snapToGrid w:val="0"/>
              <w:spacing w:after="60" w:afterLines="25" w:line="360" w:lineRule="exact"/>
              <w:jc w:val="center"/>
              <w:rPr>
                <w:rFonts w:ascii="宋体" w:hAnsi="宋体" w:cs="宋体"/>
                <w:sz w:val="24"/>
              </w:rPr>
            </w:pPr>
            <w:r>
              <w:rPr>
                <w:rFonts w:hint="eastAsia" w:ascii="宋体" w:hAnsi="宋体" w:cs="宋体"/>
                <w:sz w:val="24"/>
              </w:rPr>
              <w:t>比投标报价优惠率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1" w:hRule="atLeast"/>
        </w:trPr>
        <w:tc>
          <w:tcPr>
            <w:tcW w:w="1101" w:type="dxa"/>
            <w:noWrap w:val="0"/>
            <w:vAlign w:val="top"/>
          </w:tcPr>
          <w:p>
            <w:pPr>
              <w:snapToGrid w:val="0"/>
              <w:spacing w:after="60" w:afterLines="25" w:line="360" w:lineRule="exact"/>
              <w:jc w:val="left"/>
              <w:rPr>
                <w:rFonts w:ascii="宋体" w:hAnsi="宋体" w:cs="宋体"/>
                <w:sz w:val="24"/>
              </w:rPr>
            </w:pPr>
          </w:p>
        </w:tc>
        <w:tc>
          <w:tcPr>
            <w:tcW w:w="3118" w:type="dxa"/>
            <w:noWrap w:val="0"/>
            <w:vAlign w:val="top"/>
          </w:tcPr>
          <w:p>
            <w:pPr>
              <w:snapToGrid w:val="0"/>
              <w:spacing w:after="60" w:afterLines="25" w:line="360" w:lineRule="exact"/>
              <w:jc w:val="left"/>
              <w:rPr>
                <w:rFonts w:ascii="宋体" w:hAnsi="宋体" w:cs="宋体"/>
                <w:sz w:val="24"/>
              </w:rPr>
            </w:pPr>
          </w:p>
        </w:tc>
        <w:tc>
          <w:tcPr>
            <w:tcW w:w="1984" w:type="dxa"/>
            <w:noWrap w:val="0"/>
            <w:vAlign w:val="top"/>
          </w:tcPr>
          <w:p>
            <w:pPr>
              <w:snapToGrid w:val="0"/>
              <w:spacing w:after="60" w:afterLines="25" w:line="360" w:lineRule="exact"/>
              <w:jc w:val="left"/>
              <w:rPr>
                <w:rFonts w:ascii="宋体" w:hAnsi="宋体" w:cs="宋体"/>
                <w:sz w:val="24"/>
              </w:rPr>
            </w:pPr>
          </w:p>
        </w:tc>
        <w:tc>
          <w:tcPr>
            <w:tcW w:w="2835" w:type="dxa"/>
            <w:noWrap w:val="0"/>
            <w:vAlign w:val="top"/>
          </w:tcPr>
          <w:p>
            <w:pPr>
              <w:snapToGrid w:val="0"/>
              <w:spacing w:after="60" w:afterLines="25" w:line="360" w:lineRule="exact"/>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1101" w:type="dxa"/>
            <w:noWrap w:val="0"/>
            <w:vAlign w:val="top"/>
          </w:tcPr>
          <w:p>
            <w:pPr>
              <w:snapToGrid w:val="0"/>
              <w:spacing w:after="60" w:afterLines="25" w:line="360" w:lineRule="exact"/>
              <w:jc w:val="left"/>
              <w:rPr>
                <w:rFonts w:ascii="宋体" w:hAnsi="宋体" w:cs="宋体"/>
                <w:sz w:val="24"/>
              </w:rPr>
            </w:pPr>
          </w:p>
        </w:tc>
        <w:tc>
          <w:tcPr>
            <w:tcW w:w="3118" w:type="dxa"/>
            <w:noWrap w:val="0"/>
            <w:vAlign w:val="top"/>
          </w:tcPr>
          <w:p>
            <w:pPr>
              <w:snapToGrid w:val="0"/>
              <w:spacing w:after="60" w:afterLines="25" w:line="360" w:lineRule="exact"/>
              <w:jc w:val="left"/>
              <w:rPr>
                <w:rFonts w:ascii="宋体" w:hAnsi="宋体" w:cs="宋体"/>
                <w:sz w:val="24"/>
              </w:rPr>
            </w:pPr>
          </w:p>
        </w:tc>
        <w:tc>
          <w:tcPr>
            <w:tcW w:w="1984" w:type="dxa"/>
            <w:noWrap w:val="0"/>
            <w:vAlign w:val="top"/>
          </w:tcPr>
          <w:p>
            <w:pPr>
              <w:snapToGrid w:val="0"/>
              <w:spacing w:after="60" w:afterLines="25" w:line="360" w:lineRule="exact"/>
              <w:jc w:val="left"/>
              <w:rPr>
                <w:rFonts w:ascii="宋体" w:hAnsi="宋体" w:cs="宋体"/>
                <w:sz w:val="24"/>
              </w:rPr>
            </w:pPr>
          </w:p>
        </w:tc>
        <w:tc>
          <w:tcPr>
            <w:tcW w:w="2835" w:type="dxa"/>
            <w:noWrap w:val="0"/>
            <w:vAlign w:val="top"/>
          </w:tcPr>
          <w:p>
            <w:pPr>
              <w:snapToGrid w:val="0"/>
              <w:spacing w:after="60" w:afterLines="25" w:line="36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1101" w:type="dxa"/>
            <w:noWrap w:val="0"/>
            <w:vAlign w:val="top"/>
          </w:tcPr>
          <w:p>
            <w:pPr>
              <w:snapToGrid w:val="0"/>
              <w:spacing w:after="60" w:afterLines="25" w:line="360" w:lineRule="exact"/>
              <w:jc w:val="left"/>
              <w:rPr>
                <w:rFonts w:ascii="宋体" w:hAnsi="宋体" w:cs="宋体"/>
                <w:sz w:val="24"/>
              </w:rPr>
            </w:pPr>
          </w:p>
        </w:tc>
        <w:tc>
          <w:tcPr>
            <w:tcW w:w="3118" w:type="dxa"/>
            <w:noWrap w:val="0"/>
            <w:vAlign w:val="top"/>
          </w:tcPr>
          <w:p>
            <w:pPr>
              <w:snapToGrid w:val="0"/>
              <w:spacing w:after="60" w:afterLines="25" w:line="360" w:lineRule="exact"/>
              <w:jc w:val="left"/>
              <w:rPr>
                <w:rFonts w:ascii="宋体" w:hAnsi="宋体" w:cs="宋体"/>
                <w:sz w:val="24"/>
              </w:rPr>
            </w:pPr>
          </w:p>
        </w:tc>
        <w:tc>
          <w:tcPr>
            <w:tcW w:w="1984" w:type="dxa"/>
            <w:noWrap w:val="0"/>
            <w:vAlign w:val="top"/>
          </w:tcPr>
          <w:p>
            <w:pPr>
              <w:snapToGrid w:val="0"/>
              <w:spacing w:after="60" w:afterLines="25" w:line="360" w:lineRule="exact"/>
              <w:jc w:val="left"/>
              <w:rPr>
                <w:rFonts w:ascii="宋体" w:hAnsi="宋体" w:cs="宋体"/>
                <w:sz w:val="24"/>
              </w:rPr>
            </w:pPr>
          </w:p>
        </w:tc>
        <w:tc>
          <w:tcPr>
            <w:tcW w:w="2835" w:type="dxa"/>
            <w:noWrap w:val="0"/>
            <w:vAlign w:val="top"/>
          </w:tcPr>
          <w:p>
            <w:pPr>
              <w:snapToGrid w:val="0"/>
              <w:spacing w:after="60" w:afterLines="25" w:line="36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2" w:hRule="atLeast"/>
        </w:trPr>
        <w:tc>
          <w:tcPr>
            <w:tcW w:w="1101" w:type="dxa"/>
            <w:noWrap w:val="0"/>
            <w:vAlign w:val="top"/>
          </w:tcPr>
          <w:p>
            <w:pPr>
              <w:snapToGrid w:val="0"/>
              <w:spacing w:after="60" w:afterLines="25" w:line="360" w:lineRule="exact"/>
              <w:jc w:val="left"/>
              <w:rPr>
                <w:rFonts w:ascii="宋体" w:hAnsi="宋体" w:cs="宋体"/>
                <w:sz w:val="24"/>
              </w:rPr>
            </w:pPr>
          </w:p>
        </w:tc>
        <w:tc>
          <w:tcPr>
            <w:tcW w:w="3118" w:type="dxa"/>
            <w:noWrap w:val="0"/>
            <w:vAlign w:val="top"/>
          </w:tcPr>
          <w:p>
            <w:pPr>
              <w:snapToGrid w:val="0"/>
              <w:spacing w:after="60" w:afterLines="25" w:line="360" w:lineRule="exact"/>
              <w:jc w:val="left"/>
              <w:rPr>
                <w:rFonts w:ascii="宋体" w:hAnsi="宋体" w:cs="宋体"/>
                <w:sz w:val="24"/>
              </w:rPr>
            </w:pPr>
          </w:p>
        </w:tc>
        <w:tc>
          <w:tcPr>
            <w:tcW w:w="1984" w:type="dxa"/>
            <w:noWrap w:val="0"/>
            <w:vAlign w:val="top"/>
          </w:tcPr>
          <w:p>
            <w:pPr>
              <w:snapToGrid w:val="0"/>
              <w:spacing w:after="60" w:afterLines="25" w:line="360" w:lineRule="exact"/>
              <w:jc w:val="left"/>
              <w:rPr>
                <w:rFonts w:ascii="宋体" w:hAnsi="宋体" w:cs="宋体"/>
                <w:sz w:val="24"/>
              </w:rPr>
            </w:pPr>
          </w:p>
        </w:tc>
        <w:tc>
          <w:tcPr>
            <w:tcW w:w="2835" w:type="dxa"/>
            <w:noWrap w:val="0"/>
            <w:vAlign w:val="top"/>
          </w:tcPr>
          <w:p>
            <w:pPr>
              <w:snapToGrid w:val="0"/>
              <w:spacing w:after="60" w:afterLines="25" w:line="360" w:lineRule="exact"/>
              <w:jc w:val="left"/>
              <w:rPr>
                <w:rFonts w:ascii="宋体" w:hAnsi="宋体" w:cs="宋体"/>
                <w:sz w:val="24"/>
              </w:rPr>
            </w:pPr>
          </w:p>
        </w:tc>
      </w:tr>
    </w:tbl>
    <w:p>
      <w:pPr>
        <w:snapToGrid w:val="0"/>
        <w:spacing w:before="50" w:after="50"/>
        <w:rPr>
          <w:rFonts w:ascii="宋体" w:hAnsi="宋体" w:cs="宋体"/>
          <w:spacing w:val="20"/>
          <w:sz w:val="24"/>
          <w:szCs w:val="24"/>
          <w:u w:val="single"/>
        </w:rPr>
      </w:pPr>
      <w:r>
        <w:rPr>
          <w:rFonts w:hint="eastAsia" w:ascii="宋体" w:hAnsi="宋体" w:cs="宋体"/>
          <w:sz w:val="24"/>
          <w:szCs w:val="24"/>
        </w:rPr>
        <w:t>被授权人签字（或盖章）</w:t>
      </w:r>
      <w:r>
        <w:rPr>
          <w:rFonts w:hint="eastAsia" w:ascii="宋体" w:hAnsi="宋体" w:cs="宋体"/>
          <w:spacing w:val="20"/>
          <w:sz w:val="24"/>
          <w:szCs w:val="24"/>
        </w:rPr>
        <w:t>：</w:t>
      </w:r>
      <w:r>
        <w:rPr>
          <w:rFonts w:hint="eastAsia" w:ascii="宋体" w:hAnsi="宋体" w:cs="宋体"/>
          <w:spacing w:val="20"/>
          <w:sz w:val="24"/>
          <w:szCs w:val="24"/>
          <w:u w:val="single"/>
        </w:rPr>
        <w:t xml:space="preserve">        </w:t>
      </w:r>
    </w:p>
    <w:p>
      <w:pPr>
        <w:snapToGrid w:val="0"/>
        <w:jc w:val="left"/>
        <w:rPr>
          <w:rFonts w:ascii="宋体" w:hAnsi="宋体" w:cs="宋体"/>
          <w:sz w:val="24"/>
          <w:szCs w:val="24"/>
        </w:rPr>
      </w:pPr>
      <w:r>
        <w:rPr>
          <w:rFonts w:hint="eastAsia" w:ascii="宋体" w:hAnsi="宋体" w:cs="宋体"/>
          <w:sz w:val="24"/>
          <w:szCs w:val="24"/>
        </w:rPr>
        <w:t>投标人公章：                                    年    月    日</w:t>
      </w:r>
    </w:p>
    <w:p>
      <w:pPr>
        <w:snapToGrid w:val="0"/>
        <w:jc w:val="left"/>
        <w:rPr>
          <w:rFonts w:ascii="宋体" w:hAnsi="宋体" w:cs="宋体"/>
          <w:sz w:val="24"/>
          <w:szCs w:val="24"/>
        </w:rPr>
      </w:pPr>
      <w:r>
        <w:rPr>
          <w:rFonts w:ascii="宋体" w:hAnsi="宋体" w:cs="宋体"/>
          <w:sz w:val="24"/>
          <w:szCs w:val="24"/>
        </w:rPr>
        <w:br w:type="page"/>
      </w:r>
    </w:p>
    <w:p>
      <w:pPr>
        <w:widowControl/>
        <w:snapToGrid w:val="0"/>
        <w:spacing w:before="24" w:beforeLines="10" w:after="24" w:afterLines="10" w:line="400" w:lineRule="exact"/>
        <w:jc w:val="left"/>
        <w:rPr>
          <w:rFonts w:ascii="宋体" w:hAnsi="宋体" w:cs="宋体"/>
          <w:b/>
          <w:kern w:val="0"/>
          <w:sz w:val="24"/>
          <w:szCs w:val="24"/>
        </w:rPr>
      </w:pPr>
      <w:r>
        <w:rPr>
          <w:rFonts w:hint="eastAsia" w:ascii="宋体" w:hAnsi="宋体" w:cs="宋体"/>
          <w:b/>
          <w:kern w:val="0"/>
          <w:sz w:val="24"/>
          <w:szCs w:val="24"/>
        </w:rPr>
        <w:t>13、社保证明承诺函</w:t>
      </w:r>
    </w:p>
    <w:p>
      <w:pPr>
        <w:pStyle w:val="13"/>
        <w:overflowPunct w:val="0"/>
        <w:ind w:firstLine="0"/>
        <w:jc w:val="center"/>
        <w:rPr>
          <w:rFonts w:hAnsi="宋体" w:cs="宋体"/>
          <w:b/>
          <w:color w:val="auto"/>
          <w:sz w:val="24"/>
          <w:szCs w:val="24"/>
        </w:rPr>
      </w:pPr>
      <w:r>
        <w:rPr>
          <w:rFonts w:hint="eastAsia" w:hAnsi="宋体" w:cs="宋体"/>
          <w:b/>
          <w:color w:val="auto"/>
          <w:sz w:val="24"/>
          <w:szCs w:val="24"/>
        </w:rPr>
        <w:t>社保证明承诺函</w:t>
      </w:r>
    </w:p>
    <w:p>
      <w:pPr>
        <w:pStyle w:val="13"/>
        <w:overflowPunct w:val="0"/>
        <w:ind w:firstLine="0"/>
        <w:jc w:val="center"/>
        <w:rPr>
          <w:rFonts w:hAnsi="宋体" w:cs="宋体"/>
          <w:b/>
          <w:color w:val="auto"/>
          <w:sz w:val="24"/>
          <w:szCs w:val="24"/>
        </w:rPr>
      </w:pPr>
    </w:p>
    <w:p>
      <w:pPr>
        <w:snapToGrid w:val="0"/>
        <w:ind w:firstLine="480" w:firstLineChars="200"/>
        <w:jc w:val="left"/>
        <w:rPr>
          <w:rFonts w:ascii="宋体" w:hAnsi="宋体" w:cs="宋体"/>
          <w:sz w:val="24"/>
          <w:szCs w:val="24"/>
        </w:rPr>
      </w:pPr>
      <w:r>
        <w:rPr>
          <w:rFonts w:hint="eastAsia" w:ascii="宋体" w:hAnsi="宋体" w:cs="宋体"/>
          <w:sz w:val="24"/>
          <w:szCs w:val="24"/>
        </w:rPr>
        <w:t>嘉兴市公安局秀洲区分局：</w:t>
      </w:r>
    </w:p>
    <w:p>
      <w:pPr>
        <w:snapToGrid w:val="0"/>
        <w:ind w:firstLine="480" w:firstLineChars="200"/>
        <w:jc w:val="left"/>
        <w:rPr>
          <w:rFonts w:ascii="宋体" w:hAnsi="宋体" w:cs="宋体"/>
          <w:sz w:val="24"/>
          <w:szCs w:val="24"/>
        </w:rPr>
      </w:pPr>
      <w:r>
        <w:rPr>
          <w:rFonts w:hint="eastAsia" w:ascii="宋体" w:hAnsi="宋体" w:cs="宋体"/>
          <w:sz w:val="24"/>
          <w:szCs w:val="24"/>
        </w:rPr>
        <w:t>我公司参与本项目的下列人员，均按规定缴纳社保。</w:t>
      </w:r>
    </w:p>
    <w:tbl>
      <w:tblPr>
        <w:tblStyle w:val="46"/>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97"/>
        <w:gridCol w:w="2630"/>
        <w:gridCol w:w="1605"/>
        <w:gridCol w:w="19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7" w:type="dxa"/>
            <w:noWrap w:val="0"/>
            <w:vAlign w:val="center"/>
          </w:tcPr>
          <w:p>
            <w:pPr>
              <w:snapToGrid w:val="0"/>
              <w:jc w:val="center"/>
              <w:rPr>
                <w:rFonts w:ascii="宋体" w:hAnsi="宋体" w:cs="宋体"/>
                <w:sz w:val="24"/>
                <w:szCs w:val="24"/>
              </w:rPr>
            </w:pPr>
            <w:r>
              <w:rPr>
                <w:rFonts w:hint="eastAsia" w:ascii="宋体" w:hAnsi="宋体" w:cs="宋体"/>
                <w:sz w:val="24"/>
                <w:szCs w:val="24"/>
              </w:rPr>
              <w:t>序号</w:t>
            </w:r>
          </w:p>
        </w:tc>
        <w:tc>
          <w:tcPr>
            <w:tcW w:w="997" w:type="dxa"/>
            <w:noWrap w:val="0"/>
            <w:vAlign w:val="center"/>
          </w:tcPr>
          <w:p>
            <w:pPr>
              <w:snapToGrid w:val="0"/>
              <w:jc w:val="center"/>
              <w:rPr>
                <w:rFonts w:ascii="宋体" w:hAnsi="宋体" w:cs="宋体"/>
                <w:sz w:val="24"/>
                <w:szCs w:val="24"/>
              </w:rPr>
            </w:pPr>
            <w:r>
              <w:rPr>
                <w:rFonts w:hint="eastAsia" w:ascii="宋体" w:hAnsi="宋体" w:cs="宋体"/>
                <w:sz w:val="24"/>
                <w:szCs w:val="24"/>
              </w:rPr>
              <w:t>姓名</w:t>
            </w:r>
          </w:p>
        </w:tc>
        <w:tc>
          <w:tcPr>
            <w:tcW w:w="2630" w:type="dxa"/>
            <w:noWrap w:val="0"/>
            <w:vAlign w:val="center"/>
          </w:tcPr>
          <w:p>
            <w:pPr>
              <w:snapToGrid w:val="0"/>
              <w:jc w:val="center"/>
              <w:rPr>
                <w:rFonts w:ascii="宋体" w:hAnsi="宋体" w:cs="宋体"/>
                <w:sz w:val="24"/>
                <w:szCs w:val="24"/>
              </w:rPr>
            </w:pPr>
            <w:r>
              <w:rPr>
                <w:rFonts w:hint="eastAsia" w:ascii="宋体" w:hAnsi="宋体" w:cs="宋体"/>
                <w:sz w:val="24"/>
                <w:szCs w:val="24"/>
              </w:rPr>
              <w:t>身份证号</w:t>
            </w:r>
          </w:p>
        </w:tc>
        <w:tc>
          <w:tcPr>
            <w:tcW w:w="1605" w:type="dxa"/>
            <w:noWrap w:val="0"/>
            <w:vAlign w:val="center"/>
          </w:tcPr>
          <w:p>
            <w:pPr>
              <w:snapToGrid w:val="0"/>
              <w:jc w:val="center"/>
              <w:rPr>
                <w:rFonts w:ascii="宋体" w:hAnsi="宋体" w:cs="宋体"/>
                <w:sz w:val="24"/>
                <w:szCs w:val="24"/>
              </w:rPr>
            </w:pPr>
            <w:r>
              <w:rPr>
                <w:rFonts w:hint="eastAsia" w:ascii="宋体" w:hAnsi="宋体" w:cs="宋体"/>
                <w:sz w:val="24"/>
                <w:szCs w:val="24"/>
              </w:rPr>
              <w:t>社会保障号</w:t>
            </w:r>
          </w:p>
        </w:tc>
        <w:tc>
          <w:tcPr>
            <w:tcW w:w="1980" w:type="dxa"/>
            <w:noWrap w:val="0"/>
            <w:vAlign w:val="center"/>
          </w:tcPr>
          <w:p>
            <w:pPr>
              <w:snapToGrid w:val="0"/>
              <w:jc w:val="center"/>
              <w:rPr>
                <w:rFonts w:ascii="宋体" w:hAnsi="宋体" w:cs="宋体"/>
                <w:sz w:val="24"/>
                <w:szCs w:val="24"/>
              </w:rPr>
            </w:pPr>
            <w:r>
              <w:rPr>
                <w:rFonts w:hint="eastAsia" w:ascii="宋体" w:hAnsi="宋体" w:cs="宋体"/>
                <w:sz w:val="24"/>
                <w:szCs w:val="24"/>
              </w:rPr>
              <w:t>社保经办机构</w:t>
            </w:r>
          </w:p>
        </w:tc>
        <w:tc>
          <w:tcPr>
            <w:tcW w:w="1125" w:type="dxa"/>
            <w:noWrap w:val="0"/>
            <w:vAlign w:val="center"/>
          </w:tcPr>
          <w:p>
            <w:pPr>
              <w:snapToGrid w:val="0"/>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7" w:type="dxa"/>
            <w:noWrap w:val="0"/>
            <w:vAlign w:val="center"/>
          </w:tcPr>
          <w:p>
            <w:pPr>
              <w:snapToGrid w:val="0"/>
              <w:ind w:left="238"/>
              <w:jc w:val="center"/>
              <w:rPr>
                <w:rFonts w:ascii="宋体" w:hAnsi="宋体" w:cs="宋体"/>
                <w:sz w:val="24"/>
                <w:szCs w:val="24"/>
              </w:rPr>
            </w:pPr>
          </w:p>
        </w:tc>
        <w:tc>
          <w:tcPr>
            <w:tcW w:w="997" w:type="dxa"/>
            <w:noWrap w:val="0"/>
            <w:vAlign w:val="center"/>
          </w:tcPr>
          <w:p>
            <w:pPr>
              <w:snapToGrid w:val="0"/>
              <w:ind w:left="238"/>
              <w:jc w:val="center"/>
              <w:rPr>
                <w:rFonts w:ascii="宋体" w:hAnsi="宋体" w:cs="宋体"/>
                <w:sz w:val="24"/>
                <w:szCs w:val="24"/>
              </w:rPr>
            </w:pPr>
          </w:p>
        </w:tc>
        <w:tc>
          <w:tcPr>
            <w:tcW w:w="2630" w:type="dxa"/>
            <w:noWrap w:val="0"/>
            <w:vAlign w:val="center"/>
          </w:tcPr>
          <w:p>
            <w:pPr>
              <w:snapToGrid w:val="0"/>
              <w:ind w:left="238"/>
              <w:jc w:val="center"/>
              <w:rPr>
                <w:rFonts w:ascii="宋体" w:hAnsi="宋体" w:cs="宋体"/>
                <w:sz w:val="24"/>
                <w:szCs w:val="24"/>
              </w:rPr>
            </w:pPr>
          </w:p>
        </w:tc>
        <w:tc>
          <w:tcPr>
            <w:tcW w:w="1605" w:type="dxa"/>
            <w:noWrap w:val="0"/>
            <w:vAlign w:val="center"/>
          </w:tcPr>
          <w:p>
            <w:pPr>
              <w:snapToGrid w:val="0"/>
              <w:ind w:left="238"/>
              <w:jc w:val="center"/>
              <w:rPr>
                <w:rFonts w:ascii="宋体" w:hAnsi="宋体" w:cs="宋体"/>
                <w:sz w:val="24"/>
                <w:szCs w:val="24"/>
              </w:rPr>
            </w:pPr>
          </w:p>
        </w:tc>
        <w:tc>
          <w:tcPr>
            <w:tcW w:w="1980" w:type="dxa"/>
            <w:noWrap w:val="0"/>
            <w:vAlign w:val="center"/>
          </w:tcPr>
          <w:p>
            <w:pPr>
              <w:snapToGrid w:val="0"/>
              <w:ind w:left="238"/>
              <w:jc w:val="center"/>
              <w:rPr>
                <w:rFonts w:ascii="宋体" w:hAnsi="宋体" w:cs="宋体"/>
                <w:sz w:val="24"/>
                <w:szCs w:val="24"/>
              </w:rPr>
            </w:pPr>
          </w:p>
        </w:tc>
        <w:tc>
          <w:tcPr>
            <w:tcW w:w="1125" w:type="dxa"/>
            <w:noWrap w:val="0"/>
            <w:vAlign w:val="center"/>
          </w:tcPr>
          <w:p>
            <w:pPr>
              <w:snapToGrid w:val="0"/>
              <w:ind w:left="238"/>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7" w:type="dxa"/>
            <w:noWrap w:val="0"/>
            <w:vAlign w:val="center"/>
          </w:tcPr>
          <w:p>
            <w:pPr>
              <w:snapToGrid w:val="0"/>
              <w:ind w:left="238"/>
              <w:jc w:val="center"/>
              <w:rPr>
                <w:rFonts w:ascii="宋体" w:hAnsi="宋体" w:cs="宋体"/>
                <w:sz w:val="24"/>
                <w:szCs w:val="24"/>
              </w:rPr>
            </w:pPr>
          </w:p>
        </w:tc>
        <w:tc>
          <w:tcPr>
            <w:tcW w:w="997" w:type="dxa"/>
            <w:noWrap w:val="0"/>
            <w:vAlign w:val="center"/>
          </w:tcPr>
          <w:p>
            <w:pPr>
              <w:snapToGrid w:val="0"/>
              <w:ind w:left="238"/>
              <w:jc w:val="center"/>
              <w:rPr>
                <w:rFonts w:ascii="宋体" w:hAnsi="宋体" w:cs="宋体"/>
                <w:sz w:val="24"/>
                <w:szCs w:val="24"/>
              </w:rPr>
            </w:pPr>
          </w:p>
        </w:tc>
        <w:tc>
          <w:tcPr>
            <w:tcW w:w="2630" w:type="dxa"/>
            <w:noWrap w:val="0"/>
            <w:vAlign w:val="center"/>
          </w:tcPr>
          <w:p>
            <w:pPr>
              <w:snapToGrid w:val="0"/>
              <w:ind w:left="238"/>
              <w:jc w:val="center"/>
              <w:rPr>
                <w:rFonts w:ascii="宋体" w:hAnsi="宋体" w:cs="宋体"/>
                <w:sz w:val="24"/>
                <w:szCs w:val="24"/>
              </w:rPr>
            </w:pPr>
          </w:p>
        </w:tc>
        <w:tc>
          <w:tcPr>
            <w:tcW w:w="1605" w:type="dxa"/>
            <w:noWrap w:val="0"/>
            <w:vAlign w:val="center"/>
          </w:tcPr>
          <w:p>
            <w:pPr>
              <w:snapToGrid w:val="0"/>
              <w:ind w:left="238"/>
              <w:jc w:val="center"/>
              <w:rPr>
                <w:rFonts w:ascii="宋体" w:hAnsi="宋体" w:cs="宋体"/>
                <w:sz w:val="24"/>
                <w:szCs w:val="24"/>
              </w:rPr>
            </w:pPr>
          </w:p>
        </w:tc>
        <w:tc>
          <w:tcPr>
            <w:tcW w:w="1980" w:type="dxa"/>
            <w:noWrap w:val="0"/>
            <w:vAlign w:val="center"/>
          </w:tcPr>
          <w:p>
            <w:pPr>
              <w:snapToGrid w:val="0"/>
              <w:ind w:left="238"/>
              <w:jc w:val="center"/>
              <w:rPr>
                <w:rFonts w:ascii="宋体" w:hAnsi="宋体" w:cs="宋体"/>
                <w:sz w:val="24"/>
                <w:szCs w:val="24"/>
              </w:rPr>
            </w:pPr>
          </w:p>
        </w:tc>
        <w:tc>
          <w:tcPr>
            <w:tcW w:w="1125" w:type="dxa"/>
            <w:noWrap w:val="0"/>
            <w:vAlign w:val="center"/>
          </w:tcPr>
          <w:p>
            <w:pPr>
              <w:snapToGrid w:val="0"/>
              <w:ind w:left="238"/>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7" w:type="dxa"/>
            <w:noWrap w:val="0"/>
            <w:vAlign w:val="center"/>
          </w:tcPr>
          <w:p>
            <w:pPr>
              <w:snapToGrid w:val="0"/>
              <w:ind w:left="238"/>
              <w:jc w:val="center"/>
              <w:rPr>
                <w:rFonts w:ascii="宋体" w:hAnsi="宋体" w:cs="宋体"/>
                <w:sz w:val="24"/>
                <w:szCs w:val="24"/>
              </w:rPr>
            </w:pPr>
          </w:p>
        </w:tc>
        <w:tc>
          <w:tcPr>
            <w:tcW w:w="997" w:type="dxa"/>
            <w:noWrap w:val="0"/>
            <w:vAlign w:val="center"/>
          </w:tcPr>
          <w:p>
            <w:pPr>
              <w:snapToGrid w:val="0"/>
              <w:ind w:left="238"/>
              <w:jc w:val="center"/>
              <w:rPr>
                <w:rFonts w:ascii="宋体" w:hAnsi="宋体" w:cs="宋体"/>
                <w:sz w:val="24"/>
                <w:szCs w:val="24"/>
              </w:rPr>
            </w:pPr>
          </w:p>
        </w:tc>
        <w:tc>
          <w:tcPr>
            <w:tcW w:w="2630" w:type="dxa"/>
            <w:noWrap w:val="0"/>
            <w:vAlign w:val="center"/>
          </w:tcPr>
          <w:p>
            <w:pPr>
              <w:snapToGrid w:val="0"/>
              <w:ind w:left="238"/>
              <w:jc w:val="center"/>
              <w:rPr>
                <w:rFonts w:ascii="宋体" w:hAnsi="宋体" w:cs="宋体"/>
                <w:sz w:val="24"/>
                <w:szCs w:val="24"/>
              </w:rPr>
            </w:pPr>
          </w:p>
        </w:tc>
        <w:tc>
          <w:tcPr>
            <w:tcW w:w="1605" w:type="dxa"/>
            <w:noWrap w:val="0"/>
            <w:vAlign w:val="center"/>
          </w:tcPr>
          <w:p>
            <w:pPr>
              <w:snapToGrid w:val="0"/>
              <w:ind w:left="238"/>
              <w:jc w:val="center"/>
              <w:rPr>
                <w:rFonts w:ascii="宋体" w:hAnsi="宋体" w:cs="宋体"/>
                <w:sz w:val="24"/>
                <w:szCs w:val="24"/>
              </w:rPr>
            </w:pPr>
          </w:p>
        </w:tc>
        <w:tc>
          <w:tcPr>
            <w:tcW w:w="1980" w:type="dxa"/>
            <w:noWrap w:val="0"/>
            <w:vAlign w:val="center"/>
          </w:tcPr>
          <w:p>
            <w:pPr>
              <w:snapToGrid w:val="0"/>
              <w:ind w:left="238"/>
              <w:jc w:val="center"/>
              <w:rPr>
                <w:rFonts w:ascii="宋体" w:hAnsi="宋体" w:cs="宋体"/>
                <w:sz w:val="24"/>
                <w:szCs w:val="24"/>
              </w:rPr>
            </w:pPr>
          </w:p>
        </w:tc>
        <w:tc>
          <w:tcPr>
            <w:tcW w:w="1125" w:type="dxa"/>
            <w:noWrap w:val="0"/>
            <w:vAlign w:val="center"/>
          </w:tcPr>
          <w:p>
            <w:pPr>
              <w:snapToGrid w:val="0"/>
              <w:ind w:left="238"/>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7" w:type="dxa"/>
            <w:noWrap w:val="0"/>
            <w:vAlign w:val="center"/>
          </w:tcPr>
          <w:p>
            <w:pPr>
              <w:snapToGrid w:val="0"/>
              <w:ind w:left="238"/>
              <w:jc w:val="center"/>
              <w:rPr>
                <w:rFonts w:ascii="宋体" w:hAnsi="宋体" w:cs="宋体"/>
                <w:sz w:val="24"/>
                <w:szCs w:val="24"/>
              </w:rPr>
            </w:pPr>
          </w:p>
        </w:tc>
        <w:tc>
          <w:tcPr>
            <w:tcW w:w="997" w:type="dxa"/>
            <w:noWrap w:val="0"/>
            <w:vAlign w:val="center"/>
          </w:tcPr>
          <w:p>
            <w:pPr>
              <w:snapToGrid w:val="0"/>
              <w:ind w:left="238"/>
              <w:jc w:val="center"/>
              <w:rPr>
                <w:rFonts w:ascii="宋体" w:hAnsi="宋体" w:cs="宋体"/>
                <w:sz w:val="24"/>
                <w:szCs w:val="24"/>
              </w:rPr>
            </w:pPr>
          </w:p>
        </w:tc>
        <w:tc>
          <w:tcPr>
            <w:tcW w:w="2630" w:type="dxa"/>
            <w:noWrap w:val="0"/>
            <w:vAlign w:val="center"/>
          </w:tcPr>
          <w:p>
            <w:pPr>
              <w:snapToGrid w:val="0"/>
              <w:ind w:left="238"/>
              <w:jc w:val="center"/>
              <w:rPr>
                <w:rFonts w:ascii="宋体" w:hAnsi="宋体" w:cs="宋体"/>
                <w:sz w:val="24"/>
                <w:szCs w:val="24"/>
              </w:rPr>
            </w:pPr>
          </w:p>
        </w:tc>
        <w:tc>
          <w:tcPr>
            <w:tcW w:w="1605" w:type="dxa"/>
            <w:noWrap w:val="0"/>
            <w:vAlign w:val="center"/>
          </w:tcPr>
          <w:p>
            <w:pPr>
              <w:snapToGrid w:val="0"/>
              <w:ind w:left="238"/>
              <w:jc w:val="center"/>
              <w:rPr>
                <w:rFonts w:ascii="宋体" w:hAnsi="宋体" w:cs="宋体"/>
                <w:sz w:val="24"/>
                <w:szCs w:val="24"/>
              </w:rPr>
            </w:pPr>
          </w:p>
        </w:tc>
        <w:tc>
          <w:tcPr>
            <w:tcW w:w="1980" w:type="dxa"/>
            <w:noWrap w:val="0"/>
            <w:vAlign w:val="center"/>
          </w:tcPr>
          <w:p>
            <w:pPr>
              <w:snapToGrid w:val="0"/>
              <w:ind w:left="238"/>
              <w:jc w:val="center"/>
              <w:rPr>
                <w:rFonts w:ascii="宋体" w:hAnsi="宋体" w:cs="宋体"/>
                <w:sz w:val="24"/>
                <w:szCs w:val="24"/>
              </w:rPr>
            </w:pPr>
          </w:p>
        </w:tc>
        <w:tc>
          <w:tcPr>
            <w:tcW w:w="1125" w:type="dxa"/>
            <w:noWrap w:val="0"/>
            <w:vAlign w:val="center"/>
          </w:tcPr>
          <w:p>
            <w:pPr>
              <w:snapToGrid w:val="0"/>
              <w:ind w:left="238"/>
              <w:jc w:val="center"/>
              <w:rPr>
                <w:rFonts w:ascii="宋体" w:hAnsi="宋体" w:cs="宋体"/>
                <w:sz w:val="24"/>
                <w:szCs w:val="24"/>
              </w:rPr>
            </w:pPr>
          </w:p>
        </w:tc>
      </w:tr>
    </w:tbl>
    <w:p>
      <w:pPr>
        <w:snapToGrid w:val="0"/>
        <w:jc w:val="left"/>
        <w:rPr>
          <w:rFonts w:ascii="宋体" w:hAnsi="宋体" w:cs="宋体"/>
          <w:b/>
          <w:sz w:val="24"/>
        </w:rPr>
      </w:pPr>
      <w:r>
        <w:rPr>
          <w:rFonts w:hint="eastAsia" w:ascii="宋体" w:hAnsi="宋体" w:cs="宋体"/>
          <w:sz w:val="24"/>
          <w:szCs w:val="24"/>
        </w:rPr>
        <w:t xml:space="preserve">     特此承诺。               </w:t>
      </w:r>
    </w:p>
    <w:p>
      <w:pPr>
        <w:snapToGrid w:val="0"/>
        <w:spacing w:before="50" w:after="50"/>
        <w:rPr>
          <w:rFonts w:ascii="宋体" w:hAnsi="宋体" w:cs="宋体"/>
          <w:spacing w:val="20"/>
          <w:sz w:val="24"/>
          <w:szCs w:val="24"/>
          <w:u w:val="single"/>
        </w:rPr>
      </w:pPr>
    </w:p>
    <w:p>
      <w:pPr>
        <w:snapToGrid w:val="0"/>
        <w:jc w:val="left"/>
        <w:rPr>
          <w:rFonts w:ascii="宋体" w:hAnsi="宋体" w:cs="宋体"/>
          <w:sz w:val="24"/>
          <w:szCs w:val="24"/>
        </w:rPr>
      </w:pPr>
      <w:r>
        <w:rPr>
          <w:rFonts w:hint="eastAsia" w:ascii="宋体" w:hAnsi="宋体" w:cs="宋体"/>
          <w:sz w:val="24"/>
          <w:szCs w:val="24"/>
        </w:rPr>
        <w:t>投标人公章：                                    年    月    日</w:t>
      </w:r>
    </w:p>
    <w:p>
      <w:pPr>
        <w:pStyle w:val="2"/>
        <w:rPr>
          <w:rFonts w:ascii="宋体" w:hAnsi="宋体" w:cs="宋体"/>
          <w:b w:val="0"/>
          <w:sz w:val="24"/>
          <w:szCs w:val="24"/>
        </w:rPr>
      </w:pPr>
    </w:p>
    <w:p>
      <w:pPr>
        <w:pStyle w:val="2"/>
      </w:pPr>
      <w:r>
        <w:rPr>
          <w:rFonts w:hint="eastAsia" w:ascii="宋体" w:hAnsi="宋体" w:cs="宋体"/>
          <w:b w:val="0"/>
          <w:sz w:val="24"/>
          <w:szCs w:val="24"/>
        </w:rPr>
        <w:br w:type="page"/>
      </w:r>
      <w:bookmarkStart w:id="167" w:name="_Toc3386515"/>
      <w:bookmarkStart w:id="168" w:name="_Toc39655271"/>
      <w:bookmarkStart w:id="169" w:name="_Toc16185641"/>
      <w:bookmarkStart w:id="170" w:name="_Toc42879261"/>
      <w:bookmarkStart w:id="171" w:name="_Toc50211565"/>
      <w:r>
        <w:rPr>
          <w:rFonts w:hint="eastAsia"/>
        </w:rPr>
        <w:t>二、报价文件格式</w:t>
      </w:r>
      <w:bookmarkEnd w:id="167"/>
      <w:bookmarkEnd w:id="168"/>
      <w:bookmarkEnd w:id="169"/>
      <w:bookmarkEnd w:id="170"/>
      <w:bookmarkEnd w:id="171"/>
    </w:p>
    <w:p>
      <w:pPr>
        <w:snapToGrid w:val="0"/>
        <w:rPr>
          <w:rFonts w:ascii="宋体" w:hAnsi="宋体" w:cs="宋体"/>
          <w:bCs/>
          <w:sz w:val="24"/>
        </w:rPr>
      </w:pPr>
      <w:r>
        <w:rPr>
          <w:rFonts w:hint="eastAsia" w:ascii="宋体" w:hAnsi="宋体" w:cs="宋体"/>
          <w:bCs/>
          <w:sz w:val="24"/>
        </w:rPr>
        <w:t>·报价文件的外包装封面格式（不可缺）：</w:t>
      </w:r>
    </w:p>
    <w:p>
      <w:pPr>
        <w:snapToGrid w:val="0"/>
        <w:rPr>
          <w:rFonts w:ascii="宋体" w:hAnsi="宋体" w:cs="宋体"/>
          <w:bCs/>
          <w:sz w:val="24"/>
        </w:rPr>
      </w:pPr>
    </w:p>
    <w:p>
      <w:pPr>
        <w:snapToGrid w:val="0"/>
        <w:jc w:val="center"/>
        <w:rPr>
          <w:rFonts w:ascii="宋体" w:hAnsi="宋体" w:cs="宋体"/>
          <w:bCs/>
          <w:sz w:val="24"/>
        </w:rPr>
      </w:pPr>
      <w:r>
        <w:rPr>
          <w:rFonts w:hint="eastAsia" w:ascii="宋体" w:hAnsi="宋体" w:cs="宋体"/>
          <w:bCs/>
          <w:sz w:val="24"/>
        </w:rPr>
        <w:t>报 价 文 件</w:t>
      </w:r>
    </w:p>
    <w:p>
      <w:pPr>
        <w:snapToGrid w:val="0"/>
        <w:rPr>
          <w:rFonts w:ascii="宋体" w:hAnsi="宋体" w:cs="宋体"/>
          <w:bCs/>
          <w:sz w:val="24"/>
        </w:rPr>
      </w:pPr>
      <w:r>
        <w:rPr>
          <w:rFonts w:hint="eastAsia" w:ascii="宋体" w:hAnsi="宋体" w:cs="宋体"/>
          <w:bCs/>
          <w:sz w:val="24"/>
        </w:rPr>
        <w:t xml:space="preserve">        项目名称：</w:t>
      </w:r>
    </w:p>
    <w:p>
      <w:pPr>
        <w:snapToGrid w:val="0"/>
        <w:ind w:firstLine="480" w:firstLineChars="200"/>
        <w:rPr>
          <w:rFonts w:ascii="宋体" w:hAnsi="宋体" w:cs="宋体"/>
          <w:bCs/>
          <w:sz w:val="24"/>
        </w:rPr>
      </w:pPr>
      <w:r>
        <w:rPr>
          <w:rFonts w:hint="eastAsia" w:ascii="宋体" w:hAnsi="宋体" w:cs="宋体"/>
          <w:bCs/>
          <w:sz w:val="24"/>
        </w:rPr>
        <w:t xml:space="preserve">    项目编号： </w:t>
      </w:r>
    </w:p>
    <w:p>
      <w:pPr>
        <w:snapToGrid w:val="0"/>
        <w:ind w:firstLine="480" w:firstLineChars="200"/>
        <w:rPr>
          <w:rFonts w:ascii="宋体" w:hAnsi="宋体" w:cs="宋体"/>
          <w:bCs/>
          <w:sz w:val="24"/>
          <w:szCs w:val="24"/>
        </w:rPr>
      </w:pPr>
      <w:r>
        <w:rPr>
          <w:rFonts w:hint="eastAsia" w:ascii="宋体" w:hAnsi="宋体" w:cs="宋体"/>
          <w:bCs/>
          <w:sz w:val="24"/>
        </w:rPr>
        <w:t xml:space="preserve">    </w:t>
      </w:r>
      <w:r>
        <w:rPr>
          <w:rFonts w:hint="eastAsia" w:ascii="宋体" w:hAnsi="宋体" w:cs="宋体"/>
          <w:bCs/>
          <w:sz w:val="24"/>
          <w:szCs w:val="24"/>
        </w:rPr>
        <w:t>投标人名称：</w:t>
      </w:r>
    </w:p>
    <w:p>
      <w:pPr>
        <w:pStyle w:val="13"/>
        <w:spacing w:line="360" w:lineRule="auto"/>
        <w:ind w:firstLine="998" w:firstLineChars="416"/>
        <w:rPr>
          <w:rFonts w:hAnsi="宋体" w:cs="宋体"/>
          <w:bCs/>
          <w:color w:val="auto"/>
          <w:sz w:val="24"/>
          <w:szCs w:val="24"/>
        </w:rPr>
      </w:pPr>
      <w:r>
        <w:rPr>
          <w:rFonts w:hint="eastAsia" w:hAnsi="宋体" w:cs="宋体"/>
          <w:bCs/>
          <w:color w:val="auto"/>
          <w:sz w:val="24"/>
          <w:szCs w:val="24"/>
        </w:rPr>
        <w:t>投标人地址：</w:t>
      </w:r>
    </w:p>
    <w:p>
      <w:pPr>
        <w:pStyle w:val="13"/>
        <w:spacing w:line="360" w:lineRule="auto"/>
        <w:ind w:firstLine="960" w:firstLineChars="400"/>
        <w:rPr>
          <w:rFonts w:hAnsi="宋体" w:cs="宋体"/>
          <w:bCs/>
          <w:color w:val="auto"/>
          <w:sz w:val="24"/>
          <w:szCs w:val="24"/>
        </w:rPr>
      </w:pPr>
      <w:r>
        <w:rPr>
          <w:rFonts w:hint="eastAsia" w:hAnsi="宋体" w:cs="宋体"/>
          <w:bCs/>
          <w:color w:val="auto"/>
          <w:sz w:val="24"/>
          <w:szCs w:val="24"/>
        </w:rPr>
        <w:t>在  年  月  日  时  分之前不得启封</w:t>
      </w:r>
    </w:p>
    <w:p>
      <w:pPr>
        <w:pStyle w:val="13"/>
        <w:spacing w:line="360" w:lineRule="auto"/>
        <w:ind w:firstLine="1497" w:firstLineChars="416"/>
        <w:rPr>
          <w:rFonts w:hAnsi="宋体" w:cs="宋体"/>
          <w:color w:val="auto"/>
          <w:sz w:val="36"/>
        </w:rPr>
      </w:pPr>
    </w:p>
    <w:p>
      <w:pPr>
        <w:snapToGrid w:val="0"/>
        <w:ind w:firstLine="4080" w:firstLineChars="1700"/>
        <w:rPr>
          <w:rFonts w:ascii="宋体" w:hAnsi="宋体" w:cs="宋体"/>
          <w:sz w:val="24"/>
        </w:rPr>
      </w:pPr>
    </w:p>
    <w:p>
      <w:pPr>
        <w:snapToGrid w:val="0"/>
        <w:ind w:firstLine="645"/>
        <w:jc w:val="center"/>
        <w:rPr>
          <w:rFonts w:ascii="宋体" w:hAnsi="宋体" w:cs="宋体"/>
          <w:sz w:val="24"/>
        </w:rPr>
      </w:pPr>
      <w:r>
        <w:rPr>
          <w:rFonts w:hint="eastAsia" w:ascii="宋体" w:hAnsi="宋体" w:cs="宋体"/>
          <w:sz w:val="24"/>
        </w:rPr>
        <w:t xml:space="preserve">                        年  月  日</w:t>
      </w: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r>
        <w:rPr>
          <w:rFonts w:hint="eastAsia" w:ascii="宋体" w:hAnsi="宋体" w:cs="宋体"/>
          <w:sz w:val="24"/>
        </w:rPr>
        <w:t xml:space="preserve">·报价文件封面格式： </w:t>
      </w:r>
    </w:p>
    <w:p>
      <w:pPr>
        <w:snapToGrid w:val="0"/>
        <w:rPr>
          <w:rFonts w:ascii="宋体" w:hAnsi="宋体" w:cs="宋体"/>
          <w:b/>
          <w:bCs/>
          <w:sz w:val="32"/>
        </w:rPr>
      </w:pPr>
      <w:r>
        <w:rPr>
          <w:rFonts w:hint="eastAsia" w:ascii="宋体" w:hAnsi="宋体" w:cs="宋体"/>
          <w:sz w:val="24"/>
        </w:rPr>
        <w:t xml:space="preserve">                                                    </w:t>
      </w:r>
      <w:r>
        <w:rPr>
          <w:rFonts w:hint="eastAsia" w:ascii="宋体" w:hAnsi="宋体" w:cs="宋体"/>
          <w:b/>
          <w:bCs/>
        </w:rPr>
        <w:t>正本/或副本</w:t>
      </w:r>
    </w:p>
    <w:p>
      <w:pPr>
        <w:snapToGrid w:val="0"/>
        <w:rPr>
          <w:rFonts w:ascii="宋体" w:hAnsi="宋体" w:cs="宋体"/>
          <w:bCs/>
          <w:sz w:val="24"/>
        </w:rPr>
      </w:pPr>
    </w:p>
    <w:p>
      <w:pPr>
        <w:snapToGrid w:val="0"/>
        <w:jc w:val="center"/>
        <w:rPr>
          <w:rFonts w:ascii="宋体" w:hAnsi="宋体" w:cs="宋体"/>
          <w:bCs/>
          <w:sz w:val="24"/>
        </w:rPr>
      </w:pPr>
      <w:r>
        <w:rPr>
          <w:rFonts w:hint="eastAsia" w:ascii="宋体" w:hAnsi="宋体" w:cs="宋体"/>
          <w:bCs/>
          <w:sz w:val="24"/>
        </w:rPr>
        <w:t>报 价 文 件</w:t>
      </w:r>
    </w:p>
    <w:p>
      <w:pPr>
        <w:snapToGrid w:val="0"/>
        <w:rPr>
          <w:rFonts w:ascii="宋体" w:hAnsi="宋体" w:cs="宋体"/>
          <w:bCs/>
          <w:sz w:val="24"/>
        </w:rPr>
      </w:pPr>
      <w:r>
        <w:rPr>
          <w:rFonts w:hint="eastAsia" w:ascii="宋体" w:hAnsi="宋体" w:cs="宋体"/>
          <w:bCs/>
          <w:sz w:val="24"/>
        </w:rPr>
        <w:t xml:space="preserve">        项目名称：</w:t>
      </w:r>
    </w:p>
    <w:p>
      <w:pPr>
        <w:snapToGrid w:val="0"/>
        <w:ind w:firstLine="480" w:firstLineChars="200"/>
        <w:rPr>
          <w:rFonts w:ascii="宋体" w:hAnsi="宋体" w:cs="宋体"/>
          <w:bCs/>
          <w:sz w:val="24"/>
        </w:rPr>
      </w:pPr>
      <w:r>
        <w:rPr>
          <w:rFonts w:hint="eastAsia" w:ascii="宋体" w:hAnsi="宋体" w:cs="宋体"/>
          <w:bCs/>
          <w:sz w:val="24"/>
        </w:rPr>
        <w:t xml:space="preserve">    项目编号： </w:t>
      </w:r>
    </w:p>
    <w:p>
      <w:pPr>
        <w:snapToGrid w:val="0"/>
        <w:ind w:firstLine="480" w:firstLineChars="200"/>
        <w:rPr>
          <w:rFonts w:ascii="宋体" w:hAnsi="宋体" w:cs="宋体"/>
          <w:bCs/>
          <w:sz w:val="24"/>
          <w:szCs w:val="24"/>
        </w:rPr>
      </w:pPr>
      <w:r>
        <w:rPr>
          <w:rFonts w:hint="eastAsia" w:ascii="宋体" w:hAnsi="宋体" w:cs="宋体"/>
          <w:bCs/>
          <w:sz w:val="24"/>
        </w:rPr>
        <w:t xml:space="preserve">    </w:t>
      </w:r>
      <w:r>
        <w:rPr>
          <w:rFonts w:hint="eastAsia" w:ascii="宋体" w:hAnsi="宋体" w:cs="宋体"/>
          <w:bCs/>
          <w:sz w:val="24"/>
          <w:szCs w:val="24"/>
        </w:rPr>
        <w:t>投标人名称：</w:t>
      </w:r>
    </w:p>
    <w:p>
      <w:pPr>
        <w:pStyle w:val="13"/>
        <w:spacing w:line="360" w:lineRule="auto"/>
        <w:ind w:firstLine="998" w:firstLineChars="416"/>
        <w:rPr>
          <w:rFonts w:hAnsi="宋体" w:cs="宋体"/>
          <w:bCs/>
          <w:color w:val="auto"/>
          <w:sz w:val="24"/>
          <w:szCs w:val="24"/>
        </w:rPr>
      </w:pPr>
      <w:r>
        <w:rPr>
          <w:rFonts w:hint="eastAsia" w:hAnsi="宋体" w:cs="宋体"/>
          <w:bCs/>
          <w:color w:val="auto"/>
          <w:sz w:val="24"/>
          <w:szCs w:val="24"/>
        </w:rPr>
        <w:t>投标人地址：</w:t>
      </w:r>
    </w:p>
    <w:p>
      <w:pPr>
        <w:snapToGrid w:val="0"/>
        <w:rPr>
          <w:rFonts w:ascii="宋体" w:hAnsi="宋体" w:cs="宋体"/>
          <w:sz w:val="24"/>
        </w:rPr>
      </w:pPr>
    </w:p>
    <w:p>
      <w:pPr>
        <w:snapToGrid w:val="0"/>
        <w:jc w:val="center"/>
        <w:rPr>
          <w:rFonts w:ascii="宋体" w:hAnsi="宋体" w:cs="宋体"/>
          <w:sz w:val="30"/>
        </w:rPr>
      </w:pPr>
      <w:r>
        <w:rPr>
          <w:rFonts w:hint="eastAsia" w:ascii="宋体" w:hAnsi="宋体" w:cs="宋体"/>
          <w:sz w:val="24"/>
        </w:rPr>
        <w:t xml:space="preserve">                        年  月  日</w:t>
      </w:r>
    </w:p>
    <w:p>
      <w:pPr>
        <w:snapToGrid w:val="0"/>
        <w:jc w:val="left"/>
        <w:rPr>
          <w:rFonts w:ascii="宋体" w:hAnsi="宋体" w:cs="宋体"/>
          <w:b/>
          <w:sz w:val="24"/>
        </w:rPr>
      </w:pPr>
      <w:r>
        <w:rPr>
          <w:rFonts w:hint="eastAsia" w:ascii="宋体" w:hAnsi="宋体" w:cs="宋体"/>
          <w:sz w:val="24"/>
        </w:rPr>
        <w:br w:type="page"/>
      </w:r>
      <w:r>
        <w:rPr>
          <w:rFonts w:hint="eastAsia" w:ascii="宋体" w:hAnsi="宋体" w:cs="宋体"/>
          <w:b/>
          <w:sz w:val="24"/>
        </w:rPr>
        <w:t>1、投标函格式：</w:t>
      </w:r>
    </w:p>
    <w:p>
      <w:pPr>
        <w:adjustRightInd w:val="0"/>
        <w:jc w:val="center"/>
        <w:rPr>
          <w:rFonts w:ascii="宋体" w:hAnsi="宋体" w:cs="宋体"/>
          <w:b/>
          <w:sz w:val="28"/>
          <w:szCs w:val="28"/>
        </w:rPr>
      </w:pPr>
      <w:r>
        <w:rPr>
          <w:rFonts w:hint="eastAsia" w:ascii="宋体" w:hAnsi="宋体" w:cs="宋体"/>
          <w:b/>
          <w:sz w:val="30"/>
          <w:szCs w:val="30"/>
        </w:rPr>
        <w:t>投 标 函</w:t>
      </w:r>
    </w:p>
    <w:p>
      <w:pPr>
        <w:adjustRightInd w:val="0"/>
        <w:jc w:val="center"/>
        <w:rPr>
          <w:rFonts w:ascii="宋体" w:hAnsi="宋体" w:cs="宋体"/>
          <w:b/>
          <w:sz w:val="28"/>
          <w:szCs w:val="28"/>
        </w:rPr>
      </w:pPr>
    </w:p>
    <w:p>
      <w:pPr>
        <w:snapToGrid w:val="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（采购单位名称）：</w:t>
      </w:r>
    </w:p>
    <w:p>
      <w:pPr>
        <w:snapToGrid w:val="0"/>
        <w:rPr>
          <w:rFonts w:ascii="宋体" w:hAnsi="宋体" w:cs="宋体"/>
          <w:sz w:val="24"/>
          <w:szCs w:val="24"/>
        </w:rPr>
      </w:pPr>
      <w:r>
        <w:rPr>
          <w:rFonts w:hint="eastAsia" w:ascii="宋体" w:hAnsi="宋体" w:cs="宋体"/>
          <w:sz w:val="24"/>
          <w:szCs w:val="24"/>
        </w:rPr>
        <w:t xml:space="preserve">    根据贵方</w:t>
      </w:r>
      <w:r>
        <w:rPr>
          <w:rFonts w:hint="eastAsia" w:ascii="宋体" w:hAnsi="宋体" w:cs="宋体"/>
          <w:sz w:val="24"/>
          <w:szCs w:val="24"/>
          <w:u w:val="single"/>
        </w:rPr>
        <w:t xml:space="preserve">                     </w:t>
      </w:r>
      <w:r>
        <w:rPr>
          <w:rFonts w:hint="eastAsia" w:ascii="宋体" w:hAnsi="宋体" w:cs="宋体"/>
          <w:sz w:val="24"/>
          <w:szCs w:val="24"/>
        </w:rPr>
        <w:t>项目的招标公告（项目编号：</w:t>
      </w:r>
      <w:r>
        <w:rPr>
          <w:rFonts w:hint="eastAsia" w:ascii="宋体" w:hAnsi="宋体" w:cs="宋体"/>
          <w:sz w:val="24"/>
          <w:szCs w:val="24"/>
          <w:u w:val="single"/>
        </w:rPr>
        <w:t xml:space="preserve">              </w:t>
      </w:r>
      <w:r>
        <w:rPr>
          <w:rFonts w:hint="eastAsia" w:ascii="宋体" w:hAnsi="宋体" w:cs="宋体"/>
          <w:sz w:val="24"/>
          <w:szCs w:val="24"/>
        </w:rPr>
        <w:t>），经仔细阅读并研究，我方决定参加投标。签字代表</w:t>
      </w:r>
      <w:r>
        <w:rPr>
          <w:rFonts w:hint="eastAsia" w:ascii="宋体" w:hAnsi="宋体" w:cs="宋体"/>
          <w:sz w:val="24"/>
          <w:szCs w:val="24"/>
          <w:u w:val="single"/>
        </w:rPr>
        <w:t xml:space="preserve">            </w:t>
      </w:r>
      <w:r>
        <w:rPr>
          <w:rFonts w:hint="eastAsia" w:ascii="宋体" w:hAnsi="宋体" w:cs="宋体"/>
          <w:sz w:val="24"/>
          <w:szCs w:val="24"/>
        </w:rPr>
        <w:t>（全名）经正式授权并代表投标人</w:t>
      </w:r>
      <w:r>
        <w:rPr>
          <w:rFonts w:hint="eastAsia" w:ascii="宋体" w:hAnsi="宋体" w:cs="宋体"/>
          <w:sz w:val="24"/>
          <w:szCs w:val="24"/>
          <w:u w:val="single"/>
        </w:rPr>
        <w:t xml:space="preserve">               </w:t>
      </w:r>
      <w:r>
        <w:rPr>
          <w:rFonts w:hint="eastAsia" w:ascii="宋体" w:hAnsi="宋体" w:cs="宋体"/>
          <w:sz w:val="24"/>
          <w:szCs w:val="24"/>
        </w:rPr>
        <w:t>（投标人名称）提交资信商务及技术文件、报价文件正本各</w:t>
      </w:r>
      <w:r>
        <w:rPr>
          <w:rFonts w:hint="eastAsia" w:ascii="宋体" w:hAnsi="宋体" w:cs="宋体"/>
          <w:sz w:val="24"/>
          <w:szCs w:val="24"/>
          <w:u w:val="single"/>
        </w:rPr>
        <w:t xml:space="preserve">   </w:t>
      </w:r>
      <w:r>
        <w:rPr>
          <w:rFonts w:hint="eastAsia" w:ascii="宋体" w:hAnsi="宋体" w:cs="宋体"/>
          <w:sz w:val="24"/>
          <w:szCs w:val="24"/>
        </w:rPr>
        <w:t>份、副本各</w:t>
      </w:r>
      <w:r>
        <w:rPr>
          <w:rFonts w:hint="eastAsia" w:ascii="宋体" w:hAnsi="宋体" w:cs="宋体"/>
          <w:sz w:val="24"/>
          <w:szCs w:val="24"/>
          <w:u w:val="single"/>
        </w:rPr>
        <w:t xml:space="preserve">   </w:t>
      </w:r>
      <w:r>
        <w:rPr>
          <w:rFonts w:hint="eastAsia" w:ascii="宋体" w:hAnsi="宋体" w:cs="宋体"/>
          <w:sz w:val="24"/>
          <w:szCs w:val="24"/>
        </w:rPr>
        <w:t>份。</w:t>
      </w:r>
    </w:p>
    <w:p>
      <w:pPr>
        <w:snapToGrid w:val="0"/>
        <w:ind w:firstLine="480" w:firstLineChars="200"/>
        <w:rPr>
          <w:rFonts w:ascii="宋体" w:hAnsi="宋体" w:cs="宋体"/>
          <w:sz w:val="24"/>
          <w:szCs w:val="24"/>
        </w:rPr>
      </w:pPr>
      <w:r>
        <w:rPr>
          <w:rFonts w:hint="eastAsia" w:ascii="宋体" w:hAnsi="宋体" w:cs="宋体"/>
          <w:sz w:val="24"/>
          <w:szCs w:val="24"/>
        </w:rPr>
        <w:t>据此函，签字代表宣布同意如下：</w:t>
      </w:r>
    </w:p>
    <w:p>
      <w:pPr>
        <w:pStyle w:val="19"/>
        <w:ind w:right="-91" w:firstLine="460" w:firstLineChars="192"/>
        <w:rPr>
          <w:rFonts w:ascii="宋体" w:hAnsi="宋体" w:cs="宋体"/>
          <w:sz w:val="24"/>
        </w:rPr>
      </w:pPr>
      <w:r>
        <w:rPr>
          <w:rFonts w:hint="eastAsia" w:ascii="宋体" w:hAnsi="宋体" w:cs="宋体"/>
          <w:sz w:val="24"/>
        </w:rPr>
        <w:t>1、我方已详细审查了采购文件的全部内容及其相关补充文件</w:t>
      </w:r>
      <w:r>
        <w:rPr>
          <w:rFonts w:hint="eastAsia" w:ascii="宋体" w:hAnsi="宋体" w:cs="宋体"/>
          <w:b/>
          <w:sz w:val="24"/>
        </w:rPr>
        <w:t>（若有）</w:t>
      </w:r>
      <w:r>
        <w:rPr>
          <w:rFonts w:hint="eastAsia" w:ascii="宋体" w:hAnsi="宋体" w:cs="宋体"/>
          <w:sz w:val="24"/>
        </w:rPr>
        <w:t>，并完全清晰理解全部内容及相关的补充文件</w:t>
      </w:r>
      <w:r>
        <w:rPr>
          <w:rFonts w:hint="eastAsia" w:ascii="宋体" w:hAnsi="宋体" w:cs="宋体"/>
          <w:b/>
          <w:sz w:val="24"/>
        </w:rPr>
        <w:t>（若有）</w:t>
      </w:r>
      <w:r>
        <w:rPr>
          <w:rFonts w:hint="eastAsia" w:ascii="宋体" w:hAnsi="宋体" w:cs="宋体"/>
          <w:sz w:val="24"/>
        </w:rPr>
        <w:t>，不存在任何误解之处，同意放弃提出异议和质疑的权利。</w:t>
      </w:r>
    </w:p>
    <w:p>
      <w:pPr>
        <w:ind w:right="-89" w:firstLine="464" w:firstLineChars="200"/>
        <w:jc w:val="left"/>
        <w:rPr>
          <w:rFonts w:ascii="宋体" w:hAnsi="宋体" w:cs="宋体"/>
          <w:spacing w:val="-4"/>
          <w:sz w:val="24"/>
          <w:szCs w:val="24"/>
        </w:rPr>
      </w:pPr>
      <w:r>
        <w:rPr>
          <w:rFonts w:hint="eastAsia" w:ascii="宋体" w:hAnsi="宋体" w:cs="宋体"/>
          <w:spacing w:val="-4"/>
          <w:sz w:val="24"/>
          <w:szCs w:val="24"/>
        </w:rPr>
        <w:t>2、我方遵守《中华人民共和国政府采购法》及相关法律法规的规定。同意采购文件中所提到的无效标条款，并服从有关开标现场的会议纪律。否则，同意被废除投标资格。</w:t>
      </w:r>
    </w:p>
    <w:p>
      <w:pPr>
        <w:ind w:firstLine="464" w:firstLineChars="200"/>
        <w:rPr>
          <w:rFonts w:ascii="宋体" w:hAnsi="宋体" w:cs="宋体"/>
          <w:spacing w:val="-4"/>
          <w:sz w:val="24"/>
          <w:szCs w:val="24"/>
        </w:rPr>
      </w:pPr>
      <w:r>
        <w:rPr>
          <w:rFonts w:hint="eastAsia" w:ascii="宋体" w:hAnsi="宋体" w:cs="宋体"/>
          <w:spacing w:val="-4"/>
          <w:sz w:val="24"/>
          <w:szCs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pPr>
        <w:ind w:firstLine="464" w:firstLineChars="200"/>
        <w:rPr>
          <w:rFonts w:ascii="宋体" w:hAnsi="宋体" w:cs="宋体"/>
          <w:spacing w:val="-4"/>
          <w:sz w:val="24"/>
          <w:szCs w:val="24"/>
        </w:rPr>
      </w:pPr>
      <w:r>
        <w:rPr>
          <w:rFonts w:hint="eastAsia" w:ascii="宋体" w:hAnsi="宋体" w:cs="宋体"/>
          <w:spacing w:val="-4"/>
          <w:sz w:val="24"/>
          <w:szCs w:val="24"/>
        </w:rPr>
        <w:t>4、我方所提供的一次性投标产品报价均具充分的合理性和准确性，保证不存在低于成本的恶意报价行为，同时清楚理解到报价最低并非意味着必定获得合同授予资格。</w:t>
      </w:r>
    </w:p>
    <w:p>
      <w:pPr>
        <w:ind w:firstLine="464" w:firstLineChars="200"/>
        <w:rPr>
          <w:rFonts w:ascii="宋体" w:hAnsi="宋体" w:cs="宋体"/>
          <w:spacing w:val="-4"/>
          <w:sz w:val="24"/>
          <w:szCs w:val="24"/>
        </w:rPr>
      </w:pPr>
      <w:r>
        <w:rPr>
          <w:rFonts w:hint="eastAsia" w:ascii="宋体" w:hAnsi="宋体" w:cs="宋体"/>
          <w:spacing w:val="-4"/>
          <w:sz w:val="24"/>
          <w:szCs w:val="24"/>
        </w:rPr>
        <w:t>5、投标有效期为自开标之日起</w:t>
      </w:r>
      <w:r>
        <w:rPr>
          <w:rFonts w:hint="eastAsia" w:ascii="宋体" w:hAnsi="宋体" w:cs="宋体"/>
          <w:spacing w:val="-4"/>
          <w:sz w:val="24"/>
          <w:szCs w:val="24"/>
          <w:u w:val="single"/>
        </w:rPr>
        <w:t>90</w:t>
      </w:r>
      <w:r>
        <w:rPr>
          <w:rFonts w:hint="eastAsia" w:ascii="宋体" w:hAnsi="宋体" w:cs="宋体"/>
          <w:spacing w:val="-4"/>
          <w:sz w:val="24"/>
          <w:szCs w:val="24"/>
        </w:rPr>
        <w:t>天内，如在投标有效期内撤回投标，我方同意被废除投标资格。</w:t>
      </w:r>
    </w:p>
    <w:p>
      <w:pPr>
        <w:ind w:firstLine="464" w:firstLineChars="200"/>
        <w:rPr>
          <w:rFonts w:ascii="宋体" w:hAnsi="宋体" w:cs="宋体"/>
          <w:sz w:val="24"/>
          <w:szCs w:val="24"/>
        </w:rPr>
      </w:pPr>
      <w:r>
        <w:rPr>
          <w:rFonts w:hint="eastAsia" w:ascii="宋体" w:hAnsi="宋体" w:cs="宋体"/>
          <w:spacing w:val="-4"/>
          <w:sz w:val="24"/>
          <w:szCs w:val="24"/>
        </w:rPr>
        <w:t>6、</w:t>
      </w:r>
      <w:r>
        <w:rPr>
          <w:rFonts w:hint="eastAsia" w:ascii="宋体" w:hAnsi="宋体" w:cs="宋体"/>
          <w:sz w:val="24"/>
          <w:szCs w:val="24"/>
        </w:rPr>
        <w:t>若我方中标，则直至合同履行完毕为止，本投标文件有效。</w:t>
      </w:r>
    </w:p>
    <w:p>
      <w:pPr>
        <w:snapToGrid w:val="0"/>
        <w:ind w:firstLine="480" w:firstLineChars="200"/>
        <w:rPr>
          <w:rFonts w:ascii="宋体" w:hAnsi="宋体" w:cs="宋体"/>
          <w:sz w:val="24"/>
          <w:szCs w:val="24"/>
        </w:rPr>
      </w:pPr>
      <w:r>
        <w:rPr>
          <w:rFonts w:hint="eastAsia" w:ascii="宋体" w:hAnsi="宋体" w:cs="宋体"/>
          <w:sz w:val="24"/>
          <w:szCs w:val="24"/>
        </w:rPr>
        <w:t>7、与本投标有关的一切正式往来信函请寄：</w:t>
      </w:r>
    </w:p>
    <w:p>
      <w:pPr>
        <w:snapToGrid w:val="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邮编：__________   电话：______________</w:t>
      </w:r>
    </w:p>
    <w:p>
      <w:pPr>
        <w:snapToGrid w:val="0"/>
        <w:rPr>
          <w:rFonts w:ascii="宋体" w:hAnsi="宋体" w:cs="宋体"/>
          <w:sz w:val="24"/>
        </w:rPr>
      </w:pPr>
      <w:r>
        <w:rPr>
          <w:rFonts w:hint="eastAsia" w:ascii="宋体" w:hAnsi="宋体" w:cs="宋体"/>
          <w:sz w:val="24"/>
        </w:rPr>
        <w:t>传真：______________投标人代表姓名： ___________  职务：</w:t>
      </w:r>
      <w:r>
        <w:rPr>
          <w:rFonts w:hint="eastAsia" w:ascii="宋体" w:hAnsi="宋体" w:cs="宋体"/>
          <w:sz w:val="24"/>
          <w:u w:val="single"/>
        </w:rPr>
        <w:t xml:space="preserve">              </w:t>
      </w:r>
    </w:p>
    <w:p>
      <w:pPr>
        <w:snapToGrid w:val="0"/>
        <w:rPr>
          <w:rFonts w:ascii="宋体" w:hAnsi="宋体" w:cs="宋体"/>
          <w:sz w:val="24"/>
        </w:rPr>
      </w:pPr>
      <w:r>
        <w:rPr>
          <w:rFonts w:hint="eastAsia" w:ascii="宋体" w:hAnsi="宋体" w:cs="宋体"/>
          <w:sz w:val="24"/>
        </w:rPr>
        <w:t>投标人名称(公章):___________________</w:t>
      </w:r>
    </w:p>
    <w:p>
      <w:pPr>
        <w:snapToGrid w:val="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pPr>
        <w:adjustRightInd w:val="0"/>
        <w:rPr>
          <w:rFonts w:ascii="宋体" w:hAnsi="宋体" w:cs="宋体"/>
          <w:sz w:val="24"/>
        </w:rPr>
      </w:pPr>
      <w:r>
        <w:rPr>
          <w:rFonts w:hint="eastAsia" w:ascii="宋体" w:hAnsi="宋体" w:cs="宋体"/>
          <w:sz w:val="24"/>
        </w:rPr>
        <w:t>法定代表人签字:___________                      日期:_____年___月___日</w:t>
      </w:r>
    </w:p>
    <w:p>
      <w:pPr>
        <w:pStyle w:val="25"/>
        <w:ind w:left="800" w:hanging="800"/>
        <w:rPr>
          <w:rFonts w:hAnsi="宋体" w:cs="宋体"/>
          <w:sz w:val="24"/>
          <w:szCs w:val="24"/>
        </w:rPr>
      </w:pPr>
      <w:bookmarkStart w:id="172" w:name="_Toc15805947"/>
      <w:bookmarkStart w:id="173" w:name="_Toc47756042"/>
      <w:bookmarkStart w:id="174" w:name="_Toc15813264"/>
      <w:bookmarkStart w:id="175" w:name="_Toc45506741"/>
    </w:p>
    <w:p>
      <w:pPr>
        <w:snapToGrid w:val="0"/>
        <w:jc w:val="left"/>
        <w:rPr>
          <w:rFonts w:ascii="宋体" w:hAnsi="宋体" w:cs="宋体"/>
          <w:b/>
          <w:sz w:val="24"/>
        </w:rPr>
      </w:pPr>
      <w:r>
        <w:rPr>
          <w:rFonts w:hint="eastAsia" w:ascii="宋体" w:hAnsi="宋体" w:cs="宋体"/>
          <w:sz w:val="24"/>
        </w:rPr>
        <w:br w:type="page"/>
      </w:r>
      <w:bookmarkEnd w:id="172"/>
      <w:bookmarkEnd w:id="173"/>
      <w:bookmarkEnd w:id="174"/>
      <w:bookmarkEnd w:id="175"/>
      <w:r>
        <w:rPr>
          <w:rFonts w:hint="eastAsia" w:ascii="宋体" w:hAnsi="宋体" w:cs="宋体"/>
          <w:b/>
          <w:sz w:val="24"/>
        </w:rPr>
        <w:t>2、开标一览表格式</w:t>
      </w:r>
    </w:p>
    <w:p>
      <w:pPr>
        <w:jc w:val="center"/>
        <w:rPr>
          <w:rFonts w:ascii="宋体" w:hAnsi="宋体" w:cs="宋体"/>
          <w:b/>
          <w:sz w:val="30"/>
          <w:szCs w:val="30"/>
        </w:rPr>
      </w:pPr>
      <w:r>
        <w:rPr>
          <w:rFonts w:hint="eastAsia" w:ascii="宋体" w:hAnsi="宋体" w:cs="宋体"/>
          <w:b/>
          <w:sz w:val="30"/>
          <w:szCs w:val="30"/>
        </w:rPr>
        <w:t>开标一览表</w:t>
      </w:r>
    </w:p>
    <w:p>
      <w:pPr>
        <w:jc w:val="center"/>
        <w:rPr>
          <w:rFonts w:ascii="宋体" w:hAnsi="宋体" w:cs="宋体"/>
          <w:b/>
          <w:sz w:val="30"/>
          <w:szCs w:val="30"/>
        </w:rPr>
      </w:pPr>
    </w:p>
    <w:p>
      <w:pPr>
        <w:rPr>
          <w:rFonts w:ascii="宋体" w:hAnsi="宋体" w:cs="宋体"/>
          <w:sz w:val="24"/>
          <w:szCs w:val="24"/>
          <w:u w:val="single"/>
        </w:rPr>
      </w:pPr>
      <w:r>
        <w:rPr>
          <w:rFonts w:hint="eastAsia" w:ascii="宋体" w:hAnsi="宋体" w:cs="宋体"/>
          <w:sz w:val="24"/>
          <w:szCs w:val="24"/>
        </w:rPr>
        <w:t>项目编号：                                     报价单位：人民币（元）</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cs="宋体"/>
                <w:sz w:val="24"/>
                <w:szCs w:val="24"/>
              </w:rPr>
            </w:pPr>
            <w:r>
              <w:rPr>
                <w:rFonts w:hint="eastAsia" w:ascii="宋体" w:hAnsi="宋体" w:cs="宋体"/>
                <w:sz w:val="24"/>
                <w:szCs w:val="24"/>
              </w:rPr>
              <w:t>项目名称</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rPr>
                <w:rFonts w:ascii="宋体" w:hAnsi="宋体" w:cs="宋体"/>
                <w:sz w:val="24"/>
                <w:szCs w:val="24"/>
              </w:rPr>
            </w:pPr>
            <w:r>
              <w:rPr>
                <w:rFonts w:hint="eastAsia" w:ascii="宋体" w:hAnsi="宋体" w:cs="宋体"/>
                <w:sz w:val="24"/>
                <w:szCs w:val="24"/>
              </w:rPr>
              <w:t>嘉兴市公安局秀洲区分局第二期“智安小区”系统购买服务项目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s="宋体"/>
                <w:kern w:val="0"/>
                <w:sz w:val="24"/>
                <w:szCs w:val="24"/>
              </w:rPr>
            </w:pPr>
            <w:r>
              <w:rPr>
                <w:rFonts w:hint="eastAsia" w:ascii="宋体" w:hAnsi="宋体" w:cs="宋体"/>
                <w:sz w:val="24"/>
                <w:szCs w:val="24"/>
              </w:rPr>
              <w:t>总投标报价</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ind w:firstLine="240" w:firstLineChars="100"/>
              <w:jc w:val="left"/>
              <w:rPr>
                <w:rFonts w:ascii="宋体" w:hAnsi="宋体" w:cs="宋体"/>
                <w:sz w:val="24"/>
                <w:szCs w:val="24"/>
                <w:u w:val="single"/>
              </w:rPr>
            </w:pPr>
            <w:r>
              <w:rPr>
                <w:rFonts w:hint="eastAsia" w:ascii="宋体" w:hAnsi="宋体" w:cs="宋体"/>
                <w:sz w:val="24"/>
                <w:szCs w:val="24"/>
              </w:rPr>
              <w:t>大写（人民币）：</w:t>
            </w:r>
            <w:r>
              <w:rPr>
                <w:rFonts w:hint="eastAsia" w:ascii="宋体" w:hAnsi="宋体" w:cs="宋体"/>
                <w:sz w:val="24"/>
                <w:szCs w:val="24"/>
                <w:u w:val="single"/>
              </w:rPr>
              <w:t xml:space="preserve">                  </w:t>
            </w:r>
          </w:p>
          <w:p>
            <w:pPr>
              <w:adjustRightInd w:val="0"/>
              <w:spacing w:after="60" w:afterLines="25" w:line="360" w:lineRule="exact"/>
              <w:ind w:firstLine="240" w:firstLineChars="100"/>
              <w:jc w:val="left"/>
              <w:rPr>
                <w:rFonts w:ascii="宋体" w:hAnsi="宋体" w:cs="宋体"/>
                <w:sz w:val="24"/>
                <w:szCs w:val="24"/>
              </w:rPr>
            </w:pPr>
            <w:r>
              <w:rPr>
                <w:rFonts w:hint="eastAsia" w:ascii="宋体" w:hAnsi="宋体" w:cs="宋体"/>
                <w:sz w:val="24"/>
                <w:szCs w:val="24"/>
              </w:rPr>
              <w:t xml:space="preserve">小写：￥ </w:t>
            </w: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s="宋体"/>
                <w:sz w:val="24"/>
                <w:szCs w:val="24"/>
              </w:rPr>
            </w:pPr>
            <w:r>
              <w:rPr>
                <w:rFonts w:hint="eastAsia" w:ascii="宋体" w:hAnsi="宋体" w:cs="宋体"/>
                <w:sz w:val="24"/>
                <w:szCs w:val="24"/>
              </w:rPr>
              <w:t>交货安装日期</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ind w:firstLine="240" w:firstLineChars="100"/>
              <w:jc w:val="left"/>
              <w:rPr>
                <w:rFonts w:ascii="宋体" w:hAnsi="宋体" w:cs="宋体"/>
                <w:sz w:val="24"/>
                <w:szCs w:val="24"/>
              </w:rPr>
            </w:pPr>
            <w:r>
              <w:rPr>
                <w:rFonts w:hint="eastAsia" w:ascii="宋体" w:hAnsi="宋体"/>
                <w:sz w:val="24"/>
                <w:szCs w:val="24"/>
              </w:rPr>
              <w:t>确保在</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日前完成供货、安装并交付使用。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cs="宋体"/>
                <w:sz w:val="24"/>
                <w:szCs w:val="24"/>
              </w:rPr>
            </w:pPr>
            <w:r>
              <w:rPr>
                <w:rFonts w:hint="eastAsia" w:ascii="宋体" w:hAnsi="宋体" w:cs="宋体"/>
                <w:sz w:val="24"/>
                <w:szCs w:val="24"/>
              </w:rPr>
              <w:t>备注</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ind w:firstLine="240" w:firstLineChars="100"/>
              <w:rPr>
                <w:rFonts w:ascii="宋体" w:hAnsi="宋体" w:cs="宋体"/>
                <w:sz w:val="24"/>
                <w:szCs w:val="24"/>
              </w:rPr>
            </w:pPr>
          </w:p>
        </w:tc>
      </w:tr>
    </w:tbl>
    <w:p>
      <w:pPr>
        <w:adjustRightInd w:val="0"/>
        <w:spacing w:before="120" w:beforeLines="50"/>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：1、投标人填写此表时不得改变表格的形式内容。报价一经涂改，应在涂改处加盖单位公章或者由法定代表人或被授权人签字（或盖章），否则其投标作无效标处理。</w:t>
      </w:r>
    </w:p>
    <w:p>
      <w:pPr>
        <w:adjustRightInd w:val="0"/>
        <w:ind w:firstLine="480" w:firstLineChars="200"/>
        <w:rPr>
          <w:rFonts w:ascii="宋体" w:hAnsi="宋体" w:cs="宋体"/>
          <w:sz w:val="24"/>
          <w:szCs w:val="24"/>
        </w:rPr>
      </w:pPr>
      <w:r>
        <w:rPr>
          <w:rFonts w:hint="eastAsia" w:ascii="宋体" w:hAnsi="宋体" w:cs="宋体"/>
          <w:sz w:val="24"/>
          <w:szCs w:val="24"/>
        </w:rPr>
        <w:t>2、投标报价是履行合同的最终价格，包括货款、标准附件、备品备件、专用工具、包装、运输、装卸、保险、税金、货到就位以及安装、调试、培训、保修、招标服务费等一切费用。</w:t>
      </w:r>
    </w:p>
    <w:p>
      <w:pPr>
        <w:adjustRightInd w:val="0"/>
        <w:ind w:firstLine="480" w:firstLineChars="200"/>
        <w:rPr>
          <w:rFonts w:ascii="宋体" w:hAnsi="宋体" w:cs="宋体"/>
          <w:sz w:val="24"/>
          <w:szCs w:val="24"/>
        </w:rPr>
      </w:pPr>
      <w:r>
        <w:rPr>
          <w:rFonts w:hint="eastAsia" w:ascii="宋体" w:hAnsi="宋体" w:cs="宋体"/>
          <w:sz w:val="24"/>
          <w:szCs w:val="24"/>
        </w:rPr>
        <w:t>3、投标人如果需要对报价、服务或其它内容加以说明，可在备注一栏中填写。</w:t>
      </w:r>
    </w:p>
    <w:p>
      <w:pPr>
        <w:snapToGrid w:val="0"/>
        <w:ind w:firstLine="480" w:firstLineChars="200"/>
        <w:jc w:val="left"/>
        <w:rPr>
          <w:rFonts w:ascii="宋体" w:hAnsi="宋体" w:cs="宋体"/>
          <w:sz w:val="24"/>
          <w:szCs w:val="24"/>
        </w:rPr>
      </w:pPr>
      <w:r>
        <w:rPr>
          <w:rFonts w:hint="eastAsia" w:ascii="宋体" w:hAnsi="宋体" w:cs="宋体"/>
          <w:sz w:val="24"/>
          <w:szCs w:val="24"/>
        </w:rPr>
        <w:t>4、以上报价应与“投标报价明细表”中的“投标总价”相一致。</w:t>
      </w:r>
    </w:p>
    <w:p>
      <w:pPr>
        <w:snapToGrid w:val="0"/>
        <w:ind w:left="-3" w:leftChars="-72" w:right="-817" w:rightChars="-389" w:hanging="148" w:hangingChars="62"/>
        <w:rPr>
          <w:rFonts w:ascii="宋体" w:hAnsi="宋体" w:cs="宋体"/>
          <w:sz w:val="24"/>
          <w:szCs w:val="24"/>
        </w:rPr>
      </w:pPr>
    </w:p>
    <w:p>
      <w:pPr>
        <w:snapToGrid w:val="0"/>
        <w:ind w:left="-3" w:leftChars="-72" w:right="-817" w:rightChars="-389" w:hanging="148" w:hangingChars="62"/>
        <w:rPr>
          <w:rFonts w:ascii="宋体" w:hAnsi="宋体" w:cs="宋体"/>
          <w:sz w:val="24"/>
          <w:szCs w:val="24"/>
        </w:rPr>
      </w:pPr>
    </w:p>
    <w:p>
      <w:pPr>
        <w:snapToGrid w:val="0"/>
        <w:ind w:left="-3" w:leftChars="-72" w:right="-817" w:rightChars="-389" w:hanging="148" w:hangingChars="62"/>
        <w:rPr>
          <w:rFonts w:ascii="宋体" w:hAnsi="宋体" w:cs="宋体"/>
          <w:sz w:val="24"/>
          <w:szCs w:val="24"/>
        </w:rPr>
      </w:pPr>
      <w:r>
        <w:rPr>
          <w:rFonts w:hint="eastAsia" w:ascii="宋体" w:hAnsi="宋体" w:cs="宋体"/>
          <w:sz w:val="24"/>
          <w:szCs w:val="24"/>
        </w:rPr>
        <w:t xml:space="preserve">法定代表人或授权代表（签字或盖章）：                    </w:t>
      </w:r>
    </w:p>
    <w:p>
      <w:pPr>
        <w:snapToGrid w:val="0"/>
        <w:ind w:left="-3" w:leftChars="-72" w:right="-817" w:rightChars="-389" w:hanging="148" w:hangingChars="62"/>
        <w:rPr>
          <w:rFonts w:ascii="宋体" w:hAnsi="宋体" w:cs="宋体"/>
          <w:sz w:val="24"/>
          <w:szCs w:val="24"/>
        </w:rPr>
      </w:pPr>
      <w:r>
        <w:rPr>
          <w:rFonts w:hint="eastAsia" w:ascii="宋体" w:hAnsi="宋体" w:cs="宋体"/>
          <w:sz w:val="24"/>
          <w:szCs w:val="24"/>
        </w:rPr>
        <w:t xml:space="preserve">投标人名称（盖章）：                            </w:t>
      </w:r>
    </w:p>
    <w:p>
      <w:pPr>
        <w:snapToGrid w:val="0"/>
        <w:ind w:left="-3" w:leftChars="-72" w:right="-817" w:rightChars="-389" w:hanging="148" w:hangingChars="62"/>
        <w:rPr>
          <w:rFonts w:ascii="宋体" w:hAnsi="宋体" w:cs="宋体"/>
          <w:sz w:val="24"/>
          <w:szCs w:val="24"/>
        </w:rPr>
      </w:pPr>
      <w:r>
        <w:rPr>
          <w:rFonts w:hint="eastAsia" w:ascii="宋体" w:hAnsi="宋体" w:cs="宋体"/>
          <w:sz w:val="24"/>
          <w:szCs w:val="24"/>
        </w:rPr>
        <w:t>日期：    年   月   日</w:t>
      </w:r>
    </w:p>
    <w:p>
      <w:pPr>
        <w:snapToGrid w:val="0"/>
        <w:rPr>
          <w:rFonts w:ascii="宋体" w:hAnsi="宋体" w:cs="宋体"/>
          <w:b/>
          <w:sz w:val="24"/>
          <w:szCs w:val="24"/>
        </w:rPr>
      </w:pPr>
    </w:p>
    <w:p>
      <w:pPr>
        <w:pStyle w:val="3"/>
        <w:rPr>
          <w:rFonts w:ascii="宋体" w:hAnsi="宋体" w:cs="宋体"/>
          <w:sz w:val="24"/>
          <w:szCs w:val="24"/>
        </w:rPr>
        <w:sectPr>
          <w:pgSz w:w="11906" w:h="16838"/>
          <w:pgMar w:top="1247" w:right="1418" w:bottom="1276" w:left="1418" w:header="851" w:footer="483" w:gutter="0"/>
          <w:cols w:space="720" w:num="1"/>
          <w:titlePg/>
          <w:docGrid w:linePitch="312" w:charSpace="0"/>
        </w:sectPr>
      </w:pPr>
      <w:bookmarkStart w:id="176" w:name="OLE_LINK37"/>
    </w:p>
    <w:p>
      <w:pPr>
        <w:snapToGrid w:val="0"/>
        <w:jc w:val="left"/>
        <w:rPr>
          <w:rFonts w:ascii="宋体" w:hAnsi="宋体" w:cs="宋体"/>
          <w:b/>
          <w:sz w:val="24"/>
        </w:rPr>
      </w:pPr>
      <w:r>
        <w:rPr>
          <w:rFonts w:hint="eastAsia" w:ascii="宋体" w:hAnsi="宋体" w:cs="宋体"/>
          <w:b/>
          <w:sz w:val="24"/>
        </w:rPr>
        <w:t>3、投标报价明细表格式</w:t>
      </w:r>
    </w:p>
    <w:p>
      <w:pPr>
        <w:pStyle w:val="25"/>
        <w:ind w:firstLine="498"/>
        <w:jc w:val="center"/>
        <w:rPr>
          <w:rFonts w:hAnsi="宋体"/>
          <w:b/>
          <w:sz w:val="30"/>
          <w:szCs w:val="30"/>
        </w:rPr>
      </w:pPr>
      <w:r>
        <w:rPr>
          <w:rFonts w:hint="eastAsia" w:hAnsi="宋体"/>
          <w:b/>
          <w:sz w:val="30"/>
          <w:szCs w:val="30"/>
        </w:rPr>
        <w:t>投标报价明细表</w:t>
      </w:r>
    </w:p>
    <w:p>
      <w:pPr>
        <w:rPr>
          <w:rFonts w:ascii="宋体" w:hAnsi="宋体" w:cs="宋体"/>
          <w:sz w:val="24"/>
          <w:szCs w:val="24"/>
        </w:rPr>
      </w:pPr>
      <w:r>
        <w:rPr>
          <w:rFonts w:hint="eastAsia" w:ascii="宋体" w:hAnsi="宋体" w:cs="宋体"/>
          <w:sz w:val="24"/>
          <w:szCs w:val="24"/>
        </w:rPr>
        <w:t>项目编号：                                     报价单位：人民币（元）</w:t>
      </w:r>
    </w:p>
    <w:p>
      <w:pPr>
        <w:rPr>
          <w:rFonts w:ascii="宋体" w:hAnsi="宋体" w:cs="宋体"/>
          <w:sz w:val="24"/>
          <w:szCs w:val="24"/>
          <w:u w:val="single"/>
        </w:rPr>
      </w:pPr>
      <w:r>
        <w:rPr>
          <w:rFonts w:hint="eastAsia" w:ascii="宋体" w:hAnsi="宋体" w:cs="宋体"/>
          <w:sz w:val="24"/>
          <w:szCs w:val="24"/>
        </w:rPr>
        <w:t>项目名称：</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1400"/>
        <w:gridCol w:w="1000"/>
        <w:gridCol w:w="1457"/>
        <w:gridCol w:w="1558"/>
        <w:gridCol w:w="1300"/>
        <w:gridCol w:w="1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pacing w:val="20"/>
                <w:sz w:val="24"/>
              </w:rPr>
            </w:pPr>
            <w:r>
              <w:rPr>
                <w:rFonts w:hint="eastAsia" w:ascii="宋体" w:hAnsi="宋体"/>
                <w:sz w:val="24"/>
              </w:rPr>
              <w:t>序号</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pacing w:val="20"/>
                <w:sz w:val="24"/>
              </w:rPr>
            </w:pPr>
            <w:r>
              <w:rPr>
                <w:rFonts w:hint="eastAsia" w:ascii="宋体" w:hAnsi="宋体"/>
                <w:sz w:val="24"/>
              </w:rPr>
              <w:t>名称</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pPr>
            <w:r>
              <w:rPr>
                <w:rFonts w:hint="eastAsia" w:ascii="宋体" w:hAnsi="宋体"/>
                <w:sz w:val="24"/>
              </w:rPr>
              <w:t>品牌</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pacing w:val="20"/>
                <w:sz w:val="24"/>
              </w:rPr>
            </w:pPr>
            <w:r>
              <w:rPr>
                <w:rFonts w:hint="eastAsia" w:ascii="宋体" w:hAnsi="宋体"/>
                <w:sz w:val="24"/>
              </w:rPr>
              <w:t>规格型号</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pacing w:val="20"/>
                <w:sz w:val="24"/>
              </w:rPr>
            </w:pPr>
            <w:r>
              <w:rPr>
                <w:rFonts w:hint="eastAsia" w:ascii="宋体" w:hAnsi="宋体"/>
                <w:sz w:val="24"/>
              </w:rPr>
              <w:t>单位及数量</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pacing w:val="20"/>
                <w:sz w:val="24"/>
              </w:rPr>
            </w:pPr>
            <w:r>
              <w:rPr>
                <w:rFonts w:hint="eastAsia" w:ascii="宋体" w:hAnsi="宋体"/>
                <w:sz w:val="24"/>
              </w:rPr>
              <w:t>单价</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pacing w:val="20"/>
                <w:sz w:val="24"/>
              </w:rPr>
            </w:pPr>
            <w:r>
              <w:rPr>
                <w:rFonts w:hint="eastAsia" w:ascii="宋体" w:hAnsi="宋体"/>
                <w:sz w:val="24"/>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6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1"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5"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pacing w:val="20"/>
                <w:sz w:val="24"/>
              </w:rPr>
            </w:pPr>
            <w:r>
              <w:rPr>
                <w:rFonts w:ascii="宋体" w:hAnsi="宋体"/>
                <w:spacing w:val="20"/>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r>
              <w:rPr>
                <w:rFonts w:ascii="宋体" w:hAnsi="宋体"/>
                <w:spacing w:val="20"/>
              </w:rPr>
              <w:t>……</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757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pacing w:val="20"/>
                <w:sz w:val="24"/>
                <w:u w:val="single"/>
              </w:rPr>
            </w:pPr>
            <w:r>
              <w:rPr>
                <w:rFonts w:hint="eastAsia" w:ascii="宋体" w:hAnsi="宋体"/>
                <w:spacing w:val="20"/>
                <w:sz w:val="24"/>
              </w:rPr>
              <w:t>投标总价（大写）</w:t>
            </w:r>
            <w:r>
              <w:rPr>
                <w:rFonts w:ascii="宋体" w:hAnsi="宋体"/>
                <w:spacing w:val="20"/>
                <w:sz w:val="24"/>
              </w:rPr>
              <w:t>人民币</w:t>
            </w:r>
            <w:r>
              <w:rPr>
                <w:rFonts w:ascii="宋体" w:hAnsi="宋体"/>
                <w:spacing w:val="20"/>
                <w:sz w:val="24"/>
                <w:u w:val="single"/>
              </w:rPr>
              <w:t xml:space="preserve">                   </w:t>
            </w:r>
            <w:r>
              <w:rPr>
                <w:rFonts w:ascii="宋体" w:hAnsi="宋体"/>
                <w:spacing w:val="20"/>
                <w:sz w:val="24"/>
              </w:rPr>
              <w:t>元</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ind w:firstLine="496"/>
              <w:jc w:val="center"/>
              <w:rPr>
                <w:rFonts w:ascii="宋体" w:hAnsi="宋体"/>
                <w:spacing w:val="20"/>
                <w:sz w:val="24"/>
              </w:rPr>
            </w:pPr>
          </w:p>
        </w:tc>
      </w:tr>
    </w:tbl>
    <w:p>
      <w:pPr>
        <w:snapToGrid w:val="0"/>
        <w:rPr>
          <w:rFonts w:ascii="宋体" w:hAnsi="宋体"/>
          <w:sz w:val="24"/>
        </w:rPr>
      </w:pPr>
    </w:p>
    <w:p>
      <w:pPr>
        <w:snapToGrid w:val="0"/>
        <w:rPr>
          <w:rFonts w:ascii="宋体" w:hAnsi="宋体"/>
          <w:spacing w:val="20"/>
          <w:sz w:val="24"/>
        </w:rPr>
      </w:pPr>
      <w:r>
        <w:rPr>
          <w:rFonts w:hint="eastAsia" w:ascii="宋体" w:hAnsi="宋体"/>
          <w:sz w:val="24"/>
        </w:rPr>
        <w:t>法定代表人或被授权人签字（或盖章）</w:t>
      </w:r>
      <w:r>
        <w:rPr>
          <w:rFonts w:hint="eastAsia" w:ascii="宋体" w:hAnsi="宋体"/>
          <w:spacing w:val="20"/>
          <w:sz w:val="24"/>
        </w:rPr>
        <w:t>：</w:t>
      </w:r>
      <w:r>
        <w:rPr>
          <w:rFonts w:ascii="宋体" w:hAnsi="宋体"/>
          <w:spacing w:val="20"/>
          <w:sz w:val="24"/>
          <w:u w:val="single"/>
        </w:rPr>
        <w:t xml:space="preserve">          </w:t>
      </w:r>
    </w:p>
    <w:p>
      <w:pPr>
        <w:snapToGrid w:val="0"/>
        <w:rPr>
          <w:rFonts w:ascii="宋体" w:hAnsi="宋体"/>
          <w:spacing w:val="20"/>
          <w:sz w:val="24"/>
        </w:rPr>
      </w:pPr>
      <w:r>
        <w:rPr>
          <w:rFonts w:hint="eastAsia" w:ascii="宋体" w:hAnsi="宋体"/>
          <w:spacing w:val="20"/>
          <w:sz w:val="24"/>
        </w:rPr>
        <w:t>投标人公章：</w:t>
      </w:r>
      <w:r>
        <w:rPr>
          <w:rFonts w:ascii="宋体" w:hAnsi="宋体"/>
          <w:spacing w:val="20"/>
          <w:sz w:val="24"/>
        </w:rPr>
        <w:t xml:space="preserve">         </w:t>
      </w:r>
      <w:r>
        <w:rPr>
          <w:rFonts w:hint="eastAsia" w:ascii="宋体" w:hAnsi="宋体"/>
          <w:spacing w:val="20"/>
          <w:sz w:val="24"/>
        </w:rPr>
        <w:t xml:space="preserve">             </w:t>
      </w:r>
    </w:p>
    <w:p>
      <w:pPr>
        <w:snapToGrid w:val="0"/>
        <w:rPr>
          <w:sz w:val="24"/>
        </w:rPr>
      </w:pPr>
      <w:r>
        <w:rPr>
          <w:rFonts w:hint="eastAsia"/>
          <w:sz w:val="24"/>
        </w:rPr>
        <w:t>日期：      年   月    日</w:t>
      </w:r>
      <w:bookmarkEnd w:id="176"/>
    </w:p>
    <w:sectPr>
      <w:footerReference r:id="rId13" w:type="first"/>
      <w:pgSz w:w="11906" w:h="16838"/>
      <w:pgMar w:top="1247" w:right="1418" w:bottom="1276"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AFF" w:usb1="C0007843" w:usb2="00000009" w:usb3="00000000" w:csb0="000001FF" w:csb1="00000000"/>
  </w:font>
  <w:font w:name="MS UI Gothic">
    <w:panose1 w:val="020B0600070205080204"/>
    <w:charset w:val="80"/>
    <w:family w:val="swiss"/>
    <w:pitch w:val="default"/>
    <w:sig w:usb0="E00002FF" w:usb1="6AC7FDFB" w:usb2="08000012" w:usb3="00000000" w:csb0="4002009F" w:csb1="DFD70000"/>
  </w:font>
  <w:font w:name="Mangal">
    <w:altName w:val="DejaVu Math TeX Gyre"/>
    <w:panose1 w:val="02040503050203030202"/>
    <w:charset w:val="00"/>
    <w:family w:val="roman"/>
    <w:pitch w:val="default"/>
    <w:sig w:usb0="00008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32</w:t>
    </w:r>
    <w:r>
      <w:rPr>
        <w:lang w:val="zh-CN"/>
      </w:rP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lang/>
      </w:rPr>
      <w:t>64</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1</w:t>
    </w:r>
    <w:r>
      <w:rPr>
        <w:lang w:val="zh-CN"/>
      </w:rPr>
      <w:fldChar w:fldCharType="end"/>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57</w:t>
    </w:r>
    <w:r>
      <w:rPr>
        <w:lang w:val="zh-CN"/>
      </w:rPr>
      <w:fldChar w:fldCharType="end"/>
    </w:r>
  </w:p>
  <w:p>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3185D"/>
    <w:multiLevelType w:val="multilevel"/>
    <w:tmpl w:val="0F03185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D23FDE"/>
    <w:multiLevelType w:val="multilevel"/>
    <w:tmpl w:val="19D23FDE"/>
    <w:lvl w:ilvl="0" w:tentative="0">
      <w:start w:val="1"/>
      <w:numFmt w:val="decimal"/>
      <w:lvlText w:val="%1"/>
      <w:lvlJc w:val="righ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346888"/>
    <w:multiLevelType w:val="multilevel"/>
    <w:tmpl w:val="38346888"/>
    <w:lvl w:ilvl="0" w:tentative="0">
      <w:start w:val="1"/>
      <w:numFmt w:val="decimal"/>
      <w:pStyle w:val="312"/>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37"/>
    <w:rsid w:val="00002A6C"/>
    <w:rsid w:val="00002FD9"/>
    <w:rsid w:val="00003072"/>
    <w:rsid w:val="000030BA"/>
    <w:rsid w:val="00003918"/>
    <w:rsid w:val="0000447E"/>
    <w:rsid w:val="000052FF"/>
    <w:rsid w:val="00007128"/>
    <w:rsid w:val="00007488"/>
    <w:rsid w:val="00007EC9"/>
    <w:rsid w:val="00010086"/>
    <w:rsid w:val="000100BF"/>
    <w:rsid w:val="00010430"/>
    <w:rsid w:val="00010AD3"/>
    <w:rsid w:val="00012019"/>
    <w:rsid w:val="0001391E"/>
    <w:rsid w:val="00013B33"/>
    <w:rsid w:val="00014253"/>
    <w:rsid w:val="00016294"/>
    <w:rsid w:val="00017045"/>
    <w:rsid w:val="000179F6"/>
    <w:rsid w:val="00017FB7"/>
    <w:rsid w:val="000207BA"/>
    <w:rsid w:val="00021C16"/>
    <w:rsid w:val="000228FD"/>
    <w:rsid w:val="00022E89"/>
    <w:rsid w:val="00023FEF"/>
    <w:rsid w:val="000246A2"/>
    <w:rsid w:val="00025142"/>
    <w:rsid w:val="000260E6"/>
    <w:rsid w:val="00026D36"/>
    <w:rsid w:val="00027561"/>
    <w:rsid w:val="000275BA"/>
    <w:rsid w:val="00030264"/>
    <w:rsid w:val="00030B39"/>
    <w:rsid w:val="00031BA2"/>
    <w:rsid w:val="00033194"/>
    <w:rsid w:val="00033223"/>
    <w:rsid w:val="00033232"/>
    <w:rsid w:val="000347C9"/>
    <w:rsid w:val="00035F65"/>
    <w:rsid w:val="000362F5"/>
    <w:rsid w:val="000367B8"/>
    <w:rsid w:val="00036C33"/>
    <w:rsid w:val="00040FE3"/>
    <w:rsid w:val="00041065"/>
    <w:rsid w:val="000410E1"/>
    <w:rsid w:val="00041243"/>
    <w:rsid w:val="00041BF0"/>
    <w:rsid w:val="00042254"/>
    <w:rsid w:val="000443F9"/>
    <w:rsid w:val="000454BD"/>
    <w:rsid w:val="0004638B"/>
    <w:rsid w:val="00047693"/>
    <w:rsid w:val="0005237A"/>
    <w:rsid w:val="00053B63"/>
    <w:rsid w:val="00053D68"/>
    <w:rsid w:val="00054F56"/>
    <w:rsid w:val="00055D37"/>
    <w:rsid w:val="00057097"/>
    <w:rsid w:val="00061EB3"/>
    <w:rsid w:val="000632F8"/>
    <w:rsid w:val="0006362A"/>
    <w:rsid w:val="00064776"/>
    <w:rsid w:val="00066470"/>
    <w:rsid w:val="00066488"/>
    <w:rsid w:val="00067ABF"/>
    <w:rsid w:val="0007231B"/>
    <w:rsid w:val="000726CC"/>
    <w:rsid w:val="000729EE"/>
    <w:rsid w:val="00073523"/>
    <w:rsid w:val="00074F8C"/>
    <w:rsid w:val="0007528C"/>
    <w:rsid w:val="00075D0C"/>
    <w:rsid w:val="000762A9"/>
    <w:rsid w:val="00076A3B"/>
    <w:rsid w:val="000819D8"/>
    <w:rsid w:val="00082494"/>
    <w:rsid w:val="000842DD"/>
    <w:rsid w:val="00084B63"/>
    <w:rsid w:val="00084B83"/>
    <w:rsid w:val="000852E1"/>
    <w:rsid w:val="000861EE"/>
    <w:rsid w:val="00086B31"/>
    <w:rsid w:val="000874E9"/>
    <w:rsid w:val="00087834"/>
    <w:rsid w:val="00087BB7"/>
    <w:rsid w:val="000909C9"/>
    <w:rsid w:val="00090C3D"/>
    <w:rsid w:val="00090FC3"/>
    <w:rsid w:val="000924EF"/>
    <w:rsid w:val="00094032"/>
    <w:rsid w:val="000941F7"/>
    <w:rsid w:val="000977FD"/>
    <w:rsid w:val="00097AF8"/>
    <w:rsid w:val="000A03FE"/>
    <w:rsid w:val="000A1DC7"/>
    <w:rsid w:val="000A2DC4"/>
    <w:rsid w:val="000B0631"/>
    <w:rsid w:val="000B2493"/>
    <w:rsid w:val="000B2B26"/>
    <w:rsid w:val="000B3165"/>
    <w:rsid w:val="000B45CE"/>
    <w:rsid w:val="000B64C6"/>
    <w:rsid w:val="000B6A90"/>
    <w:rsid w:val="000B6FCC"/>
    <w:rsid w:val="000B74E0"/>
    <w:rsid w:val="000C01D2"/>
    <w:rsid w:val="000C01E3"/>
    <w:rsid w:val="000C0403"/>
    <w:rsid w:val="000C115B"/>
    <w:rsid w:val="000C19B0"/>
    <w:rsid w:val="000C1E10"/>
    <w:rsid w:val="000C1F88"/>
    <w:rsid w:val="000C34B2"/>
    <w:rsid w:val="000C517D"/>
    <w:rsid w:val="000C64BE"/>
    <w:rsid w:val="000C6EBA"/>
    <w:rsid w:val="000C6F3E"/>
    <w:rsid w:val="000C6F70"/>
    <w:rsid w:val="000C707E"/>
    <w:rsid w:val="000C7C95"/>
    <w:rsid w:val="000D0BEB"/>
    <w:rsid w:val="000D15FD"/>
    <w:rsid w:val="000D20BB"/>
    <w:rsid w:val="000D4194"/>
    <w:rsid w:val="000D4FDC"/>
    <w:rsid w:val="000D6403"/>
    <w:rsid w:val="000D7632"/>
    <w:rsid w:val="000D7F0C"/>
    <w:rsid w:val="000E0067"/>
    <w:rsid w:val="000E0EC6"/>
    <w:rsid w:val="000E1130"/>
    <w:rsid w:val="000E2058"/>
    <w:rsid w:val="000E49FE"/>
    <w:rsid w:val="000E5B8A"/>
    <w:rsid w:val="000E64EF"/>
    <w:rsid w:val="000E6F91"/>
    <w:rsid w:val="000E7289"/>
    <w:rsid w:val="000F010B"/>
    <w:rsid w:val="000F3626"/>
    <w:rsid w:val="000F6BD3"/>
    <w:rsid w:val="000F7D1A"/>
    <w:rsid w:val="000F7DE5"/>
    <w:rsid w:val="001019E6"/>
    <w:rsid w:val="00101CAB"/>
    <w:rsid w:val="001022EA"/>
    <w:rsid w:val="00104410"/>
    <w:rsid w:val="001069F6"/>
    <w:rsid w:val="001125FB"/>
    <w:rsid w:val="00112EB3"/>
    <w:rsid w:val="00116ACB"/>
    <w:rsid w:val="0011764C"/>
    <w:rsid w:val="001176AE"/>
    <w:rsid w:val="00117EBD"/>
    <w:rsid w:val="00121237"/>
    <w:rsid w:val="0012188B"/>
    <w:rsid w:val="001237CB"/>
    <w:rsid w:val="00123D79"/>
    <w:rsid w:val="00125103"/>
    <w:rsid w:val="00125334"/>
    <w:rsid w:val="00127B72"/>
    <w:rsid w:val="00127F98"/>
    <w:rsid w:val="001300AB"/>
    <w:rsid w:val="00131629"/>
    <w:rsid w:val="00131933"/>
    <w:rsid w:val="00133FB0"/>
    <w:rsid w:val="0013415C"/>
    <w:rsid w:val="001347F8"/>
    <w:rsid w:val="00134B8A"/>
    <w:rsid w:val="0013628F"/>
    <w:rsid w:val="001372F0"/>
    <w:rsid w:val="001407C6"/>
    <w:rsid w:val="001430F3"/>
    <w:rsid w:val="00143853"/>
    <w:rsid w:val="001444EA"/>
    <w:rsid w:val="00146A2E"/>
    <w:rsid w:val="00147B4C"/>
    <w:rsid w:val="00151D9A"/>
    <w:rsid w:val="00151EC0"/>
    <w:rsid w:val="00152D84"/>
    <w:rsid w:val="0015384E"/>
    <w:rsid w:val="00153A04"/>
    <w:rsid w:val="00153ABD"/>
    <w:rsid w:val="00155305"/>
    <w:rsid w:val="001614F0"/>
    <w:rsid w:val="00164D39"/>
    <w:rsid w:val="00170444"/>
    <w:rsid w:val="0017130C"/>
    <w:rsid w:val="00172085"/>
    <w:rsid w:val="0017381E"/>
    <w:rsid w:val="00173871"/>
    <w:rsid w:val="00173FC2"/>
    <w:rsid w:val="001744BC"/>
    <w:rsid w:val="001747D3"/>
    <w:rsid w:val="00174EBA"/>
    <w:rsid w:val="00175097"/>
    <w:rsid w:val="0017536E"/>
    <w:rsid w:val="00176469"/>
    <w:rsid w:val="00176FA5"/>
    <w:rsid w:val="00177711"/>
    <w:rsid w:val="0017786B"/>
    <w:rsid w:val="0018036A"/>
    <w:rsid w:val="00180FBB"/>
    <w:rsid w:val="00181BA3"/>
    <w:rsid w:val="00182CD4"/>
    <w:rsid w:val="00183159"/>
    <w:rsid w:val="00184E01"/>
    <w:rsid w:val="001864AE"/>
    <w:rsid w:val="001873C1"/>
    <w:rsid w:val="00187CC1"/>
    <w:rsid w:val="00190F51"/>
    <w:rsid w:val="00191436"/>
    <w:rsid w:val="001925CF"/>
    <w:rsid w:val="0019316F"/>
    <w:rsid w:val="00193AC2"/>
    <w:rsid w:val="00195960"/>
    <w:rsid w:val="001965F0"/>
    <w:rsid w:val="001A0251"/>
    <w:rsid w:val="001A1C13"/>
    <w:rsid w:val="001A1C76"/>
    <w:rsid w:val="001A2469"/>
    <w:rsid w:val="001A2E7C"/>
    <w:rsid w:val="001A33FF"/>
    <w:rsid w:val="001A390A"/>
    <w:rsid w:val="001A3F93"/>
    <w:rsid w:val="001A63D7"/>
    <w:rsid w:val="001A70FD"/>
    <w:rsid w:val="001B2975"/>
    <w:rsid w:val="001B2D71"/>
    <w:rsid w:val="001B318C"/>
    <w:rsid w:val="001B3941"/>
    <w:rsid w:val="001B3ED5"/>
    <w:rsid w:val="001B4009"/>
    <w:rsid w:val="001B59D5"/>
    <w:rsid w:val="001B7B65"/>
    <w:rsid w:val="001C26E5"/>
    <w:rsid w:val="001C2BA0"/>
    <w:rsid w:val="001C3572"/>
    <w:rsid w:val="001C3BF4"/>
    <w:rsid w:val="001C51B9"/>
    <w:rsid w:val="001C5381"/>
    <w:rsid w:val="001C55DC"/>
    <w:rsid w:val="001C58FC"/>
    <w:rsid w:val="001C64EC"/>
    <w:rsid w:val="001C6532"/>
    <w:rsid w:val="001C6DAA"/>
    <w:rsid w:val="001C70F2"/>
    <w:rsid w:val="001C7106"/>
    <w:rsid w:val="001D0B15"/>
    <w:rsid w:val="001D1532"/>
    <w:rsid w:val="001D2D29"/>
    <w:rsid w:val="001E04D0"/>
    <w:rsid w:val="001E09A9"/>
    <w:rsid w:val="001E0D6D"/>
    <w:rsid w:val="001E2B1D"/>
    <w:rsid w:val="001E2BAB"/>
    <w:rsid w:val="001E2CBF"/>
    <w:rsid w:val="001E3159"/>
    <w:rsid w:val="001F17BF"/>
    <w:rsid w:val="001F17DA"/>
    <w:rsid w:val="001F1ECB"/>
    <w:rsid w:val="001F1F86"/>
    <w:rsid w:val="001F1FB3"/>
    <w:rsid w:val="001F27DC"/>
    <w:rsid w:val="001F3760"/>
    <w:rsid w:val="001F3E32"/>
    <w:rsid w:val="001F3FE6"/>
    <w:rsid w:val="001F41AB"/>
    <w:rsid w:val="001F75F6"/>
    <w:rsid w:val="00201A2D"/>
    <w:rsid w:val="0020347F"/>
    <w:rsid w:val="002044FD"/>
    <w:rsid w:val="00204FBE"/>
    <w:rsid w:val="0020503B"/>
    <w:rsid w:val="002053E5"/>
    <w:rsid w:val="00205790"/>
    <w:rsid w:val="00205F4E"/>
    <w:rsid w:val="00206440"/>
    <w:rsid w:val="00206D26"/>
    <w:rsid w:val="002076B7"/>
    <w:rsid w:val="00210351"/>
    <w:rsid w:val="00212512"/>
    <w:rsid w:val="00213AC1"/>
    <w:rsid w:val="002166DC"/>
    <w:rsid w:val="0021697E"/>
    <w:rsid w:val="00216B68"/>
    <w:rsid w:val="002170B0"/>
    <w:rsid w:val="002177BD"/>
    <w:rsid w:val="00221394"/>
    <w:rsid w:val="00221BF1"/>
    <w:rsid w:val="00223215"/>
    <w:rsid w:val="00223A51"/>
    <w:rsid w:val="00224646"/>
    <w:rsid w:val="002258A8"/>
    <w:rsid w:val="00225DBA"/>
    <w:rsid w:val="00226489"/>
    <w:rsid w:val="002275AE"/>
    <w:rsid w:val="00227C29"/>
    <w:rsid w:val="00230AD4"/>
    <w:rsid w:val="002319E3"/>
    <w:rsid w:val="00232FE1"/>
    <w:rsid w:val="0023399B"/>
    <w:rsid w:val="00234528"/>
    <w:rsid w:val="00234C0C"/>
    <w:rsid w:val="00235FFB"/>
    <w:rsid w:val="00237AEE"/>
    <w:rsid w:val="00241526"/>
    <w:rsid w:val="002434BB"/>
    <w:rsid w:val="00243FE4"/>
    <w:rsid w:val="00244344"/>
    <w:rsid w:val="0024496D"/>
    <w:rsid w:val="00244C4E"/>
    <w:rsid w:val="00244CCC"/>
    <w:rsid w:val="00245711"/>
    <w:rsid w:val="00245CA2"/>
    <w:rsid w:val="00245FF2"/>
    <w:rsid w:val="002476FB"/>
    <w:rsid w:val="00247C89"/>
    <w:rsid w:val="00250D64"/>
    <w:rsid w:val="00250E4D"/>
    <w:rsid w:val="002518DB"/>
    <w:rsid w:val="00251964"/>
    <w:rsid w:val="00252FF8"/>
    <w:rsid w:val="00253020"/>
    <w:rsid w:val="002547E1"/>
    <w:rsid w:val="00257D68"/>
    <w:rsid w:val="00260BB0"/>
    <w:rsid w:val="00261E7B"/>
    <w:rsid w:val="00262597"/>
    <w:rsid w:val="0026309B"/>
    <w:rsid w:val="00263EC6"/>
    <w:rsid w:val="002652A4"/>
    <w:rsid w:val="00265947"/>
    <w:rsid w:val="002672E1"/>
    <w:rsid w:val="00271DE4"/>
    <w:rsid w:val="0027478F"/>
    <w:rsid w:val="00274A24"/>
    <w:rsid w:val="00274A84"/>
    <w:rsid w:val="00276147"/>
    <w:rsid w:val="0027631E"/>
    <w:rsid w:val="00276913"/>
    <w:rsid w:val="00282DB5"/>
    <w:rsid w:val="00283CE2"/>
    <w:rsid w:val="00283CF8"/>
    <w:rsid w:val="00284687"/>
    <w:rsid w:val="00284CAB"/>
    <w:rsid w:val="002850AD"/>
    <w:rsid w:val="00285A62"/>
    <w:rsid w:val="0028621C"/>
    <w:rsid w:val="002863BB"/>
    <w:rsid w:val="00286A53"/>
    <w:rsid w:val="00286E77"/>
    <w:rsid w:val="0029024B"/>
    <w:rsid w:val="002907C2"/>
    <w:rsid w:val="00290FC7"/>
    <w:rsid w:val="00291979"/>
    <w:rsid w:val="00291E58"/>
    <w:rsid w:val="00291E7D"/>
    <w:rsid w:val="00292565"/>
    <w:rsid w:val="00292CB9"/>
    <w:rsid w:val="002932A6"/>
    <w:rsid w:val="00293316"/>
    <w:rsid w:val="00294653"/>
    <w:rsid w:val="00294FB7"/>
    <w:rsid w:val="0029540C"/>
    <w:rsid w:val="00295D54"/>
    <w:rsid w:val="00295F69"/>
    <w:rsid w:val="002A4304"/>
    <w:rsid w:val="002A567C"/>
    <w:rsid w:val="002A5C40"/>
    <w:rsid w:val="002A6C92"/>
    <w:rsid w:val="002B0961"/>
    <w:rsid w:val="002B43D0"/>
    <w:rsid w:val="002B4994"/>
    <w:rsid w:val="002B56EC"/>
    <w:rsid w:val="002B5F84"/>
    <w:rsid w:val="002B6B5E"/>
    <w:rsid w:val="002B7117"/>
    <w:rsid w:val="002C00A2"/>
    <w:rsid w:val="002C1262"/>
    <w:rsid w:val="002C203B"/>
    <w:rsid w:val="002C3974"/>
    <w:rsid w:val="002C42AB"/>
    <w:rsid w:val="002C558A"/>
    <w:rsid w:val="002C588F"/>
    <w:rsid w:val="002C59AA"/>
    <w:rsid w:val="002C7F00"/>
    <w:rsid w:val="002D0EBC"/>
    <w:rsid w:val="002D120A"/>
    <w:rsid w:val="002D3216"/>
    <w:rsid w:val="002D37BA"/>
    <w:rsid w:val="002D3961"/>
    <w:rsid w:val="002D3ED9"/>
    <w:rsid w:val="002D5097"/>
    <w:rsid w:val="002D55FB"/>
    <w:rsid w:val="002D6729"/>
    <w:rsid w:val="002D79AC"/>
    <w:rsid w:val="002E1089"/>
    <w:rsid w:val="002E155C"/>
    <w:rsid w:val="002E1E54"/>
    <w:rsid w:val="002E2670"/>
    <w:rsid w:val="002E3A7C"/>
    <w:rsid w:val="002E3B6F"/>
    <w:rsid w:val="002E75F5"/>
    <w:rsid w:val="002F0D87"/>
    <w:rsid w:val="002F30DA"/>
    <w:rsid w:val="002F3E03"/>
    <w:rsid w:val="002F4C88"/>
    <w:rsid w:val="002F5514"/>
    <w:rsid w:val="002F5FC0"/>
    <w:rsid w:val="002F73DA"/>
    <w:rsid w:val="002F7800"/>
    <w:rsid w:val="002F7A96"/>
    <w:rsid w:val="00301C83"/>
    <w:rsid w:val="00303699"/>
    <w:rsid w:val="003045BB"/>
    <w:rsid w:val="00304D36"/>
    <w:rsid w:val="00305B57"/>
    <w:rsid w:val="003079FE"/>
    <w:rsid w:val="00310D00"/>
    <w:rsid w:val="00311A02"/>
    <w:rsid w:val="00313B1A"/>
    <w:rsid w:val="00313BD1"/>
    <w:rsid w:val="003142BE"/>
    <w:rsid w:val="003151E8"/>
    <w:rsid w:val="003168B9"/>
    <w:rsid w:val="00317517"/>
    <w:rsid w:val="00320B93"/>
    <w:rsid w:val="003213EB"/>
    <w:rsid w:val="0032157C"/>
    <w:rsid w:val="0032164B"/>
    <w:rsid w:val="00322690"/>
    <w:rsid w:val="00323130"/>
    <w:rsid w:val="00325B91"/>
    <w:rsid w:val="003300BA"/>
    <w:rsid w:val="003301DE"/>
    <w:rsid w:val="003304C0"/>
    <w:rsid w:val="00330D44"/>
    <w:rsid w:val="00333421"/>
    <w:rsid w:val="0033458B"/>
    <w:rsid w:val="003353E8"/>
    <w:rsid w:val="003361B1"/>
    <w:rsid w:val="00336FDB"/>
    <w:rsid w:val="00340A22"/>
    <w:rsid w:val="00341A24"/>
    <w:rsid w:val="00342041"/>
    <w:rsid w:val="003423FB"/>
    <w:rsid w:val="003429AB"/>
    <w:rsid w:val="00343010"/>
    <w:rsid w:val="00343078"/>
    <w:rsid w:val="00343149"/>
    <w:rsid w:val="003443D3"/>
    <w:rsid w:val="00344DF6"/>
    <w:rsid w:val="00346059"/>
    <w:rsid w:val="00352748"/>
    <w:rsid w:val="00353155"/>
    <w:rsid w:val="003531BB"/>
    <w:rsid w:val="00353B3B"/>
    <w:rsid w:val="003564B5"/>
    <w:rsid w:val="00356792"/>
    <w:rsid w:val="00357FEA"/>
    <w:rsid w:val="00360347"/>
    <w:rsid w:val="0036165B"/>
    <w:rsid w:val="00361A66"/>
    <w:rsid w:val="00363047"/>
    <w:rsid w:val="003633B2"/>
    <w:rsid w:val="0036432B"/>
    <w:rsid w:val="003701C8"/>
    <w:rsid w:val="003715ED"/>
    <w:rsid w:val="00372144"/>
    <w:rsid w:val="00372F34"/>
    <w:rsid w:val="00373515"/>
    <w:rsid w:val="003740EC"/>
    <w:rsid w:val="00374197"/>
    <w:rsid w:val="0037429B"/>
    <w:rsid w:val="0037504F"/>
    <w:rsid w:val="003751DD"/>
    <w:rsid w:val="003758E9"/>
    <w:rsid w:val="00376685"/>
    <w:rsid w:val="00376BCE"/>
    <w:rsid w:val="00377653"/>
    <w:rsid w:val="00377F67"/>
    <w:rsid w:val="0038027C"/>
    <w:rsid w:val="00381D0E"/>
    <w:rsid w:val="00381DDF"/>
    <w:rsid w:val="00382B75"/>
    <w:rsid w:val="00383DDE"/>
    <w:rsid w:val="00386036"/>
    <w:rsid w:val="00386F00"/>
    <w:rsid w:val="003872B0"/>
    <w:rsid w:val="0038767A"/>
    <w:rsid w:val="003879C0"/>
    <w:rsid w:val="0039015B"/>
    <w:rsid w:val="00390350"/>
    <w:rsid w:val="003906A9"/>
    <w:rsid w:val="003906CF"/>
    <w:rsid w:val="00396145"/>
    <w:rsid w:val="00397897"/>
    <w:rsid w:val="00397AC5"/>
    <w:rsid w:val="003A1D61"/>
    <w:rsid w:val="003A1D79"/>
    <w:rsid w:val="003A1E8A"/>
    <w:rsid w:val="003A346B"/>
    <w:rsid w:val="003A3DF7"/>
    <w:rsid w:val="003A596A"/>
    <w:rsid w:val="003A7625"/>
    <w:rsid w:val="003B2D0E"/>
    <w:rsid w:val="003B3A3D"/>
    <w:rsid w:val="003B3EC8"/>
    <w:rsid w:val="003B4439"/>
    <w:rsid w:val="003B4A22"/>
    <w:rsid w:val="003B5798"/>
    <w:rsid w:val="003B5E17"/>
    <w:rsid w:val="003C02CB"/>
    <w:rsid w:val="003C0FB9"/>
    <w:rsid w:val="003C1E03"/>
    <w:rsid w:val="003C4198"/>
    <w:rsid w:val="003C71A5"/>
    <w:rsid w:val="003C767D"/>
    <w:rsid w:val="003D10A0"/>
    <w:rsid w:val="003D1228"/>
    <w:rsid w:val="003D16AE"/>
    <w:rsid w:val="003D1F37"/>
    <w:rsid w:val="003D2E47"/>
    <w:rsid w:val="003D30D4"/>
    <w:rsid w:val="003D3A24"/>
    <w:rsid w:val="003D79DF"/>
    <w:rsid w:val="003E09FD"/>
    <w:rsid w:val="003E0C6A"/>
    <w:rsid w:val="003E0D91"/>
    <w:rsid w:val="003E1063"/>
    <w:rsid w:val="003E2144"/>
    <w:rsid w:val="003E279C"/>
    <w:rsid w:val="003E2AD8"/>
    <w:rsid w:val="003E452F"/>
    <w:rsid w:val="003E47CB"/>
    <w:rsid w:val="003E73C2"/>
    <w:rsid w:val="003E7A9D"/>
    <w:rsid w:val="003F2513"/>
    <w:rsid w:val="003F4211"/>
    <w:rsid w:val="003F4D5B"/>
    <w:rsid w:val="003F4F5B"/>
    <w:rsid w:val="003F5903"/>
    <w:rsid w:val="003F5AAA"/>
    <w:rsid w:val="003F5EF0"/>
    <w:rsid w:val="003F6985"/>
    <w:rsid w:val="003F761A"/>
    <w:rsid w:val="00400A93"/>
    <w:rsid w:val="00401742"/>
    <w:rsid w:val="00402473"/>
    <w:rsid w:val="00402539"/>
    <w:rsid w:val="00403EF0"/>
    <w:rsid w:val="0040608C"/>
    <w:rsid w:val="00406BD6"/>
    <w:rsid w:val="00406DDF"/>
    <w:rsid w:val="0041021B"/>
    <w:rsid w:val="00410B7F"/>
    <w:rsid w:val="00412C6D"/>
    <w:rsid w:val="004139F3"/>
    <w:rsid w:val="00414769"/>
    <w:rsid w:val="0041572F"/>
    <w:rsid w:val="00415E2F"/>
    <w:rsid w:val="00416282"/>
    <w:rsid w:val="004163A9"/>
    <w:rsid w:val="00420586"/>
    <w:rsid w:val="00420B9F"/>
    <w:rsid w:val="00423618"/>
    <w:rsid w:val="00424DCD"/>
    <w:rsid w:val="0042691C"/>
    <w:rsid w:val="00427465"/>
    <w:rsid w:val="00427B5D"/>
    <w:rsid w:val="0043231C"/>
    <w:rsid w:val="0043274B"/>
    <w:rsid w:val="004329C7"/>
    <w:rsid w:val="00432B08"/>
    <w:rsid w:val="00432BA9"/>
    <w:rsid w:val="00432F01"/>
    <w:rsid w:val="00434A9D"/>
    <w:rsid w:val="00435B09"/>
    <w:rsid w:val="00436D4B"/>
    <w:rsid w:val="004374C4"/>
    <w:rsid w:val="0043767B"/>
    <w:rsid w:val="00440CDC"/>
    <w:rsid w:val="004429A3"/>
    <w:rsid w:val="004430B6"/>
    <w:rsid w:val="00444927"/>
    <w:rsid w:val="004449FA"/>
    <w:rsid w:val="00446148"/>
    <w:rsid w:val="0044671A"/>
    <w:rsid w:val="0044755D"/>
    <w:rsid w:val="00447EA4"/>
    <w:rsid w:val="00451687"/>
    <w:rsid w:val="00453983"/>
    <w:rsid w:val="004539E5"/>
    <w:rsid w:val="00454B55"/>
    <w:rsid w:val="00454B6A"/>
    <w:rsid w:val="0045510B"/>
    <w:rsid w:val="00456062"/>
    <w:rsid w:val="0045636A"/>
    <w:rsid w:val="0045767E"/>
    <w:rsid w:val="00461CFB"/>
    <w:rsid w:val="00462ACD"/>
    <w:rsid w:val="00463AD3"/>
    <w:rsid w:val="004644CD"/>
    <w:rsid w:val="00464F82"/>
    <w:rsid w:val="00466F1C"/>
    <w:rsid w:val="004705CD"/>
    <w:rsid w:val="004749AD"/>
    <w:rsid w:val="00476B42"/>
    <w:rsid w:val="004776C4"/>
    <w:rsid w:val="0048061E"/>
    <w:rsid w:val="004814C1"/>
    <w:rsid w:val="00481AE3"/>
    <w:rsid w:val="00481C75"/>
    <w:rsid w:val="00481CA3"/>
    <w:rsid w:val="004837EA"/>
    <w:rsid w:val="00485B02"/>
    <w:rsid w:val="004860DF"/>
    <w:rsid w:val="00486AAF"/>
    <w:rsid w:val="00487CD2"/>
    <w:rsid w:val="00490568"/>
    <w:rsid w:val="00492030"/>
    <w:rsid w:val="00492919"/>
    <w:rsid w:val="00492B9E"/>
    <w:rsid w:val="0049312E"/>
    <w:rsid w:val="00493692"/>
    <w:rsid w:val="004944D1"/>
    <w:rsid w:val="004949E9"/>
    <w:rsid w:val="00495053"/>
    <w:rsid w:val="00496255"/>
    <w:rsid w:val="004962FF"/>
    <w:rsid w:val="004971F1"/>
    <w:rsid w:val="004A0BB5"/>
    <w:rsid w:val="004A37CF"/>
    <w:rsid w:val="004A4615"/>
    <w:rsid w:val="004A46F7"/>
    <w:rsid w:val="004A57C7"/>
    <w:rsid w:val="004A6C25"/>
    <w:rsid w:val="004B1814"/>
    <w:rsid w:val="004B260F"/>
    <w:rsid w:val="004B2897"/>
    <w:rsid w:val="004B293D"/>
    <w:rsid w:val="004B2E7A"/>
    <w:rsid w:val="004B36FB"/>
    <w:rsid w:val="004B4E4D"/>
    <w:rsid w:val="004B51FB"/>
    <w:rsid w:val="004B551B"/>
    <w:rsid w:val="004B57AF"/>
    <w:rsid w:val="004B780F"/>
    <w:rsid w:val="004B7C23"/>
    <w:rsid w:val="004C0460"/>
    <w:rsid w:val="004C05FC"/>
    <w:rsid w:val="004C071C"/>
    <w:rsid w:val="004C27E3"/>
    <w:rsid w:val="004C2881"/>
    <w:rsid w:val="004C2B66"/>
    <w:rsid w:val="004C2B99"/>
    <w:rsid w:val="004C5039"/>
    <w:rsid w:val="004C7216"/>
    <w:rsid w:val="004D1717"/>
    <w:rsid w:val="004D2A64"/>
    <w:rsid w:val="004D2CE6"/>
    <w:rsid w:val="004D397E"/>
    <w:rsid w:val="004D470B"/>
    <w:rsid w:val="004D5195"/>
    <w:rsid w:val="004D5946"/>
    <w:rsid w:val="004D6CD8"/>
    <w:rsid w:val="004D7EDF"/>
    <w:rsid w:val="004D7F60"/>
    <w:rsid w:val="004E0003"/>
    <w:rsid w:val="004E051B"/>
    <w:rsid w:val="004E092E"/>
    <w:rsid w:val="004E21BB"/>
    <w:rsid w:val="004E310C"/>
    <w:rsid w:val="004E3F5F"/>
    <w:rsid w:val="004E5979"/>
    <w:rsid w:val="004E666A"/>
    <w:rsid w:val="004E69E7"/>
    <w:rsid w:val="004E7974"/>
    <w:rsid w:val="004E7B48"/>
    <w:rsid w:val="004F0A79"/>
    <w:rsid w:val="004F0B48"/>
    <w:rsid w:val="004F0EBD"/>
    <w:rsid w:val="004F0F0A"/>
    <w:rsid w:val="004F1067"/>
    <w:rsid w:val="004F2742"/>
    <w:rsid w:val="004F295C"/>
    <w:rsid w:val="004F375A"/>
    <w:rsid w:val="004F4EDC"/>
    <w:rsid w:val="004F5950"/>
    <w:rsid w:val="004F5EE9"/>
    <w:rsid w:val="0050053A"/>
    <w:rsid w:val="00502350"/>
    <w:rsid w:val="00502C28"/>
    <w:rsid w:val="00502C95"/>
    <w:rsid w:val="00502F00"/>
    <w:rsid w:val="00505352"/>
    <w:rsid w:val="0050537E"/>
    <w:rsid w:val="00505BF8"/>
    <w:rsid w:val="005061FB"/>
    <w:rsid w:val="005068D6"/>
    <w:rsid w:val="00510D81"/>
    <w:rsid w:val="00512514"/>
    <w:rsid w:val="0051292C"/>
    <w:rsid w:val="00514F7E"/>
    <w:rsid w:val="00515D10"/>
    <w:rsid w:val="00516EA1"/>
    <w:rsid w:val="005176F6"/>
    <w:rsid w:val="0052176B"/>
    <w:rsid w:val="00523B6F"/>
    <w:rsid w:val="005243D7"/>
    <w:rsid w:val="005278C6"/>
    <w:rsid w:val="005303C4"/>
    <w:rsid w:val="00530489"/>
    <w:rsid w:val="00531BED"/>
    <w:rsid w:val="005327C9"/>
    <w:rsid w:val="00533323"/>
    <w:rsid w:val="00533679"/>
    <w:rsid w:val="00533C83"/>
    <w:rsid w:val="0053444C"/>
    <w:rsid w:val="0053581C"/>
    <w:rsid w:val="00536C38"/>
    <w:rsid w:val="00537E14"/>
    <w:rsid w:val="00540D96"/>
    <w:rsid w:val="00540E32"/>
    <w:rsid w:val="00541591"/>
    <w:rsid w:val="005423BF"/>
    <w:rsid w:val="00547D69"/>
    <w:rsid w:val="0055095F"/>
    <w:rsid w:val="00551402"/>
    <w:rsid w:val="0055395B"/>
    <w:rsid w:val="005554A9"/>
    <w:rsid w:val="00555FB7"/>
    <w:rsid w:val="0055672B"/>
    <w:rsid w:val="00556C79"/>
    <w:rsid w:val="00557923"/>
    <w:rsid w:val="005603F1"/>
    <w:rsid w:val="0056108C"/>
    <w:rsid w:val="005615E5"/>
    <w:rsid w:val="00561611"/>
    <w:rsid w:val="005618B4"/>
    <w:rsid w:val="005620A3"/>
    <w:rsid w:val="005626BD"/>
    <w:rsid w:val="005631DE"/>
    <w:rsid w:val="00563590"/>
    <w:rsid w:val="00563805"/>
    <w:rsid w:val="005639AE"/>
    <w:rsid w:val="00565907"/>
    <w:rsid w:val="0056682C"/>
    <w:rsid w:val="0056711B"/>
    <w:rsid w:val="005672C4"/>
    <w:rsid w:val="00570206"/>
    <w:rsid w:val="0057260F"/>
    <w:rsid w:val="00573E28"/>
    <w:rsid w:val="005744B9"/>
    <w:rsid w:val="0057479D"/>
    <w:rsid w:val="00575077"/>
    <w:rsid w:val="00575092"/>
    <w:rsid w:val="00576E8D"/>
    <w:rsid w:val="00577492"/>
    <w:rsid w:val="0058237A"/>
    <w:rsid w:val="0058338C"/>
    <w:rsid w:val="005842FA"/>
    <w:rsid w:val="00584477"/>
    <w:rsid w:val="0058458C"/>
    <w:rsid w:val="005852BE"/>
    <w:rsid w:val="00585452"/>
    <w:rsid w:val="00590922"/>
    <w:rsid w:val="005924DA"/>
    <w:rsid w:val="00592AAF"/>
    <w:rsid w:val="00595E80"/>
    <w:rsid w:val="00597DAF"/>
    <w:rsid w:val="005A022B"/>
    <w:rsid w:val="005A02EB"/>
    <w:rsid w:val="005A0FC2"/>
    <w:rsid w:val="005A22D9"/>
    <w:rsid w:val="005A41E7"/>
    <w:rsid w:val="005A479B"/>
    <w:rsid w:val="005A47D6"/>
    <w:rsid w:val="005A5C36"/>
    <w:rsid w:val="005A5E2A"/>
    <w:rsid w:val="005A7D45"/>
    <w:rsid w:val="005B1027"/>
    <w:rsid w:val="005B14E0"/>
    <w:rsid w:val="005B1990"/>
    <w:rsid w:val="005B54E2"/>
    <w:rsid w:val="005B5646"/>
    <w:rsid w:val="005B7B6A"/>
    <w:rsid w:val="005C026E"/>
    <w:rsid w:val="005C1E3D"/>
    <w:rsid w:val="005C2CD6"/>
    <w:rsid w:val="005C3CD1"/>
    <w:rsid w:val="005C4FF8"/>
    <w:rsid w:val="005C667E"/>
    <w:rsid w:val="005C6A7B"/>
    <w:rsid w:val="005D0137"/>
    <w:rsid w:val="005D25EE"/>
    <w:rsid w:val="005D29A6"/>
    <w:rsid w:val="005D37AA"/>
    <w:rsid w:val="005D3EB3"/>
    <w:rsid w:val="005D60B8"/>
    <w:rsid w:val="005D62BE"/>
    <w:rsid w:val="005D63E6"/>
    <w:rsid w:val="005D6417"/>
    <w:rsid w:val="005D6609"/>
    <w:rsid w:val="005D6931"/>
    <w:rsid w:val="005E0A0F"/>
    <w:rsid w:val="005E24E9"/>
    <w:rsid w:val="005E2CDE"/>
    <w:rsid w:val="005E4264"/>
    <w:rsid w:val="005E448A"/>
    <w:rsid w:val="005E4BF2"/>
    <w:rsid w:val="005E4C79"/>
    <w:rsid w:val="005E4DCC"/>
    <w:rsid w:val="005E7FFD"/>
    <w:rsid w:val="005F0D75"/>
    <w:rsid w:val="005F16A1"/>
    <w:rsid w:val="005F1789"/>
    <w:rsid w:val="005F3956"/>
    <w:rsid w:val="005F5154"/>
    <w:rsid w:val="005F64DE"/>
    <w:rsid w:val="005F73BD"/>
    <w:rsid w:val="005F7749"/>
    <w:rsid w:val="00600001"/>
    <w:rsid w:val="006001F7"/>
    <w:rsid w:val="00600CFC"/>
    <w:rsid w:val="00601091"/>
    <w:rsid w:val="006031C4"/>
    <w:rsid w:val="00604BD4"/>
    <w:rsid w:val="00605285"/>
    <w:rsid w:val="006062FE"/>
    <w:rsid w:val="0060650C"/>
    <w:rsid w:val="00606E93"/>
    <w:rsid w:val="00607053"/>
    <w:rsid w:val="00610012"/>
    <w:rsid w:val="00610560"/>
    <w:rsid w:val="00611600"/>
    <w:rsid w:val="00611977"/>
    <w:rsid w:val="0061298D"/>
    <w:rsid w:val="006136D6"/>
    <w:rsid w:val="0061722B"/>
    <w:rsid w:val="00617AED"/>
    <w:rsid w:val="00620BC5"/>
    <w:rsid w:val="006226A9"/>
    <w:rsid w:val="006227ED"/>
    <w:rsid w:val="00622C35"/>
    <w:rsid w:val="00623DE1"/>
    <w:rsid w:val="0062681B"/>
    <w:rsid w:val="0062726A"/>
    <w:rsid w:val="0062729F"/>
    <w:rsid w:val="006302D5"/>
    <w:rsid w:val="00630C15"/>
    <w:rsid w:val="006320E4"/>
    <w:rsid w:val="00633EE1"/>
    <w:rsid w:val="00634BAE"/>
    <w:rsid w:val="00635C2A"/>
    <w:rsid w:val="00636A12"/>
    <w:rsid w:val="00637E82"/>
    <w:rsid w:val="00640801"/>
    <w:rsid w:val="006411DE"/>
    <w:rsid w:val="006424D8"/>
    <w:rsid w:val="00642FB6"/>
    <w:rsid w:val="00643B9A"/>
    <w:rsid w:val="0064477E"/>
    <w:rsid w:val="006454B9"/>
    <w:rsid w:val="0064689E"/>
    <w:rsid w:val="006474CE"/>
    <w:rsid w:val="00647EE3"/>
    <w:rsid w:val="00647FC0"/>
    <w:rsid w:val="0065034E"/>
    <w:rsid w:val="00650847"/>
    <w:rsid w:val="00650BD7"/>
    <w:rsid w:val="006516E3"/>
    <w:rsid w:val="00652520"/>
    <w:rsid w:val="0065278F"/>
    <w:rsid w:val="00653FF8"/>
    <w:rsid w:val="00655C40"/>
    <w:rsid w:val="00655FDD"/>
    <w:rsid w:val="00656407"/>
    <w:rsid w:val="00656BC4"/>
    <w:rsid w:val="00657B87"/>
    <w:rsid w:val="00660FE9"/>
    <w:rsid w:val="00661FCE"/>
    <w:rsid w:val="006624BC"/>
    <w:rsid w:val="006624C7"/>
    <w:rsid w:val="006627D3"/>
    <w:rsid w:val="006638C2"/>
    <w:rsid w:val="00664791"/>
    <w:rsid w:val="0066616E"/>
    <w:rsid w:val="006664EB"/>
    <w:rsid w:val="006669F3"/>
    <w:rsid w:val="00667877"/>
    <w:rsid w:val="00667934"/>
    <w:rsid w:val="0067031B"/>
    <w:rsid w:val="00670638"/>
    <w:rsid w:val="006719F0"/>
    <w:rsid w:val="00674A7E"/>
    <w:rsid w:val="0067562E"/>
    <w:rsid w:val="0067573C"/>
    <w:rsid w:val="0068003D"/>
    <w:rsid w:val="00684671"/>
    <w:rsid w:val="00684D07"/>
    <w:rsid w:val="00684DFE"/>
    <w:rsid w:val="00685049"/>
    <w:rsid w:val="006851B0"/>
    <w:rsid w:val="006913B5"/>
    <w:rsid w:val="00693C50"/>
    <w:rsid w:val="0069571D"/>
    <w:rsid w:val="006962FB"/>
    <w:rsid w:val="00696CB2"/>
    <w:rsid w:val="00697B4C"/>
    <w:rsid w:val="006A0638"/>
    <w:rsid w:val="006A080D"/>
    <w:rsid w:val="006A39DD"/>
    <w:rsid w:val="006A4BA4"/>
    <w:rsid w:val="006A4D65"/>
    <w:rsid w:val="006A53B9"/>
    <w:rsid w:val="006A675F"/>
    <w:rsid w:val="006A7A94"/>
    <w:rsid w:val="006B0467"/>
    <w:rsid w:val="006B050C"/>
    <w:rsid w:val="006B07F5"/>
    <w:rsid w:val="006B142D"/>
    <w:rsid w:val="006B2277"/>
    <w:rsid w:val="006B264F"/>
    <w:rsid w:val="006B2C5A"/>
    <w:rsid w:val="006B2ED0"/>
    <w:rsid w:val="006B4173"/>
    <w:rsid w:val="006B4C27"/>
    <w:rsid w:val="006B559E"/>
    <w:rsid w:val="006B5CFC"/>
    <w:rsid w:val="006B621A"/>
    <w:rsid w:val="006B6DA8"/>
    <w:rsid w:val="006C196E"/>
    <w:rsid w:val="006C1A42"/>
    <w:rsid w:val="006C1F5B"/>
    <w:rsid w:val="006C2789"/>
    <w:rsid w:val="006C2CE5"/>
    <w:rsid w:val="006C7854"/>
    <w:rsid w:val="006C7D49"/>
    <w:rsid w:val="006D084F"/>
    <w:rsid w:val="006D13CC"/>
    <w:rsid w:val="006D232E"/>
    <w:rsid w:val="006D266C"/>
    <w:rsid w:val="006D4278"/>
    <w:rsid w:val="006D5633"/>
    <w:rsid w:val="006D5707"/>
    <w:rsid w:val="006D5BB6"/>
    <w:rsid w:val="006D636E"/>
    <w:rsid w:val="006E05C5"/>
    <w:rsid w:val="006E1581"/>
    <w:rsid w:val="006E3CDA"/>
    <w:rsid w:val="006E5117"/>
    <w:rsid w:val="006E5600"/>
    <w:rsid w:val="006E62CA"/>
    <w:rsid w:val="006E7F3B"/>
    <w:rsid w:val="006E7F8E"/>
    <w:rsid w:val="006F0B0C"/>
    <w:rsid w:val="006F2AAB"/>
    <w:rsid w:val="006F2F48"/>
    <w:rsid w:val="006F3D1C"/>
    <w:rsid w:val="006F423B"/>
    <w:rsid w:val="006F4AE0"/>
    <w:rsid w:val="006F4F37"/>
    <w:rsid w:val="006F6263"/>
    <w:rsid w:val="006F68D8"/>
    <w:rsid w:val="006F6DCE"/>
    <w:rsid w:val="00701FF5"/>
    <w:rsid w:val="00703137"/>
    <w:rsid w:val="007044CA"/>
    <w:rsid w:val="00704996"/>
    <w:rsid w:val="007057C9"/>
    <w:rsid w:val="007076EF"/>
    <w:rsid w:val="007126AC"/>
    <w:rsid w:val="00712DCB"/>
    <w:rsid w:val="0071342B"/>
    <w:rsid w:val="00715FCD"/>
    <w:rsid w:val="00716484"/>
    <w:rsid w:val="0071683B"/>
    <w:rsid w:val="007169FF"/>
    <w:rsid w:val="007211E6"/>
    <w:rsid w:val="007218A8"/>
    <w:rsid w:val="00725042"/>
    <w:rsid w:val="0072547C"/>
    <w:rsid w:val="0072572D"/>
    <w:rsid w:val="00726F5C"/>
    <w:rsid w:val="00727C3A"/>
    <w:rsid w:val="00732F5E"/>
    <w:rsid w:val="007336D6"/>
    <w:rsid w:val="00733D91"/>
    <w:rsid w:val="007341CF"/>
    <w:rsid w:val="00734607"/>
    <w:rsid w:val="0073485E"/>
    <w:rsid w:val="00736A62"/>
    <w:rsid w:val="007371E7"/>
    <w:rsid w:val="00740923"/>
    <w:rsid w:val="007419B0"/>
    <w:rsid w:val="00742F6A"/>
    <w:rsid w:val="007434DA"/>
    <w:rsid w:val="00744916"/>
    <w:rsid w:val="00744E1C"/>
    <w:rsid w:val="0074695B"/>
    <w:rsid w:val="00746C41"/>
    <w:rsid w:val="00747EC2"/>
    <w:rsid w:val="00750978"/>
    <w:rsid w:val="007512D4"/>
    <w:rsid w:val="00752DB2"/>
    <w:rsid w:val="00753B19"/>
    <w:rsid w:val="00755B51"/>
    <w:rsid w:val="00755ED5"/>
    <w:rsid w:val="007575FC"/>
    <w:rsid w:val="00757A69"/>
    <w:rsid w:val="00762D0A"/>
    <w:rsid w:val="00762EEA"/>
    <w:rsid w:val="007637D5"/>
    <w:rsid w:val="00764D3E"/>
    <w:rsid w:val="00765681"/>
    <w:rsid w:val="007659F7"/>
    <w:rsid w:val="00767200"/>
    <w:rsid w:val="00767418"/>
    <w:rsid w:val="00772568"/>
    <w:rsid w:val="00773F4F"/>
    <w:rsid w:val="007743F9"/>
    <w:rsid w:val="00774A85"/>
    <w:rsid w:val="007752AC"/>
    <w:rsid w:val="00775463"/>
    <w:rsid w:val="00775FD6"/>
    <w:rsid w:val="0077647D"/>
    <w:rsid w:val="00776CDB"/>
    <w:rsid w:val="00777401"/>
    <w:rsid w:val="00777D37"/>
    <w:rsid w:val="00780FF3"/>
    <w:rsid w:val="0078169A"/>
    <w:rsid w:val="007829A3"/>
    <w:rsid w:val="00785E15"/>
    <w:rsid w:val="00786D40"/>
    <w:rsid w:val="0078778D"/>
    <w:rsid w:val="00787A29"/>
    <w:rsid w:val="00791A46"/>
    <w:rsid w:val="007922CA"/>
    <w:rsid w:val="00792641"/>
    <w:rsid w:val="00794520"/>
    <w:rsid w:val="007949EC"/>
    <w:rsid w:val="00794F26"/>
    <w:rsid w:val="0079512A"/>
    <w:rsid w:val="007954BA"/>
    <w:rsid w:val="00795E53"/>
    <w:rsid w:val="007968BD"/>
    <w:rsid w:val="00796B80"/>
    <w:rsid w:val="007A0E06"/>
    <w:rsid w:val="007A2FD4"/>
    <w:rsid w:val="007A3AF5"/>
    <w:rsid w:val="007A43BD"/>
    <w:rsid w:val="007A4CCE"/>
    <w:rsid w:val="007A4D11"/>
    <w:rsid w:val="007A6B35"/>
    <w:rsid w:val="007A6EDC"/>
    <w:rsid w:val="007A6F14"/>
    <w:rsid w:val="007A74D4"/>
    <w:rsid w:val="007B0FB0"/>
    <w:rsid w:val="007B13D5"/>
    <w:rsid w:val="007B2AC7"/>
    <w:rsid w:val="007B4CB6"/>
    <w:rsid w:val="007B4E3E"/>
    <w:rsid w:val="007B4EAE"/>
    <w:rsid w:val="007B53B2"/>
    <w:rsid w:val="007B56A6"/>
    <w:rsid w:val="007B5BFC"/>
    <w:rsid w:val="007B5F22"/>
    <w:rsid w:val="007B631F"/>
    <w:rsid w:val="007B7163"/>
    <w:rsid w:val="007B794D"/>
    <w:rsid w:val="007B7DE3"/>
    <w:rsid w:val="007C0818"/>
    <w:rsid w:val="007C3AAC"/>
    <w:rsid w:val="007C40CC"/>
    <w:rsid w:val="007C5486"/>
    <w:rsid w:val="007D0672"/>
    <w:rsid w:val="007D16F9"/>
    <w:rsid w:val="007D40F5"/>
    <w:rsid w:val="007D4851"/>
    <w:rsid w:val="007D5796"/>
    <w:rsid w:val="007D62EF"/>
    <w:rsid w:val="007D71D0"/>
    <w:rsid w:val="007D71E9"/>
    <w:rsid w:val="007D7385"/>
    <w:rsid w:val="007E0745"/>
    <w:rsid w:val="007E0978"/>
    <w:rsid w:val="007E0A70"/>
    <w:rsid w:val="007E179D"/>
    <w:rsid w:val="007E1ADD"/>
    <w:rsid w:val="007E252A"/>
    <w:rsid w:val="007E32AA"/>
    <w:rsid w:val="007E4AD6"/>
    <w:rsid w:val="007E50C1"/>
    <w:rsid w:val="007E6503"/>
    <w:rsid w:val="007E70AB"/>
    <w:rsid w:val="007F08EA"/>
    <w:rsid w:val="007F1036"/>
    <w:rsid w:val="007F1C86"/>
    <w:rsid w:val="007F2D04"/>
    <w:rsid w:val="007F39F7"/>
    <w:rsid w:val="007F3E51"/>
    <w:rsid w:val="007F4342"/>
    <w:rsid w:val="007F47AA"/>
    <w:rsid w:val="007F5DBF"/>
    <w:rsid w:val="007F6D0B"/>
    <w:rsid w:val="007F70D7"/>
    <w:rsid w:val="00803B32"/>
    <w:rsid w:val="00804522"/>
    <w:rsid w:val="0080546C"/>
    <w:rsid w:val="00805556"/>
    <w:rsid w:val="0080658A"/>
    <w:rsid w:val="008066FA"/>
    <w:rsid w:val="00807F57"/>
    <w:rsid w:val="00810D2F"/>
    <w:rsid w:val="008123B2"/>
    <w:rsid w:val="00813C91"/>
    <w:rsid w:val="00813F97"/>
    <w:rsid w:val="00815D71"/>
    <w:rsid w:val="008161D9"/>
    <w:rsid w:val="008165E6"/>
    <w:rsid w:val="00816E85"/>
    <w:rsid w:val="008177A4"/>
    <w:rsid w:val="00817D6C"/>
    <w:rsid w:val="0082018B"/>
    <w:rsid w:val="008209A4"/>
    <w:rsid w:val="0082231B"/>
    <w:rsid w:val="008234EC"/>
    <w:rsid w:val="00824075"/>
    <w:rsid w:val="00825329"/>
    <w:rsid w:val="0082555E"/>
    <w:rsid w:val="00825C63"/>
    <w:rsid w:val="008264B6"/>
    <w:rsid w:val="0082683B"/>
    <w:rsid w:val="00826B0C"/>
    <w:rsid w:val="008272EB"/>
    <w:rsid w:val="00830A3A"/>
    <w:rsid w:val="0083110F"/>
    <w:rsid w:val="00832DBB"/>
    <w:rsid w:val="008344DB"/>
    <w:rsid w:val="00835227"/>
    <w:rsid w:val="00837B2A"/>
    <w:rsid w:val="00840FE0"/>
    <w:rsid w:val="008416C3"/>
    <w:rsid w:val="00842A97"/>
    <w:rsid w:val="00844AA9"/>
    <w:rsid w:val="00845608"/>
    <w:rsid w:val="0084684F"/>
    <w:rsid w:val="00847C35"/>
    <w:rsid w:val="00850228"/>
    <w:rsid w:val="008518D3"/>
    <w:rsid w:val="008518DE"/>
    <w:rsid w:val="00851E24"/>
    <w:rsid w:val="008526CD"/>
    <w:rsid w:val="008530C7"/>
    <w:rsid w:val="00853844"/>
    <w:rsid w:val="00854327"/>
    <w:rsid w:val="00855A50"/>
    <w:rsid w:val="00855A5D"/>
    <w:rsid w:val="0085727A"/>
    <w:rsid w:val="008578F6"/>
    <w:rsid w:val="008622C2"/>
    <w:rsid w:val="00863E8F"/>
    <w:rsid w:val="00865279"/>
    <w:rsid w:val="008675C4"/>
    <w:rsid w:val="00871C2A"/>
    <w:rsid w:val="0087325A"/>
    <w:rsid w:val="00873CCA"/>
    <w:rsid w:val="00874F35"/>
    <w:rsid w:val="00875C68"/>
    <w:rsid w:val="00876176"/>
    <w:rsid w:val="00880474"/>
    <w:rsid w:val="00880CD2"/>
    <w:rsid w:val="008811CF"/>
    <w:rsid w:val="00881B21"/>
    <w:rsid w:val="0088206B"/>
    <w:rsid w:val="0088232A"/>
    <w:rsid w:val="00882F68"/>
    <w:rsid w:val="00883C47"/>
    <w:rsid w:val="0088420B"/>
    <w:rsid w:val="00884435"/>
    <w:rsid w:val="00885FCD"/>
    <w:rsid w:val="00887D8D"/>
    <w:rsid w:val="00887E39"/>
    <w:rsid w:val="00887F02"/>
    <w:rsid w:val="008901C5"/>
    <w:rsid w:val="00890990"/>
    <w:rsid w:val="00890A08"/>
    <w:rsid w:val="0089127E"/>
    <w:rsid w:val="008917CB"/>
    <w:rsid w:val="008919B8"/>
    <w:rsid w:val="00891E83"/>
    <w:rsid w:val="008922C9"/>
    <w:rsid w:val="00893581"/>
    <w:rsid w:val="00895AE5"/>
    <w:rsid w:val="00895AF5"/>
    <w:rsid w:val="00895C53"/>
    <w:rsid w:val="008A0074"/>
    <w:rsid w:val="008A0399"/>
    <w:rsid w:val="008A0452"/>
    <w:rsid w:val="008A1819"/>
    <w:rsid w:val="008A26F8"/>
    <w:rsid w:val="008A33F3"/>
    <w:rsid w:val="008B1424"/>
    <w:rsid w:val="008B1D11"/>
    <w:rsid w:val="008B1D63"/>
    <w:rsid w:val="008B3C80"/>
    <w:rsid w:val="008B3CB5"/>
    <w:rsid w:val="008B4D16"/>
    <w:rsid w:val="008B622D"/>
    <w:rsid w:val="008B6CFC"/>
    <w:rsid w:val="008B7B3C"/>
    <w:rsid w:val="008C02F3"/>
    <w:rsid w:val="008C068F"/>
    <w:rsid w:val="008C0A71"/>
    <w:rsid w:val="008C1567"/>
    <w:rsid w:val="008C198E"/>
    <w:rsid w:val="008C20DC"/>
    <w:rsid w:val="008C26E0"/>
    <w:rsid w:val="008C45C1"/>
    <w:rsid w:val="008C5AAE"/>
    <w:rsid w:val="008C6AF9"/>
    <w:rsid w:val="008C7217"/>
    <w:rsid w:val="008C7D50"/>
    <w:rsid w:val="008D1F96"/>
    <w:rsid w:val="008D2A86"/>
    <w:rsid w:val="008D2B6A"/>
    <w:rsid w:val="008D43A7"/>
    <w:rsid w:val="008D4B6C"/>
    <w:rsid w:val="008D5300"/>
    <w:rsid w:val="008D627B"/>
    <w:rsid w:val="008D6463"/>
    <w:rsid w:val="008D6EA8"/>
    <w:rsid w:val="008D7EA2"/>
    <w:rsid w:val="008E2B3E"/>
    <w:rsid w:val="008E2FF7"/>
    <w:rsid w:val="008E4114"/>
    <w:rsid w:val="008E5507"/>
    <w:rsid w:val="008E5B93"/>
    <w:rsid w:val="008E5BA0"/>
    <w:rsid w:val="008E66B4"/>
    <w:rsid w:val="008E759C"/>
    <w:rsid w:val="008E7EA5"/>
    <w:rsid w:val="008F1AF9"/>
    <w:rsid w:val="008F2453"/>
    <w:rsid w:val="008F299B"/>
    <w:rsid w:val="008F3CCA"/>
    <w:rsid w:val="008F5A96"/>
    <w:rsid w:val="008F5E47"/>
    <w:rsid w:val="008F649E"/>
    <w:rsid w:val="008F7179"/>
    <w:rsid w:val="008F72C9"/>
    <w:rsid w:val="008F7756"/>
    <w:rsid w:val="00900F65"/>
    <w:rsid w:val="00903C2A"/>
    <w:rsid w:val="00904522"/>
    <w:rsid w:val="00905D55"/>
    <w:rsid w:val="00905E2D"/>
    <w:rsid w:val="0090729E"/>
    <w:rsid w:val="00912409"/>
    <w:rsid w:val="009128D5"/>
    <w:rsid w:val="00913519"/>
    <w:rsid w:val="00913A55"/>
    <w:rsid w:val="00913C86"/>
    <w:rsid w:val="009149B4"/>
    <w:rsid w:val="00914F67"/>
    <w:rsid w:val="00915314"/>
    <w:rsid w:val="00915769"/>
    <w:rsid w:val="00915A53"/>
    <w:rsid w:val="009161DA"/>
    <w:rsid w:val="009161FE"/>
    <w:rsid w:val="009200DB"/>
    <w:rsid w:val="009217CC"/>
    <w:rsid w:val="00925065"/>
    <w:rsid w:val="00925169"/>
    <w:rsid w:val="0092545C"/>
    <w:rsid w:val="00926925"/>
    <w:rsid w:val="00926D42"/>
    <w:rsid w:val="00927585"/>
    <w:rsid w:val="0092795C"/>
    <w:rsid w:val="00930063"/>
    <w:rsid w:val="009308EF"/>
    <w:rsid w:val="00930ED1"/>
    <w:rsid w:val="00931437"/>
    <w:rsid w:val="0093198B"/>
    <w:rsid w:val="00931EC3"/>
    <w:rsid w:val="009336DB"/>
    <w:rsid w:val="009348BC"/>
    <w:rsid w:val="0093536A"/>
    <w:rsid w:val="00936164"/>
    <w:rsid w:val="00937F02"/>
    <w:rsid w:val="0094341C"/>
    <w:rsid w:val="00944DD5"/>
    <w:rsid w:val="0094657F"/>
    <w:rsid w:val="009502E7"/>
    <w:rsid w:val="0095184E"/>
    <w:rsid w:val="0095199B"/>
    <w:rsid w:val="00951DB6"/>
    <w:rsid w:val="0095201F"/>
    <w:rsid w:val="00953241"/>
    <w:rsid w:val="00953669"/>
    <w:rsid w:val="00954356"/>
    <w:rsid w:val="00954463"/>
    <w:rsid w:val="0095536D"/>
    <w:rsid w:val="00956CD9"/>
    <w:rsid w:val="00956CE8"/>
    <w:rsid w:val="00956D80"/>
    <w:rsid w:val="00960650"/>
    <w:rsid w:val="0096109D"/>
    <w:rsid w:val="009623E4"/>
    <w:rsid w:val="00962898"/>
    <w:rsid w:val="00963850"/>
    <w:rsid w:val="00963F55"/>
    <w:rsid w:val="00964EE5"/>
    <w:rsid w:val="0096517A"/>
    <w:rsid w:val="009658D8"/>
    <w:rsid w:val="009661B6"/>
    <w:rsid w:val="00971DB7"/>
    <w:rsid w:val="00972C73"/>
    <w:rsid w:val="00972ED9"/>
    <w:rsid w:val="00973AC6"/>
    <w:rsid w:val="00974A0D"/>
    <w:rsid w:val="009751F2"/>
    <w:rsid w:val="00976E86"/>
    <w:rsid w:val="009772A9"/>
    <w:rsid w:val="00977B4C"/>
    <w:rsid w:val="0098010B"/>
    <w:rsid w:val="009804F9"/>
    <w:rsid w:val="00982535"/>
    <w:rsid w:val="00983D34"/>
    <w:rsid w:val="00984B9F"/>
    <w:rsid w:val="00984FB3"/>
    <w:rsid w:val="0098527E"/>
    <w:rsid w:val="0098642D"/>
    <w:rsid w:val="0098707A"/>
    <w:rsid w:val="0099033E"/>
    <w:rsid w:val="009928E3"/>
    <w:rsid w:val="00993A46"/>
    <w:rsid w:val="00994F8D"/>
    <w:rsid w:val="009A0004"/>
    <w:rsid w:val="009A03E2"/>
    <w:rsid w:val="009A2F3B"/>
    <w:rsid w:val="009A3C6F"/>
    <w:rsid w:val="009A4276"/>
    <w:rsid w:val="009A4641"/>
    <w:rsid w:val="009A7DDE"/>
    <w:rsid w:val="009B002B"/>
    <w:rsid w:val="009B0944"/>
    <w:rsid w:val="009B1CFB"/>
    <w:rsid w:val="009B2F17"/>
    <w:rsid w:val="009B4262"/>
    <w:rsid w:val="009B4490"/>
    <w:rsid w:val="009B499C"/>
    <w:rsid w:val="009B62D1"/>
    <w:rsid w:val="009B6668"/>
    <w:rsid w:val="009B78E9"/>
    <w:rsid w:val="009B7D59"/>
    <w:rsid w:val="009C01C9"/>
    <w:rsid w:val="009C08E6"/>
    <w:rsid w:val="009C1045"/>
    <w:rsid w:val="009C158D"/>
    <w:rsid w:val="009C16B5"/>
    <w:rsid w:val="009C1F8B"/>
    <w:rsid w:val="009C3786"/>
    <w:rsid w:val="009C3D86"/>
    <w:rsid w:val="009C4BEA"/>
    <w:rsid w:val="009C56CF"/>
    <w:rsid w:val="009C5781"/>
    <w:rsid w:val="009C5A48"/>
    <w:rsid w:val="009C6766"/>
    <w:rsid w:val="009C6E3D"/>
    <w:rsid w:val="009C722E"/>
    <w:rsid w:val="009D02FB"/>
    <w:rsid w:val="009D1042"/>
    <w:rsid w:val="009D1BB1"/>
    <w:rsid w:val="009D3036"/>
    <w:rsid w:val="009D37D1"/>
    <w:rsid w:val="009D425F"/>
    <w:rsid w:val="009D4EDB"/>
    <w:rsid w:val="009D55DD"/>
    <w:rsid w:val="009D5AAB"/>
    <w:rsid w:val="009D5E53"/>
    <w:rsid w:val="009E046E"/>
    <w:rsid w:val="009E062E"/>
    <w:rsid w:val="009E06C9"/>
    <w:rsid w:val="009E1803"/>
    <w:rsid w:val="009E2DE6"/>
    <w:rsid w:val="009E575D"/>
    <w:rsid w:val="009E768C"/>
    <w:rsid w:val="009E7D43"/>
    <w:rsid w:val="009E7ED1"/>
    <w:rsid w:val="009F000A"/>
    <w:rsid w:val="009F137B"/>
    <w:rsid w:val="009F3D9B"/>
    <w:rsid w:val="009F5011"/>
    <w:rsid w:val="009F7E5D"/>
    <w:rsid w:val="00A0138E"/>
    <w:rsid w:val="00A01502"/>
    <w:rsid w:val="00A01854"/>
    <w:rsid w:val="00A026B5"/>
    <w:rsid w:val="00A034B5"/>
    <w:rsid w:val="00A0490E"/>
    <w:rsid w:val="00A04DCF"/>
    <w:rsid w:val="00A0582A"/>
    <w:rsid w:val="00A05FD8"/>
    <w:rsid w:val="00A06C88"/>
    <w:rsid w:val="00A06FFA"/>
    <w:rsid w:val="00A076F1"/>
    <w:rsid w:val="00A07D3C"/>
    <w:rsid w:val="00A110A1"/>
    <w:rsid w:val="00A11863"/>
    <w:rsid w:val="00A11B03"/>
    <w:rsid w:val="00A12E23"/>
    <w:rsid w:val="00A14EC7"/>
    <w:rsid w:val="00A15181"/>
    <w:rsid w:val="00A17869"/>
    <w:rsid w:val="00A20224"/>
    <w:rsid w:val="00A202A7"/>
    <w:rsid w:val="00A2090F"/>
    <w:rsid w:val="00A21A77"/>
    <w:rsid w:val="00A2353D"/>
    <w:rsid w:val="00A237F3"/>
    <w:rsid w:val="00A24AD9"/>
    <w:rsid w:val="00A25856"/>
    <w:rsid w:val="00A25AFC"/>
    <w:rsid w:val="00A26ED9"/>
    <w:rsid w:val="00A2716D"/>
    <w:rsid w:val="00A27D42"/>
    <w:rsid w:val="00A3072C"/>
    <w:rsid w:val="00A308FC"/>
    <w:rsid w:val="00A30BF8"/>
    <w:rsid w:val="00A314DF"/>
    <w:rsid w:val="00A3182F"/>
    <w:rsid w:val="00A31919"/>
    <w:rsid w:val="00A3372C"/>
    <w:rsid w:val="00A3451F"/>
    <w:rsid w:val="00A3590E"/>
    <w:rsid w:val="00A36777"/>
    <w:rsid w:val="00A36EF1"/>
    <w:rsid w:val="00A375E4"/>
    <w:rsid w:val="00A4012A"/>
    <w:rsid w:val="00A41793"/>
    <w:rsid w:val="00A417EF"/>
    <w:rsid w:val="00A42205"/>
    <w:rsid w:val="00A43C8C"/>
    <w:rsid w:val="00A4525F"/>
    <w:rsid w:val="00A45A06"/>
    <w:rsid w:val="00A464AE"/>
    <w:rsid w:val="00A468FC"/>
    <w:rsid w:val="00A473A7"/>
    <w:rsid w:val="00A47748"/>
    <w:rsid w:val="00A506A5"/>
    <w:rsid w:val="00A50E1C"/>
    <w:rsid w:val="00A517E5"/>
    <w:rsid w:val="00A524FE"/>
    <w:rsid w:val="00A5263D"/>
    <w:rsid w:val="00A52FFD"/>
    <w:rsid w:val="00A53A38"/>
    <w:rsid w:val="00A54257"/>
    <w:rsid w:val="00A54457"/>
    <w:rsid w:val="00A54E98"/>
    <w:rsid w:val="00A5689C"/>
    <w:rsid w:val="00A573EB"/>
    <w:rsid w:val="00A608F3"/>
    <w:rsid w:val="00A6330D"/>
    <w:rsid w:val="00A64E95"/>
    <w:rsid w:val="00A64EF3"/>
    <w:rsid w:val="00A66B45"/>
    <w:rsid w:val="00A71788"/>
    <w:rsid w:val="00A719A4"/>
    <w:rsid w:val="00A7290E"/>
    <w:rsid w:val="00A73105"/>
    <w:rsid w:val="00A7460A"/>
    <w:rsid w:val="00A74E83"/>
    <w:rsid w:val="00A75370"/>
    <w:rsid w:val="00A805B0"/>
    <w:rsid w:val="00A80AEA"/>
    <w:rsid w:val="00A80EFF"/>
    <w:rsid w:val="00A81335"/>
    <w:rsid w:val="00A81A2A"/>
    <w:rsid w:val="00A8212E"/>
    <w:rsid w:val="00A8223A"/>
    <w:rsid w:val="00A823F3"/>
    <w:rsid w:val="00A849C5"/>
    <w:rsid w:val="00A84FCC"/>
    <w:rsid w:val="00A85561"/>
    <w:rsid w:val="00A87872"/>
    <w:rsid w:val="00A9060C"/>
    <w:rsid w:val="00A923BC"/>
    <w:rsid w:val="00A9364D"/>
    <w:rsid w:val="00A969AB"/>
    <w:rsid w:val="00A97235"/>
    <w:rsid w:val="00AA0AE2"/>
    <w:rsid w:val="00AA1AF8"/>
    <w:rsid w:val="00AA2504"/>
    <w:rsid w:val="00AA3AE1"/>
    <w:rsid w:val="00AA4826"/>
    <w:rsid w:val="00AA54E0"/>
    <w:rsid w:val="00AA5DE2"/>
    <w:rsid w:val="00AA6C3B"/>
    <w:rsid w:val="00AA6E47"/>
    <w:rsid w:val="00AA7C6B"/>
    <w:rsid w:val="00AA7FC3"/>
    <w:rsid w:val="00AB1909"/>
    <w:rsid w:val="00AB1B3C"/>
    <w:rsid w:val="00AB58A2"/>
    <w:rsid w:val="00AC0BA4"/>
    <w:rsid w:val="00AC2C46"/>
    <w:rsid w:val="00AC3050"/>
    <w:rsid w:val="00AC34A7"/>
    <w:rsid w:val="00AC4C55"/>
    <w:rsid w:val="00AC51F7"/>
    <w:rsid w:val="00AC65D7"/>
    <w:rsid w:val="00AC675E"/>
    <w:rsid w:val="00AC6B07"/>
    <w:rsid w:val="00AC7017"/>
    <w:rsid w:val="00AC72F6"/>
    <w:rsid w:val="00AD565F"/>
    <w:rsid w:val="00AD5F10"/>
    <w:rsid w:val="00AD6055"/>
    <w:rsid w:val="00AD619C"/>
    <w:rsid w:val="00AD699A"/>
    <w:rsid w:val="00AE373C"/>
    <w:rsid w:val="00AE3DDD"/>
    <w:rsid w:val="00AE4E29"/>
    <w:rsid w:val="00AE5228"/>
    <w:rsid w:val="00AE5703"/>
    <w:rsid w:val="00AE5FA2"/>
    <w:rsid w:val="00AE714F"/>
    <w:rsid w:val="00AF0574"/>
    <w:rsid w:val="00AF0822"/>
    <w:rsid w:val="00AF1EC3"/>
    <w:rsid w:val="00AF2A2C"/>
    <w:rsid w:val="00AF5187"/>
    <w:rsid w:val="00AF633F"/>
    <w:rsid w:val="00AF6D2C"/>
    <w:rsid w:val="00B0159D"/>
    <w:rsid w:val="00B02D70"/>
    <w:rsid w:val="00B04313"/>
    <w:rsid w:val="00B050FF"/>
    <w:rsid w:val="00B05958"/>
    <w:rsid w:val="00B05B08"/>
    <w:rsid w:val="00B11690"/>
    <w:rsid w:val="00B11CFF"/>
    <w:rsid w:val="00B12145"/>
    <w:rsid w:val="00B124C4"/>
    <w:rsid w:val="00B12A18"/>
    <w:rsid w:val="00B139C1"/>
    <w:rsid w:val="00B14167"/>
    <w:rsid w:val="00B21129"/>
    <w:rsid w:val="00B23F1F"/>
    <w:rsid w:val="00B2433B"/>
    <w:rsid w:val="00B25072"/>
    <w:rsid w:val="00B25C7F"/>
    <w:rsid w:val="00B26404"/>
    <w:rsid w:val="00B2763B"/>
    <w:rsid w:val="00B30DB4"/>
    <w:rsid w:val="00B30EE5"/>
    <w:rsid w:val="00B33803"/>
    <w:rsid w:val="00B34748"/>
    <w:rsid w:val="00B34CE8"/>
    <w:rsid w:val="00B36E23"/>
    <w:rsid w:val="00B42F82"/>
    <w:rsid w:val="00B4504C"/>
    <w:rsid w:val="00B46839"/>
    <w:rsid w:val="00B46976"/>
    <w:rsid w:val="00B50486"/>
    <w:rsid w:val="00B50E0A"/>
    <w:rsid w:val="00B50F1F"/>
    <w:rsid w:val="00B51413"/>
    <w:rsid w:val="00B51F15"/>
    <w:rsid w:val="00B52A04"/>
    <w:rsid w:val="00B52C29"/>
    <w:rsid w:val="00B5520B"/>
    <w:rsid w:val="00B57874"/>
    <w:rsid w:val="00B6004F"/>
    <w:rsid w:val="00B60C25"/>
    <w:rsid w:val="00B624A5"/>
    <w:rsid w:val="00B62E92"/>
    <w:rsid w:val="00B632E2"/>
    <w:rsid w:val="00B64407"/>
    <w:rsid w:val="00B65D92"/>
    <w:rsid w:val="00B66BB3"/>
    <w:rsid w:val="00B67AD9"/>
    <w:rsid w:val="00B7010A"/>
    <w:rsid w:val="00B70B38"/>
    <w:rsid w:val="00B7170F"/>
    <w:rsid w:val="00B7171A"/>
    <w:rsid w:val="00B7317D"/>
    <w:rsid w:val="00B73847"/>
    <w:rsid w:val="00B7459B"/>
    <w:rsid w:val="00B7538C"/>
    <w:rsid w:val="00B76248"/>
    <w:rsid w:val="00B77749"/>
    <w:rsid w:val="00B7790C"/>
    <w:rsid w:val="00B807EF"/>
    <w:rsid w:val="00B80A9F"/>
    <w:rsid w:val="00B80F67"/>
    <w:rsid w:val="00B811DA"/>
    <w:rsid w:val="00B825B3"/>
    <w:rsid w:val="00B8386A"/>
    <w:rsid w:val="00B83FD4"/>
    <w:rsid w:val="00B84D86"/>
    <w:rsid w:val="00B8618E"/>
    <w:rsid w:val="00B86BB5"/>
    <w:rsid w:val="00B871B4"/>
    <w:rsid w:val="00B906B7"/>
    <w:rsid w:val="00B915FC"/>
    <w:rsid w:val="00B9307E"/>
    <w:rsid w:val="00B9451C"/>
    <w:rsid w:val="00B94E52"/>
    <w:rsid w:val="00B95FB6"/>
    <w:rsid w:val="00B96CEB"/>
    <w:rsid w:val="00B96F1C"/>
    <w:rsid w:val="00B96F1F"/>
    <w:rsid w:val="00B9737C"/>
    <w:rsid w:val="00BA07DB"/>
    <w:rsid w:val="00BA0EC6"/>
    <w:rsid w:val="00BA2306"/>
    <w:rsid w:val="00BA33AC"/>
    <w:rsid w:val="00BA4FEA"/>
    <w:rsid w:val="00BA6ACA"/>
    <w:rsid w:val="00BB0A42"/>
    <w:rsid w:val="00BB25F8"/>
    <w:rsid w:val="00BB31A0"/>
    <w:rsid w:val="00BB4A25"/>
    <w:rsid w:val="00BB75B7"/>
    <w:rsid w:val="00BC125F"/>
    <w:rsid w:val="00BC3790"/>
    <w:rsid w:val="00BC4002"/>
    <w:rsid w:val="00BC4109"/>
    <w:rsid w:val="00BC49DF"/>
    <w:rsid w:val="00BC4E78"/>
    <w:rsid w:val="00BC5257"/>
    <w:rsid w:val="00BD13D4"/>
    <w:rsid w:val="00BD2B6F"/>
    <w:rsid w:val="00BD3169"/>
    <w:rsid w:val="00BD77C8"/>
    <w:rsid w:val="00BD7879"/>
    <w:rsid w:val="00BD7A88"/>
    <w:rsid w:val="00BE02EE"/>
    <w:rsid w:val="00BE0478"/>
    <w:rsid w:val="00BE0DD5"/>
    <w:rsid w:val="00BE1B9F"/>
    <w:rsid w:val="00BE1F47"/>
    <w:rsid w:val="00BE2BFA"/>
    <w:rsid w:val="00BE2CAC"/>
    <w:rsid w:val="00BE317B"/>
    <w:rsid w:val="00BE40AC"/>
    <w:rsid w:val="00BE433F"/>
    <w:rsid w:val="00BE532C"/>
    <w:rsid w:val="00BE630D"/>
    <w:rsid w:val="00BE6AB5"/>
    <w:rsid w:val="00BE734C"/>
    <w:rsid w:val="00BF0D49"/>
    <w:rsid w:val="00BF10CA"/>
    <w:rsid w:val="00BF1BD5"/>
    <w:rsid w:val="00BF1E30"/>
    <w:rsid w:val="00BF259F"/>
    <w:rsid w:val="00BF3DAD"/>
    <w:rsid w:val="00BF5F7F"/>
    <w:rsid w:val="00C0050B"/>
    <w:rsid w:val="00C01395"/>
    <w:rsid w:val="00C016C2"/>
    <w:rsid w:val="00C0359C"/>
    <w:rsid w:val="00C03874"/>
    <w:rsid w:val="00C04885"/>
    <w:rsid w:val="00C04F36"/>
    <w:rsid w:val="00C051FF"/>
    <w:rsid w:val="00C07895"/>
    <w:rsid w:val="00C07EEF"/>
    <w:rsid w:val="00C109D0"/>
    <w:rsid w:val="00C144D4"/>
    <w:rsid w:val="00C164BA"/>
    <w:rsid w:val="00C1727E"/>
    <w:rsid w:val="00C20136"/>
    <w:rsid w:val="00C2045C"/>
    <w:rsid w:val="00C21519"/>
    <w:rsid w:val="00C22823"/>
    <w:rsid w:val="00C22F05"/>
    <w:rsid w:val="00C2490A"/>
    <w:rsid w:val="00C26116"/>
    <w:rsid w:val="00C30BB8"/>
    <w:rsid w:val="00C31ABD"/>
    <w:rsid w:val="00C3297C"/>
    <w:rsid w:val="00C3303B"/>
    <w:rsid w:val="00C34089"/>
    <w:rsid w:val="00C34B05"/>
    <w:rsid w:val="00C34DDF"/>
    <w:rsid w:val="00C350CA"/>
    <w:rsid w:val="00C373D6"/>
    <w:rsid w:val="00C40265"/>
    <w:rsid w:val="00C44786"/>
    <w:rsid w:val="00C45006"/>
    <w:rsid w:val="00C46A6E"/>
    <w:rsid w:val="00C52872"/>
    <w:rsid w:val="00C54351"/>
    <w:rsid w:val="00C55021"/>
    <w:rsid w:val="00C56AAD"/>
    <w:rsid w:val="00C602C2"/>
    <w:rsid w:val="00C616FA"/>
    <w:rsid w:val="00C620E7"/>
    <w:rsid w:val="00C6266B"/>
    <w:rsid w:val="00C63CA7"/>
    <w:rsid w:val="00C64254"/>
    <w:rsid w:val="00C64514"/>
    <w:rsid w:val="00C65114"/>
    <w:rsid w:val="00C6558D"/>
    <w:rsid w:val="00C65A63"/>
    <w:rsid w:val="00C65E9F"/>
    <w:rsid w:val="00C66F78"/>
    <w:rsid w:val="00C67B55"/>
    <w:rsid w:val="00C71248"/>
    <w:rsid w:val="00C7228C"/>
    <w:rsid w:val="00C74BF2"/>
    <w:rsid w:val="00C74C14"/>
    <w:rsid w:val="00C772F6"/>
    <w:rsid w:val="00C77EF5"/>
    <w:rsid w:val="00C8150F"/>
    <w:rsid w:val="00C83BC0"/>
    <w:rsid w:val="00C84BCD"/>
    <w:rsid w:val="00C8517A"/>
    <w:rsid w:val="00C85EA9"/>
    <w:rsid w:val="00C87696"/>
    <w:rsid w:val="00C90089"/>
    <w:rsid w:val="00C90922"/>
    <w:rsid w:val="00C90B24"/>
    <w:rsid w:val="00C91187"/>
    <w:rsid w:val="00C944BE"/>
    <w:rsid w:val="00C954AF"/>
    <w:rsid w:val="00C95FF2"/>
    <w:rsid w:val="00C962A9"/>
    <w:rsid w:val="00C96AEB"/>
    <w:rsid w:val="00C973D3"/>
    <w:rsid w:val="00C973DF"/>
    <w:rsid w:val="00C97D6F"/>
    <w:rsid w:val="00CA2546"/>
    <w:rsid w:val="00CA715E"/>
    <w:rsid w:val="00CB1A0A"/>
    <w:rsid w:val="00CB1E11"/>
    <w:rsid w:val="00CB1F76"/>
    <w:rsid w:val="00CB2435"/>
    <w:rsid w:val="00CB41AE"/>
    <w:rsid w:val="00CB4842"/>
    <w:rsid w:val="00CB5623"/>
    <w:rsid w:val="00CB67DF"/>
    <w:rsid w:val="00CB7837"/>
    <w:rsid w:val="00CC0033"/>
    <w:rsid w:val="00CC327A"/>
    <w:rsid w:val="00CC3641"/>
    <w:rsid w:val="00CC37E2"/>
    <w:rsid w:val="00CC4C76"/>
    <w:rsid w:val="00CC5940"/>
    <w:rsid w:val="00CC5BF0"/>
    <w:rsid w:val="00CD0936"/>
    <w:rsid w:val="00CD1CB4"/>
    <w:rsid w:val="00CD2B92"/>
    <w:rsid w:val="00CD3D3F"/>
    <w:rsid w:val="00CD410A"/>
    <w:rsid w:val="00CD575A"/>
    <w:rsid w:val="00CD5EE4"/>
    <w:rsid w:val="00CE02D0"/>
    <w:rsid w:val="00CE0490"/>
    <w:rsid w:val="00CE1D39"/>
    <w:rsid w:val="00CE24DC"/>
    <w:rsid w:val="00CE275E"/>
    <w:rsid w:val="00CE44AD"/>
    <w:rsid w:val="00CE46A5"/>
    <w:rsid w:val="00CE4A76"/>
    <w:rsid w:val="00CE6BB4"/>
    <w:rsid w:val="00CE6DAC"/>
    <w:rsid w:val="00CE726B"/>
    <w:rsid w:val="00CF0FDD"/>
    <w:rsid w:val="00CF4179"/>
    <w:rsid w:val="00CF46B1"/>
    <w:rsid w:val="00CF4AFE"/>
    <w:rsid w:val="00CF525E"/>
    <w:rsid w:val="00CF52A5"/>
    <w:rsid w:val="00CF5AC7"/>
    <w:rsid w:val="00CF6951"/>
    <w:rsid w:val="00CF6AC2"/>
    <w:rsid w:val="00CF6C88"/>
    <w:rsid w:val="00CF7B56"/>
    <w:rsid w:val="00D01534"/>
    <w:rsid w:val="00D01665"/>
    <w:rsid w:val="00D020EC"/>
    <w:rsid w:val="00D039BC"/>
    <w:rsid w:val="00D04D93"/>
    <w:rsid w:val="00D051A6"/>
    <w:rsid w:val="00D05A04"/>
    <w:rsid w:val="00D06ECE"/>
    <w:rsid w:val="00D074BF"/>
    <w:rsid w:val="00D10583"/>
    <w:rsid w:val="00D106F2"/>
    <w:rsid w:val="00D107B0"/>
    <w:rsid w:val="00D10A88"/>
    <w:rsid w:val="00D11C71"/>
    <w:rsid w:val="00D122CF"/>
    <w:rsid w:val="00D13B47"/>
    <w:rsid w:val="00D2003D"/>
    <w:rsid w:val="00D20153"/>
    <w:rsid w:val="00D24D81"/>
    <w:rsid w:val="00D25404"/>
    <w:rsid w:val="00D259EB"/>
    <w:rsid w:val="00D25E62"/>
    <w:rsid w:val="00D2620A"/>
    <w:rsid w:val="00D27148"/>
    <w:rsid w:val="00D27294"/>
    <w:rsid w:val="00D272B2"/>
    <w:rsid w:val="00D27B3C"/>
    <w:rsid w:val="00D3013D"/>
    <w:rsid w:val="00D30306"/>
    <w:rsid w:val="00D303AB"/>
    <w:rsid w:val="00D30463"/>
    <w:rsid w:val="00D32954"/>
    <w:rsid w:val="00D3310B"/>
    <w:rsid w:val="00D331D0"/>
    <w:rsid w:val="00D3406B"/>
    <w:rsid w:val="00D34450"/>
    <w:rsid w:val="00D36A9B"/>
    <w:rsid w:val="00D375FD"/>
    <w:rsid w:val="00D40992"/>
    <w:rsid w:val="00D41158"/>
    <w:rsid w:val="00D41B95"/>
    <w:rsid w:val="00D41F4B"/>
    <w:rsid w:val="00D42AC3"/>
    <w:rsid w:val="00D437C6"/>
    <w:rsid w:val="00D444CE"/>
    <w:rsid w:val="00D45D2F"/>
    <w:rsid w:val="00D4674D"/>
    <w:rsid w:val="00D47551"/>
    <w:rsid w:val="00D476E0"/>
    <w:rsid w:val="00D4794A"/>
    <w:rsid w:val="00D47A7B"/>
    <w:rsid w:val="00D50A9F"/>
    <w:rsid w:val="00D50DB0"/>
    <w:rsid w:val="00D52FC1"/>
    <w:rsid w:val="00D5312A"/>
    <w:rsid w:val="00D5744E"/>
    <w:rsid w:val="00D57D68"/>
    <w:rsid w:val="00D60642"/>
    <w:rsid w:val="00D609E5"/>
    <w:rsid w:val="00D61656"/>
    <w:rsid w:val="00D617BE"/>
    <w:rsid w:val="00D61F63"/>
    <w:rsid w:val="00D6242B"/>
    <w:rsid w:val="00D6328D"/>
    <w:rsid w:val="00D6330A"/>
    <w:rsid w:val="00D637CB"/>
    <w:rsid w:val="00D64CCF"/>
    <w:rsid w:val="00D661FA"/>
    <w:rsid w:val="00D7058A"/>
    <w:rsid w:val="00D719F5"/>
    <w:rsid w:val="00D7342D"/>
    <w:rsid w:val="00D75D8C"/>
    <w:rsid w:val="00D76138"/>
    <w:rsid w:val="00D76C87"/>
    <w:rsid w:val="00D76CE4"/>
    <w:rsid w:val="00D76FBB"/>
    <w:rsid w:val="00D77264"/>
    <w:rsid w:val="00D774FB"/>
    <w:rsid w:val="00D77DD4"/>
    <w:rsid w:val="00D77ED2"/>
    <w:rsid w:val="00D80127"/>
    <w:rsid w:val="00D80EDD"/>
    <w:rsid w:val="00D810F8"/>
    <w:rsid w:val="00D81D3C"/>
    <w:rsid w:val="00D820C1"/>
    <w:rsid w:val="00D82287"/>
    <w:rsid w:val="00D829AE"/>
    <w:rsid w:val="00D83509"/>
    <w:rsid w:val="00D84567"/>
    <w:rsid w:val="00D85378"/>
    <w:rsid w:val="00D85515"/>
    <w:rsid w:val="00D85BE5"/>
    <w:rsid w:val="00D90A44"/>
    <w:rsid w:val="00D928A8"/>
    <w:rsid w:val="00D92CD0"/>
    <w:rsid w:val="00D94208"/>
    <w:rsid w:val="00D94BE5"/>
    <w:rsid w:val="00D97372"/>
    <w:rsid w:val="00DA3603"/>
    <w:rsid w:val="00DA40E0"/>
    <w:rsid w:val="00DA606F"/>
    <w:rsid w:val="00DA71FA"/>
    <w:rsid w:val="00DA755D"/>
    <w:rsid w:val="00DA79E0"/>
    <w:rsid w:val="00DB0894"/>
    <w:rsid w:val="00DB2298"/>
    <w:rsid w:val="00DB2612"/>
    <w:rsid w:val="00DB3AFF"/>
    <w:rsid w:val="00DB424A"/>
    <w:rsid w:val="00DB5180"/>
    <w:rsid w:val="00DB67CA"/>
    <w:rsid w:val="00DC021C"/>
    <w:rsid w:val="00DC0E10"/>
    <w:rsid w:val="00DC2AB0"/>
    <w:rsid w:val="00DC3187"/>
    <w:rsid w:val="00DC4C88"/>
    <w:rsid w:val="00DC5B13"/>
    <w:rsid w:val="00DC73E6"/>
    <w:rsid w:val="00DC787A"/>
    <w:rsid w:val="00DC7D8D"/>
    <w:rsid w:val="00DD25DD"/>
    <w:rsid w:val="00DD4D76"/>
    <w:rsid w:val="00DD59F5"/>
    <w:rsid w:val="00DD7D4F"/>
    <w:rsid w:val="00DE3636"/>
    <w:rsid w:val="00DE68F4"/>
    <w:rsid w:val="00DE6C2E"/>
    <w:rsid w:val="00DE7F1F"/>
    <w:rsid w:val="00DF1722"/>
    <w:rsid w:val="00DF261D"/>
    <w:rsid w:val="00DF2CA0"/>
    <w:rsid w:val="00DF416B"/>
    <w:rsid w:val="00E00704"/>
    <w:rsid w:val="00E00BFC"/>
    <w:rsid w:val="00E00E58"/>
    <w:rsid w:val="00E020C8"/>
    <w:rsid w:val="00E03F60"/>
    <w:rsid w:val="00E05EC5"/>
    <w:rsid w:val="00E06E39"/>
    <w:rsid w:val="00E10419"/>
    <w:rsid w:val="00E10660"/>
    <w:rsid w:val="00E10ABC"/>
    <w:rsid w:val="00E12934"/>
    <w:rsid w:val="00E142C6"/>
    <w:rsid w:val="00E147D0"/>
    <w:rsid w:val="00E14B1F"/>
    <w:rsid w:val="00E14B3C"/>
    <w:rsid w:val="00E14E64"/>
    <w:rsid w:val="00E15E61"/>
    <w:rsid w:val="00E16E3E"/>
    <w:rsid w:val="00E2001E"/>
    <w:rsid w:val="00E210EE"/>
    <w:rsid w:val="00E2177B"/>
    <w:rsid w:val="00E21CE2"/>
    <w:rsid w:val="00E21FD5"/>
    <w:rsid w:val="00E23C97"/>
    <w:rsid w:val="00E25B01"/>
    <w:rsid w:val="00E26652"/>
    <w:rsid w:val="00E26848"/>
    <w:rsid w:val="00E27FF3"/>
    <w:rsid w:val="00E31E4F"/>
    <w:rsid w:val="00E361A4"/>
    <w:rsid w:val="00E40AC9"/>
    <w:rsid w:val="00E4102B"/>
    <w:rsid w:val="00E41367"/>
    <w:rsid w:val="00E419F9"/>
    <w:rsid w:val="00E4319D"/>
    <w:rsid w:val="00E4459E"/>
    <w:rsid w:val="00E44CFD"/>
    <w:rsid w:val="00E46784"/>
    <w:rsid w:val="00E50031"/>
    <w:rsid w:val="00E51618"/>
    <w:rsid w:val="00E52C2B"/>
    <w:rsid w:val="00E535D9"/>
    <w:rsid w:val="00E5480C"/>
    <w:rsid w:val="00E551AB"/>
    <w:rsid w:val="00E55499"/>
    <w:rsid w:val="00E55ECC"/>
    <w:rsid w:val="00E56689"/>
    <w:rsid w:val="00E60249"/>
    <w:rsid w:val="00E61476"/>
    <w:rsid w:val="00E61731"/>
    <w:rsid w:val="00E61FAC"/>
    <w:rsid w:val="00E62154"/>
    <w:rsid w:val="00E62B2B"/>
    <w:rsid w:val="00E6333F"/>
    <w:rsid w:val="00E645CE"/>
    <w:rsid w:val="00E64992"/>
    <w:rsid w:val="00E6523C"/>
    <w:rsid w:val="00E65B18"/>
    <w:rsid w:val="00E702A3"/>
    <w:rsid w:val="00E709B6"/>
    <w:rsid w:val="00E712E2"/>
    <w:rsid w:val="00E71D91"/>
    <w:rsid w:val="00E72C5E"/>
    <w:rsid w:val="00E72DCE"/>
    <w:rsid w:val="00E73796"/>
    <w:rsid w:val="00E7592A"/>
    <w:rsid w:val="00E76059"/>
    <w:rsid w:val="00E80824"/>
    <w:rsid w:val="00E81255"/>
    <w:rsid w:val="00E819AC"/>
    <w:rsid w:val="00E81DB8"/>
    <w:rsid w:val="00E83CB3"/>
    <w:rsid w:val="00E869D1"/>
    <w:rsid w:val="00E875AE"/>
    <w:rsid w:val="00E90104"/>
    <w:rsid w:val="00E91A15"/>
    <w:rsid w:val="00E92819"/>
    <w:rsid w:val="00E92AC9"/>
    <w:rsid w:val="00E94158"/>
    <w:rsid w:val="00E94CF7"/>
    <w:rsid w:val="00E960D2"/>
    <w:rsid w:val="00E969D4"/>
    <w:rsid w:val="00EA05B2"/>
    <w:rsid w:val="00EA06B4"/>
    <w:rsid w:val="00EA1BD4"/>
    <w:rsid w:val="00EA1D90"/>
    <w:rsid w:val="00EA3D6D"/>
    <w:rsid w:val="00EA4940"/>
    <w:rsid w:val="00EA502E"/>
    <w:rsid w:val="00EA5274"/>
    <w:rsid w:val="00EA584C"/>
    <w:rsid w:val="00EA770C"/>
    <w:rsid w:val="00EB1283"/>
    <w:rsid w:val="00EB2A5E"/>
    <w:rsid w:val="00EB35BB"/>
    <w:rsid w:val="00EB587B"/>
    <w:rsid w:val="00EB5AF0"/>
    <w:rsid w:val="00EB5D84"/>
    <w:rsid w:val="00EB7D33"/>
    <w:rsid w:val="00EC03B2"/>
    <w:rsid w:val="00EC101E"/>
    <w:rsid w:val="00EC1EB7"/>
    <w:rsid w:val="00EC20CD"/>
    <w:rsid w:val="00EC27DE"/>
    <w:rsid w:val="00EC4823"/>
    <w:rsid w:val="00EC4EF8"/>
    <w:rsid w:val="00EC5656"/>
    <w:rsid w:val="00EC5E9F"/>
    <w:rsid w:val="00ED05FE"/>
    <w:rsid w:val="00ED09F0"/>
    <w:rsid w:val="00ED4D29"/>
    <w:rsid w:val="00ED506F"/>
    <w:rsid w:val="00ED5664"/>
    <w:rsid w:val="00ED5C0B"/>
    <w:rsid w:val="00ED67F4"/>
    <w:rsid w:val="00ED6C54"/>
    <w:rsid w:val="00ED7D57"/>
    <w:rsid w:val="00EE02C3"/>
    <w:rsid w:val="00EE062E"/>
    <w:rsid w:val="00EE13B9"/>
    <w:rsid w:val="00EE1817"/>
    <w:rsid w:val="00EE2549"/>
    <w:rsid w:val="00EE255C"/>
    <w:rsid w:val="00EE4FB8"/>
    <w:rsid w:val="00EE519A"/>
    <w:rsid w:val="00EE5C8B"/>
    <w:rsid w:val="00EE69A9"/>
    <w:rsid w:val="00EF0006"/>
    <w:rsid w:val="00EF1A8E"/>
    <w:rsid w:val="00EF30ED"/>
    <w:rsid w:val="00EF486B"/>
    <w:rsid w:val="00EF59E9"/>
    <w:rsid w:val="00EF66E6"/>
    <w:rsid w:val="00EF691E"/>
    <w:rsid w:val="00F0080D"/>
    <w:rsid w:val="00F00A19"/>
    <w:rsid w:val="00F00BB6"/>
    <w:rsid w:val="00F00C64"/>
    <w:rsid w:val="00F017AA"/>
    <w:rsid w:val="00F02150"/>
    <w:rsid w:val="00F0228F"/>
    <w:rsid w:val="00F037B6"/>
    <w:rsid w:val="00F060A6"/>
    <w:rsid w:val="00F06EEA"/>
    <w:rsid w:val="00F075FC"/>
    <w:rsid w:val="00F1058E"/>
    <w:rsid w:val="00F10D18"/>
    <w:rsid w:val="00F1113F"/>
    <w:rsid w:val="00F13DC9"/>
    <w:rsid w:val="00F15AFB"/>
    <w:rsid w:val="00F20F0C"/>
    <w:rsid w:val="00F21C34"/>
    <w:rsid w:val="00F21F21"/>
    <w:rsid w:val="00F225E8"/>
    <w:rsid w:val="00F238AC"/>
    <w:rsid w:val="00F252D0"/>
    <w:rsid w:val="00F259E9"/>
    <w:rsid w:val="00F274D4"/>
    <w:rsid w:val="00F2771D"/>
    <w:rsid w:val="00F27DC0"/>
    <w:rsid w:val="00F305C2"/>
    <w:rsid w:val="00F30792"/>
    <w:rsid w:val="00F307C1"/>
    <w:rsid w:val="00F30846"/>
    <w:rsid w:val="00F3153C"/>
    <w:rsid w:val="00F3367D"/>
    <w:rsid w:val="00F337AA"/>
    <w:rsid w:val="00F3463F"/>
    <w:rsid w:val="00F34D07"/>
    <w:rsid w:val="00F3567B"/>
    <w:rsid w:val="00F35DAC"/>
    <w:rsid w:val="00F3659C"/>
    <w:rsid w:val="00F41D36"/>
    <w:rsid w:val="00F420C5"/>
    <w:rsid w:val="00F427C4"/>
    <w:rsid w:val="00F433EC"/>
    <w:rsid w:val="00F439B9"/>
    <w:rsid w:val="00F43E00"/>
    <w:rsid w:val="00F446A5"/>
    <w:rsid w:val="00F449AC"/>
    <w:rsid w:val="00F453F5"/>
    <w:rsid w:val="00F45740"/>
    <w:rsid w:val="00F47F4F"/>
    <w:rsid w:val="00F5042B"/>
    <w:rsid w:val="00F61E71"/>
    <w:rsid w:val="00F62B54"/>
    <w:rsid w:val="00F63F64"/>
    <w:rsid w:val="00F654E7"/>
    <w:rsid w:val="00F672B3"/>
    <w:rsid w:val="00F67AC1"/>
    <w:rsid w:val="00F7000C"/>
    <w:rsid w:val="00F70956"/>
    <w:rsid w:val="00F7235F"/>
    <w:rsid w:val="00F728B1"/>
    <w:rsid w:val="00F728B7"/>
    <w:rsid w:val="00F75CBD"/>
    <w:rsid w:val="00F763CB"/>
    <w:rsid w:val="00F778C6"/>
    <w:rsid w:val="00F77A0C"/>
    <w:rsid w:val="00F818B9"/>
    <w:rsid w:val="00F81C20"/>
    <w:rsid w:val="00F82DB2"/>
    <w:rsid w:val="00F8334E"/>
    <w:rsid w:val="00F83DE1"/>
    <w:rsid w:val="00F83DFC"/>
    <w:rsid w:val="00F84DB4"/>
    <w:rsid w:val="00F86834"/>
    <w:rsid w:val="00F90BF8"/>
    <w:rsid w:val="00F9229C"/>
    <w:rsid w:val="00F923AB"/>
    <w:rsid w:val="00F92B47"/>
    <w:rsid w:val="00F92EFD"/>
    <w:rsid w:val="00F93AE6"/>
    <w:rsid w:val="00F941C1"/>
    <w:rsid w:val="00F9494C"/>
    <w:rsid w:val="00F954AB"/>
    <w:rsid w:val="00F95FC0"/>
    <w:rsid w:val="00F9606F"/>
    <w:rsid w:val="00F96ED6"/>
    <w:rsid w:val="00F9768C"/>
    <w:rsid w:val="00FA00A5"/>
    <w:rsid w:val="00FA0583"/>
    <w:rsid w:val="00FA0DE2"/>
    <w:rsid w:val="00FA2ED1"/>
    <w:rsid w:val="00FA3ED5"/>
    <w:rsid w:val="00FA4AD2"/>
    <w:rsid w:val="00FA6C07"/>
    <w:rsid w:val="00FA6FE3"/>
    <w:rsid w:val="00FA7C5A"/>
    <w:rsid w:val="00FA7D5A"/>
    <w:rsid w:val="00FB19E8"/>
    <w:rsid w:val="00FB2625"/>
    <w:rsid w:val="00FB28E7"/>
    <w:rsid w:val="00FB35B5"/>
    <w:rsid w:val="00FB5347"/>
    <w:rsid w:val="00FB534C"/>
    <w:rsid w:val="00FB53CE"/>
    <w:rsid w:val="00FB550E"/>
    <w:rsid w:val="00FB6148"/>
    <w:rsid w:val="00FB6788"/>
    <w:rsid w:val="00FB693B"/>
    <w:rsid w:val="00FB6C9B"/>
    <w:rsid w:val="00FB71D0"/>
    <w:rsid w:val="00FC01F2"/>
    <w:rsid w:val="00FC025E"/>
    <w:rsid w:val="00FC03C8"/>
    <w:rsid w:val="00FC19C8"/>
    <w:rsid w:val="00FC2B70"/>
    <w:rsid w:val="00FC2F57"/>
    <w:rsid w:val="00FC4E95"/>
    <w:rsid w:val="00FC4F89"/>
    <w:rsid w:val="00FC530F"/>
    <w:rsid w:val="00FC6091"/>
    <w:rsid w:val="00FC67F5"/>
    <w:rsid w:val="00FC6C64"/>
    <w:rsid w:val="00FC72FC"/>
    <w:rsid w:val="00FD0A8A"/>
    <w:rsid w:val="00FD208A"/>
    <w:rsid w:val="00FD2667"/>
    <w:rsid w:val="00FD3D8C"/>
    <w:rsid w:val="00FD3E70"/>
    <w:rsid w:val="00FD4E16"/>
    <w:rsid w:val="00FD55B5"/>
    <w:rsid w:val="00FE37D4"/>
    <w:rsid w:val="00FE4164"/>
    <w:rsid w:val="00FE6C95"/>
    <w:rsid w:val="00FF05B2"/>
    <w:rsid w:val="00FF0A45"/>
    <w:rsid w:val="00FF264C"/>
    <w:rsid w:val="00FF37F8"/>
    <w:rsid w:val="00FF3C50"/>
    <w:rsid w:val="00FF4796"/>
    <w:rsid w:val="00FF4BB5"/>
    <w:rsid w:val="00FF4DE4"/>
    <w:rsid w:val="00FF4F75"/>
    <w:rsid w:val="00FF5296"/>
    <w:rsid w:val="00FF6F01"/>
    <w:rsid w:val="00FF7013"/>
    <w:rsid w:val="00FF7379"/>
    <w:rsid w:val="00FF76B0"/>
    <w:rsid w:val="00FF7CF5"/>
    <w:rsid w:val="02700D42"/>
    <w:rsid w:val="02FF7A7B"/>
    <w:rsid w:val="03296D51"/>
    <w:rsid w:val="04DD3789"/>
    <w:rsid w:val="055E085F"/>
    <w:rsid w:val="05754150"/>
    <w:rsid w:val="05ED35C6"/>
    <w:rsid w:val="061D0BB7"/>
    <w:rsid w:val="06C84A9D"/>
    <w:rsid w:val="070D6983"/>
    <w:rsid w:val="073161DB"/>
    <w:rsid w:val="07EA354E"/>
    <w:rsid w:val="07F6721E"/>
    <w:rsid w:val="09532246"/>
    <w:rsid w:val="0A0211AF"/>
    <w:rsid w:val="0A9D7C40"/>
    <w:rsid w:val="0B382FBD"/>
    <w:rsid w:val="0D7264E6"/>
    <w:rsid w:val="0DFB528D"/>
    <w:rsid w:val="0E371688"/>
    <w:rsid w:val="0FCD487B"/>
    <w:rsid w:val="0FDF6B6C"/>
    <w:rsid w:val="12DC66BE"/>
    <w:rsid w:val="14AE78FC"/>
    <w:rsid w:val="153642EA"/>
    <w:rsid w:val="168138A6"/>
    <w:rsid w:val="17AD2240"/>
    <w:rsid w:val="181E605E"/>
    <w:rsid w:val="18A111BF"/>
    <w:rsid w:val="197874D5"/>
    <w:rsid w:val="1A6D1674"/>
    <w:rsid w:val="1AD31D10"/>
    <w:rsid w:val="1B096CF5"/>
    <w:rsid w:val="1CFD0BFF"/>
    <w:rsid w:val="1DCD54A7"/>
    <w:rsid w:val="1E4F3327"/>
    <w:rsid w:val="1E996BC3"/>
    <w:rsid w:val="1F4B179E"/>
    <w:rsid w:val="21DD349D"/>
    <w:rsid w:val="228D3726"/>
    <w:rsid w:val="235342FD"/>
    <w:rsid w:val="23DE3296"/>
    <w:rsid w:val="25314578"/>
    <w:rsid w:val="254C7941"/>
    <w:rsid w:val="2781405D"/>
    <w:rsid w:val="2811783B"/>
    <w:rsid w:val="28725ED2"/>
    <w:rsid w:val="29407877"/>
    <w:rsid w:val="29F47288"/>
    <w:rsid w:val="2A3D79CC"/>
    <w:rsid w:val="2B226300"/>
    <w:rsid w:val="2B613EBE"/>
    <w:rsid w:val="2B8D453C"/>
    <w:rsid w:val="2DB1610E"/>
    <w:rsid w:val="2E7541D1"/>
    <w:rsid w:val="2E8A57EA"/>
    <w:rsid w:val="2EEE0D4D"/>
    <w:rsid w:val="30336A9F"/>
    <w:rsid w:val="313D2A7E"/>
    <w:rsid w:val="31592FEC"/>
    <w:rsid w:val="323A7698"/>
    <w:rsid w:val="32FB2ECE"/>
    <w:rsid w:val="34031F48"/>
    <w:rsid w:val="371762D9"/>
    <w:rsid w:val="3997661B"/>
    <w:rsid w:val="39AF3524"/>
    <w:rsid w:val="3B4D4259"/>
    <w:rsid w:val="3BAB0B58"/>
    <w:rsid w:val="3C195A73"/>
    <w:rsid w:val="3CA118F6"/>
    <w:rsid w:val="3DAD4CBD"/>
    <w:rsid w:val="3E7263CB"/>
    <w:rsid w:val="420C0B91"/>
    <w:rsid w:val="434F79FC"/>
    <w:rsid w:val="4971375E"/>
    <w:rsid w:val="4AA71688"/>
    <w:rsid w:val="4BB32A0D"/>
    <w:rsid w:val="4C2365F6"/>
    <w:rsid w:val="4C8A1665"/>
    <w:rsid w:val="4D1B2411"/>
    <w:rsid w:val="4DB55E03"/>
    <w:rsid w:val="4E864952"/>
    <w:rsid w:val="4EF121AF"/>
    <w:rsid w:val="50B3757D"/>
    <w:rsid w:val="51B374E1"/>
    <w:rsid w:val="51F2387E"/>
    <w:rsid w:val="529B370B"/>
    <w:rsid w:val="53301399"/>
    <w:rsid w:val="549B192F"/>
    <w:rsid w:val="553A7FB9"/>
    <w:rsid w:val="554B00FD"/>
    <w:rsid w:val="556B321E"/>
    <w:rsid w:val="57540152"/>
    <w:rsid w:val="57E16E3D"/>
    <w:rsid w:val="58021570"/>
    <w:rsid w:val="58836646"/>
    <w:rsid w:val="588653B6"/>
    <w:rsid w:val="5A066539"/>
    <w:rsid w:val="5A181796"/>
    <w:rsid w:val="5C6A6D99"/>
    <w:rsid w:val="5E2E5C98"/>
    <w:rsid w:val="5EE20FF0"/>
    <w:rsid w:val="60171B90"/>
    <w:rsid w:val="60FF47C7"/>
    <w:rsid w:val="6235408F"/>
    <w:rsid w:val="62D27BAF"/>
    <w:rsid w:val="631B0E96"/>
    <w:rsid w:val="64D92155"/>
    <w:rsid w:val="653370EE"/>
    <w:rsid w:val="67177753"/>
    <w:rsid w:val="67C81D1C"/>
    <w:rsid w:val="67D15A64"/>
    <w:rsid w:val="696239BC"/>
    <w:rsid w:val="6985092D"/>
    <w:rsid w:val="6AC23593"/>
    <w:rsid w:val="6C386326"/>
    <w:rsid w:val="6DA170E8"/>
    <w:rsid w:val="6E4C1DD0"/>
    <w:rsid w:val="70E06CD2"/>
    <w:rsid w:val="7154385A"/>
    <w:rsid w:val="72917C5B"/>
    <w:rsid w:val="73707BF4"/>
    <w:rsid w:val="74160439"/>
    <w:rsid w:val="74491AD5"/>
    <w:rsid w:val="74A47132"/>
    <w:rsid w:val="7527352B"/>
    <w:rsid w:val="76FF6B4B"/>
    <w:rsid w:val="77181A29"/>
    <w:rsid w:val="79423203"/>
    <w:rsid w:val="79D762F4"/>
    <w:rsid w:val="7A9C5C4E"/>
    <w:rsid w:val="7ABE0618"/>
    <w:rsid w:val="7B32014C"/>
    <w:rsid w:val="7B683207"/>
    <w:rsid w:val="7BD40338"/>
    <w:rsid w:val="7C00467F"/>
    <w:rsid w:val="7C0046F0"/>
    <w:rsid w:val="7C80486C"/>
    <w:rsid w:val="7E20467A"/>
    <w:rsid w:val="7E626168"/>
    <w:rsid w:val="7E765088"/>
    <w:rsid w:val="7EEC7C69"/>
    <w:rsid w:val="7F931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kern w:val="2"/>
      <w:sz w:val="21"/>
      <w:lang w:val="en-US" w:eastAsia="zh-CN" w:bidi="ar-SA"/>
    </w:rPr>
  </w:style>
  <w:style w:type="paragraph" w:styleId="2">
    <w:name w:val="heading 1"/>
    <w:basedOn w:val="1"/>
    <w:link w:val="222"/>
    <w:qFormat/>
    <w:uiPriority w:val="0"/>
    <w:pPr>
      <w:adjustRightInd w:val="0"/>
      <w:jc w:val="center"/>
      <w:textAlignment w:val="baseline"/>
      <w:outlineLvl w:val="0"/>
    </w:pPr>
    <w:rPr>
      <w:b/>
      <w:kern w:val="0"/>
      <w:sz w:val="30"/>
    </w:rPr>
  </w:style>
  <w:style w:type="paragraph" w:styleId="3">
    <w:name w:val="heading 2"/>
    <w:basedOn w:val="1"/>
    <w:next w:val="1"/>
    <w:link w:val="226"/>
    <w:qFormat/>
    <w:uiPriority w:val="0"/>
    <w:pPr>
      <w:tabs>
        <w:tab w:val="left" w:pos="1260"/>
        <w:tab w:val="left" w:pos="1575"/>
      </w:tabs>
      <w:jc w:val="left"/>
      <w:outlineLvl w:val="1"/>
    </w:pPr>
    <w:rPr>
      <w:b/>
    </w:rPr>
  </w:style>
  <w:style w:type="paragraph" w:styleId="4">
    <w:name w:val="heading 3"/>
    <w:basedOn w:val="1"/>
    <w:next w:val="1"/>
    <w:link w:val="72"/>
    <w:qFormat/>
    <w:uiPriority w:val="0"/>
    <w:pPr>
      <w:keepNext/>
      <w:keepLines/>
      <w:spacing w:before="260" w:after="260" w:line="416" w:lineRule="auto"/>
      <w:outlineLvl w:val="2"/>
    </w:pPr>
    <w:rPr>
      <w:b/>
      <w:bCs/>
      <w:sz w:val="32"/>
      <w:szCs w:val="32"/>
    </w:rPr>
  </w:style>
  <w:style w:type="paragraph" w:styleId="5">
    <w:name w:val="heading 4"/>
    <w:basedOn w:val="4"/>
    <w:link w:val="145"/>
    <w:qFormat/>
    <w:uiPriority w:val="0"/>
    <w:pPr>
      <w:keepNext w:val="0"/>
      <w:keepLines w:val="0"/>
      <w:tabs>
        <w:tab w:val="left" w:pos="1575"/>
        <w:tab w:val="left" w:pos="1680"/>
        <w:tab w:val="left" w:pos="1771"/>
        <w:tab w:val="left" w:pos="1995"/>
        <w:tab w:val="left" w:pos="2100"/>
      </w:tabs>
      <w:adjustRightInd w:val="0"/>
      <w:spacing w:before="0" w:after="0" w:line="400" w:lineRule="exact"/>
      <w:textAlignment w:val="baseline"/>
      <w:outlineLvl w:val="3"/>
    </w:pPr>
    <w:rPr>
      <w:b w:val="0"/>
      <w:bCs w:val="0"/>
      <w:kern w:val="0"/>
      <w:sz w:val="24"/>
      <w:szCs w:val="20"/>
    </w:rPr>
  </w:style>
  <w:style w:type="paragraph" w:styleId="6">
    <w:name w:val="heading 5"/>
    <w:basedOn w:val="5"/>
    <w:link w:val="75"/>
    <w:qFormat/>
    <w:uiPriority w:val="0"/>
    <w:pPr>
      <w:tabs>
        <w:tab w:val="left" w:pos="2520"/>
        <w:tab w:val="clear" w:pos="1575"/>
        <w:tab w:val="clear" w:pos="1680"/>
        <w:tab w:val="clear" w:pos="1771"/>
        <w:tab w:val="clear" w:pos="1995"/>
        <w:tab w:val="clear" w:pos="2100"/>
      </w:tabs>
      <w:outlineLvl w:val="4"/>
    </w:pPr>
  </w:style>
  <w:style w:type="paragraph" w:styleId="7">
    <w:name w:val="heading 6"/>
    <w:basedOn w:val="6"/>
    <w:link w:val="158"/>
    <w:qFormat/>
    <w:uiPriority w:val="0"/>
    <w:pPr>
      <w:tabs>
        <w:tab w:val="left" w:pos="2940"/>
        <w:tab w:val="clear" w:pos="2520"/>
      </w:tabs>
      <w:outlineLvl w:val="5"/>
    </w:pPr>
  </w:style>
  <w:style w:type="paragraph" w:styleId="8">
    <w:name w:val="heading 7"/>
    <w:basedOn w:val="7"/>
    <w:link w:val="250"/>
    <w:qFormat/>
    <w:uiPriority w:val="99"/>
    <w:pPr>
      <w:tabs>
        <w:tab w:val="left" w:pos="3360"/>
        <w:tab w:val="clear" w:pos="2940"/>
      </w:tabs>
      <w:outlineLvl w:val="6"/>
    </w:pPr>
  </w:style>
  <w:style w:type="paragraph" w:styleId="9">
    <w:name w:val="heading 8"/>
    <w:basedOn w:val="8"/>
    <w:link w:val="217"/>
    <w:qFormat/>
    <w:uiPriority w:val="99"/>
    <w:pPr>
      <w:tabs>
        <w:tab w:val="left" w:pos="3780"/>
        <w:tab w:val="clear" w:pos="3360"/>
      </w:tabs>
      <w:outlineLvl w:val="7"/>
    </w:pPr>
  </w:style>
  <w:style w:type="paragraph" w:styleId="10">
    <w:name w:val="heading 9"/>
    <w:basedOn w:val="9"/>
    <w:link w:val="61"/>
    <w:qFormat/>
    <w:uiPriority w:val="99"/>
    <w:pPr>
      <w:tabs>
        <w:tab w:val="left" w:pos="480"/>
        <w:tab w:val="left" w:pos="4200"/>
        <w:tab w:val="clear" w:pos="3780"/>
      </w:tabs>
      <w:outlineLvl w:val="8"/>
    </w:pPr>
  </w:style>
  <w:style w:type="character" w:default="1" w:styleId="48">
    <w:name w:val="Default Paragraph Font"/>
    <w:unhideWhenUsed/>
    <w:uiPriority w:val="1"/>
  </w:style>
  <w:style w:type="table" w:default="1" w:styleId="46">
    <w:name w:val="Normal Table"/>
    <w:unhideWhenUsed/>
    <w:uiPriority w:val="99"/>
    <w:tblPr>
      <w:tblStyle w:val="46"/>
      <w:tblCellMar>
        <w:top w:w="0" w:type="dxa"/>
        <w:left w:w="108" w:type="dxa"/>
        <w:bottom w:w="0" w:type="dxa"/>
        <w:right w:w="108" w:type="dxa"/>
      </w:tblCellMar>
    </w:tblPr>
  </w:style>
  <w:style w:type="paragraph" w:styleId="11">
    <w:name w:val="toc 7"/>
    <w:basedOn w:val="1"/>
    <w:next w:val="1"/>
    <w:unhideWhenUsed/>
    <w:qFormat/>
    <w:uiPriority w:val="99"/>
    <w:pPr>
      <w:spacing w:line="240" w:lineRule="auto"/>
      <w:ind w:left="1260"/>
      <w:jc w:val="left"/>
    </w:pPr>
    <w:rPr>
      <w:rFonts w:ascii="等线" w:hAnsi="等线" w:eastAsia="等线"/>
      <w:sz w:val="18"/>
      <w:szCs w:val="18"/>
    </w:rPr>
  </w:style>
  <w:style w:type="paragraph" w:styleId="12">
    <w:name w:val="List Number"/>
    <w:basedOn w:val="1"/>
    <w:qFormat/>
    <w:uiPriority w:val="99"/>
    <w:pPr>
      <w:tabs>
        <w:tab w:val="left" w:pos="360"/>
      </w:tabs>
      <w:ind w:left="360" w:hanging="360"/>
    </w:pPr>
  </w:style>
  <w:style w:type="paragraph" w:styleId="13">
    <w:name w:val="Normal Indent"/>
    <w:basedOn w:val="1"/>
    <w:link w:val="204"/>
    <w:qFormat/>
    <w:uiPriority w:val="0"/>
    <w:pPr>
      <w:widowControl/>
      <w:adjustRightInd w:val="0"/>
      <w:snapToGrid w:val="0"/>
      <w:spacing w:line="480" w:lineRule="exact"/>
      <w:ind w:firstLine="567"/>
    </w:pPr>
    <w:rPr>
      <w:rFonts w:ascii="宋体"/>
      <w:color w:val="000000"/>
      <w:kern w:val="28"/>
      <w:sz w:val="28"/>
    </w:rPr>
  </w:style>
  <w:style w:type="paragraph" w:styleId="14">
    <w:name w:val="caption"/>
    <w:basedOn w:val="1"/>
    <w:next w:val="1"/>
    <w:qFormat/>
    <w:uiPriority w:val="99"/>
    <w:pPr>
      <w:spacing w:before="152" w:after="160"/>
    </w:pPr>
    <w:rPr>
      <w:rFonts w:ascii="Arial" w:hAnsi="Arial" w:eastAsia="黑体" w:cs="Arial"/>
      <w:sz w:val="20"/>
    </w:rPr>
  </w:style>
  <w:style w:type="paragraph" w:styleId="15">
    <w:name w:val="Document Map"/>
    <w:basedOn w:val="1"/>
    <w:link w:val="87"/>
    <w:qFormat/>
    <w:uiPriority w:val="99"/>
    <w:pPr>
      <w:spacing w:line="240" w:lineRule="auto"/>
    </w:pPr>
    <w:rPr>
      <w:rFonts w:ascii="宋体"/>
      <w:sz w:val="18"/>
      <w:szCs w:val="18"/>
    </w:rPr>
  </w:style>
  <w:style w:type="paragraph" w:styleId="16">
    <w:name w:val="annotation text"/>
    <w:basedOn w:val="1"/>
    <w:link w:val="189"/>
    <w:qFormat/>
    <w:uiPriority w:val="99"/>
    <w:pPr>
      <w:jc w:val="left"/>
    </w:pPr>
    <w:rPr>
      <w:szCs w:val="24"/>
    </w:rPr>
  </w:style>
  <w:style w:type="paragraph" w:styleId="17">
    <w:name w:val="Body Text 3"/>
    <w:basedOn w:val="1"/>
    <w:link w:val="207"/>
    <w:qFormat/>
    <w:uiPriority w:val="99"/>
    <w:pPr>
      <w:spacing w:line="500" w:lineRule="exact"/>
      <w:jc w:val="center"/>
    </w:pPr>
    <w:rPr>
      <w:rFonts w:ascii="宋体" w:hAnsi="宋体"/>
      <w:b/>
      <w:bCs/>
      <w:sz w:val="36"/>
      <w:szCs w:val="32"/>
    </w:rPr>
  </w:style>
  <w:style w:type="paragraph" w:styleId="18">
    <w:name w:val="Body Text"/>
    <w:basedOn w:val="1"/>
    <w:link w:val="84"/>
    <w:qFormat/>
    <w:uiPriority w:val="99"/>
    <w:pPr>
      <w:adjustRightInd w:val="0"/>
      <w:textAlignment w:val="baseline"/>
    </w:pPr>
    <w:rPr>
      <w:rFonts w:ascii="宋体" w:hAnsi="宋体"/>
      <w:sz w:val="32"/>
    </w:rPr>
  </w:style>
  <w:style w:type="paragraph" w:styleId="19">
    <w:name w:val="Body Text Indent"/>
    <w:basedOn w:val="1"/>
    <w:link w:val="58"/>
    <w:qFormat/>
    <w:uiPriority w:val="0"/>
    <w:pPr>
      <w:ind w:firstLine="560" w:firstLineChars="200"/>
    </w:pPr>
    <w:rPr>
      <w:sz w:val="28"/>
      <w:szCs w:val="24"/>
    </w:rPr>
  </w:style>
  <w:style w:type="paragraph" w:styleId="20">
    <w:name w:val="List Number 3"/>
    <w:basedOn w:val="1"/>
    <w:qFormat/>
    <w:uiPriority w:val="99"/>
    <w:pPr>
      <w:tabs>
        <w:tab w:val="left" w:pos="1200"/>
      </w:tabs>
      <w:ind w:left="1200" w:hanging="360"/>
    </w:pPr>
    <w:rPr>
      <w:szCs w:val="24"/>
    </w:rPr>
  </w:style>
  <w:style w:type="paragraph" w:styleId="21">
    <w:name w:val="List 2"/>
    <w:basedOn w:val="1"/>
    <w:qFormat/>
    <w:uiPriority w:val="99"/>
    <w:pPr>
      <w:ind w:left="100" w:leftChars="200" w:hanging="200" w:hangingChars="200"/>
    </w:pPr>
  </w:style>
  <w:style w:type="paragraph" w:styleId="22">
    <w:name w:val="Block Text"/>
    <w:basedOn w:val="1"/>
    <w:qFormat/>
    <w:uiPriority w:val="99"/>
    <w:pPr>
      <w:adjustRightInd w:val="0"/>
      <w:snapToGrid w:val="0"/>
      <w:spacing w:line="300" w:lineRule="auto"/>
      <w:ind w:left="958" w:right="-120" w:rightChars="-120"/>
      <w:jc w:val="left"/>
    </w:pPr>
    <w:rPr>
      <w:rFonts w:hint="eastAsia" w:ascii="宋体" w:hAnsi="宋体"/>
      <w:sz w:val="28"/>
    </w:rPr>
  </w:style>
  <w:style w:type="paragraph" w:styleId="23">
    <w:name w:val="toc 5"/>
    <w:basedOn w:val="1"/>
    <w:next w:val="1"/>
    <w:unhideWhenUsed/>
    <w:qFormat/>
    <w:uiPriority w:val="99"/>
    <w:pPr>
      <w:spacing w:line="240" w:lineRule="auto"/>
      <w:ind w:left="840"/>
      <w:jc w:val="left"/>
    </w:pPr>
    <w:rPr>
      <w:rFonts w:ascii="等线" w:hAnsi="等线" w:eastAsia="等线"/>
      <w:sz w:val="18"/>
      <w:szCs w:val="18"/>
    </w:rPr>
  </w:style>
  <w:style w:type="paragraph" w:styleId="24">
    <w:name w:val="toc 3"/>
    <w:basedOn w:val="1"/>
    <w:next w:val="1"/>
    <w:qFormat/>
    <w:uiPriority w:val="99"/>
    <w:pPr>
      <w:ind w:left="840" w:leftChars="400"/>
    </w:pPr>
  </w:style>
  <w:style w:type="paragraph" w:styleId="25">
    <w:name w:val="Plain Text"/>
    <w:basedOn w:val="1"/>
    <w:link w:val="186"/>
    <w:qFormat/>
    <w:uiPriority w:val="99"/>
    <w:rPr>
      <w:rFonts w:ascii="宋体" w:hAnsi="Courier New"/>
    </w:rPr>
  </w:style>
  <w:style w:type="paragraph" w:styleId="26">
    <w:name w:val="toc 8"/>
    <w:basedOn w:val="1"/>
    <w:next w:val="1"/>
    <w:unhideWhenUsed/>
    <w:qFormat/>
    <w:uiPriority w:val="99"/>
    <w:pPr>
      <w:spacing w:line="240" w:lineRule="auto"/>
      <w:ind w:left="1470"/>
      <w:jc w:val="left"/>
    </w:pPr>
    <w:rPr>
      <w:rFonts w:ascii="等线" w:hAnsi="等线" w:eastAsia="等线"/>
      <w:sz w:val="18"/>
      <w:szCs w:val="18"/>
    </w:rPr>
  </w:style>
  <w:style w:type="paragraph" w:styleId="27">
    <w:name w:val="Date"/>
    <w:basedOn w:val="1"/>
    <w:next w:val="1"/>
    <w:link w:val="148"/>
    <w:qFormat/>
    <w:uiPriority w:val="99"/>
    <w:pPr>
      <w:ind w:left="2500" w:leftChars="2500"/>
    </w:pPr>
    <w:rPr>
      <w:rFonts w:eastAsia="楷体_GB2312"/>
      <w:sz w:val="32"/>
    </w:rPr>
  </w:style>
  <w:style w:type="paragraph" w:styleId="28">
    <w:name w:val="Body Text Indent 2"/>
    <w:basedOn w:val="1"/>
    <w:link w:val="231"/>
    <w:qFormat/>
    <w:uiPriority w:val="99"/>
    <w:pPr>
      <w:ind w:left="916" w:hanging="916" w:hangingChars="333"/>
    </w:pPr>
    <w:rPr>
      <w:rFonts w:eastAsia="黑体"/>
      <w:b/>
      <w:bCs/>
      <w:sz w:val="28"/>
    </w:rPr>
  </w:style>
  <w:style w:type="paragraph" w:styleId="29">
    <w:name w:val="Balloon Text"/>
    <w:basedOn w:val="1"/>
    <w:link w:val="155"/>
    <w:qFormat/>
    <w:uiPriority w:val="99"/>
    <w:rPr>
      <w:sz w:val="18"/>
      <w:szCs w:val="18"/>
    </w:rPr>
  </w:style>
  <w:style w:type="paragraph" w:styleId="30">
    <w:name w:val="footer"/>
    <w:basedOn w:val="1"/>
    <w:link w:val="102"/>
    <w:qFormat/>
    <w:uiPriority w:val="99"/>
    <w:pPr>
      <w:tabs>
        <w:tab w:val="center" w:pos="4153"/>
        <w:tab w:val="right" w:pos="8306"/>
      </w:tabs>
      <w:snapToGrid w:val="0"/>
      <w:jc w:val="left"/>
    </w:pPr>
    <w:rPr>
      <w:sz w:val="18"/>
      <w:szCs w:val="18"/>
    </w:rPr>
  </w:style>
  <w:style w:type="paragraph" w:styleId="31">
    <w:name w:val="header"/>
    <w:basedOn w:val="1"/>
    <w:link w:val="230"/>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rPr>
      <w:szCs w:val="24"/>
    </w:rPr>
  </w:style>
  <w:style w:type="paragraph" w:styleId="33">
    <w:name w:val="toc 4"/>
    <w:basedOn w:val="1"/>
    <w:next w:val="1"/>
    <w:qFormat/>
    <w:uiPriority w:val="99"/>
    <w:pPr>
      <w:ind w:left="1260" w:leftChars="600"/>
    </w:pPr>
  </w:style>
  <w:style w:type="paragraph" w:styleId="34">
    <w:name w:val="Subtitle"/>
    <w:basedOn w:val="1"/>
    <w:next w:val="1"/>
    <w:link w:val="248"/>
    <w:qFormat/>
    <w:uiPriority w:val="99"/>
    <w:pPr>
      <w:widowControl/>
      <w:spacing w:before="240" w:after="60" w:line="312" w:lineRule="auto"/>
      <w:jc w:val="center"/>
      <w:outlineLvl w:val="1"/>
    </w:pPr>
    <w:rPr>
      <w:rFonts w:ascii="Cambria" w:hAnsi="Cambria"/>
      <w:b/>
      <w:bCs/>
      <w:kern w:val="28"/>
      <w:sz w:val="32"/>
      <w:szCs w:val="32"/>
    </w:rPr>
  </w:style>
  <w:style w:type="paragraph" w:styleId="35">
    <w:name w:val="List"/>
    <w:basedOn w:val="1"/>
    <w:qFormat/>
    <w:uiPriority w:val="99"/>
    <w:pPr>
      <w:ind w:left="200" w:hanging="200"/>
    </w:pPr>
  </w:style>
  <w:style w:type="paragraph" w:styleId="36">
    <w:name w:val="toc 6"/>
    <w:basedOn w:val="1"/>
    <w:next w:val="1"/>
    <w:unhideWhenUsed/>
    <w:qFormat/>
    <w:uiPriority w:val="99"/>
    <w:pPr>
      <w:spacing w:line="240" w:lineRule="auto"/>
      <w:ind w:left="1050"/>
      <w:jc w:val="left"/>
    </w:pPr>
    <w:rPr>
      <w:rFonts w:ascii="等线" w:hAnsi="等线" w:eastAsia="等线"/>
      <w:sz w:val="18"/>
      <w:szCs w:val="18"/>
    </w:rPr>
  </w:style>
  <w:style w:type="paragraph" w:styleId="37">
    <w:name w:val="Body Text Indent 3"/>
    <w:basedOn w:val="1"/>
    <w:link w:val="123"/>
    <w:qFormat/>
    <w:uiPriority w:val="99"/>
    <w:pPr>
      <w:adjustRightInd w:val="0"/>
      <w:ind w:left="638" w:leftChars="304"/>
    </w:pPr>
    <w:rPr>
      <w:sz w:val="32"/>
    </w:rPr>
  </w:style>
  <w:style w:type="paragraph" w:styleId="38">
    <w:name w:val="toc 2"/>
    <w:basedOn w:val="1"/>
    <w:next w:val="1"/>
    <w:qFormat/>
    <w:uiPriority w:val="99"/>
    <w:pPr>
      <w:ind w:left="420" w:leftChars="200"/>
    </w:pPr>
  </w:style>
  <w:style w:type="paragraph" w:styleId="39">
    <w:name w:val="toc 9"/>
    <w:basedOn w:val="1"/>
    <w:next w:val="1"/>
    <w:unhideWhenUsed/>
    <w:qFormat/>
    <w:uiPriority w:val="99"/>
    <w:pPr>
      <w:spacing w:line="240" w:lineRule="auto"/>
      <w:ind w:left="1680"/>
      <w:jc w:val="left"/>
    </w:pPr>
    <w:rPr>
      <w:rFonts w:ascii="等线" w:hAnsi="等线" w:eastAsia="等线"/>
      <w:sz w:val="18"/>
      <w:szCs w:val="18"/>
    </w:rPr>
  </w:style>
  <w:style w:type="paragraph" w:styleId="40">
    <w:name w:val="Body Text 2"/>
    <w:basedOn w:val="1"/>
    <w:link w:val="96"/>
    <w:qFormat/>
    <w:uiPriority w:val="99"/>
    <w:pPr>
      <w:jc w:val="center"/>
    </w:pPr>
    <w:rPr>
      <w:b/>
      <w:sz w:val="72"/>
    </w:rPr>
  </w:style>
  <w:style w:type="paragraph" w:styleId="41">
    <w:name w:val="HTML Preformatted"/>
    <w:basedOn w:val="1"/>
    <w:link w:val="1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styleId="4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3">
    <w:name w:val="Title"/>
    <w:basedOn w:val="1"/>
    <w:next w:val="1"/>
    <w:link w:val="199"/>
    <w:qFormat/>
    <w:uiPriority w:val="99"/>
    <w:pPr>
      <w:spacing w:before="240" w:after="60"/>
      <w:jc w:val="center"/>
      <w:outlineLvl w:val="0"/>
    </w:pPr>
    <w:rPr>
      <w:rFonts w:ascii="Cambria" w:hAnsi="Cambria"/>
      <w:b/>
      <w:bCs/>
      <w:sz w:val="32"/>
      <w:szCs w:val="32"/>
    </w:rPr>
  </w:style>
  <w:style w:type="paragraph" w:styleId="44">
    <w:name w:val="annotation subject"/>
    <w:basedOn w:val="16"/>
    <w:next w:val="16"/>
    <w:link w:val="66"/>
    <w:qFormat/>
    <w:uiPriority w:val="99"/>
    <w:rPr>
      <w:b/>
      <w:bCs/>
      <w:szCs w:val="20"/>
    </w:rPr>
  </w:style>
  <w:style w:type="paragraph" w:styleId="45">
    <w:name w:val="Body Text First Indent"/>
    <w:basedOn w:val="18"/>
    <w:link w:val="196"/>
    <w:qFormat/>
    <w:uiPriority w:val="99"/>
    <w:pPr>
      <w:adjustRightInd/>
      <w:spacing w:after="120" w:line="240" w:lineRule="auto"/>
      <w:ind w:firstLine="420" w:firstLineChars="100"/>
      <w:textAlignment w:val="auto"/>
    </w:pPr>
    <w:rPr>
      <w:sz w:val="21"/>
    </w:rPr>
  </w:style>
  <w:style w:type="table" w:styleId="47">
    <w:name w:val="Table Grid"/>
    <w:basedOn w:val="46"/>
    <w:qFormat/>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WW8Num8z3"/>
    <w:qFormat/>
    <w:uiPriority w:val="0"/>
  </w:style>
  <w:style w:type="character" w:customStyle="1" w:styleId="56">
    <w:name w:val="Char Char41"/>
    <w:qFormat/>
    <w:uiPriority w:val="0"/>
    <w:rPr>
      <w:rFonts w:ascii="Calibri" w:hAnsi="Calibri" w:eastAsia="宋体" w:cs="Calibri"/>
      <w:b/>
      <w:bCs/>
      <w:kern w:val="1"/>
      <w:sz w:val="24"/>
      <w:szCs w:val="24"/>
      <w:lang w:val="en-US" w:eastAsia="ar-SA" w:bidi="ar-SA"/>
    </w:rPr>
  </w:style>
  <w:style w:type="character" w:customStyle="1" w:styleId="57">
    <w:name w:val="Char Char31"/>
    <w:qFormat/>
    <w:uiPriority w:val="0"/>
    <w:rPr>
      <w:rFonts w:ascii="Calibri Light" w:hAnsi="Calibri Light" w:eastAsia="宋体" w:cs="Calibri Light"/>
      <w:kern w:val="1"/>
      <w:sz w:val="24"/>
      <w:szCs w:val="24"/>
      <w:lang w:val="en-US" w:eastAsia="ar-SA" w:bidi="ar-SA"/>
    </w:rPr>
  </w:style>
  <w:style w:type="character" w:customStyle="1" w:styleId="58">
    <w:name w:val="正文文本缩进 字符1"/>
    <w:link w:val="19"/>
    <w:qFormat/>
    <w:uiPriority w:val="0"/>
    <w:rPr>
      <w:rFonts w:eastAsia="宋体"/>
      <w:kern w:val="2"/>
      <w:sz w:val="28"/>
      <w:szCs w:val="24"/>
      <w:lang w:val="en-US" w:eastAsia="zh-CN" w:bidi="ar-SA"/>
    </w:rPr>
  </w:style>
  <w:style w:type="character" w:customStyle="1" w:styleId="59">
    <w:name w:val="WW8Num16z3"/>
    <w:qFormat/>
    <w:uiPriority w:val="0"/>
  </w:style>
  <w:style w:type="character" w:customStyle="1" w:styleId="60">
    <w:name w:val="Char Char51"/>
    <w:qFormat/>
    <w:uiPriority w:val="0"/>
    <w:rPr>
      <w:rFonts w:ascii="Calibri Light" w:hAnsi="Calibri Light" w:eastAsia="宋体" w:cs="Calibri Light"/>
      <w:b/>
      <w:bCs/>
      <w:kern w:val="1"/>
      <w:sz w:val="24"/>
      <w:szCs w:val="24"/>
      <w:lang w:val="en-US" w:eastAsia="ar-SA" w:bidi="ar-SA"/>
    </w:rPr>
  </w:style>
  <w:style w:type="character" w:customStyle="1" w:styleId="61">
    <w:name w:val="标题 9 字符"/>
    <w:link w:val="10"/>
    <w:qFormat/>
    <w:uiPriority w:val="99"/>
    <w:rPr>
      <w:sz w:val="24"/>
    </w:rPr>
  </w:style>
  <w:style w:type="character" w:customStyle="1" w:styleId="62">
    <w:name w:val="Char Char"/>
    <w:qFormat/>
    <w:locked/>
    <w:uiPriority w:val="0"/>
    <w:rPr>
      <w:rFonts w:ascii="宋体" w:hAnsi="宋体" w:eastAsia="宋体"/>
      <w:kern w:val="2"/>
      <w:sz w:val="32"/>
      <w:lang w:val="en-US" w:eastAsia="zh-CN" w:bidi="ar-SA"/>
    </w:rPr>
  </w:style>
  <w:style w:type="character" w:customStyle="1" w:styleId="63">
    <w:name w:val="正文段 Char"/>
    <w:link w:val="64"/>
    <w:qFormat/>
    <w:uiPriority w:val="0"/>
    <w:rPr>
      <w:sz w:val="24"/>
    </w:rPr>
  </w:style>
  <w:style w:type="paragraph" w:customStyle="1" w:styleId="64">
    <w:name w:val="正文段"/>
    <w:basedOn w:val="1"/>
    <w:link w:val="63"/>
    <w:qFormat/>
    <w:uiPriority w:val="0"/>
    <w:pPr>
      <w:widowControl/>
      <w:snapToGrid w:val="0"/>
      <w:spacing w:afterLines="50"/>
      <w:ind w:firstLine="200" w:firstLineChars="200"/>
    </w:pPr>
    <w:rPr>
      <w:kern w:val="0"/>
      <w:sz w:val="24"/>
    </w:rPr>
  </w:style>
  <w:style w:type="character" w:customStyle="1" w:styleId="65">
    <w:name w:val="页脚 Char1"/>
    <w:qFormat/>
    <w:locked/>
    <w:uiPriority w:val="0"/>
    <w:rPr>
      <w:rFonts w:eastAsia="黑体"/>
      <w:snapToGrid/>
      <w:sz w:val="18"/>
      <w:szCs w:val="18"/>
    </w:rPr>
  </w:style>
  <w:style w:type="character" w:customStyle="1" w:styleId="66">
    <w:name w:val="批注主题 字符1"/>
    <w:link w:val="44"/>
    <w:qFormat/>
    <w:uiPriority w:val="99"/>
    <w:rPr>
      <w:b/>
      <w:bCs/>
      <w:kern w:val="2"/>
      <w:sz w:val="21"/>
    </w:rPr>
  </w:style>
  <w:style w:type="character" w:customStyle="1" w:styleId="67">
    <w:name w:val="WW8Num9z0"/>
    <w:qFormat/>
    <w:uiPriority w:val="0"/>
    <w:rPr>
      <w:rFonts w:hint="default"/>
    </w:rPr>
  </w:style>
  <w:style w:type="character" w:customStyle="1" w:styleId="68">
    <w:name w:val="WW8Num9z7"/>
    <w:qFormat/>
    <w:uiPriority w:val="0"/>
  </w:style>
  <w:style w:type="character" w:customStyle="1" w:styleId="69">
    <w:name w:val="批注主题 Char"/>
    <w:qFormat/>
    <w:uiPriority w:val="0"/>
    <w:rPr>
      <w:b/>
      <w:bCs/>
      <w:kern w:val="2"/>
      <w:sz w:val="21"/>
      <w:szCs w:val="24"/>
    </w:rPr>
  </w:style>
  <w:style w:type="character" w:customStyle="1" w:styleId="70">
    <w:name w:val="WW8Num11z7"/>
    <w:qFormat/>
    <w:uiPriority w:val="0"/>
  </w:style>
  <w:style w:type="character" w:customStyle="1" w:styleId="71">
    <w:name w:val="WW8Num4z6"/>
    <w:qFormat/>
    <w:uiPriority w:val="0"/>
  </w:style>
  <w:style w:type="character" w:customStyle="1" w:styleId="72">
    <w:name w:val="标题 3 字符"/>
    <w:link w:val="4"/>
    <w:qFormat/>
    <w:uiPriority w:val="0"/>
    <w:rPr>
      <w:b/>
      <w:bCs/>
      <w:kern w:val="2"/>
      <w:sz w:val="32"/>
      <w:szCs w:val="32"/>
    </w:rPr>
  </w:style>
  <w:style w:type="character" w:customStyle="1" w:styleId="73">
    <w:name w:val="WW8Num13z0"/>
    <w:qFormat/>
    <w:uiPriority w:val="0"/>
    <w:rPr>
      <w:rFonts w:hint="eastAsia" w:ascii="宋体" w:hAnsi="宋体" w:cs="宋体"/>
      <w:szCs w:val="21"/>
    </w:rPr>
  </w:style>
  <w:style w:type="character" w:customStyle="1" w:styleId="74">
    <w:name w:val="WW8Num12z7"/>
    <w:qFormat/>
    <w:uiPriority w:val="0"/>
  </w:style>
  <w:style w:type="character" w:customStyle="1" w:styleId="75">
    <w:name w:val="标题 5 字符"/>
    <w:link w:val="6"/>
    <w:qFormat/>
    <w:uiPriority w:val="0"/>
    <w:rPr>
      <w:sz w:val="24"/>
    </w:rPr>
  </w:style>
  <w:style w:type="character" w:customStyle="1" w:styleId="76">
    <w:name w:val="WW8Num13z8"/>
    <w:qFormat/>
    <w:uiPriority w:val="0"/>
  </w:style>
  <w:style w:type="character" w:customStyle="1" w:styleId="77">
    <w:name w:val="WW8Num13z1"/>
    <w:qFormat/>
    <w:uiPriority w:val="0"/>
  </w:style>
  <w:style w:type="character" w:customStyle="1" w:styleId="78">
    <w:name w:val="font41"/>
    <w:qFormat/>
    <w:uiPriority w:val="0"/>
    <w:rPr>
      <w:rFonts w:hint="eastAsia" w:ascii="宋体" w:hAnsi="宋体" w:eastAsia="宋体" w:cs="宋体"/>
      <w:color w:val="000000"/>
      <w:sz w:val="18"/>
      <w:szCs w:val="18"/>
      <w:u w:val="none"/>
    </w:rPr>
  </w:style>
  <w:style w:type="character" w:customStyle="1" w:styleId="79">
    <w:name w:val="WW8Num2z7"/>
    <w:qFormat/>
    <w:uiPriority w:val="0"/>
  </w:style>
  <w:style w:type="character" w:customStyle="1" w:styleId="80">
    <w:name w:val="WW8Num4z7"/>
    <w:qFormat/>
    <w:uiPriority w:val="0"/>
  </w:style>
  <w:style w:type="character" w:customStyle="1" w:styleId="81">
    <w:name w:val="HTML 预设格式 Char1"/>
    <w:qFormat/>
    <w:uiPriority w:val="0"/>
    <w:rPr>
      <w:rFonts w:ascii="Courier New" w:hAnsi="Courier New" w:cs="Courier New"/>
      <w:kern w:val="2"/>
    </w:rPr>
  </w:style>
  <w:style w:type="character" w:customStyle="1" w:styleId="82">
    <w:name w:val="WW8Num2z4"/>
    <w:qFormat/>
    <w:uiPriority w:val="0"/>
  </w:style>
  <w:style w:type="character" w:customStyle="1" w:styleId="83">
    <w:name w:val="WW8Num5z8"/>
    <w:qFormat/>
    <w:uiPriority w:val="0"/>
  </w:style>
  <w:style w:type="character" w:customStyle="1" w:styleId="84">
    <w:name w:val="正文文本 字符"/>
    <w:link w:val="18"/>
    <w:qFormat/>
    <w:uiPriority w:val="99"/>
    <w:rPr>
      <w:rFonts w:ascii="宋体" w:hAnsi="宋体" w:eastAsia="宋体"/>
      <w:kern w:val="2"/>
      <w:sz w:val="32"/>
      <w:lang w:val="en-US" w:eastAsia="zh-CN" w:bidi="ar-SA"/>
    </w:rPr>
  </w:style>
  <w:style w:type="character" w:customStyle="1" w:styleId="85">
    <w:name w:val="WW8Num5z1"/>
    <w:qFormat/>
    <w:uiPriority w:val="0"/>
  </w:style>
  <w:style w:type="character" w:customStyle="1" w:styleId="86">
    <w:name w:val="WW8Num6z1"/>
    <w:qFormat/>
    <w:uiPriority w:val="0"/>
  </w:style>
  <w:style w:type="character" w:customStyle="1" w:styleId="87">
    <w:name w:val="文档结构图 字符"/>
    <w:link w:val="15"/>
    <w:qFormat/>
    <w:uiPriority w:val="99"/>
    <w:rPr>
      <w:rFonts w:ascii="宋体"/>
      <w:kern w:val="2"/>
      <w:sz w:val="18"/>
      <w:szCs w:val="18"/>
    </w:rPr>
  </w:style>
  <w:style w:type="character" w:customStyle="1" w:styleId="88">
    <w:name w:val="WW8Num13z2"/>
    <w:qFormat/>
    <w:uiPriority w:val="0"/>
  </w:style>
  <w:style w:type="character" w:customStyle="1" w:styleId="89">
    <w:name w:val="Char Char5"/>
    <w:qFormat/>
    <w:uiPriority w:val="0"/>
    <w:rPr>
      <w:rFonts w:ascii="Calibri Light" w:hAnsi="Calibri Light" w:eastAsia="宋体" w:cs="Calibri Light"/>
      <w:b/>
      <w:bCs/>
      <w:kern w:val="1"/>
      <w:sz w:val="24"/>
      <w:szCs w:val="24"/>
      <w:lang w:val="en-US" w:eastAsia="ar-SA" w:bidi="ar-SA"/>
    </w:rPr>
  </w:style>
  <w:style w:type="character" w:customStyle="1" w:styleId="90">
    <w:name w:val="Char Char321"/>
    <w:qFormat/>
    <w:uiPriority w:val="0"/>
    <w:rPr>
      <w:rFonts w:ascii="宋体" w:hAnsi="Courier New" w:eastAsia="楷体_GB2312"/>
      <w:kern w:val="2"/>
      <w:sz w:val="26"/>
      <w:lang w:val="en-US" w:eastAsia="zh-CN" w:bidi="ar-SA"/>
    </w:rPr>
  </w:style>
  <w:style w:type="character" w:customStyle="1" w:styleId="91">
    <w:name w:val="WW8Num15z0"/>
    <w:qFormat/>
    <w:uiPriority w:val="0"/>
    <w:rPr>
      <w:rFonts w:hint="default" w:ascii="Wingdings" w:hAnsi="Wingdings" w:cs="Wingdings"/>
    </w:rPr>
  </w:style>
  <w:style w:type="character" w:customStyle="1" w:styleId="92">
    <w:name w:val="WW8Num5z6"/>
    <w:qFormat/>
    <w:uiPriority w:val="0"/>
  </w:style>
  <w:style w:type="character" w:customStyle="1" w:styleId="93">
    <w:name w:val="列出段落 字符"/>
    <w:link w:val="94"/>
    <w:qFormat/>
    <w:uiPriority w:val="34"/>
    <w:rPr>
      <w:rFonts w:ascii="Calibri" w:hAnsi="Calibri"/>
      <w:kern w:val="2"/>
      <w:sz w:val="21"/>
    </w:rPr>
  </w:style>
  <w:style w:type="paragraph" w:styleId="94">
    <w:name w:val="List Paragraph"/>
    <w:basedOn w:val="1"/>
    <w:link w:val="93"/>
    <w:qFormat/>
    <w:uiPriority w:val="34"/>
    <w:pPr>
      <w:ind w:firstLine="420" w:firstLineChars="200"/>
    </w:pPr>
  </w:style>
  <w:style w:type="character" w:customStyle="1" w:styleId="95">
    <w:name w:val="WW8Num12z5"/>
    <w:qFormat/>
    <w:uiPriority w:val="0"/>
  </w:style>
  <w:style w:type="character" w:customStyle="1" w:styleId="96">
    <w:name w:val="正文文本 2 字符"/>
    <w:link w:val="40"/>
    <w:qFormat/>
    <w:uiPriority w:val="99"/>
    <w:rPr>
      <w:b/>
      <w:kern w:val="2"/>
      <w:sz w:val="72"/>
    </w:rPr>
  </w:style>
  <w:style w:type="character" w:customStyle="1" w:styleId="97">
    <w:name w:val="WW8Num2z1"/>
    <w:qFormat/>
    <w:uiPriority w:val="0"/>
  </w:style>
  <w:style w:type="character" w:customStyle="1" w:styleId="98">
    <w:name w:val="WW8Num4z0"/>
    <w:qFormat/>
    <w:uiPriority w:val="0"/>
    <w:rPr>
      <w:rFonts w:hint="default"/>
    </w:rPr>
  </w:style>
  <w:style w:type="character" w:customStyle="1" w:styleId="99">
    <w:name w:val="font71"/>
    <w:qFormat/>
    <w:uiPriority w:val="0"/>
    <w:rPr>
      <w:rFonts w:hint="eastAsia" w:ascii="宋体" w:hAnsi="宋体" w:eastAsia="宋体" w:cs="宋体"/>
      <w:color w:val="000000"/>
      <w:sz w:val="20"/>
      <w:szCs w:val="20"/>
      <w:u w:val="none"/>
    </w:rPr>
  </w:style>
  <w:style w:type="character" w:customStyle="1" w:styleId="100">
    <w:name w:val="WW8Num6z4"/>
    <w:qFormat/>
    <w:uiPriority w:val="0"/>
  </w:style>
  <w:style w:type="character" w:customStyle="1" w:styleId="101">
    <w:name w:val="WW8Num5z5"/>
    <w:qFormat/>
    <w:uiPriority w:val="0"/>
  </w:style>
  <w:style w:type="character" w:customStyle="1" w:styleId="102">
    <w:name w:val="页脚 字符"/>
    <w:link w:val="30"/>
    <w:qFormat/>
    <w:uiPriority w:val="99"/>
    <w:rPr>
      <w:kern w:val="2"/>
      <w:sz w:val="18"/>
      <w:szCs w:val="18"/>
    </w:rPr>
  </w:style>
  <w:style w:type="character" w:customStyle="1" w:styleId="103">
    <w:name w:val="批注文字 Char1"/>
    <w:qFormat/>
    <w:uiPriority w:val="0"/>
    <w:rPr>
      <w:kern w:val="2"/>
      <w:sz w:val="21"/>
    </w:rPr>
  </w:style>
  <w:style w:type="character" w:customStyle="1" w:styleId="104">
    <w:name w:val="WW8Num2z2"/>
    <w:qFormat/>
    <w:uiPriority w:val="0"/>
  </w:style>
  <w:style w:type="character" w:customStyle="1" w:styleId="105">
    <w:name w:val="WW8Num16z5"/>
    <w:qFormat/>
    <w:uiPriority w:val="0"/>
  </w:style>
  <w:style w:type="character" w:customStyle="1" w:styleId="106">
    <w:name w:val="批注框文本 Char1"/>
    <w:qFormat/>
    <w:locked/>
    <w:uiPriority w:val="0"/>
    <w:rPr>
      <w:kern w:val="2"/>
      <w:sz w:val="18"/>
      <w:szCs w:val="18"/>
    </w:rPr>
  </w:style>
  <w:style w:type="character" w:customStyle="1" w:styleId="107">
    <w:name w:val="font81"/>
    <w:qFormat/>
    <w:uiPriority w:val="0"/>
    <w:rPr>
      <w:rFonts w:hint="default" w:ascii="Calibri" w:hAnsi="Calibri" w:cs="Calibri"/>
      <w:color w:val="FF0000"/>
      <w:sz w:val="20"/>
      <w:szCs w:val="20"/>
      <w:u w:val="none"/>
    </w:rPr>
  </w:style>
  <w:style w:type="character" w:customStyle="1" w:styleId="108">
    <w:name w:val="WW8Num2z8"/>
    <w:qFormat/>
    <w:uiPriority w:val="0"/>
  </w:style>
  <w:style w:type="character" w:customStyle="1" w:styleId="109">
    <w:name w:val="WW8Num12z0"/>
    <w:qFormat/>
    <w:uiPriority w:val="0"/>
  </w:style>
  <w:style w:type="character" w:customStyle="1" w:styleId="110">
    <w:name w:val="标题 1 Char Char"/>
    <w:qFormat/>
    <w:uiPriority w:val="0"/>
    <w:rPr>
      <w:rFonts w:eastAsia="宋体"/>
      <w:b/>
      <w:spacing w:val="-2"/>
      <w:sz w:val="24"/>
      <w:lang w:val="en-US" w:eastAsia="zh-CN" w:bidi="ar-SA"/>
    </w:rPr>
  </w:style>
  <w:style w:type="character" w:customStyle="1" w:styleId="111">
    <w:name w:val="纯文本 字符1"/>
    <w:qFormat/>
    <w:uiPriority w:val="0"/>
    <w:rPr>
      <w:rFonts w:ascii="宋体" w:hAnsi="Courier New" w:eastAsia="宋体"/>
      <w:kern w:val="2"/>
      <w:sz w:val="24"/>
      <w:szCs w:val="24"/>
      <w:lang w:val="en-US" w:eastAsia="zh-CN" w:bidi="ar-SA"/>
    </w:rPr>
  </w:style>
  <w:style w:type="character" w:customStyle="1" w:styleId="112">
    <w:name w:val="font3"/>
    <w:basedOn w:val="48"/>
    <w:qFormat/>
    <w:uiPriority w:val="0"/>
  </w:style>
  <w:style w:type="character" w:customStyle="1" w:styleId="113">
    <w:name w:val="WW8Num11z3"/>
    <w:qFormat/>
    <w:uiPriority w:val="0"/>
  </w:style>
  <w:style w:type="character" w:customStyle="1" w:styleId="114">
    <w:name w:val="Comment Text Char"/>
    <w:qFormat/>
    <w:uiPriority w:val="0"/>
    <w:rPr>
      <w:kern w:val="2"/>
      <w:sz w:val="22"/>
    </w:rPr>
  </w:style>
  <w:style w:type="character" w:customStyle="1" w:styleId="115">
    <w:name w:val="WW8Num6z2"/>
    <w:qFormat/>
    <w:uiPriority w:val="0"/>
  </w:style>
  <w:style w:type="character" w:customStyle="1" w:styleId="116">
    <w:name w:val="WW8Num8z0"/>
    <w:qFormat/>
    <w:uiPriority w:val="0"/>
    <w:rPr>
      <w:rFonts w:hint="default" w:ascii="宋体" w:hAnsi="宋体" w:cs="宋体"/>
    </w:rPr>
  </w:style>
  <w:style w:type="character" w:customStyle="1" w:styleId="117">
    <w:name w:val="WW8Num16z6"/>
    <w:qFormat/>
    <w:uiPriority w:val="0"/>
  </w:style>
  <w:style w:type="character" w:customStyle="1" w:styleId="118">
    <w:name w:val="段正文 Char Char"/>
    <w:qFormat/>
    <w:uiPriority w:val="0"/>
    <w:rPr>
      <w:sz w:val="24"/>
      <w:lang w:eastAsia="ar-SA" w:bidi="ar-SA"/>
    </w:rPr>
  </w:style>
  <w:style w:type="character" w:customStyle="1" w:styleId="119">
    <w:name w:val="Char Char61"/>
    <w:qFormat/>
    <w:uiPriority w:val="0"/>
    <w:rPr>
      <w:rFonts w:ascii="Calibri" w:hAnsi="Calibri" w:eastAsia="宋体" w:cs="Calibri"/>
      <w:b/>
      <w:bCs/>
      <w:kern w:val="1"/>
      <w:sz w:val="28"/>
      <w:szCs w:val="28"/>
      <w:lang w:val="en-US" w:eastAsia="ar-SA" w:bidi="ar-SA"/>
    </w:rPr>
  </w:style>
  <w:style w:type="character" w:customStyle="1" w:styleId="120">
    <w:name w:val="font101"/>
    <w:qFormat/>
    <w:uiPriority w:val="0"/>
    <w:rPr>
      <w:rFonts w:hint="eastAsia" w:ascii="宋体" w:hAnsi="宋体" w:eastAsia="宋体" w:cs="宋体"/>
      <w:color w:val="000000"/>
      <w:sz w:val="22"/>
      <w:szCs w:val="22"/>
      <w:u w:val="none"/>
    </w:rPr>
  </w:style>
  <w:style w:type="character" w:customStyle="1" w:styleId="121">
    <w:name w:val="WW8Num14z0"/>
    <w:qFormat/>
    <w:uiPriority w:val="0"/>
    <w:rPr>
      <w:rFonts w:hint="default" w:ascii="Wingdings" w:hAnsi="Wingdings" w:cs="Wingdings"/>
    </w:rPr>
  </w:style>
  <w:style w:type="character" w:customStyle="1" w:styleId="122">
    <w:name w:val="表正文 Char2"/>
    <w:aliases w:val="特点 Char3,正文非缩进 Char2,ALT+Z Char2,水上软件 Char2,段1 Char2,正文不缩进 Char2,特点 Char Char2,特点正文 Char2,PI Char2,首行缩进 Char2,正文缩进（首行缩进两字） Char2,四号 Char2,标题四 Char2,缩进 Char2,标题4 Char2,正文双线 Char2,表正文1 Char2,正文非缩进1 Char2,标题41 Char2,四号1 Char2,特点1 Char2,表正文2 Char2"/>
    <w:qFormat/>
    <w:uiPriority w:val="0"/>
    <w:rPr>
      <w:rFonts w:ascii="宋体" w:hAnsi="Courier New" w:eastAsia="宋体"/>
      <w:kern w:val="2"/>
      <w:sz w:val="21"/>
      <w:lang w:val="en-US" w:eastAsia="zh-CN" w:bidi="ar-SA"/>
    </w:rPr>
  </w:style>
  <w:style w:type="character" w:customStyle="1" w:styleId="123">
    <w:name w:val="正文文本缩进 3 字符"/>
    <w:link w:val="37"/>
    <w:qFormat/>
    <w:uiPriority w:val="99"/>
    <w:rPr>
      <w:kern w:val="2"/>
      <w:sz w:val="32"/>
    </w:rPr>
  </w:style>
  <w:style w:type="character" w:customStyle="1" w:styleId="124">
    <w:name w:val="表正文 Char1"/>
    <w:aliases w:val="特点 Char2,正文非缩进 Char1,ALT+Z Char1,水上软件 Char1,段1 Char1,正文不缩进 Char1,特点 Char Char1,特点正文 Char1,PI Char1,首行缩进 Char1,正文缩进（首行缩进两字） Char1,四号 Char1,标题四 Char1,缩进 Char1,标题4 Char1,正文双线 Char1,表正文1 Char1,正文非缩进1 Char1,标题41 Char1,四号1 Char1,特点1 Char1,表正文2 Char1"/>
    <w:qFormat/>
    <w:uiPriority w:val="0"/>
    <w:rPr>
      <w:rFonts w:ascii="宋体" w:hAnsi="Courier New" w:eastAsia="宋体"/>
      <w:kern w:val="2"/>
      <w:sz w:val="21"/>
    </w:rPr>
  </w:style>
  <w:style w:type="character" w:customStyle="1" w:styleId="125">
    <w:name w:val="WW8Num6z8"/>
    <w:qFormat/>
    <w:uiPriority w:val="0"/>
  </w:style>
  <w:style w:type="character" w:customStyle="1" w:styleId="126">
    <w:name w:val="文档结构图 Char1"/>
    <w:qFormat/>
    <w:uiPriority w:val="0"/>
    <w:rPr>
      <w:rFonts w:ascii="宋体"/>
      <w:kern w:val="2"/>
      <w:sz w:val="18"/>
      <w:szCs w:val="18"/>
    </w:rPr>
  </w:style>
  <w:style w:type="character" w:customStyle="1" w:styleId="127">
    <w:name w:val="Char Char13"/>
    <w:qFormat/>
    <w:uiPriority w:val="0"/>
    <w:rPr>
      <w:rFonts w:ascii="宋体" w:hAnsi="Courier New" w:eastAsia="楷体_GB2312"/>
      <w:kern w:val="2"/>
      <w:sz w:val="26"/>
      <w:lang w:val="en-US" w:eastAsia="zh-CN" w:bidi="ar-SA"/>
    </w:rPr>
  </w:style>
  <w:style w:type="character" w:customStyle="1" w:styleId="128">
    <w:name w:val="Char Char81"/>
    <w:qFormat/>
    <w:uiPriority w:val="0"/>
    <w:rPr>
      <w:rFonts w:ascii="仿宋_GB2312" w:hAnsi="仿宋_GB2312" w:eastAsia="仿宋_GB2312" w:cs="宋体"/>
      <w:kern w:val="1"/>
      <w:sz w:val="30"/>
      <w:lang w:val="en-US" w:eastAsia="ar-SA" w:bidi="ar-SA"/>
    </w:rPr>
  </w:style>
  <w:style w:type="character" w:customStyle="1" w:styleId="129">
    <w:name w:val="WW8Num12z4"/>
    <w:qFormat/>
    <w:uiPriority w:val="0"/>
  </w:style>
  <w:style w:type="character" w:customStyle="1" w:styleId="130">
    <w:name w:val="font61"/>
    <w:qFormat/>
    <w:uiPriority w:val="0"/>
    <w:rPr>
      <w:rFonts w:hint="eastAsia" w:ascii="宋体" w:hAnsi="宋体" w:eastAsia="宋体" w:cs="宋体"/>
      <w:color w:val="000000"/>
      <w:sz w:val="20"/>
      <w:szCs w:val="20"/>
      <w:u w:val="none"/>
    </w:rPr>
  </w:style>
  <w:style w:type="character" w:customStyle="1" w:styleId="131">
    <w:name w:val="Char Char32"/>
    <w:qFormat/>
    <w:uiPriority w:val="0"/>
    <w:rPr>
      <w:rFonts w:hint="eastAsia" w:ascii="宋体" w:hAnsi="Courier New" w:eastAsia="楷体_GB2312"/>
      <w:kern w:val="2"/>
      <w:sz w:val="26"/>
      <w:lang w:val="en-US" w:eastAsia="zh-CN" w:bidi="ar-SA"/>
    </w:rPr>
  </w:style>
  <w:style w:type="character" w:customStyle="1" w:styleId="132">
    <w:name w:val="Char Char43"/>
    <w:uiPriority w:val="0"/>
    <w:rPr>
      <w:rFonts w:ascii="Calibri" w:hAnsi="Calibri" w:eastAsia="宋体" w:cs="Calibri"/>
      <w:b/>
      <w:bCs/>
      <w:kern w:val="1"/>
      <w:sz w:val="24"/>
      <w:szCs w:val="24"/>
      <w:lang w:val="en-US" w:eastAsia="ar-SA" w:bidi="ar-SA"/>
    </w:rPr>
  </w:style>
  <w:style w:type="character" w:customStyle="1" w:styleId="133">
    <w:name w:val="WW8Num10z0"/>
    <w:qFormat/>
    <w:uiPriority w:val="0"/>
    <w:rPr>
      <w:rFonts w:hint="default" w:ascii="Wingdings" w:hAnsi="Wingdings" w:cs="Wingdings"/>
    </w:rPr>
  </w:style>
  <w:style w:type="character" w:customStyle="1" w:styleId="134">
    <w:name w:val="WW8Num12z8"/>
    <w:qFormat/>
    <w:uiPriority w:val="0"/>
  </w:style>
  <w:style w:type="character" w:customStyle="1" w:styleId="135">
    <w:name w:val="WW8Num2z0"/>
    <w:qFormat/>
    <w:uiPriority w:val="0"/>
    <w:rPr>
      <w:rFonts w:hint="eastAsia"/>
    </w:rPr>
  </w:style>
  <w:style w:type="character" w:customStyle="1" w:styleId="136">
    <w:name w:val="普通文字 Char Char Char Char1"/>
    <w:aliases w:val="普通文字 Char Char Char Char Char,正 文 1 Char,Texte Char,普通文字4 Char,普通文字5 Char,普通文字6 Char,普通文字11 Char,普通文字21 Char,普通文字 Char Char3,普通文字 Char Char Char3,普通文字 Char3,普通文字 Char Char Char Char2,普通文字 Char Char Char Char Char1,Texte Char2"/>
    <w:qFormat/>
    <w:uiPriority w:val="0"/>
    <w:rPr>
      <w:rFonts w:ascii="宋体" w:hAnsi="Courier New" w:eastAsia="宋体"/>
      <w:kern w:val="2"/>
      <w:sz w:val="24"/>
      <w:lang w:val="en-US" w:eastAsia="zh-CN" w:bidi="ar-SA"/>
    </w:rPr>
  </w:style>
  <w:style w:type="character" w:customStyle="1" w:styleId="137">
    <w:name w:val="WW8Num7z0"/>
    <w:qFormat/>
    <w:uiPriority w:val="0"/>
    <w:rPr>
      <w:rFonts w:hint="default" w:ascii="Wingdings" w:hAnsi="Wingdings" w:cs="Wingdings"/>
    </w:rPr>
  </w:style>
  <w:style w:type="character" w:customStyle="1" w:styleId="138">
    <w:name w:val="zbggmain style9"/>
    <w:basedOn w:val="48"/>
    <w:qFormat/>
    <w:uiPriority w:val="0"/>
  </w:style>
  <w:style w:type="character" w:customStyle="1" w:styleId="139">
    <w:name w:val="访问过的超链接1"/>
    <w:qFormat/>
    <w:uiPriority w:val="0"/>
    <w:rPr>
      <w:color w:val="800080"/>
      <w:u w:val="single"/>
    </w:rPr>
  </w:style>
  <w:style w:type="character" w:customStyle="1" w:styleId="140">
    <w:name w:val="WW8Num4z3"/>
    <w:qFormat/>
    <w:uiPriority w:val="0"/>
  </w:style>
  <w:style w:type="character" w:customStyle="1" w:styleId="141">
    <w:name w:val="WW8Num9z8"/>
    <w:qFormat/>
    <w:uiPriority w:val="0"/>
  </w:style>
  <w:style w:type="character" w:customStyle="1" w:styleId="142">
    <w:name w:val="Char Char2"/>
    <w:qFormat/>
    <w:uiPriority w:val="0"/>
    <w:rPr>
      <w:rFonts w:ascii="宋体" w:hAnsi="Courier New" w:eastAsia="楷体_GB2312"/>
      <w:kern w:val="2"/>
      <w:sz w:val="26"/>
      <w:lang w:val="en-US" w:eastAsia="zh-CN" w:bidi="ar-SA"/>
    </w:rPr>
  </w:style>
  <w:style w:type="character" w:customStyle="1" w:styleId="143">
    <w:name w:val="WW8Num9z4"/>
    <w:qFormat/>
    <w:uiPriority w:val="0"/>
  </w:style>
  <w:style w:type="character" w:customStyle="1" w:styleId="144">
    <w:name w:val="WW8Num4z1"/>
    <w:qFormat/>
    <w:uiPriority w:val="0"/>
  </w:style>
  <w:style w:type="character" w:customStyle="1" w:styleId="145">
    <w:name w:val="标题 4 字符"/>
    <w:link w:val="5"/>
    <w:qFormat/>
    <w:uiPriority w:val="0"/>
    <w:rPr>
      <w:sz w:val="24"/>
    </w:rPr>
  </w:style>
  <w:style w:type="character" w:customStyle="1" w:styleId="146">
    <w:name w:val="WW8Num6z5"/>
    <w:qFormat/>
    <w:uiPriority w:val="0"/>
  </w:style>
  <w:style w:type="character" w:customStyle="1" w:styleId="147">
    <w:name w:val="Char Char15"/>
    <w:qFormat/>
    <w:uiPriority w:val="0"/>
    <w:rPr>
      <w:rFonts w:eastAsia="黑体"/>
      <w:kern w:val="1"/>
      <w:sz w:val="18"/>
      <w:szCs w:val="18"/>
      <w:lang w:val="en-US" w:eastAsia="ar-SA" w:bidi="ar-SA"/>
    </w:rPr>
  </w:style>
  <w:style w:type="character" w:customStyle="1" w:styleId="148">
    <w:name w:val="日期 字符"/>
    <w:link w:val="27"/>
    <w:qFormat/>
    <w:uiPriority w:val="99"/>
    <w:rPr>
      <w:rFonts w:eastAsia="楷体_GB2312"/>
      <w:kern w:val="2"/>
      <w:sz w:val="32"/>
    </w:rPr>
  </w:style>
  <w:style w:type="character" w:customStyle="1" w:styleId="149">
    <w:name w:val="WW8Num6z6"/>
    <w:qFormat/>
    <w:uiPriority w:val="0"/>
  </w:style>
  <w:style w:type="character" w:customStyle="1" w:styleId="150">
    <w:name w:val="WW8Num8z5"/>
    <w:qFormat/>
    <w:uiPriority w:val="0"/>
  </w:style>
  <w:style w:type="character" w:customStyle="1" w:styleId="151">
    <w:name w:val="WW8Num11z8"/>
    <w:qFormat/>
    <w:uiPriority w:val="0"/>
  </w:style>
  <w:style w:type="character" w:customStyle="1" w:styleId="152">
    <w:name w:val="ptdl Char Char"/>
    <w:link w:val="153"/>
    <w:qFormat/>
    <w:uiPriority w:val="0"/>
    <w:rPr>
      <w:kern w:val="2"/>
      <w:sz w:val="24"/>
    </w:rPr>
  </w:style>
  <w:style w:type="paragraph" w:customStyle="1" w:styleId="153">
    <w:name w:val="ptdl"/>
    <w:basedOn w:val="1"/>
    <w:link w:val="152"/>
    <w:qFormat/>
    <w:uiPriority w:val="0"/>
    <w:pPr>
      <w:spacing w:after="156"/>
      <w:ind w:firstLine="480"/>
    </w:pPr>
    <w:rPr>
      <w:sz w:val="24"/>
    </w:rPr>
  </w:style>
  <w:style w:type="character" w:customStyle="1" w:styleId="154">
    <w:name w:val="unnamed1"/>
    <w:basedOn w:val="48"/>
    <w:qFormat/>
    <w:uiPriority w:val="0"/>
  </w:style>
  <w:style w:type="character" w:customStyle="1" w:styleId="155">
    <w:name w:val="批注框文本 字符"/>
    <w:link w:val="29"/>
    <w:qFormat/>
    <w:uiPriority w:val="99"/>
    <w:rPr>
      <w:kern w:val="2"/>
      <w:sz w:val="18"/>
      <w:szCs w:val="18"/>
    </w:rPr>
  </w:style>
  <w:style w:type="character" w:customStyle="1" w:styleId="156">
    <w:name w:val="WW8Num5z2"/>
    <w:qFormat/>
    <w:uiPriority w:val="0"/>
  </w:style>
  <w:style w:type="character" w:customStyle="1" w:styleId="157">
    <w:name w:val="正文文本 Char1"/>
    <w:qFormat/>
    <w:uiPriority w:val="0"/>
    <w:rPr>
      <w:kern w:val="2"/>
      <w:sz w:val="28"/>
      <w:szCs w:val="24"/>
    </w:rPr>
  </w:style>
  <w:style w:type="character" w:customStyle="1" w:styleId="158">
    <w:name w:val="标题 6 字符"/>
    <w:link w:val="7"/>
    <w:qFormat/>
    <w:uiPriority w:val="0"/>
    <w:rPr>
      <w:sz w:val="24"/>
    </w:rPr>
  </w:style>
  <w:style w:type="character" w:customStyle="1" w:styleId="159">
    <w:name w:val="WW8Num6z3"/>
    <w:qFormat/>
    <w:uiPriority w:val="0"/>
  </w:style>
  <w:style w:type="character" w:customStyle="1" w:styleId="160">
    <w:name w:val="WW8Num5z4"/>
    <w:qFormat/>
    <w:uiPriority w:val="0"/>
  </w:style>
  <w:style w:type="character" w:customStyle="1" w:styleId="161">
    <w:name w:val="WW8Num3z0"/>
    <w:qFormat/>
    <w:uiPriority w:val="0"/>
    <w:rPr>
      <w:rFonts w:hint="eastAsia"/>
    </w:rPr>
  </w:style>
  <w:style w:type="character" w:customStyle="1" w:styleId="162">
    <w:name w:val="WW8Num13z5"/>
    <w:qFormat/>
    <w:uiPriority w:val="0"/>
  </w:style>
  <w:style w:type="character" w:customStyle="1" w:styleId="163">
    <w:name w:val="HTML 预设格式 字符"/>
    <w:link w:val="41"/>
    <w:qFormat/>
    <w:uiPriority w:val="0"/>
    <w:rPr>
      <w:rFonts w:ascii="宋体" w:hAnsi="Courier New"/>
      <w:kern w:val="2"/>
      <w:sz w:val="21"/>
    </w:rPr>
  </w:style>
  <w:style w:type="character" w:customStyle="1" w:styleId="164">
    <w:name w:val="纯文本 字符"/>
    <w:aliases w:val="普通文字 Char 字符,纯文本 Char Char 字符,Texte 字符,小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Char Char Char Char Char Char Char Char Char Char Char Char 字符,Text 字符"/>
    <w:qFormat/>
    <w:uiPriority w:val="0"/>
    <w:rPr>
      <w:rFonts w:ascii="宋体" w:hAnsi="Courier New" w:eastAsia="宋体"/>
      <w:kern w:val="2"/>
      <w:sz w:val="21"/>
      <w:lang w:val="en-US" w:eastAsia="zh-CN" w:bidi="ar-SA"/>
    </w:rPr>
  </w:style>
  <w:style w:type="character" w:customStyle="1" w:styleId="165">
    <w:name w:val="正文缩进 Char1"/>
    <w:qFormat/>
    <w:uiPriority w:val="0"/>
    <w:rPr>
      <w:rFonts w:eastAsia="宋体"/>
      <w:kern w:val="2"/>
      <w:sz w:val="21"/>
      <w:lang w:val="en-US" w:eastAsia="zh-CN" w:bidi="ar-SA"/>
    </w:rPr>
  </w:style>
  <w:style w:type="character" w:customStyle="1" w:styleId="166">
    <w:name w:val="WW8Num5z0"/>
    <w:qFormat/>
    <w:uiPriority w:val="0"/>
    <w:rPr>
      <w:rFonts w:hint="default"/>
    </w:rPr>
  </w:style>
  <w:style w:type="character" w:customStyle="1" w:styleId="167">
    <w:name w:val="apple-converted-space"/>
    <w:basedOn w:val="48"/>
    <w:qFormat/>
    <w:uiPriority w:val="0"/>
  </w:style>
  <w:style w:type="character" w:customStyle="1" w:styleId="168">
    <w:name w:val="WW8Num13z6"/>
    <w:qFormat/>
    <w:uiPriority w:val="0"/>
  </w:style>
  <w:style w:type="character" w:customStyle="1" w:styleId="169">
    <w:name w:val="WW8Num12z3"/>
    <w:qFormat/>
    <w:uiPriority w:val="0"/>
  </w:style>
  <w:style w:type="character" w:customStyle="1" w:styleId="170">
    <w:name w:val="批注主题 字符"/>
    <w:qFormat/>
    <w:uiPriority w:val="0"/>
    <w:rPr>
      <w:b/>
      <w:bCs/>
      <w:kern w:val="2"/>
      <w:sz w:val="21"/>
      <w:szCs w:val="24"/>
    </w:rPr>
  </w:style>
  <w:style w:type="character" w:customStyle="1" w:styleId="171">
    <w:name w:val="sub"/>
    <w:qFormat/>
    <w:uiPriority w:val="0"/>
  </w:style>
  <w:style w:type="character" w:customStyle="1" w:styleId="172">
    <w:name w:val="Char Char9"/>
    <w:qFormat/>
    <w:uiPriority w:val="0"/>
    <w:rPr>
      <w:rFonts w:ascii="Arial" w:hAnsi="Arial" w:eastAsia="黑体" w:cs="Arial"/>
      <w:b/>
      <w:bCs/>
      <w:kern w:val="1"/>
      <w:sz w:val="32"/>
      <w:szCs w:val="32"/>
      <w:lang w:val="en-US" w:eastAsia="ar-SA" w:bidi="ar-SA"/>
    </w:rPr>
  </w:style>
  <w:style w:type="character" w:customStyle="1" w:styleId="173">
    <w:name w:val="WW8Num11z5"/>
    <w:qFormat/>
    <w:uiPriority w:val="0"/>
  </w:style>
  <w:style w:type="character" w:customStyle="1" w:styleId="174">
    <w:name w:val="p41"/>
    <w:qFormat/>
    <w:uiPriority w:val="0"/>
    <w:rPr>
      <w:sz w:val="21"/>
    </w:rPr>
  </w:style>
  <w:style w:type="character" w:customStyle="1" w:styleId="175">
    <w:name w:val="表正文 Char"/>
    <w:qFormat/>
    <w:uiPriority w:val="0"/>
    <w:rPr>
      <w:rFonts w:eastAsia="宋体"/>
      <w:kern w:val="2"/>
      <w:sz w:val="21"/>
      <w:lang w:val="en-US" w:eastAsia="zh-CN" w:bidi="ar-SA"/>
    </w:rPr>
  </w:style>
  <w:style w:type="character" w:customStyle="1" w:styleId="176">
    <w:name w:val="WW8Num8z6"/>
    <w:qFormat/>
    <w:uiPriority w:val="0"/>
  </w:style>
  <w:style w:type="character" w:customStyle="1" w:styleId="177">
    <w:name w:val="WW8Num16z7"/>
    <w:qFormat/>
    <w:uiPriority w:val="0"/>
  </w:style>
  <w:style w:type="character" w:customStyle="1" w:styleId="178">
    <w:name w:val="Char Char1"/>
    <w:qFormat/>
    <w:locked/>
    <w:uiPriority w:val="0"/>
    <w:rPr>
      <w:rFonts w:ascii="宋体" w:hAnsi="宋体" w:eastAsia="宋体"/>
      <w:kern w:val="2"/>
      <w:sz w:val="28"/>
      <w:szCs w:val="24"/>
      <w:lang w:val="en-US" w:eastAsia="zh-CN" w:bidi="ar-SA"/>
    </w:rPr>
  </w:style>
  <w:style w:type="character" w:customStyle="1" w:styleId="179">
    <w:name w:val="font31"/>
    <w:qFormat/>
    <w:uiPriority w:val="0"/>
    <w:rPr>
      <w:rFonts w:hint="default" w:ascii="等线" w:hAnsi="等线" w:eastAsia="等线" w:cs="等线"/>
      <w:color w:val="FF0000"/>
      <w:sz w:val="22"/>
      <w:szCs w:val="22"/>
      <w:u w:val="none"/>
    </w:rPr>
  </w:style>
  <w:style w:type="character" w:customStyle="1" w:styleId="180">
    <w:name w:val="Char Char101"/>
    <w:qFormat/>
    <w:uiPriority w:val="0"/>
    <w:rPr>
      <w:rFonts w:eastAsia="宋体"/>
      <w:b/>
      <w:bCs/>
      <w:kern w:val="1"/>
      <w:sz w:val="44"/>
      <w:szCs w:val="44"/>
      <w:lang w:val="en-US" w:eastAsia="ar-SA" w:bidi="ar-SA"/>
    </w:rPr>
  </w:style>
  <w:style w:type="character" w:customStyle="1" w:styleId="181">
    <w:name w:val="WW8Num8z7"/>
    <w:qFormat/>
    <w:uiPriority w:val="0"/>
  </w:style>
  <w:style w:type="character" w:customStyle="1" w:styleId="182">
    <w:name w:val="标准正文格式 Char Char"/>
    <w:link w:val="183"/>
    <w:qFormat/>
    <w:uiPriority w:val="0"/>
    <w:rPr>
      <w:rFonts w:ascii="宋体" w:eastAsia="仿宋_GB2312" w:cs="宋体"/>
      <w:color w:val="000000"/>
      <w:sz w:val="24"/>
    </w:rPr>
  </w:style>
  <w:style w:type="paragraph" w:customStyle="1" w:styleId="183">
    <w:name w:val="标准正文格式"/>
    <w:basedOn w:val="1"/>
    <w:link w:val="182"/>
    <w:qFormat/>
    <w:uiPriority w:val="0"/>
    <w:pPr>
      <w:widowControl/>
      <w:adjustRightInd w:val="0"/>
      <w:spacing w:before="60" w:after="120"/>
      <w:ind w:firstLine="200" w:firstLineChars="200"/>
      <w:textAlignment w:val="baseline"/>
    </w:pPr>
    <w:rPr>
      <w:rFonts w:ascii="宋体" w:eastAsia="仿宋_GB2312"/>
      <w:color w:val="000000"/>
      <w:kern w:val="0"/>
      <w:sz w:val="24"/>
    </w:rPr>
  </w:style>
  <w:style w:type="character" w:customStyle="1" w:styleId="184">
    <w:name w:val="Char Char11"/>
    <w:qFormat/>
    <w:uiPriority w:val="0"/>
    <w:rPr>
      <w:kern w:val="1"/>
      <w:sz w:val="21"/>
      <w:szCs w:val="24"/>
    </w:rPr>
  </w:style>
  <w:style w:type="character" w:customStyle="1" w:styleId="185">
    <w:name w:val="Char Char10"/>
    <w:qFormat/>
    <w:uiPriority w:val="0"/>
    <w:rPr>
      <w:rFonts w:eastAsia="宋体"/>
      <w:b/>
      <w:bCs/>
      <w:kern w:val="1"/>
      <w:sz w:val="44"/>
      <w:szCs w:val="44"/>
      <w:lang w:val="en-US" w:eastAsia="ar-SA" w:bidi="ar-SA"/>
    </w:rPr>
  </w:style>
  <w:style w:type="character" w:customStyle="1" w:styleId="186">
    <w:name w:val="纯文本 字符2"/>
    <w:link w:val="25"/>
    <w:qFormat/>
    <w:uiPriority w:val="99"/>
    <w:rPr>
      <w:rFonts w:ascii="宋体" w:hAnsi="Courier New" w:eastAsia="宋体"/>
      <w:kern w:val="2"/>
      <w:sz w:val="21"/>
      <w:lang w:val="en-US" w:eastAsia="zh-CN" w:bidi="ar-SA"/>
    </w:rPr>
  </w:style>
  <w:style w:type="character" w:customStyle="1" w:styleId="187">
    <w:name w:val="WW8Num11z0"/>
    <w:qFormat/>
    <w:uiPriority w:val="0"/>
    <w:rPr>
      <w:rFonts w:hint="default"/>
    </w:rPr>
  </w:style>
  <w:style w:type="character" w:customStyle="1" w:styleId="188">
    <w:name w:val="WW8Num16z2"/>
    <w:qFormat/>
    <w:uiPriority w:val="0"/>
  </w:style>
  <w:style w:type="character" w:customStyle="1" w:styleId="189">
    <w:name w:val="批注文字 字符1"/>
    <w:link w:val="16"/>
    <w:qFormat/>
    <w:uiPriority w:val="99"/>
    <w:rPr>
      <w:kern w:val="2"/>
      <w:sz w:val="21"/>
      <w:szCs w:val="24"/>
    </w:rPr>
  </w:style>
  <w:style w:type="character" w:customStyle="1" w:styleId="190">
    <w:name w:val="Char Char91"/>
    <w:qFormat/>
    <w:uiPriority w:val="0"/>
    <w:rPr>
      <w:rFonts w:ascii="Arial" w:hAnsi="Arial" w:eastAsia="黑体" w:cs="Arial"/>
      <w:b/>
      <w:bCs/>
      <w:kern w:val="1"/>
      <w:sz w:val="32"/>
      <w:szCs w:val="32"/>
      <w:lang w:val="en-US" w:eastAsia="ar-SA" w:bidi="ar-SA"/>
    </w:rPr>
  </w:style>
  <w:style w:type="character" w:customStyle="1" w:styleId="191">
    <w:name w:val="Char Char6"/>
    <w:qFormat/>
    <w:uiPriority w:val="0"/>
    <w:rPr>
      <w:rFonts w:ascii="Calibri" w:hAnsi="Calibri" w:eastAsia="宋体" w:cs="Calibri"/>
      <w:b/>
      <w:bCs/>
      <w:kern w:val="1"/>
      <w:sz w:val="28"/>
      <w:szCs w:val="28"/>
      <w:lang w:val="en-US" w:eastAsia="ar-SA" w:bidi="ar-SA"/>
    </w:rPr>
  </w:style>
  <w:style w:type="character" w:customStyle="1" w:styleId="192">
    <w:name w:val="font21"/>
    <w:qFormat/>
    <w:uiPriority w:val="0"/>
    <w:rPr>
      <w:rFonts w:hint="eastAsia" w:ascii="宋体" w:hAnsi="宋体" w:eastAsia="宋体" w:cs="宋体"/>
      <w:color w:val="FF0000"/>
      <w:sz w:val="20"/>
      <w:szCs w:val="20"/>
      <w:u w:val="none"/>
    </w:rPr>
  </w:style>
  <w:style w:type="character" w:customStyle="1" w:styleId="193">
    <w:name w:val="WW8Num5z3"/>
    <w:qFormat/>
    <w:uiPriority w:val="0"/>
  </w:style>
  <w:style w:type="character" w:customStyle="1" w:styleId="194">
    <w:name w:val="WW8Num4z4"/>
    <w:qFormat/>
    <w:uiPriority w:val="0"/>
  </w:style>
  <w:style w:type="character" w:customStyle="1" w:styleId="195">
    <w:name w:val="font01"/>
    <w:qFormat/>
    <w:uiPriority w:val="0"/>
    <w:rPr>
      <w:rFonts w:hint="default" w:ascii="Times New Roman" w:hAnsi="Times New Roman" w:cs="Times New Roman"/>
      <w:color w:val="000000"/>
      <w:sz w:val="24"/>
      <w:szCs w:val="24"/>
      <w:u w:val="none"/>
    </w:rPr>
  </w:style>
  <w:style w:type="character" w:customStyle="1" w:styleId="196">
    <w:name w:val="正文首行缩进 字符"/>
    <w:link w:val="45"/>
    <w:qFormat/>
    <w:uiPriority w:val="99"/>
    <w:rPr>
      <w:rFonts w:ascii="宋体" w:hAnsi="宋体" w:eastAsia="宋体"/>
      <w:kern w:val="2"/>
      <w:sz w:val="21"/>
      <w:lang w:val="en-US" w:eastAsia="zh-CN" w:bidi="ar-SA"/>
    </w:rPr>
  </w:style>
  <w:style w:type="character" w:customStyle="1" w:styleId="197">
    <w:name w:val="WW8Num11z4"/>
    <w:qFormat/>
    <w:uiPriority w:val="0"/>
  </w:style>
  <w:style w:type="character" w:customStyle="1" w:styleId="198">
    <w:name w:val="Char Char3"/>
    <w:qFormat/>
    <w:uiPriority w:val="0"/>
    <w:rPr>
      <w:rFonts w:ascii="Calibri Light" w:hAnsi="Calibri Light" w:eastAsia="宋体" w:cs="Calibri Light"/>
      <w:kern w:val="1"/>
      <w:sz w:val="24"/>
      <w:szCs w:val="24"/>
      <w:lang w:val="en-US" w:eastAsia="ar-SA" w:bidi="ar-SA"/>
    </w:rPr>
  </w:style>
  <w:style w:type="character" w:customStyle="1" w:styleId="199">
    <w:name w:val="标题 字符"/>
    <w:link w:val="43"/>
    <w:qFormat/>
    <w:uiPriority w:val="99"/>
    <w:rPr>
      <w:rFonts w:ascii="Cambria" w:hAnsi="Cambria" w:cs="Times New Roman"/>
      <w:b/>
      <w:bCs/>
      <w:kern w:val="2"/>
      <w:sz w:val="32"/>
      <w:szCs w:val="32"/>
    </w:rPr>
  </w:style>
  <w:style w:type="character" w:customStyle="1" w:styleId="200">
    <w:name w:val="font91"/>
    <w:qFormat/>
    <w:uiPriority w:val="0"/>
    <w:rPr>
      <w:rFonts w:hint="default" w:ascii="Times New Roman" w:hAnsi="Times New Roman" w:cs="Times New Roman"/>
      <w:color w:val="000000"/>
      <w:sz w:val="21"/>
      <w:szCs w:val="21"/>
      <w:u w:val="none"/>
    </w:rPr>
  </w:style>
  <w:style w:type="character" w:customStyle="1" w:styleId="201">
    <w:name w:val="WW8Num12z2"/>
    <w:qFormat/>
    <w:uiPriority w:val="0"/>
  </w:style>
  <w:style w:type="character" w:customStyle="1" w:styleId="202">
    <w:name w:val="纯文本 Char1"/>
    <w:aliases w:val="普通文字 Char Char1,纯文本 Char1 Char Char Char,纯文本 Char Char Char Char Char,纯文本 Char Char1 Char,纯文本 Char1 Char Char1,纯文本 Char Char Char Char1,普通文字 Char1,纯文本 Char Char Char1,纯文本 Char Char2,普通文字 Char Char Char1,普通文字1 Char,普通文字2 Char,普通文字3 Char,小 Char"/>
    <w:qFormat/>
    <w:uiPriority w:val="0"/>
    <w:rPr>
      <w:rFonts w:ascii="宋体" w:hAnsi="Courier New" w:eastAsia="宋体"/>
      <w:kern w:val="2"/>
      <w:sz w:val="21"/>
      <w:lang w:val="en-US" w:eastAsia="zh-CN" w:bidi="ar-SA"/>
    </w:rPr>
  </w:style>
  <w:style w:type="character" w:customStyle="1" w:styleId="203">
    <w:name w:val="WW8Num2z6"/>
    <w:qFormat/>
    <w:uiPriority w:val="0"/>
  </w:style>
  <w:style w:type="character" w:customStyle="1" w:styleId="204">
    <w:name w:val="正文缩进 字符"/>
    <w:link w:val="13"/>
    <w:qFormat/>
    <w:uiPriority w:val="0"/>
    <w:rPr>
      <w:rFonts w:ascii="宋体"/>
      <w:snapToGrid/>
      <w:color w:val="000000"/>
      <w:kern w:val="28"/>
      <w:sz w:val="28"/>
    </w:rPr>
  </w:style>
  <w:style w:type="character" w:customStyle="1" w:styleId="205">
    <w:name w:val="WW8Num13z7"/>
    <w:qFormat/>
    <w:uiPriority w:val="0"/>
  </w:style>
  <w:style w:type="character" w:customStyle="1" w:styleId="206">
    <w:name w:val="WW8Num2z3"/>
    <w:qFormat/>
    <w:uiPriority w:val="0"/>
  </w:style>
  <w:style w:type="character" w:customStyle="1" w:styleId="207">
    <w:name w:val="正文文本 3 字符"/>
    <w:link w:val="17"/>
    <w:qFormat/>
    <w:uiPriority w:val="99"/>
    <w:rPr>
      <w:rFonts w:ascii="宋体" w:hAnsi="宋体"/>
      <w:b/>
      <w:bCs/>
      <w:kern w:val="2"/>
      <w:sz w:val="36"/>
      <w:szCs w:val="32"/>
    </w:rPr>
  </w:style>
  <w:style w:type="character" w:customStyle="1" w:styleId="208">
    <w:name w:val="WW8Num16z0"/>
    <w:qFormat/>
    <w:uiPriority w:val="0"/>
    <w:rPr>
      <w:rFonts w:hint="eastAsia"/>
    </w:rPr>
  </w:style>
  <w:style w:type="character" w:customStyle="1" w:styleId="209">
    <w:name w:val="WW8Num9z6"/>
    <w:qFormat/>
    <w:uiPriority w:val="0"/>
  </w:style>
  <w:style w:type="character" w:customStyle="1" w:styleId="210">
    <w:name w:val="WW8Num13z4"/>
    <w:qFormat/>
    <w:uiPriority w:val="0"/>
  </w:style>
  <w:style w:type="character" w:customStyle="1" w:styleId="211">
    <w:name w:val="标题 Char2"/>
    <w:qFormat/>
    <w:uiPriority w:val="10"/>
    <w:rPr>
      <w:rFonts w:ascii="Calibri Light" w:hAnsi="Calibri Light"/>
      <w:b/>
      <w:bCs/>
      <w:kern w:val="2"/>
      <w:sz w:val="32"/>
      <w:szCs w:val="32"/>
    </w:rPr>
  </w:style>
  <w:style w:type="character" w:customStyle="1" w:styleId="212">
    <w:name w:val="WW8Num1z0"/>
    <w:qFormat/>
    <w:uiPriority w:val="0"/>
  </w:style>
  <w:style w:type="character" w:customStyle="1" w:styleId="213">
    <w:name w:val="WW8Num9z5"/>
    <w:qFormat/>
    <w:uiPriority w:val="0"/>
  </w:style>
  <w:style w:type="character" w:customStyle="1" w:styleId="214">
    <w:name w:val="WW8Num4z8"/>
    <w:qFormat/>
    <w:uiPriority w:val="0"/>
  </w:style>
  <w:style w:type="character" w:customStyle="1" w:styleId="215">
    <w:name w:val="批注文字 字符"/>
    <w:qFormat/>
    <w:uiPriority w:val="99"/>
    <w:rPr>
      <w:kern w:val="2"/>
      <w:sz w:val="21"/>
      <w:szCs w:val="24"/>
    </w:rPr>
  </w:style>
  <w:style w:type="character" w:customStyle="1" w:styleId="216">
    <w:name w:val="WW8Num8z2"/>
    <w:qFormat/>
    <w:uiPriority w:val="0"/>
  </w:style>
  <w:style w:type="character" w:customStyle="1" w:styleId="217">
    <w:name w:val="标题 8 字符"/>
    <w:link w:val="9"/>
    <w:qFormat/>
    <w:uiPriority w:val="99"/>
    <w:rPr>
      <w:sz w:val="24"/>
    </w:rPr>
  </w:style>
  <w:style w:type="character" w:customStyle="1" w:styleId="218">
    <w:name w:val="font51"/>
    <w:qFormat/>
    <w:uiPriority w:val="0"/>
    <w:rPr>
      <w:rFonts w:hint="eastAsia" w:ascii="宋体" w:hAnsi="宋体" w:eastAsia="宋体" w:cs="宋体"/>
      <w:color w:val="000000"/>
      <w:sz w:val="18"/>
      <w:szCs w:val="18"/>
      <w:u w:val="none"/>
    </w:rPr>
  </w:style>
  <w:style w:type="character" w:customStyle="1" w:styleId="219">
    <w:name w:val="WW8Num6z0"/>
    <w:qFormat/>
    <w:uiPriority w:val="0"/>
  </w:style>
  <w:style w:type="character" w:customStyle="1" w:styleId="220">
    <w:name w:val="WW8Num9z1"/>
    <w:qFormat/>
    <w:uiPriority w:val="0"/>
  </w:style>
  <w:style w:type="character" w:customStyle="1" w:styleId="221">
    <w:name w:val="WW8Num11z6"/>
    <w:qFormat/>
    <w:uiPriority w:val="0"/>
  </w:style>
  <w:style w:type="character" w:customStyle="1" w:styleId="222">
    <w:name w:val="标题 1 字符"/>
    <w:link w:val="2"/>
    <w:qFormat/>
    <w:uiPriority w:val="0"/>
    <w:rPr>
      <w:b/>
      <w:sz w:val="30"/>
    </w:rPr>
  </w:style>
  <w:style w:type="character" w:customStyle="1" w:styleId="223">
    <w:name w:val="WW8Num8z1"/>
    <w:qFormat/>
    <w:uiPriority w:val="0"/>
  </w:style>
  <w:style w:type="character" w:customStyle="1" w:styleId="224">
    <w:name w:val="WW8Num6z7"/>
    <w:qFormat/>
    <w:uiPriority w:val="0"/>
  </w:style>
  <w:style w:type="character" w:customStyle="1" w:styleId="225">
    <w:name w:val="WW8Num4z5"/>
    <w:qFormat/>
    <w:uiPriority w:val="0"/>
  </w:style>
  <w:style w:type="character" w:customStyle="1" w:styleId="226">
    <w:name w:val="标题 2 字符"/>
    <w:link w:val="3"/>
    <w:qFormat/>
    <w:uiPriority w:val="0"/>
    <w:rPr>
      <w:b/>
      <w:kern w:val="2"/>
      <w:sz w:val="21"/>
    </w:rPr>
  </w:style>
  <w:style w:type="character" w:customStyle="1" w:styleId="227">
    <w:name w:val="bookmark-item"/>
    <w:qFormat/>
    <w:uiPriority w:val="0"/>
  </w:style>
  <w:style w:type="character" w:customStyle="1" w:styleId="228">
    <w:name w:val="WW8Num13z3"/>
    <w:qFormat/>
    <w:uiPriority w:val="0"/>
  </w:style>
  <w:style w:type="character" w:customStyle="1" w:styleId="229">
    <w:name w:val="font11"/>
    <w:qFormat/>
    <w:uiPriority w:val="0"/>
    <w:rPr>
      <w:rFonts w:hint="eastAsia" w:ascii="宋体" w:hAnsi="宋体" w:eastAsia="宋体" w:cs="宋体"/>
      <w:color w:val="000000"/>
      <w:sz w:val="20"/>
      <w:szCs w:val="20"/>
      <w:u w:val="none"/>
    </w:rPr>
  </w:style>
  <w:style w:type="character" w:customStyle="1" w:styleId="230">
    <w:name w:val="页眉 字符"/>
    <w:link w:val="31"/>
    <w:qFormat/>
    <w:uiPriority w:val="99"/>
    <w:rPr>
      <w:kern w:val="2"/>
      <w:sz w:val="18"/>
    </w:rPr>
  </w:style>
  <w:style w:type="character" w:customStyle="1" w:styleId="231">
    <w:name w:val="正文文本缩进 2 字符"/>
    <w:link w:val="28"/>
    <w:uiPriority w:val="99"/>
    <w:rPr>
      <w:rFonts w:eastAsia="黑体"/>
      <w:b/>
      <w:bCs/>
      <w:kern w:val="2"/>
      <w:sz w:val="28"/>
    </w:rPr>
  </w:style>
  <w:style w:type="character" w:customStyle="1" w:styleId="232">
    <w:name w:val="Char Char8"/>
    <w:qFormat/>
    <w:uiPriority w:val="0"/>
    <w:rPr>
      <w:rFonts w:ascii="仿宋_GB2312" w:hAnsi="仿宋_GB2312" w:eastAsia="仿宋_GB2312" w:cs="宋体"/>
      <w:kern w:val="1"/>
      <w:sz w:val="30"/>
      <w:lang w:val="en-US" w:eastAsia="ar-SA" w:bidi="ar-SA"/>
    </w:rPr>
  </w:style>
  <w:style w:type="character" w:customStyle="1" w:styleId="233">
    <w:name w:val="Char Char7"/>
    <w:qFormat/>
    <w:uiPriority w:val="0"/>
    <w:rPr>
      <w:rFonts w:ascii="Calibri Light" w:hAnsi="Calibri Light" w:eastAsia="宋体" w:cs="Calibri Light"/>
      <w:b/>
      <w:bCs/>
      <w:kern w:val="1"/>
      <w:sz w:val="28"/>
      <w:szCs w:val="28"/>
      <w:lang w:val="en-US" w:eastAsia="ar-SA" w:bidi="ar-SA"/>
    </w:rPr>
  </w:style>
  <w:style w:type="character" w:customStyle="1" w:styleId="234">
    <w:name w:val="标题 Char1"/>
    <w:qFormat/>
    <w:uiPriority w:val="0"/>
    <w:rPr>
      <w:rFonts w:ascii="Cambria" w:hAnsi="Cambria" w:cs="Times New Roman"/>
      <w:b/>
      <w:bCs/>
      <w:kern w:val="2"/>
      <w:sz w:val="32"/>
      <w:szCs w:val="32"/>
    </w:rPr>
  </w:style>
  <w:style w:type="character" w:customStyle="1" w:styleId="235">
    <w:name w:val="WW8Num2z5"/>
    <w:qFormat/>
    <w:uiPriority w:val="0"/>
  </w:style>
  <w:style w:type="character" w:customStyle="1" w:styleId="236">
    <w:name w:val="WW8Num8z4"/>
    <w:qFormat/>
    <w:uiPriority w:val="0"/>
  </w:style>
  <w:style w:type="character" w:customStyle="1" w:styleId="237">
    <w:name w:val="正文文本缩进 字符"/>
    <w:aliases w:val="正文文字首行缩进 字符,正文小标题 字符,（较稀疏） 字符,正文内容 字符"/>
    <w:qFormat/>
    <w:uiPriority w:val="0"/>
    <w:rPr>
      <w:rFonts w:ascii="宋体" w:hAnsi="Courier New"/>
      <w:spacing w:val="-4"/>
      <w:kern w:val="2"/>
      <w:sz w:val="18"/>
    </w:rPr>
  </w:style>
  <w:style w:type="character" w:customStyle="1" w:styleId="238">
    <w:name w:val="WW8Num8z8"/>
    <w:qFormat/>
    <w:uiPriority w:val="0"/>
  </w:style>
  <w:style w:type="character" w:customStyle="1" w:styleId="239">
    <w:name w:val="WW8Num9z2"/>
    <w:qFormat/>
    <w:uiPriority w:val="0"/>
  </w:style>
  <w:style w:type="character" w:customStyle="1" w:styleId="240">
    <w:name w:val="样式1 Char Char"/>
    <w:link w:val="241"/>
    <w:qFormat/>
    <w:uiPriority w:val="0"/>
    <w:rPr>
      <w:rFonts w:ascii="Arial" w:hAnsi="Arial"/>
      <w:kern w:val="2"/>
      <w:sz w:val="21"/>
      <w:szCs w:val="24"/>
    </w:rPr>
  </w:style>
  <w:style w:type="paragraph" w:customStyle="1" w:styleId="241">
    <w:name w:val="样式1"/>
    <w:basedOn w:val="1"/>
    <w:link w:val="240"/>
    <w:qFormat/>
    <w:uiPriority w:val="0"/>
    <w:pPr>
      <w:spacing w:line="360" w:lineRule="exact"/>
      <w:ind w:firstLine="200" w:firstLineChars="200"/>
    </w:pPr>
    <w:rPr>
      <w:rFonts w:ascii="Arial" w:hAnsi="Arial"/>
      <w:szCs w:val="24"/>
    </w:rPr>
  </w:style>
  <w:style w:type="character" w:customStyle="1" w:styleId="242">
    <w:name w:val="WW8Num9z3"/>
    <w:qFormat/>
    <w:uiPriority w:val="0"/>
  </w:style>
  <w:style w:type="character" w:customStyle="1" w:styleId="243">
    <w:name w:val="WW8Num16z4"/>
    <w:qFormat/>
    <w:uiPriority w:val="0"/>
  </w:style>
  <w:style w:type="character" w:customStyle="1" w:styleId="244">
    <w:name w:val="标书正文 Char Char"/>
    <w:link w:val="245"/>
    <w:qFormat/>
    <w:uiPriority w:val="0"/>
    <w:rPr>
      <w:color w:val="000000"/>
      <w:kern w:val="2"/>
      <w:sz w:val="24"/>
    </w:rPr>
  </w:style>
  <w:style w:type="paragraph" w:customStyle="1" w:styleId="245">
    <w:name w:val="标书正文"/>
    <w:basedOn w:val="1"/>
    <w:link w:val="244"/>
    <w:qFormat/>
    <w:uiPriority w:val="0"/>
    <w:pPr>
      <w:ind w:firstLine="200" w:firstLineChars="200"/>
      <w:jc w:val="left"/>
    </w:pPr>
    <w:rPr>
      <w:color w:val="000000"/>
      <w:sz w:val="24"/>
    </w:rPr>
  </w:style>
  <w:style w:type="character" w:customStyle="1" w:styleId="246">
    <w:name w:val="WW8Num16z8"/>
    <w:qFormat/>
    <w:uiPriority w:val="0"/>
  </w:style>
  <w:style w:type="character" w:customStyle="1" w:styleId="247">
    <w:name w:val="WW8Num5z7"/>
    <w:qFormat/>
    <w:uiPriority w:val="0"/>
  </w:style>
  <w:style w:type="character" w:customStyle="1" w:styleId="248">
    <w:name w:val="副标题 字符"/>
    <w:link w:val="34"/>
    <w:qFormat/>
    <w:uiPriority w:val="99"/>
    <w:rPr>
      <w:rFonts w:ascii="Cambria" w:hAnsi="Cambria"/>
      <w:b/>
      <w:bCs/>
      <w:kern w:val="28"/>
      <w:sz w:val="32"/>
      <w:szCs w:val="32"/>
    </w:rPr>
  </w:style>
  <w:style w:type="character" w:customStyle="1" w:styleId="249">
    <w:name w:val="WW8Num4z2"/>
    <w:qFormat/>
    <w:uiPriority w:val="0"/>
  </w:style>
  <w:style w:type="character" w:customStyle="1" w:styleId="250">
    <w:name w:val="标题 7 字符"/>
    <w:link w:val="8"/>
    <w:qFormat/>
    <w:uiPriority w:val="99"/>
    <w:rPr>
      <w:sz w:val="24"/>
    </w:rPr>
  </w:style>
  <w:style w:type="character" w:customStyle="1" w:styleId="251">
    <w:name w:val="Char Char71"/>
    <w:qFormat/>
    <w:uiPriority w:val="0"/>
    <w:rPr>
      <w:rFonts w:ascii="Calibri Light" w:hAnsi="Calibri Light" w:eastAsia="宋体" w:cs="Calibri Light"/>
      <w:b/>
      <w:bCs/>
      <w:kern w:val="1"/>
      <w:sz w:val="28"/>
      <w:szCs w:val="28"/>
      <w:lang w:val="en-US" w:eastAsia="ar-SA" w:bidi="ar-SA"/>
    </w:rPr>
  </w:style>
  <w:style w:type="character" w:customStyle="1" w:styleId="252">
    <w:name w:val="WW8Num12z1"/>
    <w:qFormat/>
    <w:uiPriority w:val="0"/>
  </w:style>
  <w:style w:type="character" w:customStyle="1" w:styleId="253">
    <w:name w:val="WW8Num12z6"/>
    <w:qFormat/>
    <w:uiPriority w:val="0"/>
  </w:style>
  <w:style w:type="paragraph" w:customStyle="1" w:styleId="254">
    <w:name w:val="Char Char7 Char2"/>
    <w:basedOn w:val="1"/>
    <w:qFormat/>
    <w:uiPriority w:val="99"/>
    <w:pPr>
      <w:tabs>
        <w:tab w:val="left" w:pos="425"/>
      </w:tabs>
      <w:ind w:left="420" w:leftChars="200" w:firstLine="270" w:firstLineChars="150"/>
    </w:pPr>
    <w:rPr>
      <w:szCs w:val="24"/>
    </w:rPr>
  </w:style>
  <w:style w:type="paragraph" w:customStyle="1" w:styleId="255">
    <w:name w:val="字元 字元11"/>
    <w:basedOn w:val="1"/>
    <w:qFormat/>
    <w:uiPriority w:val="99"/>
    <w:pPr>
      <w:widowControl/>
      <w:spacing w:after="160" w:line="240" w:lineRule="exact"/>
      <w:jc w:val="left"/>
    </w:pPr>
    <w:rPr>
      <w:rFonts w:ascii="Times New Roman" w:hAnsi="Times New Roman"/>
      <w:sz w:val="28"/>
    </w:rPr>
  </w:style>
  <w:style w:type="paragraph" w:customStyle="1" w:styleId="256">
    <w:name w:val="默认段落字体 Para Char Char Char Char"/>
    <w:basedOn w:val="1"/>
    <w:qFormat/>
    <w:uiPriority w:val="99"/>
    <w:rPr>
      <w:rFonts w:ascii="Arial" w:hAnsi="Arial" w:cs="Arial"/>
      <w:szCs w:val="21"/>
    </w:rPr>
  </w:style>
  <w:style w:type="paragraph" w:customStyle="1" w:styleId="257">
    <w:name w:val="Char Char Char Char Char Char"/>
    <w:basedOn w:val="1"/>
    <w:uiPriority w:val="0"/>
    <w:pPr>
      <w:widowControl/>
      <w:spacing w:after="160" w:line="240" w:lineRule="exact"/>
      <w:jc w:val="left"/>
    </w:pPr>
    <w:rPr>
      <w:kern w:val="0"/>
    </w:rPr>
  </w:style>
  <w:style w:type="paragraph" w:customStyle="1" w:styleId="258">
    <w:name w:val="Char"/>
    <w:basedOn w:val="1"/>
    <w:qFormat/>
    <w:uiPriority w:val="0"/>
    <w:pPr>
      <w:tabs>
        <w:tab w:val="left" w:pos="360"/>
      </w:tabs>
    </w:pPr>
    <w:rPr>
      <w:sz w:val="24"/>
      <w:szCs w:val="24"/>
    </w:rPr>
  </w:style>
  <w:style w:type="paragraph" w:customStyle="1" w:styleId="259">
    <w:name w:val="WPS Plain"/>
    <w:qFormat/>
    <w:uiPriority w:val="99"/>
    <w:rPr>
      <w:lang w:val="en-US" w:eastAsia="zh-CN" w:bidi="ar-SA"/>
    </w:rPr>
  </w:style>
  <w:style w:type="paragraph" w:customStyle="1" w:styleId="260">
    <w:name w:val="目录"/>
    <w:basedOn w:val="32"/>
    <w:qFormat/>
    <w:uiPriority w:val="99"/>
    <w:pPr>
      <w:tabs>
        <w:tab w:val="right" w:leader="dot" w:pos="7937"/>
      </w:tabs>
      <w:adjustRightInd w:val="0"/>
      <w:spacing w:before="120" w:after="120"/>
      <w:jc w:val="center"/>
      <w:textAlignment w:val="baseline"/>
    </w:pPr>
    <w:rPr>
      <w:rFonts w:ascii="宋体" w:eastAsia="黑体"/>
      <w:b/>
      <w:caps/>
      <w:kern w:val="0"/>
      <w:sz w:val="30"/>
      <w:szCs w:val="20"/>
    </w:rPr>
  </w:style>
  <w:style w:type="paragraph" w:customStyle="1" w:styleId="261">
    <w:name w:val="列出段落121"/>
    <w:basedOn w:val="1"/>
    <w:qFormat/>
    <w:uiPriority w:val="34"/>
    <w:pPr>
      <w:widowControl/>
      <w:spacing w:after="200" w:line="276" w:lineRule="auto"/>
      <w:ind w:left="720"/>
      <w:contextualSpacing/>
      <w:jc w:val="left"/>
    </w:pPr>
    <w:rPr>
      <w:kern w:val="0"/>
      <w:sz w:val="22"/>
      <w:lang w:val="tr-TR" w:eastAsia="en-US"/>
    </w:rPr>
  </w:style>
  <w:style w:type="paragraph" w:customStyle="1" w:styleId="262">
    <w:name w:val="Char1"/>
    <w:basedOn w:val="1"/>
    <w:qFormat/>
    <w:uiPriority w:val="99"/>
    <w:rPr>
      <w:szCs w:val="24"/>
    </w:rPr>
  </w:style>
  <w:style w:type="paragraph" w:customStyle="1" w:styleId="263">
    <w:name w:val="TOC 标题2"/>
    <w:basedOn w:val="2"/>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264">
    <w:name w:val="p19"/>
    <w:basedOn w:val="1"/>
    <w:qFormat/>
    <w:uiPriority w:val="99"/>
    <w:pPr>
      <w:widowControl/>
      <w:spacing w:line="300" w:lineRule="auto"/>
      <w:jc w:val="left"/>
    </w:pPr>
    <w:rPr>
      <w:rFonts w:ascii="Arial" w:hAnsi="Arial" w:cs="Arial"/>
      <w:kern w:val="0"/>
      <w:szCs w:val="21"/>
    </w:rPr>
  </w:style>
  <w:style w:type="paragraph" w:customStyle="1" w:styleId="265">
    <w:name w:val="彩色列表 - 强调文字颜色 11"/>
    <w:basedOn w:val="1"/>
    <w:qFormat/>
    <w:uiPriority w:val="34"/>
    <w:pPr>
      <w:ind w:firstLine="420" w:firstLineChars="200"/>
    </w:pPr>
    <w:rPr>
      <w:szCs w:val="22"/>
    </w:rPr>
  </w:style>
  <w:style w:type="paragraph" w:customStyle="1" w:styleId="266">
    <w:name w:val="Char Char1211"/>
    <w:basedOn w:val="1"/>
    <w:qFormat/>
    <w:uiPriority w:val="0"/>
    <w:pPr>
      <w:spacing w:line="240" w:lineRule="auto"/>
    </w:pPr>
    <w:rPr>
      <w:szCs w:val="21"/>
    </w:rPr>
  </w:style>
  <w:style w:type="paragraph" w:customStyle="1" w:styleId="267">
    <w:name w:val="Char2"/>
    <w:basedOn w:val="1"/>
    <w:qFormat/>
    <w:uiPriority w:val="99"/>
    <w:pPr>
      <w:tabs>
        <w:tab w:val="left" w:pos="1788"/>
      </w:tabs>
      <w:ind w:left="1788" w:hanging="1125"/>
    </w:pPr>
    <w:rPr>
      <w:sz w:val="24"/>
      <w:szCs w:val="24"/>
    </w:rPr>
  </w:style>
  <w:style w:type="paragraph" w:customStyle="1" w:styleId="268">
    <w:name w:val="正文1"/>
    <w:uiPriority w:val="0"/>
    <w:pPr>
      <w:widowControl w:val="0"/>
      <w:jc w:val="both"/>
    </w:pPr>
    <w:rPr>
      <w:rFonts w:hint="eastAsia"/>
      <w:kern w:val="2"/>
      <w:sz w:val="21"/>
      <w:lang w:val="en-US" w:eastAsia="zh-CN" w:bidi="ar-SA"/>
    </w:rPr>
  </w:style>
  <w:style w:type="paragraph" w:customStyle="1" w:styleId="269">
    <w:name w:val="表头文本"/>
    <w:basedOn w:val="1"/>
    <w:qFormat/>
    <w:uiPriority w:val="99"/>
    <w:pPr>
      <w:autoSpaceDE w:val="0"/>
      <w:autoSpaceDN w:val="0"/>
      <w:adjustRightInd w:val="0"/>
      <w:jc w:val="center"/>
    </w:pPr>
    <w:rPr>
      <w:b/>
      <w:kern w:val="0"/>
      <w:sz w:val="24"/>
    </w:rPr>
  </w:style>
  <w:style w:type="paragraph" w:customStyle="1" w:styleId="270">
    <w:name w:val="Char Char Char Char Char Char1"/>
    <w:basedOn w:val="1"/>
    <w:qFormat/>
    <w:uiPriority w:val="99"/>
    <w:pPr>
      <w:widowControl/>
      <w:spacing w:after="160" w:line="240" w:lineRule="exact"/>
      <w:jc w:val="left"/>
    </w:pPr>
    <w:rPr>
      <w:kern w:val="0"/>
    </w:rPr>
  </w:style>
  <w:style w:type="paragraph" w:customStyle="1" w:styleId="271">
    <w:name w:val="列出段落1"/>
    <w:basedOn w:val="1"/>
    <w:qFormat/>
    <w:uiPriority w:val="34"/>
    <w:pPr>
      <w:ind w:firstLine="420" w:firstLineChars="200"/>
    </w:pPr>
    <w:rPr>
      <w:szCs w:val="24"/>
    </w:rPr>
  </w:style>
  <w:style w:type="paragraph" w:customStyle="1" w:styleId="272">
    <w:name w:val="无间隔1"/>
    <w:basedOn w:val="1"/>
    <w:qFormat/>
    <w:uiPriority w:val="99"/>
    <w:rPr>
      <w:rFonts w:ascii="等线" w:hAnsi="等线" w:eastAsia="等线"/>
      <w:szCs w:val="21"/>
    </w:rPr>
  </w:style>
  <w:style w:type="paragraph" w:customStyle="1" w:styleId="273">
    <w:name w:val="列出段落11"/>
    <w:basedOn w:val="1"/>
    <w:qFormat/>
    <w:uiPriority w:val="99"/>
    <w:pPr>
      <w:widowControl/>
      <w:spacing w:after="200" w:line="276" w:lineRule="auto"/>
      <w:ind w:left="720"/>
      <w:contextualSpacing/>
      <w:jc w:val="left"/>
    </w:pPr>
    <w:rPr>
      <w:kern w:val="0"/>
      <w:sz w:val="22"/>
      <w:lang w:val="tr-TR" w:eastAsia="en-US"/>
    </w:rPr>
  </w:style>
  <w:style w:type="paragraph" w:customStyle="1" w:styleId="274">
    <w:name w:val="默认段落字体 Para Char"/>
    <w:basedOn w:val="1"/>
    <w:qFormat/>
    <w:uiPriority w:val="99"/>
    <w:pPr>
      <w:adjustRightInd w:val="0"/>
    </w:pPr>
    <w:rPr>
      <w:kern w:val="0"/>
      <w:sz w:val="24"/>
    </w:rPr>
  </w:style>
  <w:style w:type="paragraph" w:customStyle="1" w:styleId="275">
    <w:name w:val="TOC 标题1"/>
    <w:basedOn w:val="2"/>
    <w:next w:val="1"/>
    <w:unhideWhenUsed/>
    <w:qFormat/>
    <w:uiPriority w:val="39"/>
    <w:pPr>
      <w:keepNext/>
      <w:keepLines/>
      <w:widowControl/>
      <w:adjustRightInd/>
      <w:spacing w:before="480" w:line="276" w:lineRule="auto"/>
      <w:jc w:val="left"/>
      <w:textAlignment w:val="auto"/>
      <w:outlineLvl w:val="9"/>
    </w:pPr>
    <w:rPr>
      <w:rFonts w:ascii="等线 Light" w:hAnsi="等线 Light" w:eastAsia="等线 Light"/>
      <w:bCs/>
      <w:color w:val="2F5496"/>
      <w:sz w:val="28"/>
      <w:szCs w:val="28"/>
    </w:rPr>
  </w:style>
  <w:style w:type="paragraph" w:customStyle="1" w:styleId="276">
    <w:name w:val="Char Char Char Char Char Char Char"/>
    <w:basedOn w:val="1"/>
    <w:uiPriority w:val="0"/>
    <w:rPr>
      <w:szCs w:val="21"/>
    </w:rPr>
  </w:style>
  <w:style w:type="paragraph" w:customStyle="1" w:styleId="277">
    <w:name w:val="正文2"/>
    <w:basedOn w:val="1"/>
    <w:qFormat/>
    <w:uiPriority w:val="99"/>
    <w:pPr>
      <w:spacing w:before="156"/>
      <w:ind w:firstLine="510" w:firstLineChars="200"/>
    </w:pPr>
    <w:rPr>
      <w:sz w:val="24"/>
    </w:rPr>
  </w:style>
  <w:style w:type="paragraph" w:customStyle="1" w:styleId="278">
    <w:name w:val="Char Char Char Char Char Char Char Char Char Char Char Char Char1"/>
    <w:basedOn w:val="1"/>
    <w:qFormat/>
    <w:uiPriority w:val="99"/>
    <w:pPr>
      <w:tabs>
        <w:tab w:val="left" w:pos="432"/>
      </w:tabs>
      <w:ind w:left="432" w:hanging="432"/>
    </w:pPr>
    <w:rPr>
      <w:rFonts w:ascii="Tahoma" w:hAnsi="Tahoma"/>
      <w:sz w:val="24"/>
    </w:rPr>
  </w:style>
  <w:style w:type="paragraph" w:customStyle="1" w:styleId="279">
    <w:name w:val="Char Char7 Char"/>
    <w:basedOn w:val="1"/>
    <w:uiPriority w:val="0"/>
    <w:pPr>
      <w:tabs>
        <w:tab w:val="left" w:pos="425"/>
      </w:tabs>
      <w:ind w:left="420" w:leftChars="200" w:firstLine="270" w:firstLineChars="150"/>
    </w:pPr>
    <w:rPr>
      <w:szCs w:val="24"/>
    </w:rPr>
  </w:style>
  <w:style w:type="paragraph" w:customStyle="1" w:styleId="280">
    <w:name w:val="Char Char12"/>
    <w:basedOn w:val="1"/>
    <w:qFormat/>
    <w:uiPriority w:val="0"/>
    <w:pPr>
      <w:spacing w:line="240" w:lineRule="auto"/>
    </w:pPr>
    <w:rPr>
      <w:szCs w:val="21"/>
    </w:rPr>
  </w:style>
  <w:style w:type="paragraph" w:customStyle="1" w:styleId="281">
    <w:name w:val="--规划正文"/>
    <w:basedOn w:val="1"/>
    <w:qFormat/>
    <w:uiPriority w:val="99"/>
    <w:pPr>
      <w:widowControl/>
      <w:suppressAutoHyphens/>
      <w:ind w:firstLine="200"/>
      <w:jc w:val="left"/>
    </w:pPr>
    <w:rPr>
      <w:kern w:val="1"/>
      <w:lang w:eastAsia="ar-SA"/>
    </w:rPr>
  </w:style>
  <w:style w:type="paragraph" w:customStyle="1" w:styleId="282">
    <w:name w:val="Char Char Char Char Char Char21"/>
    <w:basedOn w:val="1"/>
    <w:qFormat/>
    <w:uiPriority w:val="0"/>
    <w:pPr>
      <w:ind w:firstLine="200" w:firstLineChars="200"/>
    </w:pPr>
    <w:rPr>
      <w:rFonts w:ascii="Tahoma" w:hAnsi="Tahoma" w:cs="Tahoma"/>
      <w:sz w:val="24"/>
      <w:szCs w:val="24"/>
    </w:rPr>
  </w:style>
  <w:style w:type="paragraph" w:customStyle="1" w:styleId="283">
    <w:name w:val="默认段落字体 Para Char Char Char Char Char Char Char Char Char1 Char Char Char Char"/>
    <w:basedOn w:val="1"/>
    <w:qFormat/>
    <w:uiPriority w:val="99"/>
    <w:rPr>
      <w:rFonts w:ascii="Tahoma" w:hAnsi="Tahoma"/>
      <w:sz w:val="24"/>
    </w:rPr>
  </w:style>
  <w:style w:type="paragraph" w:customStyle="1" w:styleId="284">
    <w:name w:val="Char Char Char1 Char Char Char Char"/>
    <w:basedOn w:val="1"/>
    <w:uiPriority w:val="0"/>
    <w:pPr>
      <w:widowControl/>
      <w:spacing w:after="160" w:line="240" w:lineRule="exact"/>
      <w:jc w:val="left"/>
    </w:pPr>
    <w:rPr>
      <w:szCs w:val="24"/>
    </w:rPr>
  </w:style>
  <w:style w:type="paragraph" w:customStyle="1" w:styleId="285">
    <w:name w:val="1 Char Char Char Char"/>
    <w:basedOn w:val="1"/>
    <w:qFormat/>
    <w:uiPriority w:val="99"/>
    <w:rPr>
      <w:rFonts w:ascii="Tahoma" w:hAnsi="Tahoma"/>
      <w:sz w:val="24"/>
    </w:rPr>
  </w:style>
  <w:style w:type="paragraph" w:customStyle="1" w:styleId="286">
    <w:name w:val="_Style 18"/>
    <w:basedOn w:val="1"/>
    <w:qFormat/>
    <w:uiPriority w:val="34"/>
    <w:pPr>
      <w:ind w:firstLine="420" w:firstLineChars="200"/>
    </w:pPr>
  </w:style>
  <w:style w:type="paragraph" w:customStyle="1" w:styleId="287">
    <w:name w:val="Char3"/>
    <w:basedOn w:val="1"/>
    <w:qFormat/>
    <w:uiPriority w:val="99"/>
    <w:pPr>
      <w:tabs>
        <w:tab w:val="left" w:pos="360"/>
      </w:tabs>
    </w:pPr>
    <w:rPr>
      <w:sz w:val="24"/>
      <w:szCs w:val="24"/>
    </w:rPr>
  </w:style>
  <w:style w:type="paragraph" w:customStyle="1" w:styleId="288">
    <w:name w:val="无间隔2"/>
    <w:qFormat/>
    <w:uiPriority w:val="99"/>
    <w:rPr>
      <w:sz w:val="22"/>
      <w:szCs w:val="22"/>
      <w:lang w:val="en-US" w:eastAsia="zh-CN" w:bidi="ar-SA"/>
    </w:rPr>
  </w:style>
  <w:style w:type="paragraph" w:styleId="289">
    <w:name w:val="No Spacing"/>
    <w:qFormat/>
    <w:uiPriority w:val="1"/>
    <w:pPr>
      <w:widowControl w:val="0"/>
      <w:spacing w:line="360" w:lineRule="auto"/>
      <w:jc w:val="both"/>
    </w:pPr>
    <w:rPr>
      <w:rFonts w:ascii="宋体" w:hAnsi="宋体"/>
      <w:kern w:val="2"/>
      <w:sz w:val="21"/>
      <w:szCs w:val="21"/>
      <w:lang w:val="en-US" w:eastAsia="zh-CN" w:bidi="ar-SA"/>
    </w:rPr>
  </w:style>
  <w:style w:type="paragraph" w:customStyle="1" w:styleId="290">
    <w:name w:val="表内文字"/>
    <w:basedOn w:val="1"/>
    <w:qFormat/>
    <w:uiPriority w:val="99"/>
    <w:pPr>
      <w:tabs>
        <w:tab w:val="left" w:pos="1418"/>
      </w:tabs>
      <w:jc w:val="center"/>
    </w:pPr>
    <w:rPr>
      <w:rFonts w:ascii="仿宋_GB2312" w:eastAsia="仿宋_GB2312"/>
      <w:spacing w:val="-20"/>
      <w:kern w:val="0"/>
      <w:sz w:val="24"/>
      <w:szCs w:val="24"/>
    </w:rPr>
  </w:style>
  <w:style w:type="paragraph" w:customStyle="1" w:styleId="29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92">
    <w:name w:val="Char Char Char1 Char Char Char Char11"/>
    <w:basedOn w:val="1"/>
    <w:qFormat/>
    <w:uiPriority w:val="0"/>
    <w:pPr>
      <w:widowControl/>
      <w:spacing w:after="160" w:line="240" w:lineRule="exact"/>
      <w:jc w:val="left"/>
    </w:pPr>
    <w:rPr>
      <w:szCs w:val="24"/>
    </w:rPr>
  </w:style>
  <w:style w:type="paragraph" w:customStyle="1" w:styleId="293">
    <w:name w:val="_Style 112"/>
    <w:uiPriority w:val="99"/>
    <w:pPr>
      <w:widowControl w:val="0"/>
      <w:spacing w:line="360" w:lineRule="auto"/>
      <w:jc w:val="both"/>
    </w:pPr>
    <w:rPr>
      <w:kern w:val="2"/>
      <w:sz w:val="21"/>
      <w:lang w:val="en-US" w:eastAsia="zh-CN" w:bidi="ar-SA"/>
    </w:rPr>
  </w:style>
  <w:style w:type="paragraph" w:styleId="294">
    <w:name w:val=""/>
    <w:basedOn w:val="2"/>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295">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296">
    <w:name w:val="Char41"/>
    <w:basedOn w:val="2"/>
    <w:qFormat/>
    <w:uiPriority w:val="0"/>
    <w:pPr>
      <w:keepNext/>
      <w:keepLines/>
      <w:snapToGrid w:val="0"/>
      <w:spacing w:before="240" w:after="240" w:line="348" w:lineRule="auto"/>
      <w:textAlignment w:val="auto"/>
    </w:pPr>
    <w:rPr>
      <w:bCs/>
      <w:kern w:val="44"/>
      <w:sz w:val="32"/>
      <w:szCs w:val="44"/>
    </w:rPr>
  </w:style>
  <w:style w:type="paragraph" w:customStyle="1" w:styleId="297">
    <w:name w:val="纯文本2"/>
    <w:basedOn w:val="1"/>
    <w:qFormat/>
    <w:uiPriority w:val="0"/>
    <w:pPr>
      <w:adjustRightInd w:val="0"/>
      <w:textAlignment w:val="baseline"/>
    </w:pPr>
    <w:rPr>
      <w:rFonts w:ascii="宋体" w:hAnsi="Courier New" w:eastAsia="楷体_GB2312"/>
      <w:sz w:val="26"/>
    </w:rPr>
  </w:style>
  <w:style w:type="paragraph" w:customStyle="1" w:styleId="298">
    <w:name w:val="Char Char Char Char Char Char Char1"/>
    <w:basedOn w:val="1"/>
    <w:qFormat/>
    <w:uiPriority w:val="99"/>
    <w:pPr>
      <w:tabs>
        <w:tab w:val="left" w:pos="432"/>
      </w:tabs>
      <w:suppressAutoHyphens/>
      <w:spacing w:line="240" w:lineRule="auto"/>
      <w:ind w:left="432" w:hanging="432"/>
      <w:jc w:val="center"/>
    </w:pPr>
    <w:rPr>
      <w:rFonts w:ascii="Times New Roman" w:hAnsi="Times New Roman"/>
      <w:kern w:val="1"/>
      <w:szCs w:val="24"/>
      <w:lang w:eastAsia="ar-SA"/>
    </w:rPr>
  </w:style>
  <w:style w:type="paragraph" w:customStyle="1" w:styleId="299">
    <w:name w:val="*正文"/>
    <w:basedOn w:val="1"/>
    <w:qFormat/>
    <w:uiPriority w:val="99"/>
    <w:pPr>
      <w:ind w:firstLine="480" w:firstLineChars="200"/>
    </w:pPr>
    <w:rPr>
      <w:rFonts w:cs="仿宋_GB2312"/>
      <w:sz w:val="24"/>
      <w:szCs w:val="24"/>
    </w:rPr>
  </w:style>
  <w:style w:type="paragraph" w:customStyle="1" w:styleId="300">
    <w:name w:val="_Style 204"/>
    <w:qFormat/>
    <w:uiPriority w:val="99"/>
    <w:pPr>
      <w:widowControl w:val="0"/>
      <w:spacing w:line="360" w:lineRule="auto"/>
      <w:jc w:val="both"/>
    </w:pPr>
    <w:rPr>
      <w:kern w:val="2"/>
      <w:sz w:val="21"/>
      <w:lang w:val="en-US" w:eastAsia="zh-CN" w:bidi="ar-SA"/>
    </w:rPr>
  </w:style>
  <w:style w:type="paragraph" w:customStyle="1" w:styleId="301">
    <w:name w:val="表格标题"/>
    <w:basedOn w:val="302"/>
    <w:qFormat/>
    <w:uiPriority w:val="99"/>
    <w:pPr>
      <w:adjustRightInd/>
      <w:spacing w:line="240" w:lineRule="auto"/>
      <w:jc w:val="center"/>
      <w:textAlignment w:val="auto"/>
    </w:pPr>
    <w:rPr>
      <w:rFonts w:ascii="Times New Roman" w:hAnsi="Times New Roman"/>
      <w:b/>
      <w:bCs/>
      <w:szCs w:val="24"/>
    </w:rPr>
  </w:style>
  <w:style w:type="paragraph" w:customStyle="1" w:styleId="302">
    <w:name w:val="表格内容"/>
    <w:basedOn w:val="18"/>
    <w:qFormat/>
    <w:uiPriority w:val="99"/>
    <w:pPr>
      <w:suppressLineNumbers/>
      <w:suppressAutoHyphens/>
    </w:pPr>
    <w:rPr>
      <w:kern w:val="1"/>
      <w:sz w:val="21"/>
      <w:lang w:eastAsia="ar-SA"/>
    </w:rPr>
  </w:style>
  <w:style w:type="paragraph" w:customStyle="1" w:styleId="303">
    <w:name w:val="无间隔11"/>
    <w:basedOn w:val="1"/>
    <w:qFormat/>
    <w:uiPriority w:val="99"/>
    <w:rPr>
      <w:rFonts w:ascii="等线" w:hAnsi="等线" w:eastAsia="等线"/>
      <w:szCs w:val="21"/>
    </w:rPr>
  </w:style>
  <w:style w:type="paragraph" w:customStyle="1" w:styleId="304">
    <w:name w:val="字元 字元"/>
    <w:basedOn w:val="1"/>
    <w:uiPriority w:val="0"/>
    <w:pPr>
      <w:widowControl/>
      <w:spacing w:after="160" w:line="240" w:lineRule="exact"/>
      <w:jc w:val="left"/>
    </w:pPr>
    <w:rPr>
      <w:rFonts w:ascii="Times New Roman" w:hAnsi="Times New Roman"/>
      <w:sz w:val="28"/>
    </w:rPr>
  </w:style>
  <w:style w:type="paragraph" w:customStyle="1" w:styleId="305">
    <w:name w:val="单位"/>
    <w:basedOn w:val="1"/>
    <w:qFormat/>
    <w:uiPriority w:val="99"/>
    <w:pPr>
      <w:adjustRightInd w:val="0"/>
      <w:jc w:val="center"/>
      <w:textAlignment w:val="baseline"/>
    </w:pPr>
    <w:rPr>
      <w:rFonts w:ascii="宋体"/>
      <w:b/>
      <w:kern w:val="0"/>
      <w:sz w:val="32"/>
    </w:rPr>
  </w:style>
  <w:style w:type="paragraph" w:customStyle="1" w:styleId="306">
    <w:name w:val="p0"/>
    <w:basedOn w:val="1"/>
    <w:qFormat/>
    <w:uiPriority w:val="99"/>
    <w:pPr>
      <w:widowControl/>
      <w:spacing w:before="100" w:beforeAutospacing="1" w:after="100" w:afterAutospacing="1" w:line="240" w:lineRule="auto"/>
      <w:jc w:val="left"/>
    </w:pPr>
    <w:rPr>
      <w:rFonts w:ascii="宋体" w:hAnsi="宋体"/>
      <w:kern w:val="0"/>
      <w:sz w:val="24"/>
    </w:rPr>
  </w:style>
  <w:style w:type="paragraph" w:customStyle="1" w:styleId="307">
    <w:name w:val="正文11"/>
    <w:qFormat/>
    <w:uiPriority w:val="99"/>
    <w:pPr>
      <w:widowControl w:val="0"/>
      <w:jc w:val="both"/>
    </w:pPr>
    <w:rPr>
      <w:kern w:val="2"/>
      <w:sz w:val="21"/>
      <w:lang w:val="en-US" w:eastAsia="zh-CN" w:bidi="ar-SA"/>
    </w:rPr>
  </w:style>
  <w:style w:type="paragraph" w:customStyle="1" w:styleId="308">
    <w:name w:val="纯文本1"/>
    <w:basedOn w:val="1"/>
    <w:qFormat/>
    <w:uiPriority w:val="0"/>
    <w:pPr>
      <w:adjustRightInd w:val="0"/>
      <w:textAlignment w:val="baseline"/>
    </w:pPr>
    <w:rPr>
      <w:rFonts w:ascii="宋体" w:hAnsi="Courier New" w:eastAsia="楷体_GB2312"/>
      <w:sz w:val="26"/>
    </w:rPr>
  </w:style>
  <w:style w:type="paragraph" w:customStyle="1" w:styleId="309">
    <w:name w:val="纯文本11"/>
    <w:basedOn w:val="1"/>
    <w:qFormat/>
    <w:uiPriority w:val="99"/>
    <w:pPr>
      <w:adjustRightInd w:val="0"/>
      <w:spacing w:line="240" w:lineRule="auto"/>
      <w:textAlignment w:val="baseline"/>
    </w:pPr>
    <w:rPr>
      <w:rFonts w:ascii="宋体" w:hAnsi="Courier New" w:eastAsia="楷体_GB2312"/>
      <w:sz w:val="26"/>
    </w:rPr>
  </w:style>
  <w:style w:type="paragraph" w:customStyle="1" w:styleId="310">
    <w:name w:val="af17cgridlangnp1033langf"/>
    <w:qFormat/>
    <w:uiPriority w:val="99"/>
    <w:pPr>
      <w:widowControl w:val="0"/>
      <w:autoSpaceDE w:val="0"/>
      <w:autoSpaceDN w:val="0"/>
      <w:adjustRightInd w:val="0"/>
      <w:spacing w:before="156" w:line="360" w:lineRule="atLeast"/>
      <w:ind w:left="567" w:firstLine="510"/>
      <w:jc w:val="both"/>
    </w:pPr>
    <w:rPr>
      <w:lang w:val="en-US" w:eastAsia="zh-CN" w:bidi="ar-SA"/>
    </w:rPr>
  </w:style>
  <w:style w:type="paragraph" w:customStyle="1" w:styleId="311">
    <w:name w:val="框内容"/>
    <w:basedOn w:val="18"/>
    <w:qFormat/>
    <w:uiPriority w:val="99"/>
    <w:pPr>
      <w:suppressAutoHyphens/>
      <w:adjustRightInd/>
      <w:spacing w:after="120" w:line="240" w:lineRule="auto"/>
      <w:textAlignment w:val="auto"/>
    </w:pPr>
    <w:rPr>
      <w:rFonts w:ascii="Times New Roman" w:hAnsi="Times New Roman"/>
      <w:kern w:val="1"/>
      <w:sz w:val="28"/>
      <w:szCs w:val="24"/>
      <w:lang w:eastAsia="ar-SA"/>
    </w:rPr>
  </w:style>
  <w:style w:type="paragraph" w:customStyle="1" w:styleId="312">
    <w:name w:val="条文1"/>
    <w:basedOn w:val="1"/>
    <w:qFormat/>
    <w:uiPriority w:val="99"/>
    <w:pPr>
      <w:numPr>
        <w:ilvl w:val="0"/>
        <w:numId w:val="1"/>
      </w:numPr>
      <w:tabs>
        <w:tab w:val="left" w:pos="720"/>
      </w:tabs>
    </w:pPr>
    <w:rPr>
      <w:rFonts w:ascii="MS UI Gothic" w:hAnsi="MS UI Gothic"/>
      <w:kern w:val="44"/>
      <w:sz w:val="24"/>
    </w:rPr>
  </w:style>
  <w:style w:type="paragraph" w:customStyle="1" w:styleId="313">
    <w:name w:val="样式 仿宋_GB2312 五号 黑色 行距: 单倍行距"/>
    <w:basedOn w:val="1"/>
    <w:qFormat/>
    <w:uiPriority w:val="99"/>
    <w:pPr>
      <w:snapToGrid w:val="0"/>
      <w:spacing w:line="240" w:lineRule="auto"/>
    </w:pPr>
    <w:rPr>
      <w:rFonts w:ascii="仿宋_GB2312" w:eastAsia="仿宋_GB2312" w:cs="宋体"/>
      <w:color w:val="000000"/>
      <w:sz w:val="24"/>
    </w:rPr>
  </w:style>
  <w:style w:type="paragraph" w:customStyle="1" w:styleId="314">
    <w:name w:val="列出段落2"/>
    <w:basedOn w:val="1"/>
    <w:qFormat/>
    <w:uiPriority w:val="99"/>
    <w:pPr>
      <w:spacing w:line="240" w:lineRule="auto"/>
      <w:ind w:firstLine="420" w:firstLineChars="200"/>
    </w:pPr>
    <w:rPr>
      <w:szCs w:val="24"/>
    </w:rPr>
  </w:style>
  <w:style w:type="paragraph" w:customStyle="1" w:styleId="315">
    <w:name w:val="文字"/>
    <w:basedOn w:val="1"/>
    <w:qFormat/>
    <w:uiPriority w:val="99"/>
    <w:pPr>
      <w:tabs>
        <w:tab w:val="left" w:pos="8520"/>
      </w:tabs>
      <w:spacing w:line="312" w:lineRule="auto"/>
      <w:ind w:right="-210" w:firstLine="556"/>
    </w:pPr>
    <w:rPr>
      <w:rFonts w:ascii="楷体_GB2312" w:eastAsia="楷体_GB2312"/>
      <w:sz w:val="28"/>
    </w:rPr>
  </w:style>
  <w:style w:type="paragraph" w:customStyle="1" w:styleId="316">
    <w:name w:val="字元 字元1"/>
    <w:basedOn w:val="1"/>
    <w:qFormat/>
    <w:uiPriority w:val="99"/>
    <w:pPr>
      <w:widowControl/>
      <w:spacing w:after="160" w:line="240" w:lineRule="exact"/>
      <w:jc w:val="left"/>
    </w:pPr>
    <w:rPr>
      <w:rFonts w:ascii="Times New Roman" w:hAnsi="Times New Roman"/>
      <w:sz w:val="28"/>
    </w:rPr>
  </w:style>
  <w:style w:type="paragraph" w:customStyle="1" w:styleId="317">
    <w:name w:val="Char21"/>
    <w:basedOn w:val="1"/>
    <w:qFormat/>
    <w:uiPriority w:val="99"/>
    <w:pPr>
      <w:tabs>
        <w:tab w:val="left" w:pos="1365"/>
      </w:tabs>
      <w:ind w:left="1365" w:hanging="735"/>
    </w:pPr>
    <w:rPr>
      <w:sz w:val="24"/>
      <w:szCs w:val="24"/>
    </w:rPr>
  </w:style>
  <w:style w:type="paragraph" w:customStyle="1" w:styleId="318">
    <w:name w:val="Char Char42"/>
    <w:basedOn w:val="1"/>
    <w:qFormat/>
    <w:uiPriority w:val="99"/>
    <w:pPr>
      <w:widowControl/>
      <w:spacing w:after="160" w:line="240" w:lineRule="exact"/>
      <w:jc w:val="left"/>
    </w:pPr>
    <w:rPr>
      <w:rFonts w:ascii="Times New Roman" w:hAnsi="Times New Roman"/>
      <w:sz w:val="28"/>
    </w:rPr>
  </w:style>
  <w:style w:type="paragraph" w:customStyle="1" w:styleId="319">
    <w:name w:val="内容目录 10"/>
    <w:basedOn w:val="260"/>
    <w:qFormat/>
    <w:uiPriority w:val="99"/>
    <w:pPr>
      <w:suppressLineNumbers/>
      <w:tabs>
        <w:tab w:val="right" w:leader="dot" w:pos="7091"/>
        <w:tab w:val="clear" w:pos="7937"/>
      </w:tabs>
      <w:suppressAutoHyphens/>
      <w:adjustRightInd/>
      <w:spacing w:before="0" w:after="0" w:line="240" w:lineRule="auto"/>
      <w:ind w:left="2547"/>
      <w:jc w:val="both"/>
      <w:textAlignment w:val="auto"/>
    </w:pPr>
    <w:rPr>
      <w:rFonts w:ascii="Times New Roman" w:hAnsi="Times New Roman" w:eastAsia="宋体" w:cs="Mangal"/>
      <w:b w:val="0"/>
      <w:caps w:val="0"/>
      <w:kern w:val="1"/>
      <w:sz w:val="21"/>
      <w:szCs w:val="24"/>
      <w:lang w:eastAsia="ar-SA"/>
    </w:rPr>
  </w:style>
  <w:style w:type="paragraph" w:customStyle="1" w:styleId="320">
    <w:name w:val="正文 New New New New New New"/>
    <w:qFormat/>
    <w:uiPriority w:val="99"/>
    <w:pPr>
      <w:widowControl w:val="0"/>
      <w:jc w:val="both"/>
    </w:pPr>
    <w:rPr>
      <w:kern w:val="2"/>
      <w:sz w:val="21"/>
      <w:lang w:val="en-US" w:eastAsia="zh-CN" w:bidi="ar-SA"/>
    </w:rPr>
  </w:style>
  <w:style w:type="paragraph" w:customStyle="1" w:styleId="321">
    <w:name w:val="Char Char7 Char11"/>
    <w:basedOn w:val="1"/>
    <w:qFormat/>
    <w:uiPriority w:val="0"/>
    <w:pPr>
      <w:tabs>
        <w:tab w:val="left" w:pos="425"/>
      </w:tabs>
      <w:ind w:left="420" w:leftChars="200" w:firstLine="270" w:firstLineChars="150"/>
    </w:pPr>
    <w:rPr>
      <w:szCs w:val="24"/>
    </w:rPr>
  </w:style>
  <w:style w:type="paragraph" w:customStyle="1" w:styleId="322">
    <w:name w:val="Char Char Char Char Char Char Char Char Char Char Char Char Char"/>
    <w:basedOn w:val="1"/>
    <w:qFormat/>
    <w:uiPriority w:val="99"/>
    <w:pPr>
      <w:tabs>
        <w:tab w:val="left" w:pos="432"/>
      </w:tabs>
      <w:ind w:left="432" w:hanging="432"/>
    </w:pPr>
    <w:rPr>
      <w:rFonts w:ascii="Tahoma" w:hAnsi="Tahoma"/>
      <w:sz w:val="24"/>
    </w:rPr>
  </w:style>
  <w:style w:type="paragraph" w:customStyle="1" w:styleId="323">
    <w:name w:val="_Style 66"/>
    <w:next w:val="1"/>
    <w:qFormat/>
    <w:uiPriority w:val="99"/>
    <w:pPr>
      <w:widowControl w:val="0"/>
      <w:jc w:val="both"/>
    </w:pPr>
    <w:rPr>
      <w:rFonts w:ascii="Times New Roman" w:hAnsi="Times New Roman"/>
      <w:kern w:val="2"/>
      <w:sz w:val="21"/>
      <w:szCs w:val="24"/>
      <w:lang w:val="en-US" w:eastAsia="zh-CN" w:bidi="ar-SA"/>
    </w:rPr>
  </w:style>
  <w:style w:type="paragraph" w:customStyle="1" w:styleId="324">
    <w:name w:val="Char Char Char Char Char Char Char111"/>
    <w:basedOn w:val="1"/>
    <w:qFormat/>
    <w:uiPriority w:val="0"/>
    <w:rPr>
      <w:szCs w:val="21"/>
    </w:rPr>
  </w:style>
  <w:style w:type="paragraph" w:customStyle="1" w:styleId="325">
    <w:name w:val="纯文本1111"/>
    <w:basedOn w:val="1"/>
    <w:qFormat/>
    <w:uiPriority w:val="99"/>
    <w:pPr>
      <w:adjustRightInd w:val="0"/>
      <w:textAlignment w:val="baseline"/>
    </w:pPr>
    <w:rPr>
      <w:rFonts w:ascii="宋体" w:hAnsi="Courier New" w:eastAsia="楷体_GB2312"/>
      <w:sz w:val="26"/>
    </w:rPr>
  </w:style>
  <w:style w:type="paragraph" w:customStyle="1" w:styleId="326">
    <w:name w:val="正文缩进1"/>
    <w:basedOn w:val="1"/>
    <w:qFormat/>
    <w:uiPriority w:val="99"/>
    <w:pPr>
      <w:suppressAutoHyphens/>
      <w:spacing w:line="240" w:lineRule="auto"/>
      <w:ind w:firstLine="420"/>
    </w:pPr>
    <w:rPr>
      <w:rFonts w:ascii="Times New Roman" w:hAnsi="Times New Roman"/>
      <w:kern w:val="1"/>
      <w:lang w:eastAsia="ar-SA"/>
    </w:rPr>
  </w:style>
  <w:style w:type="paragraph" w:customStyle="1" w:styleId="327">
    <w:name w:val="Default"/>
    <w:qFormat/>
    <w:uiPriority w:val="99"/>
    <w:pPr>
      <w:widowControl w:val="0"/>
      <w:autoSpaceDE w:val="0"/>
      <w:autoSpaceDN w:val="0"/>
      <w:adjustRightInd w:val="0"/>
    </w:pPr>
    <w:rPr>
      <w:rFonts w:ascii="仿宋_GB2312" w:cs="仿宋_GB2312"/>
      <w:color w:val="000000"/>
      <w:sz w:val="24"/>
      <w:szCs w:val="24"/>
      <w:lang w:val="en-US" w:eastAsia="zh-CN" w:bidi="ar-SA"/>
    </w:rPr>
  </w:style>
  <w:style w:type="paragraph" w:customStyle="1" w:styleId="328">
    <w:name w:val="保留正文"/>
    <w:basedOn w:val="1"/>
    <w:qFormat/>
    <w:uiPriority w:val="99"/>
    <w:pPr>
      <w:keepNext/>
      <w:adjustRightInd w:val="0"/>
      <w:spacing w:after="160" w:line="480" w:lineRule="auto"/>
      <w:textAlignment w:val="baseline"/>
    </w:pPr>
    <w:rPr>
      <w:rFonts w:ascii="宋体"/>
      <w:kern w:val="0"/>
      <w:sz w:val="24"/>
    </w:rPr>
  </w:style>
  <w:style w:type="paragraph" w:customStyle="1" w:styleId="329">
    <w:name w:val="正文 New"/>
    <w:qFormat/>
    <w:uiPriority w:val="99"/>
    <w:pPr>
      <w:widowControl w:val="0"/>
      <w:jc w:val="both"/>
    </w:pPr>
    <w:rPr>
      <w:kern w:val="2"/>
      <w:sz w:val="21"/>
      <w:szCs w:val="24"/>
      <w:lang w:val="en-US" w:eastAsia="zh-CN" w:bidi="ar-SA"/>
    </w:rPr>
  </w:style>
  <w:style w:type="paragraph" w:customStyle="1" w:styleId="330">
    <w:name w:val="Char Char Char1 Char Char Char Char2"/>
    <w:basedOn w:val="1"/>
    <w:qFormat/>
    <w:uiPriority w:val="99"/>
    <w:pPr>
      <w:widowControl/>
      <w:spacing w:after="160" w:line="240" w:lineRule="exact"/>
      <w:jc w:val="left"/>
    </w:pPr>
    <w:rPr>
      <w:szCs w:val="24"/>
    </w:rPr>
  </w:style>
  <w:style w:type="paragraph" w:customStyle="1" w:styleId="331">
    <w:name w:val="_Style 42"/>
    <w:next w:val="1"/>
    <w:qFormat/>
    <w:uiPriority w:val="99"/>
    <w:pPr>
      <w:widowControl w:val="0"/>
      <w:jc w:val="both"/>
    </w:pPr>
    <w:rPr>
      <w:kern w:val="2"/>
      <w:sz w:val="21"/>
      <w:szCs w:val="24"/>
      <w:lang w:val="en-US" w:eastAsia="zh-CN" w:bidi="ar-SA"/>
    </w:rPr>
  </w:style>
  <w:style w:type="paragraph" w:customStyle="1" w:styleId="332">
    <w:name w:val="正文111"/>
    <w:qFormat/>
    <w:uiPriority w:val="99"/>
    <w:pPr>
      <w:widowControl w:val="0"/>
      <w:jc w:val="both"/>
    </w:pPr>
    <w:rPr>
      <w:rFonts w:hint="eastAsia"/>
      <w:kern w:val="2"/>
      <w:sz w:val="21"/>
      <w:lang w:val="en-US" w:eastAsia="zh-CN" w:bidi="ar-SA"/>
    </w:rPr>
  </w:style>
  <w:style w:type="paragraph" w:customStyle="1" w:styleId="333">
    <w:name w:val="_Style 48"/>
    <w:next w:val="1"/>
    <w:qFormat/>
    <w:uiPriority w:val="99"/>
    <w:pPr>
      <w:widowControl w:val="0"/>
      <w:jc w:val="both"/>
    </w:pPr>
    <w:rPr>
      <w:rFonts w:ascii="Times New Roman" w:hAnsi="Times New Roman"/>
      <w:kern w:val="2"/>
      <w:sz w:val="21"/>
      <w:szCs w:val="24"/>
      <w:lang w:val="en-US" w:eastAsia="zh-CN" w:bidi="ar-SA"/>
    </w:rPr>
  </w:style>
  <w:style w:type="paragraph" w:customStyle="1" w:styleId="334">
    <w:name w:val="列出段落3"/>
    <w:basedOn w:val="1"/>
    <w:uiPriority w:val="0"/>
    <w:pPr>
      <w:ind w:firstLine="420" w:firstLineChars="200"/>
    </w:pPr>
    <w:rPr>
      <w:szCs w:val="24"/>
    </w:rPr>
  </w:style>
  <w:style w:type="paragraph" w:customStyle="1" w:styleId="335">
    <w:name w:val="Char Char2 Char1"/>
    <w:basedOn w:val="1"/>
    <w:qFormat/>
    <w:uiPriority w:val="99"/>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336">
    <w:name w:val="WW-正文缩进"/>
    <w:basedOn w:val="1"/>
    <w:qFormat/>
    <w:uiPriority w:val="99"/>
    <w:pPr>
      <w:suppressAutoHyphens/>
      <w:spacing w:line="240" w:lineRule="auto"/>
      <w:ind w:firstLine="420"/>
    </w:pPr>
    <w:rPr>
      <w:rFonts w:ascii="Times New Roman" w:hAnsi="Times New Roman"/>
      <w:kern w:val="1"/>
      <w:lang w:eastAsia="ar-SA"/>
    </w:rPr>
  </w:style>
  <w:style w:type="paragraph" w:customStyle="1" w:styleId="337">
    <w:name w:val="Char Char4"/>
    <w:basedOn w:val="1"/>
    <w:uiPriority w:val="0"/>
    <w:pPr>
      <w:widowControl/>
      <w:spacing w:after="160" w:line="240" w:lineRule="exact"/>
      <w:jc w:val="left"/>
    </w:pPr>
    <w:rPr>
      <w:rFonts w:ascii="Times New Roman" w:hAnsi="Times New Roman"/>
      <w:sz w:val="28"/>
    </w:rPr>
  </w:style>
  <w:style w:type="paragraph" w:customStyle="1" w:styleId="338">
    <w:name w:val="TOC 标题3"/>
    <w:basedOn w:val="2"/>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339">
    <w:name w:val="Char Char2 Char"/>
    <w:basedOn w:val="1"/>
    <w:qFormat/>
    <w:uiPriority w:val="99"/>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340">
    <w:name w:val="Char11"/>
    <w:basedOn w:val="1"/>
    <w:qFormat/>
    <w:uiPriority w:val="99"/>
    <w:pPr>
      <w:tabs>
        <w:tab w:val="left" w:pos="360"/>
      </w:tabs>
      <w:spacing w:line="240" w:lineRule="auto"/>
    </w:pPr>
    <w:rPr>
      <w:rFonts w:ascii="Times New Roman" w:hAnsi="Times New Roman"/>
      <w:szCs w:val="24"/>
    </w:rPr>
  </w:style>
  <w:style w:type="paragraph" w:customStyle="1" w:styleId="341">
    <w:name w:val="_Style 1"/>
    <w:basedOn w:val="1"/>
    <w:qFormat/>
    <w:uiPriority w:val="34"/>
    <w:pPr>
      <w:ind w:firstLine="420" w:firstLineChars="200"/>
    </w:pPr>
    <w:rPr>
      <w:sz w:val="24"/>
      <w:szCs w:val="22"/>
    </w:rPr>
  </w:style>
  <w:style w:type="paragraph" w:customStyle="1" w:styleId="342">
    <w:name w:val="纯文本111"/>
    <w:basedOn w:val="1"/>
    <w:qFormat/>
    <w:uiPriority w:val="99"/>
    <w:pPr>
      <w:adjustRightInd w:val="0"/>
    </w:pPr>
    <w:rPr>
      <w:rFonts w:ascii="宋体" w:hAnsi="Courier New" w:eastAsia="楷体_GB2312"/>
      <w:sz w:val="26"/>
    </w:rPr>
  </w:style>
  <w:style w:type="paragraph" w:customStyle="1" w:styleId="343">
    <w:name w:val="正文－恩普"/>
    <w:basedOn w:val="336"/>
    <w:qFormat/>
    <w:uiPriority w:val="99"/>
    <w:pPr>
      <w:widowControl/>
      <w:spacing w:line="360" w:lineRule="auto"/>
      <w:ind w:firstLine="480"/>
      <w:jc w:val="left"/>
    </w:pPr>
    <w:rPr>
      <w:szCs w:val="24"/>
    </w:rPr>
  </w:style>
  <w:style w:type="paragraph" w:customStyle="1" w:styleId="344">
    <w:name w:val="ss"/>
    <w:basedOn w:val="1"/>
    <w:qFormat/>
    <w:uiPriority w:val="99"/>
    <w:pPr>
      <w:widowControl/>
      <w:suppressAutoHyphens/>
      <w:spacing w:before="280" w:after="280" w:line="288" w:lineRule="atLeast"/>
      <w:jc w:val="left"/>
    </w:pPr>
    <w:rPr>
      <w:rFonts w:hint="eastAsia" w:ascii="宋体" w:hAnsi="宋体" w:cs="Arial"/>
      <w:kern w:val="1"/>
      <w:sz w:val="15"/>
      <w:szCs w:val="15"/>
      <w:lang w:eastAsia="ar-SA"/>
    </w:rPr>
  </w:style>
  <w:style w:type="paragraph" w:customStyle="1" w:styleId="345">
    <w:name w:val="段正文"/>
    <w:basedOn w:val="1"/>
    <w:qFormat/>
    <w:uiPriority w:val="99"/>
    <w:pPr>
      <w:widowControl/>
      <w:suppressAutoHyphens/>
      <w:ind w:firstLine="200"/>
      <w:jc w:val="left"/>
    </w:pPr>
    <w:rPr>
      <w:rFonts w:ascii="Times New Roman" w:hAnsi="Times New Roman" w:eastAsia="Times New Roman"/>
      <w:kern w:val="1"/>
      <w:sz w:val="24"/>
      <w:lang w:eastAsia="ar-SA"/>
    </w:rPr>
  </w:style>
  <w:style w:type="paragraph" w:customStyle="1" w:styleId="346">
    <w:name w:val="列出段落[858D7CFB-ED40-4347-BF05-701D383B685F][858D7CFB-ED40-4347-BF05-701D383B685F]"/>
    <w:basedOn w:val="1"/>
    <w:qFormat/>
    <w:uiPriority w:val="99"/>
    <w:pPr>
      <w:suppressAutoHyphens/>
      <w:spacing w:line="240" w:lineRule="auto"/>
      <w:ind w:firstLine="420"/>
    </w:pPr>
    <w:rPr>
      <w:rFonts w:ascii="Times New Roman" w:hAnsi="Times New Roman"/>
      <w:kern w:val="1"/>
      <w:szCs w:val="24"/>
      <w:lang w:eastAsia="ar-SA"/>
    </w:rPr>
  </w:style>
  <w:style w:type="paragraph" w:customStyle="1" w:styleId="347">
    <w:name w:val="_Style 49"/>
    <w:basedOn w:val="1"/>
    <w:next w:val="25"/>
    <w:qFormat/>
    <w:uiPriority w:val="99"/>
    <w:pPr>
      <w:suppressAutoHyphens/>
      <w:spacing w:line="240" w:lineRule="auto"/>
    </w:pPr>
    <w:rPr>
      <w:rFonts w:ascii="宋体" w:hAnsi="宋体" w:cs="Courier New"/>
      <w:kern w:val="1"/>
      <w:sz w:val="24"/>
      <w:lang w:eastAsia="ar-SA"/>
    </w:rPr>
  </w:style>
  <w:style w:type="paragraph" w:customStyle="1" w:styleId="348">
    <w:name w:val="Char Char Char Char Char Char3"/>
    <w:basedOn w:val="1"/>
    <w:qFormat/>
    <w:uiPriority w:val="99"/>
    <w:pPr>
      <w:widowControl/>
      <w:spacing w:after="160" w:line="240" w:lineRule="exact"/>
      <w:jc w:val="left"/>
    </w:pPr>
    <w:rPr>
      <w:kern w:val="0"/>
    </w:rPr>
  </w:style>
  <w:style w:type="paragraph" w:customStyle="1" w:styleId="349">
    <w:name w:val="正文3"/>
    <w:uiPriority w:val="0"/>
    <w:pPr>
      <w:widowControl w:val="0"/>
      <w:jc w:val="both"/>
    </w:pPr>
    <w:rPr>
      <w:rFonts w:hint="eastAsia"/>
      <w:kern w:val="2"/>
      <w:sz w:val="21"/>
      <w:lang w:val="en-US" w:eastAsia="zh-CN" w:bidi="ar-SA"/>
    </w:rPr>
  </w:style>
  <w:style w:type="paragraph" w:customStyle="1" w:styleId="350">
    <w:name w:val="Char Char Char Char Char Char Char11"/>
    <w:basedOn w:val="1"/>
    <w:qFormat/>
    <w:uiPriority w:val="99"/>
    <w:rPr>
      <w:szCs w:val="21"/>
    </w:rPr>
  </w:style>
  <w:style w:type="paragraph" w:customStyle="1" w:styleId="351">
    <w:name w:val="Char Char Char Char Char Char Char2"/>
    <w:basedOn w:val="1"/>
    <w:qFormat/>
    <w:uiPriority w:val="99"/>
    <w:rPr>
      <w:szCs w:val="21"/>
    </w:rPr>
  </w:style>
  <w:style w:type="paragraph" w:customStyle="1" w:styleId="352">
    <w:name w:val="无间隔3"/>
    <w:uiPriority w:val="0"/>
    <w:rPr>
      <w:sz w:val="22"/>
      <w:szCs w:val="22"/>
      <w:lang w:val="en-US" w:eastAsia="zh-CN" w:bidi="ar-SA"/>
    </w:rPr>
  </w:style>
  <w:style w:type="paragraph" w:customStyle="1" w:styleId="353">
    <w:name w:val="Char Char122"/>
    <w:basedOn w:val="1"/>
    <w:qFormat/>
    <w:uiPriority w:val="99"/>
    <w:pPr>
      <w:spacing w:line="240" w:lineRule="auto"/>
    </w:pPr>
    <w:rPr>
      <w:szCs w:val="21"/>
    </w:rPr>
  </w:style>
  <w:style w:type="paragraph" w:customStyle="1" w:styleId="354">
    <w:name w:val="Char5"/>
    <w:basedOn w:val="2"/>
    <w:qFormat/>
    <w:uiPriority w:val="99"/>
    <w:pPr>
      <w:keepNext/>
      <w:keepLines/>
      <w:snapToGrid w:val="0"/>
      <w:spacing w:before="240" w:after="240" w:line="348" w:lineRule="auto"/>
      <w:textAlignment w:val="auto"/>
    </w:pPr>
    <w:rPr>
      <w:bCs/>
      <w:kern w:val="44"/>
      <w:sz w:val="32"/>
      <w:szCs w:val="44"/>
    </w:rPr>
  </w:style>
  <w:style w:type="paragraph" w:customStyle="1" w:styleId="355">
    <w:name w:val="Char Char Char Char Char Char2"/>
    <w:basedOn w:val="1"/>
    <w:qFormat/>
    <w:uiPriority w:val="99"/>
    <w:pPr>
      <w:ind w:firstLine="200" w:firstLineChars="200"/>
    </w:pPr>
    <w:rPr>
      <w:rFonts w:ascii="Tahoma" w:hAnsi="Tahoma" w:cs="Tahoma"/>
      <w:sz w:val="24"/>
      <w:szCs w:val="24"/>
    </w:rPr>
  </w:style>
  <w:style w:type="paragraph" w:customStyle="1" w:styleId="356">
    <w:name w:val="Char Char121"/>
    <w:basedOn w:val="1"/>
    <w:qFormat/>
    <w:uiPriority w:val="99"/>
    <w:pPr>
      <w:spacing w:line="240" w:lineRule="auto"/>
    </w:pPr>
    <w:rPr>
      <w:szCs w:val="21"/>
    </w:rPr>
  </w:style>
  <w:style w:type="paragraph" w:customStyle="1" w:styleId="357">
    <w:name w:val="Char Char Char1 Char Char Char Char1"/>
    <w:basedOn w:val="1"/>
    <w:qFormat/>
    <w:uiPriority w:val="99"/>
    <w:pPr>
      <w:widowControl/>
      <w:spacing w:after="160" w:line="240" w:lineRule="exact"/>
      <w:jc w:val="left"/>
    </w:pPr>
    <w:rPr>
      <w:szCs w:val="24"/>
    </w:rPr>
  </w:style>
  <w:style w:type="paragraph" w:customStyle="1" w:styleId="358">
    <w:name w:val="Char4"/>
    <w:basedOn w:val="2"/>
    <w:qFormat/>
    <w:uiPriority w:val="99"/>
    <w:pPr>
      <w:keepNext/>
      <w:keepLines/>
      <w:snapToGrid w:val="0"/>
      <w:spacing w:before="240" w:after="240" w:line="348" w:lineRule="auto"/>
      <w:textAlignment w:val="auto"/>
    </w:pPr>
    <w:rPr>
      <w:bCs/>
      <w:kern w:val="44"/>
      <w:sz w:val="32"/>
      <w:szCs w:val="44"/>
    </w:rPr>
  </w:style>
  <w:style w:type="paragraph" w:customStyle="1" w:styleId="359">
    <w:name w:val="列出段落12"/>
    <w:basedOn w:val="1"/>
    <w:qFormat/>
    <w:uiPriority w:val="99"/>
    <w:pPr>
      <w:widowControl/>
      <w:spacing w:after="200" w:line="276" w:lineRule="auto"/>
      <w:ind w:left="720"/>
      <w:contextualSpacing/>
      <w:jc w:val="left"/>
    </w:pPr>
    <w:rPr>
      <w:kern w:val="0"/>
      <w:sz w:val="22"/>
      <w:lang w:val="tr-TR" w:eastAsia="en-US"/>
    </w:rPr>
  </w:style>
  <w:style w:type="paragraph" w:customStyle="1" w:styleId="360">
    <w:name w:val="Char Char7 Char1"/>
    <w:basedOn w:val="1"/>
    <w:qFormat/>
    <w:uiPriority w:val="99"/>
    <w:pPr>
      <w:tabs>
        <w:tab w:val="left" w:pos="425"/>
      </w:tabs>
      <w:ind w:left="420" w:leftChars="200" w:firstLine="270" w:firstLineChars="150"/>
    </w:pPr>
    <w:rPr>
      <w:szCs w:val="24"/>
    </w:rPr>
  </w:style>
  <w:style w:type="table" w:customStyle="1" w:styleId="361">
    <w:name w:val="网格型12"/>
    <w:basedOn w:val="46"/>
    <w:qFormat/>
    <w:uiPriority w:val="0"/>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网格型5"/>
    <w:basedOn w:val="46"/>
    <w:qFormat/>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网格型4"/>
    <w:basedOn w:val="46"/>
    <w:qFormat/>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网格型1"/>
    <w:basedOn w:val="46"/>
    <w:qFormat/>
    <w:uiPriority w:val="0"/>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网格型11"/>
    <w:basedOn w:val="46"/>
    <w:qFormat/>
    <w:uiPriority w:val="0"/>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2"/>
    <w:basedOn w:val="46"/>
    <w:qFormat/>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3"/>
    <w:basedOn w:val="46"/>
    <w:qFormat/>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6"/>
    <w:basedOn w:val="46"/>
    <w:qFormat/>
    <w:uiPriority w:val="0"/>
    <w:pPr>
      <w:widowControl w:val="0"/>
      <w:jc w:val="both"/>
    </w:pPr>
    <w:rPr>
      <w:rFonts w:ascii="Times New Roman" w:hAnsi="Times New Roman"/>
    </w:r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theme/theme1.xml" Type="http://schemas.openxmlformats.org/officeDocument/2006/relationships/theme"/><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59</Pages>
  <Words>6651</Words>
  <Characters>37916</Characters>
  <Lines>315</Lines>
  <Paragraphs>88</Paragraphs>
  <TotalTime>0</TotalTime>
  <ScaleCrop>false</ScaleCrop>
  <LinksUpToDate>false</LinksUpToDate>
  <CharactersWithSpaces>44479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2020-09-05T10:37:00Z</dcterms:created>
  <dc:creator>易蓉</dc:creator>
  <cp:lastModifiedBy>WPS_1701756769</cp:lastModifiedBy>
  <cp:lastPrinted>2020-08-06T07:27:00Z</cp:lastPrinted>
  <dcterms:modified xsi:type="dcterms:W3CDTF">2024-02-22T06:15:47Z</dcterms:modified>
  <cp:revision>4</cp:revision>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79DD2D530BEC47289F8035AE068D06C3_13</vt:lpwstr>
  </property>
</Properties>
</file>