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jc w:val="center"/>
        <w:rPr>
          <w:rFonts w:ascii="宋体" w:hAnsi="宋体"/>
          <w:b/>
          <w:bCs/>
          <w:sz w:val="52"/>
        </w:rPr>
      </w:pPr>
      <w:bookmarkStart w:id="1478" w:name="_GoBack"/>
      <w:bookmarkEnd w:id="1478"/>
      <w:r>
        <w:rPr>
          <w:rFonts w:hint="eastAsia" w:ascii="宋体" w:hAnsi="宋体"/>
          <w:b/>
          <w:bCs/>
          <w:sz w:val="52"/>
        </w:rPr>
        <w:t>瑞安市公共资源交易中心</w:t>
      </w:r>
    </w:p>
    <w:p>
      <w:pPr>
        <w:rPr>
          <w:rFonts w:ascii="宋体" w:hAnsi="宋体"/>
          <w:b/>
          <w:bCs/>
          <w:sz w:val="52"/>
        </w:rPr>
      </w:pPr>
    </w:p>
    <w:p>
      <w:pPr>
        <w:rPr>
          <w:rFonts w:ascii="宋体" w:hAnsi="宋体"/>
          <w:b/>
          <w:bCs/>
          <w:sz w:val="72"/>
        </w:rPr>
      </w:pPr>
      <w:bookmarkStart w:id="0" w:name="_Hlt162751967"/>
      <w:bookmarkEnd w:id="0"/>
    </w:p>
    <w:p>
      <w:pPr>
        <w:jc w:val="center"/>
        <w:rPr>
          <w:rFonts w:ascii="宋体" w:hAnsi="宋体"/>
          <w:b/>
          <w:bCs/>
          <w:sz w:val="72"/>
        </w:rPr>
      </w:pPr>
      <w:bookmarkStart w:id="1" w:name="_Toc164669529"/>
      <w:r>
        <w:rPr>
          <w:rFonts w:hint="eastAsia" w:ascii="宋体" w:hAnsi="宋体"/>
          <w:b/>
          <w:bCs/>
          <w:sz w:val="72"/>
        </w:rPr>
        <w:t>招标文件</w:t>
      </w:r>
      <w:bookmarkEnd w:id="1"/>
    </w:p>
    <w:p>
      <w:pPr>
        <w:jc w:val="center"/>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lang w:eastAsia="zh-CN"/>
        </w:rPr>
        <w:t>（电子招投标）</w:t>
      </w:r>
    </w:p>
    <w:p>
      <w:pPr>
        <w:rPr>
          <w:b/>
          <w:bCs/>
          <w:sz w:val="28"/>
        </w:rPr>
      </w:pPr>
    </w:p>
    <w:p>
      <w:pPr>
        <w:rPr>
          <w:rFonts w:hint="eastAsia"/>
          <w:b/>
          <w:bCs/>
          <w:sz w:val="28"/>
        </w:rPr>
      </w:pPr>
    </w:p>
    <w:p>
      <w:pPr>
        <w:rPr>
          <w:rFonts w:hint="eastAsia"/>
          <w:b/>
          <w:bCs/>
          <w:sz w:val="28"/>
        </w:rPr>
      </w:pPr>
    </w:p>
    <w:p>
      <w:pPr>
        <w:pStyle w:val="26"/>
        <w:tabs>
          <w:tab w:val="left" w:pos="1500"/>
          <w:tab w:val="clear" w:pos="4153"/>
          <w:tab w:val="clear" w:pos="8306"/>
        </w:tabs>
        <w:snapToGrid/>
        <w:rPr>
          <w:b/>
          <w:bCs/>
        </w:rPr>
      </w:pPr>
    </w:p>
    <w:tbl>
      <w:tblPr>
        <w:tblStyle w:val="38"/>
        <w:tblW w:w="0" w:type="auto"/>
        <w:jc w:val="center"/>
        <w:tblLayout w:type="fixed"/>
        <w:tblCellMar>
          <w:top w:w="0" w:type="dxa"/>
          <w:left w:w="108" w:type="dxa"/>
          <w:bottom w:w="0" w:type="dxa"/>
          <w:right w:w="108" w:type="dxa"/>
        </w:tblCellMar>
      </w:tblPr>
      <w:tblGrid>
        <w:gridCol w:w="3360"/>
        <w:gridCol w:w="6058"/>
      </w:tblGrid>
      <w:tr>
        <w:tblPrEx>
          <w:tblCellMar>
            <w:top w:w="0" w:type="dxa"/>
            <w:left w:w="108" w:type="dxa"/>
            <w:bottom w:w="0" w:type="dxa"/>
            <w:right w:w="108" w:type="dxa"/>
          </w:tblCellMar>
        </w:tblPrEx>
        <w:trPr>
          <w:jc w:val="center"/>
        </w:trPr>
        <w:tc>
          <w:tcPr>
            <w:tcW w:w="3360" w:type="dxa"/>
            <w:noWrap w:val="0"/>
            <w:vAlign w:val="center"/>
          </w:tcPr>
          <w:p>
            <w:pPr>
              <w:keepNext w:val="0"/>
              <w:keepLines w:val="0"/>
              <w:widowControl/>
              <w:suppressLineNumbers w:val="0"/>
              <w:spacing w:before="0" w:beforeAutospacing="0" w:after="0" w:afterAutospacing="0" w:line="360" w:lineRule="auto"/>
              <w:ind w:left="0" w:right="0"/>
              <w:jc w:val="right"/>
              <w:rPr>
                <w:rFonts w:hint="default" w:ascii="宋体" w:hAnsi="宋体" w:cs="Times New Roman"/>
                <w:b/>
                <w:bCs/>
                <w:sz w:val="30"/>
                <w:szCs w:val="30"/>
              </w:rPr>
            </w:pPr>
            <w:r>
              <w:rPr>
                <w:rFonts w:hint="eastAsia" w:ascii="宋体" w:hAnsi="宋体" w:cs="Times New Roman"/>
                <w:b/>
                <w:bCs/>
                <w:sz w:val="30"/>
                <w:szCs w:val="30"/>
              </w:rPr>
              <w:t>项 目 编 号：</w:t>
            </w:r>
          </w:p>
        </w:tc>
        <w:tc>
          <w:tcPr>
            <w:tcW w:w="6058" w:type="dxa"/>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Times New Roman"/>
                <w:b/>
                <w:bCs/>
                <w:sz w:val="30"/>
                <w:szCs w:val="30"/>
                <w:lang w:eastAsia="zh-CN"/>
              </w:rPr>
            </w:pPr>
            <w:r>
              <w:rPr>
                <w:rFonts w:hint="eastAsia" w:ascii="宋体" w:hAnsi="宋体" w:eastAsia="宋体" w:cs="Times New Roman"/>
                <w:b/>
                <w:bCs/>
                <w:sz w:val="30"/>
                <w:szCs w:val="30"/>
                <w:lang w:val="en-US" w:eastAsia="zh-CN"/>
              </w:rPr>
              <w:t>RAJC20230712</w:t>
            </w:r>
          </w:p>
        </w:tc>
      </w:tr>
      <w:tr>
        <w:tblPrEx>
          <w:tblCellMar>
            <w:top w:w="0" w:type="dxa"/>
            <w:left w:w="108" w:type="dxa"/>
            <w:bottom w:w="0" w:type="dxa"/>
            <w:right w:w="108" w:type="dxa"/>
          </w:tblCellMar>
        </w:tblPrEx>
        <w:trPr>
          <w:jc w:val="center"/>
        </w:trPr>
        <w:tc>
          <w:tcPr>
            <w:tcW w:w="3360" w:type="dxa"/>
            <w:noWrap w:val="0"/>
            <w:vAlign w:val="center"/>
          </w:tcPr>
          <w:p>
            <w:pPr>
              <w:keepNext w:val="0"/>
              <w:keepLines w:val="0"/>
              <w:widowControl/>
              <w:suppressLineNumbers w:val="0"/>
              <w:spacing w:before="0" w:beforeAutospacing="0" w:after="0" w:afterAutospacing="0" w:line="360" w:lineRule="auto"/>
              <w:ind w:left="0" w:right="0"/>
              <w:jc w:val="right"/>
              <w:rPr>
                <w:rFonts w:hint="default" w:ascii="宋体" w:hAnsi="宋体" w:cs="Times New Roman"/>
                <w:b/>
                <w:bCs/>
                <w:sz w:val="30"/>
                <w:szCs w:val="30"/>
              </w:rPr>
            </w:pPr>
            <w:r>
              <w:rPr>
                <w:rFonts w:hint="eastAsia" w:ascii="宋体" w:hAnsi="宋体" w:cs="Times New Roman"/>
                <w:b/>
                <w:bCs/>
                <w:sz w:val="30"/>
                <w:szCs w:val="30"/>
              </w:rPr>
              <w:t>项 目 名 称：</w:t>
            </w:r>
          </w:p>
        </w:tc>
        <w:tc>
          <w:tcPr>
            <w:tcW w:w="6058" w:type="dxa"/>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Times New Roman"/>
                <w:b/>
                <w:bCs/>
                <w:sz w:val="30"/>
                <w:szCs w:val="30"/>
                <w:lang w:eastAsia="zh-CN"/>
              </w:rPr>
            </w:pPr>
            <w:r>
              <w:rPr>
                <w:rFonts w:hint="eastAsia" w:ascii="宋体" w:hAnsi="宋体" w:eastAsia="宋体" w:cs="Times New Roman"/>
                <w:b/>
                <w:bCs/>
                <w:sz w:val="30"/>
                <w:szCs w:val="30"/>
                <w:lang w:eastAsia="zh-CN"/>
              </w:rPr>
              <w:t>2023-2026</w:t>
            </w:r>
            <w:r>
              <w:rPr>
                <w:rFonts w:hint="eastAsia" w:ascii="宋体" w:hAnsi="宋体" w:eastAsia="宋体" w:cs="Times New Roman"/>
                <w:b/>
                <w:bCs/>
                <w:sz w:val="30"/>
                <w:szCs w:val="30"/>
                <w:lang w:val="en-US" w:eastAsia="zh-CN"/>
              </w:rPr>
              <w:t>年</w:t>
            </w:r>
            <w:r>
              <w:rPr>
                <w:rFonts w:hint="eastAsia" w:ascii="宋体" w:hAnsi="宋体" w:eastAsia="宋体" w:cs="Times New Roman"/>
                <w:b/>
                <w:bCs/>
                <w:sz w:val="30"/>
                <w:szCs w:val="30"/>
                <w:lang w:eastAsia="zh-CN"/>
              </w:rPr>
              <w:t>瑞安市市政大院物业管理服务</w:t>
            </w:r>
          </w:p>
        </w:tc>
      </w:tr>
      <w:tr>
        <w:tblPrEx>
          <w:tblCellMar>
            <w:top w:w="0" w:type="dxa"/>
            <w:left w:w="108" w:type="dxa"/>
            <w:bottom w:w="0" w:type="dxa"/>
            <w:right w:w="108" w:type="dxa"/>
          </w:tblCellMar>
        </w:tblPrEx>
        <w:trPr>
          <w:jc w:val="center"/>
        </w:trPr>
        <w:tc>
          <w:tcPr>
            <w:tcW w:w="3360" w:type="dxa"/>
            <w:noWrap w:val="0"/>
            <w:vAlign w:val="center"/>
          </w:tcPr>
          <w:p>
            <w:pPr>
              <w:keepNext w:val="0"/>
              <w:keepLines w:val="0"/>
              <w:widowControl/>
              <w:suppressLineNumbers w:val="0"/>
              <w:spacing w:before="0" w:beforeAutospacing="0" w:after="0" w:afterAutospacing="0" w:line="360" w:lineRule="auto"/>
              <w:ind w:left="0" w:right="0"/>
              <w:jc w:val="right"/>
              <w:rPr>
                <w:rFonts w:hint="default" w:ascii="宋体" w:hAnsi="宋体" w:cs="Times New Roman"/>
                <w:b/>
                <w:bCs/>
                <w:sz w:val="30"/>
                <w:szCs w:val="30"/>
              </w:rPr>
            </w:pPr>
            <w:r>
              <w:rPr>
                <w:rFonts w:hint="eastAsia" w:ascii="宋体" w:hAnsi="宋体" w:cs="Times New Roman"/>
                <w:b/>
                <w:bCs/>
                <w:sz w:val="30"/>
                <w:szCs w:val="30"/>
              </w:rPr>
              <w:t>采 购 方 式：</w:t>
            </w:r>
          </w:p>
        </w:tc>
        <w:tc>
          <w:tcPr>
            <w:tcW w:w="6058" w:type="dxa"/>
            <w:noWrap w:val="0"/>
            <w:vAlign w:val="center"/>
          </w:tcPr>
          <w:p>
            <w:pPr>
              <w:keepNext w:val="0"/>
              <w:keepLines w:val="0"/>
              <w:widowControl/>
              <w:suppressLineNumbers w:val="0"/>
              <w:spacing w:before="0" w:beforeAutospacing="0" w:after="0" w:afterAutospacing="0" w:line="360" w:lineRule="auto"/>
              <w:ind w:left="0" w:right="0"/>
              <w:jc w:val="both"/>
              <w:rPr>
                <w:rFonts w:hint="default" w:ascii="宋体" w:hAnsi="宋体" w:cs="Times New Roman"/>
                <w:b/>
                <w:bCs/>
                <w:sz w:val="30"/>
                <w:szCs w:val="30"/>
              </w:rPr>
            </w:pPr>
            <w:r>
              <w:rPr>
                <w:rFonts w:hint="eastAsia" w:ascii="宋体" w:hAnsi="宋体" w:cs="Times New Roman"/>
                <w:b/>
                <w:bCs/>
                <w:sz w:val="30"/>
                <w:szCs w:val="30"/>
              </w:rPr>
              <w:t>公开招标</w:t>
            </w:r>
          </w:p>
        </w:tc>
      </w:tr>
      <w:tr>
        <w:tblPrEx>
          <w:tblCellMar>
            <w:top w:w="0" w:type="dxa"/>
            <w:left w:w="108" w:type="dxa"/>
            <w:bottom w:w="0" w:type="dxa"/>
            <w:right w:w="108" w:type="dxa"/>
          </w:tblCellMar>
        </w:tblPrEx>
        <w:trPr>
          <w:jc w:val="center"/>
        </w:trPr>
        <w:tc>
          <w:tcPr>
            <w:tcW w:w="3360" w:type="dxa"/>
            <w:noWrap w:val="0"/>
            <w:vAlign w:val="center"/>
          </w:tcPr>
          <w:p>
            <w:pPr>
              <w:keepNext w:val="0"/>
              <w:keepLines w:val="0"/>
              <w:widowControl/>
              <w:suppressLineNumbers w:val="0"/>
              <w:spacing w:before="0" w:beforeAutospacing="0" w:after="0" w:afterAutospacing="0" w:line="360" w:lineRule="auto"/>
              <w:ind w:left="0" w:right="0"/>
              <w:jc w:val="right"/>
              <w:rPr>
                <w:rFonts w:hint="eastAsia" w:ascii="宋体" w:hAnsi="宋体" w:eastAsia="宋体" w:cs="Times New Roman"/>
                <w:b/>
                <w:bCs/>
                <w:sz w:val="30"/>
                <w:szCs w:val="30"/>
                <w:lang w:eastAsia="zh-CN"/>
              </w:rPr>
            </w:pPr>
            <w:r>
              <w:rPr>
                <w:rFonts w:hint="eastAsia" w:ascii="宋体" w:hAnsi="宋体" w:cs="Times New Roman"/>
                <w:b/>
                <w:bCs/>
                <w:sz w:val="30"/>
                <w:szCs w:val="30"/>
                <w:lang w:eastAsia="zh-CN"/>
              </w:rPr>
              <w:t>项</w:t>
            </w:r>
            <w:r>
              <w:rPr>
                <w:rFonts w:hint="eastAsia" w:ascii="宋体" w:hAnsi="宋体" w:cs="Times New Roman"/>
                <w:b/>
                <w:bCs/>
                <w:sz w:val="30"/>
                <w:szCs w:val="30"/>
                <w:lang w:val="en-US" w:eastAsia="zh-CN"/>
              </w:rPr>
              <w:t xml:space="preserve"> </w:t>
            </w:r>
            <w:r>
              <w:rPr>
                <w:rFonts w:hint="eastAsia" w:ascii="宋体" w:hAnsi="宋体" w:cs="Times New Roman"/>
                <w:b/>
                <w:bCs/>
                <w:sz w:val="30"/>
                <w:szCs w:val="30"/>
                <w:lang w:eastAsia="zh-CN"/>
              </w:rPr>
              <w:t>目</w:t>
            </w:r>
            <w:r>
              <w:rPr>
                <w:rFonts w:hint="eastAsia" w:ascii="宋体" w:hAnsi="宋体" w:cs="Times New Roman"/>
                <w:b/>
                <w:bCs/>
                <w:sz w:val="30"/>
                <w:szCs w:val="30"/>
                <w:lang w:val="en-US" w:eastAsia="zh-CN"/>
              </w:rPr>
              <w:t xml:space="preserve"> </w:t>
            </w:r>
            <w:r>
              <w:rPr>
                <w:rFonts w:hint="eastAsia" w:ascii="宋体" w:hAnsi="宋体" w:cs="Times New Roman"/>
                <w:b/>
                <w:bCs/>
                <w:sz w:val="30"/>
                <w:szCs w:val="30"/>
                <w:lang w:eastAsia="zh-CN"/>
              </w:rPr>
              <w:t>属</w:t>
            </w:r>
            <w:r>
              <w:rPr>
                <w:rFonts w:hint="eastAsia" w:ascii="宋体" w:hAnsi="宋体" w:cs="Times New Roman"/>
                <w:b/>
                <w:bCs/>
                <w:sz w:val="30"/>
                <w:szCs w:val="30"/>
                <w:lang w:val="en-US" w:eastAsia="zh-CN"/>
              </w:rPr>
              <w:t xml:space="preserve"> </w:t>
            </w:r>
            <w:r>
              <w:rPr>
                <w:rFonts w:hint="eastAsia" w:ascii="宋体" w:hAnsi="宋体" w:cs="Times New Roman"/>
                <w:b/>
                <w:bCs/>
                <w:sz w:val="30"/>
                <w:szCs w:val="30"/>
                <w:lang w:eastAsia="zh-CN"/>
              </w:rPr>
              <w:t>性：</w:t>
            </w:r>
          </w:p>
        </w:tc>
        <w:tc>
          <w:tcPr>
            <w:tcW w:w="6058" w:type="dxa"/>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Times New Roman"/>
                <w:b/>
                <w:bCs/>
                <w:sz w:val="30"/>
                <w:szCs w:val="30"/>
                <w:lang w:eastAsia="zh-CN"/>
              </w:rPr>
            </w:pPr>
            <w:r>
              <w:rPr>
                <w:rFonts w:hint="eastAsia" w:ascii="宋体" w:hAnsi="宋体" w:cs="Times New Roman"/>
                <w:b/>
                <w:bCs/>
                <w:sz w:val="30"/>
                <w:szCs w:val="30"/>
                <w:lang w:eastAsia="zh-CN"/>
              </w:rPr>
              <w:t>服务类</w:t>
            </w:r>
          </w:p>
        </w:tc>
      </w:tr>
      <w:tr>
        <w:tblPrEx>
          <w:tblCellMar>
            <w:top w:w="0" w:type="dxa"/>
            <w:left w:w="108" w:type="dxa"/>
            <w:bottom w:w="0" w:type="dxa"/>
            <w:right w:w="108" w:type="dxa"/>
          </w:tblCellMar>
        </w:tblPrEx>
        <w:trPr>
          <w:jc w:val="center"/>
        </w:trPr>
        <w:tc>
          <w:tcPr>
            <w:tcW w:w="3360" w:type="dxa"/>
            <w:noWrap w:val="0"/>
            <w:vAlign w:val="center"/>
          </w:tcPr>
          <w:p>
            <w:pPr>
              <w:keepNext w:val="0"/>
              <w:keepLines w:val="0"/>
              <w:widowControl/>
              <w:suppressLineNumbers w:val="0"/>
              <w:spacing w:before="0" w:beforeAutospacing="0" w:after="0" w:afterAutospacing="0" w:line="360" w:lineRule="auto"/>
              <w:ind w:left="0" w:right="0"/>
              <w:jc w:val="right"/>
              <w:rPr>
                <w:rFonts w:hint="eastAsia" w:ascii="宋体" w:hAnsi="宋体" w:cs="Times New Roman"/>
                <w:b/>
                <w:bCs/>
                <w:sz w:val="30"/>
                <w:szCs w:val="30"/>
              </w:rPr>
            </w:pPr>
          </w:p>
        </w:tc>
        <w:tc>
          <w:tcPr>
            <w:tcW w:w="6058" w:type="dxa"/>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cs="Times New Roman"/>
                <w:b/>
                <w:bCs/>
                <w:sz w:val="30"/>
                <w:szCs w:val="30"/>
              </w:rPr>
            </w:pPr>
          </w:p>
          <w:p>
            <w:pPr>
              <w:keepNext w:val="0"/>
              <w:keepLines w:val="0"/>
              <w:widowControl/>
              <w:suppressLineNumbers w:val="0"/>
              <w:spacing w:before="0" w:beforeAutospacing="0" w:after="0" w:afterAutospacing="0" w:line="360" w:lineRule="auto"/>
              <w:ind w:left="0" w:right="0"/>
              <w:jc w:val="both"/>
              <w:rPr>
                <w:rFonts w:hint="eastAsia" w:ascii="宋体" w:hAnsi="宋体" w:cs="Times New Roman"/>
                <w:b/>
                <w:bCs/>
                <w:sz w:val="30"/>
                <w:szCs w:val="30"/>
              </w:rPr>
            </w:pPr>
          </w:p>
          <w:p>
            <w:pPr>
              <w:keepNext w:val="0"/>
              <w:keepLines w:val="0"/>
              <w:widowControl/>
              <w:suppressLineNumbers w:val="0"/>
              <w:spacing w:before="0" w:beforeAutospacing="0" w:after="0" w:afterAutospacing="0" w:line="360" w:lineRule="auto"/>
              <w:ind w:left="0" w:right="0"/>
              <w:jc w:val="both"/>
              <w:rPr>
                <w:rFonts w:hint="eastAsia" w:ascii="宋体" w:hAnsi="宋体" w:cs="Times New Roman"/>
                <w:b/>
                <w:bCs/>
                <w:sz w:val="30"/>
                <w:szCs w:val="30"/>
              </w:rPr>
            </w:pPr>
          </w:p>
        </w:tc>
      </w:tr>
      <w:tr>
        <w:tblPrEx>
          <w:tblCellMar>
            <w:top w:w="0" w:type="dxa"/>
            <w:left w:w="108" w:type="dxa"/>
            <w:bottom w:w="0" w:type="dxa"/>
            <w:right w:w="108" w:type="dxa"/>
          </w:tblCellMar>
        </w:tblPrEx>
        <w:trPr>
          <w:jc w:val="center"/>
        </w:trPr>
        <w:tc>
          <w:tcPr>
            <w:tcW w:w="3360" w:type="dxa"/>
            <w:noWrap w:val="0"/>
            <w:vAlign w:val="center"/>
          </w:tcPr>
          <w:p>
            <w:pPr>
              <w:keepNext w:val="0"/>
              <w:keepLines w:val="0"/>
              <w:widowControl/>
              <w:suppressLineNumbers w:val="0"/>
              <w:spacing w:before="0" w:beforeAutospacing="0" w:after="0" w:afterAutospacing="0" w:line="360" w:lineRule="auto"/>
              <w:ind w:left="0" w:right="0"/>
              <w:jc w:val="right"/>
              <w:rPr>
                <w:rFonts w:hint="eastAsia" w:ascii="宋体" w:hAnsi="宋体" w:cs="Times New Roman"/>
                <w:b/>
                <w:bCs/>
                <w:sz w:val="30"/>
                <w:szCs w:val="30"/>
              </w:rPr>
            </w:pPr>
            <w:r>
              <w:rPr>
                <w:rFonts w:hint="eastAsia" w:ascii="宋体" w:hAnsi="宋体" w:cs="Times New Roman"/>
                <w:b/>
                <w:bCs/>
                <w:sz w:val="30"/>
                <w:szCs w:val="30"/>
              </w:rPr>
              <w:t>采</w:t>
            </w:r>
            <w:r>
              <w:rPr>
                <w:rFonts w:hint="eastAsia" w:ascii="宋体" w:hAnsi="宋体" w:cs="Times New Roman"/>
                <w:b/>
                <w:bCs/>
                <w:sz w:val="30"/>
                <w:szCs w:val="30"/>
                <w:lang w:val="en-US" w:eastAsia="zh-CN"/>
              </w:rPr>
              <w:t xml:space="preserve"> </w:t>
            </w:r>
            <w:r>
              <w:rPr>
                <w:rFonts w:hint="eastAsia" w:ascii="宋体" w:hAnsi="宋体" w:cs="Times New Roman"/>
                <w:b/>
                <w:bCs/>
                <w:sz w:val="30"/>
                <w:szCs w:val="30"/>
              </w:rPr>
              <w:t>购</w:t>
            </w:r>
            <w:r>
              <w:rPr>
                <w:rFonts w:hint="eastAsia" w:ascii="宋体" w:hAnsi="宋体" w:cs="Times New Roman"/>
                <w:b/>
                <w:bCs/>
                <w:sz w:val="30"/>
                <w:szCs w:val="30"/>
                <w:lang w:val="en-US" w:eastAsia="zh-CN"/>
              </w:rPr>
              <w:t xml:space="preserve"> </w:t>
            </w:r>
            <w:r>
              <w:rPr>
                <w:rFonts w:hint="eastAsia" w:ascii="宋体" w:hAnsi="宋体" w:cs="Times New Roman"/>
                <w:b/>
                <w:bCs/>
                <w:sz w:val="30"/>
                <w:szCs w:val="30"/>
              </w:rPr>
              <w:t>人：</w:t>
            </w:r>
          </w:p>
        </w:tc>
        <w:tc>
          <w:tcPr>
            <w:tcW w:w="6058" w:type="dxa"/>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Times New Roman"/>
                <w:b/>
                <w:bCs/>
                <w:sz w:val="30"/>
                <w:szCs w:val="30"/>
                <w:lang w:eastAsia="zh-CN"/>
              </w:rPr>
            </w:pPr>
            <w:r>
              <w:rPr>
                <w:rFonts w:hint="eastAsia" w:ascii="宋体" w:hAnsi="宋体" w:eastAsia="宋体" w:cs="Times New Roman"/>
                <w:b/>
                <w:bCs/>
                <w:sz w:val="30"/>
                <w:szCs w:val="30"/>
                <w:lang w:val="en-US" w:eastAsia="zh-CN"/>
              </w:rPr>
              <w:t>瑞安市机关事务管理中心</w:t>
            </w:r>
          </w:p>
        </w:tc>
      </w:tr>
      <w:tr>
        <w:tblPrEx>
          <w:tblCellMar>
            <w:top w:w="0" w:type="dxa"/>
            <w:left w:w="108" w:type="dxa"/>
            <w:bottom w:w="0" w:type="dxa"/>
            <w:right w:w="108" w:type="dxa"/>
          </w:tblCellMar>
        </w:tblPrEx>
        <w:trPr>
          <w:jc w:val="center"/>
        </w:trPr>
        <w:tc>
          <w:tcPr>
            <w:tcW w:w="3360" w:type="dxa"/>
            <w:noWrap w:val="0"/>
            <w:vAlign w:val="center"/>
          </w:tcPr>
          <w:p>
            <w:pPr>
              <w:keepNext w:val="0"/>
              <w:keepLines w:val="0"/>
              <w:widowControl/>
              <w:suppressLineNumbers w:val="0"/>
              <w:spacing w:before="0" w:beforeAutospacing="0" w:after="0" w:afterAutospacing="0" w:line="360" w:lineRule="auto"/>
              <w:ind w:left="0" w:right="0"/>
              <w:jc w:val="right"/>
              <w:rPr>
                <w:rFonts w:hint="eastAsia" w:ascii="宋体" w:hAnsi="宋体" w:cs="Times New Roman"/>
                <w:b/>
                <w:bCs/>
                <w:sz w:val="30"/>
                <w:szCs w:val="30"/>
              </w:rPr>
            </w:pPr>
            <w:r>
              <w:rPr>
                <w:rFonts w:hint="eastAsia" w:ascii="宋体" w:hAnsi="宋体" w:cs="Times New Roman"/>
                <w:b/>
                <w:bCs/>
                <w:sz w:val="30"/>
                <w:szCs w:val="30"/>
              </w:rPr>
              <w:t>集中采购机构：</w:t>
            </w:r>
          </w:p>
        </w:tc>
        <w:tc>
          <w:tcPr>
            <w:tcW w:w="6058" w:type="dxa"/>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cs="Times New Roman"/>
                <w:b/>
                <w:bCs/>
                <w:sz w:val="30"/>
                <w:szCs w:val="30"/>
              </w:rPr>
            </w:pPr>
            <w:r>
              <w:rPr>
                <w:rFonts w:hint="eastAsia" w:ascii="宋体" w:hAnsi="宋体" w:cs="Times New Roman"/>
                <w:b/>
                <w:bCs/>
                <w:sz w:val="30"/>
                <w:szCs w:val="30"/>
              </w:rPr>
              <w:t>瑞安市公共资源交易中心</w:t>
            </w:r>
          </w:p>
        </w:tc>
      </w:tr>
      <w:tr>
        <w:tblPrEx>
          <w:tblCellMar>
            <w:top w:w="0" w:type="dxa"/>
            <w:left w:w="108" w:type="dxa"/>
            <w:bottom w:w="0" w:type="dxa"/>
            <w:right w:w="108" w:type="dxa"/>
          </w:tblCellMar>
        </w:tblPrEx>
        <w:trPr>
          <w:jc w:val="center"/>
        </w:trPr>
        <w:tc>
          <w:tcPr>
            <w:tcW w:w="3360" w:type="dxa"/>
            <w:noWrap w:val="0"/>
            <w:vAlign w:val="center"/>
          </w:tcPr>
          <w:p>
            <w:pPr>
              <w:keepNext w:val="0"/>
              <w:keepLines w:val="0"/>
              <w:widowControl/>
              <w:suppressLineNumbers w:val="0"/>
              <w:spacing w:before="0" w:beforeAutospacing="0" w:after="0" w:afterAutospacing="0" w:line="360" w:lineRule="auto"/>
              <w:ind w:left="0" w:right="1200"/>
              <w:rPr>
                <w:rFonts w:hint="eastAsia" w:ascii="宋体" w:hAnsi="宋体" w:cs="Times New Roman"/>
                <w:b/>
                <w:bCs/>
                <w:sz w:val="30"/>
                <w:szCs w:val="30"/>
              </w:rPr>
            </w:pPr>
          </w:p>
        </w:tc>
        <w:tc>
          <w:tcPr>
            <w:tcW w:w="6058" w:type="dxa"/>
            <w:noWrap w:val="0"/>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cs="Times New Roman"/>
                <w:b/>
                <w:bCs/>
                <w:sz w:val="30"/>
                <w:szCs w:val="30"/>
              </w:rPr>
            </w:pPr>
          </w:p>
        </w:tc>
      </w:tr>
      <w:tr>
        <w:tblPrEx>
          <w:tblCellMar>
            <w:top w:w="0" w:type="dxa"/>
            <w:left w:w="108" w:type="dxa"/>
            <w:bottom w:w="0" w:type="dxa"/>
            <w:right w:w="108" w:type="dxa"/>
          </w:tblCellMar>
        </w:tblPrEx>
        <w:trPr>
          <w:jc w:val="center"/>
        </w:trPr>
        <w:tc>
          <w:tcPr>
            <w:tcW w:w="9418" w:type="dxa"/>
            <w:gridSpan w:val="2"/>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Times New Roman"/>
                <w:b/>
                <w:bCs/>
                <w:sz w:val="30"/>
                <w:szCs w:val="30"/>
              </w:rPr>
            </w:pPr>
            <w:r>
              <w:rPr>
                <w:rFonts w:hint="eastAsia" w:ascii="宋体" w:hAnsi="宋体" w:cs="宋体"/>
                <w:b/>
                <w:sz w:val="28"/>
                <w:szCs w:val="28"/>
              </w:rPr>
              <w:t>二○二</w:t>
            </w:r>
            <w:r>
              <w:rPr>
                <w:rFonts w:hint="eastAsia" w:ascii="宋体" w:hAnsi="宋体" w:cs="宋体"/>
                <w:b/>
                <w:sz w:val="28"/>
                <w:szCs w:val="28"/>
                <w:lang w:eastAsia="zh-CN"/>
              </w:rPr>
              <w:t>三</w:t>
            </w:r>
            <w:r>
              <w:rPr>
                <w:rFonts w:hint="eastAsia" w:ascii="宋体" w:hAnsi="宋体" w:cs="宋体"/>
                <w:b/>
                <w:sz w:val="28"/>
                <w:szCs w:val="28"/>
              </w:rPr>
              <w:t>年</w:t>
            </w:r>
            <w:r>
              <w:rPr>
                <w:rFonts w:hint="eastAsia" w:ascii="宋体" w:hAnsi="宋体" w:cs="宋体"/>
                <w:b/>
                <w:sz w:val="28"/>
                <w:szCs w:val="28"/>
                <w:lang w:val="en-US" w:eastAsia="zh-CN"/>
              </w:rPr>
              <w:t>七</w:t>
            </w:r>
            <w:r>
              <w:rPr>
                <w:rFonts w:hint="eastAsia" w:ascii="宋体" w:hAnsi="宋体" w:cs="宋体"/>
                <w:b/>
                <w:sz w:val="28"/>
                <w:szCs w:val="28"/>
              </w:rPr>
              <w:t>月</w:t>
            </w:r>
          </w:p>
        </w:tc>
      </w:tr>
    </w:tbl>
    <w:p>
      <w:pPr>
        <w:rPr>
          <w:rFonts w:hint="eastAsia"/>
        </w:rPr>
        <w:sectPr>
          <w:headerReference r:id="rId4" w:type="first"/>
          <w:footerReference r:id="rId5" w:type="first"/>
          <w:headerReference r:id="rId3" w:type="default"/>
          <w:pgSz w:w="11906" w:h="16838"/>
          <w:pgMar w:top="1588" w:right="1418" w:bottom="1134" w:left="1418" w:header="680" w:footer="992" w:gutter="0"/>
          <w:pgNumType w:fmt="numberInDash" w:start="1"/>
          <w:cols w:space="720" w:num="1"/>
          <w:docGrid w:type="lines" w:linePitch="312" w:charSpace="0"/>
        </w:sectPr>
      </w:pPr>
    </w:p>
    <w:p>
      <w:pPr>
        <w:spacing w:before="0" w:beforeLines="0" w:after="0" w:afterLines="0" w:line="240" w:lineRule="auto"/>
        <w:ind w:left="0" w:leftChars="0" w:right="0" w:rightChars="0" w:firstLine="0" w:firstLineChars="0"/>
        <w:jc w:val="center"/>
        <w:rPr>
          <w:b/>
          <w:bCs/>
          <w:sz w:val="24"/>
          <w:szCs w:val="24"/>
        </w:rPr>
      </w:pPr>
      <w:bookmarkStart w:id="2" w:name="_Toc9941"/>
      <w:bookmarkStart w:id="3" w:name="_Toc26311"/>
      <w:bookmarkStart w:id="4" w:name="_Toc20418"/>
      <w:bookmarkStart w:id="5" w:name="_Toc13276"/>
      <w:bookmarkStart w:id="6" w:name="_Toc21466"/>
      <w:bookmarkStart w:id="7" w:name="_Toc31108"/>
      <w:bookmarkStart w:id="8" w:name="_Toc21561"/>
      <w:bookmarkStart w:id="9" w:name="_Toc8152"/>
      <w:bookmarkStart w:id="10" w:name="_Toc4144"/>
      <w:bookmarkStart w:id="11" w:name="_Toc28025"/>
      <w:bookmarkStart w:id="12" w:name="_Toc24832"/>
      <w:bookmarkStart w:id="13" w:name="_Toc2296"/>
      <w:r>
        <w:rPr>
          <w:rFonts w:ascii="宋体" w:hAnsi="宋体" w:eastAsia="宋体"/>
          <w:b/>
          <w:bCs/>
          <w:sz w:val="28"/>
          <w:szCs w:val="28"/>
        </w:rPr>
        <w:t>目</w:t>
      </w:r>
      <w:r>
        <w:rPr>
          <w:rFonts w:hint="eastAsia" w:ascii="宋体" w:hAnsi="宋体" w:eastAsia="宋体"/>
          <w:b/>
          <w:bCs/>
          <w:sz w:val="28"/>
          <w:szCs w:val="28"/>
          <w:lang w:val="en-US" w:eastAsia="zh-CN"/>
        </w:rPr>
        <w:t xml:space="preserve">   </w:t>
      </w:r>
      <w:r>
        <w:rPr>
          <w:rFonts w:ascii="宋体" w:hAnsi="宋体" w:eastAsia="宋体"/>
          <w:b/>
          <w:bCs/>
          <w:sz w:val="28"/>
          <w:szCs w:val="28"/>
        </w:rPr>
        <w:t>录</w:t>
      </w:r>
    </w:p>
    <w:p>
      <w:pPr>
        <w:pStyle w:val="28"/>
        <w:tabs>
          <w:tab w:val="right" w:leader="dot" w:pos="8300"/>
          <w:tab w:val="clear" w:pos="8948"/>
        </w:tabs>
      </w:pPr>
      <w:bookmarkStart w:id="14" w:name="_Toc12056"/>
      <w:bookmarkStart w:id="15" w:name="_Toc1337"/>
      <w:bookmarkStart w:id="16" w:name="_Toc32346"/>
      <w:bookmarkStart w:id="17" w:name="_Toc12146"/>
      <w:bookmarkStart w:id="18" w:name="_Toc10317"/>
      <w:bookmarkStart w:id="19" w:name="_Toc20657"/>
      <w:bookmarkStart w:id="20" w:name="_Toc19643"/>
      <w:bookmarkStart w:id="21" w:name="_Toc6478"/>
      <w:bookmarkStart w:id="22" w:name="_Toc2973"/>
      <w:bookmarkStart w:id="23" w:name="_Toc22902"/>
      <w:bookmarkStart w:id="24" w:name="_Toc6708"/>
      <w:bookmarkStart w:id="25" w:name="_Toc14727"/>
      <w:bookmarkStart w:id="26" w:name="_Toc15015"/>
      <w:bookmarkStart w:id="27" w:name="_Toc18031"/>
      <w:bookmarkStart w:id="28" w:name="_Toc15980"/>
      <w:bookmarkStart w:id="29" w:name="_Toc8374"/>
      <w:bookmarkStart w:id="30" w:name="_Toc31294"/>
      <w:bookmarkStart w:id="31" w:name="_Toc26503"/>
      <w:bookmarkStart w:id="32" w:name="_Toc12424"/>
      <w:bookmarkStart w:id="33" w:name="_Toc20118"/>
      <w:bookmarkStart w:id="34" w:name="_Toc18232"/>
      <w:bookmarkStart w:id="35" w:name="_Toc838"/>
      <w:bookmarkStart w:id="36" w:name="_Toc24955"/>
      <w:bookmarkStart w:id="37" w:name="_Toc10131"/>
      <w:bookmarkStart w:id="38" w:name="_Toc3392"/>
      <w:r>
        <w:rPr>
          <w:rFonts w:hint="eastAsia" w:ascii="宋体" w:hAnsi="Times New Roman"/>
          <w:b/>
          <w:sz w:val="28"/>
          <w:szCs w:val="28"/>
          <w:lang w:val="en-US" w:eastAsia="zh-CN"/>
        </w:rPr>
        <w:fldChar w:fldCharType="begin"/>
      </w:r>
      <w:r>
        <w:rPr>
          <w:rFonts w:hint="eastAsia" w:ascii="宋体" w:hAnsi="Times New Roman"/>
          <w:b/>
          <w:sz w:val="28"/>
          <w:szCs w:val="28"/>
          <w:lang w:val="en-US" w:eastAsia="zh-CN"/>
        </w:rPr>
        <w:instrText xml:space="preserve">TOC \o "1-2" \h \u </w:instrText>
      </w:r>
      <w:r>
        <w:rPr>
          <w:rFonts w:hint="eastAsia" w:ascii="宋体" w:hAnsi="Times New Roman"/>
          <w:b/>
          <w:sz w:val="28"/>
          <w:szCs w:val="28"/>
          <w:lang w:val="en-US" w:eastAsia="zh-CN"/>
        </w:rPr>
        <w:fldChar w:fldCharType="separate"/>
      </w: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_Toc22969 </w:instrText>
      </w:r>
      <w:r>
        <w:rPr>
          <w:rFonts w:hint="eastAsia" w:ascii="宋体" w:hAnsi="Times New Roman"/>
          <w:szCs w:val="28"/>
          <w:lang w:val="en-US" w:eastAsia="zh-CN"/>
        </w:rPr>
        <w:fldChar w:fldCharType="separate"/>
      </w:r>
      <w:r>
        <w:rPr>
          <w:rFonts w:hint="eastAsia" w:ascii="宋体" w:hAnsi="Times New Roman"/>
          <w:szCs w:val="28"/>
          <w:lang w:val="en-US" w:eastAsia="zh-CN"/>
        </w:rPr>
        <w:t>第一部分  招标公告</w:t>
      </w:r>
      <w:r>
        <w:tab/>
      </w:r>
      <w:r>
        <w:rPr>
          <w:rFonts w:ascii="Times New Roman" w:hAnsi="Times New Roman"/>
          <w:bCs w:val="0"/>
          <w:caps w:val="0"/>
          <w:smallCaps/>
          <w:sz w:val="21"/>
          <w:szCs w:val="22"/>
          <w:lang w:val="en-US" w:eastAsia="zh-CN" w:bidi="ar-SA"/>
        </w:rPr>
        <w:fldChar w:fldCharType="begin"/>
      </w:r>
      <w:r>
        <w:rPr>
          <w:rFonts w:ascii="Times New Roman" w:hAnsi="Times New Roman"/>
          <w:bCs w:val="0"/>
          <w:caps w:val="0"/>
          <w:smallCaps/>
          <w:sz w:val="21"/>
          <w:szCs w:val="22"/>
          <w:lang w:val="en-US" w:eastAsia="zh-CN" w:bidi="ar-SA"/>
        </w:rPr>
        <w:instrText xml:space="preserve"> PAGEREF _Toc22969 </w:instrText>
      </w:r>
      <w:r>
        <w:rPr>
          <w:rFonts w:ascii="Times New Roman" w:hAnsi="Times New Roman"/>
          <w:bCs w:val="0"/>
          <w:caps w:val="0"/>
          <w:smallCaps/>
          <w:sz w:val="21"/>
          <w:szCs w:val="22"/>
          <w:lang w:val="en-US" w:eastAsia="zh-CN" w:bidi="ar-SA"/>
        </w:rPr>
        <w:fldChar w:fldCharType="separate"/>
      </w:r>
      <w:r>
        <w:rPr>
          <w:rFonts w:ascii="Times New Roman" w:hAnsi="Times New Roman"/>
          <w:bCs w:val="0"/>
          <w:caps w:val="0"/>
          <w:smallCaps/>
          <w:sz w:val="21"/>
          <w:szCs w:val="22"/>
          <w:lang w:val="en-US" w:eastAsia="zh-CN" w:bidi="ar-SA"/>
        </w:rPr>
        <w:t>- 2 -</w:t>
      </w:r>
      <w:r>
        <w:rPr>
          <w:rFonts w:ascii="Times New Roman" w:hAnsi="Times New Roman"/>
          <w:bCs w:val="0"/>
          <w:caps w:val="0"/>
          <w:smallCaps/>
          <w:sz w:val="21"/>
          <w:szCs w:val="22"/>
          <w:lang w:val="en-US" w:eastAsia="zh-CN" w:bidi="ar-SA"/>
        </w:rPr>
        <w:fldChar w:fldCharType="end"/>
      </w:r>
      <w:r>
        <w:rPr>
          <w:rFonts w:hint="eastAsia" w:ascii="宋体" w:hAnsi="Times New Roman"/>
          <w:szCs w:val="28"/>
          <w:lang w:val="en-US" w:eastAsia="zh-CN"/>
        </w:rPr>
        <w:fldChar w:fldCharType="end"/>
      </w:r>
    </w:p>
    <w:p>
      <w:pPr>
        <w:pStyle w:val="28"/>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_Toc22903 </w:instrText>
      </w:r>
      <w:r>
        <w:rPr>
          <w:rFonts w:hint="eastAsia" w:ascii="宋体" w:hAnsi="Times New Roman"/>
          <w:szCs w:val="28"/>
          <w:lang w:val="en-US" w:eastAsia="zh-CN"/>
        </w:rPr>
        <w:fldChar w:fldCharType="separate"/>
      </w:r>
      <w:r>
        <w:rPr>
          <w:rFonts w:hint="eastAsia" w:hAnsi="Times New Roman"/>
          <w:szCs w:val="28"/>
          <w:lang w:val="en-US" w:eastAsia="zh-CN"/>
        </w:rPr>
        <w:t>前附表</w:t>
      </w:r>
      <w:r>
        <w:tab/>
      </w:r>
      <w:r>
        <w:rPr>
          <w:rFonts w:ascii="Times New Roman" w:hAnsi="Times New Roman"/>
          <w:bCs w:val="0"/>
          <w:caps w:val="0"/>
          <w:smallCaps/>
          <w:sz w:val="21"/>
          <w:szCs w:val="22"/>
          <w:lang w:val="en-US" w:eastAsia="zh-CN" w:bidi="ar-SA"/>
        </w:rPr>
        <w:fldChar w:fldCharType="begin"/>
      </w:r>
      <w:r>
        <w:rPr>
          <w:rFonts w:ascii="Times New Roman" w:hAnsi="Times New Roman"/>
          <w:bCs w:val="0"/>
          <w:caps w:val="0"/>
          <w:smallCaps/>
          <w:sz w:val="21"/>
          <w:szCs w:val="22"/>
          <w:lang w:val="en-US" w:eastAsia="zh-CN" w:bidi="ar-SA"/>
        </w:rPr>
        <w:instrText xml:space="preserve"> PAGEREF _Toc22903 </w:instrText>
      </w:r>
      <w:r>
        <w:rPr>
          <w:rFonts w:ascii="Times New Roman" w:hAnsi="Times New Roman"/>
          <w:bCs w:val="0"/>
          <w:caps w:val="0"/>
          <w:smallCaps/>
          <w:sz w:val="21"/>
          <w:szCs w:val="22"/>
          <w:lang w:val="en-US" w:eastAsia="zh-CN" w:bidi="ar-SA"/>
        </w:rPr>
        <w:fldChar w:fldCharType="separate"/>
      </w:r>
      <w:r>
        <w:rPr>
          <w:rFonts w:ascii="Times New Roman" w:hAnsi="Times New Roman"/>
          <w:bCs w:val="0"/>
          <w:caps w:val="0"/>
          <w:smallCaps/>
          <w:sz w:val="21"/>
          <w:szCs w:val="22"/>
          <w:lang w:val="en-US" w:eastAsia="zh-CN" w:bidi="ar-SA"/>
        </w:rPr>
        <w:t>- 6 -</w:t>
      </w:r>
      <w:r>
        <w:rPr>
          <w:rFonts w:ascii="Times New Roman" w:hAnsi="Times New Roman"/>
          <w:bCs w:val="0"/>
          <w:caps w:val="0"/>
          <w:smallCaps/>
          <w:sz w:val="21"/>
          <w:szCs w:val="22"/>
          <w:lang w:val="en-US" w:eastAsia="zh-CN" w:bidi="ar-SA"/>
        </w:rPr>
        <w:fldChar w:fldCharType="end"/>
      </w:r>
      <w:r>
        <w:rPr>
          <w:rFonts w:hint="eastAsia" w:ascii="宋体" w:hAnsi="Times New Roman"/>
          <w:szCs w:val="28"/>
          <w:lang w:val="en-US" w:eastAsia="zh-CN"/>
        </w:rPr>
        <w:fldChar w:fldCharType="end"/>
      </w:r>
    </w:p>
    <w:p>
      <w:pPr>
        <w:pStyle w:val="31"/>
        <w:tabs>
          <w:tab w:val="right" w:leader="dot" w:pos="8300"/>
          <w:tab w:val="clear" w:pos="8948"/>
        </w:tabs>
        <w:ind w:left="0" w:leftChars="0" w:firstLine="0" w:firstLineChars="0"/>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_Toc31577 </w:instrText>
      </w:r>
      <w:r>
        <w:rPr>
          <w:rFonts w:hint="eastAsia" w:ascii="宋体" w:hAnsi="Times New Roman"/>
          <w:szCs w:val="28"/>
          <w:lang w:val="en-US" w:eastAsia="zh-CN"/>
        </w:rPr>
        <w:fldChar w:fldCharType="separate"/>
      </w:r>
      <w:r>
        <w:rPr>
          <w:rFonts w:hint="eastAsia" w:ascii="宋体" w:hAnsi="Times New Roman"/>
          <w:bCs w:val="0"/>
          <w:kern w:val="44"/>
          <w:szCs w:val="28"/>
          <w:lang w:val="en-US" w:eastAsia="zh-CN" w:bidi="ar-SA"/>
        </w:rPr>
        <w:t>第二部分  投标人须知</w:t>
      </w:r>
      <w:r>
        <w:tab/>
      </w:r>
      <w:r>
        <w:fldChar w:fldCharType="begin"/>
      </w:r>
      <w:r>
        <w:instrText xml:space="preserve"> PAGEREF _Toc31577 </w:instrText>
      </w:r>
      <w:r>
        <w:fldChar w:fldCharType="separate"/>
      </w:r>
      <w:r>
        <w:t>- 9 -</w:t>
      </w:r>
      <w: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_Toc10772 </w:instrText>
      </w:r>
      <w:r>
        <w:rPr>
          <w:rFonts w:hint="eastAsia" w:ascii="宋体" w:hAnsi="Times New Roman"/>
          <w:szCs w:val="28"/>
          <w:lang w:val="en-US" w:eastAsia="zh-CN"/>
        </w:rPr>
        <w:fldChar w:fldCharType="separate"/>
      </w:r>
      <w:r>
        <w:rPr>
          <w:rFonts w:hint="eastAsia"/>
          <w:szCs w:val="24"/>
        </w:rPr>
        <w:t>一、 总   则</w:t>
      </w:r>
      <w:r>
        <w:tab/>
      </w:r>
      <w:r>
        <w:fldChar w:fldCharType="begin"/>
      </w:r>
      <w:r>
        <w:instrText xml:space="preserve"> PAGEREF _Toc10772 </w:instrText>
      </w:r>
      <w:r>
        <w:fldChar w:fldCharType="separate"/>
      </w:r>
      <w:r>
        <w:t>- 9 -</w:t>
      </w:r>
      <w: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_Toc27817 </w:instrText>
      </w:r>
      <w:r>
        <w:rPr>
          <w:rFonts w:hint="eastAsia" w:ascii="宋体" w:hAnsi="Times New Roman"/>
          <w:szCs w:val="28"/>
          <w:lang w:val="en-US" w:eastAsia="zh-CN"/>
        </w:rPr>
        <w:fldChar w:fldCharType="separate"/>
      </w:r>
      <w:r>
        <w:rPr>
          <w:rFonts w:hint="eastAsia" w:ascii="宋体" w:hAnsi="宋体" w:cs="宋体"/>
          <w:bCs/>
          <w:szCs w:val="24"/>
          <w:lang w:eastAsia="zh-CN"/>
        </w:rPr>
        <w:t>二、</w:t>
      </w:r>
      <w:r>
        <w:rPr>
          <w:rFonts w:hint="eastAsia" w:ascii="宋体" w:hAnsi="宋体" w:cs="宋体"/>
          <w:bCs/>
          <w:szCs w:val="24"/>
        </w:rPr>
        <w:t>招标文件</w:t>
      </w:r>
      <w:r>
        <w:rPr>
          <w:rFonts w:hint="eastAsia" w:ascii="宋体" w:hAnsi="宋体" w:cs="宋体"/>
          <w:bCs/>
          <w:szCs w:val="24"/>
          <w:lang w:eastAsia="zh-CN"/>
        </w:rPr>
        <w:t>的</w:t>
      </w:r>
      <w:r>
        <w:rPr>
          <w:rFonts w:hint="eastAsia" w:ascii="宋体" w:hAnsi="宋体" w:cs="宋体"/>
          <w:bCs/>
          <w:szCs w:val="24"/>
          <w:lang w:val="en-US" w:eastAsia="zh-CN"/>
        </w:rPr>
        <w:t>构成、</w:t>
      </w:r>
      <w:r>
        <w:rPr>
          <w:rFonts w:hint="eastAsia" w:ascii="宋体" w:hAnsi="宋体" w:cs="宋体"/>
          <w:bCs/>
          <w:szCs w:val="24"/>
        </w:rPr>
        <w:t>澄清</w:t>
      </w:r>
      <w:r>
        <w:rPr>
          <w:rFonts w:hint="eastAsia" w:ascii="宋体" w:hAnsi="宋体" w:cs="宋体"/>
          <w:bCs/>
          <w:szCs w:val="24"/>
          <w:lang w:eastAsia="zh-CN"/>
        </w:rPr>
        <w:t>、</w:t>
      </w:r>
      <w:r>
        <w:rPr>
          <w:rFonts w:hint="eastAsia" w:ascii="宋体" w:hAnsi="宋体" w:cs="宋体"/>
          <w:bCs/>
          <w:szCs w:val="24"/>
        </w:rPr>
        <w:t>修改</w:t>
      </w:r>
      <w:r>
        <w:tab/>
      </w:r>
      <w:r>
        <w:fldChar w:fldCharType="begin"/>
      </w:r>
      <w:r>
        <w:instrText xml:space="preserve"> PAGEREF _Toc27817 </w:instrText>
      </w:r>
      <w:r>
        <w:fldChar w:fldCharType="separate"/>
      </w:r>
      <w:r>
        <w:t>- 12 -</w:t>
      </w:r>
      <w: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_Toc20165 </w:instrText>
      </w:r>
      <w:r>
        <w:rPr>
          <w:rFonts w:hint="eastAsia" w:ascii="宋体" w:hAnsi="Times New Roman"/>
          <w:szCs w:val="28"/>
          <w:lang w:val="en-US" w:eastAsia="zh-CN"/>
        </w:rPr>
        <w:fldChar w:fldCharType="separate"/>
      </w:r>
      <w:r>
        <w:rPr>
          <w:rFonts w:hint="eastAsia"/>
          <w:szCs w:val="24"/>
          <w:lang w:eastAsia="zh-CN"/>
        </w:rPr>
        <w:t>三、</w:t>
      </w:r>
      <w:r>
        <w:rPr>
          <w:rFonts w:hint="eastAsia"/>
          <w:szCs w:val="24"/>
        </w:rPr>
        <w:t>投标</w:t>
      </w:r>
      <w:r>
        <w:tab/>
      </w:r>
      <w:r>
        <w:fldChar w:fldCharType="begin"/>
      </w:r>
      <w:r>
        <w:instrText xml:space="preserve"> PAGEREF _Toc20165 </w:instrText>
      </w:r>
      <w:r>
        <w:fldChar w:fldCharType="separate"/>
      </w:r>
      <w:r>
        <w:t>- 12 -</w:t>
      </w:r>
      <w: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_Toc5642 </w:instrText>
      </w:r>
      <w:r>
        <w:rPr>
          <w:rFonts w:hint="eastAsia" w:ascii="宋体" w:hAnsi="Times New Roman"/>
          <w:szCs w:val="28"/>
          <w:lang w:val="en-US" w:eastAsia="zh-CN"/>
        </w:rPr>
        <w:fldChar w:fldCharType="separate"/>
      </w:r>
      <w:r>
        <w:rPr>
          <w:rFonts w:hint="eastAsia"/>
          <w:szCs w:val="24"/>
          <w:lang w:eastAsia="zh-CN"/>
        </w:rPr>
        <w:t>四、</w:t>
      </w:r>
      <w:r>
        <w:rPr>
          <w:rFonts w:hint="eastAsia"/>
          <w:szCs w:val="24"/>
        </w:rPr>
        <w:t>开标</w:t>
      </w:r>
      <w:r>
        <w:tab/>
      </w:r>
      <w:r>
        <w:fldChar w:fldCharType="begin"/>
      </w:r>
      <w:r>
        <w:instrText xml:space="preserve"> PAGEREF _Toc5642 </w:instrText>
      </w:r>
      <w:r>
        <w:fldChar w:fldCharType="separate"/>
      </w:r>
      <w:r>
        <w:t>- 16 -</w:t>
      </w:r>
      <w: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_Toc7010 </w:instrText>
      </w:r>
      <w:r>
        <w:rPr>
          <w:rFonts w:hint="eastAsia" w:ascii="宋体" w:hAnsi="Times New Roman"/>
          <w:szCs w:val="28"/>
          <w:lang w:val="en-US" w:eastAsia="zh-CN"/>
        </w:rPr>
        <w:fldChar w:fldCharType="separate"/>
      </w:r>
      <w:r>
        <w:rPr>
          <w:rFonts w:hint="eastAsia"/>
          <w:szCs w:val="24"/>
          <w:lang w:eastAsia="zh-CN"/>
        </w:rPr>
        <w:t>五、评</w:t>
      </w:r>
      <w:r>
        <w:rPr>
          <w:rFonts w:hint="eastAsia"/>
          <w:szCs w:val="24"/>
        </w:rPr>
        <w:t>标</w:t>
      </w:r>
      <w:r>
        <w:tab/>
      </w:r>
      <w:r>
        <w:fldChar w:fldCharType="begin"/>
      </w:r>
      <w:r>
        <w:instrText xml:space="preserve"> PAGEREF _Toc7010 </w:instrText>
      </w:r>
      <w:r>
        <w:fldChar w:fldCharType="separate"/>
      </w:r>
      <w:r>
        <w:t>- 17 -</w:t>
      </w:r>
      <w: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_Toc19988 </w:instrText>
      </w:r>
      <w:r>
        <w:rPr>
          <w:rFonts w:hint="eastAsia" w:ascii="宋体" w:hAnsi="Times New Roman"/>
          <w:szCs w:val="28"/>
          <w:lang w:val="en-US" w:eastAsia="zh-CN"/>
        </w:rPr>
        <w:fldChar w:fldCharType="separate"/>
      </w:r>
      <w:r>
        <w:rPr>
          <w:rFonts w:hint="eastAsia"/>
          <w:szCs w:val="24"/>
          <w:lang w:eastAsia="zh-CN"/>
        </w:rPr>
        <w:t>六、定</w:t>
      </w:r>
      <w:r>
        <w:rPr>
          <w:rFonts w:hint="eastAsia"/>
          <w:szCs w:val="24"/>
        </w:rPr>
        <w:t>标</w:t>
      </w:r>
      <w:r>
        <w:tab/>
      </w:r>
      <w:r>
        <w:fldChar w:fldCharType="begin"/>
      </w:r>
      <w:r>
        <w:instrText xml:space="preserve"> PAGEREF _Toc19988 </w:instrText>
      </w:r>
      <w:r>
        <w:fldChar w:fldCharType="separate"/>
      </w:r>
      <w:r>
        <w:t>- 18 -</w:t>
      </w:r>
      <w: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_Toc12606 </w:instrText>
      </w:r>
      <w:r>
        <w:rPr>
          <w:rFonts w:hint="eastAsia" w:ascii="宋体" w:hAnsi="Times New Roman"/>
          <w:szCs w:val="28"/>
          <w:lang w:val="en-US" w:eastAsia="zh-CN"/>
        </w:rPr>
        <w:fldChar w:fldCharType="separate"/>
      </w:r>
      <w:r>
        <w:rPr>
          <w:rFonts w:hint="eastAsia" w:ascii="宋体" w:hAnsi="宋体" w:cs="宋体"/>
          <w:bCs w:val="0"/>
          <w:szCs w:val="24"/>
        </w:rPr>
        <w:t>七、 授予合同</w:t>
      </w:r>
      <w:r>
        <w:tab/>
      </w:r>
      <w:r>
        <w:fldChar w:fldCharType="begin"/>
      </w:r>
      <w:r>
        <w:instrText xml:space="preserve"> PAGEREF _Toc12606 </w:instrText>
      </w:r>
      <w:r>
        <w:fldChar w:fldCharType="separate"/>
      </w:r>
      <w:r>
        <w:t>- 18 -</w:t>
      </w:r>
      <w: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_Toc2988 </w:instrText>
      </w:r>
      <w:r>
        <w:rPr>
          <w:rFonts w:hint="eastAsia" w:ascii="宋体" w:hAnsi="Times New Roman"/>
          <w:szCs w:val="28"/>
          <w:lang w:val="en-US" w:eastAsia="zh-CN"/>
        </w:rPr>
        <w:fldChar w:fldCharType="separate"/>
      </w:r>
      <w:r>
        <w:rPr>
          <w:rFonts w:hint="eastAsia" w:ascii="宋体" w:hAnsi="宋体" w:cs="宋体"/>
          <w:bCs w:val="0"/>
          <w:szCs w:val="24"/>
        </w:rPr>
        <w:t xml:space="preserve">八、 </w:t>
      </w:r>
      <w:r>
        <w:rPr>
          <w:rFonts w:hint="eastAsia" w:ascii="宋体" w:hAnsi="宋体" w:cs="宋体"/>
          <w:bCs/>
          <w:szCs w:val="24"/>
          <w:lang w:val="en-US" w:eastAsia="zh-CN"/>
        </w:rPr>
        <w:t>履约</w:t>
      </w:r>
      <w:r>
        <w:rPr>
          <w:rFonts w:hint="eastAsia" w:ascii="宋体" w:hAnsi="宋体" w:cs="宋体"/>
          <w:bCs w:val="0"/>
          <w:szCs w:val="24"/>
          <w:lang w:eastAsia="zh-CN"/>
        </w:rPr>
        <w:t>验收</w:t>
      </w:r>
      <w:r>
        <w:tab/>
      </w:r>
      <w:r>
        <w:fldChar w:fldCharType="begin"/>
      </w:r>
      <w:r>
        <w:instrText xml:space="preserve"> PAGEREF _Toc2988 </w:instrText>
      </w:r>
      <w:r>
        <w:fldChar w:fldCharType="separate"/>
      </w:r>
      <w:r>
        <w:t>- 19 -</w:t>
      </w:r>
      <w: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_Toc11653 </w:instrText>
      </w:r>
      <w:r>
        <w:rPr>
          <w:rFonts w:hint="eastAsia" w:ascii="宋体" w:hAnsi="Times New Roman"/>
          <w:szCs w:val="28"/>
          <w:lang w:val="en-US" w:eastAsia="zh-CN"/>
        </w:rPr>
        <w:fldChar w:fldCharType="separate"/>
      </w:r>
      <w:r>
        <w:rPr>
          <w:rFonts w:hint="eastAsia" w:ascii="宋体" w:hAnsi="宋体" w:cs="宋体"/>
          <w:bCs/>
          <w:szCs w:val="24"/>
          <w:lang w:val="en-US" w:eastAsia="zh-CN"/>
        </w:rPr>
        <w:t>九、 询问、质疑与投诉</w:t>
      </w:r>
      <w:r>
        <w:tab/>
      </w:r>
      <w:r>
        <w:fldChar w:fldCharType="begin"/>
      </w:r>
      <w:r>
        <w:instrText xml:space="preserve"> PAGEREF _Toc11653 </w:instrText>
      </w:r>
      <w:r>
        <w:fldChar w:fldCharType="separate"/>
      </w:r>
      <w:r>
        <w:t>- 20 -</w:t>
      </w:r>
      <w: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_Toc27952 </w:instrText>
      </w:r>
      <w:r>
        <w:rPr>
          <w:rFonts w:hint="eastAsia" w:ascii="宋体" w:hAnsi="Times New Roman"/>
          <w:szCs w:val="28"/>
          <w:lang w:val="en-US" w:eastAsia="zh-CN"/>
        </w:rPr>
        <w:fldChar w:fldCharType="separate"/>
      </w:r>
      <w:r>
        <w:rPr>
          <w:rFonts w:hint="eastAsia" w:ascii="宋体" w:hAnsi="宋体" w:cs="宋体"/>
          <w:bCs/>
          <w:szCs w:val="24"/>
          <w:lang w:val="en-US" w:eastAsia="zh-CN"/>
        </w:rPr>
        <w:t>十、 项目异常情况及处理措施</w:t>
      </w:r>
      <w:r>
        <w:tab/>
      </w:r>
      <w:r>
        <w:fldChar w:fldCharType="begin"/>
      </w:r>
      <w:r>
        <w:instrText xml:space="preserve"> PAGEREF _Toc27952 </w:instrText>
      </w:r>
      <w:r>
        <w:fldChar w:fldCharType="separate"/>
      </w:r>
      <w:r>
        <w:t>- 21 -</w:t>
      </w:r>
      <w:r>
        <w:fldChar w:fldCharType="end"/>
      </w:r>
      <w:r>
        <w:rPr>
          <w:rFonts w:hint="eastAsia" w:ascii="宋体" w:hAnsi="Times New Roman"/>
          <w:szCs w:val="28"/>
          <w:lang w:val="en-US" w:eastAsia="zh-CN"/>
        </w:rPr>
        <w:fldChar w:fldCharType="end"/>
      </w:r>
    </w:p>
    <w:p>
      <w:pPr>
        <w:pStyle w:val="28"/>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_Toc24136 </w:instrText>
      </w:r>
      <w:r>
        <w:rPr>
          <w:rFonts w:hint="eastAsia" w:ascii="宋体" w:hAnsi="Times New Roman"/>
          <w:szCs w:val="28"/>
          <w:lang w:val="en-US" w:eastAsia="zh-CN"/>
        </w:rPr>
        <w:fldChar w:fldCharType="separate"/>
      </w:r>
      <w:r>
        <w:rPr>
          <w:rFonts w:hint="eastAsia"/>
          <w:szCs w:val="28"/>
          <w:lang w:eastAsia="zh-CN"/>
        </w:rPr>
        <w:t>第三部分</w:t>
      </w:r>
      <w:r>
        <w:rPr>
          <w:rFonts w:hint="eastAsia"/>
          <w:szCs w:val="28"/>
        </w:rPr>
        <w:t xml:space="preserve">  招标内容及要求</w:t>
      </w:r>
      <w:r>
        <w:tab/>
      </w:r>
      <w:r>
        <w:rPr>
          <w:rFonts w:ascii="Times New Roman" w:hAnsi="Times New Roman"/>
          <w:bCs w:val="0"/>
          <w:caps w:val="0"/>
          <w:smallCaps/>
          <w:sz w:val="21"/>
          <w:szCs w:val="22"/>
          <w:lang w:val="en-US" w:eastAsia="zh-CN" w:bidi="ar-SA"/>
        </w:rPr>
        <w:fldChar w:fldCharType="begin"/>
      </w:r>
      <w:r>
        <w:rPr>
          <w:rFonts w:ascii="Times New Roman" w:hAnsi="Times New Roman"/>
          <w:bCs w:val="0"/>
          <w:caps w:val="0"/>
          <w:smallCaps/>
          <w:sz w:val="21"/>
          <w:szCs w:val="22"/>
          <w:lang w:val="en-US" w:eastAsia="zh-CN" w:bidi="ar-SA"/>
        </w:rPr>
        <w:instrText xml:space="preserve"> PAGEREF _Toc24136 </w:instrText>
      </w:r>
      <w:r>
        <w:rPr>
          <w:rFonts w:ascii="Times New Roman" w:hAnsi="Times New Roman"/>
          <w:bCs w:val="0"/>
          <w:caps w:val="0"/>
          <w:smallCaps/>
          <w:sz w:val="21"/>
          <w:szCs w:val="22"/>
          <w:lang w:val="en-US" w:eastAsia="zh-CN" w:bidi="ar-SA"/>
        </w:rPr>
        <w:fldChar w:fldCharType="separate"/>
      </w:r>
      <w:r>
        <w:rPr>
          <w:rFonts w:ascii="Times New Roman" w:hAnsi="Times New Roman"/>
          <w:bCs w:val="0"/>
          <w:caps w:val="0"/>
          <w:smallCaps/>
          <w:sz w:val="21"/>
          <w:szCs w:val="22"/>
          <w:lang w:val="en-US" w:eastAsia="zh-CN" w:bidi="ar-SA"/>
        </w:rPr>
        <w:t>- 23 -</w:t>
      </w:r>
      <w:r>
        <w:rPr>
          <w:rFonts w:ascii="Times New Roman" w:hAnsi="Times New Roman"/>
          <w:bCs w:val="0"/>
          <w:caps w:val="0"/>
          <w:smallCaps/>
          <w:sz w:val="21"/>
          <w:szCs w:val="22"/>
          <w:lang w:val="en-US" w:eastAsia="zh-CN" w:bidi="ar-SA"/>
        </w:rPr>
        <w:fldChar w:fldCharType="end"/>
      </w:r>
      <w:r>
        <w:rPr>
          <w:rFonts w:hint="eastAsia" w:ascii="宋体" w:hAnsi="Times New Roman"/>
          <w:szCs w:val="28"/>
          <w:lang w:val="en-US" w:eastAsia="zh-CN"/>
        </w:rPr>
        <w:fldChar w:fldCharType="end"/>
      </w:r>
    </w:p>
    <w:p>
      <w:pPr>
        <w:pStyle w:val="28"/>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_Toc18135 </w:instrText>
      </w:r>
      <w:r>
        <w:rPr>
          <w:rFonts w:hint="eastAsia" w:ascii="宋体" w:hAnsi="Times New Roman"/>
          <w:szCs w:val="28"/>
          <w:lang w:val="en-US" w:eastAsia="zh-CN"/>
        </w:rPr>
        <w:fldChar w:fldCharType="separate"/>
      </w:r>
      <w:r>
        <w:rPr>
          <w:rFonts w:hint="eastAsia" w:hAnsi="宋体"/>
          <w:bCs/>
          <w:szCs w:val="36"/>
          <w:lang w:eastAsia="zh-CN"/>
        </w:rPr>
        <w:t>第四部分</w:t>
      </w:r>
      <w:r>
        <w:rPr>
          <w:rFonts w:hint="eastAsia" w:hAnsi="宋体"/>
          <w:bCs/>
          <w:szCs w:val="36"/>
        </w:rPr>
        <w:t xml:space="preserve"> 评标办法</w:t>
      </w:r>
      <w:r>
        <w:tab/>
      </w:r>
      <w:r>
        <w:rPr>
          <w:rFonts w:ascii="Times New Roman" w:hAnsi="Times New Roman"/>
          <w:bCs w:val="0"/>
          <w:caps w:val="0"/>
          <w:smallCaps/>
          <w:sz w:val="21"/>
          <w:szCs w:val="22"/>
          <w:lang w:val="en-US" w:eastAsia="zh-CN" w:bidi="ar-SA"/>
        </w:rPr>
        <w:fldChar w:fldCharType="begin"/>
      </w:r>
      <w:r>
        <w:rPr>
          <w:rFonts w:ascii="Times New Roman" w:hAnsi="Times New Roman"/>
          <w:bCs w:val="0"/>
          <w:caps w:val="0"/>
          <w:smallCaps/>
          <w:sz w:val="21"/>
          <w:szCs w:val="22"/>
          <w:lang w:val="en-US" w:eastAsia="zh-CN" w:bidi="ar-SA"/>
        </w:rPr>
        <w:instrText xml:space="preserve"> PAGEREF _Toc18135 </w:instrText>
      </w:r>
      <w:r>
        <w:rPr>
          <w:rFonts w:ascii="Times New Roman" w:hAnsi="Times New Roman"/>
          <w:bCs w:val="0"/>
          <w:caps w:val="0"/>
          <w:smallCaps/>
          <w:sz w:val="21"/>
          <w:szCs w:val="22"/>
          <w:lang w:val="en-US" w:eastAsia="zh-CN" w:bidi="ar-SA"/>
        </w:rPr>
        <w:fldChar w:fldCharType="separate"/>
      </w:r>
      <w:r>
        <w:rPr>
          <w:rFonts w:ascii="Times New Roman" w:hAnsi="Times New Roman"/>
          <w:bCs w:val="0"/>
          <w:caps w:val="0"/>
          <w:smallCaps/>
          <w:sz w:val="21"/>
          <w:szCs w:val="22"/>
          <w:lang w:val="en-US" w:eastAsia="zh-CN" w:bidi="ar-SA"/>
        </w:rPr>
        <w:t>- 52 -</w:t>
      </w:r>
      <w:r>
        <w:rPr>
          <w:rFonts w:ascii="Times New Roman" w:hAnsi="Times New Roman"/>
          <w:bCs w:val="0"/>
          <w:caps w:val="0"/>
          <w:smallCaps/>
          <w:sz w:val="21"/>
          <w:szCs w:val="22"/>
          <w:lang w:val="en-US" w:eastAsia="zh-CN" w:bidi="ar-SA"/>
        </w:rP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_Toc14806 </w:instrText>
      </w:r>
      <w:r>
        <w:rPr>
          <w:rFonts w:hint="eastAsia" w:ascii="宋体" w:hAnsi="Times New Roman"/>
          <w:szCs w:val="28"/>
          <w:lang w:val="en-US" w:eastAsia="zh-CN"/>
        </w:rPr>
        <w:fldChar w:fldCharType="separate"/>
      </w:r>
      <w:r>
        <w:rPr>
          <w:rFonts w:hint="eastAsia"/>
          <w:strike w:val="0"/>
          <w:szCs w:val="24"/>
        </w:rPr>
        <w:t xml:space="preserve">一、 </w:t>
      </w:r>
      <w:r>
        <w:rPr>
          <w:rFonts w:hint="eastAsia" w:ascii="宋体" w:hAnsi="宋体" w:cs="宋体"/>
          <w:strike w:val="0"/>
          <w:dstrike w:val="0"/>
          <w:szCs w:val="24"/>
        </w:rPr>
        <w:t>评标方法</w:t>
      </w:r>
      <w:r>
        <w:tab/>
      </w:r>
      <w:r>
        <w:fldChar w:fldCharType="begin"/>
      </w:r>
      <w:r>
        <w:instrText xml:space="preserve"> PAGEREF _Toc14806 </w:instrText>
      </w:r>
      <w:r>
        <w:fldChar w:fldCharType="separate"/>
      </w:r>
      <w:r>
        <w:t>- 52 -</w:t>
      </w:r>
      <w:r>
        <w:fldChar w:fldCharType="end"/>
      </w:r>
      <w:r>
        <w:rPr>
          <w:rFonts w:hint="eastAsia" w:ascii="宋体" w:hAnsi="Times New Roman"/>
          <w:szCs w:val="28"/>
          <w:lang w:val="en-US" w:eastAsia="zh-CN"/>
        </w:rPr>
        <w:fldChar w:fldCharType="end"/>
      </w:r>
    </w:p>
    <w:p>
      <w:pPr>
        <w:pStyle w:val="28"/>
        <w:tabs>
          <w:tab w:val="right" w:leader="dot" w:pos="8300"/>
          <w:tab w:val="clear" w:pos="8948"/>
        </w:tabs>
        <w:ind w:firstLine="210" w:firstLineChars="100"/>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_Toc26558 </w:instrText>
      </w:r>
      <w:r>
        <w:rPr>
          <w:rFonts w:hint="eastAsia" w:ascii="宋体" w:hAnsi="Times New Roman"/>
          <w:szCs w:val="28"/>
          <w:lang w:val="en-US" w:eastAsia="zh-CN"/>
        </w:rPr>
        <w:fldChar w:fldCharType="separate"/>
      </w:r>
      <w:r>
        <w:rPr>
          <w:rFonts w:hint="eastAsia"/>
          <w:lang w:eastAsia="zh-CN"/>
        </w:rPr>
        <w:t>二、 评标程序</w:t>
      </w:r>
      <w:r>
        <w:tab/>
      </w:r>
      <w:r>
        <w:rPr>
          <w:rFonts w:ascii="Times New Roman" w:hAnsi="Times New Roman"/>
          <w:bCs w:val="0"/>
          <w:caps w:val="0"/>
          <w:smallCaps/>
          <w:sz w:val="21"/>
          <w:szCs w:val="22"/>
          <w:lang w:val="en-US" w:eastAsia="zh-CN" w:bidi="ar-SA"/>
        </w:rPr>
        <w:fldChar w:fldCharType="begin"/>
      </w:r>
      <w:r>
        <w:rPr>
          <w:rFonts w:ascii="Times New Roman" w:hAnsi="Times New Roman"/>
          <w:bCs w:val="0"/>
          <w:caps w:val="0"/>
          <w:smallCaps/>
          <w:sz w:val="21"/>
          <w:szCs w:val="22"/>
          <w:lang w:val="en-US" w:eastAsia="zh-CN" w:bidi="ar-SA"/>
        </w:rPr>
        <w:instrText xml:space="preserve"> PAGEREF _Toc26558 </w:instrText>
      </w:r>
      <w:r>
        <w:rPr>
          <w:rFonts w:ascii="Times New Roman" w:hAnsi="Times New Roman"/>
          <w:bCs w:val="0"/>
          <w:caps w:val="0"/>
          <w:smallCaps/>
          <w:sz w:val="21"/>
          <w:szCs w:val="22"/>
          <w:lang w:val="en-US" w:eastAsia="zh-CN" w:bidi="ar-SA"/>
        </w:rPr>
        <w:fldChar w:fldCharType="separate"/>
      </w:r>
      <w:r>
        <w:rPr>
          <w:rFonts w:ascii="Times New Roman" w:hAnsi="Times New Roman"/>
          <w:bCs w:val="0"/>
          <w:caps w:val="0"/>
          <w:smallCaps/>
          <w:sz w:val="21"/>
          <w:szCs w:val="22"/>
          <w:lang w:val="en-US" w:eastAsia="zh-CN" w:bidi="ar-SA"/>
        </w:rPr>
        <w:t>- 52 -</w:t>
      </w:r>
      <w:r>
        <w:rPr>
          <w:rFonts w:ascii="Times New Roman" w:hAnsi="Times New Roman"/>
          <w:bCs w:val="0"/>
          <w:caps w:val="0"/>
          <w:smallCaps/>
          <w:sz w:val="21"/>
          <w:szCs w:val="22"/>
          <w:lang w:val="en-US" w:eastAsia="zh-CN" w:bidi="ar-SA"/>
        </w:rP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_Toc28235 </w:instrText>
      </w:r>
      <w:r>
        <w:rPr>
          <w:rFonts w:hint="eastAsia" w:ascii="宋体" w:hAnsi="Times New Roman"/>
          <w:szCs w:val="28"/>
          <w:lang w:val="en-US" w:eastAsia="zh-CN"/>
        </w:rPr>
        <w:fldChar w:fldCharType="separate"/>
      </w:r>
      <w:r>
        <w:rPr>
          <w:rFonts w:hint="eastAsia" w:ascii="宋体" w:hAnsi="宋体" w:cs="宋体"/>
          <w:szCs w:val="24"/>
          <w:lang w:eastAsia="zh-CN"/>
        </w:rPr>
        <w:t>三、 商务技术、价格评审标准</w:t>
      </w:r>
      <w:r>
        <w:tab/>
      </w:r>
      <w:r>
        <w:fldChar w:fldCharType="begin"/>
      </w:r>
      <w:r>
        <w:instrText xml:space="preserve"> PAGEREF _Toc28235 </w:instrText>
      </w:r>
      <w:r>
        <w:fldChar w:fldCharType="separate"/>
      </w:r>
      <w:r>
        <w:t>- 55 -</w:t>
      </w:r>
      <w:r>
        <w:fldChar w:fldCharType="end"/>
      </w:r>
      <w:r>
        <w:rPr>
          <w:rFonts w:hint="eastAsia" w:ascii="宋体" w:hAnsi="Times New Roman"/>
          <w:szCs w:val="28"/>
          <w:lang w:val="en-US" w:eastAsia="zh-CN"/>
        </w:rPr>
        <w:fldChar w:fldCharType="end"/>
      </w:r>
    </w:p>
    <w:p>
      <w:pPr>
        <w:pStyle w:val="28"/>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_Toc31500 </w:instrText>
      </w:r>
      <w:r>
        <w:rPr>
          <w:rFonts w:hint="eastAsia" w:ascii="宋体" w:hAnsi="Times New Roman"/>
          <w:szCs w:val="28"/>
          <w:lang w:val="en-US" w:eastAsia="zh-CN"/>
        </w:rPr>
        <w:fldChar w:fldCharType="separate"/>
      </w:r>
      <w:r>
        <w:rPr>
          <w:rFonts w:hint="eastAsia" w:hAnsi="宋体"/>
          <w:szCs w:val="36"/>
          <w:lang w:eastAsia="zh-CN"/>
        </w:rPr>
        <w:t>第五部分</w:t>
      </w:r>
      <w:r>
        <w:rPr>
          <w:rFonts w:hint="eastAsia" w:hAnsi="宋体"/>
          <w:szCs w:val="36"/>
        </w:rPr>
        <w:t xml:space="preserve">  合同条款</w:t>
      </w:r>
      <w:r>
        <w:rPr>
          <w:rFonts w:hint="eastAsia" w:hAnsi="宋体"/>
          <w:szCs w:val="36"/>
          <w:lang w:eastAsia="zh-CN"/>
        </w:rPr>
        <w:t>（</w:t>
      </w:r>
      <w:r>
        <w:rPr>
          <w:rFonts w:hint="eastAsia" w:hAnsi="宋体"/>
          <w:szCs w:val="36"/>
          <w:lang w:val="en-US" w:eastAsia="zh-CN"/>
        </w:rPr>
        <w:t>服务</w:t>
      </w:r>
      <w:r>
        <w:rPr>
          <w:rFonts w:hint="eastAsia" w:hAnsi="宋体"/>
          <w:szCs w:val="36"/>
          <w:lang w:eastAsia="zh-CN"/>
        </w:rPr>
        <w:t>）</w:t>
      </w:r>
      <w:r>
        <w:tab/>
      </w:r>
      <w:r>
        <w:rPr>
          <w:rFonts w:ascii="Times New Roman" w:hAnsi="Times New Roman"/>
          <w:bCs w:val="0"/>
          <w:caps w:val="0"/>
          <w:smallCaps/>
          <w:sz w:val="21"/>
          <w:szCs w:val="22"/>
          <w:lang w:val="en-US" w:eastAsia="zh-CN" w:bidi="ar-SA"/>
        </w:rPr>
        <w:fldChar w:fldCharType="begin"/>
      </w:r>
      <w:r>
        <w:rPr>
          <w:rFonts w:ascii="Times New Roman" w:hAnsi="Times New Roman"/>
          <w:bCs w:val="0"/>
          <w:caps w:val="0"/>
          <w:smallCaps/>
          <w:sz w:val="21"/>
          <w:szCs w:val="22"/>
          <w:lang w:val="en-US" w:eastAsia="zh-CN" w:bidi="ar-SA"/>
        </w:rPr>
        <w:instrText xml:space="preserve"> PAGEREF _Toc31500 </w:instrText>
      </w:r>
      <w:r>
        <w:rPr>
          <w:rFonts w:ascii="Times New Roman" w:hAnsi="Times New Roman"/>
          <w:bCs w:val="0"/>
          <w:caps w:val="0"/>
          <w:smallCaps/>
          <w:sz w:val="21"/>
          <w:szCs w:val="22"/>
          <w:lang w:val="en-US" w:eastAsia="zh-CN" w:bidi="ar-SA"/>
        </w:rPr>
        <w:fldChar w:fldCharType="separate"/>
      </w:r>
      <w:r>
        <w:rPr>
          <w:rFonts w:ascii="Times New Roman" w:hAnsi="Times New Roman"/>
          <w:bCs w:val="0"/>
          <w:caps w:val="0"/>
          <w:smallCaps/>
          <w:sz w:val="21"/>
          <w:szCs w:val="22"/>
          <w:lang w:val="en-US" w:eastAsia="zh-CN" w:bidi="ar-SA"/>
        </w:rPr>
        <w:t>- 60 -</w:t>
      </w:r>
      <w:r>
        <w:rPr>
          <w:rFonts w:ascii="Times New Roman" w:hAnsi="Times New Roman"/>
          <w:bCs w:val="0"/>
          <w:caps w:val="0"/>
          <w:smallCaps/>
          <w:sz w:val="21"/>
          <w:szCs w:val="22"/>
          <w:lang w:val="en-US" w:eastAsia="zh-CN" w:bidi="ar-SA"/>
        </w:rPr>
        <w:fldChar w:fldCharType="end"/>
      </w:r>
      <w:r>
        <w:rPr>
          <w:rFonts w:hint="eastAsia" w:ascii="宋体" w:hAnsi="Times New Roman"/>
          <w:szCs w:val="28"/>
          <w:lang w:val="en-US" w:eastAsia="zh-CN"/>
        </w:rPr>
        <w:fldChar w:fldCharType="end"/>
      </w:r>
    </w:p>
    <w:p>
      <w:pPr>
        <w:pStyle w:val="28"/>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_Toc17399 </w:instrText>
      </w:r>
      <w:r>
        <w:rPr>
          <w:rFonts w:hint="eastAsia" w:ascii="宋体" w:hAnsi="Times New Roman"/>
          <w:szCs w:val="28"/>
          <w:lang w:val="en-US" w:eastAsia="zh-CN"/>
        </w:rPr>
        <w:fldChar w:fldCharType="separate"/>
      </w:r>
      <w:r>
        <w:rPr>
          <w:rFonts w:hint="eastAsia" w:hAnsi="宋体"/>
          <w:szCs w:val="36"/>
          <w:lang w:eastAsia="zh-CN"/>
        </w:rPr>
        <w:t>第六部分</w:t>
      </w:r>
      <w:r>
        <w:rPr>
          <w:rFonts w:hint="eastAsia" w:hAnsi="宋体"/>
          <w:szCs w:val="36"/>
        </w:rPr>
        <w:t xml:space="preserve"> 投标文件格式</w:t>
      </w:r>
      <w:r>
        <w:tab/>
      </w:r>
      <w:r>
        <w:rPr>
          <w:rFonts w:ascii="Times New Roman" w:hAnsi="Times New Roman"/>
          <w:bCs w:val="0"/>
          <w:caps w:val="0"/>
          <w:smallCaps/>
          <w:sz w:val="21"/>
          <w:szCs w:val="22"/>
          <w:lang w:val="en-US" w:eastAsia="zh-CN" w:bidi="ar-SA"/>
        </w:rPr>
        <w:fldChar w:fldCharType="begin"/>
      </w:r>
      <w:r>
        <w:rPr>
          <w:rFonts w:ascii="Times New Roman" w:hAnsi="Times New Roman"/>
          <w:bCs w:val="0"/>
          <w:caps w:val="0"/>
          <w:smallCaps/>
          <w:sz w:val="21"/>
          <w:szCs w:val="22"/>
          <w:lang w:val="en-US" w:eastAsia="zh-CN" w:bidi="ar-SA"/>
        </w:rPr>
        <w:instrText xml:space="preserve"> PAGEREF _Toc17399 </w:instrText>
      </w:r>
      <w:r>
        <w:rPr>
          <w:rFonts w:ascii="Times New Roman" w:hAnsi="Times New Roman"/>
          <w:bCs w:val="0"/>
          <w:caps w:val="0"/>
          <w:smallCaps/>
          <w:sz w:val="21"/>
          <w:szCs w:val="22"/>
          <w:lang w:val="en-US" w:eastAsia="zh-CN" w:bidi="ar-SA"/>
        </w:rPr>
        <w:fldChar w:fldCharType="separate"/>
      </w:r>
      <w:r>
        <w:rPr>
          <w:rFonts w:ascii="Times New Roman" w:hAnsi="Times New Roman"/>
          <w:bCs w:val="0"/>
          <w:caps w:val="0"/>
          <w:smallCaps/>
          <w:sz w:val="21"/>
          <w:szCs w:val="22"/>
          <w:lang w:val="en-US" w:eastAsia="zh-CN" w:bidi="ar-SA"/>
        </w:rPr>
        <w:t>- 73 -</w:t>
      </w:r>
      <w:r>
        <w:rPr>
          <w:rFonts w:ascii="Times New Roman" w:hAnsi="Times New Roman"/>
          <w:bCs w:val="0"/>
          <w:caps w:val="0"/>
          <w:smallCaps/>
          <w:sz w:val="21"/>
          <w:szCs w:val="22"/>
          <w:lang w:val="en-US" w:eastAsia="zh-CN" w:bidi="ar-SA"/>
        </w:rPr>
        <w:fldChar w:fldCharType="end"/>
      </w:r>
      <w:r>
        <w:rPr>
          <w:rFonts w:hint="eastAsia" w:ascii="宋体" w:hAnsi="Times New Roman"/>
          <w:szCs w:val="28"/>
          <w:lang w:val="en-US" w:eastAsia="zh-CN"/>
        </w:rPr>
        <w:fldChar w:fldCharType="end"/>
      </w:r>
    </w:p>
    <w:p>
      <w:pPr>
        <w:pStyle w:val="31"/>
        <w:tabs>
          <w:tab w:val="right" w:leader="dot" w:pos="8300"/>
          <w:tab w:val="clear" w:pos="8948"/>
        </w:tabs>
        <w:ind w:left="0" w:leftChars="0" w:firstLine="210" w:firstLineChars="100"/>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_Toc29255 </w:instrText>
      </w:r>
      <w:r>
        <w:rPr>
          <w:rFonts w:hint="eastAsia" w:ascii="宋体" w:hAnsi="Times New Roman"/>
          <w:szCs w:val="28"/>
          <w:lang w:val="en-US" w:eastAsia="zh-CN"/>
        </w:rPr>
        <w:fldChar w:fldCharType="separate"/>
      </w:r>
      <w:r>
        <w:rPr>
          <w:rFonts w:hint="eastAsia" w:hAnsi="宋体" w:eastAsia="宋体" w:cs="Times New Roman"/>
          <w:bCs/>
          <w:szCs w:val="28"/>
          <w:highlight w:val="none"/>
        </w:rPr>
        <w:t>附件</w:t>
      </w:r>
      <w:r>
        <w:rPr>
          <w:rFonts w:hint="eastAsia" w:hAnsi="宋体" w:eastAsia="宋体" w:cs="Times New Roman"/>
          <w:bCs/>
          <w:szCs w:val="28"/>
          <w:highlight w:val="none"/>
          <w:lang w:eastAsia="zh-CN"/>
        </w:rPr>
        <w:t>一</w:t>
      </w:r>
      <w:r>
        <w:rPr>
          <w:rFonts w:hint="eastAsia" w:hAnsi="宋体" w:eastAsia="宋体" w:cs="Times New Roman"/>
          <w:bCs/>
          <w:szCs w:val="28"/>
          <w:highlight w:val="none"/>
        </w:rPr>
        <w:t xml:space="preserve">  关于符合《中华人民共和国政府采购法》第二十二条规定条件的承诺函</w:t>
      </w:r>
      <w:r>
        <w:tab/>
      </w:r>
      <w:r>
        <w:fldChar w:fldCharType="begin"/>
      </w:r>
      <w:r>
        <w:instrText xml:space="preserve"> PAGEREF _Toc29255 </w:instrText>
      </w:r>
      <w:r>
        <w:fldChar w:fldCharType="separate"/>
      </w:r>
      <w:r>
        <w:t>- 74 -</w:t>
      </w:r>
      <w:r>
        <w:fldChar w:fldCharType="end"/>
      </w:r>
      <w:r>
        <w:rPr>
          <w:rFonts w:hint="eastAsia" w:ascii="宋体" w:hAnsi="Times New Roman"/>
          <w:szCs w:val="28"/>
          <w:lang w:val="en-US" w:eastAsia="zh-CN"/>
        </w:rPr>
        <w:fldChar w:fldCharType="end"/>
      </w:r>
    </w:p>
    <w:p>
      <w:pPr>
        <w:pStyle w:val="28"/>
        <w:tabs>
          <w:tab w:val="right" w:leader="dot" w:pos="8300"/>
          <w:tab w:val="clear" w:pos="8948"/>
        </w:tabs>
        <w:ind w:firstLine="210" w:firstLineChars="100"/>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_Toc23067 </w:instrText>
      </w:r>
      <w:r>
        <w:rPr>
          <w:rFonts w:hint="eastAsia" w:ascii="宋体" w:hAnsi="Times New Roman"/>
          <w:szCs w:val="28"/>
          <w:lang w:val="en-US" w:eastAsia="zh-CN"/>
        </w:rPr>
        <w:fldChar w:fldCharType="separate"/>
      </w:r>
      <w:r>
        <w:rPr>
          <w:rFonts w:hint="eastAsia" w:ascii="Times New Roman" w:hAnsi="Times New Roman" w:eastAsia="宋体" w:cs="宋体"/>
          <w:bCs/>
          <w:caps w:val="0"/>
          <w:kern w:val="0"/>
          <w:szCs w:val="24"/>
        </w:rPr>
        <w:t>附件</w:t>
      </w:r>
      <w:r>
        <w:rPr>
          <w:rFonts w:hint="eastAsia" w:ascii="Times New Roman" w:hAnsi="Times New Roman" w:eastAsia="宋体" w:cs="宋体"/>
          <w:bCs/>
          <w:caps w:val="0"/>
          <w:kern w:val="0"/>
          <w:szCs w:val="24"/>
          <w:lang w:val="en-US" w:eastAsia="zh-CN"/>
        </w:rPr>
        <w:t>二</w:t>
      </w:r>
      <w:r>
        <w:rPr>
          <w:rFonts w:hint="eastAsia" w:ascii="Times New Roman" w:hAnsi="Times New Roman" w:eastAsia="宋体" w:cs="宋体"/>
          <w:bCs/>
          <w:caps w:val="0"/>
          <w:kern w:val="0"/>
          <w:szCs w:val="24"/>
        </w:rPr>
        <w:t xml:space="preserve">  中小企业声明函（服务）</w:t>
      </w:r>
      <w:r>
        <w:tab/>
      </w:r>
      <w:r>
        <w:rPr>
          <w:rFonts w:ascii="Times New Roman" w:hAnsi="Times New Roman"/>
          <w:bCs w:val="0"/>
          <w:caps w:val="0"/>
          <w:smallCaps/>
          <w:sz w:val="21"/>
          <w:szCs w:val="22"/>
          <w:lang w:val="en-US" w:eastAsia="zh-CN" w:bidi="ar-SA"/>
        </w:rPr>
        <w:fldChar w:fldCharType="begin"/>
      </w:r>
      <w:r>
        <w:rPr>
          <w:rFonts w:ascii="Times New Roman" w:hAnsi="Times New Roman"/>
          <w:bCs w:val="0"/>
          <w:caps w:val="0"/>
          <w:smallCaps/>
          <w:sz w:val="21"/>
          <w:szCs w:val="22"/>
          <w:lang w:val="en-US" w:eastAsia="zh-CN" w:bidi="ar-SA"/>
        </w:rPr>
        <w:instrText xml:space="preserve"> PAGEREF _Toc23067 </w:instrText>
      </w:r>
      <w:r>
        <w:rPr>
          <w:rFonts w:ascii="Times New Roman" w:hAnsi="Times New Roman"/>
          <w:bCs w:val="0"/>
          <w:caps w:val="0"/>
          <w:smallCaps/>
          <w:sz w:val="21"/>
          <w:szCs w:val="22"/>
          <w:lang w:val="en-US" w:eastAsia="zh-CN" w:bidi="ar-SA"/>
        </w:rPr>
        <w:fldChar w:fldCharType="separate"/>
      </w:r>
      <w:r>
        <w:rPr>
          <w:rFonts w:ascii="Times New Roman" w:hAnsi="Times New Roman"/>
          <w:bCs w:val="0"/>
          <w:caps w:val="0"/>
          <w:smallCaps/>
          <w:sz w:val="21"/>
          <w:szCs w:val="22"/>
          <w:lang w:val="en-US" w:eastAsia="zh-CN" w:bidi="ar-SA"/>
        </w:rPr>
        <w:t>- 75 -</w:t>
      </w:r>
      <w:r>
        <w:rPr>
          <w:rFonts w:ascii="Times New Roman" w:hAnsi="Times New Roman"/>
          <w:bCs w:val="0"/>
          <w:caps w:val="0"/>
          <w:smallCaps/>
          <w:sz w:val="21"/>
          <w:szCs w:val="22"/>
          <w:lang w:val="en-US" w:eastAsia="zh-CN" w:bidi="ar-SA"/>
        </w:rP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_Toc17093 </w:instrText>
      </w:r>
      <w:r>
        <w:rPr>
          <w:rFonts w:hint="eastAsia" w:ascii="宋体" w:hAnsi="Times New Roman"/>
          <w:szCs w:val="28"/>
          <w:lang w:val="en-US" w:eastAsia="zh-CN"/>
        </w:rPr>
        <w:fldChar w:fldCharType="separate"/>
      </w:r>
      <w:r>
        <w:rPr>
          <w:rFonts w:hint="eastAsia" w:ascii="Times New Roman" w:hAnsi="Times New Roman" w:eastAsia="宋体" w:cs="宋体"/>
          <w:caps w:val="0"/>
        </w:rPr>
        <w:t>附件</w:t>
      </w:r>
      <w:r>
        <w:rPr>
          <w:rFonts w:hint="eastAsia" w:ascii="Times New Roman" w:hAnsi="Times New Roman" w:eastAsia="宋体" w:cs="宋体"/>
          <w:caps w:val="0"/>
          <w:lang w:val="en-US" w:eastAsia="zh-CN"/>
        </w:rPr>
        <w:t>三</w:t>
      </w:r>
      <w:r>
        <w:rPr>
          <w:rFonts w:hint="eastAsia" w:ascii="Times New Roman" w:hAnsi="Times New Roman" w:eastAsia="宋体" w:cs="宋体"/>
          <w:caps w:val="0"/>
        </w:rPr>
        <w:t xml:space="preserve">  残疾人福利性单位声明函</w:t>
      </w:r>
      <w:r>
        <w:tab/>
      </w:r>
      <w:r>
        <w:fldChar w:fldCharType="begin"/>
      </w:r>
      <w:r>
        <w:instrText xml:space="preserve"> PAGEREF _Toc17093 </w:instrText>
      </w:r>
      <w:r>
        <w:fldChar w:fldCharType="separate"/>
      </w:r>
      <w:r>
        <w:t>- 77 -</w:t>
      </w:r>
      <w: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_Toc32518 </w:instrText>
      </w:r>
      <w:r>
        <w:rPr>
          <w:rFonts w:hint="eastAsia" w:ascii="宋体" w:hAnsi="Times New Roman"/>
          <w:szCs w:val="28"/>
          <w:lang w:val="en-US" w:eastAsia="zh-CN"/>
        </w:rPr>
        <w:fldChar w:fldCharType="separate"/>
      </w:r>
      <w:r>
        <w:rPr>
          <w:rFonts w:hint="eastAsia" w:hAnsi="宋体" w:eastAsia="宋体" w:cs="Times New Roman"/>
          <w:bCs/>
          <w:szCs w:val="28"/>
          <w:highlight w:val="none"/>
        </w:rPr>
        <w:t>附件</w:t>
      </w:r>
      <w:r>
        <w:rPr>
          <w:rFonts w:hint="eastAsia" w:hAnsi="宋体" w:eastAsia="宋体" w:cs="Times New Roman"/>
          <w:bCs/>
          <w:szCs w:val="28"/>
          <w:highlight w:val="none"/>
          <w:lang w:val="en-US" w:eastAsia="zh-CN"/>
        </w:rPr>
        <w:t>四</w:t>
      </w:r>
      <w:r>
        <w:rPr>
          <w:rFonts w:hint="eastAsia" w:hAnsi="宋体" w:eastAsia="宋体" w:cs="Times New Roman"/>
          <w:bCs/>
          <w:szCs w:val="28"/>
          <w:highlight w:val="none"/>
        </w:rPr>
        <w:t xml:space="preserve">  </w:t>
      </w:r>
      <w:r>
        <w:rPr>
          <w:rFonts w:hint="eastAsia" w:hAnsi="宋体" w:eastAsia="宋体" w:cs="Times New Roman"/>
          <w:bCs/>
          <w:szCs w:val="28"/>
          <w:highlight w:val="none"/>
          <w:lang w:eastAsia="zh-CN"/>
        </w:rPr>
        <w:t>法定代表人身份证明</w:t>
      </w:r>
      <w:r>
        <w:tab/>
      </w:r>
      <w:r>
        <w:fldChar w:fldCharType="begin"/>
      </w:r>
      <w:r>
        <w:instrText xml:space="preserve"> PAGEREF _Toc32518 </w:instrText>
      </w:r>
      <w:r>
        <w:fldChar w:fldCharType="separate"/>
      </w:r>
      <w:r>
        <w:t>- 78 -</w:t>
      </w:r>
      <w: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_Toc9079 </w:instrText>
      </w:r>
      <w:r>
        <w:rPr>
          <w:rFonts w:hint="eastAsia" w:ascii="宋体" w:hAnsi="Times New Roman"/>
          <w:szCs w:val="28"/>
          <w:lang w:val="en-US" w:eastAsia="zh-CN"/>
        </w:rPr>
        <w:fldChar w:fldCharType="separate"/>
      </w:r>
      <w:r>
        <w:rPr>
          <w:rFonts w:hint="eastAsia" w:cs="宋体"/>
        </w:rPr>
        <w:t>附件</w:t>
      </w:r>
      <w:r>
        <w:rPr>
          <w:rFonts w:hint="eastAsia" w:cs="宋体"/>
          <w:lang w:val="en-US" w:eastAsia="zh-CN"/>
        </w:rPr>
        <w:t>五</w:t>
      </w:r>
      <w:r>
        <w:t xml:space="preserve">  </w:t>
      </w:r>
      <w:r>
        <w:rPr>
          <w:rFonts w:hint="eastAsia" w:cs="宋体"/>
        </w:rPr>
        <w:t>法定代表人授权书</w:t>
      </w:r>
      <w:r>
        <w:tab/>
      </w:r>
      <w:r>
        <w:fldChar w:fldCharType="begin"/>
      </w:r>
      <w:r>
        <w:instrText xml:space="preserve"> PAGEREF _Toc9079 </w:instrText>
      </w:r>
      <w:r>
        <w:fldChar w:fldCharType="separate"/>
      </w:r>
      <w:r>
        <w:t>- 79 -</w:t>
      </w:r>
      <w: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_Toc14004 </w:instrText>
      </w:r>
      <w:r>
        <w:rPr>
          <w:rFonts w:hint="eastAsia" w:ascii="宋体" w:hAnsi="Times New Roman"/>
          <w:szCs w:val="28"/>
          <w:lang w:val="en-US" w:eastAsia="zh-CN"/>
        </w:rPr>
        <w:fldChar w:fldCharType="separate"/>
      </w:r>
      <w:r>
        <w:rPr>
          <w:rFonts w:hint="eastAsia"/>
        </w:rPr>
        <w:t>附件</w:t>
      </w:r>
      <w:r>
        <w:rPr>
          <w:rFonts w:hint="eastAsia"/>
          <w:lang w:val="en-US" w:eastAsia="zh-CN"/>
        </w:rPr>
        <w:t>六</w:t>
      </w:r>
      <w:r>
        <w:rPr>
          <w:rFonts w:hint="eastAsia"/>
        </w:rPr>
        <w:t xml:space="preserve">  投 标 函</w:t>
      </w:r>
      <w:r>
        <w:tab/>
      </w:r>
      <w:r>
        <w:fldChar w:fldCharType="begin"/>
      </w:r>
      <w:r>
        <w:instrText xml:space="preserve"> PAGEREF _Toc14004 </w:instrText>
      </w:r>
      <w:r>
        <w:fldChar w:fldCharType="separate"/>
      </w:r>
      <w:r>
        <w:t>- 80 -</w:t>
      </w:r>
      <w: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_Toc5823 </w:instrText>
      </w:r>
      <w:r>
        <w:rPr>
          <w:rFonts w:hint="eastAsia" w:ascii="宋体" w:hAnsi="Times New Roman"/>
          <w:szCs w:val="28"/>
          <w:lang w:val="en-US" w:eastAsia="zh-CN"/>
        </w:rPr>
        <w:fldChar w:fldCharType="separate"/>
      </w:r>
      <w:r>
        <w:rPr>
          <w:rFonts w:hint="eastAsia" w:cs="宋体"/>
          <w:bCs/>
          <w:lang w:val="en-US" w:eastAsia="zh-CN"/>
        </w:rPr>
        <w:t>附件七  商务与技术偏离表</w:t>
      </w:r>
      <w:r>
        <w:tab/>
      </w:r>
      <w:r>
        <w:fldChar w:fldCharType="begin"/>
      </w:r>
      <w:r>
        <w:instrText xml:space="preserve"> PAGEREF _Toc5823 </w:instrText>
      </w:r>
      <w:r>
        <w:fldChar w:fldCharType="separate"/>
      </w:r>
      <w:r>
        <w:t>- 81 -</w:t>
      </w:r>
      <w:r>
        <w:fldChar w:fldCharType="end"/>
      </w:r>
      <w:r>
        <w:rPr>
          <w:rFonts w:hint="eastAsia" w:ascii="宋体" w:hAnsi="Times New Roman"/>
          <w:szCs w:val="28"/>
          <w:lang w:val="en-US" w:eastAsia="zh-CN"/>
        </w:rPr>
        <w:fldChar w:fldCharType="end"/>
      </w:r>
    </w:p>
    <w:p>
      <w:pPr>
        <w:pStyle w:val="31"/>
        <w:tabs>
          <w:tab w:val="right" w:leader="dot" w:pos="8300"/>
          <w:tab w:val="clear" w:pos="8948"/>
        </w:tabs>
        <w:rPr>
          <w:rFonts w:hint="eastAsia" w:ascii="宋体" w:hAnsi="Times New Roman"/>
          <w:szCs w:val="28"/>
          <w:lang w:val="en-US" w:eastAsia="zh-CN"/>
        </w:rPr>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_Toc5902 </w:instrText>
      </w:r>
      <w:r>
        <w:rPr>
          <w:rFonts w:hint="eastAsia" w:ascii="宋体" w:hAnsi="Times New Roman"/>
          <w:szCs w:val="28"/>
          <w:lang w:val="en-US" w:eastAsia="zh-CN"/>
        </w:rPr>
        <w:fldChar w:fldCharType="separate"/>
      </w:r>
      <w:r>
        <w:rPr>
          <w:rFonts w:hint="eastAsia" w:ascii="宋体" w:hAnsi="Times New Roman"/>
          <w:szCs w:val="28"/>
          <w:lang w:val="en-US" w:eastAsia="zh-CN"/>
        </w:rPr>
        <w:t>附件八  项目负责人资格情况表</w:t>
      </w:r>
      <w:r>
        <w:rPr>
          <w:rFonts w:hint="eastAsia" w:ascii="宋体" w:hAnsi="Times New Roman"/>
          <w:szCs w:val="28"/>
          <w:lang w:val="en-US" w:eastAsia="zh-CN"/>
        </w:rPr>
        <w:tab/>
      </w:r>
      <w:r>
        <w:rPr>
          <w:rFonts w:hint="eastAsia"/>
          <w:szCs w:val="22"/>
          <w:lang w:val="en-US" w:eastAsia="zh-CN"/>
        </w:rPr>
        <w:fldChar w:fldCharType="begin"/>
      </w:r>
      <w:r>
        <w:rPr>
          <w:rFonts w:hint="eastAsia"/>
          <w:szCs w:val="22"/>
          <w:lang w:val="en-US" w:eastAsia="zh-CN"/>
        </w:rPr>
        <w:instrText xml:space="preserve"> PAGEREF _Toc5902 </w:instrText>
      </w:r>
      <w:r>
        <w:rPr>
          <w:rFonts w:hint="eastAsia"/>
          <w:szCs w:val="22"/>
          <w:lang w:val="en-US" w:eastAsia="zh-CN"/>
        </w:rPr>
        <w:fldChar w:fldCharType="separate"/>
      </w:r>
      <w:r>
        <w:rPr>
          <w:rFonts w:hint="eastAsia"/>
          <w:szCs w:val="22"/>
          <w:lang w:val="en-US" w:eastAsia="zh-CN"/>
        </w:rPr>
        <w:t>- 82 -</w:t>
      </w:r>
      <w:r>
        <w:rPr>
          <w:rFonts w:hint="eastAsia"/>
          <w:szCs w:val="22"/>
          <w:lang w:val="en-US" w:eastAsia="zh-CN"/>
        </w:rPr>
        <w:fldChar w:fldCharType="end"/>
      </w:r>
      <w:r>
        <w:rPr>
          <w:rFonts w:hint="eastAsia" w:ascii="宋体" w:hAnsi="Times New Roman"/>
          <w:szCs w:val="28"/>
          <w:lang w:val="en-US" w:eastAsia="zh-CN"/>
        </w:rPr>
        <w:fldChar w:fldCharType="end"/>
      </w:r>
    </w:p>
    <w:p>
      <w:pPr>
        <w:pStyle w:val="31"/>
        <w:tabs>
          <w:tab w:val="right" w:leader="dot" w:pos="8300"/>
          <w:tab w:val="clear" w:pos="8948"/>
        </w:tabs>
        <w:rPr>
          <w:rFonts w:hint="eastAsia" w:ascii="宋体" w:hAnsi="Times New Roman"/>
          <w:szCs w:val="28"/>
          <w:lang w:val="en-US" w:eastAsia="zh-CN"/>
        </w:rPr>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_Toc11196 </w:instrText>
      </w:r>
      <w:r>
        <w:rPr>
          <w:rFonts w:hint="eastAsia" w:ascii="宋体" w:hAnsi="Times New Roman"/>
          <w:szCs w:val="28"/>
          <w:lang w:val="en-US" w:eastAsia="zh-CN"/>
        </w:rPr>
        <w:fldChar w:fldCharType="separate"/>
      </w:r>
      <w:r>
        <w:rPr>
          <w:rFonts w:hint="eastAsia" w:ascii="宋体" w:hAnsi="Times New Roman"/>
          <w:szCs w:val="28"/>
          <w:lang w:val="en-US" w:eastAsia="zh-CN"/>
        </w:rPr>
        <w:t>附件九  业务主管资格情况表</w:t>
      </w:r>
      <w:r>
        <w:rPr>
          <w:rFonts w:hint="eastAsia" w:ascii="宋体" w:hAnsi="Times New Roman"/>
          <w:szCs w:val="28"/>
          <w:lang w:val="en-US" w:eastAsia="zh-CN"/>
        </w:rPr>
        <w:tab/>
      </w:r>
      <w:r>
        <w:rPr>
          <w:rFonts w:hint="eastAsia"/>
          <w:szCs w:val="22"/>
          <w:lang w:val="en-US" w:eastAsia="zh-CN"/>
        </w:rPr>
        <w:fldChar w:fldCharType="begin"/>
      </w:r>
      <w:r>
        <w:rPr>
          <w:rFonts w:hint="eastAsia"/>
          <w:szCs w:val="22"/>
          <w:lang w:val="en-US" w:eastAsia="zh-CN"/>
        </w:rPr>
        <w:instrText xml:space="preserve"> PAGEREF _Toc11196 </w:instrText>
      </w:r>
      <w:r>
        <w:rPr>
          <w:rFonts w:hint="eastAsia"/>
          <w:szCs w:val="22"/>
          <w:lang w:val="en-US" w:eastAsia="zh-CN"/>
        </w:rPr>
        <w:fldChar w:fldCharType="separate"/>
      </w:r>
      <w:r>
        <w:rPr>
          <w:rFonts w:hint="eastAsia"/>
          <w:szCs w:val="22"/>
          <w:lang w:val="en-US" w:eastAsia="zh-CN"/>
        </w:rPr>
        <w:t>- 83 -</w:t>
      </w:r>
      <w:r>
        <w:rPr>
          <w:rFonts w:hint="eastAsia"/>
          <w:szCs w:val="22"/>
          <w:lang w:val="en-US" w:eastAsia="zh-CN"/>
        </w:rP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_Toc2060 </w:instrText>
      </w:r>
      <w:r>
        <w:rPr>
          <w:rFonts w:hint="eastAsia" w:ascii="宋体" w:hAnsi="Times New Roman"/>
          <w:szCs w:val="28"/>
          <w:lang w:val="en-US" w:eastAsia="zh-CN"/>
        </w:rPr>
        <w:fldChar w:fldCharType="separate"/>
      </w:r>
      <w:r>
        <w:rPr>
          <w:rFonts w:hint="eastAsia" w:cs="宋体"/>
          <w:bCs/>
          <w:lang w:val="en-US" w:eastAsia="zh-CN"/>
        </w:rPr>
        <w:t>附件十  拟投入设备及工具一览表</w:t>
      </w:r>
      <w:r>
        <w:tab/>
      </w:r>
      <w:r>
        <w:fldChar w:fldCharType="begin"/>
      </w:r>
      <w:r>
        <w:instrText xml:space="preserve"> PAGEREF _Toc2060 </w:instrText>
      </w:r>
      <w:r>
        <w:fldChar w:fldCharType="separate"/>
      </w:r>
      <w:r>
        <w:t>- 86 -</w:t>
      </w:r>
      <w: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_Toc21122 </w:instrText>
      </w:r>
      <w:r>
        <w:rPr>
          <w:rFonts w:hint="eastAsia" w:ascii="宋体" w:hAnsi="Times New Roman"/>
          <w:szCs w:val="28"/>
          <w:lang w:val="en-US" w:eastAsia="zh-CN"/>
        </w:rPr>
        <w:fldChar w:fldCharType="separate"/>
      </w:r>
      <w:r>
        <w:rPr>
          <w:rFonts w:hint="eastAsia" w:cs="宋体"/>
          <w:bCs/>
          <w:lang w:val="en-US" w:eastAsia="zh-CN"/>
        </w:rPr>
        <w:t>附件十一 耗材选用配备一览表</w:t>
      </w:r>
      <w:r>
        <w:tab/>
      </w:r>
      <w:r>
        <w:fldChar w:fldCharType="begin"/>
      </w:r>
      <w:r>
        <w:instrText xml:space="preserve"> PAGEREF _Toc21122 </w:instrText>
      </w:r>
      <w:r>
        <w:fldChar w:fldCharType="separate"/>
      </w:r>
      <w:r>
        <w:t>- 87 -</w:t>
      </w:r>
      <w:r>
        <w:fldChar w:fldCharType="end"/>
      </w:r>
      <w:r>
        <w:rPr>
          <w:rFonts w:hint="eastAsia" w:ascii="宋体" w:hAnsi="Times New Roman"/>
          <w:szCs w:val="28"/>
          <w:lang w:val="en-US" w:eastAsia="zh-CN"/>
        </w:rPr>
        <w:fldChar w:fldCharType="end"/>
      </w:r>
    </w:p>
    <w:p>
      <w:pPr>
        <w:pStyle w:val="31"/>
        <w:tabs>
          <w:tab w:val="right" w:leader="dot" w:pos="8300"/>
          <w:tab w:val="clear" w:pos="8948"/>
        </w:tabs>
        <w:rPr>
          <w:rFonts w:hint="eastAsia" w:ascii="宋体" w:hAnsi="Times New Roman"/>
          <w:szCs w:val="28"/>
          <w:lang w:val="en-US" w:eastAsia="zh-CN"/>
        </w:rPr>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_Toc2464 </w:instrText>
      </w:r>
      <w:r>
        <w:rPr>
          <w:rFonts w:hint="eastAsia" w:ascii="宋体" w:hAnsi="Times New Roman"/>
          <w:szCs w:val="28"/>
          <w:lang w:val="en-US" w:eastAsia="zh-CN"/>
        </w:rPr>
        <w:fldChar w:fldCharType="separate"/>
      </w:r>
      <w:r>
        <w:rPr>
          <w:rFonts w:hint="eastAsia" w:ascii="宋体" w:hAnsi="Times New Roman"/>
          <w:szCs w:val="28"/>
          <w:lang w:val="en-US" w:eastAsia="zh-CN"/>
        </w:rPr>
        <w:t>附件十二 开标一览表</w:t>
      </w:r>
      <w:r>
        <w:rPr>
          <w:rFonts w:hint="eastAsia" w:ascii="宋体" w:hAnsi="Times New Roman"/>
          <w:szCs w:val="28"/>
          <w:lang w:val="en-US" w:eastAsia="zh-CN"/>
        </w:rPr>
        <w:tab/>
      </w:r>
      <w:r>
        <w:rPr>
          <w:rFonts w:hint="eastAsia"/>
          <w:szCs w:val="22"/>
          <w:lang w:val="en-US" w:eastAsia="zh-CN"/>
        </w:rPr>
        <w:fldChar w:fldCharType="begin"/>
      </w:r>
      <w:r>
        <w:rPr>
          <w:rFonts w:hint="eastAsia"/>
          <w:szCs w:val="22"/>
          <w:lang w:val="en-US" w:eastAsia="zh-CN"/>
        </w:rPr>
        <w:instrText xml:space="preserve"> PAGEREF _Toc2464 </w:instrText>
      </w:r>
      <w:r>
        <w:rPr>
          <w:rFonts w:hint="eastAsia"/>
          <w:szCs w:val="22"/>
          <w:lang w:val="en-US" w:eastAsia="zh-CN"/>
        </w:rPr>
        <w:fldChar w:fldCharType="separate"/>
      </w:r>
      <w:r>
        <w:rPr>
          <w:rFonts w:hint="eastAsia"/>
          <w:szCs w:val="22"/>
          <w:lang w:val="en-US" w:eastAsia="zh-CN"/>
        </w:rPr>
        <w:t>- 88 -</w:t>
      </w:r>
      <w:r>
        <w:rPr>
          <w:rFonts w:hint="eastAsia"/>
          <w:szCs w:val="22"/>
          <w:lang w:val="en-US" w:eastAsia="zh-CN"/>
        </w:rP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_Toc17078 </w:instrText>
      </w:r>
      <w:r>
        <w:rPr>
          <w:rFonts w:hint="eastAsia" w:ascii="宋体" w:hAnsi="Times New Roman"/>
          <w:szCs w:val="28"/>
          <w:lang w:val="en-US" w:eastAsia="zh-CN"/>
        </w:rPr>
        <w:fldChar w:fldCharType="separate"/>
      </w:r>
      <w:r>
        <w:rPr>
          <w:rFonts w:hint="eastAsia" w:cs="宋体"/>
          <w:bCs/>
          <w:lang w:val="en-US" w:eastAsia="zh-CN"/>
        </w:rPr>
        <w:t>附件十三  报价明细表</w:t>
      </w:r>
      <w:r>
        <w:tab/>
      </w:r>
      <w:r>
        <w:fldChar w:fldCharType="begin"/>
      </w:r>
      <w:r>
        <w:instrText xml:space="preserve"> PAGEREF _Toc17078 </w:instrText>
      </w:r>
      <w:r>
        <w:fldChar w:fldCharType="separate"/>
      </w:r>
      <w:r>
        <w:t>- 90 -</w:t>
      </w:r>
      <w: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_Toc22099 </w:instrText>
      </w:r>
      <w:r>
        <w:rPr>
          <w:rFonts w:hint="eastAsia" w:ascii="宋体" w:hAnsi="Times New Roman"/>
          <w:szCs w:val="28"/>
          <w:lang w:val="en-US" w:eastAsia="zh-CN"/>
        </w:rPr>
        <w:fldChar w:fldCharType="separate"/>
      </w:r>
      <w:r>
        <w:rPr>
          <w:rFonts w:hint="eastAsia" w:cs="宋体"/>
          <w:bCs/>
          <w:lang w:val="en-US" w:eastAsia="zh-CN"/>
        </w:rPr>
        <w:t>附件十四  政府采购活动现场确认声明书</w:t>
      </w:r>
      <w:r>
        <w:tab/>
      </w:r>
      <w:r>
        <w:fldChar w:fldCharType="begin"/>
      </w:r>
      <w:r>
        <w:instrText xml:space="preserve"> PAGEREF _Toc22099 </w:instrText>
      </w:r>
      <w:r>
        <w:fldChar w:fldCharType="separate"/>
      </w:r>
      <w:r>
        <w:t>- 92 -</w:t>
      </w:r>
      <w:r>
        <w:fldChar w:fldCharType="end"/>
      </w:r>
      <w:r>
        <w:rPr>
          <w:rFonts w:hint="eastAsia" w:ascii="宋体" w:hAnsi="Times New Roman"/>
          <w:szCs w:val="28"/>
          <w:lang w:val="en-US" w:eastAsia="zh-CN"/>
        </w:rPr>
        <w:fldChar w:fldCharType="end"/>
      </w:r>
    </w:p>
    <w:p>
      <w:pPr>
        <w:pStyle w:val="31"/>
        <w:tabs>
          <w:tab w:val="right" w:leader="dot" w:pos="8300"/>
          <w:tab w:val="clear" w:pos="8948"/>
        </w:tabs>
      </w:pPr>
      <w:r>
        <w:rPr>
          <w:rFonts w:hint="eastAsia" w:ascii="宋体" w:hAnsi="Times New Roman"/>
          <w:szCs w:val="28"/>
          <w:lang w:val="en-US" w:eastAsia="zh-CN"/>
        </w:rPr>
        <w:fldChar w:fldCharType="begin"/>
      </w:r>
      <w:r>
        <w:rPr>
          <w:rFonts w:hint="eastAsia" w:ascii="宋体" w:hAnsi="Times New Roman"/>
          <w:szCs w:val="28"/>
          <w:lang w:val="en-US" w:eastAsia="zh-CN"/>
        </w:rPr>
        <w:instrText xml:space="preserve"> HYPERLINK \l _Toc4179 </w:instrText>
      </w:r>
      <w:r>
        <w:rPr>
          <w:rFonts w:hint="eastAsia" w:ascii="宋体" w:hAnsi="Times New Roman"/>
          <w:szCs w:val="28"/>
          <w:lang w:val="en-US" w:eastAsia="zh-CN"/>
        </w:rPr>
        <w:fldChar w:fldCharType="separate"/>
      </w:r>
      <w:r>
        <w:rPr>
          <w:rFonts w:hint="eastAsia" w:cs="宋体"/>
          <w:bCs/>
          <w:lang w:val="en-US" w:eastAsia="zh-CN"/>
        </w:rPr>
        <w:t>附件十五  政府采购履约验收书</w:t>
      </w:r>
      <w:r>
        <w:tab/>
      </w:r>
      <w:r>
        <w:fldChar w:fldCharType="begin"/>
      </w:r>
      <w:r>
        <w:instrText xml:space="preserve"> PAGEREF _Toc4179 </w:instrText>
      </w:r>
      <w:r>
        <w:fldChar w:fldCharType="separate"/>
      </w:r>
      <w:r>
        <w:t>- 93 -</w:t>
      </w:r>
      <w:r>
        <w:fldChar w:fldCharType="end"/>
      </w:r>
      <w:r>
        <w:rPr>
          <w:rFonts w:hint="eastAsia" w:ascii="宋体" w:hAnsi="Times New Roman"/>
          <w:szCs w:val="28"/>
          <w:lang w:val="en-US" w:eastAsia="zh-CN"/>
        </w:rPr>
        <w:fldChar w:fldCharType="end"/>
      </w:r>
    </w:p>
    <w:p>
      <w:pPr>
        <w:pStyle w:val="2"/>
        <w:bidi w:val="0"/>
        <w:ind w:firstLine="2650" w:firstLineChars="1100"/>
        <w:jc w:val="both"/>
        <w:rPr>
          <w:rFonts w:hint="eastAsia" w:ascii="宋体" w:hAnsi="Times New Roman"/>
          <w:b/>
          <w:sz w:val="28"/>
          <w:szCs w:val="28"/>
          <w:lang w:val="en-US" w:eastAsia="zh-CN"/>
        </w:rPr>
      </w:pPr>
      <w:r>
        <w:rPr>
          <w:rFonts w:hint="eastAsia" w:ascii="宋体" w:hAnsi="Times New Roman"/>
          <w:szCs w:val="28"/>
          <w:lang w:val="en-US" w:eastAsia="zh-CN"/>
        </w:rPr>
        <w:fldChar w:fldCharType="end"/>
      </w:r>
    </w:p>
    <w:p>
      <w:pPr>
        <w:pStyle w:val="2"/>
        <w:bidi w:val="0"/>
        <w:ind w:firstLine="3092" w:firstLineChars="1100"/>
        <w:jc w:val="both"/>
        <w:rPr>
          <w:rFonts w:hint="eastAsia" w:ascii="宋体" w:hAnsi="Times New Roman"/>
          <w:b/>
          <w:sz w:val="28"/>
          <w:szCs w:val="28"/>
          <w:lang w:val="en-US" w:eastAsia="zh-CN"/>
        </w:rPr>
      </w:pPr>
      <w:bookmarkStart w:id="39" w:name="_Toc22969"/>
      <w:r>
        <w:rPr>
          <w:rFonts w:hint="eastAsia" w:ascii="宋体" w:hAnsi="Times New Roman"/>
          <w:b/>
          <w:sz w:val="28"/>
          <w:szCs w:val="28"/>
          <w:lang w:val="en-US" w:eastAsia="zh-CN"/>
        </w:rPr>
        <w:t>第一部分  招标公告</w:t>
      </w:r>
      <w:bookmarkEnd w:id="2"/>
      <w:bookmarkEnd w:id="3"/>
      <w:bookmarkEnd w:id="4"/>
      <w:bookmarkEnd w:id="5"/>
      <w:bookmarkEnd w:id="6"/>
      <w:bookmarkEnd w:id="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sz w:val="21"/>
          <w:szCs w:val="21"/>
        </w:rPr>
      </w:pPr>
      <w:bookmarkStart w:id="40" w:name="_Toc23029"/>
      <w:bookmarkStart w:id="41" w:name="_Toc9286"/>
      <w:bookmarkStart w:id="42" w:name="_Toc28359079"/>
      <w:bookmarkStart w:id="43" w:name="_Toc18445"/>
      <w:bookmarkStart w:id="44" w:name="_Toc35393621"/>
      <w:bookmarkStart w:id="45" w:name="_Hlk24379207"/>
      <w:bookmarkStart w:id="46" w:name="_Toc29535"/>
      <w:bookmarkStart w:id="47" w:name="_Toc28359002"/>
      <w:bookmarkStart w:id="48" w:name="_Toc35393790"/>
      <w:bookmarkStart w:id="49" w:name="_Toc13497"/>
      <w:r>
        <w:rPr>
          <w:rFonts w:hint="eastAsia" w:ascii="宋体" w:hAnsi="宋体" w:eastAsia="宋体" w:cs="宋体"/>
          <w:sz w:val="21"/>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sz w:val="21"/>
          <w:szCs w:val="21"/>
        </w:rPr>
      </w:pPr>
      <w:r>
        <w:rPr>
          <w:rFonts w:hint="eastAsia" w:ascii="Arial" w:hAnsi="Arial" w:eastAsia="宋体" w:cs="Arial"/>
          <w:sz w:val="21"/>
          <w:szCs w:val="21"/>
          <w:u w:val="none"/>
          <w:lang w:val="en-US" w:eastAsia="zh-CN"/>
        </w:rPr>
        <w:t>2023-2026</w:t>
      </w:r>
      <w:r>
        <w:rPr>
          <w:rFonts w:hint="eastAsia" w:ascii="宋体" w:hAnsi="宋体" w:eastAsia="宋体" w:cs="宋体"/>
          <w:sz w:val="21"/>
          <w:szCs w:val="21"/>
          <w:lang w:eastAsia="zh-CN"/>
        </w:rPr>
        <w:t>年瑞安市市政大院物业</w:t>
      </w:r>
      <w:r>
        <w:rPr>
          <w:rFonts w:hint="eastAsia" w:ascii="宋体" w:hAnsi="宋体" w:eastAsia="宋体" w:cs="宋体"/>
          <w:sz w:val="21"/>
          <w:szCs w:val="21"/>
          <w:lang w:val="en-US" w:eastAsia="zh-CN"/>
        </w:rPr>
        <w:t>管理</w:t>
      </w:r>
      <w:r>
        <w:rPr>
          <w:rFonts w:hint="eastAsia" w:ascii="宋体" w:hAnsi="宋体" w:eastAsia="宋体" w:cs="宋体"/>
          <w:sz w:val="21"/>
          <w:szCs w:val="21"/>
          <w:lang w:eastAsia="zh-CN"/>
        </w:rPr>
        <w:t>服务</w:t>
      </w:r>
      <w:r>
        <w:rPr>
          <w:rFonts w:hint="eastAsia" w:ascii="宋体" w:hAnsi="宋体" w:eastAsia="宋体" w:cs="宋体"/>
          <w:sz w:val="21"/>
          <w:szCs w:val="21"/>
        </w:rPr>
        <w:t>招标项目的潜在投标人应在政府采购云平</w:t>
      </w:r>
      <w:r>
        <w:rPr>
          <w:rFonts w:hint="eastAsia" w:ascii="宋体" w:hAnsi="宋体" w:eastAsia="宋体" w:cs="宋体"/>
          <w:sz w:val="21"/>
          <w:szCs w:val="21"/>
          <w:lang w:eastAsia="zh-CN"/>
        </w:rPr>
        <w:t>台</w:t>
      </w:r>
      <w:r>
        <w:rPr>
          <w:rFonts w:hint="eastAsia" w:ascii="宋体" w:hAnsi="宋体" w:eastAsia="宋体" w:cs="宋体"/>
          <w:sz w:val="21"/>
          <w:szCs w:val="21"/>
        </w:rPr>
        <w:t>（www.zcygov.cn）获取</w:t>
      </w:r>
      <w:r>
        <w:rPr>
          <w:rFonts w:hint="eastAsia" w:ascii="宋体" w:hAnsi="宋体" w:eastAsia="宋体" w:cs="宋体"/>
          <w:sz w:val="21"/>
          <w:szCs w:val="21"/>
          <w:lang w:eastAsia="zh-CN"/>
        </w:rPr>
        <w:t>（下载）</w:t>
      </w:r>
      <w:r>
        <w:rPr>
          <w:rFonts w:hint="eastAsia" w:ascii="宋体" w:hAnsi="宋体" w:eastAsia="宋体" w:cs="宋体"/>
          <w:sz w:val="21"/>
          <w:szCs w:val="21"/>
        </w:rPr>
        <w:t>招标文件，并于</w:t>
      </w:r>
      <w:r>
        <w:rPr>
          <w:rFonts w:hint="eastAsia" w:ascii="Arial" w:hAnsi="Arial" w:eastAsia="宋体" w:cs="Arial"/>
          <w:sz w:val="21"/>
          <w:szCs w:val="21"/>
          <w:u w:val="none"/>
          <w:lang w:val="en-US" w:eastAsia="zh-CN"/>
        </w:rPr>
        <w:t>2023</w:t>
      </w:r>
      <w:r>
        <w:rPr>
          <w:rFonts w:hint="eastAsia" w:ascii="宋体" w:hAnsi="宋体" w:eastAsia="宋体" w:cs="宋体"/>
          <w:color w:val="auto"/>
          <w:sz w:val="21"/>
          <w:szCs w:val="21"/>
          <w:u w:val="none"/>
          <w:lang w:val="en-US" w:eastAsia="zh-CN"/>
        </w:rPr>
        <w:t>年</w:t>
      </w:r>
      <w:r>
        <w:rPr>
          <w:rFonts w:hint="eastAsia" w:ascii="Arial" w:hAnsi="Arial" w:eastAsia="宋体" w:cs="Arial"/>
          <w:sz w:val="21"/>
          <w:szCs w:val="21"/>
          <w:u w:val="none"/>
          <w:lang w:val="en-US" w:eastAsia="zh-CN"/>
        </w:rPr>
        <w:t>8</w:t>
      </w:r>
      <w:r>
        <w:rPr>
          <w:rFonts w:hint="eastAsia" w:ascii="宋体" w:hAnsi="宋体" w:eastAsia="宋体" w:cs="宋体"/>
          <w:color w:val="auto"/>
          <w:sz w:val="21"/>
          <w:szCs w:val="21"/>
          <w:u w:val="none"/>
          <w:lang w:val="en-US" w:eastAsia="zh-CN"/>
        </w:rPr>
        <w:t>月</w:t>
      </w:r>
      <w:r>
        <w:rPr>
          <w:rFonts w:hint="eastAsia" w:ascii="Arial" w:hAnsi="Arial" w:eastAsia="宋体" w:cs="Arial"/>
          <w:color w:val="auto"/>
          <w:sz w:val="21"/>
          <w:szCs w:val="21"/>
          <w:u w:val="none"/>
          <w:lang w:val="en-US" w:eastAsia="zh-CN"/>
        </w:rPr>
        <w:t>14</w:t>
      </w:r>
      <w:r>
        <w:rPr>
          <w:rFonts w:hint="eastAsia" w:ascii="宋体" w:hAnsi="宋体" w:eastAsia="宋体" w:cs="宋体"/>
          <w:color w:val="auto"/>
          <w:sz w:val="21"/>
          <w:szCs w:val="21"/>
          <w:u w:val="none"/>
          <w:lang w:val="en-US" w:eastAsia="zh-CN"/>
        </w:rPr>
        <w:t>日</w:t>
      </w:r>
      <w:r>
        <w:rPr>
          <w:rFonts w:hint="eastAsia" w:ascii="Arial" w:hAnsi="Arial" w:eastAsia="宋体" w:cs="Arial"/>
          <w:sz w:val="21"/>
          <w:szCs w:val="21"/>
          <w:u w:val="none"/>
          <w:lang w:val="en-US" w:eastAsia="zh-CN"/>
        </w:rPr>
        <w:t>09:00</w:t>
      </w:r>
      <w:r>
        <w:rPr>
          <w:rFonts w:hint="eastAsia" w:ascii="宋体" w:hAnsi="宋体" w:eastAsia="宋体" w:cs="宋体"/>
          <w:bCs/>
          <w:sz w:val="21"/>
          <w:szCs w:val="21"/>
        </w:rPr>
        <w:t>（北京时间）前</w:t>
      </w:r>
      <w:r>
        <w:rPr>
          <w:rFonts w:hint="eastAsia" w:ascii="宋体" w:hAnsi="宋体" w:eastAsia="宋体" w:cs="宋体"/>
          <w:bCs/>
          <w:sz w:val="21"/>
          <w:szCs w:val="21"/>
          <w:lang w:eastAsia="zh-CN"/>
        </w:rPr>
        <w:t>递</w:t>
      </w:r>
      <w:r>
        <w:rPr>
          <w:rFonts w:hint="eastAsia" w:ascii="宋体" w:hAnsi="宋体" w:eastAsia="宋体" w:cs="宋体"/>
          <w:bCs/>
          <w:sz w:val="21"/>
          <w:szCs w:val="21"/>
        </w:rPr>
        <w:t>交（上传）投标文件</w:t>
      </w:r>
      <w:r>
        <w:rPr>
          <w:rFonts w:hint="eastAsia" w:ascii="宋体" w:hAnsi="宋体" w:eastAsia="宋体" w:cs="宋体"/>
          <w:sz w:val="21"/>
          <w:szCs w:val="21"/>
        </w:rPr>
        <w:t>。</w:t>
      </w:r>
    </w:p>
    <w:bookmarkEnd w:id="40"/>
    <w:bookmarkEnd w:id="41"/>
    <w:bookmarkEnd w:id="42"/>
    <w:bookmarkEnd w:id="43"/>
    <w:bookmarkEnd w:id="44"/>
    <w:bookmarkEnd w:id="45"/>
    <w:bookmarkEnd w:id="46"/>
    <w:bookmarkEnd w:id="47"/>
    <w:bookmarkEnd w:id="48"/>
    <w:bookmarkEnd w:id="49"/>
    <w:p>
      <w:pPr>
        <w:numPr>
          <w:ilvl w:val="0"/>
          <w:numId w:val="3"/>
        </w:numPr>
        <w:bidi w:val="0"/>
        <w:spacing w:line="360" w:lineRule="auto"/>
        <w:ind w:left="0" w:leftChars="0" w:firstLine="420" w:firstLineChars="0"/>
        <w:outlineLvl w:val="9"/>
        <w:rPr>
          <w:rFonts w:hint="eastAsia"/>
          <w:b/>
          <w:bCs/>
          <w:sz w:val="24"/>
          <w:szCs w:val="24"/>
        </w:rPr>
      </w:pPr>
      <w:bookmarkStart w:id="50" w:name="_Toc11126"/>
      <w:bookmarkStart w:id="51" w:name="_Toc20868"/>
      <w:bookmarkStart w:id="52" w:name="_Toc13701"/>
      <w:bookmarkStart w:id="53" w:name="_Toc14260"/>
      <w:bookmarkStart w:id="54" w:name="_Toc5087"/>
      <w:bookmarkStart w:id="55" w:name="_Toc7818"/>
      <w:bookmarkStart w:id="56" w:name="_Toc13625"/>
      <w:bookmarkStart w:id="57" w:name="_Toc26146"/>
      <w:bookmarkStart w:id="58" w:name="_Toc32283"/>
      <w:bookmarkStart w:id="59" w:name="_Toc12320"/>
      <w:bookmarkStart w:id="60" w:name="_Toc24440"/>
      <w:bookmarkStart w:id="61" w:name="_Toc18570"/>
      <w:bookmarkStart w:id="62" w:name="_Toc35393791"/>
      <w:bookmarkStart w:id="63" w:name="_Toc19147"/>
      <w:bookmarkStart w:id="64" w:name="_Toc28359080"/>
      <w:bookmarkStart w:id="65" w:name="_Toc9390"/>
      <w:bookmarkStart w:id="66" w:name="_Toc28359003"/>
      <w:bookmarkStart w:id="67" w:name="_Toc35393622"/>
      <w:bookmarkStart w:id="68" w:name="_Toc17207"/>
      <w:bookmarkStart w:id="69" w:name="_Toc1064"/>
      <w:bookmarkStart w:id="70" w:name="_Toc25889"/>
      <w:r>
        <w:rPr>
          <w:rFonts w:hint="eastAsia"/>
          <w:b/>
          <w:bCs/>
          <w:sz w:val="24"/>
          <w:szCs w:val="24"/>
        </w:rPr>
        <w:t>项目基本情况</w:t>
      </w:r>
      <w:bookmarkEnd w:id="50"/>
      <w:bookmarkEnd w:id="51"/>
      <w:bookmarkEnd w:id="52"/>
      <w:bookmarkEnd w:id="53"/>
      <w:bookmarkEnd w:id="54"/>
      <w:bookmarkEnd w:id="55"/>
      <w:bookmarkEnd w:id="56"/>
      <w:bookmarkEnd w:id="57"/>
      <w:bookmarkEnd w:id="58"/>
      <w:bookmarkEnd w:id="59"/>
      <w:bookmarkEnd w:id="60"/>
      <w:bookmarkEnd w:id="61"/>
    </w:p>
    <w:p>
      <w:pPr>
        <w:numPr>
          <w:ilvl w:val="0"/>
          <w:numId w:val="4"/>
        </w:numPr>
        <w:spacing w:line="360" w:lineRule="auto"/>
        <w:ind w:left="0" w:leftChars="0" w:firstLine="425" w:firstLineChars="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项目编号：</w:t>
      </w:r>
      <w:r>
        <w:rPr>
          <w:rFonts w:hint="eastAsia" w:ascii="Arial" w:hAnsi="Arial" w:eastAsia="宋体" w:cs="Arial"/>
          <w:sz w:val="21"/>
          <w:szCs w:val="21"/>
          <w:u w:val="none"/>
          <w:lang w:val="en-US" w:eastAsia="zh-CN"/>
        </w:rPr>
        <w:t>RAJC20230712</w:t>
      </w:r>
    </w:p>
    <w:p>
      <w:pPr>
        <w:numPr>
          <w:ilvl w:val="0"/>
          <w:numId w:val="4"/>
        </w:numPr>
        <w:spacing w:line="360" w:lineRule="auto"/>
        <w:ind w:left="0" w:leftChars="0" w:firstLine="425"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项目名称：</w:t>
      </w:r>
      <w:r>
        <w:rPr>
          <w:rFonts w:hint="eastAsia" w:ascii="Arial" w:hAnsi="Arial" w:eastAsia="宋体" w:cs="Arial"/>
          <w:sz w:val="21"/>
          <w:szCs w:val="21"/>
          <w:u w:val="none"/>
          <w:lang w:val="en-US" w:eastAsia="zh-CN"/>
        </w:rPr>
        <w:t>2023-2026</w:t>
      </w:r>
      <w:r>
        <w:rPr>
          <w:rFonts w:hint="eastAsia" w:ascii="宋体" w:hAnsi="宋体" w:eastAsia="宋体" w:cs="宋体"/>
          <w:sz w:val="21"/>
          <w:szCs w:val="21"/>
          <w:lang w:eastAsia="zh-CN"/>
        </w:rPr>
        <w:t>年瑞安市市政大院物业管理服务</w:t>
      </w:r>
    </w:p>
    <w:p>
      <w:pPr>
        <w:numPr>
          <w:ilvl w:val="0"/>
          <w:numId w:val="4"/>
        </w:numPr>
        <w:spacing w:line="360" w:lineRule="auto"/>
        <w:ind w:left="0" w:leftChars="0" w:firstLine="425"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采购方式：</w:t>
      </w:r>
      <w:r>
        <w:rPr>
          <w:rFonts w:hint="eastAsia" w:ascii="Times New Roman" w:hAnsi="Times New Roman" w:eastAsia="宋体" w:cs="Times New Roman"/>
          <w:sz w:val="21"/>
          <w:szCs w:val="21"/>
          <w:lang w:eastAsia="zh-CN"/>
        </w:rPr>
        <w:t>公开招标</w:t>
      </w:r>
    </w:p>
    <w:p>
      <w:pPr>
        <w:numPr>
          <w:ilvl w:val="0"/>
          <w:numId w:val="4"/>
        </w:numPr>
        <w:spacing w:line="360" w:lineRule="auto"/>
        <w:ind w:left="0" w:leftChars="0" w:firstLine="425"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预算金额（元）：</w:t>
      </w:r>
      <w:r>
        <w:rPr>
          <w:rFonts w:hint="eastAsia" w:ascii="Arial" w:hAnsi="Arial" w:eastAsia="宋体" w:cs="Arial"/>
          <w:sz w:val="21"/>
          <w:szCs w:val="21"/>
          <w:u w:val="none"/>
          <w:lang w:val="en-US" w:eastAsia="zh-CN"/>
        </w:rPr>
        <w:t>25767264</w:t>
      </w:r>
      <w:r>
        <w:rPr>
          <w:rFonts w:hint="default" w:ascii="Arial" w:hAnsi="Arial" w:cs="Arial"/>
          <w:kern w:val="0"/>
          <w:szCs w:val="21"/>
          <w:lang w:val="en-US" w:eastAsia="zh-CN"/>
        </w:rPr>
        <w:t>.00</w:t>
      </w:r>
      <w:r>
        <w:rPr>
          <w:rFonts w:hint="eastAsia" w:ascii="Arial" w:hAnsi="Arial" w:cs="Arial"/>
          <w:color w:val="auto"/>
          <w:szCs w:val="21"/>
          <w:lang w:val="en-US" w:eastAsia="zh-CN"/>
        </w:rPr>
        <w:t xml:space="preserve">元  </w:t>
      </w:r>
    </w:p>
    <w:p>
      <w:pPr>
        <w:numPr>
          <w:ilvl w:val="0"/>
          <w:numId w:val="4"/>
        </w:numPr>
        <w:spacing w:line="360" w:lineRule="auto"/>
        <w:ind w:left="0" w:leftChars="0" w:firstLine="425"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最高限价（元）：</w:t>
      </w:r>
      <w:r>
        <w:rPr>
          <w:rFonts w:hint="eastAsia"/>
          <w:color w:val="auto"/>
          <w:szCs w:val="21"/>
          <w:lang w:val="en-US" w:eastAsia="zh-CN"/>
        </w:rPr>
        <w:t>无</w:t>
      </w:r>
    </w:p>
    <w:p>
      <w:pPr>
        <w:numPr>
          <w:ilvl w:val="0"/>
          <w:numId w:val="4"/>
        </w:numPr>
        <w:spacing w:line="360" w:lineRule="auto"/>
        <w:ind w:left="0" w:leftChars="0" w:firstLine="425" w:firstLineChars="0"/>
        <w:rPr>
          <w:rFonts w:hint="default" w:ascii="Times New Roman" w:hAnsi="Times New Roman" w:eastAsia="宋体" w:cs="Times New Roman"/>
          <w:sz w:val="21"/>
          <w:szCs w:val="21"/>
        </w:rPr>
      </w:pPr>
      <w:r>
        <w:rPr>
          <w:rFonts w:hint="eastAsia" w:ascii="宋体" w:hAnsi="宋体" w:eastAsia="宋体" w:cs="宋体"/>
          <w:sz w:val="21"/>
          <w:szCs w:val="21"/>
        </w:rPr>
        <w:t>简要规格描述或项目基本概况介绍、用途：</w:t>
      </w:r>
      <w:r>
        <w:rPr>
          <w:rFonts w:hint="eastAsia" w:ascii="宋体" w:hAnsi="宋体" w:eastAsia="宋体" w:cs="宋体"/>
          <w:sz w:val="21"/>
          <w:szCs w:val="21"/>
          <w:highlight w:val="none"/>
          <w:lang w:eastAsia="zh-CN"/>
        </w:rPr>
        <w:t>瑞安市市政大院</w:t>
      </w:r>
      <w:r>
        <w:rPr>
          <w:rFonts w:hint="eastAsia" w:ascii="宋体" w:hAnsi="宋体" w:eastAsia="宋体" w:cs="宋体"/>
          <w:sz w:val="21"/>
          <w:szCs w:val="21"/>
          <w:highlight w:val="none"/>
          <w:lang w:val="en-US" w:eastAsia="zh-CN"/>
        </w:rPr>
        <w:t>全区域</w:t>
      </w:r>
      <w:r>
        <w:rPr>
          <w:rFonts w:hint="eastAsia" w:ascii="宋体" w:hAnsi="宋体" w:eastAsia="宋体" w:cs="宋体"/>
          <w:sz w:val="21"/>
          <w:szCs w:val="21"/>
          <w:highlight w:val="none"/>
          <w:lang w:eastAsia="zh-CN"/>
        </w:rPr>
        <w:t>所需的卫生保洁、秩序维护、</w:t>
      </w:r>
      <w:r>
        <w:rPr>
          <w:rFonts w:hint="eastAsia" w:ascii="宋体" w:hAnsi="宋体" w:eastAsia="宋体" w:cs="宋体"/>
          <w:sz w:val="21"/>
          <w:szCs w:val="21"/>
          <w:highlight w:val="none"/>
          <w:lang w:val="en-US" w:eastAsia="zh-CN"/>
        </w:rPr>
        <w:t>会务服务</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设备维护</w:t>
      </w:r>
      <w:r>
        <w:rPr>
          <w:rFonts w:hint="eastAsia" w:ascii="宋体" w:hAnsi="宋体" w:eastAsia="宋体" w:cs="宋体"/>
          <w:sz w:val="21"/>
          <w:szCs w:val="21"/>
          <w:highlight w:val="none"/>
          <w:lang w:eastAsia="zh-CN"/>
        </w:rPr>
        <w:t>等物业管理服务</w:t>
      </w:r>
      <w:r>
        <w:rPr>
          <w:rFonts w:hint="eastAsia" w:ascii="宋体" w:hAnsi="宋体" w:cs="宋体"/>
          <w:szCs w:val="21"/>
        </w:rPr>
        <w:t>（具体要求详见招标文件第三部分）</w:t>
      </w:r>
      <w:r>
        <w:rPr>
          <w:rFonts w:hint="eastAsia" w:ascii="宋体" w:hAnsi="宋体" w:cs="宋体"/>
          <w:szCs w:val="21"/>
          <w:lang w:eastAsia="zh-CN"/>
        </w:rPr>
        <w:t>。</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备注：</w:t>
      </w:r>
      <w:r>
        <w:rPr>
          <w:rFonts w:hint="eastAsia" w:ascii="宋体" w:hAnsi="宋体" w:eastAsia="宋体" w:cs="宋体"/>
          <w:color w:val="auto"/>
          <w:sz w:val="21"/>
          <w:szCs w:val="21"/>
          <w:lang w:eastAsia="zh-CN"/>
        </w:rPr>
        <w:t>无</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合同履约期</w:t>
      </w:r>
      <w:r>
        <w:rPr>
          <w:rFonts w:hint="eastAsia" w:ascii="宋体" w:hAnsi="宋体" w:eastAsia="宋体" w:cs="宋体"/>
          <w:color w:val="000000"/>
          <w:sz w:val="21"/>
          <w:szCs w:val="21"/>
        </w:rPr>
        <w:t>限：</w:t>
      </w:r>
      <w:r>
        <w:rPr>
          <w:rFonts w:hint="eastAsia" w:ascii="宋体" w:hAnsi="宋体" w:eastAsia="宋体" w:cs="宋体"/>
          <w:sz w:val="21"/>
          <w:szCs w:val="21"/>
          <w:lang w:eastAsia="zh-CN"/>
        </w:rPr>
        <w:t>自合同生效之日起三年(</w:t>
      </w:r>
      <w:r>
        <w:rPr>
          <w:rFonts w:hint="eastAsia" w:ascii="Arial" w:hAnsi="Arial" w:eastAsia="宋体" w:cs="Arial"/>
          <w:sz w:val="21"/>
          <w:szCs w:val="21"/>
          <w:u w:val="none"/>
          <w:lang w:val="en-US" w:eastAsia="zh-CN"/>
        </w:rPr>
        <w:t>36</w:t>
      </w:r>
      <w:r>
        <w:rPr>
          <w:rFonts w:hint="eastAsia" w:ascii="宋体" w:hAnsi="宋体" w:eastAsia="宋体" w:cs="宋体"/>
          <w:sz w:val="21"/>
          <w:szCs w:val="21"/>
          <w:lang w:eastAsia="zh-CN"/>
        </w:rPr>
        <w:t>个月）</w:t>
      </w:r>
      <w:r>
        <w:rPr>
          <w:rFonts w:hint="eastAsia" w:ascii="宋体" w:hAnsi="宋体" w:eastAsia="宋体" w:cs="宋体"/>
          <w:b w:val="0"/>
          <w:bCs w:val="0"/>
          <w:color w:val="000000"/>
          <w:szCs w:val="22"/>
          <w:highlight w:val="none"/>
          <w:lang w:val="en-US" w:eastAsia="zh-CN" w:bidi="ar"/>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本项目</w:t>
      </w:r>
      <w:r>
        <w:rPr>
          <w:rFonts w:hint="eastAsia" w:ascii="宋体" w:hAnsi="宋体" w:eastAsia="宋体" w:cs="宋体"/>
          <w:b w:val="0"/>
          <w:bCs w:val="0"/>
          <w:color w:val="auto"/>
          <w:sz w:val="21"/>
          <w:szCs w:val="21"/>
          <w:highlight w:val="none"/>
          <w:lang w:eastAsia="zh-CN"/>
        </w:rPr>
        <w:t>不</w:t>
      </w:r>
      <w:r>
        <w:rPr>
          <w:rFonts w:hint="eastAsia" w:ascii="宋体" w:hAnsi="宋体" w:eastAsia="宋体" w:cs="宋体"/>
          <w:sz w:val="21"/>
          <w:szCs w:val="21"/>
        </w:rPr>
        <w:t>接受联合体投标。</w:t>
      </w:r>
    </w:p>
    <w:bookmarkEnd w:id="62"/>
    <w:bookmarkEnd w:id="63"/>
    <w:bookmarkEnd w:id="64"/>
    <w:bookmarkEnd w:id="65"/>
    <w:bookmarkEnd w:id="66"/>
    <w:bookmarkEnd w:id="67"/>
    <w:bookmarkEnd w:id="68"/>
    <w:bookmarkEnd w:id="69"/>
    <w:bookmarkEnd w:id="70"/>
    <w:p>
      <w:pPr>
        <w:numPr>
          <w:ilvl w:val="0"/>
          <w:numId w:val="3"/>
        </w:numPr>
        <w:bidi w:val="0"/>
        <w:spacing w:line="360" w:lineRule="auto"/>
        <w:ind w:left="0" w:leftChars="0" w:firstLine="420" w:firstLineChars="0"/>
        <w:outlineLvl w:val="9"/>
        <w:rPr>
          <w:rFonts w:hint="eastAsia"/>
          <w:b/>
          <w:bCs/>
          <w:sz w:val="24"/>
          <w:szCs w:val="24"/>
        </w:rPr>
      </w:pPr>
      <w:bookmarkStart w:id="71" w:name="_Toc30682"/>
      <w:bookmarkStart w:id="72" w:name="_Toc15492"/>
      <w:bookmarkStart w:id="73" w:name="_Toc13157"/>
      <w:bookmarkStart w:id="74" w:name="_Toc30438"/>
      <w:bookmarkStart w:id="75" w:name="_Toc12591"/>
      <w:bookmarkStart w:id="76" w:name="_Toc32024"/>
      <w:bookmarkStart w:id="77" w:name="_Toc19640"/>
      <w:bookmarkStart w:id="78" w:name="_Toc20036"/>
      <w:bookmarkStart w:id="79" w:name="_Toc21497"/>
      <w:bookmarkStart w:id="80" w:name="_Toc18736"/>
      <w:bookmarkStart w:id="81" w:name="_Toc25378"/>
      <w:bookmarkStart w:id="82" w:name="_Toc12705"/>
      <w:bookmarkStart w:id="83" w:name="_Toc28359005"/>
      <w:bookmarkStart w:id="84" w:name="_Toc1090"/>
      <w:bookmarkStart w:id="85" w:name="_Toc4084"/>
      <w:bookmarkStart w:id="86" w:name="_Toc8027"/>
      <w:bookmarkStart w:id="87" w:name="_Toc28359082"/>
      <w:bookmarkStart w:id="88" w:name="_Toc24293"/>
      <w:bookmarkStart w:id="89" w:name="_Toc35393793"/>
      <w:bookmarkStart w:id="90" w:name="_Toc14044"/>
      <w:bookmarkStart w:id="91" w:name="_Toc35393624"/>
      <w:r>
        <w:rPr>
          <w:rFonts w:hint="eastAsia"/>
          <w:b/>
          <w:bCs/>
          <w:sz w:val="24"/>
          <w:szCs w:val="24"/>
        </w:rPr>
        <w:t>申请人的资格要求</w:t>
      </w:r>
      <w:bookmarkEnd w:id="71"/>
      <w:bookmarkEnd w:id="72"/>
      <w:bookmarkEnd w:id="73"/>
      <w:bookmarkEnd w:id="74"/>
      <w:bookmarkEnd w:id="75"/>
      <w:bookmarkEnd w:id="76"/>
      <w:bookmarkEnd w:id="77"/>
      <w:bookmarkEnd w:id="78"/>
      <w:bookmarkEnd w:id="79"/>
      <w:bookmarkEnd w:id="80"/>
      <w:bookmarkEnd w:id="81"/>
      <w:bookmarkEnd w:id="82"/>
    </w:p>
    <w:p>
      <w:pPr>
        <w:numPr>
          <w:ilvl w:val="0"/>
          <w:numId w:val="5"/>
        </w:numPr>
        <w:spacing w:line="360" w:lineRule="auto"/>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满足《中华人民共和国政府采购法》第二十二条规定；</w:t>
      </w:r>
      <w:bookmarkStart w:id="92" w:name="_Toc28359004"/>
      <w:bookmarkStart w:id="93" w:name="_Toc28359081"/>
      <w:r>
        <w:rPr>
          <w:rFonts w:hint="eastAsia" w:ascii="宋体" w:hAnsi="宋体" w:eastAsia="宋体" w:cs="宋体"/>
          <w:sz w:val="21"/>
          <w:szCs w:val="21"/>
        </w:rPr>
        <w:t>未被“信用中国”（</w:t>
      </w:r>
      <w:r>
        <w:rPr>
          <w:rFonts w:hint="default" w:ascii="Arial" w:hAnsi="Arial" w:eastAsia="宋体" w:cs="Arial"/>
          <w:sz w:val="21"/>
          <w:szCs w:val="21"/>
        </w:rPr>
        <w:t>www.creditchina.gov.cn</w:t>
      </w:r>
      <w:r>
        <w:rPr>
          <w:rFonts w:hint="eastAsia" w:ascii="宋体" w:hAnsi="宋体" w:eastAsia="宋体" w:cs="宋体"/>
          <w:sz w:val="21"/>
          <w:szCs w:val="21"/>
        </w:rPr>
        <w:t>)、中国政府采购网（</w:t>
      </w:r>
      <w:r>
        <w:rPr>
          <w:rFonts w:hint="default" w:ascii="Arial" w:hAnsi="Arial" w:eastAsia="宋体" w:cs="Arial"/>
          <w:sz w:val="21"/>
          <w:szCs w:val="21"/>
        </w:rPr>
        <w:t>www.ccgp.gov.cn</w:t>
      </w:r>
      <w:r>
        <w:rPr>
          <w:rFonts w:hint="eastAsia" w:ascii="宋体" w:hAnsi="宋体" w:eastAsia="宋体" w:cs="宋体"/>
          <w:sz w:val="21"/>
          <w:szCs w:val="21"/>
        </w:rPr>
        <w:t>）列入失信被执行人、重大税收违法案件当事人名单、政府采购严重违法失信行为记录名单。</w:t>
      </w:r>
    </w:p>
    <w:p>
      <w:pPr>
        <w:numPr>
          <w:ilvl w:val="0"/>
          <w:numId w:val="5"/>
        </w:numPr>
        <w:spacing w:line="360" w:lineRule="auto"/>
        <w:ind w:left="0" w:leftChars="0" w:firstLine="420" w:firstLineChars="200"/>
        <w:jc w:val="left"/>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rPr>
        <w:t>落实政府采购政策需满足的资格要求：</w:t>
      </w:r>
      <w:r>
        <w:rPr>
          <w:rFonts w:hint="eastAsia" w:ascii="宋体" w:hAnsi="宋体" w:eastAsia="宋体" w:cs="宋体"/>
          <w:color w:val="auto"/>
          <w:szCs w:val="21"/>
          <w:highlight w:val="none"/>
          <w:lang w:val="en-US" w:eastAsia="zh-CN"/>
        </w:rPr>
        <w:t>本项目专门面向中小企业采购，全部服务由中小企业承接（残疾人福利性单位、监狱企业视同小型、微型企业）。</w:t>
      </w:r>
    </w:p>
    <w:p>
      <w:pPr>
        <w:numPr>
          <w:ilvl w:val="0"/>
          <w:numId w:val="5"/>
        </w:numPr>
        <w:spacing w:line="360" w:lineRule="auto"/>
        <w:ind w:left="0" w:leftChars="0" w:firstLine="420" w:firstLineChars="200"/>
        <w:jc w:val="lef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本项目的特定资格要求：</w:t>
      </w:r>
      <w:r>
        <w:rPr>
          <w:rFonts w:hint="default" w:ascii="Times New Roman" w:hAnsi="Times New Roman" w:eastAsia="宋体" w:cs="Times New Roman"/>
          <w:sz w:val="21"/>
          <w:szCs w:val="21"/>
          <w:lang w:eastAsia="zh-CN"/>
        </w:rPr>
        <w:t>无</w:t>
      </w:r>
    </w:p>
    <w:p>
      <w:pPr>
        <w:numPr>
          <w:ilvl w:val="0"/>
          <w:numId w:val="3"/>
        </w:numPr>
        <w:bidi w:val="0"/>
        <w:spacing w:line="360" w:lineRule="auto"/>
        <w:ind w:left="0" w:leftChars="0" w:firstLine="420" w:firstLineChars="0"/>
        <w:outlineLvl w:val="9"/>
        <w:rPr>
          <w:rFonts w:hint="eastAsia"/>
          <w:b/>
          <w:bCs/>
          <w:sz w:val="24"/>
          <w:szCs w:val="24"/>
        </w:rPr>
      </w:pPr>
      <w:bookmarkStart w:id="94" w:name="_Toc1217"/>
      <w:bookmarkStart w:id="95" w:name="_Toc14462"/>
      <w:bookmarkStart w:id="96" w:name="_Toc5747"/>
      <w:bookmarkStart w:id="97" w:name="_Toc35393792"/>
      <w:bookmarkStart w:id="98" w:name="_Toc31444"/>
      <w:bookmarkStart w:id="99" w:name="_Toc13012"/>
      <w:bookmarkStart w:id="100" w:name="_Toc9686"/>
      <w:bookmarkStart w:id="101" w:name="_Toc24834"/>
      <w:bookmarkStart w:id="102" w:name="_Toc27525"/>
      <w:bookmarkStart w:id="103" w:name="_Toc17970"/>
      <w:bookmarkStart w:id="104" w:name="_Toc1672"/>
      <w:bookmarkStart w:id="105" w:name="_Toc27561"/>
      <w:bookmarkStart w:id="106" w:name="_Toc28048"/>
      <w:bookmarkStart w:id="107" w:name="_Toc29937"/>
      <w:bookmarkStart w:id="108" w:name="_Toc14640"/>
      <w:bookmarkStart w:id="109" w:name="_Toc1930"/>
      <w:bookmarkStart w:id="110" w:name="_Toc25115"/>
      <w:bookmarkStart w:id="111" w:name="_Toc35393623"/>
      <w:r>
        <w:rPr>
          <w:rFonts w:hint="eastAsia"/>
          <w:b/>
          <w:bCs/>
          <w:sz w:val="24"/>
          <w:szCs w:val="24"/>
        </w:rPr>
        <w:t>获取（下载）招标文件</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numPr>
          <w:ilvl w:val="0"/>
          <w:numId w:val="6"/>
        </w:numPr>
        <w:spacing w:line="360" w:lineRule="auto"/>
        <w:ind w:left="0" w:leftChars="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u w:val="none"/>
        </w:rPr>
        <w:t>时间：</w:t>
      </w:r>
      <w:r>
        <w:rPr>
          <w:rFonts w:hint="eastAsia" w:ascii="Arial" w:hAnsi="Arial" w:eastAsia="宋体" w:cs="Arial"/>
          <w:sz w:val="21"/>
          <w:szCs w:val="21"/>
          <w:u w:val="none"/>
          <w:lang w:val="en-US" w:eastAsia="zh-CN"/>
        </w:rPr>
        <w:t>2023</w:t>
      </w:r>
      <w:r>
        <w:rPr>
          <w:rFonts w:hint="eastAsia" w:ascii="宋体" w:hAnsi="宋体" w:eastAsia="宋体" w:cs="宋体"/>
          <w:color w:val="auto"/>
          <w:sz w:val="21"/>
          <w:szCs w:val="21"/>
          <w:u w:val="none"/>
          <w:lang w:val="en-US" w:eastAsia="zh-CN"/>
        </w:rPr>
        <w:t>年</w:t>
      </w:r>
      <w:r>
        <w:rPr>
          <w:rFonts w:hint="eastAsia" w:ascii="Arial" w:hAnsi="Arial" w:eastAsia="宋体" w:cs="Arial"/>
          <w:sz w:val="21"/>
          <w:szCs w:val="21"/>
          <w:u w:val="none"/>
          <w:lang w:val="en-US" w:eastAsia="zh-CN"/>
        </w:rPr>
        <w:t>7</w:t>
      </w:r>
      <w:r>
        <w:rPr>
          <w:rFonts w:hint="eastAsia" w:ascii="宋体" w:hAnsi="宋体" w:eastAsia="宋体" w:cs="宋体"/>
          <w:color w:val="auto"/>
          <w:sz w:val="21"/>
          <w:szCs w:val="21"/>
          <w:u w:val="none"/>
          <w:lang w:val="en-US" w:eastAsia="zh-CN"/>
        </w:rPr>
        <w:t>月</w:t>
      </w:r>
      <w:r>
        <w:rPr>
          <w:rFonts w:hint="eastAsia" w:ascii="Arial" w:hAnsi="Arial" w:eastAsia="宋体" w:cs="Arial"/>
          <w:sz w:val="21"/>
          <w:szCs w:val="21"/>
          <w:u w:val="none"/>
          <w:lang w:val="en-US" w:eastAsia="zh-CN"/>
        </w:rPr>
        <w:t>24</w:t>
      </w:r>
      <w:r>
        <w:rPr>
          <w:rFonts w:hint="eastAsia" w:ascii="宋体" w:hAnsi="宋体" w:eastAsia="宋体" w:cs="宋体"/>
          <w:color w:val="auto"/>
          <w:sz w:val="21"/>
          <w:szCs w:val="21"/>
          <w:u w:val="none"/>
          <w:lang w:val="en-US" w:eastAsia="zh-CN"/>
        </w:rPr>
        <w:t>日</w:t>
      </w:r>
      <w:r>
        <w:rPr>
          <w:rFonts w:hint="eastAsia" w:ascii="宋体" w:hAnsi="宋体" w:eastAsia="宋体" w:cs="宋体"/>
          <w:color w:val="auto"/>
          <w:sz w:val="21"/>
          <w:szCs w:val="21"/>
          <w:u w:val="none"/>
        </w:rPr>
        <w:t>至</w:t>
      </w:r>
      <w:r>
        <w:rPr>
          <w:rFonts w:hint="eastAsia" w:ascii="Arial" w:hAnsi="Arial" w:eastAsia="宋体" w:cs="Arial"/>
          <w:sz w:val="21"/>
          <w:szCs w:val="21"/>
          <w:u w:val="none"/>
          <w:lang w:val="en-US" w:eastAsia="zh-CN"/>
        </w:rPr>
        <w:t>2023</w:t>
      </w:r>
      <w:r>
        <w:rPr>
          <w:rFonts w:hint="eastAsia" w:ascii="宋体" w:hAnsi="宋体" w:eastAsia="宋体" w:cs="宋体"/>
          <w:color w:val="auto"/>
          <w:sz w:val="21"/>
          <w:szCs w:val="21"/>
          <w:u w:val="none"/>
          <w:lang w:val="en-US" w:eastAsia="zh-CN"/>
        </w:rPr>
        <w:t>年</w:t>
      </w:r>
      <w:r>
        <w:rPr>
          <w:rFonts w:hint="eastAsia" w:ascii="Arial" w:hAnsi="Arial" w:eastAsia="宋体" w:cs="Arial"/>
          <w:sz w:val="21"/>
          <w:szCs w:val="21"/>
          <w:u w:val="none"/>
          <w:lang w:val="en-US" w:eastAsia="zh-CN"/>
        </w:rPr>
        <w:t>8</w:t>
      </w:r>
      <w:r>
        <w:rPr>
          <w:rFonts w:hint="eastAsia" w:ascii="宋体" w:hAnsi="宋体" w:eastAsia="宋体" w:cs="宋体"/>
          <w:color w:val="auto"/>
          <w:sz w:val="21"/>
          <w:szCs w:val="21"/>
          <w:u w:val="none"/>
          <w:lang w:val="en-US" w:eastAsia="zh-CN"/>
        </w:rPr>
        <w:t>月</w:t>
      </w:r>
      <w:r>
        <w:rPr>
          <w:rFonts w:hint="eastAsia" w:ascii="Arial" w:hAnsi="Arial" w:eastAsia="宋体" w:cs="Arial"/>
          <w:sz w:val="21"/>
          <w:szCs w:val="21"/>
          <w:u w:val="none"/>
          <w:lang w:val="en-US" w:eastAsia="zh-CN"/>
        </w:rPr>
        <w:t>14</w:t>
      </w:r>
      <w:r>
        <w:rPr>
          <w:rFonts w:hint="eastAsia" w:ascii="宋体" w:hAnsi="宋体" w:eastAsia="宋体" w:cs="宋体"/>
          <w:color w:val="auto"/>
          <w:sz w:val="21"/>
          <w:szCs w:val="21"/>
          <w:u w:val="none"/>
          <w:lang w:val="en-US" w:eastAsia="zh-CN"/>
        </w:rPr>
        <w:t>日</w:t>
      </w:r>
      <w:r>
        <w:rPr>
          <w:rFonts w:hint="default" w:ascii="Times New Roman" w:hAnsi="Times New Roman" w:eastAsia="宋体" w:cs="Times New Roman"/>
          <w:sz w:val="21"/>
          <w:szCs w:val="21"/>
          <w:u w:val="none"/>
        </w:rPr>
        <w:t>，每天上午</w:t>
      </w:r>
      <w:r>
        <w:rPr>
          <w:rFonts w:hint="default" w:ascii="Arial" w:hAnsi="Arial" w:eastAsia="宋体" w:cs="Arial"/>
          <w:sz w:val="21"/>
          <w:szCs w:val="21"/>
          <w:u w:val="none"/>
        </w:rPr>
        <w:t>00:00至12:00，下午12:00至23:59</w:t>
      </w:r>
      <w:r>
        <w:rPr>
          <w:rFonts w:hint="default" w:ascii="Times New Roman" w:hAnsi="Times New Roman" w:eastAsia="宋体" w:cs="Times New Roman"/>
          <w:sz w:val="21"/>
          <w:szCs w:val="21"/>
          <w:u w:val="none"/>
        </w:rPr>
        <w:t>（北京时间，线上获取法定节假日</w:t>
      </w:r>
      <w:r>
        <w:rPr>
          <w:rFonts w:hint="default" w:ascii="Times New Roman" w:hAnsi="Times New Roman" w:eastAsia="宋体" w:cs="Times New Roman"/>
          <w:sz w:val="21"/>
          <w:szCs w:val="21"/>
        </w:rPr>
        <w:t>均可，线下获取文件法定节假日除外）</w:t>
      </w:r>
    </w:p>
    <w:p>
      <w:pPr>
        <w:numPr>
          <w:ilvl w:val="0"/>
          <w:numId w:val="6"/>
        </w:numPr>
        <w:spacing w:line="360" w:lineRule="auto"/>
        <w:ind w:left="0" w:leftChars="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地点（网址）：登录政府采购云平台（以下简称</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政采云平台</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w:t>
      </w:r>
      <w:r>
        <w:rPr>
          <w:rFonts w:hint="default" w:ascii="Arial" w:hAnsi="Arial" w:eastAsia="宋体" w:cs="Arial"/>
          <w:sz w:val="21"/>
          <w:szCs w:val="21"/>
        </w:rPr>
        <w:t>www.zcygov.cn</w:t>
      </w:r>
      <w:r>
        <w:rPr>
          <w:rFonts w:hint="default" w:ascii="Times New Roman" w:hAnsi="Times New Roman" w:eastAsia="宋体" w:cs="Times New Roman"/>
          <w:sz w:val="21"/>
          <w:szCs w:val="21"/>
        </w:rPr>
        <w:t>）申请获取招标文件。</w:t>
      </w:r>
    </w:p>
    <w:p>
      <w:pPr>
        <w:numPr>
          <w:ilvl w:val="0"/>
          <w:numId w:val="6"/>
        </w:numPr>
        <w:spacing w:line="360" w:lineRule="auto"/>
        <w:ind w:left="0" w:leftChars="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方式：</w:t>
      </w:r>
      <w:r>
        <w:rPr>
          <w:rFonts w:hint="default" w:ascii="Times New Roman" w:hAnsi="Times New Roman" w:eastAsia="宋体" w:cs="Times New Roman"/>
          <w:sz w:val="21"/>
          <w:szCs w:val="21"/>
          <w:lang w:eastAsia="zh-CN"/>
        </w:rPr>
        <w:t>依法获取招标文件通过“</w:t>
      </w:r>
      <w:r>
        <w:rPr>
          <w:rFonts w:hint="default" w:ascii="Times New Roman" w:hAnsi="Times New Roman" w:eastAsia="宋体" w:cs="Times New Roman"/>
          <w:sz w:val="21"/>
          <w:szCs w:val="21"/>
        </w:rPr>
        <w:t>政采云平台-用户登录-项目采购-获取采购文件-申请获取采购文件</w:t>
      </w:r>
      <w:r>
        <w:rPr>
          <w:rFonts w:hint="default" w:ascii="Times New Roman" w:hAnsi="Times New Roman" w:eastAsia="宋体" w:cs="Times New Roman"/>
          <w:sz w:val="21"/>
          <w:szCs w:val="21"/>
          <w:lang w:eastAsia="zh-CN"/>
        </w:rPr>
        <w:t>”方式下载</w:t>
      </w:r>
      <w:r>
        <w:rPr>
          <w:rFonts w:hint="default" w:ascii="Times New Roman" w:hAnsi="Times New Roman" w:eastAsia="宋体" w:cs="Times New Roman"/>
          <w:sz w:val="21"/>
          <w:szCs w:val="21"/>
        </w:rPr>
        <w:t>。</w:t>
      </w:r>
    </w:p>
    <w:p>
      <w:pPr>
        <w:numPr>
          <w:ilvl w:val="0"/>
          <w:numId w:val="6"/>
        </w:numPr>
        <w:spacing w:line="360" w:lineRule="auto"/>
        <w:ind w:left="0" w:leftChars="0"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售价（元）：</w:t>
      </w:r>
      <w:r>
        <w:rPr>
          <w:rFonts w:hint="default" w:ascii="Times New Roman" w:hAnsi="Times New Roman" w:eastAsia="宋体" w:cs="Times New Roman"/>
          <w:sz w:val="21"/>
          <w:szCs w:val="21"/>
          <w:lang w:val="en-US" w:eastAsia="zh-CN"/>
        </w:rPr>
        <w:t>0</w:t>
      </w:r>
    </w:p>
    <w:bookmarkEnd w:id="83"/>
    <w:bookmarkEnd w:id="84"/>
    <w:bookmarkEnd w:id="85"/>
    <w:bookmarkEnd w:id="86"/>
    <w:bookmarkEnd w:id="87"/>
    <w:bookmarkEnd w:id="88"/>
    <w:bookmarkEnd w:id="89"/>
    <w:bookmarkEnd w:id="90"/>
    <w:bookmarkEnd w:id="91"/>
    <w:p>
      <w:pPr>
        <w:numPr>
          <w:ilvl w:val="0"/>
          <w:numId w:val="3"/>
        </w:numPr>
        <w:bidi w:val="0"/>
        <w:spacing w:line="360" w:lineRule="auto"/>
        <w:ind w:left="0" w:leftChars="0" w:firstLine="420" w:firstLineChars="0"/>
        <w:outlineLvl w:val="9"/>
        <w:rPr>
          <w:rFonts w:hint="default" w:ascii="Times New Roman" w:hAnsi="Times New Roman" w:cs="Times New Roman"/>
          <w:b/>
          <w:bCs/>
          <w:sz w:val="24"/>
          <w:szCs w:val="24"/>
        </w:rPr>
      </w:pPr>
      <w:bookmarkStart w:id="112" w:name="_Toc8141"/>
      <w:bookmarkStart w:id="113" w:name="_Toc12750"/>
      <w:bookmarkStart w:id="114" w:name="_Toc24473"/>
      <w:bookmarkStart w:id="115" w:name="_Toc29372"/>
      <w:bookmarkStart w:id="116" w:name="_Toc23202"/>
      <w:bookmarkStart w:id="117" w:name="_Toc4861"/>
      <w:bookmarkStart w:id="118" w:name="_Toc7069"/>
      <w:bookmarkStart w:id="119" w:name="_Toc30298"/>
      <w:bookmarkStart w:id="120" w:name="_Toc10486"/>
      <w:bookmarkStart w:id="121" w:name="_Toc2507"/>
      <w:bookmarkStart w:id="122" w:name="_Toc21879"/>
      <w:bookmarkStart w:id="123" w:name="_Toc13188"/>
      <w:bookmarkStart w:id="124" w:name="_Toc9424"/>
      <w:bookmarkStart w:id="125" w:name="_Toc15287"/>
      <w:bookmarkStart w:id="126" w:name="_Toc35393795"/>
      <w:bookmarkStart w:id="127" w:name="_Toc29735"/>
      <w:bookmarkStart w:id="128" w:name="_Toc11161"/>
      <w:bookmarkStart w:id="129" w:name="_Toc35393626"/>
      <w:bookmarkStart w:id="130" w:name="_Toc11716"/>
      <w:r>
        <w:rPr>
          <w:rFonts w:hint="default" w:ascii="Times New Roman" w:hAnsi="Times New Roman" w:cs="Times New Roman"/>
          <w:b/>
          <w:bCs/>
          <w:sz w:val="24"/>
          <w:szCs w:val="24"/>
        </w:rPr>
        <w:t>提交投标文件截止时间、开标时间和地点</w:t>
      </w:r>
      <w:bookmarkEnd w:id="112"/>
      <w:bookmarkEnd w:id="113"/>
      <w:bookmarkEnd w:id="114"/>
      <w:bookmarkEnd w:id="115"/>
      <w:bookmarkEnd w:id="116"/>
      <w:bookmarkEnd w:id="117"/>
      <w:bookmarkEnd w:id="118"/>
      <w:bookmarkEnd w:id="119"/>
      <w:bookmarkEnd w:id="120"/>
      <w:bookmarkEnd w:id="121"/>
      <w:bookmarkEnd w:id="122"/>
      <w:bookmarkEnd w:id="123"/>
    </w:p>
    <w:p>
      <w:pPr>
        <w:numPr>
          <w:ilvl w:val="0"/>
          <w:numId w:val="7"/>
        </w:numPr>
        <w:spacing w:line="360" w:lineRule="auto"/>
        <w:ind w:left="0" w:leftChars="0" w:firstLine="420" w:firstLineChars="200"/>
        <w:rPr>
          <w:rFonts w:hint="default" w:ascii="Times New Roman" w:hAnsi="Times New Roman" w:eastAsia="宋体" w:cs="Times New Roman"/>
          <w:bCs/>
          <w:sz w:val="21"/>
          <w:szCs w:val="21"/>
          <w:u w:val="none"/>
        </w:rPr>
      </w:pPr>
      <w:r>
        <w:rPr>
          <w:rFonts w:hint="default" w:ascii="Times New Roman" w:hAnsi="Times New Roman" w:eastAsia="宋体" w:cs="Times New Roman"/>
          <w:bCs/>
          <w:sz w:val="21"/>
          <w:szCs w:val="21"/>
          <w:lang w:val="en-US" w:eastAsia="zh-CN"/>
        </w:rPr>
        <w:t>提交投标文件</w:t>
      </w:r>
      <w:r>
        <w:rPr>
          <w:rFonts w:hint="default" w:ascii="Times New Roman" w:hAnsi="Times New Roman" w:eastAsia="宋体" w:cs="Times New Roman"/>
          <w:bCs/>
          <w:sz w:val="21"/>
          <w:szCs w:val="21"/>
        </w:rPr>
        <w:t>截止时间</w:t>
      </w:r>
      <w:r>
        <w:rPr>
          <w:rFonts w:hint="default" w:ascii="Times New Roman" w:hAnsi="Times New Roman" w:eastAsia="宋体" w:cs="Times New Roman"/>
          <w:bCs/>
          <w:sz w:val="21"/>
          <w:szCs w:val="21"/>
          <w:u w:val="none"/>
        </w:rPr>
        <w:t>：</w:t>
      </w:r>
      <w:r>
        <w:rPr>
          <w:rFonts w:hint="eastAsia" w:ascii="Arial" w:hAnsi="Arial" w:eastAsia="宋体" w:cs="Arial"/>
          <w:sz w:val="21"/>
          <w:szCs w:val="21"/>
          <w:u w:val="none"/>
          <w:lang w:val="en-US" w:eastAsia="zh-CN"/>
        </w:rPr>
        <w:t>2023</w:t>
      </w:r>
      <w:r>
        <w:rPr>
          <w:rFonts w:hint="eastAsia" w:ascii="宋体" w:hAnsi="宋体" w:eastAsia="宋体" w:cs="宋体"/>
          <w:color w:val="auto"/>
          <w:sz w:val="21"/>
          <w:szCs w:val="21"/>
          <w:u w:val="none"/>
          <w:lang w:val="en-US" w:eastAsia="zh-CN"/>
        </w:rPr>
        <w:t>年</w:t>
      </w:r>
      <w:r>
        <w:rPr>
          <w:rFonts w:hint="eastAsia" w:ascii="Arial" w:hAnsi="Arial" w:eastAsia="宋体" w:cs="Arial"/>
          <w:sz w:val="21"/>
          <w:szCs w:val="21"/>
          <w:u w:val="none"/>
          <w:lang w:val="en-US" w:eastAsia="zh-CN"/>
        </w:rPr>
        <w:t>8</w:t>
      </w:r>
      <w:r>
        <w:rPr>
          <w:rFonts w:hint="eastAsia" w:ascii="宋体" w:hAnsi="宋体" w:eastAsia="宋体" w:cs="宋体"/>
          <w:color w:val="auto"/>
          <w:sz w:val="21"/>
          <w:szCs w:val="21"/>
          <w:u w:val="none"/>
          <w:lang w:val="en-US" w:eastAsia="zh-CN"/>
        </w:rPr>
        <w:t>月</w:t>
      </w:r>
      <w:r>
        <w:rPr>
          <w:rFonts w:hint="eastAsia" w:ascii="Arial" w:hAnsi="Arial" w:eastAsia="宋体" w:cs="Arial"/>
          <w:sz w:val="21"/>
          <w:szCs w:val="21"/>
          <w:u w:val="none"/>
          <w:lang w:val="en-US" w:eastAsia="zh-CN"/>
        </w:rPr>
        <w:t>14</w:t>
      </w:r>
      <w:r>
        <w:rPr>
          <w:rFonts w:hint="eastAsia" w:ascii="宋体" w:hAnsi="宋体" w:eastAsia="宋体" w:cs="宋体"/>
          <w:color w:val="auto"/>
          <w:sz w:val="21"/>
          <w:szCs w:val="21"/>
          <w:u w:val="none"/>
          <w:lang w:val="en-US" w:eastAsia="zh-CN"/>
        </w:rPr>
        <w:t>日</w:t>
      </w:r>
      <w:r>
        <w:rPr>
          <w:rFonts w:hint="eastAsia" w:ascii="Arial" w:hAnsi="Arial" w:eastAsia="宋体" w:cs="Arial"/>
          <w:sz w:val="21"/>
          <w:szCs w:val="21"/>
          <w:u w:val="none"/>
          <w:lang w:val="en-US" w:eastAsia="zh-CN"/>
        </w:rPr>
        <w:t>09:00</w:t>
      </w:r>
      <w:r>
        <w:rPr>
          <w:rFonts w:hint="default" w:ascii="Times New Roman" w:hAnsi="Times New Roman" w:eastAsia="宋体" w:cs="Times New Roman"/>
          <w:color w:val="5B9BD5"/>
          <w:sz w:val="21"/>
          <w:szCs w:val="21"/>
          <w:u w:val="none"/>
        </w:rPr>
        <w:t xml:space="preserve"> </w:t>
      </w:r>
      <w:r>
        <w:rPr>
          <w:rFonts w:hint="default" w:ascii="Times New Roman" w:hAnsi="Times New Roman" w:eastAsia="宋体" w:cs="Times New Roman"/>
          <w:bCs/>
          <w:sz w:val="21"/>
          <w:szCs w:val="21"/>
          <w:u w:val="none"/>
        </w:rPr>
        <w:t>（北京时间）</w:t>
      </w:r>
    </w:p>
    <w:p>
      <w:pPr>
        <w:numPr>
          <w:ilvl w:val="0"/>
          <w:numId w:val="7"/>
        </w:numPr>
        <w:spacing w:line="360" w:lineRule="auto"/>
        <w:ind w:left="0" w:leftChars="0" w:firstLine="420" w:firstLineChars="200"/>
        <w:rPr>
          <w:rFonts w:hint="default" w:ascii="Times New Roman" w:hAnsi="Times New Roman" w:eastAsia="宋体" w:cs="Times New Roman"/>
          <w:sz w:val="21"/>
          <w:szCs w:val="21"/>
          <w:u w:val="none"/>
          <w:lang w:eastAsia="zh-CN"/>
        </w:rPr>
      </w:pPr>
      <w:r>
        <w:rPr>
          <w:rFonts w:hint="default" w:ascii="Times New Roman" w:hAnsi="Times New Roman" w:eastAsia="宋体" w:cs="Times New Roman"/>
          <w:sz w:val="21"/>
          <w:szCs w:val="21"/>
          <w:u w:val="none"/>
        </w:rPr>
        <w:t>地点（网址）：投标人在投标截止时间之前将生成的电子加密投标文件上传至政采云平台</w:t>
      </w:r>
      <w:r>
        <w:rPr>
          <w:rFonts w:hint="default" w:ascii="Times New Roman" w:hAnsi="Times New Roman" w:eastAsia="宋体" w:cs="Times New Roman"/>
          <w:sz w:val="21"/>
          <w:szCs w:val="21"/>
          <w:u w:val="none"/>
          <w:lang w:eastAsia="zh-CN"/>
        </w:rPr>
        <w:t>。</w:t>
      </w:r>
    </w:p>
    <w:p>
      <w:pPr>
        <w:numPr>
          <w:ilvl w:val="0"/>
          <w:numId w:val="7"/>
        </w:numPr>
        <w:spacing w:line="360" w:lineRule="auto"/>
        <w:ind w:left="0" w:leftChars="0" w:firstLine="420" w:firstLineChars="200"/>
        <w:rPr>
          <w:rFonts w:hint="default" w:ascii="Times New Roman" w:hAnsi="Times New Roman" w:eastAsia="宋体" w:cs="Times New Roman"/>
          <w:bCs/>
          <w:sz w:val="21"/>
          <w:szCs w:val="21"/>
          <w:u w:val="none"/>
        </w:rPr>
      </w:pPr>
      <w:r>
        <w:rPr>
          <w:rFonts w:hint="default" w:ascii="Times New Roman" w:hAnsi="Times New Roman" w:eastAsia="宋体" w:cs="Times New Roman"/>
          <w:bCs/>
          <w:sz w:val="21"/>
          <w:szCs w:val="21"/>
          <w:u w:val="none"/>
        </w:rPr>
        <w:t>开标时间：</w:t>
      </w:r>
      <w:r>
        <w:rPr>
          <w:rFonts w:hint="eastAsia" w:ascii="Arial" w:hAnsi="Arial" w:eastAsia="宋体" w:cs="Arial"/>
          <w:sz w:val="21"/>
          <w:szCs w:val="21"/>
          <w:u w:val="none"/>
          <w:lang w:val="en-US" w:eastAsia="zh-CN"/>
        </w:rPr>
        <w:t>2023</w:t>
      </w:r>
      <w:r>
        <w:rPr>
          <w:rFonts w:hint="eastAsia" w:ascii="宋体" w:hAnsi="宋体" w:eastAsia="宋体" w:cs="宋体"/>
          <w:color w:val="auto"/>
          <w:sz w:val="21"/>
          <w:szCs w:val="21"/>
          <w:u w:val="none"/>
          <w:lang w:val="en-US" w:eastAsia="zh-CN"/>
        </w:rPr>
        <w:t>年</w:t>
      </w:r>
      <w:r>
        <w:rPr>
          <w:rFonts w:hint="eastAsia" w:ascii="Arial" w:hAnsi="Arial" w:eastAsia="宋体" w:cs="Arial"/>
          <w:sz w:val="21"/>
          <w:szCs w:val="21"/>
          <w:u w:val="none"/>
          <w:lang w:val="en-US" w:eastAsia="zh-CN"/>
        </w:rPr>
        <w:t>8</w:t>
      </w:r>
      <w:r>
        <w:rPr>
          <w:rFonts w:hint="eastAsia" w:ascii="宋体" w:hAnsi="宋体" w:eastAsia="宋体" w:cs="宋体"/>
          <w:color w:val="auto"/>
          <w:sz w:val="21"/>
          <w:szCs w:val="21"/>
          <w:u w:val="none"/>
          <w:lang w:val="en-US" w:eastAsia="zh-CN"/>
        </w:rPr>
        <w:t>月</w:t>
      </w:r>
      <w:r>
        <w:rPr>
          <w:rFonts w:hint="eastAsia" w:ascii="Arial" w:hAnsi="Arial" w:eastAsia="宋体" w:cs="Arial"/>
          <w:sz w:val="21"/>
          <w:szCs w:val="21"/>
          <w:u w:val="none"/>
          <w:lang w:val="en-US" w:eastAsia="zh-CN"/>
        </w:rPr>
        <w:t>14</w:t>
      </w:r>
      <w:r>
        <w:rPr>
          <w:rFonts w:hint="eastAsia" w:ascii="宋体" w:hAnsi="宋体" w:eastAsia="宋体" w:cs="宋体"/>
          <w:color w:val="auto"/>
          <w:sz w:val="21"/>
          <w:szCs w:val="21"/>
          <w:u w:val="none"/>
          <w:lang w:val="en-US" w:eastAsia="zh-CN"/>
        </w:rPr>
        <w:t>日</w:t>
      </w:r>
      <w:r>
        <w:rPr>
          <w:rFonts w:hint="eastAsia" w:ascii="Arial" w:hAnsi="Arial" w:eastAsia="宋体" w:cs="Arial"/>
          <w:sz w:val="21"/>
          <w:szCs w:val="21"/>
          <w:u w:val="none"/>
          <w:lang w:val="en-US" w:eastAsia="zh-CN"/>
        </w:rPr>
        <w:t>09:00</w:t>
      </w:r>
      <w:r>
        <w:rPr>
          <w:rFonts w:hint="default" w:ascii="Times New Roman" w:hAnsi="Times New Roman" w:eastAsia="宋体" w:cs="Times New Roman"/>
          <w:color w:val="5B9BD5"/>
          <w:sz w:val="21"/>
          <w:szCs w:val="21"/>
          <w:u w:val="none"/>
        </w:rPr>
        <w:t xml:space="preserve"> </w:t>
      </w:r>
    </w:p>
    <w:p>
      <w:pPr>
        <w:numPr>
          <w:ilvl w:val="0"/>
          <w:numId w:val="7"/>
        </w:numPr>
        <w:spacing w:line="360" w:lineRule="auto"/>
        <w:ind w:left="0" w:leftChars="0" w:firstLine="420" w:firstLineChars="200"/>
        <w:rPr>
          <w:rFonts w:hint="default" w:ascii="Times New Roman" w:hAnsi="Times New Roman" w:eastAsia="宋体" w:cs="Times New Roman"/>
          <w:color w:val="auto"/>
          <w:sz w:val="21"/>
          <w:szCs w:val="21"/>
          <w:shd w:val="clear" w:color="auto" w:fill="auto"/>
          <w:lang w:eastAsia="zh-CN"/>
        </w:rPr>
      </w:pPr>
      <w:r>
        <w:rPr>
          <w:rFonts w:hint="default" w:ascii="Times New Roman" w:hAnsi="Times New Roman" w:eastAsia="宋体" w:cs="Times New Roman"/>
          <w:color w:val="auto"/>
          <w:sz w:val="21"/>
          <w:szCs w:val="21"/>
          <w:u w:val="none"/>
          <w:shd w:val="clear" w:color="auto" w:fill="auto"/>
        </w:rPr>
        <w:t>开标地点（网址）：</w:t>
      </w:r>
      <w:r>
        <w:rPr>
          <w:rFonts w:hint="default" w:ascii="Times New Roman" w:hAnsi="Times New Roman" w:eastAsia="宋体" w:cs="Times New Roman"/>
          <w:color w:val="auto"/>
          <w:sz w:val="21"/>
          <w:szCs w:val="21"/>
          <w:u w:val="none"/>
          <w:shd w:val="clear" w:color="auto" w:fill="auto"/>
          <w:lang w:eastAsia="zh-CN"/>
        </w:rPr>
        <w:t>线上开标（</w:t>
      </w:r>
      <w:r>
        <w:rPr>
          <w:rFonts w:hint="default" w:ascii="Times New Roman" w:hAnsi="Times New Roman" w:eastAsia="宋体" w:cs="Times New Roman"/>
          <w:color w:val="auto"/>
          <w:sz w:val="21"/>
          <w:szCs w:val="21"/>
          <w:shd w:val="clear" w:color="auto" w:fill="auto"/>
          <w:lang w:eastAsia="zh-CN"/>
        </w:rPr>
        <w:t>请登录政采云平台）。</w:t>
      </w:r>
    </w:p>
    <w:p>
      <w:pPr>
        <w:numPr>
          <w:ilvl w:val="0"/>
          <w:numId w:val="3"/>
        </w:numPr>
        <w:bidi w:val="0"/>
        <w:spacing w:line="360" w:lineRule="auto"/>
        <w:ind w:left="0" w:leftChars="0" w:firstLine="420" w:firstLineChars="0"/>
        <w:outlineLvl w:val="9"/>
        <w:rPr>
          <w:rFonts w:hint="eastAsia"/>
          <w:b/>
          <w:bCs/>
          <w:sz w:val="24"/>
          <w:szCs w:val="24"/>
        </w:rPr>
      </w:pPr>
      <w:bookmarkStart w:id="131" w:name="_Toc35393794"/>
      <w:bookmarkStart w:id="132" w:name="_Toc28392"/>
      <w:bookmarkStart w:id="133" w:name="_Toc20816"/>
      <w:bookmarkStart w:id="134" w:name="_Toc19638"/>
      <w:bookmarkStart w:id="135" w:name="_Toc27190"/>
      <w:bookmarkStart w:id="136" w:name="_Toc863"/>
      <w:bookmarkStart w:id="137" w:name="_Toc16987"/>
      <w:bookmarkStart w:id="138" w:name="_Toc28359084"/>
      <w:bookmarkStart w:id="139" w:name="_Toc19445"/>
      <w:bookmarkStart w:id="140" w:name="_Toc9525"/>
      <w:bookmarkStart w:id="141" w:name="_Toc25213"/>
      <w:bookmarkStart w:id="142" w:name="_Toc28359007"/>
      <w:bookmarkStart w:id="143" w:name="_Toc17519"/>
      <w:bookmarkStart w:id="144" w:name="_Toc18699"/>
      <w:bookmarkStart w:id="145" w:name="_Toc13032"/>
      <w:bookmarkStart w:id="146" w:name="_Toc8552"/>
      <w:bookmarkStart w:id="147" w:name="_Toc18366"/>
      <w:bookmarkStart w:id="148" w:name="_Toc24910"/>
      <w:bookmarkStart w:id="149" w:name="_Toc35393625"/>
      <w:bookmarkStart w:id="150" w:name="_Toc26814"/>
      <w:r>
        <w:rPr>
          <w:rFonts w:hint="eastAsia"/>
          <w:b/>
          <w:bCs/>
          <w:sz w:val="24"/>
          <w:szCs w:val="24"/>
        </w:rPr>
        <w:t>公告期限</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spacing w:line="360" w:lineRule="auto"/>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自本公告发布之日起</w:t>
      </w:r>
      <w:r>
        <w:rPr>
          <w:rFonts w:hint="eastAsia" w:ascii="Arial" w:hAnsi="Arial" w:eastAsia="宋体" w:cs="Arial"/>
          <w:sz w:val="21"/>
          <w:szCs w:val="21"/>
          <w:u w:val="none"/>
          <w:lang w:val="en-US" w:eastAsia="zh-CN"/>
        </w:rPr>
        <w:t>5</w:t>
      </w:r>
      <w:r>
        <w:rPr>
          <w:rFonts w:hint="eastAsia" w:ascii="宋体" w:hAnsi="宋体" w:eastAsia="宋体" w:cs="宋体"/>
          <w:kern w:val="0"/>
          <w:sz w:val="21"/>
          <w:szCs w:val="21"/>
        </w:rPr>
        <w:t>个工作日。</w:t>
      </w:r>
    </w:p>
    <w:p>
      <w:pPr>
        <w:numPr>
          <w:ilvl w:val="0"/>
          <w:numId w:val="3"/>
        </w:numPr>
        <w:bidi w:val="0"/>
        <w:spacing w:line="360" w:lineRule="auto"/>
        <w:ind w:left="0" w:leftChars="0" w:firstLine="420" w:firstLineChars="0"/>
        <w:outlineLvl w:val="9"/>
        <w:rPr>
          <w:rFonts w:hint="eastAsia"/>
          <w:b/>
          <w:bCs/>
          <w:sz w:val="24"/>
          <w:szCs w:val="24"/>
          <w:highlight w:val="none"/>
        </w:rPr>
      </w:pPr>
      <w:bookmarkStart w:id="151" w:name="_Toc24446"/>
      <w:bookmarkStart w:id="152" w:name="_Toc23335"/>
      <w:bookmarkStart w:id="153" w:name="_Toc14566"/>
      <w:bookmarkStart w:id="154" w:name="_Toc25640"/>
      <w:bookmarkStart w:id="155" w:name="_Toc16341"/>
      <w:bookmarkStart w:id="156" w:name="_Toc10548"/>
      <w:bookmarkStart w:id="157" w:name="_Toc26702"/>
      <w:bookmarkStart w:id="158" w:name="_Toc10926"/>
      <w:bookmarkStart w:id="159" w:name="_Toc1724"/>
      <w:bookmarkStart w:id="160" w:name="_Toc6129"/>
      <w:bookmarkStart w:id="161" w:name="_Toc25514"/>
      <w:bookmarkStart w:id="162" w:name="_Toc12124"/>
      <w:r>
        <w:rPr>
          <w:rFonts w:hint="eastAsia"/>
          <w:b/>
          <w:bCs/>
          <w:sz w:val="24"/>
          <w:szCs w:val="24"/>
          <w:highlight w:val="none"/>
        </w:rPr>
        <w:t>其他补充事宜</w:t>
      </w:r>
      <w:bookmarkEnd w:id="124"/>
      <w:bookmarkEnd w:id="125"/>
      <w:bookmarkEnd w:id="126"/>
      <w:bookmarkEnd w:id="127"/>
      <w:bookmarkEnd w:id="128"/>
      <w:bookmarkEnd w:id="129"/>
      <w:bookmarkEnd w:id="130"/>
      <w:bookmarkEnd w:id="151"/>
      <w:bookmarkEnd w:id="152"/>
      <w:bookmarkEnd w:id="153"/>
      <w:bookmarkEnd w:id="154"/>
      <w:bookmarkEnd w:id="155"/>
      <w:bookmarkEnd w:id="156"/>
      <w:bookmarkEnd w:id="157"/>
      <w:bookmarkEnd w:id="158"/>
      <w:bookmarkEnd w:id="159"/>
      <w:bookmarkEnd w:id="160"/>
      <w:bookmarkEnd w:id="161"/>
      <w:bookmarkEnd w:id="162"/>
    </w:p>
    <w:p>
      <w:pPr>
        <w:pStyle w:val="34"/>
        <w:numPr>
          <w:ilvl w:val="0"/>
          <w:numId w:val="8"/>
        </w:numPr>
        <w:shd w:val="clear" w:color="auto" w:fill="FFFFFF"/>
        <w:spacing w:before="0" w:beforeAutospacing="0" w:after="0" w:afterAutospacing="0" w:line="360" w:lineRule="auto"/>
        <w:ind w:left="0" w:leftChars="0"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《浙江省财政厅关于进一步发挥政府采购政策功能全力推动经济稳进提质的通知》 （浙财采监（</w:t>
      </w:r>
      <w:r>
        <w:rPr>
          <w:rFonts w:hint="default" w:ascii="Arial" w:hAnsi="Arial" w:eastAsia="宋体" w:cs="Arial"/>
          <w:color w:val="000000"/>
          <w:sz w:val="21"/>
          <w:szCs w:val="21"/>
          <w:highlight w:val="none"/>
        </w:rPr>
        <w:t>2022）3</w:t>
      </w:r>
      <w:r>
        <w:rPr>
          <w:rFonts w:hint="eastAsia" w:ascii="宋体" w:hAnsi="宋体" w:eastAsia="宋体" w:cs="宋体"/>
          <w:color w:val="000000"/>
          <w:sz w:val="21"/>
          <w:szCs w:val="21"/>
          <w:highlight w:val="none"/>
        </w:rPr>
        <w:t>号）、《浙江省财政厅关于进一步促进政府采购公平竞争打造最优营商环境的通知》（浙财采监（</w:t>
      </w:r>
      <w:r>
        <w:rPr>
          <w:rFonts w:hint="eastAsia" w:ascii="Arial" w:hAnsi="Arial" w:eastAsia="宋体" w:cs="Arial"/>
          <w:color w:val="000000"/>
          <w:sz w:val="21"/>
          <w:szCs w:val="21"/>
          <w:highlight w:val="none"/>
        </w:rPr>
        <w:t>2021）22</w:t>
      </w:r>
      <w:r>
        <w:rPr>
          <w:rFonts w:hint="eastAsia" w:ascii="宋体" w:hAnsi="宋体" w:eastAsia="宋体" w:cs="宋体"/>
          <w:color w:val="000000"/>
          <w:sz w:val="21"/>
          <w:szCs w:val="21"/>
          <w:highlight w:val="none"/>
        </w:rPr>
        <w:t>号）已分别于</w:t>
      </w:r>
      <w:r>
        <w:rPr>
          <w:rFonts w:hint="eastAsia" w:ascii="Arial" w:hAnsi="Arial" w:eastAsia="宋体" w:cs="Arial"/>
          <w:color w:val="000000"/>
          <w:sz w:val="21"/>
          <w:szCs w:val="21"/>
          <w:highlight w:val="none"/>
        </w:rPr>
        <w:t>2022年1月29日和2022年2月1</w:t>
      </w:r>
      <w:r>
        <w:rPr>
          <w:rFonts w:hint="eastAsia" w:ascii="宋体" w:hAnsi="宋体" w:eastAsia="宋体" w:cs="宋体"/>
          <w:color w:val="000000"/>
          <w:sz w:val="21"/>
          <w:szCs w:val="21"/>
          <w:highlight w:val="none"/>
        </w:rPr>
        <w:t>日开始实施，此前有关规定与上述文件内容不一致的，按上述文件要求执行。</w:t>
      </w:r>
    </w:p>
    <w:p>
      <w:pPr>
        <w:pStyle w:val="34"/>
        <w:numPr>
          <w:ilvl w:val="0"/>
          <w:numId w:val="8"/>
        </w:numPr>
        <w:shd w:val="clear" w:color="auto" w:fill="FFFFFF"/>
        <w:spacing w:before="0" w:beforeAutospacing="0" w:after="0" w:afterAutospacing="0" w:line="360" w:lineRule="auto"/>
        <w:ind w:left="0" w:leftChars="0" w:firstLine="420" w:firstLineChars="200"/>
        <w:rPr>
          <w:rFonts w:hint="default" w:ascii="Times New Roman" w:hAnsi="Times New Roman" w:eastAsia="宋体" w:cs="Times New Roman"/>
          <w:color w:val="000000"/>
          <w:sz w:val="21"/>
          <w:szCs w:val="21"/>
          <w:highlight w:val="none"/>
          <w:lang w:eastAsia="zh-CN"/>
        </w:rPr>
      </w:pPr>
      <w:r>
        <w:rPr>
          <w:rFonts w:hint="eastAsia" w:ascii="宋体" w:hAnsi="宋体" w:eastAsia="宋体" w:cs="宋体"/>
          <w:color w:val="000000"/>
          <w:sz w:val="21"/>
          <w:szCs w:val="21"/>
          <w:highlight w:val="none"/>
        </w:rPr>
        <w:t>根据《浙江省财政厅关于进一步促进政府采购公平竞争打造最优营商环境的通知》（浙财采监（</w:t>
      </w:r>
      <w:r>
        <w:rPr>
          <w:rFonts w:hint="eastAsia" w:ascii="Arial" w:hAnsi="Arial" w:eastAsia="宋体" w:cs="Arial"/>
          <w:color w:val="000000"/>
          <w:sz w:val="21"/>
          <w:szCs w:val="21"/>
          <w:highlight w:val="none"/>
        </w:rPr>
        <w:t>2021）22</w:t>
      </w:r>
      <w:r>
        <w:rPr>
          <w:rFonts w:hint="eastAsia" w:ascii="宋体" w:hAnsi="宋体" w:eastAsia="宋体" w:cs="宋体"/>
          <w:color w:val="000000"/>
          <w:sz w:val="21"/>
          <w:szCs w:val="21"/>
          <w:highlight w:val="none"/>
        </w:rPr>
        <w:t>号）文件关于“健全行政裁决机制”要求，鼓励供应商在线提起询问，路径为：政采云-项目采购-询问质疑投诉-询问列表</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34"/>
        <w:numPr>
          <w:ilvl w:val="0"/>
          <w:numId w:val="8"/>
        </w:numPr>
        <w:shd w:val="clear" w:color="auto" w:fill="FFFFFF"/>
        <w:spacing w:before="0" w:beforeAutospacing="0" w:after="0" w:afterAutospacing="0" w:line="360" w:lineRule="auto"/>
        <w:ind w:left="0" w:leftChars="0" w:firstLine="420" w:firstLineChars="200"/>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rPr>
        <w:t>投标人只有在政采云平台</w:t>
      </w:r>
      <w:r>
        <w:rPr>
          <w:rFonts w:hint="default" w:ascii="Times New Roman" w:hAnsi="Times New Roman" w:eastAsia="宋体" w:cs="Times New Roman"/>
          <w:color w:val="000000"/>
          <w:sz w:val="21"/>
          <w:szCs w:val="21"/>
          <w:highlight w:val="none"/>
          <w:lang w:eastAsia="zh-CN"/>
        </w:rPr>
        <w:t>依法</w:t>
      </w:r>
      <w:r>
        <w:rPr>
          <w:rFonts w:hint="default" w:ascii="Times New Roman" w:hAnsi="Times New Roman" w:eastAsia="宋体" w:cs="Times New Roman"/>
          <w:color w:val="000000"/>
          <w:sz w:val="21"/>
          <w:szCs w:val="21"/>
          <w:highlight w:val="none"/>
        </w:rPr>
        <w:t>获取</w:t>
      </w:r>
      <w:r>
        <w:rPr>
          <w:rFonts w:hint="default" w:ascii="Times New Roman" w:hAnsi="Times New Roman" w:eastAsia="宋体" w:cs="Times New Roman"/>
          <w:color w:val="000000"/>
          <w:sz w:val="21"/>
          <w:szCs w:val="21"/>
          <w:highlight w:val="none"/>
          <w:lang w:eastAsia="zh-CN"/>
        </w:rPr>
        <w:t>招标</w:t>
      </w:r>
      <w:r>
        <w:rPr>
          <w:rFonts w:hint="default" w:ascii="Times New Roman" w:hAnsi="Times New Roman" w:eastAsia="宋体" w:cs="Times New Roman"/>
          <w:color w:val="000000"/>
          <w:sz w:val="21"/>
          <w:szCs w:val="21"/>
          <w:highlight w:val="none"/>
        </w:rPr>
        <w:t>文件</w:t>
      </w:r>
      <w:r>
        <w:rPr>
          <w:rFonts w:hint="default" w:ascii="Times New Roman" w:hAnsi="Times New Roman" w:eastAsia="宋体" w:cs="Times New Roman"/>
          <w:color w:val="000000"/>
          <w:sz w:val="21"/>
          <w:szCs w:val="21"/>
          <w:highlight w:val="none"/>
          <w:lang w:eastAsia="zh-CN"/>
        </w:rPr>
        <w:t>，才可以对招标文件</w:t>
      </w:r>
      <w:r>
        <w:rPr>
          <w:rFonts w:hint="default" w:ascii="Times New Roman" w:hAnsi="Times New Roman" w:eastAsia="宋体" w:cs="Times New Roman"/>
          <w:color w:val="000000"/>
          <w:sz w:val="21"/>
          <w:szCs w:val="21"/>
          <w:highlight w:val="none"/>
          <w:lang w:val="en-US" w:eastAsia="zh-CN"/>
        </w:rPr>
        <w:t>提起质疑投诉</w:t>
      </w:r>
      <w:r>
        <w:rPr>
          <w:rFonts w:hint="default" w:ascii="Times New Roman" w:hAnsi="Times New Roman" w:eastAsia="宋体" w:cs="Times New Roman"/>
          <w:color w:val="000000"/>
          <w:sz w:val="21"/>
          <w:szCs w:val="21"/>
          <w:highlight w:val="none"/>
        </w:rPr>
        <w:t>。法律法规所指的投标人获取</w:t>
      </w:r>
      <w:r>
        <w:rPr>
          <w:rFonts w:hint="default" w:ascii="Times New Roman" w:hAnsi="Times New Roman" w:eastAsia="宋体" w:cs="Times New Roman"/>
          <w:color w:val="000000"/>
          <w:sz w:val="21"/>
          <w:szCs w:val="21"/>
          <w:highlight w:val="none"/>
          <w:lang w:eastAsia="zh-CN"/>
        </w:rPr>
        <w:t>招标</w:t>
      </w:r>
      <w:r>
        <w:rPr>
          <w:rFonts w:hint="default" w:ascii="Times New Roman" w:hAnsi="Times New Roman" w:eastAsia="宋体" w:cs="Times New Roman"/>
          <w:color w:val="000000"/>
          <w:sz w:val="21"/>
          <w:szCs w:val="21"/>
          <w:highlight w:val="none"/>
        </w:rPr>
        <w:t>文件时间，以投标人完成获取</w:t>
      </w:r>
      <w:r>
        <w:rPr>
          <w:rFonts w:hint="default" w:ascii="Times New Roman" w:hAnsi="Times New Roman" w:eastAsia="宋体" w:cs="Times New Roman"/>
          <w:color w:val="000000"/>
          <w:sz w:val="21"/>
          <w:szCs w:val="21"/>
          <w:highlight w:val="none"/>
          <w:lang w:eastAsia="zh-CN"/>
        </w:rPr>
        <w:t>招标</w:t>
      </w:r>
      <w:r>
        <w:rPr>
          <w:rFonts w:hint="default" w:ascii="Times New Roman" w:hAnsi="Times New Roman" w:eastAsia="宋体" w:cs="Times New Roman"/>
          <w:color w:val="000000"/>
          <w:sz w:val="21"/>
          <w:szCs w:val="21"/>
          <w:highlight w:val="none"/>
        </w:rPr>
        <w:t>文件申请后下载</w:t>
      </w:r>
      <w:r>
        <w:rPr>
          <w:rFonts w:hint="default" w:ascii="Times New Roman" w:hAnsi="Times New Roman" w:eastAsia="宋体" w:cs="Times New Roman"/>
          <w:color w:val="000000"/>
          <w:sz w:val="21"/>
          <w:szCs w:val="21"/>
          <w:highlight w:val="none"/>
          <w:lang w:eastAsia="zh-CN"/>
        </w:rPr>
        <w:t>招标</w:t>
      </w:r>
      <w:r>
        <w:rPr>
          <w:rFonts w:hint="default" w:ascii="Times New Roman" w:hAnsi="Times New Roman" w:eastAsia="宋体" w:cs="Times New Roman"/>
          <w:color w:val="000000"/>
          <w:sz w:val="21"/>
          <w:szCs w:val="21"/>
          <w:highlight w:val="none"/>
        </w:rPr>
        <w:t>文件的时间为准</w:t>
      </w:r>
      <w:r>
        <w:rPr>
          <w:rFonts w:hint="default" w:ascii="Times New Roman" w:hAnsi="Times New Roman" w:eastAsia="宋体" w:cs="Times New Roman"/>
          <w:color w:val="000000"/>
          <w:sz w:val="21"/>
          <w:szCs w:val="21"/>
          <w:highlight w:val="none"/>
          <w:lang w:eastAsia="zh-CN"/>
        </w:rPr>
        <w:t>。</w:t>
      </w:r>
    </w:p>
    <w:p>
      <w:pPr>
        <w:pStyle w:val="34"/>
        <w:numPr>
          <w:ilvl w:val="0"/>
          <w:numId w:val="8"/>
        </w:numPr>
        <w:shd w:val="clear" w:color="auto" w:fill="FFFFFF"/>
        <w:spacing w:before="0" w:beforeAutospacing="0" w:after="0" w:afterAutospacing="0" w:line="360" w:lineRule="auto"/>
        <w:ind w:left="0" w:leftChars="0"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电子投标说明</w:t>
      </w:r>
    </w:p>
    <w:p>
      <w:pPr>
        <w:pStyle w:val="34"/>
        <w:shd w:val="clear" w:color="auto" w:fill="FFFFFF"/>
        <w:spacing w:before="0" w:beforeAutospacing="0" w:after="0" w:afterAutospacing="0"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本项目通过政采云平台实行远程电子投标，投标人须全程在线参与开评标过程。投标人按照本项目招标文件和政采云平台的要求编制、加密并提交投标文件。投标人在使用系统进行投标的过程中遇到涉及平台使用的任何问题，可致电政采云平台技术支持热线咨询，联系方式：</w:t>
      </w:r>
      <w:r>
        <w:rPr>
          <w:rFonts w:hint="eastAsia" w:ascii="Arial" w:hAnsi="Arial" w:eastAsia="宋体" w:cs="Arial"/>
          <w:sz w:val="21"/>
          <w:szCs w:val="21"/>
          <w:lang w:val="en-US" w:eastAsia="zh-CN"/>
        </w:rPr>
        <w:t>95763</w:t>
      </w:r>
      <w:r>
        <w:rPr>
          <w:rFonts w:hint="default" w:ascii="Times New Roman" w:hAnsi="Times New Roman" w:eastAsia="宋体" w:cs="Times New Roman"/>
          <w:sz w:val="21"/>
          <w:szCs w:val="21"/>
          <w:lang w:val="en-US" w:eastAsia="zh-CN"/>
        </w:rPr>
        <w:t>。</w:t>
      </w:r>
    </w:p>
    <w:p>
      <w:pPr>
        <w:pStyle w:val="34"/>
        <w:shd w:val="clear" w:color="auto" w:fill="FFFFFF"/>
        <w:spacing w:before="0" w:beforeAutospacing="0" w:after="0" w:afterAutospacing="0"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r>
        <w:rPr>
          <w:rFonts w:hint="eastAsia" w:ascii="宋体" w:hAnsi="宋体" w:eastAsia="宋体" w:cs="宋体"/>
          <w:sz w:val="21"/>
          <w:szCs w:val="21"/>
          <w:lang w:val="en-US" w:eastAsia="zh-CN"/>
        </w:rPr>
        <w:t>投标人须在投标前申领CA数字证书、下载政采云电子交易客户端。（</w:t>
      </w:r>
      <w:r>
        <w:rPr>
          <w:rFonts w:hint="default" w:ascii="Arial" w:hAnsi="Arial" w:eastAsia="宋体" w:cs="Arial"/>
          <w:sz w:val="21"/>
          <w:szCs w:val="21"/>
          <w:lang w:val="en-US" w:eastAsia="zh-CN"/>
        </w:rPr>
        <w:t>CA</w:t>
      </w:r>
      <w:r>
        <w:rPr>
          <w:rFonts w:hint="eastAsia" w:ascii="宋体" w:hAnsi="宋体" w:eastAsia="宋体" w:cs="宋体"/>
          <w:sz w:val="21"/>
          <w:szCs w:val="21"/>
          <w:lang w:val="en-US" w:eastAsia="zh-CN"/>
        </w:rPr>
        <w:t>申领流程见“政采云平台-服务中心-帮助文档-入驻与配置-</w:t>
      </w:r>
      <w:r>
        <w:rPr>
          <w:rFonts w:hint="default" w:ascii="Arial" w:hAnsi="Arial" w:eastAsia="宋体" w:cs="Arial"/>
          <w:sz w:val="21"/>
          <w:szCs w:val="21"/>
          <w:lang w:val="en-US" w:eastAsia="zh-CN"/>
        </w:rPr>
        <w:t>CA</w:t>
      </w:r>
      <w:r>
        <w:rPr>
          <w:rFonts w:hint="eastAsia" w:ascii="宋体" w:hAnsi="宋体" w:eastAsia="宋体" w:cs="宋体"/>
          <w:sz w:val="21"/>
          <w:szCs w:val="21"/>
          <w:lang w:val="en-US" w:eastAsia="zh-CN"/>
        </w:rPr>
        <w:t>管理”，政采云电子交易客户端下载须前往“政采云平台-下载专区-电子交易客户端-政采云电子交易客户端”</w:t>
      </w:r>
      <w:r>
        <w:rPr>
          <w:rFonts w:hint="default" w:ascii="Times New Roman" w:hAnsi="Times New Roman" w:eastAsia="宋体" w:cs="Times New Roman"/>
          <w:sz w:val="21"/>
          <w:szCs w:val="21"/>
          <w:lang w:val="en-US" w:eastAsia="zh-CN"/>
        </w:rPr>
        <w:t>）</w:t>
      </w:r>
    </w:p>
    <w:p>
      <w:pPr>
        <w:pStyle w:val="20"/>
        <w:spacing w:line="360" w:lineRule="auto"/>
        <w:ind w:left="0" w:leftChars="0"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（3）电子投标具体操作流程详见</w:t>
      </w:r>
      <w:r>
        <w:rPr>
          <w:rFonts w:hint="default" w:ascii="Times New Roman" w:hAnsi="Times New Roman" w:eastAsia="宋体" w:cs="Times New Roman"/>
          <w:color w:val="auto"/>
          <w:sz w:val="21"/>
          <w:szCs w:val="21"/>
          <w:highlight w:val="none"/>
          <w:lang w:val="en-US" w:eastAsia="zh-CN"/>
        </w:rPr>
        <w:t>浙江</w:t>
      </w:r>
      <w:r>
        <w:rPr>
          <w:rFonts w:hint="eastAsia" w:ascii="宋体" w:hAnsi="宋体" w:eastAsia="宋体" w:cs="宋体"/>
          <w:color w:val="auto"/>
          <w:sz w:val="21"/>
          <w:szCs w:val="21"/>
          <w:highlight w:val="none"/>
          <w:lang w:val="en-US" w:eastAsia="zh-CN"/>
        </w:rPr>
        <w:t>省“项目采购电子交易系统/不见面开评标”学习专题（网</w:t>
      </w:r>
      <w:r>
        <w:rPr>
          <w:rFonts w:hint="default" w:ascii="Times New Roman" w:hAnsi="Times New Roman" w:eastAsia="宋体" w:cs="Times New Roman"/>
          <w:color w:val="auto"/>
          <w:sz w:val="21"/>
          <w:szCs w:val="21"/>
          <w:highlight w:val="none"/>
          <w:lang w:val="en-US" w:eastAsia="zh-CN"/>
        </w:rPr>
        <w:t>址</w:t>
      </w:r>
      <w:r>
        <w:rPr>
          <w:rFonts w:hint="default" w:ascii="Arial" w:hAnsi="Arial" w:eastAsia="宋体" w:cs="Arial"/>
          <w:color w:val="auto"/>
          <w:sz w:val="21"/>
          <w:szCs w:val="21"/>
          <w:highlight w:val="none"/>
          <w:lang w:val="en-US" w:eastAsia="zh-CN"/>
        </w:rPr>
        <w:t>https://edu.zcygov.cn/luban/e-biding</w:t>
      </w:r>
      <w:r>
        <w:rPr>
          <w:rFonts w:hint="default" w:ascii="Times New Roman" w:hAnsi="Times New Roman" w:eastAsia="宋体" w:cs="Times New Roman"/>
          <w:color w:val="auto"/>
          <w:sz w:val="21"/>
          <w:szCs w:val="21"/>
          <w:highlight w:val="none"/>
          <w:lang w:val="en-US" w:eastAsia="zh-CN"/>
        </w:rPr>
        <w:t>）。</w:t>
      </w:r>
    </w:p>
    <w:p>
      <w:pPr>
        <w:pStyle w:val="34"/>
        <w:shd w:val="clear" w:color="auto" w:fill="FFFFFF"/>
        <w:spacing w:before="0" w:beforeAutospacing="0" w:after="0" w:afterAutospacing="0" w:line="360" w:lineRule="auto"/>
        <w:ind w:firstLine="420" w:firstLineChars="20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注：投标人在使用政采云投标客户端时，建议使用WIN7及以上操作系统。</w:t>
      </w:r>
      <w:r>
        <w:rPr>
          <w:rFonts w:hint="eastAsia" w:ascii="Times New Roman" w:hAnsi="Times New Roman" w:eastAsia="宋体"/>
          <w:b/>
          <w:bCs/>
          <w:sz w:val="21"/>
          <w:szCs w:val="21"/>
          <w:highlight w:val="none"/>
          <w:lang w:val="en-US" w:eastAsia="zh-CN"/>
        </w:rPr>
        <w:t>投标人需自行准备好摄像头和耳麦，保持网络稳定通畅，并在投标文件开启时间前自测硬件能否正常使用，如因自身硬件或网络原因导致询标讲解失败，相关后果自行负责。</w:t>
      </w:r>
    </w:p>
    <w:p>
      <w:pPr>
        <w:numPr>
          <w:ilvl w:val="0"/>
          <w:numId w:val="3"/>
        </w:numPr>
        <w:bidi w:val="0"/>
        <w:spacing w:line="360" w:lineRule="auto"/>
        <w:ind w:left="0" w:leftChars="0" w:firstLine="420" w:firstLineChars="0"/>
        <w:outlineLvl w:val="9"/>
        <w:rPr>
          <w:rFonts w:hint="eastAsia"/>
          <w:b/>
          <w:bCs/>
          <w:sz w:val="24"/>
          <w:szCs w:val="24"/>
        </w:rPr>
      </w:pPr>
      <w:bookmarkStart w:id="163" w:name="_Toc35393796"/>
      <w:bookmarkStart w:id="164" w:name="_Toc28359008"/>
      <w:bookmarkStart w:id="165" w:name="_Toc27814"/>
      <w:bookmarkStart w:id="166" w:name="_Toc27418"/>
      <w:bookmarkStart w:id="167" w:name="_Toc3488"/>
      <w:bookmarkStart w:id="168" w:name="_Toc22189"/>
      <w:bookmarkStart w:id="169" w:name="_Toc32036"/>
      <w:bookmarkStart w:id="170" w:name="_Toc6050"/>
      <w:bookmarkStart w:id="171" w:name="_Toc22181"/>
      <w:bookmarkStart w:id="172" w:name="_Toc18556"/>
      <w:bookmarkStart w:id="173" w:name="_Toc28359085"/>
      <w:bookmarkStart w:id="174" w:name="_Toc2134"/>
      <w:bookmarkStart w:id="175" w:name="_Toc13880"/>
      <w:bookmarkStart w:id="176" w:name="_Toc7944"/>
      <w:bookmarkStart w:id="177" w:name="_Toc13798"/>
      <w:bookmarkStart w:id="178" w:name="_Toc12645"/>
      <w:bookmarkStart w:id="179" w:name="_Toc35393627"/>
      <w:bookmarkStart w:id="180" w:name="_Toc358"/>
      <w:bookmarkStart w:id="181" w:name="_Toc5774"/>
      <w:bookmarkStart w:id="182" w:name="_Toc1269"/>
      <w:r>
        <w:rPr>
          <w:rFonts w:hint="eastAsia"/>
          <w:b/>
          <w:bCs/>
          <w:sz w:val="24"/>
          <w:szCs w:val="24"/>
        </w:rPr>
        <w:t>对本次招标提出询问、质疑、投诉，请按以下方式联系</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Start w:id="183" w:name="_Toc35393617"/>
      <w:bookmarkStart w:id="184" w:name="_Toc29594"/>
      <w:bookmarkStart w:id="185" w:name="_Toc35393786"/>
      <w:bookmarkStart w:id="186" w:name="_Toc10389"/>
      <w:bookmarkStart w:id="187" w:name="_Toc28359075"/>
      <w:bookmarkStart w:id="188" w:name="_Toc9656"/>
      <w:bookmarkStart w:id="189" w:name="_Toc28358998"/>
      <w:bookmarkStart w:id="190" w:name="_Toc30991"/>
    </w:p>
    <w:p>
      <w:pPr>
        <w:numPr>
          <w:ilvl w:val="0"/>
          <w:numId w:val="9"/>
        </w:numPr>
        <w:bidi w:val="0"/>
        <w:spacing w:line="360" w:lineRule="auto"/>
        <w:ind w:left="0" w:leftChars="0" w:firstLine="420" w:firstLineChars="200"/>
        <w:rPr>
          <w:rFonts w:hint="default" w:ascii="Times New Roman" w:hAnsi="Times New Roman" w:eastAsia="宋体" w:cs="Times New Roman"/>
          <w:b w:val="0"/>
          <w:bCs/>
          <w:sz w:val="21"/>
          <w:szCs w:val="21"/>
          <w:u w:val="none"/>
        </w:rPr>
      </w:pPr>
      <w:r>
        <w:rPr>
          <w:rFonts w:hint="default" w:ascii="Times New Roman" w:hAnsi="Times New Roman" w:eastAsia="宋体" w:cs="Times New Roman"/>
          <w:b w:val="0"/>
          <w:bCs/>
          <w:sz w:val="21"/>
          <w:szCs w:val="21"/>
          <w:u w:val="none"/>
        </w:rPr>
        <w:t>采购人信息</w:t>
      </w:r>
      <w:bookmarkEnd w:id="183"/>
      <w:bookmarkEnd w:id="184"/>
      <w:bookmarkEnd w:id="185"/>
      <w:bookmarkEnd w:id="186"/>
      <w:bookmarkEnd w:id="187"/>
      <w:bookmarkEnd w:id="188"/>
      <w:bookmarkEnd w:id="189"/>
      <w:bookmarkEnd w:id="190"/>
    </w:p>
    <w:p>
      <w:pPr>
        <w:spacing w:line="360" w:lineRule="auto"/>
        <w:ind w:left="216" w:leftChars="103" w:firstLine="201" w:firstLineChars="96"/>
        <w:jc w:val="left"/>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名    称：</w:t>
      </w:r>
      <w:r>
        <w:rPr>
          <w:rFonts w:hint="eastAsia" w:ascii="宋体" w:hAnsi="宋体" w:eastAsia="宋体" w:cs="宋体"/>
          <w:color w:val="auto"/>
          <w:sz w:val="21"/>
          <w:szCs w:val="21"/>
          <w:highlight w:val="none"/>
          <w:u w:val="none"/>
          <w:lang w:val="en-US" w:eastAsia="zh-CN"/>
        </w:rPr>
        <w:t>瑞安市机关事务管理中心</w:t>
      </w:r>
      <w:r>
        <w:rPr>
          <w:rFonts w:hint="eastAsia" w:ascii="宋体" w:hAnsi="宋体" w:eastAsia="宋体" w:cs="宋体"/>
          <w:sz w:val="21"/>
          <w:szCs w:val="21"/>
          <w:highlight w:val="none"/>
          <w:u w:val="none"/>
        </w:rPr>
        <w:t>　　　　　　　　　　</w:t>
      </w:r>
    </w:p>
    <w:p>
      <w:pPr>
        <w:spacing w:line="360" w:lineRule="auto"/>
        <w:ind w:left="216" w:leftChars="103" w:firstLine="201" w:firstLineChars="96"/>
        <w:jc w:val="left"/>
        <w:rPr>
          <w:rFonts w:hint="eastAsia" w:ascii="宋体" w:hAnsi="宋体" w:eastAsia="宋体" w:cs="宋体"/>
          <w:sz w:val="21"/>
          <w:szCs w:val="21"/>
          <w:u w:val="none"/>
        </w:rPr>
      </w:pPr>
      <w:bookmarkStart w:id="191" w:name="_Toc31818"/>
      <w:bookmarkStart w:id="192" w:name="_Toc13501"/>
      <w:bookmarkStart w:id="193" w:name="_Toc35393787"/>
      <w:bookmarkStart w:id="194" w:name="_Toc16339"/>
      <w:bookmarkStart w:id="195" w:name="_Toc35393618"/>
      <w:bookmarkStart w:id="196" w:name="_Toc28359076"/>
      <w:bookmarkStart w:id="197" w:name="_Toc27953"/>
      <w:bookmarkStart w:id="198" w:name="_Toc28358999"/>
      <w:r>
        <w:rPr>
          <w:rFonts w:hint="eastAsia" w:ascii="宋体" w:hAnsi="宋体" w:eastAsia="宋体" w:cs="宋体"/>
          <w:sz w:val="21"/>
          <w:szCs w:val="21"/>
          <w:u w:val="none"/>
        </w:rPr>
        <w:t>地    址：万松东路156号</w:t>
      </w:r>
      <w:r>
        <w:rPr>
          <w:rFonts w:hint="eastAsia" w:ascii="宋体" w:hAnsi="宋体" w:eastAsia="宋体" w:cs="宋体"/>
          <w:color w:val="5B9BD5"/>
          <w:sz w:val="21"/>
          <w:szCs w:val="21"/>
          <w:u w:val="none"/>
          <w:lang w:val="en-US" w:eastAsia="zh-CN"/>
        </w:rPr>
        <w:t xml:space="preserve"> </w:t>
      </w:r>
      <w:r>
        <w:rPr>
          <w:rFonts w:hint="eastAsia" w:ascii="宋体" w:hAnsi="宋体" w:eastAsia="宋体" w:cs="宋体"/>
          <w:sz w:val="21"/>
          <w:szCs w:val="21"/>
          <w:u w:val="none"/>
        </w:rPr>
        <w:t>　　　　　　　　　　</w:t>
      </w:r>
    </w:p>
    <w:p>
      <w:pPr>
        <w:spacing w:line="360" w:lineRule="auto"/>
        <w:ind w:left="216" w:leftChars="103" w:firstLine="201" w:firstLineChars="96"/>
        <w:jc w:val="left"/>
        <w:rPr>
          <w:rFonts w:hint="eastAsia" w:ascii="宋体" w:hAnsi="宋体" w:eastAsia="宋体" w:cs="宋体"/>
          <w:sz w:val="21"/>
          <w:szCs w:val="21"/>
          <w:u w:val="none"/>
        </w:rPr>
      </w:pPr>
      <w:r>
        <w:rPr>
          <w:rFonts w:hint="eastAsia" w:ascii="宋体" w:hAnsi="宋体" w:eastAsia="宋体" w:cs="宋体"/>
          <w:sz w:val="21"/>
          <w:szCs w:val="21"/>
          <w:u w:val="none"/>
        </w:rPr>
        <w:t>项目联系人（询问）：</w:t>
      </w:r>
      <w:r>
        <w:rPr>
          <w:rFonts w:hint="eastAsia" w:ascii="宋体" w:hAnsi="宋体" w:eastAsia="宋体" w:cs="宋体"/>
          <w:sz w:val="21"/>
          <w:szCs w:val="21"/>
          <w:u w:val="none"/>
          <w:lang w:val="en-US" w:eastAsia="zh-CN"/>
        </w:rPr>
        <w:t>张帆</w:t>
      </w:r>
      <w:r>
        <w:rPr>
          <w:rFonts w:hint="eastAsia" w:ascii="宋体" w:hAnsi="宋体" w:eastAsia="宋体" w:cs="宋体"/>
          <w:color w:val="5B9BD5"/>
          <w:sz w:val="21"/>
          <w:szCs w:val="21"/>
          <w:u w:val="none"/>
          <w:lang w:val="en-US" w:eastAsia="zh-CN"/>
        </w:rPr>
        <w:t xml:space="preserve"> </w:t>
      </w:r>
      <w:r>
        <w:rPr>
          <w:rFonts w:hint="eastAsia" w:ascii="宋体" w:hAnsi="宋体" w:eastAsia="宋体" w:cs="宋体"/>
          <w:sz w:val="21"/>
          <w:szCs w:val="21"/>
          <w:u w:val="none"/>
        </w:rPr>
        <w:t xml:space="preserve">　　　　　　　  </w:t>
      </w:r>
    </w:p>
    <w:p>
      <w:pPr>
        <w:spacing w:line="360" w:lineRule="auto"/>
        <w:ind w:left="216" w:leftChars="103" w:firstLine="201" w:firstLineChars="96"/>
        <w:jc w:val="left"/>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项目联系方式（询问）：0577</w:t>
      </w:r>
      <w:r>
        <w:rPr>
          <w:rFonts w:hint="eastAsia" w:ascii="宋体" w:hAnsi="宋体" w:eastAsia="宋体" w:cs="宋体"/>
          <w:sz w:val="21"/>
          <w:szCs w:val="21"/>
          <w:highlight w:val="none"/>
          <w:u w:val="none"/>
          <w:lang w:val="en-US" w:eastAsia="zh-CN"/>
        </w:rPr>
        <w:t>-</w:t>
      </w:r>
      <w:r>
        <w:rPr>
          <w:rFonts w:hint="eastAsia" w:ascii="宋体" w:hAnsi="宋体" w:eastAsia="宋体" w:cs="宋体"/>
          <w:sz w:val="21"/>
          <w:szCs w:val="21"/>
          <w:highlight w:val="none"/>
          <w:u w:val="none"/>
        </w:rPr>
        <w:t>6581</w:t>
      </w:r>
      <w:r>
        <w:rPr>
          <w:rFonts w:hint="eastAsia" w:ascii="宋体" w:hAnsi="宋体" w:eastAsia="宋体" w:cs="宋体"/>
          <w:sz w:val="21"/>
          <w:szCs w:val="21"/>
          <w:highlight w:val="none"/>
          <w:u w:val="none"/>
          <w:lang w:val="en-US" w:eastAsia="zh-CN"/>
        </w:rPr>
        <w:t>2891</w:t>
      </w:r>
      <w:r>
        <w:rPr>
          <w:rFonts w:hint="eastAsia" w:ascii="宋体" w:hAnsi="宋体" w:eastAsia="宋体" w:cs="宋体"/>
          <w:sz w:val="21"/>
          <w:szCs w:val="21"/>
          <w:highlight w:val="none"/>
          <w:u w:val="none"/>
        </w:rPr>
        <w:t>　</w:t>
      </w:r>
      <w:r>
        <w:rPr>
          <w:rFonts w:hint="eastAsia" w:ascii="宋体" w:hAnsi="宋体" w:eastAsia="宋体" w:cs="宋体"/>
          <w:color w:val="5B9BD5"/>
          <w:sz w:val="21"/>
          <w:szCs w:val="21"/>
          <w:highlight w:val="none"/>
          <w:u w:val="none"/>
          <w:lang w:val="en-US" w:eastAsia="zh-CN"/>
        </w:rPr>
        <w:t xml:space="preserve"> </w:t>
      </w:r>
      <w:r>
        <w:rPr>
          <w:rFonts w:hint="eastAsia" w:ascii="宋体" w:hAnsi="宋体" w:eastAsia="宋体" w:cs="宋体"/>
          <w:sz w:val="21"/>
          <w:szCs w:val="21"/>
          <w:highlight w:val="none"/>
          <w:u w:val="none"/>
        </w:rPr>
        <w:t>　　　　　　</w:t>
      </w:r>
    </w:p>
    <w:p>
      <w:pPr>
        <w:spacing w:line="360" w:lineRule="auto"/>
        <w:ind w:left="216" w:leftChars="103" w:firstLine="201" w:firstLineChars="96"/>
        <w:jc w:val="left"/>
        <w:rPr>
          <w:rFonts w:hint="eastAsia" w:ascii="宋体" w:hAnsi="宋体" w:eastAsia="宋体" w:cs="宋体"/>
          <w:sz w:val="21"/>
          <w:szCs w:val="21"/>
          <w:u w:val="none"/>
        </w:rPr>
      </w:pPr>
      <w:r>
        <w:rPr>
          <w:rFonts w:hint="eastAsia" w:ascii="宋体" w:hAnsi="宋体" w:eastAsia="宋体" w:cs="宋体"/>
          <w:sz w:val="21"/>
          <w:szCs w:val="21"/>
          <w:u w:val="none"/>
        </w:rPr>
        <w:t>质疑联系人：木善脉</w:t>
      </w:r>
      <w:r>
        <w:rPr>
          <w:rFonts w:hint="eastAsia" w:ascii="宋体" w:hAnsi="宋体" w:eastAsia="宋体" w:cs="宋体"/>
          <w:color w:val="5B9BD5"/>
          <w:sz w:val="21"/>
          <w:szCs w:val="21"/>
          <w:u w:val="none"/>
          <w:lang w:val="en-US" w:eastAsia="zh-CN"/>
        </w:rPr>
        <w:t xml:space="preserve"> </w:t>
      </w:r>
      <w:r>
        <w:rPr>
          <w:rFonts w:hint="eastAsia" w:ascii="宋体" w:hAnsi="宋体" w:eastAsia="宋体" w:cs="宋体"/>
          <w:sz w:val="21"/>
          <w:szCs w:val="21"/>
          <w:u w:val="none"/>
        </w:rPr>
        <w:t xml:space="preserve">　　　　　　　  </w:t>
      </w:r>
    </w:p>
    <w:p>
      <w:pPr>
        <w:spacing w:line="360" w:lineRule="auto"/>
        <w:ind w:left="216" w:leftChars="103" w:firstLine="201" w:firstLineChars="96"/>
        <w:jc w:val="left"/>
        <w:rPr>
          <w:rFonts w:hint="eastAsia" w:ascii="宋体" w:hAnsi="宋体" w:eastAsia="宋体" w:cs="宋体"/>
          <w:sz w:val="21"/>
          <w:szCs w:val="21"/>
          <w:u w:val="none"/>
        </w:rPr>
      </w:pPr>
      <w:r>
        <w:rPr>
          <w:rFonts w:hint="eastAsia" w:ascii="宋体" w:hAnsi="宋体" w:eastAsia="宋体" w:cs="宋体"/>
          <w:sz w:val="21"/>
          <w:szCs w:val="21"/>
          <w:u w:val="none"/>
        </w:rPr>
        <w:t>质疑联系</w:t>
      </w:r>
      <w:r>
        <w:rPr>
          <w:rFonts w:hint="eastAsia" w:ascii="宋体" w:hAnsi="宋体" w:eastAsia="宋体" w:cs="宋体"/>
          <w:sz w:val="21"/>
          <w:szCs w:val="21"/>
          <w:u w:val="none"/>
          <w:lang w:eastAsia="zh-CN"/>
        </w:rPr>
        <w:t>方式</w:t>
      </w:r>
      <w:r>
        <w:rPr>
          <w:rFonts w:hint="eastAsia" w:ascii="宋体" w:hAnsi="宋体" w:eastAsia="宋体" w:cs="宋体"/>
          <w:sz w:val="21"/>
          <w:szCs w:val="21"/>
          <w:u w:val="none"/>
        </w:rPr>
        <w:t>：0577</w:t>
      </w:r>
      <w:r>
        <w:rPr>
          <w:rFonts w:hint="eastAsia" w:ascii="宋体" w:hAnsi="宋体" w:eastAsia="宋体" w:cs="宋体"/>
          <w:sz w:val="21"/>
          <w:szCs w:val="21"/>
          <w:u w:val="none"/>
          <w:lang w:val="en-US" w:eastAsia="zh-CN"/>
        </w:rPr>
        <w:t>-</w:t>
      </w:r>
      <w:r>
        <w:rPr>
          <w:rFonts w:hint="eastAsia" w:ascii="宋体" w:hAnsi="宋体" w:eastAsia="宋体" w:cs="宋体"/>
          <w:sz w:val="21"/>
          <w:szCs w:val="21"/>
          <w:u w:val="none"/>
        </w:rPr>
        <w:t>65888558　　　　　　　</w:t>
      </w:r>
    </w:p>
    <w:p>
      <w:pPr>
        <w:numPr>
          <w:ilvl w:val="0"/>
          <w:numId w:val="9"/>
        </w:numPr>
        <w:bidi w:val="0"/>
        <w:spacing w:line="360" w:lineRule="auto"/>
        <w:ind w:left="0" w:leftChars="0" w:firstLine="400" w:firstLineChars="0"/>
        <w:rPr>
          <w:rFonts w:hint="default" w:ascii="Times New Roman" w:hAnsi="Times New Roman" w:eastAsia="宋体" w:cs="Times New Roman"/>
          <w:b w:val="0"/>
          <w:bCs/>
          <w:sz w:val="21"/>
          <w:szCs w:val="21"/>
          <w:u w:val="none"/>
        </w:rPr>
      </w:pPr>
      <w:r>
        <w:rPr>
          <w:rFonts w:hint="default" w:ascii="Times New Roman" w:hAnsi="Times New Roman" w:eastAsia="宋体" w:cs="Times New Roman"/>
          <w:b w:val="0"/>
          <w:bCs/>
          <w:sz w:val="21"/>
          <w:szCs w:val="21"/>
          <w:u w:val="none"/>
        </w:rPr>
        <w:t>采购代理机构信息</w:t>
      </w:r>
      <w:bookmarkEnd w:id="191"/>
      <w:bookmarkEnd w:id="192"/>
      <w:bookmarkEnd w:id="193"/>
      <w:bookmarkEnd w:id="194"/>
      <w:bookmarkEnd w:id="195"/>
      <w:bookmarkEnd w:id="196"/>
      <w:bookmarkEnd w:id="197"/>
      <w:bookmarkEnd w:id="198"/>
    </w:p>
    <w:p>
      <w:pPr>
        <w:spacing w:line="360" w:lineRule="auto"/>
        <w:ind w:left="420" w:leftChars="200" w:firstLine="0" w:firstLineChars="0"/>
        <w:jc w:val="left"/>
        <w:rPr>
          <w:rFonts w:hint="eastAsia" w:ascii="宋体" w:hAnsi="宋体" w:eastAsia="宋体" w:cs="宋体"/>
          <w:sz w:val="21"/>
          <w:szCs w:val="21"/>
          <w:u w:val="none"/>
        </w:rPr>
      </w:pPr>
      <w:bookmarkStart w:id="199" w:name="_Toc28359077"/>
      <w:bookmarkStart w:id="200" w:name="_Toc35393619"/>
      <w:bookmarkStart w:id="201" w:name="_Toc35393788"/>
      <w:bookmarkStart w:id="202" w:name="_Toc28359000"/>
      <w:r>
        <w:rPr>
          <w:rFonts w:hint="eastAsia" w:ascii="宋体" w:hAnsi="宋体" w:eastAsia="宋体" w:cs="宋体"/>
          <w:sz w:val="21"/>
          <w:szCs w:val="21"/>
          <w:u w:val="none"/>
        </w:rPr>
        <w:t>名    称：瑞安市公共资源交易中心</w:t>
      </w:r>
    </w:p>
    <w:p>
      <w:pPr>
        <w:spacing w:line="360" w:lineRule="auto"/>
        <w:ind w:left="420" w:leftChars="200" w:firstLine="0" w:firstLineChars="0"/>
        <w:jc w:val="left"/>
        <w:rPr>
          <w:rFonts w:hint="eastAsia" w:ascii="宋体" w:hAnsi="宋体" w:eastAsia="宋体" w:cs="宋体"/>
          <w:sz w:val="21"/>
          <w:szCs w:val="21"/>
          <w:u w:val="none"/>
          <w:lang w:eastAsia="zh-CN"/>
        </w:rPr>
      </w:pPr>
      <w:r>
        <w:rPr>
          <w:rFonts w:hint="eastAsia" w:ascii="宋体" w:hAnsi="宋体" w:eastAsia="宋体" w:cs="宋体"/>
          <w:sz w:val="21"/>
          <w:szCs w:val="21"/>
          <w:u w:val="none"/>
        </w:rPr>
        <w:t>地    址：瑞安滨江大道外滩满庭芳大</w:t>
      </w:r>
      <w:r>
        <w:rPr>
          <w:rFonts w:hint="eastAsia" w:ascii="宋体" w:hAnsi="宋体" w:eastAsia="宋体" w:cs="宋体"/>
          <w:sz w:val="21"/>
          <w:szCs w:val="21"/>
          <w:highlight w:val="none"/>
          <w:u w:val="none"/>
        </w:rPr>
        <w:t>楼</w:t>
      </w:r>
      <w:r>
        <w:rPr>
          <w:rFonts w:hint="eastAsia" w:ascii="宋体" w:hAnsi="宋体" w:eastAsia="宋体" w:cs="宋体"/>
          <w:sz w:val="21"/>
          <w:szCs w:val="21"/>
          <w:highlight w:val="none"/>
          <w:u w:val="none"/>
          <w:lang w:eastAsia="zh-CN"/>
        </w:rPr>
        <w:t>三楼</w:t>
      </w:r>
    </w:p>
    <w:p>
      <w:pPr>
        <w:spacing w:line="360" w:lineRule="auto"/>
        <w:ind w:left="420" w:leftChars="200" w:firstLine="0" w:firstLineChars="0"/>
        <w:jc w:val="left"/>
        <w:rPr>
          <w:rFonts w:hint="eastAsia" w:ascii="宋体" w:hAnsi="宋体" w:eastAsia="宋体" w:cs="宋体"/>
          <w:color w:val="5B9BD5"/>
          <w:sz w:val="21"/>
          <w:szCs w:val="21"/>
          <w:u w:val="none"/>
          <w:lang w:val="en-US" w:eastAsia="zh-CN"/>
        </w:rPr>
      </w:pPr>
      <w:r>
        <w:rPr>
          <w:rFonts w:hint="eastAsia" w:ascii="宋体" w:hAnsi="宋体" w:eastAsia="宋体" w:cs="宋体"/>
          <w:sz w:val="21"/>
          <w:szCs w:val="21"/>
          <w:u w:val="none"/>
        </w:rPr>
        <w:t>传    真：</w:t>
      </w:r>
      <w:r>
        <w:rPr>
          <w:rFonts w:hint="default" w:ascii="Arial" w:hAnsi="Arial" w:eastAsia="宋体" w:cs="Arial"/>
          <w:color w:val="auto"/>
          <w:sz w:val="21"/>
          <w:szCs w:val="21"/>
          <w:u w:val="none"/>
          <w:lang w:val="en-US" w:eastAsia="zh-CN"/>
        </w:rPr>
        <w:t>0577-65879523</w:t>
      </w:r>
    </w:p>
    <w:p>
      <w:pPr>
        <w:spacing w:line="360" w:lineRule="auto"/>
        <w:ind w:left="420" w:leftChars="200" w:firstLine="0" w:firstLineChars="0"/>
        <w:jc w:val="left"/>
        <w:rPr>
          <w:rFonts w:hint="eastAsia" w:ascii="宋体" w:hAnsi="宋体" w:eastAsia="宋体" w:cs="宋体"/>
          <w:color w:val="auto"/>
          <w:sz w:val="21"/>
          <w:szCs w:val="21"/>
          <w:u w:val="none"/>
        </w:rPr>
      </w:pPr>
      <w:r>
        <w:rPr>
          <w:rFonts w:hint="eastAsia" w:ascii="宋体" w:hAnsi="宋体" w:eastAsia="宋体" w:cs="宋体"/>
          <w:sz w:val="21"/>
          <w:szCs w:val="21"/>
          <w:u w:val="none"/>
        </w:rPr>
        <w:t>项目联系人（</w:t>
      </w:r>
      <w:r>
        <w:rPr>
          <w:rFonts w:hint="eastAsia" w:ascii="宋体" w:hAnsi="宋体" w:eastAsia="宋体" w:cs="宋体"/>
          <w:color w:val="auto"/>
          <w:sz w:val="21"/>
          <w:szCs w:val="21"/>
          <w:u w:val="none"/>
        </w:rPr>
        <w:t>询问）：</w:t>
      </w:r>
      <w:r>
        <w:rPr>
          <w:rFonts w:hint="eastAsia" w:ascii="宋体" w:hAnsi="宋体" w:eastAsia="宋体" w:cs="宋体"/>
          <w:color w:val="auto"/>
          <w:sz w:val="21"/>
          <w:szCs w:val="21"/>
          <w:u w:val="none"/>
          <w:lang w:val="en-US" w:eastAsia="zh-CN"/>
        </w:rPr>
        <w:t>叶园园</w:t>
      </w:r>
      <w:r>
        <w:rPr>
          <w:rFonts w:hint="eastAsia" w:ascii="宋体" w:hAnsi="宋体" w:eastAsia="宋体" w:cs="宋体"/>
          <w:color w:val="auto"/>
          <w:sz w:val="21"/>
          <w:szCs w:val="21"/>
          <w:u w:val="none"/>
        </w:rPr>
        <w:t>　　　　</w:t>
      </w:r>
    </w:p>
    <w:p>
      <w:pPr>
        <w:spacing w:line="360" w:lineRule="auto"/>
        <w:ind w:left="420" w:leftChars="200"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项目联系方式（询问）：</w:t>
      </w:r>
      <w:r>
        <w:rPr>
          <w:rFonts w:hint="eastAsia" w:ascii="宋体" w:hAnsi="宋体" w:eastAsia="宋体" w:cs="宋体"/>
          <w:color w:val="auto"/>
          <w:sz w:val="21"/>
          <w:szCs w:val="21"/>
          <w:u w:val="none"/>
          <w:lang w:val="en-US" w:eastAsia="zh-CN"/>
        </w:rPr>
        <w:t>0577-65879533</w:t>
      </w:r>
      <w:r>
        <w:rPr>
          <w:rFonts w:hint="eastAsia" w:ascii="宋体" w:hAnsi="宋体" w:eastAsia="宋体" w:cs="宋体"/>
          <w:color w:val="auto"/>
          <w:sz w:val="21"/>
          <w:szCs w:val="21"/>
          <w:u w:val="none"/>
        </w:rPr>
        <w:t>　　</w:t>
      </w:r>
    </w:p>
    <w:p>
      <w:pPr>
        <w:spacing w:line="360" w:lineRule="auto"/>
        <w:ind w:left="420" w:leftChars="200" w:firstLine="0" w:firstLineChars="0"/>
        <w:jc w:val="left"/>
        <w:rPr>
          <w:rFonts w:hint="eastAsia" w:ascii="宋体" w:hAnsi="宋体" w:eastAsia="宋体" w:cs="宋体"/>
          <w:color w:val="auto"/>
          <w:sz w:val="21"/>
          <w:szCs w:val="21"/>
          <w:u w:val="none"/>
          <w:lang w:eastAsia="zh-CN"/>
        </w:rPr>
      </w:pPr>
      <w:r>
        <w:rPr>
          <w:rFonts w:hint="eastAsia" w:ascii="宋体" w:hAnsi="宋体" w:eastAsia="宋体" w:cs="宋体"/>
          <w:color w:val="auto"/>
          <w:sz w:val="21"/>
          <w:szCs w:val="21"/>
          <w:u w:val="none"/>
          <w:lang w:eastAsia="zh-CN"/>
        </w:rPr>
        <w:t>质疑联系人：金素荣</w:t>
      </w:r>
    </w:p>
    <w:p>
      <w:pPr>
        <w:spacing w:line="360" w:lineRule="auto"/>
        <w:ind w:left="420" w:leftChars="200" w:firstLine="0" w:firstLineChars="0"/>
        <w:jc w:val="left"/>
        <w:rPr>
          <w:rFonts w:hint="default"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eastAsia="zh-CN"/>
        </w:rPr>
        <w:t>质疑联系方式：</w:t>
      </w:r>
      <w:r>
        <w:rPr>
          <w:rFonts w:hint="eastAsia" w:ascii="宋体" w:hAnsi="宋体" w:eastAsia="宋体" w:cs="宋体"/>
          <w:color w:val="auto"/>
          <w:sz w:val="21"/>
          <w:szCs w:val="21"/>
          <w:u w:val="none"/>
          <w:lang w:val="en-US" w:eastAsia="zh-CN"/>
        </w:rPr>
        <w:t>0577-65879521</w:t>
      </w:r>
    </w:p>
    <w:bookmarkEnd w:id="199"/>
    <w:bookmarkEnd w:id="200"/>
    <w:bookmarkEnd w:id="201"/>
    <w:bookmarkEnd w:id="202"/>
    <w:p>
      <w:pPr>
        <w:numPr>
          <w:ilvl w:val="0"/>
          <w:numId w:val="9"/>
        </w:numPr>
        <w:bidi w:val="0"/>
        <w:spacing w:line="360" w:lineRule="auto"/>
        <w:ind w:left="0" w:leftChars="0" w:firstLine="400" w:firstLineChars="0"/>
        <w:rPr>
          <w:rFonts w:hint="default" w:ascii="Times New Roman" w:hAnsi="Times New Roman" w:eastAsia="宋体" w:cs="Times New Roman"/>
          <w:b w:val="0"/>
          <w:bCs/>
          <w:sz w:val="21"/>
          <w:szCs w:val="21"/>
          <w:u w:val="none"/>
        </w:rPr>
      </w:pPr>
      <w:bookmarkStart w:id="203" w:name="_Toc5933"/>
      <w:bookmarkStart w:id="204" w:name="_Toc27994"/>
      <w:bookmarkStart w:id="205" w:name="_Toc14468"/>
      <w:bookmarkStart w:id="206" w:name="_Toc3910"/>
      <w:r>
        <w:rPr>
          <w:rFonts w:hint="default" w:ascii="Times New Roman" w:hAnsi="Times New Roman" w:eastAsia="宋体" w:cs="Times New Roman"/>
          <w:b w:val="0"/>
          <w:bCs/>
          <w:sz w:val="21"/>
          <w:szCs w:val="21"/>
          <w:u w:val="none"/>
        </w:rPr>
        <w:t>同级政府采购监督管理部门</w:t>
      </w:r>
      <w:bookmarkEnd w:id="203"/>
      <w:bookmarkEnd w:id="204"/>
      <w:bookmarkEnd w:id="205"/>
      <w:bookmarkEnd w:id="206"/>
    </w:p>
    <w:p>
      <w:pPr>
        <w:spacing w:line="360" w:lineRule="auto"/>
        <w:ind w:left="420" w:leftChars="200" w:firstLine="0" w:firstLineChars="0"/>
        <w:jc w:val="left"/>
        <w:rPr>
          <w:rFonts w:hint="eastAsia" w:ascii="宋体" w:hAnsi="宋体" w:eastAsia="宋体" w:cs="宋体"/>
          <w:sz w:val="21"/>
          <w:szCs w:val="21"/>
          <w:u w:val="none"/>
        </w:rPr>
      </w:pPr>
      <w:r>
        <w:rPr>
          <w:rFonts w:hint="eastAsia" w:ascii="宋体" w:hAnsi="宋体" w:eastAsia="宋体" w:cs="宋体"/>
          <w:sz w:val="21"/>
          <w:szCs w:val="21"/>
          <w:u w:val="none"/>
        </w:rPr>
        <w:t>名    称：瑞安市财政局政府采购监管科　　　　　　　　</w:t>
      </w:r>
    </w:p>
    <w:p>
      <w:pPr>
        <w:spacing w:line="360" w:lineRule="auto"/>
        <w:ind w:left="420" w:leftChars="200" w:firstLine="0" w:firstLineChars="0"/>
        <w:jc w:val="left"/>
        <w:rPr>
          <w:rFonts w:hint="eastAsia" w:ascii="宋体" w:hAnsi="宋体" w:eastAsia="宋体" w:cs="宋体"/>
          <w:sz w:val="21"/>
          <w:szCs w:val="21"/>
          <w:u w:val="none"/>
        </w:rPr>
      </w:pPr>
      <w:r>
        <w:rPr>
          <w:rFonts w:hint="eastAsia" w:ascii="宋体" w:hAnsi="宋体" w:eastAsia="宋体" w:cs="宋体"/>
          <w:sz w:val="21"/>
          <w:szCs w:val="21"/>
          <w:u w:val="none"/>
        </w:rPr>
        <w:t>地    址：瑞安市财税大楼</w:t>
      </w:r>
      <w:r>
        <w:rPr>
          <w:rFonts w:hint="default" w:ascii="Arial" w:hAnsi="Arial" w:eastAsia="宋体" w:cs="Arial"/>
          <w:sz w:val="21"/>
          <w:szCs w:val="21"/>
          <w:u w:val="none"/>
        </w:rPr>
        <w:t>1505</w:t>
      </w:r>
      <w:r>
        <w:rPr>
          <w:rFonts w:hint="eastAsia" w:ascii="宋体" w:hAnsi="宋体" w:eastAsia="宋体" w:cs="宋体"/>
          <w:sz w:val="21"/>
          <w:szCs w:val="21"/>
          <w:u w:val="none"/>
        </w:rPr>
        <w:t>室　　　　　　　</w:t>
      </w:r>
    </w:p>
    <w:p>
      <w:pPr>
        <w:spacing w:line="360" w:lineRule="auto"/>
        <w:ind w:left="420" w:leftChars="200" w:firstLine="0" w:firstLineChars="0"/>
        <w:jc w:val="left"/>
        <w:rPr>
          <w:rFonts w:hint="eastAsia" w:ascii="宋体" w:hAnsi="宋体" w:eastAsia="宋体" w:cs="宋体"/>
          <w:sz w:val="21"/>
          <w:szCs w:val="21"/>
          <w:u w:val="none"/>
        </w:rPr>
      </w:pPr>
      <w:r>
        <w:rPr>
          <w:rFonts w:hint="eastAsia" w:ascii="宋体" w:hAnsi="宋体" w:eastAsia="宋体" w:cs="宋体"/>
          <w:sz w:val="21"/>
          <w:szCs w:val="21"/>
          <w:u w:val="none"/>
        </w:rPr>
        <w:t>传    真：</w:t>
      </w:r>
      <w:r>
        <w:rPr>
          <w:rFonts w:hint="default" w:ascii="Arial" w:hAnsi="Arial" w:eastAsia="宋体" w:cs="Arial"/>
          <w:sz w:val="21"/>
          <w:szCs w:val="21"/>
          <w:u w:val="none"/>
        </w:rPr>
        <w:t>0577-6582</w:t>
      </w:r>
      <w:r>
        <w:rPr>
          <w:rFonts w:hint="default" w:ascii="Arial" w:hAnsi="Arial" w:eastAsia="宋体" w:cs="Arial"/>
          <w:sz w:val="21"/>
          <w:szCs w:val="21"/>
          <w:u w:val="none"/>
          <w:lang w:val="en-US" w:eastAsia="zh-CN"/>
        </w:rPr>
        <w:t>2153</w:t>
      </w:r>
      <w:r>
        <w:rPr>
          <w:rFonts w:hint="eastAsia" w:ascii="宋体" w:hAnsi="宋体" w:eastAsia="宋体" w:cs="宋体"/>
          <w:sz w:val="21"/>
          <w:szCs w:val="21"/>
          <w:u w:val="none"/>
        </w:rPr>
        <w:t>　　　　　　　</w:t>
      </w:r>
    </w:p>
    <w:p>
      <w:pPr>
        <w:spacing w:line="360" w:lineRule="auto"/>
        <w:ind w:left="420" w:leftChars="200" w:firstLine="0" w:firstLineChars="0"/>
        <w:jc w:val="left"/>
        <w:rPr>
          <w:rFonts w:hint="eastAsia" w:ascii="宋体" w:hAnsi="宋体" w:eastAsia="宋体" w:cs="宋体"/>
          <w:sz w:val="21"/>
          <w:szCs w:val="21"/>
          <w:u w:val="none"/>
        </w:rPr>
      </w:pPr>
      <w:r>
        <w:rPr>
          <w:rFonts w:hint="eastAsia" w:ascii="宋体" w:hAnsi="宋体" w:eastAsia="宋体" w:cs="宋体"/>
          <w:sz w:val="21"/>
          <w:szCs w:val="21"/>
          <w:u w:val="none"/>
        </w:rPr>
        <w:t>联系人：</w:t>
      </w:r>
      <w:r>
        <w:rPr>
          <w:rFonts w:hint="eastAsia"/>
          <w:lang w:val="en-US" w:eastAsia="zh-CN"/>
        </w:rPr>
        <w:t>蔡</w:t>
      </w:r>
      <w:r>
        <w:rPr>
          <w:rFonts w:hint="eastAsia"/>
        </w:rPr>
        <w:t>先生</w:t>
      </w:r>
      <w:r>
        <w:rPr>
          <w:rFonts w:hint="eastAsia" w:ascii="宋体" w:hAnsi="宋体" w:eastAsia="宋体" w:cs="宋体"/>
          <w:sz w:val="21"/>
          <w:szCs w:val="21"/>
          <w:u w:val="none"/>
        </w:rPr>
        <w:t>　　　　　　　</w:t>
      </w:r>
    </w:p>
    <w:p>
      <w:pPr>
        <w:spacing w:line="360" w:lineRule="auto"/>
        <w:ind w:firstLine="420" w:firstLineChars="200"/>
        <w:jc w:val="left"/>
        <w:rPr>
          <w:rFonts w:hint="eastAsia" w:ascii="等线" w:hAnsi="等线" w:eastAsia="等线" w:cs="等线"/>
          <w:sz w:val="28"/>
          <w:szCs w:val="28"/>
          <w:u w:val="none"/>
        </w:rPr>
      </w:pPr>
      <w:r>
        <w:rPr>
          <w:rFonts w:hint="eastAsia" w:ascii="宋体" w:hAnsi="宋体" w:eastAsia="宋体" w:cs="宋体"/>
          <w:sz w:val="21"/>
          <w:szCs w:val="21"/>
          <w:u w:val="none"/>
        </w:rPr>
        <w:t>监督投诉电话：</w:t>
      </w:r>
      <w:r>
        <w:rPr>
          <w:rFonts w:hint="default" w:ascii="Arial" w:hAnsi="Arial" w:eastAsia="宋体" w:cs="Arial"/>
          <w:sz w:val="21"/>
          <w:szCs w:val="21"/>
          <w:u w:val="none"/>
        </w:rPr>
        <w:t>0577-65827567</w:t>
      </w:r>
      <w:r>
        <w:rPr>
          <w:rFonts w:hint="eastAsia" w:ascii="等线" w:hAnsi="等线" w:eastAsia="等线" w:cs="等线"/>
          <w:sz w:val="21"/>
          <w:szCs w:val="21"/>
          <w:u w:val="none"/>
        </w:rPr>
        <w:t>　　</w:t>
      </w:r>
      <w:r>
        <w:rPr>
          <w:rFonts w:hint="eastAsia" w:ascii="等线" w:hAnsi="等线" w:eastAsia="等线" w:cs="等线"/>
          <w:sz w:val="28"/>
          <w:szCs w:val="28"/>
          <w:u w:val="none"/>
        </w:rPr>
        <w:t>　　</w:t>
      </w:r>
      <w:bookmarkEnd w:id="8"/>
      <w:bookmarkEnd w:id="9"/>
      <w:bookmarkEnd w:id="10"/>
      <w:bookmarkEnd w:id="11"/>
      <w:bookmarkEnd w:id="12"/>
      <w:bookmarkEnd w:id="13"/>
    </w:p>
    <w:p>
      <w:pPr>
        <w:bidi w:val="0"/>
        <w:jc w:val="center"/>
        <w:outlineLvl w:val="9"/>
        <w:rPr>
          <w:rFonts w:hint="eastAsia"/>
          <w:b/>
          <w:bCs/>
          <w:sz w:val="28"/>
          <w:szCs w:val="28"/>
        </w:rPr>
      </w:pPr>
      <w:bookmarkStart w:id="207" w:name="_Toc11080"/>
      <w:bookmarkStart w:id="208" w:name="_Toc1840"/>
      <w:bookmarkStart w:id="209" w:name="_Toc3633"/>
      <w:bookmarkStart w:id="210" w:name="_Toc396"/>
      <w:bookmarkStart w:id="211" w:name="_Toc27969"/>
      <w:bookmarkStart w:id="212" w:name="_Toc27767"/>
      <w:bookmarkStart w:id="213" w:name="_Toc22450"/>
      <w:bookmarkStart w:id="214" w:name="_Toc24559"/>
      <w:bookmarkStart w:id="215" w:name="_Toc19086"/>
      <w:bookmarkStart w:id="216" w:name="_Toc2308"/>
      <w:bookmarkStart w:id="217" w:name="_Toc31289"/>
      <w:bookmarkStart w:id="218" w:name="_Toc6190"/>
      <w:bookmarkStart w:id="219" w:name="_Toc4068"/>
      <w:bookmarkStart w:id="220" w:name="_Toc6356"/>
      <w:bookmarkStart w:id="221" w:name="_Toc1706"/>
      <w:bookmarkStart w:id="222" w:name="_Toc1799"/>
      <w:bookmarkStart w:id="223" w:name="_Toc29746"/>
      <w:bookmarkStart w:id="224" w:name="_Toc23033"/>
      <w:bookmarkStart w:id="225" w:name="_Toc2862"/>
      <w:bookmarkStart w:id="226" w:name="_Toc16677"/>
      <w:bookmarkStart w:id="227" w:name="_Toc16866"/>
      <w:bookmarkStart w:id="228" w:name="_Toc3338"/>
      <w:bookmarkStart w:id="229" w:name="_Toc1080"/>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bidi w:val="0"/>
        <w:jc w:val="center"/>
        <w:outlineLvl w:val="9"/>
        <w:rPr>
          <w:rFonts w:hint="eastAsia"/>
          <w:b/>
          <w:bCs/>
          <w:sz w:val="28"/>
          <w:szCs w:val="28"/>
        </w:rPr>
      </w:pPr>
    </w:p>
    <w:p>
      <w:pPr>
        <w:pStyle w:val="2"/>
        <w:bidi w:val="0"/>
        <w:ind w:firstLine="3092" w:firstLineChars="1100"/>
        <w:jc w:val="both"/>
        <w:rPr>
          <w:rFonts w:hint="eastAsia" w:hAnsi="Times New Roman"/>
          <w:b/>
          <w:sz w:val="28"/>
          <w:szCs w:val="28"/>
          <w:lang w:val="en-US" w:eastAsia="zh-CN"/>
        </w:rPr>
      </w:pPr>
      <w:bookmarkStart w:id="230" w:name="_Toc18972"/>
      <w:bookmarkStart w:id="231" w:name="_Toc2660"/>
      <w:bookmarkStart w:id="232" w:name="_Toc21547"/>
      <w:bookmarkStart w:id="233" w:name="_Toc22120"/>
      <w:bookmarkStart w:id="234" w:name="_Toc23693"/>
      <w:bookmarkStart w:id="235" w:name="_Toc25027"/>
      <w:bookmarkStart w:id="236" w:name="_Toc20043"/>
      <w:bookmarkStart w:id="237" w:name="_Toc1696"/>
      <w:bookmarkStart w:id="238" w:name="_Toc22903"/>
      <w:bookmarkStart w:id="239" w:name="_Toc14409"/>
      <w:bookmarkStart w:id="240" w:name="_Toc6934"/>
      <w:bookmarkStart w:id="241" w:name="_Toc22126"/>
      <w:r>
        <w:rPr>
          <w:rFonts w:hint="eastAsia" w:hAnsi="Times New Roman"/>
          <w:b/>
          <w:sz w:val="28"/>
          <w:szCs w:val="28"/>
          <w:lang w:val="en-US" w:eastAsia="zh-CN"/>
        </w:rPr>
        <w:t>前附表</w:t>
      </w:r>
      <w:bookmarkEnd w:id="207"/>
      <w:bookmarkEnd w:id="208"/>
      <w:bookmarkEnd w:id="209"/>
      <w:bookmarkEnd w:id="210"/>
      <w:bookmarkEnd w:id="211"/>
      <w:bookmarkEnd w:id="212"/>
      <w:bookmarkEnd w:id="213"/>
      <w:bookmarkEnd w:id="214"/>
      <w:bookmarkEnd w:id="230"/>
      <w:bookmarkEnd w:id="231"/>
      <w:bookmarkEnd w:id="232"/>
      <w:bookmarkEnd w:id="233"/>
      <w:bookmarkEnd w:id="234"/>
      <w:bookmarkEnd w:id="235"/>
      <w:bookmarkEnd w:id="236"/>
      <w:bookmarkEnd w:id="237"/>
      <w:bookmarkEnd w:id="238"/>
      <w:bookmarkEnd w:id="239"/>
      <w:bookmarkEnd w:id="240"/>
      <w:bookmarkEnd w:id="241"/>
    </w:p>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tbl>
      <w:tblPr>
        <w:tblStyle w:val="3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705"/>
        <w:gridCol w:w="1781"/>
        <w:gridCol w:w="60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b/>
                <w:color w:val="000000"/>
                <w:szCs w:val="21"/>
              </w:rPr>
            </w:pPr>
            <w:r>
              <w:rPr>
                <w:rFonts w:hint="eastAsia" w:ascii="宋体" w:hAnsi="宋体" w:cs="宋体"/>
                <w:b/>
                <w:color w:val="000000"/>
                <w:szCs w:val="21"/>
              </w:rPr>
              <w:t>项号</w:t>
            </w:r>
          </w:p>
        </w:tc>
        <w:tc>
          <w:tcPr>
            <w:tcW w:w="178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color w:val="000000"/>
                <w:szCs w:val="21"/>
              </w:rPr>
            </w:pPr>
            <w:r>
              <w:rPr>
                <w:rFonts w:hint="eastAsia" w:ascii="宋体" w:hAnsi="宋体" w:cs="宋体"/>
                <w:b/>
                <w:color w:val="000000"/>
                <w:szCs w:val="21"/>
              </w:rPr>
              <w:t>内容</w:t>
            </w:r>
          </w:p>
        </w:tc>
        <w:tc>
          <w:tcPr>
            <w:tcW w:w="6036"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color w:val="000000"/>
                <w:szCs w:val="21"/>
              </w:rPr>
            </w:pPr>
            <w:r>
              <w:rPr>
                <w:rFonts w:hint="eastAsia" w:ascii="宋体" w:hAnsi="宋体" w:cs="宋体"/>
                <w:b/>
                <w:color w:val="000000"/>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000000"/>
                <w:szCs w:val="21"/>
              </w:rPr>
            </w:pPr>
            <w:r>
              <w:rPr>
                <w:rFonts w:hint="default" w:ascii="Times New Roman" w:hAnsi="Times New Roman" w:cs="Times New Roman"/>
                <w:color w:val="000000"/>
                <w:szCs w:val="21"/>
              </w:rPr>
              <w:t>1</w:t>
            </w:r>
          </w:p>
        </w:tc>
        <w:tc>
          <w:tcPr>
            <w:tcW w:w="178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项目名称</w:t>
            </w:r>
          </w:p>
        </w:tc>
        <w:tc>
          <w:tcPr>
            <w:tcW w:w="6036" w:type="dxa"/>
            <w:noWrap w:val="0"/>
            <w:vAlign w:val="center"/>
          </w:tcPr>
          <w:p>
            <w:pPr>
              <w:keepNext w:val="0"/>
              <w:keepLines w:val="0"/>
              <w:widowControl/>
              <w:suppressLineNumbers w:val="0"/>
              <w:spacing w:before="0" w:beforeAutospacing="0" w:after="0" w:afterAutospacing="0"/>
              <w:ind w:left="0" w:right="0"/>
              <w:rPr>
                <w:rFonts w:hint="default" w:ascii="宋体" w:hAnsi="宋体" w:eastAsia="宋体" w:cs="宋体"/>
                <w:szCs w:val="21"/>
                <w:lang w:val="en-US" w:eastAsia="zh-CN"/>
              </w:rPr>
            </w:pPr>
            <w:r>
              <w:rPr>
                <w:rFonts w:hint="eastAsia" w:ascii="Arial" w:hAnsi="Arial" w:eastAsia="宋体" w:cs="Arial"/>
                <w:sz w:val="21"/>
                <w:szCs w:val="21"/>
                <w:u w:val="none"/>
                <w:lang w:val="en-US" w:eastAsia="zh-CN"/>
              </w:rPr>
              <w:t>2023-2026</w:t>
            </w:r>
            <w:r>
              <w:rPr>
                <w:rFonts w:hint="eastAsia" w:ascii="宋体" w:hAnsi="宋体" w:eastAsia="宋体" w:cs="宋体"/>
                <w:sz w:val="21"/>
                <w:szCs w:val="21"/>
                <w:lang w:eastAsia="zh-CN"/>
              </w:rPr>
              <w:t>年瑞安市市政大院物业管理服务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000000"/>
                <w:szCs w:val="21"/>
              </w:rPr>
            </w:pPr>
            <w:r>
              <w:rPr>
                <w:rFonts w:hint="default" w:ascii="Times New Roman" w:hAnsi="Times New Roman" w:cs="Times New Roman"/>
                <w:color w:val="000000"/>
                <w:szCs w:val="21"/>
              </w:rPr>
              <w:t>2</w:t>
            </w:r>
          </w:p>
        </w:tc>
        <w:tc>
          <w:tcPr>
            <w:tcW w:w="178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项目编号</w:t>
            </w:r>
          </w:p>
        </w:tc>
        <w:tc>
          <w:tcPr>
            <w:tcW w:w="6036"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FF0000"/>
                <w:szCs w:val="21"/>
                <w:lang w:eastAsia="zh-CN"/>
              </w:rPr>
            </w:pPr>
            <w:r>
              <w:rPr>
                <w:rFonts w:hint="eastAsia" w:ascii="Arial" w:hAnsi="Arial" w:eastAsia="宋体" w:cs="Arial"/>
                <w:sz w:val="21"/>
                <w:szCs w:val="21"/>
                <w:u w:val="none"/>
                <w:lang w:val="en-US" w:eastAsia="zh-CN"/>
              </w:rPr>
              <w:t>RAJC20230712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3</w:t>
            </w:r>
          </w:p>
        </w:tc>
        <w:tc>
          <w:tcPr>
            <w:tcW w:w="178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lang w:val="en-US" w:eastAsia="zh-CN"/>
              </w:rPr>
              <w:t>采购方式</w:t>
            </w:r>
          </w:p>
        </w:tc>
        <w:tc>
          <w:tcPr>
            <w:tcW w:w="6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宋体" w:hAnsi="宋体" w:eastAsia="宋体" w:cs="宋体"/>
                <w:color w:val="000000"/>
                <w:szCs w:val="21"/>
                <w:lang w:eastAsia="zh-CN"/>
              </w:rPr>
            </w:pPr>
            <w:r>
              <w:rPr>
                <w:rFonts w:hint="eastAsia" w:ascii="宋体" w:hAnsi="宋体" w:cs="宋体"/>
                <w:color w:val="auto"/>
                <w:szCs w:val="21"/>
                <w:lang w:eastAsia="zh-CN"/>
              </w:rPr>
              <w:t>公开招标（电子招投标）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4</w:t>
            </w:r>
          </w:p>
        </w:tc>
        <w:tc>
          <w:tcPr>
            <w:tcW w:w="178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szCs w:val="21"/>
                <w:lang w:val="en-US"/>
              </w:rPr>
            </w:pPr>
            <w:r>
              <w:rPr>
                <w:rFonts w:hint="eastAsia" w:ascii="宋体" w:hAnsi="宋体" w:cs="宋体"/>
                <w:color w:val="000000"/>
                <w:szCs w:val="21"/>
              </w:rPr>
              <w:t>资金来源</w:t>
            </w:r>
            <w:r>
              <w:rPr>
                <w:rFonts w:hint="eastAsia" w:ascii="宋体" w:hAnsi="宋体" w:cs="宋体"/>
                <w:color w:val="000000"/>
                <w:szCs w:val="21"/>
                <w:lang w:eastAsia="zh-CN"/>
              </w:rPr>
              <w:t>、</w:t>
            </w:r>
            <w:r>
              <w:rPr>
                <w:rFonts w:hint="eastAsia" w:ascii="宋体" w:hAnsi="宋体" w:cs="宋体"/>
                <w:color w:val="000000"/>
                <w:szCs w:val="21"/>
                <w:lang w:val="en-US" w:eastAsia="zh-CN"/>
              </w:rPr>
              <w:t>预算及最高限价</w:t>
            </w:r>
          </w:p>
        </w:tc>
        <w:tc>
          <w:tcPr>
            <w:tcW w:w="6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Times New Roman" w:hAnsi="Times New Roman" w:cs="Times New Roman"/>
                <w:szCs w:val="20"/>
              </w:rPr>
            </w:pPr>
            <w:r>
              <w:rPr>
                <w:rFonts w:hint="eastAsia" w:ascii="Times New Roman" w:hAnsi="Times New Roman" w:cs="Times New Roman"/>
                <w:szCs w:val="20"/>
              </w:rPr>
              <w:t>财政资金，本项目财政预算金额为人民币</w:t>
            </w:r>
            <w:r>
              <w:rPr>
                <w:rFonts w:hint="eastAsia" w:ascii="Arial" w:hAnsi="Arial" w:cs="Arial"/>
                <w:szCs w:val="20"/>
                <w:u w:val="single"/>
                <w:lang w:val="en-US" w:eastAsia="zh-CN"/>
              </w:rPr>
              <w:t>25767264</w:t>
            </w:r>
            <w:r>
              <w:rPr>
                <w:rFonts w:hint="default" w:ascii="Arial" w:hAnsi="Arial" w:cs="Arial"/>
                <w:szCs w:val="20"/>
                <w:u w:val="single"/>
                <w:lang w:val="en-US" w:eastAsia="zh-CN"/>
              </w:rPr>
              <w:t>.00</w:t>
            </w:r>
            <w:r>
              <w:rPr>
                <w:rFonts w:hint="eastAsia" w:ascii="Times New Roman" w:hAnsi="Times New Roman" w:cs="Times New Roman"/>
                <w:szCs w:val="20"/>
              </w:rPr>
              <w:t>元。</w:t>
            </w:r>
          </w:p>
          <w:p>
            <w:pPr>
              <w:pStyle w:val="18"/>
              <w:keepNext w:val="0"/>
              <w:keepLines w:val="0"/>
              <w:pageBreakBefore w:val="0"/>
              <w:suppressLineNumbers w:val="0"/>
              <w:kinsoku/>
              <w:wordWrap/>
              <w:overflowPunct/>
              <w:topLinePunct w:val="0"/>
              <w:autoSpaceDE/>
              <w:autoSpaceDN/>
              <w:bidi w:val="0"/>
              <w:adjustRightInd/>
              <w:snapToGrid/>
              <w:spacing w:before="0" w:beforeAutospacing="0" w:afterAutospacing="0" w:line="360" w:lineRule="auto"/>
              <w:ind w:left="0" w:leftChars="0" w:right="0" w:firstLine="0" w:firstLineChars="0"/>
              <w:textAlignment w:val="auto"/>
              <w:outlineLvl w:val="9"/>
              <w:rPr>
                <w:rFonts w:hint="eastAsia" w:ascii="宋体" w:hAnsi="宋体" w:cs="宋体"/>
                <w:color w:val="000000"/>
                <w:szCs w:val="21"/>
                <w:lang w:val="en-US"/>
              </w:rPr>
            </w:pPr>
            <w:r>
              <w:rPr>
                <w:rFonts w:hint="eastAsia" w:ascii="Times New Roman" w:hAnsi="Times New Roman" w:cs="Times New Roman"/>
                <w:szCs w:val="20"/>
                <w:lang w:val="en-US" w:eastAsia="zh-CN"/>
              </w:rPr>
              <w:t>最高限价：</w:t>
            </w:r>
            <w:r>
              <w:rPr>
                <w:rFonts w:hint="eastAsia" w:ascii="宋体" w:hAnsi="宋体" w:cs="宋体"/>
                <w:b/>
                <w:color w:val="auto"/>
                <w:kern w:val="0"/>
                <w:szCs w:val="21"/>
                <w:highlight w:val="none"/>
                <w:u w:val="single"/>
                <w:lang w:val="en-US" w:eastAsia="zh-CN"/>
              </w:rPr>
              <w:t xml:space="preserve"> </w:t>
            </w:r>
            <w:r>
              <w:rPr>
                <w:rFonts w:hint="eastAsia" w:ascii="宋体" w:hAnsi="宋体" w:cs="宋体"/>
                <w:b w:val="0"/>
                <w:bCs/>
                <w:color w:val="auto"/>
                <w:kern w:val="0"/>
                <w:szCs w:val="21"/>
                <w:highlight w:val="none"/>
                <w:u w:val="single"/>
                <w:lang w:val="en-US" w:eastAsia="zh-CN"/>
              </w:rPr>
              <w:t xml:space="preserve"> 无 </w:t>
            </w:r>
            <w:r>
              <w:rPr>
                <w:rFonts w:hint="eastAsia" w:ascii="宋体" w:hAnsi="宋体" w:cs="宋体"/>
                <w:b/>
                <w:color w:val="auto"/>
                <w:kern w:val="0"/>
                <w:szCs w:val="21"/>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szCs w:val="21"/>
                <w:lang w:val="en-US" w:eastAsia="zh-CN"/>
              </w:rPr>
              <w:t>5</w:t>
            </w:r>
          </w:p>
        </w:tc>
        <w:tc>
          <w:tcPr>
            <w:tcW w:w="1781" w:type="dxa"/>
            <w:noWrap w:val="0"/>
            <w:vAlign w:val="center"/>
          </w:tcPr>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是否专门面向</w:t>
            </w:r>
          </w:p>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color w:val="000000"/>
                <w:sz w:val="21"/>
                <w:szCs w:val="21"/>
                <w:lang w:val="en-US" w:eastAsia="zh-CN" w:bidi="ar-SA"/>
              </w:rPr>
            </w:pPr>
            <w:r>
              <w:rPr>
                <w:rFonts w:hint="eastAsia" w:ascii="宋体" w:hAnsi="宋体" w:eastAsia="宋体" w:cs="宋体"/>
                <w:color w:val="000000"/>
                <w:szCs w:val="21"/>
                <w:lang w:val="en-US" w:eastAsia="zh-CN"/>
              </w:rPr>
              <w:t>中小企业采购</w:t>
            </w:r>
          </w:p>
        </w:tc>
        <w:tc>
          <w:tcPr>
            <w:tcW w:w="603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Times New Roman" w:hAnsi="Times New Roman" w:eastAsia="宋体" w:cs="Times New Roman"/>
                <w:szCs w:val="20"/>
                <w:highlight w:val="none"/>
                <w:lang w:val="en-US" w:eastAsia="zh-CN"/>
              </w:rPr>
            </w:pPr>
            <w:r>
              <w:rPr>
                <w:rFonts w:hint="eastAsia" w:ascii="Times New Roman" w:hAnsi="Times New Roman" w:cs="Times New Roman"/>
                <w:szCs w:val="20"/>
                <w:highlight w:val="none"/>
                <w:lang w:val="en-US" w:eastAsia="zh-CN"/>
              </w:rPr>
              <w:t>根据</w:t>
            </w:r>
            <w:r>
              <w:rPr>
                <w:rFonts w:hint="eastAsia" w:ascii="Times New Roman" w:hAnsi="Times New Roman" w:cs="Times New Roman"/>
                <w:szCs w:val="20"/>
                <w:highlight w:val="none"/>
              </w:rPr>
              <w:t>《政府采购促进中小企业发展管理办法》（财库</w:t>
            </w:r>
            <w:r>
              <w:rPr>
                <w:rFonts w:hint="default" w:ascii="Arial" w:hAnsi="Arial" w:cs="Arial"/>
                <w:szCs w:val="22"/>
                <w:highlight w:val="none"/>
                <w:u w:val="single"/>
                <w:lang w:val="en-US" w:eastAsia="zh-CN"/>
              </w:rPr>
              <w:t>[2020]46</w:t>
            </w:r>
            <w:r>
              <w:rPr>
                <w:rFonts w:hint="eastAsia" w:ascii="Times New Roman" w:hAnsi="Times New Roman" w:cs="Times New Roman"/>
                <w:szCs w:val="20"/>
                <w:highlight w:val="none"/>
              </w:rPr>
              <w:t>号）</w:t>
            </w:r>
            <w:r>
              <w:rPr>
                <w:rFonts w:hint="eastAsia" w:ascii="Times New Roman" w:hAnsi="Times New Roman" w:cs="Times New Roman"/>
                <w:szCs w:val="20"/>
                <w:highlight w:val="none"/>
                <w:lang w:val="en-US" w:eastAsia="zh-CN"/>
              </w:rPr>
              <w:t>规定，本项目属于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Times New Roman" w:hAnsi="Times New Roman" w:cs="Times New Roman"/>
                <w:szCs w:val="20"/>
                <w:highlight w:val="none"/>
                <w:lang w:val="en-US" w:eastAsia="zh-CN"/>
              </w:rPr>
            </w:pPr>
            <w:r>
              <w:rPr>
                <w:rFonts w:hint="eastAsia" w:ascii="Times New Roman" w:hAnsi="Times New Roman" w:cs="Times New Roman"/>
                <w:szCs w:val="20"/>
                <w:highlight w:val="none"/>
                <w:lang w:eastAsia="zh-CN"/>
              </w:rPr>
              <w:t>☑</w:t>
            </w:r>
            <w:r>
              <w:rPr>
                <w:rFonts w:hint="eastAsia" w:ascii="Times New Roman" w:hAnsi="Times New Roman" w:cs="Times New Roman"/>
                <w:szCs w:val="20"/>
                <w:highlight w:val="none"/>
                <w:lang w:val="en-US" w:eastAsia="zh-CN"/>
              </w:rPr>
              <w:t>预留份额专门面向中小企业采购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Times New Roman" w:hAnsi="Times New Roman" w:cs="Times New Roman"/>
                <w:szCs w:val="20"/>
                <w:highlight w:val="none"/>
                <w:lang w:val="en-US" w:eastAsia="zh-CN"/>
              </w:rPr>
            </w:pPr>
            <w:r>
              <w:rPr>
                <w:rFonts w:hint="eastAsia" w:ascii="Times New Roman" w:hAnsi="Times New Roman" w:cs="Times New Roman"/>
                <w:szCs w:val="20"/>
                <w:highlight w:val="none"/>
              </w:rPr>
              <w:t>□</w:t>
            </w:r>
            <w:r>
              <w:rPr>
                <w:rFonts w:hint="eastAsia" w:ascii="Times New Roman" w:hAnsi="Times New Roman" w:cs="Times New Roman"/>
                <w:szCs w:val="20"/>
                <w:highlight w:val="none"/>
                <w:lang w:eastAsia="zh-CN"/>
              </w:rPr>
              <w:t>部分</w:t>
            </w:r>
            <w:r>
              <w:rPr>
                <w:rFonts w:hint="eastAsia" w:ascii="Times New Roman" w:hAnsi="Times New Roman" w:cs="Times New Roman"/>
                <w:szCs w:val="20"/>
                <w:highlight w:val="none"/>
                <w:lang w:val="en-US" w:eastAsia="zh-CN"/>
              </w:rPr>
              <w:t>预留份额项目面向中小企业采购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Times New Roman" w:hAnsi="Times New Roman" w:cs="Times New Roman"/>
                <w:szCs w:val="20"/>
                <w:lang w:val="en-US" w:eastAsia="zh-CN"/>
              </w:rPr>
            </w:pPr>
            <w:r>
              <w:rPr>
                <w:rFonts w:hint="eastAsia" w:ascii="Times New Roman" w:hAnsi="Times New Roman" w:cs="Times New Roman"/>
                <w:szCs w:val="20"/>
                <w:highlight w:val="none"/>
              </w:rPr>
              <w:fldChar w:fldCharType="begin"/>
            </w:r>
            <w:r>
              <w:rPr>
                <w:rFonts w:hint="eastAsia" w:ascii="Times New Roman" w:hAnsi="Times New Roman" w:cs="Times New Roman"/>
                <w:szCs w:val="20"/>
                <w:highlight w:val="none"/>
              </w:rPr>
              <w:instrText xml:space="preserve"> eq \o\ac(□)</w:instrText>
            </w:r>
            <w:r>
              <w:rPr>
                <w:rFonts w:hint="eastAsia" w:ascii="Times New Roman" w:hAnsi="Times New Roman" w:cs="Times New Roman"/>
                <w:szCs w:val="20"/>
                <w:highlight w:val="none"/>
              </w:rPr>
              <w:fldChar w:fldCharType="end"/>
            </w:r>
            <w:r>
              <w:rPr>
                <w:rFonts w:hint="eastAsia" w:ascii="Times New Roman" w:hAnsi="Times New Roman" w:cs="Times New Roman"/>
                <w:szCs w:val="20"/>
                <w:highlight w:val="none"/>
                <w:lang w:val="en-US" w:eastAsia="zh-CN"/>
              </w:rPr>
              <w:t>未预留份额专门面向中小企业采购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strike w:val="0"/>
                <w:dstrike w:val="0"/>
                <w:color w:val="auto"/>
                <w:szCs w:val="21"/>
                <w:lang w:eastAsia="zh-CN"/>
              </w:rPr>
            </w:pPr>
            <w:r>
              <w:rPr>
                <w:rFonts w:hint="default" w:ascii="Times New Roman" w:hAnsi="Times New Roman" w:eastAsia="宋体" w:cs="Times New Roman"/>
                <w:strike w:val="0"/>
                <w:dstrike w:val="0"/>
                <w:color w:val="auto"/>
                <w:szCs w:val="21"/>
                <w:lang w:val="en-US" w:eastAsia="zh-CN"/>
              </w:rPr>
              <w:t>6</w:t>
            </w:r>
          </w:p>
        </w:tc>
        <w:tc>
          <w:tcPr>
            <w:tcW w:w="178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trike w:val="0"/>
                <w:dstrike w:val="0"/>
                <w:color w:val="auto"/>
                <w:szCs w:val="21"/>
                <w:lang w:val="en-US" w:eastAsia="zh-CN"/>
              </w:rPr>
            </w:pPr>
            <w:r>
              <w:rPr>
                <w:rFonts w:hint="eastAsia" w:ascii="宋体" w:hAnsi="宋体" w:cs="宋体"/>
                <w:strike w:val="0"/>
                <w:dstrike w:val="0"/>
                <w:color w:val="auto"/>
                <w:szCs w:val="21"/>
              </w:rPr>
              <w:t>项目属性</w:t>
            </w:r>
          </w:p>
        </w:tc>
        <w:tc>
          <w:tcPr>
            <w:tcW w:w="6036" w:type="dxa"/>
            <w:noWrap w:val="0"/>
            <w:vAlign w:val="center"/>
          </w:tcPr>
          <w:p>
            <w:pPr>
              <w:keepNext w:val="0"/>
              <w:keepLines w:val="0"/>
              <w:widowControl/>
              <w:suppressLineNumbers w:val="0"/>
              <w:spacing w:before="0" w:beforeAutospacing="0" w:after="0" w:afterAutospacing="0"/>
              <w:ind w:left="0" w:right="0"/>
              <w:rPr>
                <w:rFonts w:hint="eastAsia" w:ascii="Times New Roman" w:hAnsi="Times New Roman" w:cs="Times New Roman"/>
                <w:strike w:val="0"/>
                <w:dstrike w:val="0"/>
                <w:color w:val="auto"/>
                <w:szCs w:val="20"/>
              </w:rPr>
            </w:pPr>
            <w:r>
              <w:rPr>
                <w:rFonts w:hint="eastAsia" w:ascii="宋体" w:hAnsi="宋体" w:cs="宋体"/>
                <w:strike w:val="0"/>
                <w:dstrike w:val="0"/>
                <w:color w:val="auto"/>
                <w:szCs w:val="21"/>
                <w:lang w:val="en-US" w:eastAsia="zh-CN"/>
              </w:rPr>
              <w:t>服务类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trike w:val="0"/>
                <w:dstrike w:val="0"/>
                <w:color w:val="auto"/>
                <w:szCs w:val="21"/>
                <w:highlight w:val="none"/>
                <w:lang w:val="en-US" w:eastAsia="zh-CN"/>
              </w:rPr>
            </w:pPr>
            <w:r>
              <w:rPr>
                <w:rFonts w:hint="eastAsia" w:ascii="Times New Roman" w:hAnsi="Times New Roman" w:cs="Times New Roman"/>
                <w:strike w:val="0"/>
                <w:dstrike w:val="0"/>
                <w:color w:val="auto"/>
                <w:szCs w:val="21"/>
                <w:highlight w:val="none"/>
                <w:lang w:val="en-US" w:eastAsia="zh-CN"/>
              </w:rPr>
              <w:t>7</w:t>
            </w:r>
          </w:p>
        </w:tc>
        <w:tc>
          <w:tcPr>
            <w:tcW w:w="178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strike w:val="0"/>
                <w:dstrike w:val="0"/>
                <w:color w:val="auto"/>
                <w:szCs w:val="21"/>
                <w:highlight w:val="none"/>
                <w:lang w:val="en-US" w:eastAsia="zh-CN"/>
              </w:rPr>
            </w:pPr>
            <w:r>
              <w:rPr>
                <w:rFonts w:hint="eastAsia" w:ascii="宋体" w:hAnsi="宋体" w:cs="宋体"/>
                <w:strike w:val="0"/>
                <w:dstrike w:val="0"/>
                <w:color w:val="auto"/>
                <w:szCs w:val="21"/>
                <w:highlight w:val="none"/>
                <w:lang w:val="en-US" w:eastAsia="zh-CN"/>
              </w:rPr>
              <w:t>所属行业</w:t>
            </w:r>
          </w:p>
        </w:tc>
        <w:tc>
          <w:tcPr>
            <w:tcW w:w="6036"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宋体" w:hAnsi="宋体" w:cs="宋体"/>
                <w:strike w:val="0"/>
                <w:dstrike w:val="0"/>
                <w:color w:val="auto"/>
                <w:szCs w:val="21"/>
                <w:highlight w:val="none"/>
              </w:rPr>
            </w:pPr>
            <w:r>
              <w:rPr>
                <w:rFonts w:hint="eastAsia" w:ascii="Times New Roman" w:hAnsi="Times New Roman" w:cs="Times New Roman"/>
                <w:strike w:val="0"/>
                <w:dstrike w:val="0"/>
                <w:color w:val="auto"/>
                <w:szCs w:val="20"/>
                <w:highlight w:val="none"/>
                <w:lang w:val="en-US" w:eastAsia="zh-CN"/>
              </w:rPr>
              <w:t>依据《中小企业划型标准规定》（工信部联企业</w:t>
            </w:r>
            <w:r>
              <w:rPr>
                <w:rFonts w:hint="default" w:ascii="Arial" w:hAnsi="Arial" w:cs="Arial"/>
                <w:strike w:val="0"/>
                <w:dstrike w:val="0"/>
                <w:color w:val="auto"/>
                <w:szCs w:val="20"/>
                <w:highlight w:val="none"/>
                <w:lang w:val="en-US" w:eastAsia="zh-CN"/>
              </w:rPr>
              <w:t>〔2011〕300</w:t>
            </w:r>
            <w:r>
              <w:rPr>
                <w:rFonts w:hint="eastAsia" w:ascii="Times New Roman" w:hAnsi="Times New Roman" w:cs="Times New Roman"/>
                <w:strike w:val="0"/>
                <w:dstrike w:val="0"/>
                <w:color w:val="auto"/>
                <w:szCs w:val="20"/>
                <w:highlight w:val="none"/>
                <w:lang w:val="en-US" w:eastAsia="zh-CN"/>
              </w:rPr>
              <w:t>号），</w:t>
            </w:r>
            <w:r>
              <w:rPr>
                <w:rFonts w:hint="eastAsia" w:ascii="Times New Roman" w:hAnsi="Times New Roman" w:cs="Times New Roman"/>
                <w:strike w:val="0"/>
                <w:dstrike w:val="0"/>
                <w:color w:val="auto"/>
                <w:szCs w:val="20"/>
                <w:highlight w:val="none"/>
                <w:lang w:eastAsia="zh-CN"/>
              </w:rPr>
              <w:t>本项目采购标的对应的中小企业划分标准所属行业为：</w:t>
            </w:r>
            <w:r>
              <w:rPr>
                <w:rFonts w:hint="eastAsia" w:ascii="宋体" w:hAnsi="宋体" w:cs="Times New Roman"/>
                <w:szCs w:val="20"/>
                <w:u w:val="single"/>
                <w:lang w:val="en-US" w:eastAsia="zh-CN"/>
              </w:rPr>
              <w:t>物业管理行业</w:t>
            </w:r>
            <w:r>
              <w:rPr>
                <w:rFonts w:hint="eastAsia" w:ascii="Times New Roman" w:hAnsi="Times New Roman" w:cs="Times New Roman"/>
                <w:strike w:val="0"/>
                <w:dstrike w:val="0"/>
                <w:color w:val="auto"/>
                <w:szCs w:val="20"/>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8</w:t>
            </w:r>
          </w:p>
        </w:tc>
        <w:tc>
          <w:tcPr>
            <w:tcW w:w="178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采购内容</w:t>
            </w:r>
          </w:p>
        </w:tc>
        <w:tc>
          <w:tcPr>
            <w:tcW w:w="6036"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Times New Roman" w:hAnsi="Times New Roman" w:cs="Times New Roman"/>
                <w:strike w:val="0"/>
                <w:dstrike w:val="0"/>
                <w:color w:val="auto"/>
                <w:szCs w:val="22"/>
                <w:highlight w:val="none"/>
                <w:lang w:val="en-US" w:eastAsia="zh-CN"/>
              </w:rPr>
            </w:pPr>
            <w:r>
              <w:rPr>
                <w:rFonts w:hint="eastAsia" w:ascii="Times New Roman" w:hAnsi="Times New Roman" w:cs="Times New Roman"/>
                <w:strike w:val="0"/>
                <w:dstrike w:val="0"/>
                <w:color w:val="auto"/>
                <w:szCs w:val="22"/>
                <w:highlight w:val="none"/>
                <w:lang w:val="en-US" w:eastAsia="zh-CN"/>
              </w:rPr>
              <w:t>瑞安市市政大院全区域所需的卫生保洁、秩序维护、会务服务、设备维护等物业管理服务（具体要求详见招标文件第三部分）。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9</w:t>
            </w:r>
          </w:p>
        </w:tc>
        <w:tc>
          <w:tcPr>
            <w:tcW w:w="178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服务期限</w:t>
            </w:r>
          </w:p>
        </w:tc>
        <w:tc>
          <w:tcPr>
            <w:tcW w:w="6036" w:type="dxa"/>
            <w:noWrap w:val="0"/>
            <w:vAlign w:val="center"/>
          </w:tcPr>
          <w:p>
            <w:pPr>
              <w:keepNext w:val="0"/>
              <w:keepLines w:val="0"/>
              <w:widowControl/>
              <w:suppressLineNumbers w:val="0"/>
              <w:spacing w:before="0" w:beforeAutospacing="0" w:after="0" w:afterAutospacing="0"/>
              <w:ind w:left="0" w:right="0"/>
              <w:rPr>
                <w:rFonts w:hint="eastAsia" w:ascii="宋体" w:hAnsi="宋体" w:cs="宋体"/>
                <w:color w:val="000000"/>
                <w:szCs w:val="21"/>
              </w:rPr>
            </w:pPr>
            <w:r>
              <w:rPr>
                <w:rFonts w:hint="eastAsia" w:ascii="宋体" w:hAnsi="宋体" w:eastAsia="宋体" w:cs="宋体"/>
                <w:sz w:val="21"/>
                <w:szCs w:val="21"/>
                <w:lang w:eastAsia="zh-CN"/>
              </w:rPr>
              <w:t>自合同生效之日起三年(36个月）</w:t>
            </w:r>
            <w:r>
              <w:rPr>
                <w:rFonts w:hint="eastAsia" w:ascii="宋体" w:hAnsi="宋体" w:eastAsia="宋体" w:cs="宋体"/>
                <w:b w:val="0"/>
                <w:bCs w:val="0"/>
                <w:color w:val="000000"/>
                <w:szCs w:val="22"/>
                <w:highlight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10</w:t>
            </w:r>
          </w:p>
        </w:tc>
        <w:tc>
          <w:tcPr>
            <w:tcW w:w="1781" w:type="dxa"/>
            <w:noWrap w:val="0"/>
            <w:vAlign w:val="center"/>
          </w:tcPr>
          <w:p>
            <w:pPr>
              <w:keepNext w:val="0"/>
              <w:keepLines w:val="0"/>
              <w:widowControl/>
              <w:suppressLineNumbers w:val="0"/>
              <w:adjustRightInd w:val="0"/>
              <w:spacing w:before="0" w:beforeAutospacing="0" w:after="0" w:afterAutospacing="0"/>
              <w:ind w:left="0" w:right="0"/>
              <w:jc w:val="center"/>
              <w:rPr>
                <w:rFonts w:hint="eastAsia" w:ascii="宋体" w:hAnsi="宋体" w:cs="宋体"/>
                <w:color w:val="auto"/>
                <w:szCs w:val="21"/>
              </w:rPr>
            </w:pPr>
            <w:r>
              <w:rPr>
                <w:rFonts w:hint="eastAsia" w:ascii="宋体" w:hAnsi="宋体" w:cs="宋体"/>
                <w:color w:val="auto"/>
                <w:szCs w:val="21"/>
              </w:rPr>
              <w:t>是否允许</w:t>
            </w:r>
          </w:p>
          <w:p>
            <w:pPr>
              <w:keepNext w:val="0"/>
              <w:keepLines w:val="0"/>
              <w:widowControl/>
              <w:suppressLineNumbers w:val="0"/>
              <w:adjustRightInd w:val="0"/>
              <w:spacing w:before="0" w:beforeAutospacing="0" w:after="0" w:afterAutospacing="0"/>
              <w:ind w:left="0" w:right="0"/>
              <w:jc w:val="center"/>
              <w:rPr>
                <w:rFonts w:hint="eastAsia" w:ascii="宋体" w:hAnsi="宋体" w:cs="宋体"/>
                <w:color w:val="auto"/>
                <w:szCs w:val="21"/>
              </w:rPr>
            </w:pPr>
            <w:r>
              <w:rPr>
                <w:rFonts w:hint="eastAsia" w:ascii="宋体" w:hAnsi="宋体" w:cs="宋体"/>
                <w:color w:val="auto"/>
                <w:szCs w:val="21"/>
              </w:rPr>
              <w:t>采购进口产品</w:t>
            </w:r>
          </w:p>
        </w:tc>
        <w:tc>
          <w:tcPr>
            <w:tcW w:w="6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宋体" w:hAnsi="宋体" w:cs="宋体"/>
                <w:color w:val="auto"/>
                <w:szCs w:val="20"/>
              </w:rPr>
            </w:pPr>
            <w:r>
              <w:rPr>
                <w:rFonts w:hint="eastAsia" w:ascii="宋体" w:hAnsi="宋体" w:cs="宋体"/>
                <w:color w:val="auto"/>
                <w:szCs w:val="20"/>
              </w:rPr>
              <w:fldChar w:fldCharType="begin"/>
            </w:r>
            <w:r>
              <w:rPr>
                <w:rFonts w:hint="eastAsia" w:ascii="宋体" w:hAnsi="宋体" w:cs="宋体"/>
                <w:color w:val="auto"/>
                <w:szCs w:val="20"/>
              </w:rPr>
              <w:instrText xml:space="preserve"> eq \o\ac(□,√)</w:instrText>
            </w:r>
            <w:r>
              <w:rPr>
                <w:rFonts w:hint="eastAsia" w:ascii="宋体" w:hAnsi="宋体" w:cs="宋体"/>
                <w:color w:val="auto"/>
                <w:szCs w:val="20"/>
              </w:rPr>
              <w:fldChar w:fldCharType="end"/>
            </w:r>
            <w:r>
              <w:rPr>
                <w:rFonts w:hint="eastAsia" w:ascii="宋体" w:hAnsi="宋体" w:cs="宋体"/>
                <w:color w:val="auto"/>
                <w:szCs w:val="20"/>
              </w:rPr>
              <w:t>不允许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宋体" w:hAnsi="宋体" w:cs="宋体"/>
                <w:color w:val="auto"/>
                <w:szCs w:val="21"/>
              </w:rPr>
            </w:pPr>
            <w:r>
              <w:rPr>
                <w:rFonts w:hint="eastAsia" w:ascii="宋体" w:hAnsi="宋体" w:cs="宋体"/>
                <w:color w:val="auto"/>
                <w:szCs w:val="21"/>
              </w:rPr>
              <w:t>□允许</w:t>
            </w:r>
            <w:r>
              <w:rPr>
                <w:rFonts w:hint="eastAsia" w:ascii="宋体" w:hAnsi="宋体" w:cs="宋体"/>
                <w:color w:val="auto"/>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lang w:val="en-US" w:eastAsia="zh-CN"/>
              </w:rPr>
              <w:t>1</w:t>
            </w:r>
          </w:p>
        </w:tc>
        <w:tc>
          <w:tcPr>
            <w:tcW w:w="1781" w:type="dxa"/>
            <w:noWrap w:val="0"/>
            <w:vAlign w:val="center"/>
          </w:tcPr>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是否允许</w:t>
            </w:r>
          </w:p>
          <w:p>
            <w:pPr>
              <w:keepNext w:val="0"/>
              <w:keepLines w:val="0"/>
              <w:widowControl/>
              <w:suppressLineNumbers w:val="0"/>
              <w:adjustRightInd w:val="0"/>
              <w:spacing w:before="0" w:beforeAutospacing="0" w:after="0" w:afterAutospacing="0"/>
              <w:ind w:left="0" w:right="0"/>
              <w:jc w:val="center"/>
              <w:rPr>
                <w:rFonts w:hint="eastAsia" w:ascii="宋体" w:hAnsi="宋体" w:cs="宋体"/>
                <w:color w:val="FF0000"/>
                <w:szCs w:val="21"/>
              </w:rPr>
            </w:pPr>
            <w:r>
              <w:rPr>
                <w:rFonts w:hint="eastAsia" w:ascii="宋体" w:hAnsi="宋体" w:cs="宋体"/>
                <w:color w:val="000000"/>
                <w:szCs w:val="21"/>
              </w:rPr>
              <w:t>转包与分包</w:t>
            </w:r>
          </w:p>
        </w:tc>
        <w:tc>
          <w:tcPr>
            <w:tcW w:w="6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宋体" w:hAnsi="宋体" w:cs="宋体"/>
                <w:szCs w:val="20"/>
              </w:rPr>
            </w:pPr>
            <w:r>
              <w:rPr>
                <w:rFonts w:hint="eastAsia" w:ascii="宋体" w:hAnsi="宋体" w:cs="宋体"/>
                <w:szCs w:val="20"/>
              </w:rPr>
              <w:fldChar w:fldCharType="begin"/>
            </w:r>
            <w:r>
              <w:rPr>
                <w:rFonts w:hint="eastAsia" w:ascii="宋体" w:hAnsi="宋体" w:cs="宋体"/>
                <w:szCs w:val="20"/>
              </w:rPr>
              <w:instrText xml:space="preserve"> eq \o\ac(□,√)</w:instrText>
            </w:r>
            <w:r>
              <w:rPr>
                <w:rFonts w:hint="eastAsia" w:ascii="宋体" w:hAnsi="宋体" w:cs="宋体"/>
                <w:szCs w:val="20"/>
              </w:rPr>
              <w:fldChar w:fldCharType="end"/>
            </w:r>
            <w:r>
              <w:rPr>
                <w:rFonts w:hint="eastAsia" w:ascii="宋体" w:hAnsi="宋体" w:cs="宋体"/>
                <w:szCs w:val="20"/>
              </w:rPr>
              <w:t>不允许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宋体" w:hAnsi="宋体" w:cs="宋体"/>
                <w:color w:val="FF0000"/>
                <w:szCs w:val="20"/>
              </w:rPr>
            </w:pPr>
            <w:r>
              <w:rPr>
                <w:rFonts w:hint="eastAsia" w:ascii="宋体" w:hAnsi="宋体" w:cs="宋体"/>
                <w:szCs w:val="21"/>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1</w:t>
            </w:r>
            <w:r>
              <w:rPr>
                <w:rFonts w:hint="eastAsia" w:ascii="Times New Roman" w:hAnsi="Times New Roman" w:eastAsia="宋体" w:cs="Times New Roman"/>
                <w:color w:val="000000"/>
                <w:szCs w:val="21"/>
                <w:lang w:val="en-US" w:eastAsia="zh-CN"/>
              </w:rPr>
              <w:t>2</w:t>
            </w:r>
          </w:p>
        </w:tc>
        <w:tc>
          <w:tcPr>
            <w:tcW w:w="1781" w:type="dxa"/>
            <w:noWrap w:val="0"/>
            <w:vAlign w:val="center"/>
          </w:tcPr>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lang w:eastAsia="zh-CN"/>
              </w:rPr>
            </w:pPr>
            <w:r>
              <w:rPr>
                <w:rFonts w:hint="eastAsia" w:ascii="宋体" w:hAnsi="宋体" w:cs="宋体"/>
                <w:color w:val="000000"/>
                <w:szCs w:val="21"/>
                <w:lang w:eastAsia="zh-CN"/>
              </w:rPr>
              <w:t>是否接受</w:t>
            </w:r>
          </w:p>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联合体投标</w:t>
            </w:r>
          </w:p>
        </w:tc>
        <w:tc>
          <w:tcPr>
            <w:tcW w:w="6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宋体" w:hAnsi="宋体" w:cs="宋体"/>
                <w:color w:val="000000"/>
                <w:szCs w:val="21"/>
              </w:rPr>
            </w:pPr>
            <w:r>
              <w:rPr>
                <w:rFonts w:hint="eastAsia" w:ascii="宋体" w:hAnsi="宋体" w:cs="宋体"/>
                <w:color w:val="000000"/>
                <w:szCs w:val="20"/>
              </w:rPr>
              <w:fldChar w:fldCharType="begin"/>
            </w:r>
            <w:r>
              <w:rPr>
                <w:rFonts w:hint="eastAsia" w:ascii="宋体" w:hAnsi="宋体" w:cs="宋体"/>
                <w:color w:val="000000"/>
                <w:szCs w:val="20"/>
              </w:rPr>
              <w:instrText xml:space="preserve"> eq \o\ac(□,√)</w:instrText>
            </w:r>
            <w:r>
              <w:rPr>
                <w:rFonts w:hint="eastAsia" w:ascii="宋体" w:hAnsi="宋体" w:cs="宋体"/>
                <w:color w:val="000000"/>
                <w:szCs w:val="20"/>
              </w:rPr>
              <w:fldChar w:fldCharType="end"/>
            </w:r>
            <w:r>
              <w:rPr>
                <w:rFonts w:hint="eastAsia" w:ascii="宋体" w:hAnsi="宋体" w:cs="宋体"/>
                <w:color w:val="000000"/>
                <w:szCs w:val="21"/>
              </w:rPr>
              <w:t>不接受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宋体" w:hAnsi="宋体" w:cs="宋体"/>
                <w:color w:val="000000"/>
                <w:szCs w:val="21"/>
              </w:rPr>
            </w:pP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szCs w:val="21"/>
              </w:rPr>
              <w:fldChar w:fldCharType="end"/>
            </w:r>
            <w:r>
              <w:rPr>
                <w:rFonts w:hint="eastAsia" w:ascii="宋体" w:hAnsi="宋体" w:cs="宋体"/>
                <w:color w:val="000000"/>
                <w:szCs w:val="21"/>
              </w:rPr>
              <w:t>接受</w:t>
            </w:r>
            <w:r>
              <w:rPr>
                <w:rFonts w:hint="eastAsia" w:ascii="宋体" w:hAnsi="宋体" w:cs="宋体"/>
                <w:color w:val="000000"/>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1</w:t>
            </w:r>
            <w:r>
              <w:rPr>
                <w:rFonts w:hint="eastAsia" w:ascii="Times New Roman" w:hAnsi="Times New Roman" w:eastAsia="宋体" w:cs="Times New Roman"/>
                <w:color w:val="000000"/>
                <w:szCs w:val="21"/>
                <w:lang w:val="en-US" w:eastAsia="zh-CN"/>
              </w:rPr>
              <w:t>3</w:t>
            </w:r>
          </w:p>
        </w:tc>
        <w:tc>
          <w:tcPr>
            <w:tcW w:w="1781" w:type="dxa"/>
            <w:noWrap w:val="0"/>
            <w:vAlign w:val="center"/>
          </w:tcPr>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是否组织</w:t>
            </w:r>
          </w:p>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rPr>
            </w:pPr>
            <w:r>
              <w:rPr>
                <w:rFonts w:hint="eastAsia" w:ascii="宋体" w:hAnsi="宋体" w:eastAsia="宋体" w:cs="宋体"/>
                <w:color w:val="000000"/>
                <w:szCs w:val="21"/>
                <w:lang w:eastAsia="zh-CN"/>
              </w:rPr>
              <w:t>现场踏勘</w:t>
            </w:r>
          </w:p>
        </w:tc>
        <w:tc>
          <w:tcPr>
            <w:tcW w:w="603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textAlignment w:val="auto"/>
              <w:outlineLvl w:val="9"/>
              <w:rPr>
                <w:rFonts w:hint="eastAsia" w:ascii="宋体" w:hAnsi="宋体" w:cs="Times New Roman"/>
                <w:szCs w:val="21"/>
              </w:rPr>
            </w:pPr>
            <w:r>
              <w:rPr>
                <w:rFonts w:hint="eastAsia" w:ascii="宋体" w:hAnsi="宋体" w:cs="Times New Roman"/>
                <w:szCs w:val="21"/>
              </w:rPr>
              <w:fldChar w:fldCharType="begin"/>
            </w:r>
            <w:r>
              <w:rPr>
                <w:rFonts w:hint="eastAsia" w:ascii="宋体" w:hAnsi="宋体" w:cs="Times New Roman"/>
                <w:szCs w:val="21"/>
              </w:rPr>
              <w:instrText xml:space="preserve"> eq \o\ac(□,√)</w:instrText>
            </w:r>
            <w:r>
              <w:rPr>
                <w:rFonts w:hint="eastAsia" w:ascii="宋体" w:hAnsi="宋体" w:cs="Times New Roman"/>
                <w:szCs w:val="21"/>
              </w:rPr>
              <w:fldChar w:fldCharType="end"/>
            </w:r>
            <w:r>
              <w:rPr>
                <w:rFonts w:hint="eastAsia" w:ascii="宋体" w:hAnsi="宋体" w:cs="Times New Roman"/>
                <w:szCs w:val="21"/>
              </w:rPr>
              <w:t>不组织</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left="0" w:right="0"/>
              <w:jc w:val="both"/>
              <w:textAlignment w:val="auto"/>
              <w:outlineLvl w:val="9"/>
              <w:rPr>
                <w:rFonts w:hint="eastAsia" w:ascii="宋体" w:hAnsi="宋体" w:cs="宋体"/>
                <w:szCs w:val="21"/>
              </w:rPr>
            </w:pPr>
            <w:r>
              <w:rPr>
                <w:rFonts w:hint="eastAsia" w:ascii="宋体" w:hAnsi="宋体" w:cs="宋体"/>
                <w:szCs w:val="21"/>
              </w:rPr>
              <w:t>□</w:t>
            </w:r>
            <w:r>
              <w:rPr>
                <w:rFonts w:hint="eastAsia" w:ascii="宋体" w:hAnsi="宋体" w:cs="Times New Roman"/>
                <w:szCs w:val="21"/>
              </w:rPr>
              <w:t>组织</w:t>
            </w:r>
            <w:r>
              <w:rPr>
                <w:rFonts w:hint="eastAsia" w:ascii="宋体" w:hAnsi="宋体" w:cs="Times New Roman"/>
                <w:szCs w:val="21"/>
                <w:lang w:val="en-US" w:eastAsia="zh-CN"/>
              </w:rPr>
              <w:t xml:space="preserve"> </w:t>
            </w:r>
            <w:r>
              <w:rPr>
                <w:rFonts w:hint="eastAsia" w:ascii="宋体" w:hAnsi="宋体" w:cs="宋体"/>
                <w:b w:val="0"/>
                <w:bCs w:val="0"/>
                <w:color w:val="000000"/>
                <w:szCs w:val="21"/>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1</w:t>
            </w:r>
            <w:r>
              <w:rPr>
                <w:rFonts w:hint="eastAsia" w:ascii="Times New Roman" w:hAnsi="Times New Roman" w:eastAsia="宋体" w:cs="Times New Roman"/>
                <w:color w:val="000000"/>
                <w:szCs w:val="21"/>
                <w:lang w:val="en-US" w:eastAsia="zh-CN"/>
              </w:rPr>
              <w:t>4</w:t>
            </w:r>
          </w:p>
        </w:tc>
        <w:tc>
          <w:tcPr>
            <w:tcW w:w="1781" w:type="dxa"/>
            <w:noWrap w:val="0"/>
            <w:vAlign w:val="center"/>
          </w:tcPr>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是否组织</w:t>
            </w:r>
          </w:p>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lang w:val="en-US" w:eastAsia="zh-CN"/>
              </w:rPr>
              <w:t>标前答疑会</w:t>
            </w:r>
          </w:p>
        </w:tc>
        <w:tc>
          <w:tcPr>
            <w:tcW w:w="603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textAlignment w:val="auto"/>
              <w:outlineLvl w:val="9"/>
              <w:rPr>
                <w:rFonts w:hint="eastAsia" w:ascii="宋体" w:hAnsi="宋体" w:cs="Times New Roman"/>
                <w:szCs w:val="21"/>
              </w:rPr>
            </w:pPr>
            <w:r>
              <w:rPr>
                <w:rFonts w:hint="eastAsia" w:ascii="宋体" w:hAnsi="宋体" w:cs="Times New Roman"/>
                <w:szCs w:val="21"/>
              </w:rPr>
              <w:fldChar w:fldCharType="begin"/>
            </w:r>
            <w:r>
              <w:rPr>
                <w:rFonts w:hint="eastAsia" w:ascii="宋体" w:hAnsi="宋体" w:cs="Times New Roman"/>
                <w:szCs w:val="21"/>
              </w:rPr>
              <w:instrText xml:space="preserve"> eq \o\ac(□,√)</w:instrText>
            </w:r>
            <w:r>
              <w:rPr>
                <w:rFonts w:hint="eastAsia" w:ascii="宋体" w:hAnsi="宋体" w:cs="Times New Roman"/>
                <w:szCs w:val="21"/>
              </w:rPr>
              <w:fldChar w:fldCharType="end"/>
            </w:r>
            <w:r>
              <w:rPr>
                <w:rFonts w:hint="eastAsia" w:ascii="宋体" w:hAnsi="宋体" w:cs="Times New Roman"/>
                <w:szCs w:val="21"/>
              </w:rPr>
              <w:t>不组织</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textAlignment w:val="auto"/>
              <w:outlineLvl w:val="9"/>
              <w:rPr>
                <w:rFonts w:hint="eastAsia" w:ascii="宋体" w:hAnsi="宋体" w:cs="宋体"/>
                <w:szCs w:val="21"/>
              </w:rPr>
            </w:pPr>
            <w:r>
              <w:rPr>
                <w:rFonts w:hint="eastAsia" w:ascii="宋体" w:hAnsi="宋体" w:cs="宋体"/>
                <w:szCs w:val="21"/>
              </w:rPr>
              <w:t>□</w:t>
            </w:r>
            <w:r>
              <w:rPr>
                <w:rFonts w:hint="eastAsia" w:ascii="宋体" w:hAnsi="宋体" w:cs="Times New Roman"/>
                <w:szCs w:val="21"/>
              </w:rPr>
              <w:t>组织</w:t>
            </w:r>
            <w:r>
              <w:rPr>
                <w:rFonts w:hint="eastAsia" w:ascii="宋体" w:hAnsi="宋体" w:cs="Times New Roman"/>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15</w:t>
            </w:r>
          </w:p>
        </w:tc>
        <w:tc>
          <w:tcPr>
            <w:tcW w:w="1781" w:type="dxa"/>
            <w:noWrap w:val="0"/>
            <w:vAlign w:val="center"/>
          </w:tcPr>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lang w:val="en-US" w:eastAsia="zh-CN"/>
              </w:rPr>
            </w:pPr>
            <w:r>
              <w:rPr>
                <w:rFonts w:hint="eastAsia" w:ascii="宋体" w:hAnsi="宋体" w:cs="宋体"/>
                <w:color w:val="000000"/>
                <w:szCs w:val="21"/>
              </w:rPr>
              <w:t>是否提供样品</w:t>
            </w:r>
          </w:p>
        </w:tc>
        <w:tc>
          <w:tcPr>
            <w:tcW w:w="6036" w:type="dxa"/>
            <w:noWrap w:val="0"/>
            <w:vAlign w:val="center"/>
          </w:tcPr>
          <w:p>
            <w:pPr>
              <w:keepNext w:val="0"/>
              <w:keepLines w:val="0"/>
              <w:widowControl/>
              <w:suppressLineNumbers w:val="0"/>
              <w:spacing w:before="0" w:beforeAutospacing="0" w:after="0" w:afterAutospacing="0" w:line="360" w:lineRule="auto"/>
              <w:ind w:left="0" w:right="0"/>
              <w:rPr>
                <w:rFonts w:hint="eastAsia" w:ascii="Times New Roman" w:hAnsi="Times New Roman" w:cs="Times New Roman"/>
                <w:color w:val="000000"/>
                <w:szCs w:val="20"/>
              </w:rPr>
            </w:pPr>
            <w:r>
              <w:rPr>
                <w:rFonts w:hint="eastAsia" w:ascii="Times New Roman" w:hAnsi="Times New Roman" w:cs="Times New Roman"/>
                <w:color w:val="000000"/>
                <w:szCs w:val="20"/>
              </w:rPr>
              <w:fldChar w:fldCharType="begin"/>
            </w:r>
            <w:r>
              <w:rPr>
                <w:rFonts w:hint="eastAsia" w:ascii="Times New Roman" w:hAnsi="Times New Roman" w:cs="Times New Roman"/>
                <w:color w:val="000000"/>
                <w:szCs w:val="20"/>
              </w:rPr>
              <w:instrText xml:space="preserve"> eq \o\ac(□,√)</w:instrText>
            </w:r>
            <w:r>
              <w:rPr>
                <w:rFonts w:hint="eastAsia" w:ascii="Times New Roman" w:hAnsi="Times New Roman" w:cs="Times New Roman"/>
                <w:color w:val="000000"/>
                <w:szCs w:val="20"/>
              </w:rPr>
              <w:fldChar w:fldCharType="end"/>
            </w:r>
            <w:r>
              <w:rPr>
                <w:rFonts w:hint="eastAsia" w:ascii="Times New Roman" w:hAnsi="Times New Roman" w:cs="Times New Roman"/>
                <w:color w:val="000000"/>
                <w:szCs w:val="20"/>
              </w:rPr>
              <w:t>不需要</w:t>
            </w:r>
          </w:p>
          <w:p>
            <w:pPr>
              <w:keepNext w:val="0"/>
              <w:keepLines w:val="0"/>
              <w:widowControl/>
              <w:suppressLineNumbers w:val="0"/>
              <w:spacing w:before="0" w:beforeAutospacing="0" w:after="0" w:afterAutospacing="0" w:line="360" w:lineRule="auto"/>
              <w:ind w:left="0" w:right="0"/>
              <w:rPr>
                <w:rFonts w:hint="eastAsia" w:ascii="宋体" w:hAnsi="宋体" w:cs="宋体"/>
                <w:szCs w:val="21"/>
              </w:rPr>
            </w:pPr>
            <w:r>
              <w:rPr>
                <w:rFonts w:hint="eastAsia" w:ascii="Times New Roman" w:hAnsi="Times New Roman" w:cs="Times New Roman"/>
                <w:color w:val="000000"/>
                <w:szCs w:val="20"/>
              </w:rPr>
              <w:t xml:space="preserve">□需要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1</w:t>
            </w:r>
            <w:r>
              <w:rPr>
                <w:rFonts w:hint="eastAsia" w:ascii="Times New Roman" w:hAnsi="Times New Roman" w:eastAsia="宋体" w:cs="Times New Roman"/>
                <w:color w:val="000000"/>
                <w:szCs w:val="21"/>
                <w:lang w:val="en-US" w:eastAsia="zh-CN"/>
              </w:rPr>
              <w:t>6</w:t>
            </w:r>
          </w:p>
        </w:tc>
        <w:tc>
          <w:tcPr>
            <w:tcW w:w="1781" w:type="dxa"/>
            <w:noWrap w:val="0"/>
            <w:vAlign w:val="center"/>
          </w:tcPr>
          <w:p>
            <w:pPr>
              <w:keepNext w:val="0"/>
              <w:keepLines w:val="0"/>
              <w:widowControl/>
              <w:suppressLineNumbers w:val="0"/>
              <w:adjustRightInd w:val="0"/>
              <w:spacing w:before="0" w:beforeAutospacing="0" w:after="0" w:afterAutospacing="0"/>
              <w:ind w:left="0" w:right="0"/>
              <w:jc w:val="center"/>
              <w:rPr>
                <w:rFonts w:hint="eastAsia" w:ascii="宋体" w:hAnsi="宋体" w:cs="宋体"/>
                <w:color w:val="000000"/>
                <w:szCs w:val="21"/>
              </w:rPr>
            </w:pPr>
            <w:r>
              <w:rPr>
                <w:rFonts w:hint="eastAsia" w:ascii="宋体" w:hAnsi="宋体" w:eastAsia="宋体" w:cs="宋体"/>
                <w:color w:val="000000"/>
                <w:szCs w:val="21"/>
                <w:lang w:eastAsia="zh-CN"/>
              </w:rPr>
              <w:t>是否提供演示</w:t>
            </w:r>
          </w:p>
        </w:tc>
        <w:tc>
          <w:tcPr>
            <w:tcW w:w="6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不需要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宋体" w:hAnsi="宋体" w:cs="宋体"/>
                <w:color w:val="000000"/>
                <w:szCs w:val="21"/>
              </w:rPr>
            </w:pPr>
            <w:r>
              <w:rPr>
                <w:rFonts w:hint="eastAsia" w:ascii="宋体" w:hAnsi="宋体" w:cs="宋体"/>
                <w:szCs w:val="21"/>
              </w:rPr>
              <w:t xml:space="preserve">□需要 </w:t>
            </w:r>
            <w:r>
              <w:rPr>
                <w:rFonts w:hint="eastAsia" w:ascii="宋体" w:hAnsi="宋体" w:cs="宋体"/>
                <w:color w:val="000000"/>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1</w:t>
            </w:r>
            <w:r>
              <w:rPr>
                <w:rFonts w:hint="eastAsia" w:ascii="Times New Roman" w:hAnsi="Times New Roman" w:eastAsia="宋体" w:cs="Times New Roman"/>
                <w:color w:val="000000"/>
                <w:szCs w:val="21"/>
                <w:lang w:val="en-US" w:eastAsia="zh-CN"/>
              </w:rPr>
              <w:t>7</w:t>
            </w:r>
          </w:p>
        </w:tc>
        <w:tc>
          <w:tcPr>
            <w:tcW w:w="1781" w:type="dxa"/>
            <w:noWrap w:val="0"/>
            <w:vAlign w:val="center"/>
          </w:tcPr>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是否</w:t>
            </w:r>
            <w:r>
              <w:rPr>
                <w:rFonts w:hint="eastAsia" w:ascii="宋体" w:hAnsi="宋体" w:eastAsia="宋体" w:cs="宋体"/>
                <w:color w:val="000000"/>
                <w:szCs w:val="21"/>
                <w:lang w:val="en-US" w:eastAsia="zh-CN"/>
              </w:rPr>
              <w:t>需要</w:t>
            </w:r>
            <w:r>
              <w:rPr>
                <w:rFonts w:hint="eastAsia" w:ascii="宋体" w:hAnsi="宋体" w:eastAsia="宋体" w:cs="宋体"/>
                <w:color w:val="000000"/>
                <w:szCs w:val="21"/>
                <w:lang w:eastAsia="zh-CN"/>
              </w:rPr>
              <w:t>缴纳</w:t>
            </w:r>
          </w:p>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eastAsia="zh-CN"/>
              </w:rPr>
              <w:t>履约保证金</w:t>
            </w:r>
          </w:p>
        </w:tc>
        <w:tc>
          <w:tcPr>
            <w:tcW w:w="6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宋体" w:hAnsi="宋体" w:cs="宋体"/>
                <w:color w:val="000000"/>
                <w:szCs w:val="21"/>
              </w:rPr>
            </w:pPr>
            <w:r>
              <w:rPr>
                <w:rFonts w:hint="eastAsia" w:ascii="宋体" w:hAnsi="宋体" w:cs="宋体"/>
                <w:szCs w:val="20"/>
              </w:rPr>
              <w:fldChar w:fldCharType="begin"/>
            </w:r>
            <w:r>
              <w:rPr>
                <w:rFonts w:hint="eastAsia" w:ascii="宋体" w:hAnsi="宋体" w:cs="宋体"/>
                <w:szCs w:val="20"/>
              </w:rPr>
              <w:instrText xml:space="preserve"> eq \o\ac(□,√)</w:instrText>
            </w:r>
            <w:r>
              <w:rPr>
                <w:rFonts w:hint="eastAsia" w:ascii="宋体" w:hAnsi="宋体" w:cs="宋体"/>
                <w:szCs w:val="20"/>
              </w:rPr>
              <w:fldChar w:fldCharType="end"/>
            </w:r>
            <w:r>
              <w:rPr>
                <w:rFonts w:hint="eastAsia" w:ascii="宋体" w:hAnsi="宋体" w:cs="宋体"/>
                <w:color w:val="000000"/>
                <w:szCs w:val="21"/>
              </w:rPr>
              <w:t>不需要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宋体" w:hAnsi="宋体" w:cs="宋体"/>
                <w:color w:val="000000"/>
                <w:szCs w:val="21"/>
              </w:rPr>
            </w:pPr>
            <w:r>
              <w:rPr>
                <w:rFonts w:hint="eastAsia" w:ascii="宋体" w:hAnsi="宋体" w:cs="宋体"/>
                <w:szCs w:val="21"/>
              </w:rPr>
              <w:t>□</w:t>
            </w:r>
            <w:r>
              <w:rPr>
                <w:rFonts w:hint="eastAsia" w:ascii="宋体" w:hAnsi="宋体" w:cs="宋体"/>
                <w:color w:val="000000"/>
                <w:szCs w:val="21"/>
              </w:rPr>
              <w:t>需要</w:t>
            </w:r>
            <w:r>
              <w:rPr>
                <w:rFonts w:hint="eastAsia" w:ascii="宋体" w:hAnsi="宋体" w:cs="宋体"/>
                <w:color w:val="000000"/>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705" w:type="dxa"/>
            <w:noWrap w:val="0"/>
            <w:vAlign w:val="center"/>
          </w:tcPr>
          <w:p>
            <w:pPr>
              <w:keepNext w:val="0"/>
              <w:keepLines w:val="0"/>
              <w:pageBreakBefore w:val="0"/>
              <w:widowControl/>
              <w:suppressLineNumbers w:val="0"/>
              <w:kinsoku/>
              <w:wordWrap/>
              <w:overflowPunct/>
              <w:topLinePunct w:val="0"/>
              <w:autoSpaceDE/>
              <w:autoSpaceDN/>
              <w:bidi w:val="0"/>
              <w:adjustRightInd w:val="0"/>
              <w:spacing w:before="0" w:beforeAutospacing="0" w:after="0" w:afterAutospacing="0" w:line="360" w:lineRule="auto"/>
              <w:ind w:left="0" w:right="0"/>
              <w:jc w:val="center"/>
              <w:textAlignment w:val="auto"/>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w:t>
            </w:r>
            <w:r>
              <w:rPr>
                <w:rFonts w:hint="eastAsia" w:ascii="Times New Roman" w:hAnsi="Times New Roman" w:cs="Times New Roman"/>
                <w:color w:val="auto"/>
                <w:szCs w:val="21"/>
                <w:lang w:val="en-US" w:eastAsia="zh-CN"/>
              </w:rPr>
              <w:t>8</w:t>
            </w:r>
          </w:p>
        </w:tc>
        <w:tc>
          <w:tcPr>
            <w:tcW w:w="1781" w:type="dxa"/>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color w:val="auto"/>
                <w:szCs w:val="22"/>
              </w:rPr>
            </w:pPr>
            <w:r>
              <w:rPr>
                <w:rFonts w:hint="eastAsia" w:ascii="Times New Roman" w:hAnsi="Times New Roman" w:cs="Times New Roman"/>
                <w:color w:val="auto"/>
                <w:szCs w:val="22"/>
              </w:rPr>
              <w:t>评标</w:t>
            </w:r>
            <w:r>
              <w:rPr>
                <w:rFonts w:hint="eastAsia" w:ascii="Times New Roman" w:hAnsi="Times New Roman" w:cs="Times New Roman"/>
                <w:color w:val="auto"/>
                <w:szCs w:val="22"/>
                <w:lang w:eastAsia="zh-CN"/>
              </w:rPr>
              <w:t>方</w:t>
            </w:r>
            <w:r>
              <w:rPr>
                <w:rFonts w:hint="eastAsia" w:ascii="Times New Roman" w:hAnsi="Times New Roman" w:cs="Times New Roman"/>
                <w:color w:val="auto"/>
                <w:szCs w:val="22"/>
              </w:rPr>
              <w:t>法</w:t>
            </w:r>
          </w:p>
        </w:tc>
        <w:tc>
          <w:tcPr>
            <w:tcW w:w="6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Times New Roman" w:hAnsi="Times New Roman" w:eastAsia="宋体" w:cs="Times New Roman"/>
                <w:color w:val="auto"/>
                <w:szCs w:val="22"/>
                <w:lang w:val="en-US" w:eastAsia="zh-CN"/>
              </w:rPr>
            </w:pPr>
            <w:r>
              <w:rPr>
                <w:rFonts w:hint="eastAsia" w:ascii="宋体" w:hAnsi="宋体" w:cs="宋体"/>
                <w:szCs w:val="20"/>
              </w:rPr>
              <w:fldChar w:fldCharType="begin"/>
            </w:r>
            <w:r>
              <w:rPr>
                <w:rFonts w:hint="eastAsia" w:ascii="宋体" w:hAnsi="宋体" w:cs="宋体"/>
                <w:szCs w:val="20"/>
              </w:rPr>
              <w:instrText xml:space="preserve"> eq \o\ac(□,√)</w:instrText>
            </w:r>
            <w:r>
              <w:rPr>
                <w:rFonts w:hint="eastAsia" w:ascii="宋体" w:hAnsi="宋体" w:cs="宋体"/>
                <w:szCs w:val="20"/>
              </w:rPr>
              <w:fldChar w:fldCharType="end"/>
            </w:r>
            <w:r>
              <w:rPr>
                <w:rFonts w:hint="eastAsia" w:ascii="Times New Roman" w:hAnsi="Times New Roman" w:cs="Times New Roman"/>
                <w:color w:val="auto"/>
                <w:szCs w:val="22"/>
              </w:rPr>
              <w:t>综合评分法</w:t>
            </w:r>
            <w:r>
              <w:rPr>
                <w:rFonts w:hint="eastAsia" w:ascii="Times New Roman" w:hAnsi="Times New Roman" w:cs="Times New Roman"/>
                <w:color w:val="auto"/>
                <w:szCs w:val="22"/>
                <w:lang w:val="en-US" w:eastAsia="zh-CN"/>
              </w:rPr>
              <w:t xml:space="preserve">  </w:t>
            </w:r>
            <w:r>
              <w:rPr>
                <w:rFonts w:hint="eastAsia" w:ascii="宋体" w:hAnsi="宋体" w:cs="宋体"/>
                <w:color w:val="auto"/>
                <w:szCs w:val="21"/>
              </w:rPr>
              <w:t>□</w:t>
            </w:r>
            <w:r>
              <w:rPr>
                <w:rFonts w:hint="eastAsia" w:ascii="宋体" w:hAnsi="宋体" w:cs="宋体"/>
                <w:color w:val="auto"/>
                <w:szCs w:val="21"/>
                <w:lang w:eastAsia="zh-CN"/>
              </w:rPr>
              <w:t>最低评标价法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1</w:t>
            </w:r>
            <w:r>
              <w:rPr>
                <w:rFonts w:hint="eastAsia" w:ascii="Times New Roman" w:hAnsi="Times New Roman" w:eastAsia="宋体" w:cs="Times New Roman"/>
                <w:color w:val="000000"/>
                <w:szCs w:val="21"/>
                <w:lang w:val="en-US" w:eastAsia="zh-CN"/>
              </w:rPr>
              <w:t>9</w:t>
            </w:r>
          </w:p>
        </w:tc>
        <w:tc>
          <w:tcPr>
            <w:tcW w:w="1781" w:type="dxa"/>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Cs w:val="22"/>
                <w:lang w:val="en-US" w:eastAsia="zh-CN"/>
              </w:rPr>
            </w:pPr>
            <w:r>
              <w:rPr>
                <w:rFonts w:hint="eastAsia" w:ascii="Times New Roman" w:hAnsi="Times New Roman" w:cs="Times New Roman"/>
                <w:szCs w:val="22"/>
              </w:rPr>
              <w:t>投标有效期</w:t>
            </w:r>
          </w:p>
        </w:tc>
        <w:tc>
          <w:tcPr>
            <w:tcW w:w="6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Times New Roman" w:hAnsi="Times New Roman" w:eastAsia="宋体" w:cs="Times New Roman"/>
                <w:szCs w:val="22"/>
                <w:lang w:val="en-US" w:eastAsia="zh-CN"/>
              </w:rPr>
            </w:pPr>
            <w:r>
              <w:rPr>
                <w:rFonts w:hint="eastAsia" w:ascii="宋体" w:hAnsi="宋体" w:cs="宋体"/>
                <w:szCs w:val="21"/>
              </w:rPr>
              <w:t>提交投标文件截止</w:t>
            </w:r>
            <w:r>
              <w:rPr>
                <w:rFonts w:hint="eastAsia" w:ascii="宋体" w:hAnsi="宋体" w:cs="宋体"/>
                <w:szCs w:val="21"/>
                <w:lang w:eastAsia="zh-CN"/>
              </w:rPr>
              <w:t>之</w:t>
            </w:r>
            <w:r>
              <w:rPr>
                <w:rFonts w:hint="eastAsia" w:ascii="宋体" w:hAnsi="宋体" w:cs="宋体"/>
                <w:szCs w:val="21"/>
              </w:rPr>
              <w:t>日起</w:t>
            </w:r>
            <w:r>
              <w:rPr>
                <w:rFonts w:hint="default" w:ascii="Arial" w:hAnsi="Arial" w:cs="Arial"/>
                <w:szCs w:val="21"/>
              </w:rPr>
              <w:t>90</w:t>
            </w:r>
            <w:r>
              <w:rPr>
                <w:rFonts w:hint="eastAsia" w:ascii="宋体" w:hAnsi="宋体" w:cs="宋体"/>
                <w:szCs w:val="21"/>
              </w:rPr>
              <w:t>天内</w:t>
            </w:r>
            <w:r>
              <w:rPr>
                <w:rFonts w:hint="eastAsia" w:ascii="宋体" w:hAnsi="宋体" w:cs="宋体"/>
                <w:szCs w:val="21"/>
                <w:lang w:eastAsia="zh-CN"/>
              </w:rPr>
              <w:t>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02" w:hRule="atLeast"/>
          <w:jc w:val="center"/>
        </w:trPr>
        <w:tc>
          <w:tcPr>
            <w:tcW w:w="705" w:type="dxa"/>
            <w:noWrap w:val="0"/>
            <w:vAlign w:val="center"/>
          </w:tcPr>
          <w:p>
            <w:pPr>
              <w:keepNext w:val="0"/>
              <w:keepLines w:val="0"/>
              <w:pageBreakBefore w:val="0"/>
              <w:widowControl/>
              <w:suppressLineNumbers w:val="0"/>
              <w:kinsoku/>
              <w:wordWrap/>
              <w:overflowPunct/>
              <w:topLinePunct w:val="0"/>
              <w:autoSpaceDE/>
              <w:autoSpaceDN/>
              <w:bidi w:val="0"/>
              <w:adjustRightInd w:val="0"/>
              <w:spacing w:before="0" w:beforeAutospacing="0" w:after="0" w:afterAutospacing="0" w:line="360" w:lineRule="auto"/>
              <w:ind w:left="0" w:right="0"/>
              <w:jc w:val="center"/>
              <w:textAlignment w:val="auto"/>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20</w:t>
            </w:r>
          </w:p>
        </w:tc>
        <w:tc>
          <w:tcPr>
            <w:tcW w:w="1781" w:type="dxa"/>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color w:val="auto"/>
                <w:szCs w:val="22"/>
                <w:lang w:val="en-US" w:eastAsia="zh-CN"/>
              </w:rPr>
            </w:pPr>
            <w:r>
              <w:rPr>
                <w:rFonts w:hint="eastAsia" w:ascii="Times New Roman" w:hAnsi="Times New Roman" w:cs="Times New Roman"/>
                <w:color w:val="auto"/>
                <w:szCs w:val="22"/>
                <w:lang w:val="en-US" w:eastAsia="zh-CN"/>
              </w:rPr>
              <w:t xml:space="preserve"> 获取招标文件</w:t>
            </w:r>
          </w:p>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color w:val="auto"/>
                <w:szCs w:val="22"/>
                <w:lang w:val="en-US" w:eastAsia="zh-CN"/>
              </w:rPr>
            </w:pPr>
            <w:r>
              <w:rPr>
                <w:rFonts w:hint="eastAsia" w:ascii="Times New Roman" w:hAnsi="Times New Roman" w:cs="Times New Roman"/>
                <w:color w:val="auto"/>
                <w:szCs w:val="22"/>
                <w:lang w:val="en-US" w:eastAsia="zh-CN"/>
              </w:rPr>
              <w:t>时间</w:t>
            </w:r>
          </w:p>
        </w:tc>
        <w:tc>
          <w:tcPr>
            <w:tcW w:w="6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Times New Roman" w:hAnsi="Times New Roman" w:cs="Times New Roman"/>
                <w:color w:val="auto"/>
                <w:szCs w:val="22"/>
                <w:u w:val="none"/>
              </w:rPr>
            </w:pPr>
            <w:r>
              <w:rPr>
                <w:rFonts w:hint="default" w:ascii="Arial" w:hAnsi="Arial" w:cs="Arial"/>
                <w:szCs w:val="21"/>
                <w:u w:val="none"/>
                <w:lang w:val="en-US" w:eastAsia="zh-CN"/>
              </w:rPr>
              <w:t>2023</w:t>
            </w:r>
            <w:r>
              <w:rPr>
                <w:rFonts w:hint="eastAsia" w:ascii="宋体" w:hAnsi="宋体" w:cs="宋体"/>
                <w:szCs w:val="21"/>
                <w:u w:val="none"/>
              </w:rPr>
              <w:t>年</w:t>
            </w:r>
            <w:r>
              <w:rPr>
                <w:rFonts w:hint="eastAsia" w:ascii="Arial" w:hAnsi="Arial" w:cs="Arial"/>
                <w:szCs w:val="21"/>
                <w:u w:val="none"/>
                <w:lang w:val="en-US" w:eastAsia="zh-CN"/>
              </w:rPr>
              <w:t>7</w:t>
            </w:r>
            <w:r>
              <w:rPr>
                <w:rFonts w:hint="eastAsia" w:ascii="宋体" w:hAnsi="宋体" w:cs="宋体"/>
                <w:szCs w:val="21"/>
                <w:u w:val="none"/>
              </w:rPr>
              <w:t>月</w:t>
            </w:r>
            <w:r>
              <w:rPr>
                <w:rFonts w:hint="eastAsia" w:ascii="Arial" w:hAnsi="Arial" w:cs="Arial"/>
                <w:szCs w:val="21"/>
                <w:u w:val="none"/>
                <w:lang w:val="en-US" w:eastAsia="zh-CN"/>
              </w:rPr>
              <w:t>24</w:t>
            </w:r>
            <w:r>
              <w:rPr>
                <w:rFonts w:hint="eastAsia" w:ascii="宋体" w:hAnsi="宋体" w:cs="宋体"/>
                <w:szCs w:val="21"/>
                <w:u w:val="none"/>
              </w:rPr>
              <w:t>日至</w:t>
            </w:r>
            <w:r>
              <w:rPr>
                <w:rFonts w:hint="eastAsia" w:ascii="宋体" w:hAnsi="宋体" w:cs="宋体"/>
                <w:szCs w:val="21"/>
                <w:u w:val="none"/>
                <w:lang w:val="en-US" w:eastAsia="zh-CN"/>
              </w:rPr>
              <w:t>提交投标文件</w:t>
            </w:r>
            <w:r>
              <w:rPr>
                <w:rFonts w:hint="eastAsia" w:ascii="宋体" w:hAnsi="宋体" w:cs="宋体"/>
                <w:szCs w:val="21"/>
                <w:u w:val="none"/>
              </w:rPr>
              <w:t>截止时间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02" w:hRule="atLeast"/>
          <w:jc w:val="center"/>
        </w:trPr>
        <w:tc>
          <w:tcPr>
            <w:tcW w:w="705" w:type="dxa"/>
            <w:noWrap w:val="0"/>
            <w:vAlign w:val="center"/>
          </w:tcPr>
          <w:p>
            <w:pPr>
              <w:keepNext w:val="0"/>
              <w:keepLines w:val="0"/>
              <w:pageBreakBefore w:val="0"/>
              <w:widowControl/>
              <w:suppressLineNumbers w:val="0"/>
              <w:kinsoku/>
              <w:wordWrap/>
              <w:overflowPunct/>
              <w:topLinePunct w:val="0"/>
              <w:autoSpaceDE/>
              <w:autoSpaceDN/>
              <w:bidi w:val="0"/>
              <w:adjustRightInd w:val="0"/>
              <w:spacing w:before="0" w:beforeAutospacing="0" w:after="0" w:afterAutospacing="0" w:line="360" w:lineRule="auto"/>
              <w:ind w:left="0" w:right="0"/>
              <w:jc w:val="center"/>
              <w:textAlignment w:val="auto"/>
              <w:rPr>
                <w:rFonts w:hint="default" w:ascii="Times New Roman" w:hAnsi="Times New Roman" w:cs="Times New Roman"/>
                <w:color w:val="FF0000"/>
                <w:szCs w:val="21"/>
                <w:highlight w:val="none"/>
                <w:lang w:val="en-US" w:eastAsia="zh-CN"/>
              </w:rPr>
            </w:pPr>
            <w:r>
              <w:rPr>
                <w:rFonts w:hint="eastAsia" w:ascii="Times New Roman" w:hAnsi="Times New Roman" w:cs="Times New Roman"/>
                <w:color w:val="auto"/>
                <w:szCs w:val="21"/>
                <w:highlight w:val="none"/>
                <w:lang w:val="en-US" w:eastAsia="zh-CN"/>
              </w:rPr>
              <w:t>21</w:t>
            </w:r>
          </w:p>
        </w:tc>
        <w:tc>
          <w:tcPr>
            <w:tcW w:w="1781" w:type="dxa"/>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color w:val="auto"/>
                <w:szCs w:val="22"/>
                <w:lang w:eastAsia="zh-CN"/>
              </w:rPr>
            </w:pPr>
            <w:r>
              <w:rPr>
                <w:rFonts w:hint="eastAsia" w:ascii="Times New Roman" w:hAnsi="Times New Roman" w:cs="Times New Roman"/>
                <w:color w:val="auto"/>
                <w:szCs w:val="22"/>
                <w:lang w:eastAsia="zh-CN"/>
              </w:rPr>
              <w:t>提交投标文件</w:t>
            </w:r>
          </w:p>
          <w:p>
            <w:pPr>
              <w:keepNext w:val="0"/>
              <w:keepLines w:val="0"/>
              <w:widowControl/>
              <w:suppressLineNumbers w:val="0"/>
              <w:spacing w:before="0" w:beforeAutospacing="0" w:after="0" w:afterAutospacing="0"/>
              <w:ind w:left="0" w:right="0"/>
              <w:jc w:val="center"/>
              <w:rPr>
                <w:rFonts w:hint="eastAsia" w:ascii="Times New Roman" w:hAnsi="Times New Roman" w:cs="Times New Roman"/>
                <w:color w:val="auto"/>
                <w:szCs w:val="22"/>
                <w:lang w:eastAsia="zh-CN"/>
              </w:rPr>
            </w:pPr>
            <w:r>
              <w:rPr>
                <w:rFonts w:hint="eastAsia" w:ascii="Times New Roman" w:hAnsi="Times New Roman" w:cs="Times New Roman"/>
                <w:color w:val="auto"/>
                <w:szCs w:val="22"/>
                <w:lang w:eastAsia="zh-CN"/>
              </w:rPr>
              <w:t>截止时间及</w:t>
            </w:r>
          </w:p>
          <w:p>
            <w:pPr>
              <w:keepNext w:val="0"/>
              <w:keepLines w:val="0"/>
              <w:widowControl/>
              <w:suppressLineNumbers w:val="0"/>
              <w:spacing w:before="0" w:beforeAutospacing="0" w:after="0" w:afterAutospacing="0"/>
              <w:ind w:left="0" w:right="0"/>
              <w:jc w:val="center"/>
              <w:rPr>
                <w:rFonts w:hint="eastAsia" w:ascii="Times New Roman" w:hAnsi="Times New Roman" w:cs="Times New Roman"/>
                <w:color w:val="auto"/>
                <w:szCs w:val="22"/>
              </w:rPr>
            </w:pPr>
            <w:r>
              <w:rPr>
                <w:rFonts w:hint="eastAsia" w:ascii="Times New Roman" w:hAnsi="Times New Roman" w:cs="Times New Roman"/>
                <w:color w:val="auto"/>
                <w:szCs w:val="22"/>
              </w:rPr>
              <w:t>开标时间</w:t>
            </w:r>
          </w:p>
        </w:tc>
        <w:tc>
          <w:tcPr>
            <w:tcW w:w="6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Times New Roman" w:hAnsi="Times New Roman" w:cs="Times New Roman"/>
                <w:color w:val="auto"/>
                <w:szCs w:val="22"/>
                <w:u w:val="none"/>
              </w:rPr>
            </w:pPr>
            <w:r>
              <w:rPr>
                <w:rFonts w:hint="default" w:ascii="Arial" w:hAnsi="Arial" w:cs="Arial"/>
                <w:color w:val="auto"/>
                <w:szCs w:val="22"/>
                <w:u w:val="none"/>
                <w:lang w:val="en-US" w:eastAsia="zh-CN"/>
              </w:rPr>
              <w:t>2023</w:t>
            </w:r>
            <w:r>
              <w:rPr>
                <w:rFonts w:hint="eastAsia" w:ascii="Times New Roman" w:hAnsi="Times New Roman" w:cs="Times New Roman"/>
                <w:color w:val="auto"/>
                <w:szCs w:val="22"/>
                <w:u w:val="none"/>
              </w:rPr>
              <w:t>年</w:t>
            </w:r>
            <w:r>
              <w:rPr>
                <w:rFonts w:hint="eastAsia" w:ascii="Arial" w:hAnsi="Arial" w:cs="Arial"/>
                <w:color w:val="auto"/>
                <w:szCs w:val="22"/>
                <w:u w:val="none"/>
                <w:lang w:val="en-US" w:eastAsia="zh-CN"/>
              </w:rPr>
              <w:t>8</w:t>
            </w:r>
            <w:r>
              <w:rPr>
                <w:rFonts w:hint="eastAsia" w:ascii="Times New Roman" w:hAnsi="Times New Roman" w:cs="Times New Roman"/>
                <w:color w:val="auto"/>
                <w:szCs w:val="22"/>
                <w:u w:val="none"/>
              </w:rPr>
              <w:t>月</w:t>
            </w:r>
            <w:r>
              <w:rPr>
                <w:rFonts w:hint="eastAsia" w:ascii="Arial" w:hAnsi="Arial" w:cs="Arial"/>
                <w:color w:val="auto"/>
                <w:szCs w:val="22"/>
                <w:u w:val="none"/>
                <w:lang w:val="en-US" w:eastAsia="zh-CN"/>
              </w:rPr>
              <w:t>14</w:t>
            </w:r>
            <w:r>
              <w:rPr>
                <w:rFonts w:hint="eastAsia" w:ascii="Times New Roman" w:hAnsi="Times New Roman" w:cs="Times New Roman"/>
                <w:color w:val="auto"/>
                <w:szCs w:val="22"/>
                <w:u w:val="none"/>
              </w:rPr>
              <w:t>日</w:t>
            </w:r>
            <w:r>
              <w:rPr>
                <w:rFonts w:hint="default" w:ascii="Arial" w:hAnsi="Arial" w:cs="Arial"/>
                <w:color w:val="auto"/>
                <w:szCs w:val="22"/>
                <w:u w:val="none"/>
                <w:lang w:val="en-US" w:eastAsia="zh-CN"/>
              </w:rPr>
              <w:t>9</w:t>
            </w:r>
            <w:r>
              <w:rPr>
                <w:rFonts w:hint="eastAsia" w:ascii="Times New Roman" w:hAnsi="Times New Roman" w:cs="Times New Roman"/>
                <w:color w:val="auto"/>
                <w:szCs w:val="22"/>
                <w:u w:val="none"/>
                <w:lang w:val="en-US" w:eastAsia="zh-CN"/>
              </w:rPr>
              <w:t>时</w:t>
            </w:r>
            <w:r>
              <w:rPr>
                <w:rFonts w:hint="default" w:ascii="Arial" w:hAnsi="Arial" w:cs="Arial"/>
                <w:color w:val="auto"/>
                <w:szCs w:val="22"/>
                <w:u w:val="none"/>
                <w:lang w:val="en-US" w:eastAsia="zh-CN"/>
              </w:rPr>
              <w:t>00</w:t>
            </w:r>
            <w:r>
              <w:rPr>
                <w:rFonts w:hint="eastAsia" w:ascii="Times New Roman" w:hAnsi="Times New Roman" w:cs="Times New Roman"/>
                <w:color w:val="auto"/>
                <w:szCs w:val="22"/>
                <w:u w:val="none"/>
                <w:lang w:val="en-US" w:eastAsia="zh-CN"/>
              </w:rPr>
              <w:t xml:space="preserve">分（北京时间）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02" w:hRule="atLeast"/>
          <w:jc w:val="center"/>
        </w:trPr>
        <w:tc>
          <w:tcPr>
            <w:tcW w:w="705" w:type="dxa"/>
            <w:noWrap w:val="0"/>
            <w:vAlign w:val="center"/>
          </w:tcPr>
          <w:p>
            <w:pPr>
              <w:keepNext w:val="0"/>
              <w:keepLines w:val="0"/>
              <w:pageBreakBefore w:val="0"/>
              <w:widowControl/>
              <w:suppressLineNumbers w:val="0"/>
              <w:kinsoku/>
              <w:wordWrap/>
              <w:overflowPunct/>
              <w:topLinePunct w:val="0"/>
              <w:autoSpaceDE/>
              <w:autoSpaceDN/>
              <w:bidi w:val="0"/>
              <w:adjustRightInd w:val="0"/>
              <w:spacing w:before="0" w:beforeAutospacing="0" w:after="0" w:afterAutospacing="0" w:line="360" w:lineRule="auto"/>
              <w:ind w:left="0" w:right="0"/>
              <w:jc w:val="center"/>
              <w:textAlignment w:val="auto"/>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2</w:t>
            </w:r>
            <w:r>
              <w:rPr>
                <w:rFonts w:hint="eastAsia" w:ascii="Times New Roman" w:hAnsi="Times New Roman" w:cs="Times New Roman"/>
                <w:color w:val="000000"/>
                <w:szCs w:val="21"/>
                <w:highlight w:val="none"/>
                <w:lang w:val="en-US" w:eastAsia="zh-CN"/>
              </w:rPr>
              <w:t>2</w:t>
            </w:r>
          </w:p>
        </w:tc>
        <w:tc>
          <w:tcPr>
            <w:tcW w:w="1781" w:type="dxa"/>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Cs w:val="22"/>
              </w:rPr>
            </w:pPr>
            <w:r>
              <w:rPr>
                <w:rFonts w:hint="eastAsia" w:ascii="Times New Roman" w:hAnsi="Times New Roman" w:cs="Times New Roman"/>
                <w:szCs w:val="22"/>
              </w:rPr>
              <w:t>公告发布媒体</w:t>
            </w:r>
          </w:p>
        </w:tc>
        <w:tc>
          <w:tcPr>
            <w:tcW w:w="6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default" w:ascii="Times New Roman" w:hAnsi="Times New Roman" w:eastAsia="宋体" w:cs="Times New Roman"/>
                <w:szCs w:val="22"/>
                <w:lang w:val="en-US" w:eastAsia="zh-CN"/>
              </w:rPr>
            </w:pPr>
            <w:r>
              <w:rPr>
                <w:rFonts w:hint="eastAsia" w:ascii="Times New Roman" w:hAnsi="Times New Roman" w:cs="Times New Roman"/>
                <w:szCs w:val="22"/>
              </w:rPr>
              <w:t>浙江政府采购网</w:t>
            </w:r>
            <w:r>
              <w:rPr>
                <w:rFonts w:hint="eastAsia" w:ascii="Times New Roman" w:hAnsi="Times New Roman" w:cs="Times New Roman"/>
                <w:szCs w:val="22"/>
                <w:lang w:eastAsia="zh-CN"/>
              </w:rPr>
              <w:t>、瑞安市人民政府</w:t>
            </w:r>
            <w:r>
              <w:rPr>
                <w:rFonts w:hint="eastAsia" w:ascii="Times New Roman" w:hAnsi="Times New Roman" w:cs="Times New Roman"/>
                <w:szCs w:val="22"/>
                <w:lang w:val="en-US" w:eastAsia="zh-CN"/>
              </w:rPr>
              <w:t>-公共资源交易网。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02" w:hRule="atLeast"/>
          <w:jc w:val="center"/>
        </w:trPr>
        <w:tc>
          <w:tcPr>
            <w:tcW w:w="70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2</w:t>
            </w:r>
            <w:r>
              <w:rPr>
                <w:rFonts w:hint="eastAsia" w:ascii="Times New Roman" w:hAnsi="Times New Roman" w:eastAsia="宋体" w:cs="Times New Roman"/>
                <w:color w:val="000000"/>
                <w:szCs w:val="21"/>
                <w:lang w:val="en-US" w:eastAsia="zh-CN"/>
              </w:rPr>
              <w:t>3</w:t>
            </w:r>
          </w:p>
        </w:tc>
        <w:tc>
          <w:tcPr>
            <w:tcW w:w="1781" w:type="dxa"/>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szCs w:val="22"/>
              </w:rPr>
            </w:pPr>
            <w:r>
              <w:rPr>
                <w:rFonts w:hint="eastAsia" w:ascii="Times New Roman" w:hAnsi="Times New Roman" w:cs="Times New Roman"/>
                <w:szCs w:val="22"/>
              </w:rPr>
              <w:t>解释权</w:t>
            </w:r>
          </w:p>
        </w:tc>
        <w:tc>
          <w:tcPr>
            <w:tcW w:w="60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rPr>
                <w:rFonts w:hint="eastAsia" w:ascii="Times New Roman" w:hAnsi="Times New Roman" w:eastAsia="宋体" w:cs="Times New Roman"/>
                <w:szCs w:val="22"/>
                <w:lang w:eastAsia="zh-CN"/>
              </w:rPr>
            </w:pPr>
            <w:r>
              <w:rPr>
                <w:rFonts w:hint="eastAsia" w:ascii="Times New Roman" w:hAnsi="Times New Roman" w:cs="Times New Roman"/>
                <w:szCs w:val="22"/>
              </w:rPr>
              <w:t>本招标文件的解释权属于</w:t>
            </w:r>
            <w:r>
              <w:rPr>
                <w:rFonts w:hint="eastAsia" w:ascii="Times New Roman" w:hAnsi="Times New Roman" w:cs="Times New Roman"/>
                <w:szCs w:val="22"/>
                <w:lang w:eastAsia="zh-CN"/>
              </w:rPr>
              <w:t>招标采购</w:t>
            </w:r>
            <w:r>
              <w:rPr>
                <w:rFonts w:hint="eastAsia" w:ascii="Times New Roman" w:hAnsi="Times New Roman" w:cs="Times New Roman"/>
                <w:szCs w:val="22"/>
              </w:rPr>
              <w:t>单位</w:t>
            </w:r>
            <w:r>
              <w:rPr>
                <w:rFonts w:hint="eastAsia" w:ascii="Times New Roman" w:hAnsi="Times New Roman" w:cs="Times New Roman"/>
                <w:szCs w:val="22"/>
                <w:lang w:eastAsia="zh-CN"/>
              </w:rPr>
              <w:t>。</w:t>
            </w:r>
          </w:p>
        </w:tc>
      </w:tr>
    </w:tbl>
    <w:p>
      <w:pPr>
        <w:pStyle w:val="3"/>
        <w:numPr>
          <w:ilvl w:val="0"/>
          <w:numId w:val="0"/>
        </w:numPr>
        <w:spacing w:before="156" w:beforeLines="50" w:after="156" w:afterLines="50" w:line="360" w:lineRule="auto"/>
        <w:jc w:val="center"/>
        <w:outlineLvl w:val="0"/>
        <w:rPr>
          <w:rFonts w:hint="eastAsia" w:ascii="宋体" w:hAnsi="Times New Roman"/>
          <w:b/>
          <w:bCs w:val="0"/>
          <w:kern w:val="44"/>
          <w:sz w:val="28"/>
          <w:szCs w:val="28"/>
          <w:lang w:val="en-US" w:eastAsia="zh-CN" w:bidi="ar-SA"/>
        </w:rPr>
      </w:pPr>
      <w:r>
        <w:br w:type="page"/>
      </w:r>
      <w:bookmarkStart w:id="242" w:name="_Toc20968"/>
      <w:bookmarkStart w:id="243" w:name="_Toc1722"/>
      <w:bookmarkStart w:id="244" w:name="_Toc29221"/>
      <w:bookmarkStart w:id="245" w:name="_Toc13009"/>
      <w:bookmarkStart w:id="246" w:name="_Toc18103"/>
      <w:bookmarkStart w:id="247" w:name="_Toc18892"/>
      <w:bookmarkStart w:id="248" w:name="_Toc24134"/>
      <w:bookmarkStart w:id="249" w:name="_Toc32029"/>
      <w:bookmarkStart w:id="250" w:name="_Toc28963"/>
      <w:bookmarkStart w:id="251" w:name="_Toc32230"/>
      <w:bookmarkStart w:id="252" w:name="_Toc29431"/>
      <w:bookmarkStart w:id="253" w:name="_Toc12181"/>
      <w:bookmarkStart w:id="254" w:name="_Toc31557"/>
      <w:bookmarkStart w:id="255" w:name="_Toc28713"/>
      <w:bookmarkStart w:id="256" w:name="_Toc13681"/>
      <w:bookmarkStart w:id="257" w:name="_Toc17124"/>
      <w:bookmarkStart w:id="258" w:name="_Toc19661"/>
      <w:bookmarkStart w:id="259" w:name="_Toc32490"/>
      <w:bookmarkStart w:id="260" w:name="_Toc6447"/>
      <w:bookmarkStart w:id="261" w:name="_Toc23130"/>
      <w:bookmarkStart w:id="262" w:name="_Toc14295"/>
      <w:bookmarkStart w:id="263" w:name="_Toc14563"/>
      <w:bookmarkStart w:id="264" w:name="_Toc30489"/>
      <w:bookmarkStart w:id="265" w:name="_Toc146"/>
      <w:bookmarkStart w:id="266" w:name="_Toc21162"/>
      <w:bookmarkStart w:id="267" w:name="_Toc21646"/>
      <w:bookmarkStart w:id="268" w:name="_Toc22119"/>
      <w:bookmarkStart w:id="269" w:name="_Toc860"/>
      <w:bookmarkStart w:id="270" w:name="_Toc31577"/>
      <w:bookmarkStart w:id="271" w:name="_Toc23267"/>
      <w:bookmarkStart w:id="272" w:name="_Toc30014"/>
      <w:bookmarkStart w:id="273" w:name="_Toc32235"/>
      <w:bookmarkStart w:id="274" w:name="_Toc28710"/>
      <w:bookmarkStart w:id="275" w:name="_Toc4643"/>
      <w:bookmarkStart w:id="276" w:name="_Toc3658"/>
      <w:bookmarkStart w:id="277" w:name="_Toc6565"/>
      <w:bookmarkStart w:id="278" w:name="_Toc27333"/>
      <w:bookmarkStart w:id="279" w:name="_Toc24477"/>
      <w:bookmarkStart w:id="280" w:name="_Toc9026"/>
      <w:bookmarkStart w:id="281" w:name="_Toc20010"/>
      <w:r>
        <w:rPr>
          <w:rFonts w:hint="eastAsia" w:ascii="宋体" w:hAnsi="Times New Roman"/>
          <w:b/>
          <w:bCs w:val="0"/>
          <w:kern w:val="44"/>
          <w:sz w:val="28"/>
          <w:szCs w:val="28"/>
          <w:lang w:val="en-US" w:eastAsia="zh-CN" w:bidi="ar-SA"/>
        </w:rPr>
        <w:t>第二部分  投标人须知</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3"/>
        <w:numPr>
          <w:ilvl w:val="0"/>
          <w:numId w:val="10"/>
        </w:numPr>
        <w:spacing w:before="156" w:beforeLines="50" w:after="156" w:afterLines="50" w:line="360" w:lineRule="auto"/>
        <w:jc w:val="center"/>
        <w:rPr>
          <w:sz w:val="24"/>
          <w:szCs w:val="24"/>
        </w:rPr>
      </w:pPr>
      <w:bookmarkStart w:id="282" w:name="_Toc28081"/>
      <w:bookmarkStart w:id="283" w:name="_Toc21171"/>
      <w:bookmarkStart w:id="284" w:name="_Toc17862"/>
      <w:bookmarkStart w:id="285" w:name="_Toc292"/>
      <w:bookmarkStart w:id="286" w:name="_Toc31675"/>
      <w:bookmarkStart w:id="287" w:name="_Toc10672"/>
      <w:bookmarkStart w:id="288" w:name="_Toc4962"/>
      <w:bookmarkStart w:id="289" w:name="_Toc27385"/>
      <w:bookmarkStart w:id="290" w:name="_Toc25979"/>
      <w:bookmarkStart w:id="291" w:name="_Toc17105"/>
      <w:bookmarkStart w:id="292" w:name="_Toc271"/>
      <w:bookmarkStart w:id="293" w:name="_Toc32067"/>
      <w:bookmarkStart w:id="294" w:name="_Toc26768"/>
      <w:bookmarkStart w:id="295" w:name="_Toc6455"/>
      <w:bookmarkStart w:id="296" w:name="_Toc10772"/>
      <w:bookmarkStart w:id="297" w:name="_Toc13963"/>
      <w:bookmarkStart w:id="298" w:name="_Toc12538"/>
      <w:bookmarkStart w:id="299" w:name="_Toc31563"/>
      <w:bookmarkStart w:id="300" w:name="_Toc414"/>
      <w:bookmarkStart w:id="301" w:name="_Toc9534"/>
      <w:bookmarkStart w:id="302" w:name="_Toc9964"/>
      <w:bookmarkStart w:id="303" w:name="_Toc7453"/>
      <w:bookmarkStart w:id="304" w:name="_Toc12530"/>
      <w:bookmarkStart w:id="305" w:name="_Toc9988"/>
      <w:bookmarkStart w:id="306" w:name="_Toc5559"/>
      <w:bookmarkStart w:id="307" w:name="_Toc9208"/>
      <w:bookmarkStart w:id="308" w:name="_Toc15794"/>
      <w:r>
        <w:rPr>
          <w:rFonts w:hint="eastAsia"/>
          <w:sz w:val="24"/>
          <w:szCs w:val="24"/>
        </w:rPr>
        <w:t>总   则</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numPr>
          <w:ilvl w:val="0"/>
          <w:numId w:val="11"/>
        </w:numPr>
        <w:snapToGrid w:val="0"/>
        <w:spacing w:line="360" w:lineRule="auto"/>
        <w:ind w:left="425" w:leftChars="0" w:hanging="5" w:firstLineChars="0"/>
        <w:jc w:val="both"/>
        <w:rPr>
          <w:rFonts w:hint="default" w:ascii="Times New Roman" w:hAnsi="Times New Roman" w:cs="Times New Roman"/>
          <w:b/>
          <w:sz w:val="24"/>
        </w:rPr>
      </w:pPr>
      <w:r>
        <w:rPr>
          <w:rFonts w:hint="default" w:ascii="Times New Roman" w:hAnsi="Times New Roman" w:cs="Times New Roman"/>
          <w:b/>
          <w:sz w:val="24"/>
        </w:rPr>
        <w:t>说明</w:t>
      </w:r>
    </w:p>
    <w:p>
      <w:pPr>
        <w:keepNext w:val="0"/>
        <w:keepLines w:val="0"/>
        <w:pageBreakBefore w:val="0"/>
        <w:widowControl/>
        <w:numPr>
          <w:ilvl w:val="1"/>
          <w:numId w:val="12"/>
        </w:numPr>
        <w:tabs>
          <w:tab w:val="clear" w:pos="562"/>
        </w:tabs>
        <w:kinsoku/>
        <w:wordWrap/>
        <w:overflowPunct/>
        <w:topLinePunct w:val="0"/>
        <w:autoSpaceDE/>
        <w:autoSpaceDN/>
        <w:bidi w:val="0"/>
        <w:adjustRightInd/>
        <w:snapToGrid w:val="0"/>
        <w:spacing w:line="360" w:lineRule="auto"/>
        <w:ind w:left="7" w:leftChars="0" w:firstLine="413" w:firstLineChars="0"/>
        <w:jc w:val="both"/>
        <w:textAlignment w:val="auto"/>
        <w:outlineLvl w:val="9"/>
        <w:rPr>
          <w:rFonts w:hint="eastAsia" w:ascii="宋体" w:hAnsi="宋体"/>
          <w:kern w:val="0"/>
          <w:sz w:val="21"/>
          <w:szCs w:val="22"/>
          <w:lang w:val="en-US" w:eastAsia="zh-CN" w:bidi="ar-SA"/>
        </w:rPr>
      </w:pPr>
      <w:r>
        <w:rPr>
          <w:rFonts w:hint="eastAsia" w:ascii="宋体" w:hAnsi="宋体"/>
          <w:kern w:val="0"/>
          <w:sz w:val="21"/>
          <w:szCs w:val="22"/>
          <w:lang w:val="en-US" w:eastAsia="zh-CN" w:bidi="ar-SA"/>
        </w:rPr>
        <w:t>本次招标工作是按照《中华人民共和国政府采购法》《中华人民共和国政府采购法实施条</w:t>
      </w:r>
      <w:r>
        <w:rPr>
          <w:rFonts w:hint="eastAsia" w:ascii="宋体" w:hAnsi="宋体"/>
        </w:rPr>
        <w:t>例》</w:t>
      </w:r>
      <w:r>
        <w:rPr>
          <w:rFonts w:hint="eastAsia" w:ascii="宋体" w:hAnsi="宋体"/>
          <w:color w:val="auto"/>
        </w:rPr>
        <w:t>《政府采购货物和服务招标投标管理办法》《浙江省政府采购项目电子交易管理暂行办法》</w:t>
      </w:r>
      <w:r>
        <w:rPr>
          <w:rFonts w:hint="eastAsia" w:ascii="宋体" w:hAnsi="宋体" w:eastAsia="宋体" w:cs="宋体"/>
          <w:color w:val="auto"/>
          <w:szCs w:val="21"/>
          <w:lang w:val="en-US" w:eastAsia="zh-CN"/>
        </w:rPr>
        <w:t>等相关政府采购法律法规</w:t>
      </w:r>
      <w:r>
        <w:rPr>
          <w:rFonts w:hint="eastAsia" w:ascii="宋体" w:hAnsi="宋体"/>
          <w:color w:val="auto"/>
        </w:rPr>
        <w:t>组织</w:t>
      </w:r>
      <w:r>
        <w:rPr>
          <w:rFonts w:hint="eastAsia" w:ascii="宋体" w:hAnsi="宋体"/>
          <w:color w:val="auto"/>
          <w:lang w:eastAsia="zh-CN"/>
        </w:rPr>
        <w:t>和</w:t>
      </w:r>
      <w:r>
        <w:rPr>
          <w:rFonts w:hint="eastAsia" w:ascii="宋体" w:hAnsi="宋体"/>
          <w:color w:val="auto"/>
        </w:rPr>
        <w:t>实施。</w:t>
      </w:r>
    </w:p>
    <w:p>
      <w:pPr>
        <w:keepNext w:val="0"/>
        <w:keepLines w:val="0"/>
        <w:pageBreakBefore w:val="0"/>
        <w:widowControl/>
        <w:numPr>
          <w:ilvl w:val="1"/>
          <w:numId w:val="12"/>
        </w:numPr>
        <w:tabs>
          <w:tab w:val="clear" w:pos="562"/>
        </w:tabs>
        <w:kinsoku/>
        <w:wordWrap/>
        <w:overflowPunct/>
        <w:topLinePunct w:val="0"/>
        <w:autoSpaceDE/>
        <w:autoSpaceDN/>
        <w:bidi w:val="0"/>
        <w:adjustRightInd/>
        <w:snapToGrid w:val="0"/>
        <w:spacing w:line="360" w:lineRule="auto"/>
        <w:ind w:left="7" w:leftChars="0" w:firstLine="413" w:firstLineChars="0"/>
        <w:jc w:val="both"/>
        <w:textAlignment w:val="auto"/>
        <w:outlineLvl w:val="9"/>
        <w:rPr>
          <w:rFonts w:hint="eastAsia" w:ascii="宋体" w:hAnsi="宋体"/>
          <w:kern w:val="0"/>
          <w:sz w:val="21"/>
          <w:szCs w:val="22"/>
          <w:lang w:val="en-US" w:eastAsia="zh-CN" w:bidi="ar-SA"/>
        </w:rPr>
      </w:pPr>
      <w:r>
        <w:rPr>
          <w:rFonts w:hint="eastAsia" w:ascii="宋体" w:hAnsi="宋体"/>
          <w:kern w:val="0"/>
          <w:sz w:val="21"/>
          <w:szCs w:val="22"/>
          <w:lang w:val="en-US" w:eastAsia="zh-CN" w:bidi="ar-SA"/>
        </w:rPr>
        <w:t>投标人须知为招标文件的通用条款，如通用条款与前附表、用户需求、合同条款等特定条款不一致的，请按特定条款执行。</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rPr>
      </w:pPr>
      <w:bookmarkStart w:id="309" w:name="_Toc22475"/>
      <w:bookmarkStart w:id="310" w:name="_Toc15795"/>
      <w:bookmarkStart w:id="311" w:name="_Toc4829"/>
      <w:bookmarkStart w:id="312" w:name="_Toc30420"/>
      <w:bookmarkStart w:id="313" w:name="_Toc11210"/>
      <w:bookmarkStart w:id="314" w:name="_Toc16439"/>
      <w:bookmarkStart w:id="315" w:name="_Toc22073"/>
      <w:r>
        <w:rPr>
          <w:rFonts w:hint="default" w:ascii="Times New Roman" w:hAnsi="Times New Roman" w:cs="Times New Roman"/>
          <w:b/>
          <w:sz w:val="24"/>
          <w:szCs w:val="22"/>
          <w:lang w:val="en-US" w:eastAsia="zh-CN"/>
        </w:rPr>
        <w:t>定义及解释</w:t>
      </w:r>
      <w:bookmarkEnd w:id="309"/>
      <w:bookmarkEnd w:id="310"/>
      <w:bookmarkEnd w:id="311"/>
      <w:bookmarkEnd w:id="312"/>
      <w:bookmarkEnd w:id="313"/>
      <w:bookmarkEnd w:id="314"/>
      <w:bookmarkEnd w:id="315"/>
    </w:p>
    <w:p>
      <w:pPr>
        <w:keepNext w:val="0"/>
        <w:keepLines w:val="0"/>
        <w:pageBreakBefore w:val="0"/>
        <w:widowControl/>
        <w:numPr>
          <w:ilvl w:val="1"/>
          <w:numId w:val="11"/>
        </w:numPr>
        <w:tabs>
          <w:tab w:val="clear" w:pos="562"/>
        </w:tabs>
        <w:kinsoku/>
        <w:wordWrap/>
        <w:overflowPunct/>
        <w:topLinePunct w:val="0"/>
        <w:autoSpaceDE/>
        <w:autoSpaceDN/>
        <w:bidi w:val="0"/>
        <w:adjustRightInd/>
        <w:snapToGrid w:val="0"/>
        <w:spacing w:line="360" w:lineRule="auto"/>
        <w:ind w:left="567" w:leftChars="0" w:hanging="147" w:firstLineChars="0"/>
        <w:jc w:val="both"/>
        <w:textAlignment w:val="auto"/>
        <w:outlineLvl w:val="9"/>
        <w:rPr>
          <w:rFonts w:hint="eastAsia" w:ascii="宋体" w:hAnsi="宋体"/>
          <w:kern w:val="0"/>
          <w:sz w:val="21"/>
          <w:szCs w:val="22"/>
          <w:lang w:val="en-US" w:eastAsia="zh-CN" w:bidi="ar-SA"/>
        </w:rPr>
      </w:pPr>
      <w:r>
        <w:rPr>
          <w:rFonts w:hint="eastAsia" w:ascii="宋体" w:hAnsi="宋体"/>
          <w:kern w:val="0"/>
          <w:sz w:val="21"/>
          <w:szCs w:val="22"/>
          <w:lang w:val="en-US" w:eastAsia="zh-CN" w:bidi="ar-SA"/>
        </w:rPr>
        <w:t>采购人：</w:t>
      </w:r>
      <w:r>
        <w:rPr>
          <w:rFonts w:hint="eastAsia" w:ascii="宋体" w:hAnsi="宋体"/>
          <w:u w:val="none"/>
          <w:lang w:val="en-US" w:eastAsia="zh-CN"/>
        </w:rPr>
        <w:t>瑞安市机关事务管理中心</w:t>
      </w:r>
      <w:r>
        <w:rPr>
          <w:rFonts w:hint="eastAsia" w:ascii="宋体" w:hAnsi="宋体"/>
          <w:kern w:val="0"/>
          <w:sz w:val="21"/>
          <w:szCs w:val="22"/>
          <w:lang w:val="en-US" w:eastAsia="zh-CN" w:bidi="ar-SA"/>
        </w:rPr>
        <w:t>。</w:t>
      </w:r>
    </w:p>
    <w:p>
      <w:pPr>
        <w:numPr>
          <w:ilvl w:val="1"/>
          <w:numId w:val="11"/>
        </w:numPr>
        <w:snapToGrid w:val="0"/>
        <w:spacing w:line="360" w:lineRule="auto"/>
        <w:ind w:left="567" w:leftChars="0" w:hanging="147" w:firstLineChars="0"/>
        <w:jc w:val="both"/>
        <w:rPr>
          <w:rFonts w:hint="eastAsia" w:ascii="宋体" w:hAnsi="宋体"/>
          <w:kern w:val="0"/>
          <w:sz w:val="21"/>
          <w:szCs w:val="22"/>
          <w:lang w:val="en-US" w:eastAsia="zh-CN" w:bidi="ar-SA"/>
        </w:rPr>
      </w:pPr>
      <w:r>
        <w:rPr>
          <w:rFonts w:hint="eastAsia" w:ascii="宋体" w:hAnsi="宋体"/>
          <w:kern w:val="0"/>
          <w:sz w:val="21"/>
          <w:szCs w:val="22"/>
          <w:lang w:val="en-US" w:eastAsia="zh-CN" w:bidi="ar-SA"/>
        </w:rPr>
        <w:t>集中采购机构：依法组织本次招标的瑞安市公共资源交易中心。</w:t>
      </w:r>
    </w:p>
    <w:p>
      <w:pPr>
        <w:numPr>
          <w:ilvl w:val="1"/>
          <w:numId w:val="11"/>
        </w:numPr>
        <w:snapToGrid w:val="0"/>
        <w:spacing w:line="360" w:lineRule="auto"/>
        <w:ind w:left="567" w:leftChars="0" w:hanging="147" w:firstLineChars="0"/>
        <w:jc w:val="both"/>
        <w:rPr>
          <w:rFonts w:hint="eastAsia" w:ascii="宋体" w:hAnsi="宋体"/>
          <w:kern w:val="0"/>
          <w:sz w:val="21"/>
          <w:szCs w:val="22"/>
          <w:lang w:val="en-US" w:eastAsia="zh-CN" w:bidi="ar-SA"/>
        </w:rPr>
      </w:pPr>
      <w:r>
        <w:rPr>
          <w:rFonts w:hint="eastAsia" w:ascii="宋体" w:hAnsi="宋体"/>
          <w:kern w:val="0"/>
          <w:sz w:val="21"/>
          <w:szCs w:val="22"/>
          <w:lang w:val="en-US" w:eastAsia="zh-CN" w:bidi="ar-SA"/>
        </w:rPr>
        <w:t>招标采购单位：统指组织本次采购的集中采购机构及采购人。</w:t>
      </w:r>
    </w:p>
    <w:p>
      <w:pPr>
        <w:numPr>
          <w:ilvl w:val="1"/>
          <w:numId w:val="11"/>
        </w:numPr>
        <w:snapToGrid w:val="0"/>
        <w:spacing w:line="360" w:lineRule="auto"/>
        <w:ind w:left="567" w:leftChars="0" w:hanging="147" w:firstLineChars="0"/>
        <w:jc w:val="both"/>
        <w:rPr>
          <w:rFonts w:hint="eastAsia" w:ascii="宋体" w:hAnsi="宋体"/>
          <w:kern w:val="0"/>
          <w:sz w:val="21"/>
          <w:szCs w:val="22"/>
          <w:lang w:val="en-US" w:eastAsia="zh-CN" w:bidi="ar-SA"/>
        </w:rPr>
      </w:pPr>
      <w:r>
        <w:rPr>
          <w:rFonts w:hint="eastAsia" w:ascii="宋体" w:hAnsi="宋体"/>
          <w:kern w:val="0"/>
          <w:sz w:val="21"/>
          <w:szCs w:val="22"/>
          <w:lang w:val="en-US" w:eastAsia="zh-CN" w:bidi="ar-SA"/>
        </w:rPr>
        <w:t>投标人：指响应采购、参加投标竞争的依法成立的投标人。</w:t>
      </w:r>
    </w:p>
    <w:p>
      <w:pPr>
        <w:numPr>
          <w:ilvl w:val="1"/>
          <w:numId w:val="11"/>
        </w:numPr>
        <w:tabs>
          <w:tab w:val="left" w:pos="-200"/>
          <w:tab w:val="clear" w:pos="562"/>
        </w:tabs>
        <w:snapToGrid w:val="0"/>
        <w:spacing w:line="360" w:lineRule="auto"/>
        <w:ind w:left="7" w:leftChars="0" w:firstLine="413" w:firstLineChars="0"/>
        <w:jc w:val="both"/>
        <w:rPr>
          <w:rFonts w:hint="eastAsia" w:ascii="宋体" w:hAnsi="宋体"/>
          <w:kern w:val="0"/>
          <w:sz w:val="21"/>
          <w:szCs w:val="22"/>
          <w:lang w:val="en-US" w:eastAsia="zh-CN" w:bidi="ar-SA"/>
        </w:rPr>
      </w:pPr>
      <w:r>
        <w:rPr>
          <w:rFonts w:hint="eastAsia" w:ascii="宋体" w:hAnsi="宋体"/>
          <w:kern w:val="0"/>
          <w:sz w:val="21"/>
          <w:szCs w:val="22"/>
          <w:lang w:val="en-US" w:eastAsia="zh-CN" w:bidi="ar-SA"/>
        </w:rPr>
        <w:t>中标候选人：指评标委员会按招标文件规定的评标办法与规则推荐的中标候选投标人。</w:t>
      </w:r>
    </w:p>
    <w:p>
      <w:pPr>
        <w:numPr>
          <w:ilvl w:val="1"/>
          <w:numId w:val="11"/>
        </w:numPr>
        <w:tabs>
          <w:tab w:val="left" w:pos="0"/>
          <w:tab w:val="clear" w:pos="562"/>
        </w:tabs>
        <w:snapToGrid w:val="0"/>
        <w:spacing w:line="360" w:lineRule="auto"/>
        <w:ind w:left="7" w:leftChars="0" w:firstLine="413" w:firstLineChars="0"/>
        <w:jc w:val="both"/>
        <w:rPr>
          <w:rFonts w:hint="eastAsia" w:ascii="宋体" w:hAnsi="宋体"/>
          <w:kern w:val="0"/>
          <w:sz w:val="21"/>
          <w:szCs w:val="22"/>
          <w:lang w:val="en-US" w:eastAsia="zh-CN" w:bidi="ar-SA"/>
        </w:rPr>
      </w:pPr>
      <w:r>
        <w:rPr>
          <w:rFonts w:hint="eastAsia" w:ascii="宋体" w:hAnsi="宋体"/>
          <w:kern w:val="0"/>
          <w:sz w:val="21"/>
          <w:szCs w:val="22"/>
          <w:lang w:val="en-US" w:eastAsia="zh-CN" w:bidi="ar-SA"/>
        </w:rPr>
        <w:t>中标人：指在本次招标中中标的投标人。</w:t>
      </w:r>
    </w:p>
    <w:p>
      <w:pPr>
        <w:numPr>
          <w:ilvl w:val="1"/>
          <w:numId w:val="11"/>
        </w:numPr>
        <w:tabs>
          <w:tab w:val="left" w:pos="0"/>
          <w:tab w:val="clear" w:pos="562"/>
        </w:tabs>
        <w:snapToGrid w:val="0"/>
        <w:spacing w:line="360" w:lineRule="auto"/>
        <w:ind w:left="7" w:leftChars="0" w:firstLine="413" w:firstLineChars="0"/>
        <w:jc w:val="both"/>
        <w:rPr>
          <w:rFonts w:hint="eastAsia" w:ascii="宋体" w:hAnsi="宋体"/>
          <w:kern w:val="0"/>
          <w:sz w:val="21"/>
          <w:szCs w:val="22"/>
          <w:lang w:val="en-US" w:eastAsia="zh-CN" w:bidi="ar-SA"/>
        </w:rPr>
      </w:pPr>
      <w:r>
        <w:rPr>
          <w:rFonts w:hint="eastAsia" w:ascii="宋体" w:hAnsi="宋体"/>
          <w:kern w:val="0"/>
          <w:sz w:val="21"/>
          <w:szCs w:val="22"/>
          <w:lang w:val="en-US" w:eastAsia="zh-CN" w:bidi="ar-SA"/>
        </w:rPr>
        <w:t>评标委员会：评标委员会是依据《中华人民共和国政府采购法》《政府采购货物和服务招标投标管理办法》等相关政府采购法律法规规定，结合本项目实际组建的专门负责采购评审工作的临时性机构。</w:t>
      </w:r>
    </w:p>
    <w:p>
      <w:pPr>
        <w:numPr>
          <w:ilvl w:val="1"/>
          <w:numId w:val="11"/>
        </w:numPr>
        <w:tabs>
          <w:tab w:val="clear" w:pos="562"/>
        </w:tabs>
        <w:snapToGrid w:val="0"/>
        <w:spacing w:line="360" w:lineRule="auto"/>
        <w:ind w:left="7" w:leftChars="0" w:firstLine="413" w:firstLineChars="0"/>
        <w:jc w:val="both"/>
        <w:rPr>
          <w:rFonts w:hint="eastAsia" w:ascii="宋体" w:hAnsi="宋体"/>
          <w:kern w:val="0"/>
          <w:sz w:val="21"/>
          <w:szCs w:val="22"/>
          <w:lang w:val="en-US" w:eastAsia="zh-CN" w:bidi="ar-SA"/>
        </w:rPr>
      </w:pPr>
      <w:r>
        <w:rPr>
          <w:rFonts w:hint="eastAsia" w:ascii="宋体" w:hAnsi="宋体"/>
          <w:kern w:val="0"/>
          <w:sz w:val="21"/>
          <w:szCs w:val="22"/>
          <w:lang w:val="en-US" w:eastAsia="zh-CN" w:bidi="ar-SA"/>
        </w:rPr>
        <w:t>电子交易平台：指本项目政府采购活动所依托的浙江省政府采购云平台（</w:t>
      </w:r>
      <w:r>
        <w:rPr>
          <w:rFonts w:hint="default" w:ascii="Arial" w:hAnsi="Arial" w:cs="Arial"/>
          <w:kern w:val="0"/>
          <w:sz w:val="21"/>
          <w:szCs w:val="22"/>
          <w:lang w:val="en-US" w:eastAsia="zh-CN" w:bidi="ar-SA"/>
        </w:rPr>
        <w:t>https://www.zcygov.cn/</w:t>
      </w:r>
      <w:r>
        <w:rPr>
          <w:rFonts w:hint="eastAsia" w:ascii="宋体" w:hAnsi="宋体"/>
          <w:kern w:val="0"/>
          <w:sz w:val="21"/>
          <w:szCs w:val="22"/>
          <w:lang w:val="en-US" w:eastAsia="zh-CN" w:bidi="ar-SA"/>
        </w:rPr>
        <w:t>）。</w:t>
      </w:r>
    </w:p>
    <w:p>
      <w:pPr>
        <w:numPr>
          <w:ilvl w:val="1"/>
          <w:numId w:val="11"/>
        </w:numPr>
        <w:tabs>
          <w:tab w:val="clear" w:pos="562"/>
        </w:tabs>
        <w:snapToGrid w:val="0"/>
        <w:spacing w:line="360" w:lineRule="auto"/>
        <w:ind w:left="7" w:leftChars="0" w:firstLine="413" w:firstLineChars="0"/>
        <w:jc w:val="both"/>
        <w:rPr>
          <w:rFonts w:hint="eastAsia" w:ascii="宋体" w:hAnsi="宋体"/>
          <w:kern w:val="0"/>
          <w:sz w:val="21"/>
          <w:szCs w:val="22"/>
          <w:lang w:val="en-US" w:eastAsia="zh-CN" w:bidi="ar-SA"/>
        </w:rPr>
      </w:pPr>
      <w:r>
        <w:rPr>
          <w:rFonts w:hint="eastAsia" w:ascii="宋体" w:hAnsi="宋体"/>
          <w:kern w:val="0"/>
          <w:sz w:val="21"/>
          <w:szCs w:val="22"/>
          <w:lang w:val="en-US" w:eastAsia="zh-CN" w:bidi="ar-SA"/>
        </w:rPr>
        <w:t>电子签章：指各投标人通过CA锁对投标文件中对应内容进行签章，表明签名人认可其中的内容。</w:t>
      </w:r>
    </w:p>
    <w:p>
      <w:pPr>
        <w:numPr>
          <w:ilvl w:val="1"/>
          <w:numId w:val="11"/>
        </w:numPr>
        <w:tabs>
          <w:tab w:val="left" w:pos="840"/>
          <w:tab w:val="clear" w:pos="562"/>
        </w:tabs>
        <w:snapToGrid w:val="0"/>
        <w:spacing w:line="360" w:lineRule="auto"/>
        <w:ind w:left="567" w:leftChars="0" w:hanging="147" w:firstLineChars="0"/>
        <w:jc w:val="both"/>
        <w:rPr>
          <w:rFonts w:hint="default" w:ascii="Times New Roman" w:hAnsi="Times New Roman" w:eastAsia="宋体" w:cs="Times New Roman"/>
          <w:kern w:val="0"/>
          <w:sz w:val="21"/>
          <w:szCs w:val="22"/>
          <w:lang w:val="en-US" w:eastAsia="zh-CN" w:bidi="ar-SA"/>
        </w:rPr>
      </w:pPr>
      <w:r>
        <w:rPr>
          <w:rFonts w:hint="default" w:ascii="Times New Roman" w:hAnsi="Times New Roman" w:eastAsia="宋体" w:cs="Times New Roman"/>
          <w:kern w:val="0"/>
          <w:sz w:val="21"/>
          <w:szCs w:val="22"/>
          <w:lang w:val="en-US" w:eastAsia="zh-CN" w:bidi="ar-SA"/>
        </w:rPr>
        <w:t>公章：指单位法定名称章。</w:t>
      </w:r>
    </w:p>
    <w:p>
      <w:pPr>
        <w:numPr>
          <w:ilvl w:val="1"/>
          <w:numId w:val="11"/>
        </w:numPr>
        <w:tabs>
          <w:tab w:val="left" w:pos="0"/>
          <w:tab w:val="left" w:pos="840"/>
          <w:tab w:val="clear" w:pos="562"/>
        </w:tabs>
        <w:snapToGrid w:val="0"/>
        <w:spacing w:line="360" w:lineRule="auto"/>
        <w:ind w:left="7" w:leftChars="0" w:firstLine="413" w:firstLineChars="0"/>
        <w:jc w:val="both"/>
        <w:rPr>
          <w:rFonts w:hint="eastAsia" w:ascii="宋体" w:hAnsi="宋体"/>
          <w:kern w:val="0"/>
          <w:sz w:val="21"/>
          <w:szCs w:val="22"/>
          <w:lang w:val="en-US" w:eastAsia="zh-CN" w:bidi="ar-SA"/>
        </w:rPr>
      </w:pPr>
      <w:r>
        <w:rPr>
          <w:rFonts w:hint="eastAsia" w:ascii="宋体" w:hAnsi="宋体"/>
          <w:kern w:val="0"/>
          <w:sz w:val="21"/>
          <w:szCs w:val="22"/>
          <w:lang w:val="en-US" w:eastAsia="zh-CN" w:bidi="ar-SA"/>
        </w:rPr>
        <w:t>书面形式：包括数据电文形式与纸质形式。数据电文形式与纸质形式的采购活动具有同等法律效力。</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合格的投标人</w:t>
      </w:r>
    </w:p>
    <w:p>
      <w:pPr>
        <w:numPr>
          <w:ilvl w:val="1"/>
          <w:numId w:val="11"/>
        </w:numPr>
        <w:tabs>
          <w:tab w:val="left" w:pos="0"/>
          <w:tab w:val="clear" w:pos="562"/>
        </w:tabs>
        <w:snapToGrid w:val="0"/>
        <w:spacing w:line="360" w:lineRule="auto"/>
        <w:ind w:left="7" w:leftChars="0" w:firstLine="413" w:firstLineChars="0"/>
        <w:jc w:val="both"/>
        <w:rPr>
          <w:rFonts w:hint="eastAsia" w:ascii="宋体" w:hAnsi="宋体" w:eastAsia="宋体" w:cs="宋体"/>
          <w:b w:val="0"/>
          <w:bCs w:val="0"/>
          <w:snapToGrid w:val="0"/>
          <w:color w:val="000000"/>
          <w:kern w:val="0"/>
          <w:sz w:val="21"/>
          <w:szCs w:val="22"/>
          <w:highlight w:val="none"/>
          <w:lang w:val="en-US" w:eastAsia="zh-CN" w:bidi="ar-SA"/>
        </w:rPr>
      </w:pPr>
      <w:r>
        <w:rPr>
          <w:rFonts w:hint="eastAsia" w:ascii="宋体" w:hAnsi="宋体" w:eastAsia="宋体" w:cs="宋体"/>
          <w:b w:val="0"/>
          <w:bCs w:val="0"/>
          <w:color w:val="auto"/>
          <w:szCs w:val="22"/>
          <w:highlight w:val="none"/>
          <w:lang w:val="en-US" w:eastAsia="zh-CN"/>
        </w:rPr>
        <w:t>按</w:t>
      </w:r>
      <w:r>
        <w:rPr>
          <w:rFonts w:hint="eastAsia" w:ascii="宋体" w:hAnsi="宋体" w:eastAsia="宋体" w:cs="宋体"/>
          <w:b w:val="0"/>
          <w:bCs w:val="0"/>
          <w:color w:val="auto"/>
          <w:szCs w:val="22"/>
          <w:highlight w:val="none"/>
          <w:lang w:eastAsia="zh-CN"/>
        </w:rPr>
        <w:t>招标</w:t>
      </w:r>
      <w:r>
        <w:rPr>
          <w:rFonts w:hint="eastAsia" w:ascii="宋体" w:hAnsi="宋体" w:eastAsia="宋体" w:cs="宋体"/>
          <w:b w:val="0"/>
          <w:bCs w:val="0"/>
          <w:color w:val="auto"/>
          <w:szCs w:val="22"/>
          <w:highlight w:val="none"/>
        </w:rPr>
        <w:t>公告第</w:t>
      </w:r>
      <w:r>
        <w:rPr>
          <w:rFonts w:hint="eastAsia" w:ascii="宋体" w:hAnsi="宋体" w:eastAsia="宋体" w:cs="宋体"/>
          <w:b w:val="0"/>
          <w:bCs w:val="0"/>
          <w:color w:val="auto"/>
          <w:szCs w:val="22"/>
          <w:highlight w:val="none"/>
          <w:lang w:eastAsia="zh-CN"/>
        </w:rPr>
        <w:t>二</w:t>
      </w:r>
      <w:r>
        <w:rPr>
          <w:rFonts w:hint="eastAsia" w:ascii="宋体" w:hAnsi="宋体" w:eastAsia="宋体" w:cs="宋体"/>
          <w:b w:val="0"/>
          <w:bCs w:val="0"/>
          <w:color w:val="auto"/>
          <w:szCs w:val="22"/>
          <w:highlight w:val="none"/>
        </w:rPr>
        <w:t>条</w:t>
      </w:r>
      <w:r>
        <w:rPr>
          <w:rFonts w:hint="eastAsia" w:ascii="宋体" w:hAnsi="宋体" w:eastAsia="宋体" w:cs="宋体"/>
          <w:b w:val="0"/>
          <w:bCs w:val="0"/>
          <w:color w:val="auto"/>
          <w:szCs w:val="22"/>
          <w:highlight w:val="none"/>
          <w:lang w:eastAsia="zh-CN"/>
        </w:rPr>
        <w:t>“</w:t>
      </w:r>
      <w:r>
        <w:rPr>
          <w:rFonts w:hint="eastAsia" w:ascii="宋体" w:hAnsi="宋体" w:eastAsia="宋体" w:cs="宋体"/>
          <w:b w:val="0"/>
          <w:bCs w:val="0"/>
          <w:color w:val="auto"/>
          <w:szCs w:val="22"/>
          <w:highlight w:val="none"/>
          <w:lang w:val="en-US" w:eastAsia="zh-CN"/>
        </w:rPr>
        <w:t>申请人的资格要求”，</w:t>
      </w:r>
      <w:r>
        <w:rPr>
          <w:rFonts w:hint="eastAsia" w:ascii="宋体" w:hAnsi="宋体" w:eastAsia="宋体" w:cs="宋体"/>
          <w:b w:val="0"/>
          <w:bCs w:val="0"/>
          <w:color w:val="auto"/>
          <w:szCs w:val="22"/>
          <w:highlight w:val="none"/>
        </w:rPr>
        <w:t>经采购人或</w:t>
      </w:r>
      <w:r>
        <w:rPr>
          <w:rFonts w:hint="eastAsia" w:ascii="宋体" w:hAnsi="宋体" w:eastAsia="宋体" w:cs="宋体"/>
          <w:b w:val="0"/>
          <w:bCs w:val="0"/>
          <w:color w:val="auto"/>
          <w:szCs w:val="22"/>
          <w:highlight w:val="none"/>
          <w:lang w:eastAsia="zh-CN"/>
        </w:rPr>
        <w:t>集中采购机构</w:t>
      </w:r>
      <w:r>
        <w:rPr>
          <w:rFonts w:hint="eastAsia" w:ascii="宋体" w:hAnsi="宋体" w:eastAsia="宋体" w:cs="宋体"/>
          <w:b w:val="0"/>
          <w:bCs w:val="0"/>
          <w:color w:val="auto"/>
          <w:szCs w:val="22"/>
          <w:highlight w:val="none"/>
        </w:rPr>
        <w:t>审查通过的</w:t>
      </w:r>
      <w:r>
        <w:rPr>
          <w:rFonts w:hint="eastAsia" w:ascii="宋体" w:hAnsi="宋体" w:eastAsia="宋体" w:cs="宋体"/>
          <w:b w:val="0"/>
          <w:bCs w:val="0"/>
          <w:color w:val="auto"/>
          <w:szCs w:val="22"/>
          <w:highlight w:val="none"/>
          <w:lang w:val="en-US" w:eastAsia="zh-CN"/>
        </w:rPr>
        <w:t>投标人</w:t>
      </w:r>
      <w:r>
        <w:rPr>
          <w:rFonts w:hint="eastAsia" w:ascii="宋体" w:hAnsi="宋体" w:eastAsia="宋体" w:cs="宋体"/>
          <w:b w:val="0"/>
          <w:bCs w:val="0"/>
          <w:color w:val="auto"/>
          <w:szCs w:val="22"/>
          <w:highlight w:val="none"/>
        </w:rPr>
        <w:t>。</w:t>
      </w:r>
    </w:p>
    <w:p>
      <w:pPr>
        <w:numPr>
          <w:ilvl w:val="1"/>
          <w:numId w:val="11"/>
        </w:numPr>
        <w:snapToGrid w:val="0"/>
        <w:spacing w:line="360" w:lineRule="auto"/>
        <w:ind w:left="567" w:leftChars="0" w:hanging="147" w:firstLineChars="0"/>
        <w:jc w:val="both"/>
        <w:rPr>
          <w:rFonts w:hint="eastAsia" w:ascii="宋体" w:hAnsi="宋体" w:eastAsia="宋体" w:cs="宋体"/>
          <w:b w:val="0"/>
          <w:bCs w:val="0"/>
          <w:snapToGrid w:val="0"/>
          <w:color w:val="000000"/>
          <w:kern w:val="0"/>
          <w:sz w:val="21"/>
          <w:szCs w:val="22"/>
          <w:highlight w:val="none"/>
          <w:lang w:val="en-US" w:eastAsia="zh-CN" w:bidi="ar-SA"/>
        </w:rPr>
      </w:pPr>
      <w:r>
        <w:rPr>
          <w:rFonts w:hint="eastAsia" w:ascii="宋体" w:hAnsi="宋体" w:eastAsia="宋体" w:cs="宋体"/>
          <w:b w:val="0"/>
          <w:bCs w:val="0"/>
          <w:color w:val="auto"/>
          <w:szCs w:val="22"/>
          <w:highlight w:val="none"/>
          <w:lang w:val="en-US" w:eastAsia="zh-CN"/>
        </w:rPr>
        <w:t>投标人是否存在以下不良信用记录</w:t>
      </w:r>
    </w:p>
    <w:p>
      <w:pPr>
        <w:numPr>
          <w:ilvl w:val="2"/>
          <w:numId w:val="11"/>
        </w:numPr>
        <w:tabs>
          <w:tab w:val="left" w:pos="840"/>
        </w:tabs>
        <w:snapToGrid w:val="0"/>
        <w:spacing w:line="360" w:lineRule="auto"/>
        <w:ind w:left="9" w:leftChars="0" w:firstLine="411" w:firstLineChars="0"/>
        <w:jc w:val="both"/>
        <w:rPr>
          <w:rFonts w:hint="eastAsia" w:ascii="宋体" w:hAnsi="宋体" w:eastAsia="宋体" w:cs="宋体"/>
          <w:b w:val="0"/>
          <w:bCs w:val="0"/>
          <w:snapToGrid w:val="0"/>
          <w:color w:val="000000"/>
          <w:kern w:val="0"/>
          <w:sz w:val="21"/>
          <w:szCs w:val="22"/>
          <w:highlight w:val="none"/>
          <w:lang w:val="en-US" w:eastAsia="zh-CN" w:bidi="ar-SA"/>
        </w:rPr>
      </w:pPr>
      <w:r>
        <w:rPr>
          <w:rFonts w:hint="eastAsia" w:ascii="宋体" w:hAnsi="宋体" w:eastAsia="宋体" w:cs="宋体"/>
          <w:b w:val="0"/>
          <w:bCs w:val="0"/>
          <w:snapToGrid w:val="0"/>
          <w:color w:val="000000"/>
          <w:kern w:val="0"/>
          <w:sz w:val="21"/>
          <w:szCs w:val="22"/>
          <w:highlight w:val="none"/>
          <w:lang w:val="en-US" w:eastAsia="zh-CN" w:bidi="ar-SA"/>
        </w:rPr>
        <w:t xml:space="preserve"> 以开标当日资格审查结束前，</w:t>
      </w:r>
      <w:r>
        <w:rPr>
          <w:rFonts w:hint="eastAsia" w:eastAsia="宋体" w:cs="宋体"/>
          <w:b w:val="0"/>
          <w:bCs w:val="0"/>
          <w:snapToGrid w:val="0"/>
          <w:color w:val="000000"/>
          <w:kern w:val="0"/>
          <w:sz w:val="21"/>
          <w:szCs w:val="22"/>
          <w:highlight w:val="none"/>
          <w:lang w:val="en-US" w:eastAsia="zh-CN" w:bidi="ar-SA"/>
        </w:rPr>
        <w:t>采购</w:t>
      </w:r>
      <w:r>
        <w:rPr>
          <w:rFonts w:hint="eastAsia" w:ascii="宋体" w:hAnsi="宋体" w:eastAsia="宋体" w:cs="宋体"/>
          <w:b w:val="0"/>
          <w:bCs w:val="0"/>
          <w:snapToGrid w:val="0"/>
          <w:color w:val="000000"/>
          <w:kern w:val="0"/>
          <w:sz w:val="21"/>
          <w:szCs w:val="22"/>
          <w:highlight w:val="none"/>
          <w:lang w:val="en-US" w:eastAsia="zh-CN" w:bidi="ar-SA"/>
        </w:rPr>
        <w:t>人于“信用中国”（</w:t>
      </w:r>
      <w:r>
        <w:rPr>
          <w:rFonts w:hint="default" w:ascii="Arial" w:hAnsi="Arial" w:eastAsia="宋体" w:cs="Arial"/>
          <w:b w:val="0"/>
          <w:bCs w:val="0"/>
          <w:snapToGrid w:val="0"/>
          <w:color w:val="000000"/>
          <w:kern w:val="0"/>
          <w:sz w:val="21"/>
          <w:szCs w:val="22"/>
          <w:highlight w:val="none"/>
          <w:lang w:val="en-US" w:eastAsia="zh-CN" w:bidi="ar-SA"/>
        </w:rPr>
        <w:t>www.creditchina.gov.cn</w:t>
      </w:r>
      <w:r>
        <w:rPr>
          <w:rFonts w:hint="eastAsia" w:ascii="宋体" w:hAnsi="宋体" w:eastAsia="宋体" w:cs="宋体"/>
          <w:b w:val="0"/>
          <w:bCs w:val="0"/>
          <w:snapToGrid w:val="0"/>
          <w:color w:val="000000"/>
          <w:kern w:val="0"/>
          <w:sz w:val="21"/>
          <w:szCs w:val="22"/>
          <w:highlight w:val="none"/>
          <w:lang w:val="en-US" w:eastAsia="zh-CN" w:bidi="ar-SA"/>
        </w:rPr>
        <w:t>）、“中国政府采购网”（</w:t>
      </w:r>
      <w:r>
        <w:rPr>
          <w:rFonts w:hint="default" w:ascii="Arial" w:hAnsi="Arial" w:eastAsia="宋体" w:cs="Arial"/>
          <w:b w:val="0"/>
          <w:bCs w:val="0"/>
          <w:snapToGrid w:val="0"/>
          <w:color w:val="000000"/>
          <w:kern w:val="0"/>
          <w:sz w:val="21"/>
          <w:szCs w:val="22"/>
          <w:highlight w:val="none"/>
          <w:lang w:val="en-US" w:eastAsia="zh-CN" w:bidi="ar-SA"/>
        </w:rPr>
        <w:t>www.ccgp.gov.cn</w:t>
      </w:r>
      <w:r>
        <w:rPr>
          <w:rFonts w:hint="eastAsia" w:ascii="宋体" w:hAnsi="宋体" w:eastAsia="宋体" w:cs="宋体"/>
          <w:b w:val="0"/>
          <w:bCs w:val="0"/>
          <w:snapToGrid w:val="0"/>
          <w:color w:val="000000"/>
          <w:kern w:val="0"/>
          <w:sz w:val="21"/>
          <w:szCs w:val="22"/>
          <w:highlight w:val="none"/>
          <w:lang w:val="en-US" w:eastAsia="zh-CN" w:bidi="ar-SA"/>
        </w:rPr>
        <w:t>）网站查询结果为准，网页截图并打印存档，对列入失信被执行人、重大税收违法案件当事人名单、政府采购严重违法失信行为记录名单及其他不符合《中华人民共和国政府采购法》第二十二条规定条件的</w:t>
      </w:r>
      <w:r>
        <w:rPr>
          <w:rFonts w:hint="eastAsia" w:eastAsia="宋体" w:cs="宋体"/>
          <w:b w:val="0"/>
          <w:bCs w:val="0"/>
          <w:snapToGrid w:val="0"/>
          <w:color w:val="000000"/>
          <w:kern w:val="0"/>
          <w:sz w:val="21"/>
          <w:szCs w:val="22"/>
          <w:highlight w:val="none"/>
          <w:lang w:val="en-US" w:eastAsia="zh-CN" w:bidi="ar-SA"/>
        </w:rPr>
        <w:t>投标人</w:t>
      </w:r>
      <w:r>
        <w:rPr>
          <w:rFonts w:hint="eastAsia" w:ascii="宋体" w:hAnsi="宋体" w:eastAsia="宋体" w:cs="宋体"/>
          <w:b w:val="0"/>
          <w:bCs w:val="0"/>
          <w:snapToGrid w:val="0"/>
          <w:color w:val="000000"/>
          <w:kern w:val="0"/>
          <w:sz w:val="21"/>
          <w:szCs w:val="22"/>
          <w:highlight w:val="none"/>
          <w:lang w:val="en-US" w:eastAsia="zh-CN" w:bidi="ar-SA"/>
        </w:rPr>
        <w:t>，应当拒绝其参与政府采购活动。</w:t>
      </w:r>
    </w:p>
    <w:p>
      <w:pPr>
        <w:numPr>
          <w:ilvl w:val="2"/>
          <w:numId w:val="11"/>
        </w:numPr>
        <w:tabs>
          <w:tab w:val="left" w:pos="840"/>
        </w:tabs>
        <w:snapToGrid w:val="0"/>
        <w:spacing w:line="360" w:lineRule="auto"/>
        <w:ind w:left="9" w:leftChars="0" w:firstLine="411" w:firstLineChars="0"/>
        <w:jc w:val="both"/>
        <w:rPr>
          <w:rFonts w:hint="eastAsia" w:ascii="宋体" w:hAnsi="宋体" w:eastAsia="宋体" w:cs="宋体"/>
          <w:b w:val="0"/>
          <w:bCs w:val="0"/>
          <w:snapToGrid w:val="0"/>
          <w:color w:val="000000"/>
          <w:kern w:val="0"/>
          <w:sz w:val="21"/>
          <w:szCs w:val="22"/>
          <w:highlight w:val="none"/>
          <w:lang w:val="en-US" w:eastAsia="zh-CN" w:bidi="ar-SA"/>
        </w:rPr>
      </w:pPr>
      <w:r>
        <w:rPr>
          <w:rFonts w:hint="eastAsia" w:ascii="宋体" w:hAnsi="宋体" w:eastAsia="宋体" w:cs="宋体"/>
          <w:b w:val="0"/>
          <w:bCs w:val="0"/>
          <w:snapToGrid w:val="0"/>
          <w:color w:val="000000"/>
          <w:kern w:val="0"/>
          <w:sz w:val="21"/>
          <w:szCs w:val="22"/>
          <w:highlight w:val="none"/>
          <w:lang w:val="en-US" w:eastAsia="zh-CN" w:bidi="ar-SA"/>
        </w:rPr>
        <w:t xml:space="preserve"> 联合体投标时，采购人将对所有联合体成员进行信用记录查询，联合体成员存在不良信用记录的，视同联合体存在不良信用记录。</w:t>
      </w:r>
    </w:p>
    <w:p>
      <w:pPr>
        <w:numPr>
          <w:ilvl w:val="1"/>
          <w:numId w:val="11"/>
        </w:numPr>
        <w:snapToGrid w:val="0"/>
        <w:spacing w:line="360" w:lineRule="auto"/>
        <w:ind w:left="567" w:leftChars="0" w:hanging="147" w:firstLineChars="0"/>
        <w:jc w:val="both"/>
        <w:rPr>
          <w:rFonts w:hint="eastAsia" w:ascii="宋体" w:hAnsi="宋体" w:eastAsia="宋体" w:cs="宋体"/>
          <w:b w:val="0"/>
          <w:bCs w:val="0"/>
          <w:color w:val="auto"/>
          <w:szCs w:val="22"/>
          <w:highlight w:val="none"/>
          <w:lang w:val="en-US" w:eastAsia="zh-CN"/>
        </w:rPr>
      </w:pPr>
      <w:r>
        <w:rPr>
          <w:rFonts w:hint="eastAsia" w:ascii="宋体" w:hAnsi="宋体" w:eastAsia="宋体" w:cs="宋体"/>
          <w:b w:val="0"/>
          <w:bCs w:val="0"/>
          <w:color w:val="auto"/>
          <w:szCs w:val="22"/>
          <w:highlight w:val="none"/>
          <w:lang w:val="en-US" w:eastAsia="zh-CN"/>
        </w:rPr>
        <w:t>对投标人的限制</w:t>
      </w:r>
    </w:p>
    <w:p>
      <w:pPr>
        <w:numPr>
          <w:ilvl w:val="2"/>
          <w:numId w:val="11"/>
        </w:numPr>
        <w:tabs>
          <w:tab w:val="left" w:pos="840"/>
        </w:tabs>
        <w:snapToGrid w:val="0"/>
        <w:spacing w:line="360" w:lineRule="auto"/>
        <w:ind w:left="9" w:leftChars="0" w:firstLine="411" w:firstLineChars="0"/>
        <w:jc w:val="both"/>
        <w:rPr>
          <w:rFonts w:hint="eastAsia" w:ascii="宋体" w:hAnsi="宋体" w:eastAsia="宋体" w:cs="宋体"/>
          <w:b w:val="0"/>
          <w:bCs w:val="0"/>
          <w:snapToGrid w:val="0"/>
          <w:color w:val="000000"/>
          <w:kern w:val="0"/>
          <w:sz w:val="21"/>
          <w:szCs w:val="22"/>
          <w:highlight w:val="none"/>
          <w:lang w:val="en-US" w:eastAsia="zh-CN" w:bidi="ar-SA"/>
        </w:rPr>
      </w:pPr>
      <w:r>
        <w:rPr>
          <w:rFonts w:hint="eastAsia" w:ascii="宋体" w:hAnsi="宋体" w:eastAsia="宋体" w:cs="宋体"/>
          <w:b w:val="0"/>
          <w:bCs w:val="0"/>
          <w:snapToGrid w:val="0"/>
          <w:color w:val="000000"/>
          <w:kern w:val="0"/>
          <w:sz w:val="21"/>
          <w:szCs w:val="22"/>
          <w:highlight w:val="none"/>
          <w:lang w:val="en-US" w:eastAsia="zh-CN" w:bidi="ar-SA"/>
        </w:rPr>
        <w:t xml:space="preserve"> 单位负责人（指法定代表人或者法律、行政法规规定代表单位行使职权的主要负责人）为同一人或者存在直接控股、管理关系的不同投标人不得分别参加同一合同项下的采购活动。</w:t>
      </w:r>
    </w:p>
    <w:p>
      <w:pPr>
        <w:numPr>
          <w:ilvl w:val="2"/>
          <w:numId w:val="11"/>
        </w:numPr>
        <w:tabs>
          <w:tab w:val="left" w:pos="0"/>
          <w:tab w:val="left" w:pos="840"/>
        </w:tabs>
        <w:snapToGrid w:val="0"/>
        <w:spacing w:line="360" w:lineRule="auto"/>
        <w:ind w:left="9" w:leftChars="0" w:firstLine="411" w:firstLineChars="0"/>
        <w:jc w:val="both"/>
        <w:rPr>
          <w:rFonts w:hint="eastAsia" w:ascii="宋体" w:hAnsi="宋体" w:eastAsia="宋体" w:cs="宋体"/>
          <w:color w:val="000000"/>
          <w:szCs w:val="22"/>
          <w:highlight w:val="none"/>
          <w:lang w:val="en-US" w:eastAsia="zh-CN"/>
        </w:rPr>
      </w:pPr>
      <w:r>
        <w:rPr>
          <w:rFonts w:hint="eastAsia" w:ascii="宋体" w:hAnsi="宋体" w:eastAsia="宋体" w:cs="宋体"/>
          <w:b w:val="0"/>
          <w:bCs w:val="0"/>
          <w:snapToGrid w:val="0"/>
          <w:color w:val="000000"/>
          <w:kern w:val="0"/>
          <w:sz w:val="21"/>
          <w:szCs w:val="22"/>
          <w:highlight w:val="none"/>
          <w:lang w:val="en-US" w:eastAsia="zh-CN" w:bidi="ar-SA"/>
        </w:rPr>
        <w:t xml:space="preserve"> 为本项目提供过整体设计、规范编制或者项目管理、监理、检测等服务的投标人，不得再参加该采购项目的其他采购活动。</w:t>
      </w:r>
    </w:p>
    <w:p>
      <w:pPr>
        <w:numPr>
          <w:ilvl w:val="2"/>
          <w:numId w:val="11"/>
        </w:numPr>
        <w:tabs>
          <w:tab w:val="left" w:pos="0"/>
          <w:tab w:val="left" w:pos="840"/>
        </w:tabs>
        <w:snapToGrid w:val="0"/>
        <w:spacing w:line="360" w:lineRule="auto"/>
        <w:ind w:left="9" w:leftChars="0" w:firstLine="411" w:firstLineChars="0"/>
        <w:jc w:val="both"/>
        <w:rPr>
          <w:rFonts w:hint="eastAsia" w:ascii="宋体" w:hAnsi="宋体" w:eastAsia="宋体" w:cs="宋体"/>
          <w:color w:val="000000"/>
          <w:szCs w:val="22"/>
          <w:highlight w:val="none"/>
          <w:lang w:val="en-US" w:eastAsia="zh-CN"/>
        </w:rPr>
      </w:pPr>
      <w:r>
        <w:rPr>
          <w:rFonts w:hint="eastAsia" w:ascii="宋体" w:hAnsi="宋体" w:eastAsia="宋体" w:cs="宋体"/>
          <w:color w:val="000000"/>
          <w:szCs w:val="22"/>
          <w:highlight w:val="none"/>
          <w:lang w:val="en-US" w:eastAsia="zh-CN"/>
        </w:rPr>
        <w:t xml:space="preserve"> 以联合体形式参加政府采购活动的，联合体各方不得再单独参加或者与其他投标人另外组成联合体参加同一合同项下的政府采购活动。</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项目需落实的政府采购政策</w:t>
      </w:r>
    </w:p>
    <w:p>
      <w:pPr>
        <w:numPr>
          <w:ilvl w:val="1"/>
          <w:numId w:val="11"/>
        </w:numPr>
        <w:tabs>
          <w:tab w:val="left" w:pos="0"/>
          <w:tab w:val="clear" w:pos="562"/>
        </w:tabs>
        <w:snapToGrid w:val="0"/>
        <w:spacing w:line="360" w:lineRule="auto"/>
        <w:ind w:left="7" w:leftChars="0" w:firstLine="413" w:firstLineChars="0"/>
        <w:jc w:val="both"/>
        <w:rPr>
          <w:rFonts w:hint="eastAsia" w:ascii="宋体" w:hAnsi="宋体" w:eastAsia="宋体" w:cs="宋体"/>
          <w:b w:val="0"/>
          <w:bCs w:val="0"/>
          <w:color w:val="auto"/>
          <w:szCs w:val="22"/>
          <w:highlight w:val="none"/>
          <w:lang w:val="en-US" w:eastAsia="zh-CN"/>
        </w:rPr>
      </w:pPr>
      <w:r>
        <w:rPr>
          <w:rFonts w:hint="eastAsia" w:ascii="宋体" w:hAnsi="宋体" w:eastAsia="宋体" w:cs="宋体"/>
          <w:b w:val="0"/>
          <w:bCs w:val="0"/>
          <w:color w:val="auto"/>
          <w:szCs w:val="22"/>
          <w:highlight w:val="none"/>
          <w:lang w:val="en-US" w:eastAsia="zh-CN"/>
        </w:rPr>
        <w:t>本</w:t>
      </w:r>
      <w:r>
        <w:rPr>
          <w:rFonts w:hint="eastAsia" w:ascii="宋体" w:hAnsi="宋体" w:cs="宋体"/>
        </w:rPr>
        <w:t>项目执行财政部门为实现节约能源、环境保护、科技创新、高质量发展、扶持不发达地区和少数民</w:t>
      </w:r>
      <w:r>
        <w:rPr>
          <w:rFonts w:hint="eastAsia" w:ascii="宋体" w:hAnsi="宋体" w:cs="宋体"/>
          <w:color w:val="auto"/>
        </w:rPr>
        <w:t>族地区、促进中小企业、监狱企业、残疾人福利性单位发展等目标制定的政府采购政策。</w:t>
      </w:r>
      <w:r>
        <w:rPr>
          <w:rFonts w:hint="eastAsia" w:ascii="宋体" w:hAnsi="宋体" w:cs="宋体"/>
          <w:color w:val="auto"/>
          <w:highlight w:val="none"/>
        </w:rPr>
        <w:t>贯彻落实对首台套产品、符合条件的制造精品的政府首购制度。优先推荐专精特新中小企业、创新产品参加政府采购活动。</w:t>
      </w:r>
    </w:p>
    <w:p>
      <w:pPr>
        <w:numPr>
          <w:ilvl w:val="1"/>
          <w:numId w:val="11"/>
        </w:numPr>
        <w:tabs>
          <w:tab w:val="left" w:pos="0"/>
          <w:tab w:val="clear" w:pos="562"/>
        </w:tabs>
        <w:snapToGrid w:val="0"/>
        <w:spacing w:line="360" w:lineRule="auto"/>
        <w:ind w:left="7" w:leftChars="0" w:firstLine="413" w:firstLineChars="0"/>
        <w:jc w:val="both"/>
        <w:rPr>
          <w:rFonts w:hint="eastAsia" w:ascii="宋体" w:hAnsi="宋体" w:eastAsia="宋体" w:cs="宋体"/>
          <w:b w:val="0"/>
          <w:bCs w:val="0"/>
          <w:color w:val="auto"/>
          <w:szCs w:val="22"/>
          <w:highlight w:val="none"/>
          <w:lang w:val="en-US" w:eastAsia="zh-CN"/>
        </w:rPr>
      </w:pPr>
      <w:r>
        <w:rPr>
          <w:rFonts w:hint="eastAsia" w:ascii="宋体" w:hAnsi="宋体" w:eastAsia="宋体" w:cs="宋体"/>
          <w:b w:val="0"/>
          <w:bCs w:val="0"/>
          <w:color w:val="auto"/>
          <w:szCs w:val="22"/>
          <w:highlight w:val="none"/>
          <w:lang w:val="en-US" w:eastAsia="zh-CN"/>
        </w:rPr>
        <w:t>节能环保要求：</w:t>
      </w:r>
      <w:r>
        <w:rPr>
          <w:rFonts w:hint="default" w:ascii="宋体" w:hAnsi="宋体" w:eastAsia="宋体" w:cs="宋体"/>
          <w:b w:val="0"/>
          <w:bCs w:val="0"/>
          <w:color w:val="auto"/>
          <w:szCs w:val="22"/>
          <w:highlight w:val="none"/>
          <w:lang w:val="en-US" w:eastAsia="zh-CN"/>
        </w:rPr>
        <w:t>本项目执行优先采购节能产品/强制采购节能产品、优先采购环境标志产品政策；对于未列入节能产品、环境标志产品政府采购品目清单的产品类别，鼓励</w:t>
      </w:r>
      <w:r>
        <w:rPr>
          <w:rFonts w:hint="eastAsia" w:ascii="宋体" w:hAnsi="宋体" w:eastAsia="宋体" w:cs="宋体"/>
          <w:b w:val="0"/>
          <w:bCs w:val="0"/>
          <w:color w:val="auto"/>
          <w:szCs w:val="22"/>
          <w:highlight w:val="none"/>
          <w:lang w:val="en-US" w:eastAsia="zh-CN"/>
        </w:rPr>
        <w:t>投标人</w:t>
      </w:r>
      <w:r>
        <w:rPr>
          <w:rFonts w:hint="default" w:ascii="宋体" w:hAnsi="宋体" w:eastAsia="宋体" w:cs="宋体"/>
          <w:b w:val="0"/>
          <w:bCs w:val="0"/>
          <w:color w:val="auto"/>
          <w:szCs w:val="22"/>
          <w:highlight w:val="none"/>
          <w:lang w:val="en-US" w:eastAsia="zh-CN"/>
        </w:rPr>
        <w:t>综合考虑节能、节水、环保、循环、低碳、再生、有机等因素，参考相关国家标准、行业标准或团体标准，提供绿色节能、环保产品。</w:t>
      </w:r>
    </w:p>
    <w:p>
      <w:pPr>
        <w:numPr>
          <w:ilvl w:val="1"/>
          <w:numId w:val="11"/>
        </w:numPr>
        <w:tabs>
          <w:tab w:val="left" w:pos="0"/>
          <w:tab w:val="clear" w:pos="562"/>
        </w:tabs>
        <w:snapToGrid w:val="0"/>
        <w:spacing w:line="360" w:lineRule="auto"/>
        <w:ind w:left="7" w:leftChars="0" w:firstLine="413" w:firstLineChars="0"/>
        <w:jc w:val="both"/>
        <w:rPr>
          <w:rFonts w:hint="eastAsia" w:ascii="宋体" w:hAnsi="宋体" w:eastAsia="宋体" w:cs="宋体"/>
          <w:b w:val="0"/>
          <w:bCs w:val="0"/>
          <w:color w:val="auto"/>
          <w:szCs w:val="22"/>
          <w:highlight w:val="none"/>
          <w:lang w:val="en-US" w:eastAsia="zh-CN"/>
        </w:rPr>
      </w:pPr>
      <w:r>
        <w:rPr>
          <w:rFonts w:hint="eastAsia" w:ascii="宋体" w:hAnsi="宋体" w:eastAsia="宋体" w:cs="宋体"/>
          <w:b w:val="0"/>
          <w:bCs w:val="0"/>
          <w:color w:val="auto"/>
          <w:szCs w:val="22"/>
          <w:highlight w:val="none"/>
          <w:lang w:val="en-US" w:eastAsia="zh-CN"/>
        </w:rPr>
        <w:t>商品包装或快递包：涉及商品包装或快递包装的，按照财政部办公厅、生态环境部办公厅、国家邮政局办公室关于印发《商品包装政府采购需求标准（试行）》、《快递包装政府采购需求标准（试行）》的通知（财办库</w:t>
      </w:r>
      <w:r>
        <w:rPr>
          <w:rFonts w:hint="default" w:ascii="Arial" w:hAnsi="Arial" w:eastAsia="宋体" w:cs="Arial"/>
          <w:b w:val="0"/>
          <w:bCs w:val="0"/>
          <w:color w:val="auto"/>
          <w:szCs w:val="22"/>
          <w:highlight w:val="none"/>
          <w:lang w:val="en-US" w:eastAsia="zh-CN"/>
        </w:rPr>
        <w:t>〔2020〕123</w:t>
      </w:r>
      <w:r>
        <w:rPr>
          <w:rFonts w:hint="eastAsia" w:ascii="宋体" w:hAnsi="宋体" w:eastAsia="宋体" w:cs="宋体"/>
          <w:b w:val="0"/>
          <w:bCs w:val="0"/>
          <w:color w:val="auto"/>
          <w:szCs w:val="22"/>
          <w:highlight w:val="none"/>
          <w:lang w:val="en-US" w:eastAsia="zh-CN"/>
        </w:rPr>
        <w:t>号）要求执行。</w:t>
      </w:r>
      <w:r>
        <w:rPr>
          <w:rFonts w:hint="eastAsia" w:ascii="宋体" w:hAnsi="宋体" w:cs="宋体"/>
          <w:color w:val="auto"/>
          <w:highlight w:val="none"/>
        </w:rPr>
        <w:t>优先采购绿色包装产品、绿色物流配送服务以及循环利用产品。</w:t>
      </w:r>
    </w:p>
    <w:p>
      <w:pPr>
        <w:numPr>
          <w:ilvl w:val="1"/>
          <w:numId w:val="11"/>
        </w:numPr>
        <w:snapToGrid w:val="0"/>
        <w:spacing w:line="360" w:lineRule="auto"/>
        <w:ind w:left="567" w:leftChars="0" w:hanging="147" w:firstLineChars="0"/>
        <w:jc w:val="both"/>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b w:val="0"/>
          <w:bCs w:val="0"/>
          <w:color w:val="auto"/>
          <w:szCs w:val="22"/>
          <w:highlight w:val="none"/>
          <w:lang w:val="en-US" w:eastAsia="zh-CN"/>
        </w:rPr>
        <w:t>支持中小企业发展</w:t>
      </w:r>
    </w:p>
    <w:p>
      <w:pPr>
        <w:numPr>
          <w:ilvl w:val="2"/>
          <w:numId w:val="11"/>
        </w:numPr>
        <w:tabs>
          <w:tab w:val="left" w:pos="840"/>
        </w:tabs>
        <w:snapToGrid w:val="0"/>
        <w:spacing w:line="360" w:lineRule="auto"/>
        <w:ind w:left="9" w:leftChars="0" w:firstLine="411" w:firstLineChars="0"/>
        <w:jc w:val="both"/>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 xml:space="preserve"> 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中小微型企业划分标准参照《中小企业划型标准规定》（工信部联企业〔</w:t>
      </w:r>
      <w:r>
        <w:rPr>
          <w:rFonts w:hint="eastAsia" w:ascii="Arial" w:hAnsi="Arial" w:eastAsia="宋体" w:cs="Arial"/>
          <w:b w:val="0"/>
          <w:bCs w:val="0"/>
          <w:color w:val="auto"/>
          <w:szCs w:val="22"/>
          <w:highlight w:val="none"/>
          <w:lang w:val="en-US" w:eastAsia="zh-CN"/>
        </w:rPr>
        <w:t>2011</w:t>
      </w:r>
      <w:r>
        <w:rPr>
          <w:rFonts w:hint="eastAsia" w:ascii="宋体" w:hAnsi="宋体" w:eastAsia="宋体" w:cs="宋体"/>
          <w:snapToGrid w:val="0"/>
          <w:color w:val="auto"/>
          <w:kern w:val="0"/>
          <w:sz w:val="21"/>
          <w:szCs w:val="21"/>
          <w:highlight w:val="none"/>
          <w:lang w:val="en-US" w:eastAsia="zh-CN" w:bidi="ar-SA"/>
        </w:rPr>
        <w:t>〕300号）。</w:t>
      </w:r>
    </w:p>
    <w:p>
      <w:pPr>
        <w:numPr>
          <w:ilvl w:val="2"/>
          <w:numId w:val="11"/>
        </w:numPr>
        <w:tabs>
          <w:tab w:val="left" w:pos="0"/>
          <w:tab w:val="left" w:pos="840"/>
        </w:tabs>
        <w:snapToGrid w:val="0"/>
        <w:spacing w:line="360" w:lineRule="auto"/>
        <w:ind w:left="9" w:leftChars="0" w:firstLine="411" w:firstLineChars="0"/>
        <w:jc w:val="both"/>
        <w:rPr>
          <w:rFonts w:hint="eastAsia"/>
        </w:rPr>
      </w:pPr>
      <w:r>
        <w:rPr>
          <w:rFonts w:hint="eastAsia" w:ascii="宋体" w:hAnsi="宋体" w:eastAsia="宋体" w:cs="宋体"/>
          <w:snapToGrid w:val="0"/>
          <w:color w:val="auto"/>
          <w:kern w:val="0"/>
          <w:sz w:val="21"/>
          <w:szCs w:val="21"/>
          <w:highlight w:val="none"/>
          <w:lang w:val="en-US" w:eastAsia="zh-CN" w:bidi="ar-SA"/>
        </w:rPr>
        <w:t xml:space="preserve"> 投标人提供的货物、工程或者服务符合下列情形的，享受《政府采购促进中小企业发展管理办法》规定的中小企业扶持政策：</w:t>
      </w:r>
    </w:p>
    <w:p>
      <w:pPr>
        <w:numPr>
          <w:ilvl w:val="0"/>
          <w:numId w:val="0"/>
        </w:numPr>
        <w:tabs>
          <w:tab w:val="left" w:pos="840"/>
        </w:tabs>
        <w:snapToGrid w:val="0"/>
        <w:spacing w:line="360" w:lineRule="auto"/>
        <w:ind w:left="0" w:leftChars="0" w:firstLine="420" w:firstLineChars="200"/>
        <w:jc w:val="both"/>
        <w:rPr>
          <w:rFonts w:hint="eastAsia" w:ascii="宋体" w:hAnsi="宋体" w:eastAsia="宋体" w:cs="宋体"/>
          <w:snapToGrid w:val="0"/>
          <w:color w:val="auto"/>
          <w:kern w:val="0"/>
          <w:sz w:val="21"/>
          <w:szCs w:val="21"/>
          <w:highlight w:val="none"/>
          <w:lang w:val="en-US" w:eastAsia="zh-CN" w:bidi="ar-SA"/>
        </w:rPr>
      </w:pPr>
      <w:r>
        <w:rPr>
          <w:rFonts w:hint="default" w:ascii="Times New Roman" w:hAnsi="Times New Roman" w:eastAsia="宋体" w:cs="Times New Roman"/>
          <w:snapToGrid w:val="0"/>
          <w:color w:val="auto"/>
          <w:kern w:val="0"/>
          <w:sz w:val="21"/>
          <w:szCs w:val="21"/>
          <w:highlight w:val="none"/>
          <w:lang w:val="en-US" w:eastAsia="zh-CN" w:bidi="ar-SA"/>
        </w:rPr>
        <w:t>（1）</w:t>
      </w:r>
      <w:r>
        <w:rPr>
          <w:rFonts w:hint="eastAsia" w:ascii="宋体" w:hAnsi="宋体" w:eastAsia="宋体" w:cs="宋体"/>
          <w:snapToGrid w:val="0"/>
          <w:color w:val="auto"/>
          <w:kern w:val="0"/>
          <w:sz w:val="21"/>
          <w:szCs w:val="21"/>
          <w:highlight w:val="none"/>
          <w:lang w:val="en-US" w:eastAsia="zh-CN" w:bidi="ar-SA"/>
        </w:rPr>
        <w:t>在货物采购项目中，货物由中小企业制造，即货物由中小企业生产且使用该中小企业商号或者注册商标；</w:t>
      </w:r>
    </w:p>
    <w:p>
      <w:pPr>
        <w:numPr>
          <w:ilvl w:val="0"/>
          <w:numId w:val="0"/>
        </w:numPr>
        <w:tabs>
          <w:tab w:val="left" w:pos="840"/>
        </w:tabs>
        <w:snapToGrid w:val="0"/>
        <w:spacing w:line="360" w:lineRule="auto"/>
        <w:ind w:left="420" w:leftChars="0"/>
        <w:jc w:val="both"/>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w:t>
      </w:r>
      <w:r>
        <w:rPr>
          <w:rFonts w:hint="default" w:ascii="Times New Roman" w:hAnsi="Times New Roman" w:eastAsia="宋体" w:cs="Times New Roman"/>
          <w:snapToGrid w:val="0"/>
          <w:color w:val="auto"/>
          <w:kern w:val="0"/>
          <w:sz w:val="21"/>
          <w:szCs w:val="21"/>
          <w:highlight w:val="none"/>
          <w:lang w:val="en-US" w:eastAsia="zh-CN" w:bidi="ar-SA"/>
        </w:rPr>
        <w:t>2</w:t>
      </w:r>
      <w:r>
        <w:rPr>
          <w:rFonts w:hint="eastAsia" w:ascii="宋体" w:hAnsi="宋体" w:eastAsia="宋体" w:cs="宋体"/>
          <w:snapToGrid w:val="0"/>
          <w:color w:val="auto"/>
          <w:kern w:val="0"/>
          <w:sz w:val="21"/>
          <w:szCs w:val="21"/>
          <w:highlight w:val="none"/>
          <w:lang w:val="en-US" w:eastAsia="zh-CN" w:bidi="ar-SA"/>
        </w:rPr>
        <w:t>）在工程采购项目中，工程由中小企业承建，即工程施工单位为中小企业；</w:t>
      </w:r>
    </w:p>
    <w:p>
      <w:pPr>
        <w:numPr>
          <w:ilvl w:val="0"/>
          <w:numId w:val="0"/>
        </w:numPr>
        <w:tabs>
          <w:tab w:val="left" w:pos="840"/>
        </w:tabs>
        <w:snapToGrid w:val="0"/>
        <w:spacing w:line="360" w:lineRule="auto"/>
        <w:ind w:left="0" w:leftChars="0" w:firstLine="420" w:firstLineChars="200"/>
        <w:jc w:val="both"/>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w:t>
      </w:r>
      <w:r>
        <w:rPr>
          <w:rFonts w:hint="default" w:ascii="Times New Roman" w:hAnsi="Times New Roman" w:eastAsia="宋体" w:cs="Times New Roman"/>
          <w:snapToGrid w:val="0"/>
          <w:color w:val="auto"/>
          <w:kern w:val="0"/>
          <w:sz w:val="21"/>
          <w:szCs w:val="21"/>
          <w:highlight w:val="none"/>
          <w:lang w:val="en-US" w:eastAsia="zh-CN" w:bidi="ar-SA"/>
        </w:rPr>
        <w:t>3</w:t>
      </w:r>
      <w:r>
        <w:rPr>
          <w:rFonts w:hint="eastAsia" w:ascii="宋体" w:hAnsi="宋体" w:eastAsia="宋体" w:cs="宋体"/>
          <w:snapToGrid w:val="0"/>
          <w:color w:val="auto"/>
          <w:kern w:val="0"/>
          <w:sz w:val="21"/>
          <w:szCs w:val="21"/>
          <w:highlight w:val="none"/>
          <w:lang w:val="en-US" w:eastAsia="zh-CN" w:bidi="ar-SA"/>
        </w:rPr>
        <w:t>）在服务采购项目中，服务由中小企业承接，即提供服务的人员为中小企业依照《中华人民共和国劳动合同法》订立劳动合同的从业人员。</w:t>
      </w:r>
    </w:p>
    <w:p>
      <w:pPr>
        <w:numPr>
          <w:ilvl w:val="0"/>
          <w:numId w:val="0"/>
        </w:numPr>
        <w:tabs>
          <w:tab w:val="left" w:pos="840"/>
        </w:tabs>
        <w:snapToGrid w:val="0"/>
        <w:spacing w:line="360" w:lineRule="auto"/>
        <w:ind w:left="0" w:leftChars="0" w:firstLine="420" w:firstLineChars="200"/>
        <w:jc w:val="both"/>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在货物采购项目中，投标人提供的货物既有中小企业制造货物，也有大型企业制造货的，不享受中小企业扶持政策。</w:t>
      </w:r>
    </w:p>
    <w:p>
      <w:pPr>
        <w:numPr>
          <w:ilvl w:val="0"/>
          <w:numId w:val="0"/>
        </w:numPr>
        <w:tabs>
          <w:tab w:val="left" w:pos="840"/>
        </w:tabs>
        <w:snapToGrid w:val="0"/>
        <w:spacing w:line="360" w:lineRule="auto"/>
        <w:ind w:left="0" w:leftChars="0" w:firstLine="420" w:firstLineChars="200"/>
        <w:jc w:val="both"/>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以联合体形式参加政府采购活动，联合体各方均为中小企业的，联合体视同中小企业。其中，联合体各方均为小微企业的，联合体视同小微企业。</w:t>
      </w:r>
    </w:p>
    <w:p>
      <w:pPr>
        <w:numPr>
          <w:ilvl w:val="2"/>
          <w:numId w:val="11"/>
        </w:numPr>
        <w:tabs>
          <w:tab w:val="left" w:pos="0"/>
          <w:tab w:val="left" w:pos="840"/>
        </w:tabs>
        <w:snapToGrid w:val="0"/>
        <w:spacing w:line="360" w:lineRule="auto"/>
        <w:ind w:left="9" w:leftChars="0" w:firstLine="411" w:firstLineChars="0"/>
        <w:jc w:val="both"/>
        <w:rPr>
          <w:rFonts w:hint="default"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 xml:space="preserve"> 在货物类采购项目中，货物应当由中小企业制造，不对其中涉及的服务的承接商作出要求；在工程采购项目中，工程应当由中小企业承建，不对其中涉及的货物的制造商和服务的承接商作出要求；在服务类采购项目中，服务的承接商应当为中小企业，不对其中涉及的货物的制造商作出要求。</w:t>
      </w:r>
    </w:p>
    <w:p>
      <w:pPr>
        <w:numPr>
          <w:ilvl w:val="2"/>
          <w:numId w:val="11"/>
        </w:numPr>
        <w:tabs>
          <w:tab w:val="left" w:pos="0"/>
          <w:tab w:val="left" w:pos="840"/>
        </w:tabs>
        <w:snapToGrid w:val="0"/>
        <w:spacing w:line="360" w:lineRule="auto"/>
        <w:ind w:left="9" w:leftChars="0" w:firstLine="411" w:firstLineChars="0"/>
        <w:jc w:val="both"/>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 xml:space="preserve"> 对于未预留份额专门面向中小企业采购的采购项目，以及预留份额项目中的非预留部分采购包，对小微企业报价给予</w:t>
      </w:r>
      <w:r>
        <w:rPr>
          <w:rFonts w:hint="eastAsia" w:ascii="Arial" w:hAnsi="Arial" w:cs="Arial"/>
          <w:szCs w:val="21"/>
          <w:highlight w:val="none"/>
          <w:lang w:val="en-US" w:eastAsia="zh-CN"/>
        </w:rPr>
        <w:t>10%</w:t>
      </w:r>
      <w:r>
        <w:rPr>
          <w:rFonts w:hint="eastAsia" w:ascii="宋体" w:hAnsi="宋体" w:cs="宋体"/>
          <w:szCs w:val="21"/>
          <w:highlight w:val="none"/>
          <w:lang w:val="en-US" w:eastAsia="zh-CN"/>
        </w:rPr>
        <w:t>-</w:t>
      </w:r>
      <w:r>
        <w:rPr>
          <w:rFonts w:hint="eastAsia" w:ascii="Arial" w:hAnsi="Arial" w:cs="Arial"/>
          <w:szCs w:val="21"/>
          <w:highlight w:val="none"/>
          <w:lang w:val="en-US" w:eastAsia="zh-CN"/>
        </w:rPr>
        <w:t>2</w:t>
      </w:r>
      <w:r>
        <w:rPr>
          <w:rFonts w:ascii="Arial" w:hAnsi="Arial" w:cs="Arial"/>
          <w:szCs w:val="21"/>
          <w:highlight w:val="none"/>
        </w:rPr>
        <w:t>0%</w:t>
      </w:r>
      <w:r>
        <w:rPr>
          <w:rFonts w:hint="eastAsia" w:ascii="宋体" w:hAnsi="宋体" w:eastAsia="宋体" w:cs="宋体"/>
          <w:snapToGrid w:val="0"/>
          <w:color w:val="auto"/>
          <w:kern w:val="0"/>
          <w:sz w:val="21"/>
          <w:szCs w:val="21"/>
          <w:highlight w:val="none"/>
          <w:lang w:val="en-US" w:eastAsia="zh-CN" w:bidi="ar-SA"/>
        </w:rPr>
        <w:t>的扣除，用扣除后的价格参加评审。</w:t>
      </w:r>
    </w:p>
    <w:p>
      <w:pPr>
        <w:numPr>
          <w:ilvl w:val="0"/>
          <w:numId w:val="0"/>
        </w:numPr>
        <w:tabs>
          <w:tab w:val="left" w:pos="0"/>
        </w:tabs>
        <w:snapToGrid w:val="0"/>
        <w:spacing w:line="360" w:lineRule="auto"/>
        <w:ind w:left="15" w:leftChars="7" w:firstLine="405" w:firstLineChars="0"/>
        <w:jc w:val="both"/>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最后报价给予</w:t>
      </w:r>
      <w:r>
        <w:rPr>
          <w:rFonts w:hint="eastAsia" w:ascii="Arial" w:hAnsi="Arial" w:cs="Arial"/>
          <w:szCs w:val="21"/>
          <w:highlight w:val="none"/>
          <w:lang w:val="en-US" w:eastAsia="zh-CN"/>
        </w:rPr>
        <w:t>4%-6%</w:t>
      </w:r>
      <w:r>
        <w:rPr>
          <w:rFonts w:hint="eastAsia" w:ascii="宋体" w:hAnsi="宋体" w:eastAsia="宋体" w:cs="宋体"/>
          <w:snapToGrid w:val="0"/>
          <w:color w:val="auto"/>
          <w:kern w:val="0"/>
          <w:sz w:val="21"/>
          <w:szCs w:val="21"/>
          <w:highlight w:val="none"/>
          <w:lang w:val="en-US" w:eastAsia="zh-CN" w:bidi="ar-SA"/>
        </w:rPr>
        <w:t>的扣除，用扣除后的价格参加评审。组成联合体或者接受分包的小微企业与联合体内其他企业、分包企业之间存在直接控股、管理关系的，不享受价格扣除优惠政策。</w:t>
      </w:r>
    </w:p>
    <w:p>
      <w:pPr>
        <w:numPr>
          <w:ilvl w:val="2"/>
          <w:numId w:val="11"/>
        </w:numPr>
        <w:tabs>
          <w:tab w:val="left" w:pos="840"/>
        </w:tabs>
        <w:snapToGrid w:val="0"/>
        <w:spacing w:line="360" w:lineRule="auto"/>
        <w:ind w:left="9" w:leftChars="0" w:firstLine="411" w:firstLineChars="0"/>
        <w:jc w:val="both"/>
        <w:rPr>
          <w:rFonts w:hint="eastAsia"/>
          <w:szCs w:val="22"/>
          <w:highlight w:val="none"/>
        </w:rPr>
      </w:pPr>
      <w:r>
        <w:rPr>
          <w:rFonts w:hint="eastAsia" w:ascii="宋体" w:hAnsi="宋体" w:eastAsia="宋体" w:cs="宋体"/>
          <w:snapToGrid w:val="0"/>
          <w:color w:val="auto"/>
          <w:kern w:val="0"/>
          <w:sz w:val="21"/>
          <w:szCs w:val="21"/>
          <w:highlight w:val="none"/>
          <w:lang w:val="en-US" w:eastAsia="zh-CN" w:bidi="ar-SA"/>
        </w:rPr>
        <w:t xml:space="preserve"> 中小企业参加政府采购活动，应当出具《中小企业声明函》，否则不得享受相关中小企业扶持政策。</w:t>
      </w:r>
    </w:p>
    <w:p>
      <w:pPr>
        <w:numPr>
          <w:ilvl w:val="2"/>
          <w:numId w:val="11"/>
        </w:numPr>
        <w:tabs>
          <w:tab w:val="left" w:pos="0"/>
          <w:tab w:val="left" w:pos="840"/>
        </w:tabs>
        <w:snapToGrid w:val="0"/>
        <w:spacing w:line="360" w:lineRule="auto"/>
        <w:ind w:left="9" w:leftChars="0" w:firstLine="411" w:firstLineChars="0"/>
        <w:jc w:val="both"/>
        <w:rPr>
          <w:rFonts w:hint="eastAsia" w:ascii="宋体" w:hAnsi="宋体" w:eastAsia="宋体" w:cs="宋体"/>
          <w:snapToGrid w:val="0"/>
          <w:color w:val="auto"/>
          <w:kern w:val="0"/>
          <w:sz w:val="21"/>
          <w:szCs w:val="21"/>
          <w:highlight w:val="none"/>
          <w:lang w:val="en-US" w:eastAsia="zh-CN" w:bidi="ar-SA"/>
        </w:rPr>
      </w:pPr>
      <w:r>
        <w:rPr>
          <w:rFonts w:hint="eastAsia"/>
          <w:highlight w:val="none"/>
          <w:lang w:val="en-US" w:eastAsia="zh-CN"/>
        </w:rPr>
        <w:t xml:space="preserve"> </w:t>
      </w:r>
      <w:r>
        <w:rPr>
          <w:rFonts w:hint="eastAsia"/>
          <w:highlight w:val="none"/>
        </w:rPr>
        <w:t>符合《关于促进残疾人就业政府采购政策的通知》（财库〔</w:t>
      </w:r>
      <w:r>
        <w:rPr>
          <w:rFonts w:hint="eastAsia" w:ascii="Arial" w:hAnsi="Arial" w:eastAsia="宋体" w:cs="Arial"/>
          <w:b w:val="0"/>
          <w:bCs w:val="0"/>
          <w:color w:val="auto"/>
          <w:szCs w:val="22"/>
          <w:highlight w:val="none"/>
          <w:lang w:val="en-US" w:eastAsia="zh-CN"/>
        </w:rPr>
        <w:t>2017〕141</w:t>
      </w:r>
      <w:r>
        <w:rPr>
          <w:rFonts w:hint="eastAsia"/>
          <w:highlight w:val="none"/>
        </w:rPr>
        <w:t>号）规定的条件并提供《残疾人福利性单位声明函》的残疾人福利性单位视同小型、微型企业</w:t>
      </w:r>
      <w:r>
        <w:rPr>
          <w:rFonts w:hint="eastAsia"/>
          <w:highlight w:val="none"/>
          <w:lang w:eastAsia="zh-CN"/>
        </w:rPr>
        <w:t>。</w:t>
      </w:r>
    </w:p>
    <w:p>
      <w:pPr>
        <w:numPr>
          <w:ilvl w:val="2"/>
          <w:numId w:val="11"/>
        </w:numPr>
        <w:tabs>
          <w:tab w:val="left" w:pos="0"/>
          <w:tab w:val="left" w:pos="840"/>
        </w:tabs>
        <w:snapToGrid w:val="0"/>
        <w:spacing w:line="360" w:lineRule="auto"/>
        <w:ind w:left="9" w:leftChars="0" w:firstLine="411" w:firstLineChars="0"/>
        <w:jc w:val="both"/>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 xml:space="preserve"> 符合《关于政府采购支持监狱企业发展有关问题的通知》（财库</w:t>
      </w:r>
      <w:r>
        <w:rPr>
          <w:rFonts w:hint="eastAsia" w:ascii="Arial" w:hAnsi="Arial" w:eastAsia="宋体" w:cs="Arial"/>
          <w:b w:val="0"/>
          <w:bCs w:val="0"/>
          <w:color w:val="auto"/>
          <w:szCs w:val="22"/>
          <w:highlight w:val="none"/>
          <w:lang w:val="en-US" w:eastAsia="zh-CN"/>
        </w:rPr>
        <w:t>[2014]68</w:t>
      </w:r>
      <w:r>
        <w:rPr>
          <w:rFonts w:hint="eastAsia" w:ascii="宋体" w:hAnsi="宋体" w:eastAsia="宋体" w:cs="宋体"/>
          <w:snapToGrid w:val="0"/>
          <w:color w:val="auto"/>
          <w:kern w:val="0"/>
          <w:sz w:val="21"/>
          <w:szCs w:val="21"/>
          <w:highlight w:val="none"/>
          <w:lang w:val="en-US" w:eastAsia="zh-CN" w:bidi="ar-SA"/>
        </w:rPr>
        <w:t>号）规定的监狱企业并提供由省级以上监狱管理局、戒毒管理局（含新疆生产建设兵团）出具的属于监狱企业证明文件的，视同小型、微型企业。</w:t>
      </w:r>
    </w:p>
    <w:p>
      <w:pPr>
        <w:numPr>
          <w:ilvl w:val="2"/>
          <w:numId w:val="11"/>
        </w:numPr>
        <w:tabs>
          <w:tab w:val="left" w:pos="0"/>
          <w:tab w:val="left" w:pos="840"/>
        </w:tabs>
        <w:snapToGrid w:val="0"/>
        <w:spacing w:line="360" w:lineRule="auto"/>
        <w:ind w:left="9" w:leftChars="0" w:firstLine="411" w:firstLineChars="0"/>
        <w:jc w:val="both"/>
        <w:rPr>
          <w:rFonts w:hint="eastAsia"/>
          <w:color w:val="auto"/>
          <w:szCs w:val="22"/>
          <w:lang w:val="en-US" w:eastAsia="zh-CN"/>
        </w:rPr>
      </w:pPr>
      <w:r>
        <w:rPr>
          <w:rFonts w:hint="eastAsia" w:ascii="宋体" w:hAnsi="宋体" w:eastAsia="宋体" w:cs="宋体"/>
          <w:snapToGrid w:val="0"/>
          <w:color w:val="auto"/>
          <w:kern w:val="0"/>
          <w:sz w:val="21"/>
          <w:szCs w:val="21"/>
          <w:highlight w:val="none"/>
          <w:lang w:val="en-US" w:eastAsia="zh-CN" w:bidi="ar-SA"/>
        </w:rPr>
        <w:t xml:space="preserve"> 监狱企业、残疾人福利性单位视同小型、微型企业的，享受价格扣除。监狱企业、残</w:t>
      </w:r>
      <w:r>
        <w:rPr>
          <w:rFonts w:hint="eastAsia"/>
          <w:b w:val="0"/>
          <w:bCs w:val="0"/>
          <w:color w:val="auto"/>
        </w:rPr>
        <w:t>疾人福利性单位属于小型、微型企业的，不重复享受政策。</w:t>
      </w:r>
    </w:p>
    <w:p>
      <w:pPr>
        <w:numPr>
          <w:ilvl w:val="2"/>
          <w:numId w:val="11"/>
        </w:numPr>
        <w:tabs>
          <w:tab w:val="left" w:pos="0"/>
          <w:tab w:val="left" w:pos="840"/>
        </w:tabs>
        <w:snapToGrid w:val="0"/>
        <w:spacing w:line="360" w:lineRule="auto"/>
        <w:ind w:left="9" w:leftChars="0" w:firstLine="411" w:firstLineChars="0"/>
        <w:jc w:val="both"/>
        <w:rPr>
          <w:rFonts w:hint="eastAsia" w:ascii="宋体" w:hAnsi="宋体" w:eastAsia="宋体" w:cs="宋体"/>
          <w:b w:val="0"/>
          <w:bCs/>
          <w:color w:val="auto"/>
          <w:sz w:val="21"/>
          <w:szCs w:val="21"/>
          <w:lang w:val="en-US" w:eastAsia="zh-CN"/>
        </w:rPr>
      </w:pPr>
      <w:r>
        <w:rPr>
          <w:rFonts w:hint="eastAsia"/>
          <w:strike w:val="0"/>
          <w:dstrike w:val="0"/>
          <w:color w:val="auto"/>
          <w:szCs w:val="22"/>
          <w:highlight w:val="none"/>
          <w:lang w:val="en-US" w:eastAsia="zh-CN"/>
        </w:rPr>
        <w:t xml:space="preserve"> 中小企业信用融资：鼓励中小企业依法合规通过政府采购合同融资，采用“政采贷”等金融产品在线融资。</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保密义务</w:t>
      </w:r>
    </w:p>
    <w:p>
      <w:pPr>
        <w:keepNext w:val="0"/>
        <w:keepLines w:val="0"/>
        <w:pageBreakBefore w:val="0"/>
        <w:widowControl/>
        <w:kinsoku/>
        <w:wordWrap/>
        <w:overflowPunct/>
        <w:topLinePunct w:val="0"/>
        <w:autoSpaceDE/>
        <w:autoSpaceDN/>
        <w:bidi w:val="0"/>
        <w:adjustRightInd w:val="0"/>
        <w:snapToGrid w:val="0"/>
        <w:spacing w:line="360" w:lineRule="auto"/>
        <w:ind w:left="10" w:leftChars="0" w:firstLine="409" w:firstLineChars="195"/>
        <w:textAlignment w:val="auto"/>
        <w:outlineLvl w:val="9"/>
        <w:rPr>
          <w:rFonts w:ascii="宋体" w:hAnsi="宋体" w:cs="宋体"/>
          <w:szCs w:val="21"/>
        </w:rPr>
      </w:pPr>
      <w:r>
        <w:rPr>
          <w:rFonts w:hint="eastAsia" w:ascii="宋体" w:hAnsi="宋体" w:eastAsia="宋体" w:cs="宋体"/>
          <w:snapToGrid w:val="0"/>
          <w:color w:val="auto"/>
          <w:kern w:val="0"/>
          <w:szCs w:val="21"/>
          <w:highlight w:val="none"/>
        </w:rPr>
        <w:t>参与采购活动的所有各方，对在参与投标过程中获悉的国家、商业和技术秘密以及其它依法应当保密的内容，均负有保密义务，违者应对由此造成的后果承担全部法律责任。</w:t>
      </w:r>
    </w:p>
    <w:p>
      <w:pPr>
        <w:pStyle w:val="3"/>
        <w:spacing w:before="156" w:beforeLines="50" w:after="156" w:afterLines="50" w:line="360" w:lineRule="auto"/>
        <w:jc w:val="center"/>
        <w:rPr>
          <w:rFonts w:ascii="宋体" w:hAnsi="宋体" w:cs="宋体"/>
          <w:bCs w:val="0"/>
          <w:sz w:val="24"/>
          <w:szCs w:val="24"/>
        </w:rPr>
      </w:pPr>
      <w:bookmarkStart w:id="316" w:name="_Toc20771"/>
      <w:bookmarkStart w:id="317" w:name="_Toc4950"/>
      <w:bookmarkStart w:id="318" w:name="_Toc23030"/>
      <w:bookmarkStart w:id="319" w:name="_Toc16421"/>
      <w:bookmarkStart w:id="320" w:name="_Toc3012"/>
      <w:bookmarkStart w:id="321" w:name="_Toc11759"/>
      <w:bookmarkStart w:id="322" w:name="_Toc25037"/>
      <w:bookmarkStart w:id="323" w:name="_Toc15034"/>
      <w:bookmarkStart w:id="324" w:name="_Toc4956"/>
      <w:bookmarkStart w:id="325" w:name="_Toc26896"/>
      <w:bookmarkStart w:id="326" w:name="_Toc11738"/>
      <w:bookmarkStart w:id="327" w:name="_Toc12577"/>
      <w:bookmarkStart w:id="328" w:name="_Toc23139"/>
      <w:bookmarkStart w:id="329" w:name="_Toc9811"/>
      <w:bookmarkStart w:id="330" w:name="_Toc32479"/>
      <w:bookmarkStart w:id="331" w:name="_Toc29618"/>
      <w:bookmarkStart w:id="332" w:name="_Toc10237"/>
      <w:bookmarkStart w:id="333" w:name="_Toc31590"/>
      <w:bookmarkStart w:id="334" w:name="_Toc27623"/>
      <w:bookmarkStart w:id="335" w:name="_Toc16167"/>
      <w:bookmarkStart w:id="336" w:name="_Toc8533"/>
      <w:bookmarkStart w:id="337" w:name="_Toc12454"/>
      <w:bookmarkStart w:id="338" w:name="_Toc22071"/>
      <w:bookmarkStart w:id="339" w:name="_Toc8590"/>
      <w:bookmarkStart w:id="340" w:name="_Toc4315"/>
      <w:bookmarkStart w:id="341" w:name="_Toc15565"/>
      <w:bookmarkStart w:id="342" w:name="_Toc31967"/>
      <w:bookmarkStart w:id="343" w:name="_Toc27817"/>
      <w:bookmarkStart w:id="344" w:name="_Toc24532"/>
      <w:bookmarkStart w:id="345" w:name="_Toc26967"/>
      <w:bookmarkStart w:id="346" w:name="_Toc30763"/>
      <w:bookmarkStart w:id="347" w:name="_Toc17165"/>
      <w:bookmarkStart w:id="348" w:name="_Toc29274"/>
      <w:bookmarkStart w:id="349" w:name="_Toc13748"/>
      <w:bookmarkStart w:id="350" w:name="_Toc16796"/>
      <w:bookmarkStart w:id="351" w:name="_Toc26686"/>
      <w:r>
        <w:rPr>
          <w:rFonts w:hint="eastAsia" w:ascii="宋体" w:hAnsi="宋体" w:cs="宋体"/>
          <w:bCs w:val="0"/>
          <w:sz w:val="24"/>
          <w:szCs w:val="24"/>
          <w:lang w:eastAsia="zh-CN"/>
        </w:rPr>
        <w:t>二、</w:t>
      </w:r>
      <w:r>
        <w:rPr>
          <w:rFonts w:hint="eastAsia" w:ascii="宋体" w:hAnsi="宋体" w:cs="宋体"/>
          <w:bCs w:val="0"/>
          <w:sz w:val="24"/>
          <w:szCs w:val="24"/>
        </w:rPr>
        <w:t>招标文件</w:t>
      </w:r>
      <w:bookmarkEnd w:id="316"/>
      <w:bookmarkEnd w:id="317"/>
      <w:bookmarkEnd w:id="318"/>
      <w:bookmarkEnd w:id="319"/>
      <w:bookmarkEnd w:id="320"/>
      <w:r>
        <w:rPr>
          <w:rFonts w:hint="eastAsia" w:ascii="宋体" w:hAnsi="宋体" w:cs="宋体"/>
          <w:bCs w:val="0"/>
          <w:sz w:val="24"/>
          <w:szCs w:val="24"/>
          <w:lang w:eastAsia="zh-CN"/>
        </w:rPr>
        <w:t>的</w:t>
      </w:r>
      <w:r>
        <w:rPr>
          <w:rFonts w:hint="eastAsia" w:ascii="宋体" w:hAnsi="宋体" w:cs="宋体"/>
          <w:b/>
          <w:bCs/>
          <w:color w:val="000000"/>
          <w:sz w:val="24"/>
          <w:szCs w:val="24"/>
          <w:lang w:val="en-US" w:eastAsia="zh-CN"/>
        </w:rPr>
        <w:t>构成、</w:t>
      </w:r>
      <w:r>
        <w:rPr>
          <w:rFonts w:hint="eastAsia" w:ascii="宋体" w:hAnsi="宋体" w:cs="宋体"/>
          <w:b/>
          <w:bCs/>
          <w:color w:val="000000"/>
          <w:sz w:val="24"/>
          <w:szCs w:val="24"/>
        </w:rPr>
        <w:t>澄清</w:t>
      </w:r>
      <w:r>
        <w:rPr>
          <w:rFonts w:hint="eastAsia" w:ascii="宋体" w:hAnsi="宋体" w:cs="宋体"/>
          <w:b/>
          <w:bCs/>
          <w:color w:val="000000"/>
          <w:sz w:val="24"/>
          <w:szCs w:val="24"/>
          <w:lang w:eastAsia="zh-CN"/>
        </w:rPr>
        <w:t>、</w:t>
      </w:r>
      <w:r>
        <w:rPr>
          <w:rFonts w:hint="eastAsia" w:ascii="宋体" w:hAnsi="宋体" w:cs="宋体"/>
          <w:b/>
          <w:bCs/>
          <w:color w:val="000000"/>
          <w:sz w:val="24"/>
          <w:szCs w:val="24"/>
        </w:rPr>
        <w:t>修改</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招标文件的构成</w:t>
      </w:r>
    </w:p>
    <w:p>
      <w:pPr>
        <w:snapToGrid w:val="0"/>
        <w:spacing w:line="360" w:lineRule="auto"/>
        <w:ind w:left="0" w:leftChars="0" w:firstLine="420" w:firstLineChars="200"/>
        <w:jc w:val="both"/>
        <w:rPr>
          <w:rFonts w:ascii="宋体" w:hAnsi="宋体" w:cs="宋体"/>
          <w:szCs w:val="21"/>
        </w:rPr>
      </w:pPr>
      <w:r>
        <w:rPr>
          <w:rFonts w:hint="eastAsia" w:ascii="宋体" w:hAnsi="宋体" w:cs="宋体"/>
          <w:szCs w:val="21"/>
        </w:rPr>
        <w:t>第一部分  招标公告</w:t>
      </w:r>
    </w:p>
    <w:p>
      <w:pPr>
        <w:snapToGrid w:val="0"/>
        <w:spacing w:line="360" w:lineRule="auto"/>
        <w:ind w:left="0" w:leftChars="0" w:firstLine="420" w:firstLineChars="200"/>
        <w:jc w:val="both"/>
        <w:rPr>
          <w:rFonts w:ascii="宋体" w:hAnsi="宋体" w:cs="宋体"/>
          <w:szCs w:val="21"/>
        </w:rPr>
      </w:pPr>
      <w:r>
        <w:rPr>
          <w:rFonts w:hint="eastAsia" w:ascii="宋体" w:hAnsi="宋体" w:cs="宋体"/>
          <w:szCs w:val="21"/>
        </w:rPr>
        <w:t>第二部分  投标人须知</w:t>
      </w:r>
    </w:p>
    <w:p>
      <w:pPr>
        <w:snapToGrid w:val="0"/>
        <w:spacing w:line="360" w:lineRule="auto"/>
        <w:ind w:left="0" w:leftChars="0" w:firstLine="420" w:firstLineChars="200"/>
        <w:jc w:val="both"/>
        <w:rPr>
          <w:rFonts w:ascii="宋体" w:hAnsi="宋体" w:cs="宋体"/>
          <w:szCs w:val="21"/>
        </w:rPr>
      </w:pPr>
      <w:r>
        <w:rPr>
          <w:rFonts w:hint="eastAsia" w:ascii="宋体" w:hAnsi="宋体" w:cs="宋体"/>
          <w:szCs w:val="21"/>
        </w:rPr>
        <w:t>第三部分  招标内容及要求</w:t>
      </w:r>
    </w:p>
    <w:p>
      <w:pPr>
        <w:snapToGrid w:val="0"/>
        <w:spacing w:line="360" w:lineRule="auto"/>
        <w:ind w:left="0" w:leftChars="0" w:firstLine="420" w:firstLineChars="200"/>
        <w:jc w:val="both"/>
        <w:rPr>
          <w:rFonts w:ascii="宋体" w:hAnsi="宋体" w:cs="宋体"/>
          <w:szCs w:val="21"/>
        </w:rPr>
      </w:pPr>
      <w:r>
        <w:rPr>
          <w:rFonts w:hint="eastAsia" w:ascii="宋体" w:hAnsi="宋体" w:cs="宋体"/>
          <w:szCs w:val="21"/>
        </w:rPr>
        <w:t xml:space="preserve">第四部分  </w:t>
      </w:r>
      <w:r>
        <w:rPr>
          <w:rFonts w:hint="eastAsia" w:ascii="Arial" w:hAnsi="Arial"/>
        </w:rPr>
        <w:t>评标办法</w:t>
      </w:r>
    </w:p>
    <w:p>
      <w:pPr>
        <w:snapToGrid w:val="0"/>
        <w:spacing w:line="360" w:lineRule="auto"/>
        <w:ind w:left="0" w:leftChars="0" w:firstLine="420" w:firstLineChars="200"/>
        <w:jc w:val="both"/>
        <w:rPr>
          <w:rFonts w:ascii="Arial" w:hAnsi="Arial"/>
        </w:rPr>
      </w:pPr>
      <w:r>
        <w:rPr>
          <w:rFonts w:hint="eastAsia" w:ascii="宋体" w:hAnsi="宋体" w:cs="宋体"/>
          <w:szCs w:val="21"/>
        </w:rPr>
        <w:t>第五部分  合同条款</w:t>
      </w:r>
    </w:p>
    <w:p>
      <w:pPr>
        <w:snapToGrid w:val="0"/>
        <w:spacing w:line="360" w:lineRule="auto"/>
        <w:ind w:left="0" w:leftChars="0" w:firstLine="420" w:firstLineChars="200"/>
        <w:jc w:val="both"/>
        <w:rPr>
          <w:rFonts w:ascii="Arial" w:hAnsi="Arial"/>
        </w:rPr>
      </w:pPr>
      <w:r>
        <w:rPr>
          <w:rFonts w:hint="eastAsia" w:ascii="Arial" w:hAnsi="Arial"/>
        </w:rPr>
        <w:t xml:space="preserve">第六部分  </w:t>
      </w:r>
      <w:r>
        <w:rPr>
          <w:rFonts w:hint="eastAsia" w:ascii="宋体" w:hAnsi="宋体" w:cs="宋体"/>
          <w:szCs w:val="21"/>
        </w:rPr>
        <w:t>投标文件格式</w:t>
      </w:r>
    </w:p>
    <w:p>
      <w:pPr>
        <w:snapToGrid w:val="0"/>
        <w:spacing w:line="360" w:lineRule="auto"/>
        <w:ind w:left="0" w:leftChars="0" w:firstLine="420" w:firstLineChars="200"/>
        <w:jc w:val="both"/>
        <w:rPr>
          <w:rFonts w:ascii="宋体" w:hAnsi="宋体" w:cs="宋体"/>
          <w:szCs w:val="21"/>
          <w:highlight w:val="none"/>
        </w:rPr>
      </w:pPr>
      <w:r>
        <w:rPr>
          <w:rFonts w:hint="eastAsia" w:ascii="Arial" w:hAnsi="Arial"/>
          <w:highlight w:val="none"/>
        </w:rPr>
        <w:t>第七部分  补充通知及答疑（若有）</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招标文件的澄清和修改</w:t>
      </w:r>
    </w:p>
    <w:p>
      <w:pPr>
        <w:keepNext w:val="0"/>
        <w:keepLines w:val="0"/>
        <w:pageBreakBefore w:val="0"/>
        <w:numPr>
          <w:ilvl w:val="1"/>
          <w:numId w:val="11"/>
        </w:numPr>
        <w:tabs>
          <w:tab w:val="left" w:pos="0"/>
          <w:tab w:val="clear" w:pos="562"/>
        </w:tabs>
        <w:kinsoku/>
        <w:wordWrap/>
        <w:overflowPunct/>
        <w:topLinePunct w:val="0"/>
        <w:autoSpaceDE/>
        <w:autoSpaceDN/>
        <w:bidi w:val="0"/>
        <w:adjustRightInd/>
        <w:snapToGrid w:val="0"/>
        <w:spacing w:line="360" w:lineRule="auto"/>
        <w:ind w:left="7" w:leftChars="0" w:firstLine="413" w:firstLineChars="0"/>
        <w:jc w:val="both"/>
        <w:textAlignment w:val="auto"/>
        <w:outlineLvl w:val="9"/>
        <w:rPr>
          <w:rFonts w:hint="eastAsia" w:ascii="宋体" w:hAnsi="宋体"/>
          <w:color w:val="000000"/>
          <w:kern w:val="0"/>
          <w:sz w:val="21"/>
          <w:szCs w:val="21"/>
          <w:lang w:val="en-US" w:eastAsia="zh-CN" w:bidi="ar-SA"/>
        </w:rPr>
      </w:pPr>
      <w:r>
        <w:rPr>
          <w:rFonts w:hint="eastAsia" w:ascii="宋体" w:hAnsi="宋体" w:cs="宋体"/>
          <w:szCs w:val="21"/>
        </w:rPr>
        <w:t>采购人或者集中采购机构</w:t>
      </w:r>
      <w:r>
        <w:rPr>
          <w:rFonts w:hint="eastAsia" w:ascii="宋体" w:hAnsi="宋体" w:cs="宋体"/>
          <w:szCs w:val="21"/>
          <w:highlight w:val="none"/>
        </w:rPr>
        <w:t>可以对已发出的招标文件进行必要的澄清或者修改</w:t>
      </w:r>
      <w:r>
        <w:rPr>
          <w:rFonts w:hint="eastAsia" w:ascii="宋体" w:hAnsi="宋体" w:cs="宋体"/>
          <w:szCs w:val="21"/>
          <w:highlight w:val="none"/>
          <w:lang w:eastAsia="zh-CN"/>
        </w:rPr>
        <w:t>，但不得改变采购标的和资格条件。</w:t>
      </w:r>
      <w:r>
        <w:rPr>
          <w:rFonts w:hint="eastAsia" w:ascii="宋体" w:hAnsi="宋体" w:cs="宋体"/>
          <w:szCs w:val="21"/>
          <w:highlight w:val="none"/>
        </w:rPr>
        <w:t>在原</w:t>
      </w:r>
      <w:r>
        <w:rPr>
          <w:rFonts w:hint="eastAsia" w:ascii="宋体" w:hAnsi="宋体" w:cs="宋体"/>
          <w:szCs w:val="21"/>
        </w:rPr>
        <w:t>公</w:t>
      </w:r>
      <w:r>
        <w:rPr>
          <w:rFonts w:hint="eastAsia" w:ascii="宋体" w:hAnsi="宋体" w:cs="宋体"/>
          <w:color w:val="000000"/>
          <w:szCs w:val="21"/>
        </w:rPr>
        <w:t>告发布媒体上发布</w:t>
      </w:r>
      <w:r>
        <w:rPr>
          <w:rFonts w:hint="eastAsia" w:ascii="宋体" w:hAnsi="宋体"/>
          <w:color w:val="000000"/>
          <w:kern w:val="0"/>
          <w:sz w:val="21"/>
          <w:szCs w:val="21"/>
          <w:lang w:val="en-US" w:eastAsia="zh-CN" w:bidi="ar-SA"/>
        </w:rPr>
        <w:t>更正（澄清）</w:t>
      </w:r>
      <w:r>
        <w:rPr>
          <w:rFonts w:hint="eastAsia" w:ascii="宋体" w:hAnsi="宋体" w:cs="宋体"/>
          <w:color w:val="000000"/>
          <w:szCs w:val="21"/>
        </w:rPr>
        <w:t>公告</w:t>
      </w:r>
      <w:r>
        <w:rPr>
          <w:rFonts w:hint="eastAsia" w:ascii="宋体" w:hAnsi="宋体" w:cs="宋体"/>
          <w:color w:val="000000"/>
          <w:szCs w:val="21"/>
          <w:lang w:eastAsia="zh-CN"/>
        </w:rPr>
        <w:t>，</w:t>
      </w:r>
      <w:r>
        <w:rPr>
          <w:rFonts w:hint="eastAsia" w:ascii="宋体" w:hAnsi="宋体" w:cs="宋体"/>
          <w:color w:val="000000"/>
          <w:szCs w:val="21"/>
        </w:rPr>
        <w:t>澄清或者修改的内容为招标文件的组成部分</w:t>
      </w:r>
      <w:r>
        <w:rPr>
          <w:rFonts w:ascii="宋体" w:hAnsi="宋体"/>
          <w:color w:val="000000"/>
          <w:szCs w:val="21"/>
        </w:rPr>
        <w:t>。</w:t>
      </w:r>
      <w:r>
        <w:rPr>
          <w:rFonts w:hint="eastAsia" w:ascii="宋体" w:hAnsi="宋体"/>
          <w:color w:val="000000"/>
          <w:kern w:val="0"/>
          <w:sz w:val="21"/>
          <w:szCs w:val="21"/>
          <w:lang w:val="en-US" w:eastAsia="zh-CN" w:bidi="ar-SA"/>
        </w:rPr>
        <w:t>当招标文件与招标文件的答复、澄清、修改、补充通知就同一内容的表述不一致时，以最后发出的更正（澄清）公告为准。</w:t>
      </w:r>
    </w:p>
    <w:p>
      <w:pPr>
        <w:keepNext w:val="0"/>
        <w:keepLines w:val="0"/>
        <w:pageBreakBefore w:val="0"/>
        <w:numPr>
          <w:ilvl w:val="1"/>
          <w:numId w:val="11"/>
        </w:numPr>
        <w:tabs>
          <w:tab w:val="left" w:pos="0"/>
          <w:tab w:val="clear" w:pos="562"/>
        </w:tabs>
        <w:kinsoku/>
        <w:wordWrap/>
        <w:overflowPunct/>
        <w:topLinePunct w:val="0"/>
        <w:autoSpaceDE/>
        <w:autoSpaceDN/>
        <w:bidi w:val="0"/>
        <w:adjustRightInd/>
        <w:snapToGrid w:val="0"/>
        <w:spacing w:line="360" w:lineRule="auto"/>
        <w:ind w:left="7" w:leftChars="0" w:firstLine="413" w:firstLineChars="0"/>
        <w:jc w:val="both"/>
        <w:textAlignment w:val="auto"/>
        <w:outlineLvl w:val="9"/>
        <w:rPr>
          <w:rFonts w:hint="eastAsia" w:ascii="宋体" w:hAnsi="宋体"/>
          <w:color w:val="000000"/>
          <w:kern w:val="0"/>
          <w:sz w:val="21"/>
          <w:szCs w:val="21"/>
          <w:lang w:val="en-US" w:eastAsia="zh-CN" w:bidi="ar-SA"/>
        </w:rPr>
      </w:pPr>
      <w:r>
        <w:rPr>
          <w:rFonts w:hint="eastAsia" w:ascii="宋体" w:hAnsi="宋体" w:cs="宋体"/>
          <w:color w:val="000000"/>
          <w:szCs w:val="21"/>
        </w:rPr>
        <w:t>澄清或者修改的内容可能影响投标文件编制的，</w:t>
      </w:r>
      <w:r>
        <w:rPr>
          <w:rFonts w:hint="eastAsia" w:ascii="宋体" w:hAnsi="宋体" w:cs="宋体"/>
          <w:color w:val="000000"/>
          <w:szCs w:val="21"/>
          <w:lang w:val="en-US" w:eastAsia="zh-CN"/>
        </w:rPr>
        <w:t>采购人或者集中采购机构应当在投标截止时间至少</w:t>
      </w:r>
      <w:r>
        <w:rPr>
          <w:rFonts w:hint="default" w:ascii="Arial" w:hAnsi="Arial" w:cs="Arial"/>
          <w:color w:val="000000"/>
          <w:szCs w:val="21"/>
          <w:lang w:val="en-US" w:eastAsia="zh-CN"/>
        </w:rPr>
        <w:t>15</w:t>
      </w:r>
      <w:r>
        <w:rPr>
          <w:rFonts w:hint="eastAsia" w:ascii="宋体" w:hAnsi="宋体" w:cs="宋体"/>
          <w:color w:val="000000"/>
          <w:szCs w:val="21"/>
          <w:lang w:val="en-US" w:eastAsia="zh-CN"/>
        </w:rPr>
        <w:t>日前，以</w:t>
      </w:r>
      <w:r>
        <w:rPr>
          <w:rFonts w:hint="eastAsia" w:ascii="宋体" w:hAnsi="宋体" w:cs="宋体"/>
          <w:color w:val="000000"/>
          <w:szCs w:val="21"/>
        </w:rPr>
        <w:t>更正</w:t>
      </w:r>
      <w:r>
        <w:rPr>
          <w:rFonts w:hint="eastAsia" w:ascii="宋体" w:hAnsi="宋体" w:cs="宋体"/>
          <w:color w:val="000000"/>
          <w:szCs w:val="21"/>
          <w:lang w:eastAsia="zh-CN"/>
        </w:rPr>
        <w:t>（</w:t>
      </w:r>
      <w:r>
        <w:rPr>
          <w:rFonts w:hint="eastAsia" w:ascii="宋体" w:hAnsi="宋体" w:cs="宋体"/>
          <w:color w:val="000000"/>
          <w:szCs w:val="21"/>
        </w:rPr>
        <w:t>澄清</w:t>
      </w:r>
      <w:r>
        <w:rPr>
          <w:rFonts w:hint="eastAsia" w:ascii="宋体" w:hAnsi="宋体" w:cs="宋体"/>
          <w:color w:val="000000"/>
          <w:szCs w:val="21"/>
          <w:lang w:eastAsia="zh-CN"/>
        </w:rPr>
        <w:t>）</w:t>
      </w:r>
      <w:r>
        <w:rPr>
          <w:rFonts w:hint="eastAsia" w:ascii="宋体" w:hAnsi="宋体" w:cs="宋体"/>
          <w:color w:val="000000"/>
          <w:szCs w:val="21"/>
        </w:rPr>
        <w:t>公告</w:t>
      </w:r>
      <w:r>
        <w:rPr>
          <w:rFonts w:hint="eastAsia" w:ascii="宋体" w:hAnsi="宋体" w:cs="宋体"/>
          <w:color w:val="000000"/>
          <w:szCs w:val="21"/>
          <w:lang w:eastAsia="zh-CN"/>
        </w:rPr>
        <w:t>形式通知所有获取招标文件的潜在投标人</w:t>
      </w:r>
      <w:r>
        <w:rPr>
          <w:rFonts w:hint="eastAsia" w:ascii="宋体" w:hAnsi="宋体" w:cs="宋体"/>
          <w:color w:val="000000"/>
          <w:szCs w:val="21"/>
        </w:rPr>
        <w:t>，并对其具有约束力</w:t>
      </w:r>
      <w:r>
        <w:rPr>
          <w:rFonts w:hint="eastAsia" w:ascii="宋体" w:hAnsi="宋体" w:cs="宋体"/>
          <w:color w:val="000000"/>
          <w:szCs w:val="21"/>
          <w:lang w:eastAsia="zh-CN"/>
        </w:rPr>
        <w:t>；</w:t>
      </w:r>
      <w:r>
        <w:rPr>
          <w:rFonts w:hint="eastAsia" w:ascii="宋体" w:hAnsi="宋体" w:cs="宋体"/>
          <w:color w:val="000000"/>
          <w:szCs w:val="21"/>
        </w:rPr>
        <w:t>不足</w:t>
      </w:r>
      <w:r>
        <w:rPr>
          <w:rFonts w:hint="default" w:ascii="Arial" w:hAnsi="Arial" w:cs="Arial"/>
          <w:color w:val="000000"/>
          <w:szCs w:val="21"/>
        </w:rPr>
        <w:t>15</w:t>
      </w:r>
      <w:r>
        <w:rPr>
          <w:rFonts w:hint="eastAsia" w:ascii="宋体" w:hAnsi="宋体" w:cs="宋体"/>
          <w:color w:val="000000"/>
          <w:szCs w:val="21"/>
        </w:rPr>
        <w:t>日的，</w:t>
      </w:r>
      <w:r>
        <w:rPr>
          <w:rFonts w:hint="eastAsia" w:ascii="宋体" w:hAnsi="宋体" w:cs="宋体"/>
          <w:color w:val="000000"/>
          <w:szCs w:val="21"/>
          <w:lang w:eastAsia="zh-CN"/>
        </w:rPr>
        <w:t>采购人或者集中采购机构应当</w:t>
      </w:r>
      <w:r>
        <w:rPr>
          <w:rFonts w:hint="eastAsia" w:ascii="宋体" w:hAnsi="宋体" w:cs="宋体"/>
          <w:color w:val="000000"/>
          <w:szCs w:val="21"/>
        </w:rPr>
        <w:t>顺延提交投标文件的截止时间。投标人应及时关注浙江政府采购网上该项目的公告信息</w:t>
      </w:r>
      <w:r>
        <w:rPr>
          <w:rFonts w:hint="eastAsia" w:ascii="宋体" w:hAnsi="宋体" w:cs="宋体"/>
          <w:color w:val="000000"/>
          <w:szCs w:val="21"/>
          <w:lang w:eastAsia="zh-CN"/>
        </w:rPr>
        <w:t>。</w:t>
      </w:r>
    </w:p>
    <w:p>
      <w:pPr>
        <w:pStyle w:val="3"/>
        <w:spacing w:before="156" w:beforeLines="50" w:after="156" w:afterLines="50" w:line="360" w:lineRule="auto"/>
        <w:jc w:val="center"/>
        <w:rPr>
          <w:sz w:val="24"/>
          <w:szCs w:val="24"/>
        </w:rPr>
      </w:pPr>
      <w:bookmarkStart w:id="352" w:name="_Toc27289"/>
      <w:bookmarkStart w:id="353" w:name="_Toc4464"/>
      <w:bookmarkStart w:id="354" w:name="_Toc22429"/>
      <w:bookmarkStart w:id="355" w:name="_Toc12223"/>
      <w:bookmarkStart w:id="356" w:name="_Toc7669"/>
      <w:r>
        <w:rPr>
          <w:rFonts w:hint="eastAsia"/>
          <w:sz w:val="24"/>
          <w:szCs w:val="24"/>
          <w:lang w:val="en-US" w:eastAsia="zh-CN"/>
        </w:rPr>
        <w:t xml:space="preserve">     </w:t>
      </w:r>
      <w:bookmarkStart w:id="357" w:name="_Toc25397"/>
      <w:bookmarkStart w:id="358" w:name="_Toc20165"/>
      <w:bookmarkStart w:id="359" w:name="_Toc5288"/>
      <w:bookmarkStart w:id="360" w:name="_Toc7800"/>
      <w:bookmarkStart w:id="361" w:name="_Toc19510"/>
      <w:bookmarkStart w:id="362" w:name="_Toc2159"/>
      <w:bookmarkStart w:id="363" w:name="_Toc26770"/>
      <w:bookmarkStart w:id="364" w:name="_Toc9644"/>
      <w:bookmarkStart w:id="365" w:name="_Toc29710"/>
      <w:bookmarkStart w:id="366" w:name="_Toc9981"/>
      <w:bookmarkStart w:id="367" w:name="_Toc16997"/>
      <w:bookmarkStart w:id="368" w:name="_Toc30035"/>
      <w:bookmarkStart w:id="369" w:name="_Toc27383"/>
      <w:bookmarkStart w:id="370" w:name="_Toc25490"/>
      <w:bookmarkStart w:id="371" w:name="_Toc17234"/>
      <w:bookmarkStart w:id="372" w:name="_Toc17130"/>
      <w:bookmarkStart w:id="373" w:name="_Toc1689"/>
      <w:bookmarkStart w:id="374" w:name="_Toc3400"/>
      <w:bookmarkStart w:id="375" w:name="_Toc11064"/>
      <w:bookmarkStart w:id="376" w:name="_Toc4444"/>
      <w:bookmarkStart w:id="377" w:name="_Toc18890"/>
      <w:bookmarkStart w:id="378" w:name="_Toc14210"/>
      <w:bookmarkStart w:id="379" w:name="_Toc1318"/>
      <w:bookmarkStart w:id="380" w:name="_Toc11094"/>
      <w:bookmarkStart w:id="381" w:name="_Toc24070"/>
      <w:bookmarkStart w:id="382" w:name="_Toc16916"/>
      <w:bookmarkStart w:id="383" w:name="_Toc20034"/>
      <w:bookmarkStart w:id="384" w:name="_Toc14737"/>
      <w:bookmarkStart w:id="385" w:name="_Toc910"/>
      <w:bookmarkStart w:id="386" w:name="_Toc7841"/>
      <w:bookmarkStart w:id="387" w:name="_Toc8077"/>
      <w:r>
        <w:rPr>
          <w:rFonts w:hint="eastAsia"/>
          <w:sz w:val="24"/>
          <w:szCs w:val="24"/>
          <w:lang w:eastAsia="zh-CN"/>
        </w:rPr>
        <w:t>三、</w:t>
      </w:r>
      <w:r>
        <w:rPr>
          <w:rFonts w:hint="eastAsia"/>
          <w:sz w:val="24"/>
          <w:szCs w:val="24"/>
        </w:rPr>
        <w:t>投标</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numPr>
          <w:ilvl w:val="0"/>
          <w:numId w:val="11"/>
        </w:numPr>
        <w:snapToGrid w:val="0"/>
        <w:spacing w:line="360" w:lineRule="auto"/>
        <w:ind w:left="425" w:leftChars="0" w:hanging="5" w:firstLineChars="0"/>
        <w:jc w:val="both"/>
        <w:rPr>
          <w:rFonts w:hint="default" w:ascii="Times New Roman" w:hAnsi="Times New Roman" w:cs="Times New Roman"/>
          <w:b/>
          <w:bCs w:val="0"/>
          <w:sz w:val="24"/>
          <w:szCs w:val="22"/>
          <w:lang w:val="en-US" w:eastAsia="zh-CN"/>
        </w:rPr>
      </w:pPr>
      <w:r>
        <w:rPr>
          <w:rFonts w:hint="default" w:ascii="Times New Roman" w:hAnsi="Times New Roman" w:cs="Times New Roman"/>
          <w:b/>
          <w:bCs w:val="0"/>
          <w:sz w:val="24"/>
          <w:szCs w:val="22"/>
          <w:lang w:val="en-US" w:eastAsia="zh-CN"/>
        </w:rPr>
        <w:t>投标方式</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本项目实行电子招投标。</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招标文件的获取</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详见招标公告中获取招标文件的时间、地点、方式及招标文件售价。</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投标文件的语言及计量单位</w:t>
      </w:r>
    </w:p>
    <w:p>
      <w:pPr>
        <w:keepNext w:val="0"/>
        <w:keepLines w:val="0"/>
        <w:pageBreakBefore w:val="0"/>
        <w:numPr>
          <w:ilvl w:val="1"/>
          <w:numId w:val="11"/>
        </w:numPr>
        <w:tabs>
          <w:tab w:val="left" w:pos="0"/>
          <w:tab w:val="clear" w:pos="562"/>
        </w:tabs>
        <w:kinsoku/>
        <w:wordWrap/>
        <w:overflowPunct/>
        <w:topLinePunct w:val="0"/>
        <w:autoSpaceDE/>
        <w:autoSpaceDN/>
        <w:bidi w:val="0"/>
        <w:adjustRightInd/>
        <w:snapToGrid w:val="0"/>
        <w:spacing w:line="360" w:lineRule="auto"/>
        <w:ind w:left="7" w:leftChars="0" w:firstLine="413" w:firstLineChars="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投标文件及投标人与采购人之间与投标有关的来往通知、函件和文件均应使用简体中文。除签名、盖章、专用名称等特殊情形外，以中文汉语以外的文字表述的投标文件视同未提供。投标人提交的支持文件和印刷的文献可以用另一种语言，但相应内容应附有中文翻译文本，在解释投标文件时以中文翻译文本为准。</w:t>
      </w:r>
    </w:p>
    <w:p>
      <w:pPr>
        <w:keepNext w:val="0"/>
        <w:keepLines w:val="0"/>
        <w:pageBreakBefore w:val="0"/>
        <w:numPr>
          <w:ilvl w:val="1"/>
          <w:numId w:val="11"/>
        </w:numPr>
        <w:tabs>
          <w:tab w:val="left" w:pos="0"/>
          <w:tab w:val="clear" w:pos="562"/>
        </w:tabs>
        <w:kinsoku/>
        <w:wordWrap/>
        <w:overflowPunct/>
        <w:topLinePunct w:val="0"/>
        <w:autoSpaceDE/>
        <w:autoSpaceDN/>
        <w:bidi w:val="0"/>
        <w:adjustRightInd/>
        <w:snapToGrid w:val="0"/>
        <w:spacing w:line="360" w:lineRule="auto"/>
        <w:ind w:left="7" w:leftChars="0" w:firstLine="413" w:firstLineChars="0"/>
        <w:jc w:val="both"/>
        <w:textAlignment w:val="auto"/>
        <w:outlineLvl w:val="9"/>
        <w:rPr>
          <w:rFonts w:hint="eastAsia" w:ascii="宋体" w:hAnsi="宋体" w:cs="宋体"/>
          <w:sz w:val="21"/>
          <w:szCs w:val="21"/>
          <w:lang w:val="en-US" w:eastAsia="zh-CN" w:bidi="ar-SA"/>
        </w:rPr>
      </w:pPr>
      <w:r>
        <w:rPr>
          <w:rFonts w:hint="eastAsia" w:ascii="宋体" w:hAnsi="宋体" w:cs="宋体"/>
          <w:color w:val="000000"/>
          <w:szCs w:val="21"/>
          <w:lang w:val="en-US" w:eastAsia="zh-CN"/>
        </w:rPr>
        <w:t>除招标文件另有规定外，投标文件所使用的计量单位，均应使用中华人民共和国法定计量单位。</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现场踏勘或开标前答疑会</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采购人如组织潜在投标人现场踏勘或者召开开标前答疑会的，潜在投标人按前附表的规定参加现场踏勘或者开标前答疑会。</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联合体投标</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jc w:val="both"/>
        <w:textAlignment w:val="auto"/>
        <w:outlineLvl w:val="9"/>
        <w:rPr>
          <w:rFonts w:hint="default" w:ascii="宋体" w:hAnsi="宋体" w:eastAsia="宋体" w:cs="宋体"/>
          <w:b/>
          <w:sz w:val="24"/>
          <w:szCs w:val="24"/>
          <w:lang w:val="en-US" w:eastAsia="zh-CN"/>
        </w:rPr>
      </w:pPr>
      <w:r>
        <w:rPr>
          <w:rFonts w:hint="eastAsia" w:ascii="宋体" w:hAnsi="宋体" w:eastAsia="宋体" w:cs="宋体"/>
          <w:bCs/>
          <w:kern w:val="0"/>
          <w:sz w:val="21"/>
          <w:szCs w:val="21"/>
          <w:lang w:val="en-US" w:eastAsia="zh-CN" w:bidi="ar-SA"/>
        </w:rPr>
        <w:t>本项目如接受联合体投标的，联合体各方参加投标时按前附表要求组成联合体参加投标。</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转包与分包</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本项目如果允许转包与分包的，投标人按前附表要求进行转包或分包。</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履约保证金</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本项目如要求提交履约保证金的，中标人按前附表要求提交履约保证金。</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采购进口产品要求</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bCs/>
          <w:kern w:val="0"/>
          <w:sz w:val="21"/>
          <w:szCs w:val="21"/>
          <w:lang w:val="en-US" w:eastAsia="zh-CN" w:bidi="ar-SA"/>
        </w:rPr>
      </w:pPr>
      <w:r>
        <w:rPr>
          <w:rFonts w:hint="eastAsia" w:ascii="宋体" w:hAnsi="宋体" w:eastAsia="宋体" w:cs="宋体"/>
          <w:snapToGrid w:val="0"/>
          <w:color w:val="auto"/>
          <w:kern w:val="0"/>
          <w:szCs w:val="21"/>
          <w:highlight w:val="none"/>
          <w:lang w:val="en-US" w:eastAsia="zh-CN"/>
        </w:rPr>
        <w:t>对于招标文件中</w:t>
      </w:r>
      <w:r>
        <w:rPr>
          <w:rFonts w:hint="default" w:ascii="宋体" w:hAnsi="宋体" w:eastAsia="宋体" w:cs="宋体"/>
          <w:snapToGrid w:val="0"/>
          <w:color w:val="auto"/>
          <w:kern w:val="0"/>
          <w:szCs w:val="21"/>
          <w:highlight w:val="none"/>
          <w:lang w:val="en-US" w:eastAsia="zh-CN"/>
        </w:rPr>
        <w:t>明确规定可以采购进口产品</w:t>
      </w:r>
      <w:r>
        <w:rPr>
          <w:rFonts w:hint="eastAsia" w:ascii="宋体" w:hAnsi="宋体" w:eastAsia="宋体" w:cs="宋体"/>
          <w:snapToGrid w:val="0"/>
          <w:color w:val="auto"/>
          <w:kern w:val="0"/>
          <w:szCs w:val="21"/>
          <w:highlight w:val="none"/>
          <w:lang w:val="en-US" w:eastAsia="zh-CN"/>
        </w:rPr>
        <w:t>的项目，</w:t>
      </w:r>
      <w:r>
        <w:rPr>
          <w:rFonts w:hint="default" w:ascii="宋体" w:hAnsi="宋体" w:eastAsia="宋体" w:cs="宋体"/>
          <w:snapToGrid w:val="0"/>
          <w:color w:val="auto"/>
          <w:kern w:val="0"/>
          <w:szCs w:val="21"/>
          <w:highlight w:val="none"/>
          <w:lang w:val="en-US" w:eastAsia="zh-CN"/>
        </w:rPr>
        <w:t>如果因信息不对称等原因，仍有满足需求的国内产品要求参与采购竞争的，</w:t>
      </w:r>
      <w:r>
        <w:rPr>
          <w:rFonts w:hint="eastAsia" w:ascii="宋体" w:hAnsi="宋体" w:eastAsia="宋体" w:cs="宋体"/>
          <w:snapToGrid w:val="0"/>
          <w:color w:val="auto"/>
          <w:kern w:val="0"/>
          <w:szCs w:val="21"/>
          <w:highlight w:val="none"/>
          <w:lang w:val="en-US" w:eastAsia="zh-CN"/>
        </w:rPr>
        <w:t>招标采购</w:t>
      </w:r>
      <w:r>
        <w:rPr>
          <w:rFonts w:hint="default" w:ascii="宋体" w:hAnsi="宋体" w:eastAsia="宋体" w:cs="宋体"/>
          <w:snapToGrid w:val="0"/>
          <w:color w:val="auto"/>
          <w:kern w:val="0"/>
          <w:szCs w:val="21"/>
          <w:highlight w:val="none"/>
          <w:lang w:val="en-US" w:eastAsia="zh-CN"/>
        </w:rPr>
        <w:t>单位不会对其加以限制，仍将按照公平竞争原则实施采购。</w:t>
      </w:r>
    </w:p>
    <w:p>
      <w:pPr>
        <w:numPr>
          <w:ilvl w:val="0"/>
          <w:numId w:val="11"/>
        </w:numPr>
        <w:snapToGrid w:val="0"/>
        <w:spacing w:line="360" w:lineRule="auto"/>
        <w:ind w:left="425" w:leftChars="0" w:hanging="5" w:firstLineChars="0"/>
        <w:jc w:val="both"/>
        <w:rPr>
          <w:rFonts w:hint="default" w:ascii="Times New Roman" w:hAnsi="Times New Roman" w:cs="Times New Roman"/>
          <w:b/>
          <w:color w:val="auto"/>
          <w:sz w:val="24"/>
          <w:szCs w:val="22"/>
          <w:highlight w:val="none"/>
          <w:lang w:val="en-US" w:eastAsia="zh-CN"/>
        </w:rPr>
      </w:pPr>
      <w:r>
        <w:rPr>
          <w:rFonts w:hint="default" w:ascii="Times New Roman" w:hAnsi="Times New Roman" w:cs="Times New Roman"/>
          <w:b/>
          <w:color w:val="auto"/>
          <w:sz w:val="24"/>
          <w:szCs w:val="22"/>
          <w:highlight w:val="none"/>
          <w:lang w:val="en-US" w:eastAsia="zh-CN"/>
        </w:rPr>
        <w:t>样品</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auto"/>
        <w:outlineLvl w:val="9"/>
        <w:rPr>
          <w:rFonts w:hint="default" w:ascii="宋体" w:hAnsi="宋体" w:cs="宋体"/>
          <w:color w:val="000000"/>
          <w:szCs w:val="21"/>
          <w:lang w:val="en-US" w:eastAsia="zh-CN"/>
        </w:rPr>
      </w:pPr>
      <w:r>
        <w:rPr>
          <w:rFonts w:hint="default" w:ascii="宋体" w:hAnsi="宋体" w:cs="宋体"/>
          <w:color w:val="000000"/>
          <w:szCs w:val="21"/>
          <w:lang w:val="en-US" w:eastAsia="zh-CN"/>
        </w:rPr>
        <w:t>本项目如要求提供样品的，</w:t>
      </w:r>
      <w:r>
        <w:rPr>
          <w:rFonts w:hint="eastAsia" w:ascii="宋体" w:hAnsi="宋体" w:cs="宋体"/>
          <w:color w:val="000000"/>
          <w:szCs w:val="21"/>
          <w:lang w:val="en-US" w:eastAsia="zh-CN"/>
        </w:rPr>
        <w:t>投标人</w:t>
      </w:r>
      <w:r>
        <w:rPr>
          <w:rFonts w:hint="default" w:ascii="宋体" w:hAnsi="宋体" w:cs="宋体"/>
          <w:color w:val="000000"/>
          <w:szCs w:val="21"/>
          <w:lang w:val="en-US" w:eastAsia="zh-CN"/>
        </w:rPr>
        <w:t>按前附表要求提供样品。</w:t>
      </w:r>
    </w:p>
    <w:p>
      <w:pPr>
        <w:numPr>
          <w:ilvl w:val="0"/>
          <w:numId w:val="11"/>
        </w:numPr>
        <w:snapToGrid w:val="0"/>
        <w:spacing w:line="360" w:lineRule="auto"/>
        <w:ind w:left="425" w:leftChars="0" w:hanging="5" w:firstLineChars="0"/>
        <w:jc w:val="both"/>
        <w:rPr>
          <w:rFonts w:hint="default" w:ascii="Times New Roman" w:hAnsi="Times New Roman" w:cs="Times New Roman"/>
          <w:b/>
          <w:color w:val="auto"/>
          <w:sz w:val="24"/>
          <w:szCs w:val="22"/>
          <w:highlight w:val="none"/>
          <w:lang w:val="en-US" w:eastAsia="zh-CN"/>
        </w:rPr>
      </w:pPr>
      <w:r>
        <w:rPr>
          <w:rFonts w:hint="default" w:ascii="Times New Roman" w:hAnsi="Times New Roman" w:cs="Times New Roman"/>
          <w:b/>
          <w:color w:val="auto"/>
          <w:sz w:val="24"/>
          <w:szCs w:val="22"/>
          <w:highlight w:val="none"/>
          <w:lang w:val="en-US" w:eastAsia="zh-CN"/>
        </w:rPr>
        <w:t>演示</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本项目如要求提供演示的，投标人按前附表要求提供演示。</w:t>
      </w:r>
    </w:p>
    <w:p>
      <w:pPr>
        <w:numPr>
          <w:ilvl w:val="0"/>
          <w:numId w:val="11"/>
        </w:numPr>
        <w:snapToGrid w:val="0"/>
        <w:spacing w:line="360" w:lineRule="auto"/>
        <w:ind w:left="425" w:leftChars="0" w:hanging="5" w:firstLineChars="0"/>
        <w:jc w:val="both"/>
        <w:rPr>
          <w:rFonts w:hint="default" w:ascii="Times New Roman" w:hAnsi="Times New Roman" w:cs="Times New Roman"/>
          <w:b/>
          <w:color w:val="auto"/>
          <w:sz w:val="24"/>
          <w:szCs w:val="22"/>
          <w:highlight w:val="none"/>
          <w:lang w:val="en-US" w:eastAsia="zh-CN"/>
        </w:rPr>
      </w:pPr>
      <w:r>
        <w:rPr>
          <w:rFonts w:hint="default" w:ascii="Times New Roman" w:hAnsi="Times New Roman" w:cs="Times New Roman"/>
          <w:b/>
          <w:color w:val="auto"/>
          <w:sz w:val="24"/>
          <w:szCs w:val="22"/>
          <w:highlight w:val="none"/>
          <w:lang w:val="en-US" w:eastAsia="zh-CN"/>
        </w:rPr>
        <w:t>投标费用</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auto"/>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投标人应承担其参加投标所涉及的一切费用，不管投标结果如何，采购人对这些费用不负任何责任。</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知识产权</w:t>
      </w:r>
    </w:p>
    <w:p>
      <w:pPr>
        <w:numPr>
          <w:ilvl w:val="1"/>
          <w:numId w:val="11"/>
        </w:numPr>
        <w:tabs>
          <w:tab w:val="left" w:pos="0"/>
          <w:tab w:val="clear" w:pos="562"/>
        </w:tabs>
        <w:snapToGrid w:val="0"/>
        <w:spacing w:line="360" w:lineRule="auto"/>
        <w:ind w:left="7" w:leftChars="0" w:firstLine="413" w:firstLineChars="0"/>
        <w:jc w:val="both"/>
        <w:rPr>
          <w:rFonts w:hint="eastAsia" w:ascii="宋体" w:hAnsi="宋体" w:eastAsia="宋体" w:cs="宋体"/>
          <w:bCs/>
          <w:color w:val="auto"/>
          <w:kern w:val="0"/>
          <w:sz w:val="21"/>
          <w:szCs w:val="21"/>
          <w:lang w:val="en-US" w:eastAsia="zh-CN" w:bidi="ar-SA"/>
        </w:rPr>
      </w:pPr>
      <w:r>
        <w:rPr>
          <w:rFonts w:hint="eastAsia" w:ascii="宋体" w:hAnsi="宋体" w:cs="宋体"/>
          <w:color w:val="auto"/>
          <w:szCs w:val="21"/>
        </w:rPr>
        <w:t>投标人应保证，</w:t>
      </w:r>
      <w:r>
        <w:rPr>
          <w:rFonts w:hint="eastAsia" w:ascii="宋体" w:hAnsi="宋体" w:cs="宋体"/>
          <w:color w:val="auto"/>
          <w:szCs w:val="21"/>
          <w:lang w:eastAsia="zh-CN"/>
        </w:rPr>
        <w:t>采购人</w:t>
      </w:r>
      <w:r>
        <w:rPr>
          <w:rFonts w:hint="eastAsia" w:ascii="宋体" w:hAnsi="宋体" w:cs="宋体"/>
          <w:color w:val="auto"/>
          <w:szCs w:val="21"/>
        </w:rPr>
        <w:t>在中华人民共和国使用货物的任何一部分时，免受第三方提出侵犯其专利权、商标权或其它知识产权的起诉。</w:t>
      </w:r>
    </w:p>
    <w:p>
      <w:pPr>
        <w:numPr>
          <w:ilvl w:val="1"/>
          <w:numId w:val="11"/>
        </w:numPr>
        <w:tabs>
          <w:tab w:val="left" w:pos="0"/>
          <w:tab w:val="clear" w:pos="562"/>
        </w:tabs>
        <w:snapToGrid w:val="0"/>
        <w:spacing w:line="360" w:lineRule="auto"/>
        <w:ind w:left="7" w:leftChars="0" w:firstLine="413" w:firstLineChars="0"/>
        <w:jc w:val="both"/>
        <w:rPr>
          <w:rFonts w:hint="eastAsia" w:ascii="宋体" w:hAnsi="宋体" w:eastAsia="宋体" w:cs="宋体"/>
          <w:bCs/>
          <w:color w:val="auto"/>
          <w:kern w:val="0"/>
          <w:sz w:val="21"/>
          <w:szCs w:val="21"/>
          <w:lang w:val="en-US" w:eastAsia="zh-CN" w:bidi="ar-SA"/>
        </w:rPr>
      </w:pPr>
      <w:r>
        <w:rPr>
          <w:rFonts w:hint="eastAsia" w:ascii="宋体" w:hAnsi="宋体" w:cs="宋体"/>
          <w:color w:val="auto"/>
          <w:szCs w:val="21"/>
        </w:rPr>
        <w:t>投标报价应包括所有应支付的对专利权和版权、设计或其他知识产权而需要向其他方支付的版税。</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投标文件的编制</w:t>
      </w:r>
    </w:p>
    <w:p>
      <w:pPr>
        <w:keepNext w:val="0"/>
        <w:keepLines w:val="0"/>
        <w:pageBreakBefore w:val="0"/>
        <w:widowControl/>
        <w:numPr>
          <w:ilvl w:val="1"/>
          <w:numId w:val="11"/>
        </w:numPr>
        <w:tabs>
          <w:tab w:val="left" w:pos="0"/>
          <w:tab w:val="clear" w:pos="562"/>
        </w:tabs>
        <w:kinsoku/>
        <w:wordWrap/>
        <w:overflowPunct/>
        <w:topLinePunct w:val="0"/>
        <w:autoSpaceDE/>
        <w:autoSpaceDN/>
        <w:bidi w:val="0"/>
        <w:adjustRightInd/>
        <w:snapToGrid w:val="0"/>
        <w:spacing w:line="360" w:lineRule="auto"/>
        <w:ind w:left="7" w:leftChars="0" w:firstLine="413" w:firstLineChars="0"/>
        <w:jc w:val="both"/>
        <w:textAlignment w:val="auto"/>
        <w:outlineLvl w:val="9"/>
        <w:rPr>
          <w:rFonts w:ascii="Arial" w:hAnsi="Arial"/>
          <w:szCs w:val="21"/>
        </w:rPr>
      </w:pPr>
      <w:r>
        <w:rPr>
          <w:rFonts w:hint="eastAsia" w:ascii="Arial" w:hAnsi="Arial"/>
          <w:szCs w:val="21"/>
        </w:rPr>
        <w:t>投标文件的编制要求</w:t>
      </w:r>
    </w:p>
    <w:p>
      <w:pPr>
        <w:numPr>
          <w:ilvl w:val="2"/>
          <w:numId w:val="11"/>
        </w:numPr>
        <w:tabs>
          <w:tab w:val="left" w:pos="1050"/>
        </w:tabs>
        <w:adjustRightInd w:val="0"/>
        <w:snapToGrid w:val="0"/>
        <w:spacing w:line="360" w:lineRule="auto"/>
        <w:ind w:left="9" w:leftChars="0" w:firstLine="411" w:firstLineChars="0"/>
        <w:rPr>
          <w:rFonts w:hint="eastAsia" w:ascii="Arial" w:hAnsi="Arial" w:cs="Arial"/>
          <w:color w:val="000000"/>
          <w:kern w:val="2"/>
          <w:sz w:val="21"/>
          <w:szCs w:val="22"/>
          <w:highlight w:val="none"/>
          <w:lang w:val="en-US" w:eastAsia="zh-CN" w:bidi="ar-SA"/>
        </w:rPr>
      </w:pPr>
      <w:r>
        <w:rPr>
          <w:rFonts w:hint="eastAsia" w:ascii="Arial" w:hAnsi="Arial" w:cs="Arial"/>
          <w:color w:val="000000"/>
          <w:kern w:val="2"/>
          <w:sz w:val="21"/>
          <w:szCs w:val="22"/>
          <w:highlight w:val="none"/>
          <w:lang w:val="en-US" w:eastAsia="zh-CN" w:bidi="ar-SA"/>
        </w:rPr>
        <w:t>投标人必须按招标文件的要求提供相关技术参数、资料，包括采用的计量单位，并保证投标文件的正确性和完整性，否则评标委员会将作出不利于其投标的评定。</w:t>
      </w:r>
    </w:p>
    <w:p>
      <w:pPr>
        <w:numPr>
          <w:ilvl w:val="2"/>
          <w:numId w:val="11"/>
        </w:numPr>
        <w:tabs>
          <w:tab w:val="left" w:pos="1060"/>
        </w:tabs>
        <w:adjustRightInd w:val="0"/>
        <w:snapToGrid w:val="0"/>
        <w:spacing w:line="360" w:lineRule="auto"/>
        <w:ind w:left="9" w:leftChars="0" w:firstLine="411" w:firstLineChars="0"/>
        <w:rPr>
          <w:rFonts w:hint="eastAsia" w:ascii="Arial" w:hAnsi="Arial" w:cs="Arial"/>
          <w:color w:val="auto"/>
          <w:kern w:val="2"/>
          <w:sz w:val="21"/>
          <w:szCs w:val="22"/>
          <w:highlight w:val="none"/>
          <w:lang w:val="en-US" w:eastAsia="zh-CN" w:bidi="ar-SA"/>
        </w:rPr>
      </w:pPr>
      <w:r>
        <w:rPr>
          <w:rFonts w:hint="eastAsia" w:ascii="Arial" w:hAnsi="Arial" w:cs="Arial"/>
          <w:color w:val="000000"/>
          <w:kern w:val="2"/>
          <w:sz w:val="21"/>
          <w:szCs w:val="22"/>
          <w:highlight w:val="none"/>
          <w:lang w:val="en-US" w:eastAsia="zh-CN" w:bidi="ar-SA"/>
        </w:rPr>
        <w:t>投标人必须保证投标文件所提供的全部资料真实可靠，技术和商务如有偏离均应填写偏</w:t>
      </w:r>
      <w:r>
        <w:rPr>
          <w:rFonts w:hint="eastAsia" w:ascii="Arial" w:hAnsi="Arial" w:cs="Arial"/>
          <w:color w:val="auto"/>
          <w:kern w:val="2"/>
          <w:sz w:val="21"/>
          <w:szCs w:val="22"/>
          <w:highlight w:val="none"/>
          <w:lang w:val="en-US" w:eastAsia="zh-CN" w:bidi="ar-SA"/>
        </w:rPr>
        <w:t>离情况，并接受采购人对其中任何资料进一步审查的要求。提供虚假材料谋取中标的，投标无效，并承担相应法律责任。</w:t>
      </w:r>
    </w:p>
    <w:p>
      <w:pPr>
        <w:numPr>
          <w:ilvl w:val="2"/>
          <w:numId w:val="11"/>
        </w:numPr>
        <w:tabs>
          <w:tab w:val="left" w:pos="1050"/>
        </w:tabs>
        <w:adjustRightInd w:val="0"/>
        <w:snapToGrid w:val="0"/>
        <w:spacing w:line="360" w:lineRule="auto"/>
        <w:ind w:left="9" w:leftChars="0" w:firstLine="411" w:firstLineChars="0"/>
        <w:rPr>
          <w:rFonts w:hint="eastAsia" w:ascii="Arial" w:hAnsi="Arial" w:eastAsia="宋体" w:cs="Arial"/>
          <w:color w:val="auto"/>
          <w:kern w:val="2"/>
          <w:sz w:val="21"/>
          <w:szCs w:val="22"/>
          <w:highlight w:val="none"/>
          <w:lang w:val="en-US" w:eastAsia="zh-CN" w:bidi="ar-SA"/>
        </w:rPr>
      </w:pPr>
      <w:r>
        <w:rPr>
          <w:rFonts w:hint="eastAsia" w:ascii="Arial" w:hAnsi="Arial" w:cs="Arial"/>
          <w:color w:val="auto"/>
          <w:kern w:val="2"/>
          <w:sz w:val="21"/>
          <w:szCs w:val="22"/>
          <w:highlight w:val="none"/>
          <w:lang w:val="en-US" w:eastAsia="zh-CN" w:bidi="ar-SA"/>
        </w:rPr>
        <w:t>投标人必须对招标文件中</w:t>
      </w:r>
      <w:r>
        <w:rPr>
          <w:rFonts w:hint="eastAsia" w:ascii="宋体" w:hAnsi="宋体" w:cs="宋体"/>
          <w:color w:val="auto"/>
          <w:szCs w:val="21"/>
          <w:highlight w:val="none"/>
        </w:rPr>
        <w:t>以“▲”标识的有关技术和商务条款</w:t>
      </w:r>
      <w:r>
        <w:rPr>
          <w:rFonts w:hint="eastAsia" w:ascii="Arial" w:hAnsi="Arial" w:cs="Arial"/>
          <w:color w:val="auto"/>
          <w:kern w:val="2"/>
          <w:sz w:val="21"/>
          <w:szCs w:val="22"/>
          <w:highlight w:val="none"/>
          <w:lang w:val="en-US" w:eastAsia="zh-CN" w:bidi="ar-SA"/>
        </w:rPr>
        <w:t>做出实质性响应，否则其投标无效。</w:t>
      </w:r>
    </w:p>
    <w:p>
      <w:pPr>
        <w:numPr>
          <w:ilvl w:val="2"/>
          <w:numId w:val="11"/>
        </w:numPr>
        <w:tabs>
          <w:tab w:val="left" w:pos="1050"/>
        </w:tabs>
        <w:adjustRightInd w:val="0"/>
        <w:snapToGrid w:val="0"/>
        <w:spacing w:line="360" w:lineRule="auto"/>
        <w:ind w:left="9" w:leftChars="0" w:firstLine="411" w:firstLineChars="0"/>
        <w:rPr>
          <w:rFonts w:hint="eastAsia" w:ascii="Arial" w:hAnsi="Arial" w:eastAsia="宋体" w:cs="Arial"/>
          <w:color w:val="000000"/>
          <w:kern w:val="2"/>
          <w:sz w:val="21"/>
          <w:szCs w:val="22"/>
          <w:highlight w:val="none"/>
          <w:lang w:val="en-US" w:eastAsia="zh-CN" w:bidi="ar-SA"/>
        </w:rPr>
      </w:pPr>
      <w:r>
        <w:rPr>
          <w:rFonts w:hint="eastAsia" w:ascii="Arial" w:hAnsi="Arial" w:cs="Arial"/>
          <w:color w:val="000000"/>
          <w:kern w:val="2"/>
          <w:sz w:val="21"/>
          <w:szCs w:val="22"/>
          <w:highlight w:val="none"/>
          <w:lang w:val="en-US" w:eastAsia="zh-CN" w:bidi="ar-SA"/>
        </w:rPr>
        <w:t>投标人拥有的资格、信誉、荣誉、业绩、项目案例、企业认证、知识产权等在投标</w:t>
      </w:r>
      <w:r>
        <w:rPr>
          <w:rFonts w:hint="eastAsia" w:ascii="Arial" w:hAnsi="Arial" w:eastAsia="宋体" w:cs="Arial"/>
          <w:color w:val="000000"/>
          <w:kern w:val="2"/>
          <w:sz w:val="21"/>
          <w:szCs w:val="22"/>
          <w:highlight w:val="none"/>
          <w:lang w:val="en-US" w:eastAsia="zh-CN" w:bidi="ar-SA"/>
        </w:rPr>
        <w:t>文件中提供的证明材料必须为投标人自身所有。不同法人、其他组织的资料与投标人无关。</w:t>
      </w:r>
    </w:p>
    <w:p>
      <w:pPr>
        <w:numPr>
          <w:ilvl w:val="2"/>
          <w:numId w:val="11"/>
        </w:numPr>
        <w:tabs>
          <w:tab w:val="left" w:pos="1050"/>
        </w:tabs>
        <w:adjustRightInd w:val="0"/>
        <w:snapToGrid w:val="0"/>
        <w:spacing w:line="360" w:lineRule="auto"/>
        <w:ind w:left="9" w:leftChars="0" w:firstLine="411" w:firstLineChars="0"/>
        <w:rPr>
          <w:rFonts w:hint="eastAsia" w:ascii="Arial" w:hAnsi="Arial" w:eastAsia="宋体" w:cs="Arial"/>
          <w:color w:val="000000"/>
          <w:kern w:val="2"/>
          <w:sz w:val="21"/>
          <w:szCs w:val="22"/>
          <w:highlight w:val="none"/>
          <w:lang w:val="en-US" w:eastAsia="zh-CN" w:bidi="ar-SA"/>
        </w:rPr>
      </w:pPr>
      <w:r>
        <w:rPr>
          <w:rFonts w:hint="eastAsia" w:ascii="Arial" w:hAnsi="Arial" w:eastAsia="宋体" w:cs="Arial"/>
          <w:color w:val="000000"/>
          <w:kern w:val="2"/>
          <w:sz w:val="21"/>
          <w:szCs w:val="22"/>
          <w:highlight w:val="none"/>
          <w:lang w:val="en-US" w:eastAsia="zh-CN" w:bidi="ar-SA"/>
        </w:rPr>
        <w:t>投标人应在认真阅读招标文件所有内容的基础上，按照招标文件中规定的格式和顺序编制电子加密投标文件并进行关联定位，混乱的编排或关联导致投标文件被误读或采购人查找不到有效文件是投标人的风险。</w:t>
      </w:r>
    </w:p>
    <w:p>
      <w:pPr>
        <w:numPr>
          <w:ilvl w:val="1"/>
          <w:numId w:val="11"/>
        </w:numPr>
        <w:snapToGrid w:val="0"/>
        <w:spacing w:line="360" w:lineRule="auto"/>
        <w:ind w:left="567" w:leftChars="0" w:hanging="147" w:firstLineChars="0"/>
        <w:jc w:val="both"/>
      </w:pPr>
      <w:r>
        <w:rPr>
          <w:rFonts w:hint="eastAsia"/>
          <w:lang w:val="en-US" w:eastAsia="zh-CN"/>
        </w:rPr>
        <w:t xml:space="preserve"> </w:t>
      </w:r>
      <w:r>
        <w:rPr>
          <w:rFonts w:hint="eastAsia"/>
        </w:rPr>
        <w:t>投标</w:t>
      </w:r>
      <w:r>
        <w:rPr>
          <w:rFonts w:hint="eastAsia"/>
          <w:highlight w:val="none"/>
        </w:rPr>
        <w:t>文件形式</w:t>
      </w:r>
    </w:p>
    <w:p>
      <w:pPr>
        <w:numPr>
          <w:ilvl w:val="2"/>
          <w:numId w:val="11"/>
        </w:numPr>
        <w:tabs>
          <w:tab w:val="left" w:pos="1050"/>
        </w:tabs>
        <w:adjustRightInd w:val="0"/>
        <w:snapToGrid w:val="0"/>
        <w:spacing w:line="360" w:lineRule="auto"/>
        <w:ind w:left="9" w:firstLine="411"/>
        <w:rPr>
          <w:rFonts w:hint="eastAsia" w:ascii="Arial" w:hAnsi="Arial" w:cs="Arial"/>
          <w:color w:val="auto"/>
          <w:kern w:val="2"/>
          <w:sz w:val="21"/>
          <w:szCs w:val="22"/>
          <w:highlight w:val="none"/>
          <w:lang w:val="en-US" w:eastAsia="zh-CN" w:bidi="ar-SA"/>
        </w:rPr>
      </w:pPr>
      <w:r>
        <w:rPr>
          <w:rFonts w:hint="eastAsia" w:ascii="Arial" w:hAnsi="Arial" w:cs="Arial"/>
          <w:color w:val="auto"/>
          <w:kern w:val="2"/>
          <w:sz w:val="21"/>
          <w:szCs w:val="22"/>
          <w:highlight w:val="none"/>
          <w:lang w:val="en-US" w:eastAsia="zh-CN" w:bidi="ar-SA"/>
        </w:rPr>
        <w:t>投标人通过“政采云电子交易客户端”完成投标文件编制，</w:t>
      </w:r>
      <w:r>
        <w:rPr>
          <w:rFonts w:hint="eastAsia" w:ascii="宋体" w:hAnsi="宋体" w:cs="宋体"/>
        </w:rPr>
        <w:t>采用</w:t>
      </w:r>
      <w:r>
        <w:rPr>
          <w:rFonts w:ascii="Arial" w:hAnsi="Arial" w:cs="Arial"/>
        </w:rPr>
        <w:t>CA</w:t>
      </w:r>
      <w:r>
        <w:rPr>
          <w:rFonts w:hint="eastAsia" w:ascii="宋体" w:hAnsi="宋体" w:cs="宋体"/>
        </w:rPr>
        <w:t>锁进行电子签章并加密生成“电子加密响应文件”</w:t>
      </w:r>
      <w:r>
        <w:rPr>
          <w:rFonts w:hint="eastAsia" w:ascii="Arial" w:hAnsi="Arial" w:cs="Arial"/>
          <w:color w:val="auto"/>
          <w:kern w:val="2"/>
          <w:sz w:val="21"/>
          <w:szCs w:val="22"/>
          <w:highlight w:val="none"/>
          <w:lang w:val="en-US" w:eastAsia="zh-CN" w:bidi="ar-SA"/>
        </w:rPr>
        <w:t xml:space="preserve">。    </w:t>
      </w:r>
    </w:p>
    <w:p>
      <w:pPr>
        <w:numPr>
          <w:ilvl w:val="2"/>
          <w:numId w:val="11"/>
        </w:numPr>
        <w:tabs>
          <w:tab w:val="left" w:pos="1050"/>
          <w:tab w:val="left" w:pos="1260"/>
        </w:tabs>
        <w:adjustRightInd w:val="0"/>
        <w:snapToGrid w:val="0"/>
        <w:spacing w:line="360" w:lineRule="auto"/>
        <w:ind w:left="9" w:leftChars="0" w:firstLine="411" w:firstLineChars="0"/>
        <w:rPr>
          <w:rFonts w:hint="eastAsia" w:ascii="Arial" w:hAnsi="Arial" w:cs="Arial"/>
          <w:color w:val="auto"/>
          <w:kern w:val="2"/>
          <w:sz w:val="21"/>
          <w:szCs w:val="22"/>
          <w:highlight w:val="none"/>
          <w:lang w:val="en-US" w:eastAsia="zh-CN" w:bidi="ar-SA"/>
        </w:rPr>
      </w:pPr>
      <w:r>
        <w:rPr>
          <w:rFonts w:hint="eastAsia" w:ascii="Arial" w:hAnsi="Arial" w:cs="Arial"/>
          <w:color w:val="auto"/>
          <w:kern w:val="2"/>
          <w:sz w:val="21"/>
          <w:szCs w:val="22"/>
          <w:highlight w:val="none"/>
          <w:lang w:val="en-US" w:eastAsia="zh-CN" w:bidi="ar-SA"/>
        </w:rPr>
        <w:t>“电子加密投标文件”指数据电文形式的后缀名为“</w:t>
      </w:r>
      <w:r>
        <w:rPr>
          <w:rFonts w:hint="eastAsia" w:ascii="宋体" w:hAnsi="宋体" w:eastAsia="宋体" w:cs="宋体"/>
          <w:color w:val="auto"/>
          <w:kern w:val="2"/>
          <w:sz w:val="21"/>
          <w:szCs w:val="22"/>
          <w:highlight w:val="none"/>
          <w:lang w:val="en-US" w:eastAsia="zh-CN" w:bidi="ar-SA"/>
        </w:rPr>
        <w:t>.</w:t>
      </w:r>
      <w:r>
        <w:rPr>
          <w:rFonts w:hint="default" w:ascii="Arial" w:hAnsi="Arial" w:eastAsia="宋体" w:cs="Arial"/>
          <w:color w:val="auto"/>
          <w:kern w:val="2"/>
          <w:sz w:val="21"/>
          <w:szCs w:val="22"/>
          <w:highlight w:val="none"/>
          <w:lang w:val="en-US" w:eastAsia="zh-CN" w:bidi="ar-SA"/>
        </w:rPr>
        <w:t>JMBS</w:t>
      </w:r>
      <w:r>
        <w:rPr>
          <w:rFonts w:hint="eastAsia" w:ascii="宋体" w:hAnsi="宋体" w:eastAsia="宋体" w:cs="宋体"/>
          <w:color w:val="auto"/>
          <w:kern w:val="2"/>
          <w:sz w:val="21"/>
          <w:szCs w:val="22"/>
          <w:highlight w:val="none"/>
          <w:lang w:val="en-US" w:eastAsia="zh-CN" w:bidi="ar-SA"/>
        </w:rPr>
        <w:t>”的文件</w:t>
      </w:r>
      <w:r>
        <w:rPr>
          <w:rFonts w:hint="eastAsia" w:ascii="Arial" w:hAnsi="Arial" w:cs="Arial"/>
          <w:color w:val="auto"/>
          <w:kern w:val="2"/>
          <w:sz w:val="21"/>
          <w:szCs w:val="22"/>
          <w:highlight w:val="none"/>
          <w:lang w:val="en-US" w:eastAsia="zh-CN" w:bidi="ar-SA"/>
        </w:rPr>
        <w:t xml:space="preserve">。   </w:t>
      </w:r>
    </w:p>
    <w:p>
      <w:pPr>
        <w:numPr>
          <w:ilvl w:val="1"/>
          <w:numId w:val="11"/>
        </w:numPr>
        <w:tabs>
          <w:tab w:val="left" w:pos="0"/>
          <w:tab w:val="clear" w:pos="562"/>
        </w:tabs>
        <w:snapToGrid w:val="0"/>
        <w:spacing w:line="360" w:lineRule="auto"/>
        <w:ind w:left="427" w:leftChars="0" w:hanging="7" w:firstLineChars="0"/>
        <w:jc w:val="both"/>
        <w:rPr>
          <w:rFonts w:hint="eastAsia"/>
          <w:lang w:val="en-US" w:eastAsia="zh-CN"/>
        </w:rPr>
      </w:pPr>
      <w:r>
        <w:rPr>
          <w:rFonts w:hint="eastAsia" w:ascii="宋体" w:hAnsi="宋体" w:eastAsia="宋体" w:cs="宋体"/>
          <w:szCs w:val="21"/>
        </w:rPr>
        <w:t>投标文件的盖章</w:t>
      </w:r>
    </w:p>
    <w:p>
      <w:pPr>
        <w:numPr>
          <w:ilvl w:val="0"/>
          <w:numId w:val="0"/>
        </w:numPr>
        <w:snapToGrid w:val="0"/>
        <w:spacing w:line="360" w:lineRule="auto"/>
        <w:ind w:left="0" w:leftChars="0" w:firstLine="420" w:firstLineChars="200"/>
        <w:jc w:val="both"/>
        <w:rPr>
          <w:rFonts w:hint="eastAsia"/>
          <w:color w:val="auto"/>
          <w:highlight w:val="none"/>
          <w:lang w:val="en-US" w:eastAsia="zh-CN"/>
        </w:rPr>
      </w:pPr>
      <w:r>
        <w:rPr>
          <w:rFonts w:hint="eastAsia" w:ascii="宋体" w:hAnsi="宋体" w:eastAsia="宋体" w:cs="宋体"/>
          <w:bCs/>
          <w:color w:val="auto"/>
          <w:kern w:val="0"/>
          <w:sz w:val="21"/>
          <w:szCs w:val="21"/>
          <w:highlight w:val="none"/>
          <w:lang w:val="en-US" w:eastAsia="zh-CN" w:bidi="ar-SA"/>
        </w:rPr>
        <w:t>投标文件中盖公章部分均采用电子签章。</w:t>
      </w:r>
    </w:p>
    <w:p>
      <w:pPr>
        <w:numPr>
          <w:ilvl w:val="1"/>
          <w:numId w:val="11"/>
        </w:numPr>
        <w:snapToGrid w:val="0"/>
        <w:spacing w:line="360" w:lineRule="auto"/>
        <w:ind w:left="567" w:leftChars="0" w:hanging="147" w:firstLineChars="0"/>
        <w:jc w:val="both"/>
        <w:rPr>
          <w:rFonts w:ascii="Arial" w:hAnsi="Arial"/>
          <w:szCs w:val="21"/>
        </w:rPr>
      </w:pPr>
      <w:r>
        <w:rPr>
          <w:rFonts w:hint="eastAsia" w:ascii="Arial" w:hAnsi="Arial"/>
          <w:szCs w:val="21"/>
        </w:rPr>
        <w:t>投标文件的构成</w:t>
      </w:r>
    </w:p>
    <w:p>
      <w:pPr>
        <w:numPr>
          <w:ilvl w:val="0"/>
          <w:numId w:val="0"/>
        </w:numPr>
        <w:snapToGrid w:val="0"/>
        <w:spacing w:line="360" w:lineRule="auto"/>
        <w:ind w:firstLine="420" w:firstLineChars="200"/>
        <w:jc w:val="both"/>
        <w:rPr>
          <w:rFonts w:hint="eastAsia" w:ascii="宋体" w:hAnsi="宋体"/>
          <w:color w:val="000000"/>
          <w:lang w:eastAsia="zh-CN"/>
        </w:rPr>
      </w:pPr>
      <w:r>
        <w:rPr>
          <w:rFonts w:hint="eastAsia" w:ascii="宋体" w:hAnsi="宋体" w:cs="宋体"/>
          <w:szCs w:val="21"/>
        </w:rPr>
        <w:t>投标文件应</w:t>
      </w:r>
      <w:r>
        <w:rPr>
          <w:rFonts w:hint="eastAsia" w:ascii="宋体" w:hAnsi="宋体"/>
          <w:color w:val="000000"/>
        </w:rPr>
        <w:t>包括“资格文件”“商务技术文件”和“报价文件”三部分</w:t>
      </w:r>
      <w:r>
        <w:rPr>
          <w:rFonts w:hint="eastAsia" w:ascii="宋体" w:hAnsi="宋体"/>
          <w:color w:val="000000"/>
          <w:lang w:eastAsia="zh-CN"/>
        </w:rPr>
        <w:t>，投标文件应当对招标文件提出的要求和条件作出明确响应。</w:t>
      </w:r>
      <w:bookmarkStart w:id="388" w:name="_Toc25152"/>
    </w:p>
    <w:p>
      <w:pPr>
        <w:numPr>
          <w:ilvl w:val="0"/>
          <w:numId w:val="0"/>
        </w:numPr>
        <w:snapToGrid w:val="0"/>
        <w:spacing w:line="360" w:lineRule="auto"/>
        <w:ind w:firstLine="420" w:firstLineChars="200"/>
        <w:jc w:val="both"/>
        <w:rPr>
          <w:rFonts w:ascii="楷体_GB2312" w:eastAsia="楷体_GB2312"/>
          <w:b w:val="0"/>
          <w:bCs w:val="0"/>
          <w:color w:val="000000"/>
          <w:sz w:val="21"/>
          <w:szCs w:val="21"/>
        </w:rPr>
      </w:pPr>
      <w:r>
        <w:rPr>
          <w:rFonts w:hint="eastAsia" w:ascii="宋体" w:hAnsi="宋体"/>
          <w:b w:val="0"/>
          <w:bCs w:val="0"/>
          <w:color w:val="000000"/>
          <w:sz w:val="21"/>
          <w:szCs w:val="21"/>
        </w:rPr>
        <w:t>第一部分：资格文件</w:t>
      </w:r>
      <w:bookmarkEnd w:id="388"/>
    </w:p>
    <w:p>
      <w:pPr>
        <w:tabs>
          <w:tab w:val="left" w:pos="720"/>
        </w:tabs>
        <w:adjustRightInd w:val="0"/>
        <w:snapToGrid w:val="0"/>
        <w:spacing w:line="360" w:lineRule="auto"/>
        <w:ind w:firstLine="420" w:firstLineChars="200"/>
        <w:jc w:val="left"/>
        <w:rPr>
          <w:rFonts w:hint="eastAsia" w:ascii="宋体" w:hAnsi="宋体" w:eastAsia="宋体" w:cs="宋体"/>
          <w:b w:val="0"/>
          <w:bCs/>
          <w:snapToGrid w:val="0"/>
          <w:color w:val="7030A0"/>
          <w:kern w:val="0"/>
          <w:szCs w:val="21"/>
          <w:highlight w:val="none"/>
          <w:lang w:eastAsia="zh-CN"/>
        </w:rPr>
      </w:pPr>
      <w:r>
        <w:rPr>
          <w:rFonts w:hint="eastAsia" w:ascii="宋体" w:hAnsi="宋体" w:eastAsia="宋体" w:cs="宋体"/>
          <w:b w:val="0"/>
          <w:bCs/>
          <w:snapToGrid w:val="0"/>
          <w:color w:val="000000"/>
          <w:kern w:val="0"/>
          <w:szCs w:val="21"/>
          <w:highlight w:val="none"/>
          <w:lang w:eastAsia="zh-CN"/>
        </w:rPr>
        <w:t>如下为资格证明材料所需内容：</w:t>
      </w:r>
    </w:p>
    <w:p>
      <w:pPr>
        <w:numPr>
          <w:ilvl w:val="0"/>
          <w:numId w:val="13"/>
        </w:numPr>
        <w:tabs>
          <w:tab w:val="left" w:pos="840"/>
        </w:tabs>
        <w:adjustRightInd w:val="0"/>
        <w:snapToGrid w:val="0"/>
        <w:spacing w:line="360" w:lineRule="auto"/>
        <w:ind w:left="0" w:leftChars="0" w:firstLine="420" w:firstLineChars="200"/>
        <w:jc w:val="left"/>
        <w:rPr>
          <w:rFonts w:hint="default" w:ascii="Times New Roman" w:hAnsi="Times New Roman" w:eastAsia="宋体" w:cs="Times New Roman"/>
          <w:b w:val="0"/>
          <w:bCs/>
          <w:snapToGrid w:val="0"/>
          <w:color w:val="000000"/>
          <w:kern w:val="0"/>
          <w:szCs w:val="21"/>
          <w:highlight w:val="none"/>
          <w:lang w:val="en-US" w:eastAsia="zh-CN"/>
        </w:rPr>
      </w:pPr>
      <w:bookmarkStart w:id="389" w:name="_Toc18902"/>
      <w:r>
        <w:rPr>
          <w:rFonts w:hint="default" w:ascii="Times New Roman" w:hAnsi="Times New Roman" w:eastAsia="宋体" w:cs="Times New Roman"/>
          <w:b w:val="0"/>
          <w:bCs/>
          <w:snapToGrid w:val="0"/>
          <w:color w:val="000000"/>
          <w:kern w:val="0"/>
          <w:szCs w:val="21"/>
          <w:highlight w:val="none"/>
        </w:rPr>
        <w:t>基本资格条件：符合《中华人民共和国政府采购法》第二十二条的规定；</w:t>
      </w:r>
    </w:p>
    <w:p>
      <w:pPr>
        <w:pStyle w:val="34"/>
        <w:numPr>
          <w:ilvl w:val="0"/>
          <w:numId w:val="0"/>
        </w:numPr>
        <w:tabs>
          <w:tab w:val="left" w:pos="630"/>
          <w:tab w:val="left" w:pos="840"/>
          <w:tab w:val="left" w:pos="1050"/>
        </w:tabs>
        <w:adjustRightInd w:val="0"/>
        <w:snapToGrid w:val="0"/>
        <w:spacing w:before="0" w:beforeAutospacing="0" w:after="0" w:afterAutospacing="0" w:line="360" w:lineRule="auto"/>
        <w:ind w:firstLine="420" w:firstLineChars="200"/>
        <w:rPr>
          <w:rFonts w:hint="eastAsia" w:ascii="宋体" w:hAnsi="宋体" w:eastAsia="宋体" w:cs="宋体"/>
          <w:b w:val="0"/>
          <w:bCs/>
          <w:color w:val="000000"/>
          <w:sz w:val="21"/>
          <w:szCs w:val="21"/>
          <w:highlight w:val="none"/>
        </w:rPr>
      </w:pPr>
      <w:r>
        <w:rPr>
          <w:rFonts w:hint="default" w:ascii="Times New Roman" w:hAnsi="Times New Roman" w:eastAsia="宋体" w:cs="Times New Roman"/>
          <w:b w:val="0"/>
          <w:bCs/>
          <w:color w:val="000000"/>
          <w:sz w:val="21"/>
          <w:szCs w:val="21"/>
          <w:highlight w:val="none"/>
          <w:lang w:eastAsia="zh-CN"/>
        </w:rPr>
        <w:t>（</w:t>
      </w:r>
      <w:r>
        <w:rPr>
          <w:rFonts w:hint="default" w:ascii="Times New Roman" w:hAnsi="Times New Roman" w:eastAsia="宋体" w:cs="Times New Roman"/>
          <w:b w:val="0"/>
          <w:bCs/>
          <w:color w:val="000000"/>
          <w:sz w:val="21"/>
          <w:szCs w:val="21"/>
          <w:highlight w:val="none"/>
          <w:lang w:val="en-US" w:eastAsia="zh-CN"/>
        </w:rPr>
        <w:t>1</w:t>
      </w:r>
      <w:r>
        <w:rPr>
          <w:rFonts w:hint="default" w:ascii="Times New Roman" w:hAnsi="Times New Roman" w:eastAsia="宋体" w:cs="Times New Roman"/>
          <w:b w:val="0"/>
          <w:bCs/>
          <w:color w:val="000000"/>
          <w:sz w:val="21"/>
          <w:szCs w:val="21"/>
          <w:highlight w:val="none"/>
          <w:lang w:eastAsia="zh-CN"/>
        </w:rPr>
        <w:t>）</w:t>
      </w:r>
      <w:r>
        <w:rPr>
          <w:rFonts w:hint="eastAsia" w:ascii="宋体" w:hAnsi="宋体" w:eastAsia="宋体" w:cs="宋体"/>
          <w:b w:val="0"/>
          <w:bCs/>
          <w:color w:val="000000"/>
          <w:sz w:val="21"/>
          <w:szCs w:val="21"/>
          <w:highlight w:val="none"/>
          <w:lang w:eastAsia="zh-CN"/>
        </w:rPr>
        <w:t>具有独立承担民事责任能力的证明材料；</w:t>
      </w:r>
    </w:p>
    <w:p>
      <w:pPr>
        <w:pStyle w:val="34"/>
        <w:tabs>
          <w:tab w:val="left" w:pos="630"/>
          <w:tab w:val="left" w:pos="840"/>
          <w:tab w:val="left" w:pos="1050"/>
        </w:tabs>
        <w:adjustRightInd w:val="0"/>
        <w:snapToGrid w:val="0"/>
        <w:spacing w:before="0" w:beforeAutospacing="0" w:after="0" w:afterAutospacing="0" w:line="360" w:lineRule="auto"/>
        <w:ind w:firstLine="420" w:firstLineChars="200"/>
        <w:rPr>
          <w:rFonts w:hint="eastAsia" w:ascii="宋体" w:hAnsi="宋体" w:eastAsia="宋体" w:cs="宋体"/>
          <w:b w:val="0"/>
          <w:bCs/>
          <w:color w:val="000000"/>
          <w:sz w:val="21"/>
          <w:szCs w:val="21"/>
          <w:highlight w:val="none"/>
        </w:rPr>
      </w:pPr>
      <w:r>
        <w:rPr>
          <w:rFonts w:hint="eastAsia" w:ascii="宋体" w:hAnsi="宋体" w:eastAsia="宋体" w:cs="宋体"/>
          <w:b w:val="0"/>
          <w:bCs/>
          <w:color w:val="000000"/>
          <w:sz w:val="21"/>
          <w:szCs w:val="21"/>
          <w:highlight w:val="none"/>
        </w:rPr>
        <w:t>投标人须在投标文件中出具符合以下情况的证明材料复印件（五选一）：</w:t>
      </w:r>
    </w:p>
    <w:p>
      <w:pPr>
        <w:pStyle w:val="34"/>
        <w:numPr>
          <w:ilvl w:val="0"/>
          <w:numId w:val="0"/>
        </w:numPr>
        <w:tabs>
          <w:tab w:val="left" w:pos="312"/>
        </w:tabs>
        <w:adjustRightInd w:val="0"/>
        <w:snapToGrid w:val="0"/>
        <w:spacing w:before="0" w:beforeAutospacing="0" w:after="0" w:afterAutospacing="0" w:line="360" w:lineRule="auto"/>
        <w:ind w:firstLine="420" w:firstLineChars="200"/>
        <w:rPr>
          <w:rFonts w:hint="eastAsia" w:ascii="宋体" w:hAnsi="宋体" w:eastAsia="宋体" w:cs="宋体"/>
          <w:b w:val="0"/>
          <w:bCs/>
          <w:color w:val="000000"/>
          <w:sz w:val="21"/>
          <w:szCs w:val="21"/>
          <w:highlight w:val="none"/>
        </w:rPr>
      </w:pPr>
      <w:r>
        <w:rPr>
          <w:rFonts w:hint="default" w:ascii="Times New Roman" w:hAnsi="Times New Roman" w:eastAsia="宋体" w:cs="Times New Roman"/>
          <w:b w:val="0"/>
          <w:bCs/>
          <w:color w:val="000000"/>
          <w:sz w:val="21"/>
          <w:szCs w:val="21"/>
          <w:highlight w:val="none"/>
          <w:lang w:val="en-US" w:eastAsia="zh-CN"/>
        </w:rPr>
        <w:t>1）</w:t>
      </w:r>
      <w:r>
        <w:rPr>
          <w:rFonts w:hint="eastAsia" w:ascii="宋体" w:hAnsi="宋体" w:eastAsia="宋体" w:cs="宋体"/>
          <w:b w:val="0"/>
          <w:bCs/>
          <w:color w:val="000000"/>
          <w:sz w:val="21"/>
          <w:szCs w:val="21"/>
          <w:highlight w:val="none"/>
        </w:rPr>
        <w:t>如投标人是企业（包括合伙企业），提供在工商部门注册的有效“企业法人营业执照”或“营业执照”；</w:t>
      </w:r>
    </w:p>
    <w:p>
      <w:pPr>
        <w:pStyle w:val="34"/>
        <w:numPr>
          <w:ilvl w:val="0"/>
          <w:numId w:val="0"/>
        </w:numPr>
        <w:tabs>
          <w:tab w:val="left" w:pos="312"/>
        </w:tabs>
        <w:adjustRightInd w:val="0"/>
        <w:snapToGrid w:val="0"/>
        <w:spacing w:before="0" w:beforeAutospacing="0" w:after="0" w:afterAutospacing="0" w:line="360" w:lineRule="auto"/>
        <w:ind w:firstLine="420" w:firstLineChars="200"/>
        <w:rPr>
          <w:rFonts w:hint="eastAsia" w:ascii="宋体" w:hAnsi="宋体" w:eastAsia="宋体" w:cs="宋体"/>
          <w:b w:val="0"/>
          <w:bCs/>
          <w:color w:val="000000"/>
          <w:sz w:val="21"/>
          <w:szCs w:val="21"/>
          <w:highlight w:val="none"/>
        </w:rPr>
      </w:pPr>
      <w:r>
        <w:rPr>
          <w:rFonts w:hint="default" w:ascii="Times New Roman" w:hAnsi="Times New Roman" w:eastAsia="宋体" w:cs="Times New Roman"/>
          <w:b w:val="0"/>
          <w:bCs/>
          <w:color w:val="000000"/>
          <w:sz w:val="21"/>
          <w:szCs w:val="21"/>
          <w:highlight w:val="none"/>
          <w:lang w:val="en-US" w:eastAsia="zh-CN"/>
        </w:rPr>
        <w:t>2）</w:t>
      </w:r>
      <w:r>
        <w:rPr>
          <w:rFonts w:hint="eastAsia" w:ascii="宋体" w:hAnsi="宋体" w:eastAsia="宋体" w:cs="宋体"/>
          <w:b w:val="0"/>
          <w:bCs/>
          <w:color w:val="000000"/>
          <w:sz w:val="21"/>
          <w:szCs w:val="21"/>
          <w:highlight w:val="none"/>
        </w:rPr>
        <w:t>如投标人是事业单位，提供有效的“事业单位法人证书”；</w:t>
      </w:r>
    </w:p>
    <w:p>
      <w:pPr>
        <w:pStyle w:val="34"/>
        <w:numPr>
          <w:ilvl w:val="0"/>
          <w:numId w:val="0"/>
        </w:numPr>
        <w:tabs>
          <w:tab w:val="left" w:pos="312"/>
        </w:tabs>
        <w:adjustRightInd w:val="0"/>
        <w:snapToGrid w:val="0"/>
        <w:spacing w:before="0" w:beforeAutospacing="0" w:after="0" w:afterAutospacing="0" w:line="360" w:lineRule="auto"/>
        <w:ind w:firstLine="420" w:firstLineChars="200"/>
        <w:rPr>
          <w:rFonts w:hint="eastAsia" w:ascii="宋体" w:hAnsi="宋体" w:eastAsia="宋体" w:cs="宋体"/>
          <w:b w:val="0"/>
          <w:bCs/>
          <w:color w:val="000000"/>
          <w:sz w:val="21"/>
          <w:szCs w:val="21"/>
          <w:highlight w:val="none"/>
        </w:rPr>
      </w:pPr>
      <w:r>
        <w:rPr>
          <w:rFonts w:hint="eastAsia" w:ascii="Times New Roman" w:hAnsi="Times New Roman" w:eastAsia="宋体" w:cs="Times New Roman"/>
          <w:b w:val="0"/>
          <w:bCs/>
          <w:color w:val="000000"/>
          <w:sz w:val="21"/>
          <w:szCs w:val="21"/>
          <w:highlight w:val="none"/>
          <w:lang w:val="en-US" w:eastAsia="zh-CN"/>
        </w:rPr>
        <w:t>3）</w:t>
      </w:r>
      <w:r>
        <w:rPr>
          <w:rFonts w:hint="eastAsia" w:ascii="宋体" w:hAnsi="宋体" w:eastAsia="宋体" w:cs="宋体"/>
          <w:b w:val="0"/>
          <w:bCs/>
          <w:color w:val="000000"/>
          <w:sz w:val="21"/>
          <w:szCs w:val="21"/>
          <w:highlight w:val="none"/>
        </w:rPr>
        <w:t>如投标人是非企业专业服务机构的，提供执业许可证等证明文件；</w:t>
      </w:r>
    </w:p>
    <w:p>
      <w:pPr>
        <w:pStyle w:val="34"/>
        <w:numPr>
          <w:ilvl w:val="0"/>
          <w:numId w:val="0"/>
        </w:numPr>
        <w:tabs>
          <w:tab w:val="left" w:pos="312"/>
        </w:tabs>
        <w:adjustRightInd w:val="0"/>
        <w:snapToGrid w:val="0"/>
        <w:spacing w:before="0" w:beforeAutospacing="0" w:after="0" w:afterAutospacing="0" w:line="360" w:lineRule="auto"/>
        <w:ind w:firstLine="420" w:firstLineChars="200"/>
        <w:rPr>
          <w:rFonts w:hint="eastAsia" w:ascii="宋体" w:hAnsi="宋体" w:eastAsia="宋体" w:cs="宋体"/>
          <w:b w:val="0"/>
          <w:bCs/>
          <w:color w:val="000000"/>
          <w:sz w:val="21"/>
          <w:szCs w:val="21"/>
          <w:highlight w:val="none"/>
        </w:rPr>
      </w:pPr>
      <w:r>
        <w:rPr>
          <w:rFonts w:hint="eastAsia" w:ascii="Times New Roman" w:hAnsi="Times New Roman" w:eastAsia="宋体" w:cs="Times New Roman"/>
          <w:b w:val="0"/>
          <w:bCs/>
          <w:color w:val="000000"/>
          <w:sz w:val="21"/>
          <w:szCs w:val="21"/>
          <w:highlight w:val="none"/>
          <w:lang w:val="en-US" w:eastAsia="zh-CN"/>
        </w:rPr>
        <w:t>4）</w:t>
      </w:r>
      <w:r>
        <w:rPr>
          <w:rFonts w:hint="eastAsia" w:ascii="宋体" w:hAnsi="宋体" w:eastAsia="宋体" w:cs="宋体"/>
          <w:b w:val="0"/>
          <w:bCs/>
          <w:color w:val="000000"/>
          <w:sz w:val="21"/>
          <w:szCs w:val="21"/>
          <w:highlight w:val="none"/>
        </w:rPr>
        <w:t>如投标人是个体工商户，提供有效的“个体工商户营业执照”；</w:t>
      </w:r>
    </w:p>
    <w:p>
      <w:pPr>
        <w:pStyle w:val="34"/>
        <w:numPr>
          <w:ilvl w:val="0"/>
          <w:numId w:val="0"/>
        </w:numPr>
        <w:tabs>
          <w:tab w:val="left" w:pos="312"/>
        </w:tabs>
        <w:adjustRightInd w:val="0"/>
        <w:snapToGrid w:val="0"/>
        <w:spacing w:before="0" w:beforeAutospacing="0" w:after="0" w:afterAutospacing="0" w:line="360" w:lineRule="auto"/>
        <w:ind w:firstLine="420" w:firstLineChars="200"/>
        <w:rPr>
          <w:rFonts w:hint="eastAsia" w:ascii="宋体" w:hAnsi="宋体" w:eastAsia="宋体" w:cs="宋体"/>
          <w:b w:val="0"/>
          <w:bCs/>
          <w:color w:val="000000"/>
          <w:sz w:val="21"/>
          <w:szCs w:val="21"/>
          <w:highlight w:val="none"/>
        </w:rPr>
      </w:pPr>
      <w:r>
        <w:rPr>
          <w:rFonts w:hint="eastAsia" w:ascii="Times New Roman" w:hAnsi="Times New Roman" w:eastAsia="宋体" w:cs="Times New Roman"/>
          <w:b w:val="0"/>
          <w:bCs/>
          <w:color w:val="000000"/>
          <w:sz w:val="21"/>
          <w:szCs w:val="21"/>
          <w:highlight w:val="none"/>
          <w:lang w:val="en-US" w:eastAsia="zh-CN"/>
        </w:rPr>
        <w:t>5）</w:t>
      </w:r>
      <w:r>
        <w:rPr>
          <w:rFonts w:hint="eastAsia" w:ascii="宋体" w:hAnsi="宋体" w:eastAsia="宋体" w:cs="宋体"/>
          <w:b w:val="0"/>
          <w:bCs/>
          <w:color w:val="000000"/>
          <w:sz w:val="21"/>
          <w:szCs w:val="21"/>
          <w:highlight w:val="none"/>
        </w:rPr>
        <w:t>如投标人是自然人，提供有效的自然人身份证明（居民身份证正反面或公安机关出具的临时居民身份证正反面或港澳台胞证或护照）。</w:t>
      </w:r>
    </w:p>
    <w:p>
      <w:pPr>
        <w:pStyle w:val="34"/>
        <w:numPr>
          <w:ilvl w:val="0"/>
          <w:numId w:val="0"/>
        </w:numPr>
        <w:tabs>
          <w:tab w:val="left" w:pos="630"/>
          <w:tab w:val="left" w:pos="840"/>
          <w:tab w:val="left" w:pos="1050"/>
        </w:tabs>
        <w:adjustRightInd w:val="0"/>
        <w:snapToGrid w:val="0"/>
        <w:spacing w:before="0" w:beforeAutospacing="0" w:after="0" w:afterAutospacing="0" w:line="360" w:lineRule="auto"/>
        <w:ind w:firstLine="420" w:firstLineChars="200"/>
        <w:rPr>
          <w:rFonts w:hint="eastAsia" w:ascii="宋体" w:hAnsi="宋体" w:eastAsia="宋体" w:cs="宋体"/>
          <w:b w:val="0"/>
          <w:bCs/>
          <w:color w:val="000000"/>
          <w:sz w:val="21"/>
          <w:szCs w:val="21"/>
          <w:highlight w:val="none"/>
        </w:rPr>
      </w:pPr>
      <w:r>
        <w:rPr>
          <w:rFonts w:hint="eastAsia" w:ascii="宋体" w:hAnsi="宋体" w:eastAsia="宋体" w:cs="宋体"/>
          <w:b w:val="0"/>
          <w:bCs/>
          <w:color w:val="000000"/>
          <w:sz w:val="21"/>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r>
        <w:rPr>
          <w:rFonts w:hint="eastAsia" w:ascii="宋体" w:hAnsi="宋体" w:eastAsia="宋体" w:cs="宋体"/>
          <w:b w:val="0"/>
          <w:bCs/>
          <w:color w:val="000000"/>
          <w:sz w:val="21"/>
          <w:szCs w:val="21"/>
          <w:highlight w:val="none"/>
          <w:lang w:eastAsia="zh-CN"/>
        </w:rPr>
        <w:t>。</w:t>
      </w:r>
    </w:p>
    <w:p>
      <w:pPr>
        <w:numPr>
          <w:ilvl w:val="0"/>
          <w:numId w:val="0"/>
        </w:numPr>
        <w:snapToGrid w:val="0"/>
        <w:spacing w:line="360" w:lineRule="auto"/>
        <w:ind w:firstLine="420" w:firstLineChars="200"/>
        <w:jc w:val="both"/>
        <w:rPr>
          <w:rFonts w:hint="eastAsia" w:ascii="宋体" w:hAnsi="宋体" w:eastAsia="宋体" w:cs="宋体"/>
          <w:b w:val="0"/>
          <w:bCs/>
          <w:color w:val="000000"/>
          <w:sz w:val="21"/>
          <w:szCs w:val="21"/>
          <w:highlight w:val="none"/>
          <w:lang w:eastAsia="zh-CN"/>
        </w:rPr>
      </w:pPr>
      <w:r>
        <w:rPr>
          <w:rFonts w:hint="eastAsia" w:ascii="Times New Roman" w:hAnsi="Times New Roman" w:eastAsia="宋体" w:cs="Times New Roman"/>
          <w:b w:val="0"/>
          <w:bCs/>
          <w:color w:val="000000"/>
          <w:sz w:val="21"/>
          <w:szCs w:val="21"/>
          <w:highlight w:val="none"/>
          <w:lang w:val="en-US" w:eastAsia="zh-CN" w:bidi="ar-SA"/>
        </w:rPr>
        <w:t>（2）</w:t>
      </w:r>
      <w:r>
        <w:rPr>
          <w:rFonts w:hint="eastAsia" w:ascii="宋体" w:hAnsi="宋体" w:eastAsia="宋体" w:cs="宋体"/>
          <w:b w:val="0"/>
          <w:bCs/>
          <w:color w:val="000000"/>
          <w:sz w:val="21"/>
          <w:szCs w:val="21"/>
          <w:highlight w:val="none"/>
          <w:lang w:eastAsia="zh-CN"/>
        </w:rPr>
        <w:t>提供关于符合《中华人民共和国政府采购法》第二十二条规定条件的承诺函（按附件格式）</w:t>
      </w:r>
      <w:r>
        <w:rPr>
          <w:rFonts w:hint="eastAsia" w:ascii="宋体" w:hAnsi="宋体" w:eastAsia="宋体" w:cs="宋体"/>
          <w:b w:val="0"/>
          <w:bCs/>
          <w:color w:val="000000"/>
          <w:sz w:val="21"/>
          <w:szCs w:val="21"/>
          <w:highlight w:val="none"/>
          <w:lang w:val="en-US" w:eastAsia="zh-CN"/>
        </w:rPr>
        <w:t xml:space="preserve"> </w:t>
      </w:r>
    </w:p>
    <w:p>
      <w:pPr>
        <w:numPr>
          <w:ilvl w:val="0"/>
          <w:numId w:val="0"/>
        </w:numPr>
        <w:snapToGrid w:val="0"/>
        <w:spacing w:line="360" w:lineRule="auto"/>
        <w:ind w:firstLine="420" w:firstLineChars="200"/>
        <w:jc w:val="both"/>
        <w:rPr>
          <w:rFonts w:hint="eastAsia" w:ascii="宋体" w:hAnsi="宋体" w:eastAsia="宋体" w:cs="宋体"/>
          <w:b w:val="0"/>
          <w:bCs/>
          <w:color w:val="000000"/>
          <w:sz w:val="21"/>
          <w:szCs w:val="21"/>
          <w:highlight w:val="none"/>
          <w:lang w:eastAsia="zh-CN"/>
        </w:rPr>
      </w:pPr>
      <w:r>
        <w:rPr>
          <w:rFonts w:hint="eastAsia" w:ascii="Times New Roman" w:hAnsi="Times New Roman" w:eastAsia="宋体" w:cs="Times New Roman"/>
          <w:b w:val="0"/>
          <w:bCs/>
          <w:color w:val="000000"/>
          <w:sz w:val="21"/>
          <w:szCs w:val="21"/>
          <w:highlight w:val="none"/>
          <w:lang w:val="en-US" w:eastAsia="zh-CN" w:bidi="ar-SA"/>
        </w:rPr>
        <w:t xml:space="preserve">2. </w:t>
      </w:r>
      <w:r>
        <w:rPr>
          <w:rFonts w:hint="eastAsia" w:ascii="宋体" w:hAnsi="宋体" w:eastAsia="宋体" w:cs="宋体"/>
          <w:b w:val="0"/>
          <w:bCs/>
          <w:color w:val="000000"/>
          <w:sz w:val="21"/>
          <w:szCs w:val="21"/>
          <w:highlight w:val="none"/>
          <w:lang w:eastAsia="zh-CN"/>
        </w:rPr>
        <w:t>落实政府采购政策需满足的资格要求所对应的证明材料：详见</w:t>
      </w:r>
      <w:r>
        <w:rPr>
          <w:rFonts w:hint="eastAsia" w:ascii="宋体" w:hAnsi="宋体" w:eastAsia="宋体" w:cs="宋体"/>
          <w:snapToGrid w:val="0"/>
          <w:color w:val="auto"/>
          <w:kern w:val="0"/>
          <w:highlight w:val="none"/>
          <w:lang w:eastAsia="zh-CN"/>
        </w:rPr>
        <w:t>招标</w:t>
      </w:r>
      <w:r>
        <w:rPr>
          <w:rFonts w:hint="eastAsia" w:ascii="宋体" w:hAnsi="宋体" w:eastAsia="宋体" w:cs="宋体"/>
          <w:snapToGrid w:val="0"/>
          <w:color w:val="auto"/>
          <w:kern w:val="0"/>
          <w:highlight w:val="none"/>
        </w:rPr>
        <w:t>公告第</w:t>
      </w:r>
      <w:r>
        <w:rPr>
          <w:rFonts w:hint="eastAsia" w:ascii="宋体" w:hAnsi="宋体" w:eastAsia="宋体" w:cs="宋体"/>
          <w:snapToGrid w:val="0"/>
          <w:color w:val="auto"/>
          <w:kern w:val="0"/>
          <w:highlight w:val="none"/>
          <w:lang w:eastAsia="zh-CN"/>
        </w:rPr>
        <w:t>二</w:t>
      </w:r>
      <w:r>
        <w:rPr>
          <w:rFonts w:hint="eastAsia" w:ascii="宋体" w:hAnsi="宋体" w:eastAsia="宋体" w:cs="宋体"/>
          <w:snapToGrid w:val="0"/>
          <w:color w:val="auto"/>
          <w:kern w:val="0"/>
          <w:highlight w:val="none"/>
        </w:rPr>
        <w:t>条</w:t>
      </w:r>
      <w:r>
        <w:rPr>
          <w:rFonts w:hint="eastAsia" w:ascii="宋体" w:hAnsi="宋体" w:eastAsia="宋体" w:cs="宋体"/>
          <w:snapToGrid w:val="0"/>
          <w:color w:val="auto"/>
          <w:kern w:val="0"/>
          <w:highlight w:val="none"/>
          <w:lang w:eastAsia="zh-CN"/>
        </w:rPr>
        <w:t>“</w:t>
      </w:r>
      <w:r>
        <w:rPr>
          <w:rFonts w:hint="eastAsia" w:ascii="宋体" w:hAnsi="宋体" w:eastAsia="宋体" w:cs="宋体"/>
          <w:snapToGrid w:val="0"/>
          <w:color w:val="auto"/>
          <w:kern w:val="0"/>
          <w:highlight w:val="none"/>
          <w:lang w:val="en-US" w:eastAsia="zh-CN"/>
        </w:rPr>
        <w:t>申请人的资格要求”</w:t>
      </w:r>
      <w:r>
        <w:rPr>
          <w:rFonts w:hint="eastAsia" w:ascii="宋体" w:hAnsi="宋体" w:eastAsia="宋体" w:cs="宋体"/>
          <w:b w:val="0"/>
          <w:bCs/>
          <w:color w:val="000000"/>
          <w:sz w:val="21"/>
          <w:szCs w:val="21"/>
          <w:highlight w:val="none"/>
          <w:lang w:eastAsia="zh-CN"/>
        </w:rPr>
        <w:t>。</w:t>
      </w:r>
    </w:p>
    <w:p>
      <w:pPr>
        <w:snapToGrid w:val="0"/>
        <w:spacing w:line="360" w:lineRule="auto"/>
        <w:ind w:firstLine="420" w:firstLineChars="200"/>
        <w:rPr>
          <w:rFonts w:hint="eastAsia" w:ascii="Times New Roman" w:hAnsi="Times New Roman" w:eastAsia="宋体" w:cs="Times New Roman"/>
          <w:szCs w:val="21"/>
          <w:highlight w:val="none"/>
        </w:rPr>
      </w:pPr>
      <w:r>
        <w:rPr>
          <w:rFonts w:hint="default" w:ascii="Times New Roman" w:hAnsi="Times New Roman" w:eastAsia="宋体" w:cs="Times New Roman"/>
          <w:bCs/>
          <w:szCs w:val="21"/>
          <w:highlight w:val="none"/>
        </w:rPr>
        <w:t>（</w:t>
      </w:r>
      <w:r>
        <w:rPr>
          <w:rFonts w:hint="default" w:ascii="Times New Roman" w:hAnsi="Times New Roman" w:eastAsia="宋体" w:cs="Times New Roman"/>
          <w:bCs/>
          <w:szCs w:val="21"/>
          <w:highlight w:val="none"/>
          <w:lang w:val="en-US" w:eastAsia="zh-CN"/>
        </w:rPr>
        <w:t>1</w:t>
      </w:r>
      <w:r>
        <w:rPr>
          <w:rFonts w:hint="default" w:ascii="Times New Roman" w:hAnsi="Times New Roman" w:eastAsia="宋体" w:cs="Times New Roman"/>
          <w:bCs/>
          <w:szCs w:val="21"/>
          <w:highlight w:val="none"/>
        </w:rPr>
        <w:t>）</w:t>
      </w:r>
      <w:r>
        <w:rPr>
          <w:rFonts w:hint="eastAsia" w:ascii="Times New Roman" w:hAnsi="Times New Roman" w:eastAsia="宋体" w:cs="Times New Roman"/>
          <w:bCs/>
          <w:szCs w:val="21"/>
          <w:highlight w:val="none"/>
          <w:lang w:val="en-US" w:eastAsia="zh-CN"/>
        </w:rPr>
        <w:t>投标人若为中小微型企业，须提供《企业</w:t>
      </w:r>
      <w:r>
        <w:rPr>
          <w:rFonts w:hint="eastAsia" w:ascii="Times New Roman" w:hAnsi="Times New Roman" w:eastAsia="宋体" w:cs="Times New Roman"/>
          <w:szCs w:val="21"/>
          <w:highlight w:val="none"/>
        </w:rPr>
        <w:t>中小企业声明函</w:t>
      </w:r>
      <w:r>
        <w:rPr>
          <w:rFonts w:hint="eastAsia" w:ascii="Times New Roman" w:hAnsi="Times New Roman" w:eastAsia="宋体" w:cs="Times New Roman"/>
          <w:bCs/>
          <w:szCs w:val="21"/>
          <w:highlight w:val="none"/>
          <w:lang w:val="en-US" w:eastAsia="zh-CN"/>
        </w:rPr>
        <w:t>》</w:t>
      </w:r>
      <w:r>
        <w:rPr>
          <w:rFonts w:hint="eastAsia" w:ascii="Times New Roman" w:hAnsi="Times New Roman" w:eastAsia="宋体" w:cs="Times New Roman"/>
          <w:szCs w:val="21"/>
          <w:highlight w:val="none"/>
        </w:rPr>
        <w:t xml:space="preserve">   </w:t>
      </w:r>
      <w:r>
        <w:rPr>
          <w:rFonts w:hint="eastAsia" w:ascii="Times New Roman" w:hAnsi="Times New Roman" w:eastAsia="宋体" w:cs="Times New Roman"/>
          <w:szCs w:val="21"/>
          <w:highlight w:val="none"/>
          <w:lang w:val="en-US" w:eastAsia="zh-CN"/>
        </w:rPr>
        <w:t xml:space="preserve">  </w:t>
      </w:r>
      <w:r>
        <w:rPr>
          <w:rFonts w:hint="eastAsia" w:ascii="Times New Roman" w:hAnsi="Times New Roman" w:eastAsia="宋体" w:cs="Times New Roman"/>
          <w:szCs w:val="21"/>
          <w:highlight w:val="none"/>
        </w:rPr>
        <w:t>（按附件格式）</w:t>
      </w:r>
    </w:p>
    <w:p>
      <w:pPr>
        <w:snapToGrid w:val="0"/>
        <w:spacing w:line="360" w:lineRule="auto"/>
        <w:ind w:firstLine="42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Cs/>
          <w:szCs w:val="21"/>
          <w:highlight w:val="none"/>
        </w:rPr>
        <w:t>（</w:t>
      </w:r>
      <w:r>
        <w:rPr>
          <w:rFonts w:hint="eastAsia" w:ascii="Times New Roman" w:hAnsi="Times New Roman" w:eastAsia="宋体" w:cs="Times New Roman"/>
          <w:bCs/>
          <w:szCs w:val="21"/>
          <w:highlight w:val="none"/>
          <w:lang w:val="en-US" w:eastAsia="zh-CN"/>
        </w:rPr>
        <w:t>2</w:t>
      </w:r>
      <w:r>
        <w:rPr>
          <w:rFonts w:hint="eastAsia" w:ascii="Times New Roman" w:hAnsi="Times New Roman" w:eastAsia="宋体" w:cs="Times New Roman"/>
          <w:bCs/>
          <w:szCs w:val="21"/>
          <w:highlight w:val="none"/>
        </w:rPr>
        <w:t>）</w:t>
      </w:r>
      <w:r>
        <w:rPr>
          <w:rFonts w:hint="eastAsia" w:ascii="Times New Roman" w:hAnsi="Times New Roman" w:eastAsia="宋体" w:cs="Times New Roman"/>
          <w:bCs/>
          <w:szCs w:val="21"/>
          <w:highlight w:val="none"/>
          <w:lang w:val="en-US" w:eastAsia="zh-CN"/>
        </w:rPr>
        <w:t>投标人若为残疾人福利性单位，须提供《</w:t>
      </w:r>
      <w:r>
        <w:rPr>
          <w:rFonts w:hint="eastAsia" w:ascii="Times New Roman" w:hAnsi="Times New Roman" w:eastAsia="宋体" w:cs="Times New Roman"/>
          <w:szCs w:val="21"/>
          <w:highlight w:val="none"/>
        </w:rPr>
        <w:t>残疾人福利性单位声明函</w:t>
      </w:r>
      <w:r>
        <w:rPr>
          <w:rFonts w:hint="eastAsia" w:ascii="Times New Roman" w:hAnsi="Times New Roman" w:eastAsia="宋体" w:cs="Times New Roman"/>
          <w:bCs/>
          <w:szCs w:val="21"/>
          <w:highlight w:val="none"/>
          <w:lang w:val="en-US" w:eastAsia="zh-CN"/>
        </w:rPr>
        <w:t>》</w:t>
      </w:r>
      <w:r>
        <w:rPr>
          <w:rFonts w:hint="eastAsia" w:ascii="Times New Roman" w:hAnsi="Times New Roman" w:eastAsia="宋体" w:cs="Times New Roman"/>
          <w:szCs w:val="21"/>
          <w:highlight w:val="none"/>
        </w:rPr>
        <w:t xml:space="preserve"> （按附件格式） </w:t>
      </w:r>
    </w:p>
    <w:p>
      <w:pPr>
        <w:snapToGrid w:val="0"/>
        <w:spacing w:line="360" w:lineRule="auto"/>
        <w:ind w:left="10" w:firstLine="409" w:firstLineChars="195"/>
        <w:jc w:val="both"/>
        <w:rPr>
          <w:rFonts w:hint="eastAsia"/>
          <w:highlight w:val="none"/>
          <w:lang w:eastAsia="zh-CN"/>
        </w:rPr>
      </w:pPr>
      <w:r>
        <w:rPr>
          <w:rFonts w:hint="eastAsia" w:ascii="Times New Roman" w:hAnsi="Times New Roman" w:eastAsia="宋体" w:cs="Times New Roman"/>
          <w:bCs/>
          <w:szCs w:val="21"/>
          <w:highlight w:val="none"/>
        </w:rPr>
        <w:t>（</w:t>
      </w:r>
      <w:r>
        <w:rPr>
          <w:rFonts w:hint="eastAsia" w:ascii="Times New Roman" w:hAnsi="Times New Roman" w:eastAsia="宋体" w:cs="Times New Roman"/>
          <w:bCs/>
          <w:szCs w:val="21"/>
          <w:highlight w:val="none"/>
          <w:lang w:val="en-US" w:eastAsia="zh-CN"/>
        </w:rPr>
        <w:t>3</w:t>
      </w:r>
      <w:r>
        <w:rPr>
          <w:rFonts w:hint="eastAsia" w:ascii="Times New Roman" w:hAnsi="Times New Roman" w:eastAsia="宋体" w:cs="Times New Roman"/>
          <w:bCs/>
          <w:szCs w:val="21"/>
          <w:highlight w:val="none"/>
        </w:rPr>
        <w:t>）</w:t>
      </w:r>
      <w:r>
        <w:rPr>
          <w:rFonts w:hint="eastAsia" w:ascii="Times New Roman" w:hAnsi="Times New Roman" w:eastAsia="宋体" w:cs="Times New Roman"/>
          <w:bCs/>
          <w:szCs w:val="21"/>
          <w:highlight w:val="none"/>
          <w:lang w:val="en-US" w:eastAsia="zh-CN"/>
        </w:rPr>
        <w:t>投标人若为监狱企业，须提供</w:t>
      </w:r>
      <w:r>
        <w:rPr>
          <w:rFonts w:hint="eastAsia" w:ascii="Times New Roman" w:hAnsi="Times New Roman" w:eastAsia="宋体" w:cs="Times New Roman"/>
          <w:szCs w:val="21"/>
          <w:highlight w:val="none"/>
        </w:rPr>
        <w:t xml:space="preserve">省级以上监狱管理局、戒毒管理局（含新疆生产建设兵团）出具的属于监狱企业的证明文件  </w:t>
      </w:r>
    </w:p>
    <w:p>
      <w:pPr>
        <w:numPr>
          <w:ilvl w:val="0"/>
          <w:numId w:val="0"/>
        </w:numPr>
        <w:snapToGrid w:val="0"/>
        <w:spacing w:line="360" w:lineRule="auto"/>
        <w:ind w:firstLine="420" w:firstLineChars="200"/>
        <w:jc w:val="both"/>
        <w:rPr>
          <w:rFonts w:hint="eastAsia" w:ascii="宋体" w:hAnsi="宋体" w:eastAsia="宋体" w:cs="宋体"/>
          <w:b w:val="0"/>
          <w:bCs/>
          <w:color w:val="000000"/>
          <w:sz w:val="21"/>
          <w:szCs w:val="21"/>
          <w:highlight w:val="none"/>
          <w:lang w:eastAsia="zh-CN"/>
        </w:rPr>
      </w:pPr>
      <w:r>
        <w:rPr>
          <w:rFonts w:hint="eastAsia" w:ascii="Times New Roman" w:hAnsi="Times New Roman" w:eastAsia="宋体" w:cs="Times New Roman"/>
          <w:b w:val="0"/>
          <w:bCs/>
          <w:color w:val="000000"/>
          <w:sz w:val="21"/>
          <w:szCs w:val="21"/>
          <w:highlight w:val="none"/>
          <w:lang w:val="en-US" w:eastAsia="zh-CN" w:bidi="ar-SA"/>
        </w:rPr>
        <w:t xml:space="preserve">3. </w:t>
      </w:r>
      <w:r>
        <w:rPr>
          <w:rFonts w:hint="eastAsia" w:ascii="宋体" w:hAnsi="宋体" w:eastAsia="宋体" w:cs="宋体"/>
          <w:b w:val="0"/>
          <w:bCs/>
          <w:color w:val="000000"/>
          <w:sz w:val="21"/>
          <w:szCs w:val="21"/>
          <w:highlight w:val="none"/>
          <w:lang w:eastAsia="zh-CN"/>
        </w:rPr>
        <w:t>特定资格条件对应的证明材料：详见</w:t>
      </w:r>
      <w:r>
        <w:rPr>
          <w:rFonts w:hint="eastAsia" w:ascii="宋体" w:hAnsi="宋体" w:eastAsia="宋体" w:cs="宋体"/>
          <w:snapToGrid w:val="0"/>
          <w:color w:val="auto"/>
          <w:kern w:val="0"/>
          <w:highlight w:val="none"/>
          <w:lang w:eastAsia="zh-CN"/>
        </w:rPr>
        <w:t>招标</w:t>
      </w:r>
      <w:r>
        <w:rPr>
          <w:rFonts w:hint="eastAsia" w:ascii="宋体" w:hAnsi="宋体" w:eastAsia="宋体" w:cs="宋体"/>
          <w:snapToGrid w:val="0"/>
          <w:color w:val="auto"/>
          <w:kern w:val="0"/>
          <w:highlight w:val="none"/>
        </w:rPr>
        <w:t>公告第</w:t>
      </w:r>
      <w:r>
        <w:rPr>
          <w:rFonts w:hint="eastAsia" w:ascii="宋体" w:hAnsi="宋体" w:eastAsia="宋体" w:cs="宋体"/>
          <w:snapToGrid w:val="0"/>
          <w:color w:val="auto"/>
          <w:kern w:val="0"/>
          <w:highlight w:val="none"/>
          <w:lang w:eastAsia="zh-CN"/>
        </w:rPr>
        <w:t>二</w:t>
      </w:r>
      <w:r>
        <w:rPr>
          <w:rFonts w:hint="eastAsia" w:ascii="宋体" w:hAnsi="宋体" w:eastAsia="宋体" w:cs="宋体"/>
          <w:snapToGrid w:val="0"/>
          <w:color w:val="auto"/>
          <w:kern w:val="0"/>
          <w:highlight w:val="none"/>
        </w:rPr>
        <w:t>条</w:t>
      </w:r>
      <w:r>
        <w:rPr>
          <w:rFonts w:hint="eastAsia" w:ascii="宋体" w:hAnsi="宋体" w:eastAsia="宋体" w:cs="宋体"/>
          <w:snapToGrid w:val="0"/>
          <w:color w:val="auto"/>
          <w:kern w:val="0"/>
          <w:highlight w:val="none"/>
          <w:lang w:eastAsia="zh-CN"/>
        </w:rPr>
        <w:t>“</w:t>
      </w:r>
      <w:r>
        <w:rPr>
          <w:rFonts w:hint="eastAsia" w:ascii="宋体" w:hAnsi="宋体" w:eastAsia="宋体" w:cs="宋体"/>
          <w:snapToGrid w:val="0"/>
          <w:color w:val="auto"/>
          <w:kern w:val="0"/>
          <w:highlight w:val="none"/>
          <w:lang w:val="en-US" w:eastAsia="zh-CN"/>
        </w:rPr>
        <w:t>申请人的资格要求”</w:t>
      </w:r>
      <w:r>
        <w:rPr>
          <w:rFonts w:hint="eastAsia" w:ascii="宋体" w:hAnsi="宋体" w:eastAsia="宋体" w:cs="宋体"/>
          <w:b w:val="0"/>
          <w:bCs/>
          <w:color w:val="000000"/>
          <w:sz w:val="21"/>
          <w:szCs w:val="21"/>
          <w:highlight w:val="none"/>
          <w:lang w:eastAsia="zh-CN"/>
        </w:rPr>
        <w:t>。</w:t>
      </w:r>
    </w:p>
    <w:p>
      <w:pPr>
        <w:numPr>
          <w:ilvl w:val="0"/>
          <w:numId w:val="0"/>
        </w:numPr>
        <w:snapToGrid w:val="0"/>
        <w:spacing w:line="360" w:lineRule="auto"/>
        <w:ind w:firstLine="420" w:firstLineChars="200"/>
        <w:jc w:val="both"/>
        <w:rPr>
          <w:rFonts w:hint="eastAsia" w:ascii="宋体" w:hAnsi="宋体" w:eastAsia="宋体" w:cs="宋体"/>
          <w:b/>
          <w:bCs/>
          <w:color w:val="000000"/>
          <w:szCs w:val="22"/>
          <w:highlight w:val="none"/>
        </w:rPr>
      </w:pPr>
      <w:r>
        <w:rPr>
          <w:rFonts w:hint="eastAsia" w:ascii="宋体" w:hAnsi="宋体" w:eastAsia="宋体" w:cs="宋体"/>
          <w:b w:val="0"/>
          <w:bCs w:val="0"/>
          <w:color w:val="000000"/>
          <w:szCs w:val="22"/>
        </w:rPr>
        <w:t>第二部分：</w:t>
      </w:r>
      <w:r>
        <w:rPr>
          <w:rFonts w:hint="eastAsia" w:ascii="宋体" w:hAnsi="宋体" w:eastAsia="宋体" w:cs="宋体"/>
          <w:b w:val="0"/>
          <w:bCs w:val="0"/>
          <w:color w:val="000000"/>
          <w:szCs w:val="22"/>
          <w:highlight w:val="none"/>
        </w:rPr>
        <w:t>商务技术文件</w:t>
      </w:r>
      <w:bookmarkEnd w:id="389"/>
    </w:p>
    <w:p>
      <w:pPr>
        <w:numPr>
          <w:ilvl w:val="0"/>
          <w:numId w:val="0"/>
        </w:numPr>
        <w:tabs>
          <w:tab w:val="left" w:pos="851"/>
          <w:tab w:val="left" w:pos="900"/>
          <w:tab w:val="left" w:pos="1080"/>
        </w:tabs>
        <w:adjustRightInd w:val="0"/>
        <w:snapToGrid w:val="0"/>
        <w:spacing w:line="360" w:lineRule="auto"/>
        <w:ind w:firstLine="420" w:firstLineChars="200"/>
        <w:jc w:val="left"/>
        <w:rPr>
          <w:rFonts w:hint="eastAsia" w:ascii="宋体" w:hAnsi="宋体" w:eastAsia="宋体" w:cs="宋体"/>
        </w:rPr>
      </w:pPr>
      <w:r>
        <w:rPr>
          <w:rFonts w:hint="eastAsia" w:ascii="宋体" w:hAnsi="宋体" w:eastAsia="宋体" w:cs="宋体"/>
          <w:bCs/>
          <w:color w:val="auto"/>
          <w:szCs w:val="21"/>
          <w:highlight w:val="none"/>
          <w:lang w:eastAsia="zh-CN"/>
        </w:rPr>
        <w:t>包括但不限于以下内容：</w:t>
      </w:r>
    </w:p>
    <w:p>
      <w:pPr>
        <w:numPr>
          <w:ilvl w:val="0"/>
          <w:numId w:val="0"/>
        </w:numPr>
        <w:snapToGrid w:val="0"/>
        <w:spacing w:line="360" w:lineRule="auto"/>
        <w:ind w:leftChars="200"/>
        <w:jc w:val="both"/>
        <w:rPr>
          <w:rFonts w:hint="default" w:ascii="Times New Roman" w:hAnsi="Times New Roman" w:eastAsia="宋体" w:cs="Times New Roman"/>
          <w:b w:val="0"/>
          <w:bCs/>
          <w:color w:val="000000"/>
          <w:sz w:val="21"/>
          <w:szCs w:val="21"/>
          <w:highlight w:val="none"/>
          <w:lang w:val="en-US" w:eastAsia="zh-CN" w:bidi="ar-SA"/>
        </w:rPr>
      </w:pPr>
      <w:r>
        <w:rPr>
          <w:rFonts w:hint="eastAsia" w:ascii="Times New Roman" w:hAnsi="Times New Roman" w:eastAsia="宋体" w:cs="Times New Roman"/>
          <w:b w:val="0"/>
          <w:bCs/>
          <w:color w:val="000000"/>
          <w:sz w:val="21"/>
          <w:szCs w:val="21"/>
          <w:highlight w:val="none"/>
          <w:lang w:val="en-US" w:eastAsia="zh-CN" w:bidi="ar-SA"/>
        </w:rPr>
        <w:t>（1）</w:t>
      </w:r>
      <w:r>
        <w:rPr>
          <w:rFonts w:hint="eastAsia" w:ascii="宋体" w:hAnsi="宋体" w:cs="宋体"/>
        </w:rPr>
        <w:t>▲</w:t>
      </w:r>
      <w:r>
        <w:rPr>
          <w:rFonts w:hint="eastAsia" w:ascii="Times New Roman" w:hAnsi="Times New Roman" w:eastAsia="宋体" w:cs="Times New Roman"/>
          <w:b w:val="0"/>
          <w:bCs/>
          <w:color w:val="000000"/>
          <w:sz w:val="21"/>
          <w:szCs w:val="21"/>
          <w:highlight w:val="none"/>
          <w:lang w:val="en-US" w:eastAsia="zh-CN" w:bidi="ar-SA"/>
        </w:rPr>
        <w:t xml:space="preserve">法定代表人身份证明                                   </w:t>
      </w:r>
      <w:r>
        <w:rPr>
          <w:rFonts w:hint="eastAsia" w:ascii="宋体" w:hAnsi="宋体" w:eastAsia="宋体" w:cs="宋体"/>
          <w:b w:val="0"/>
          <w:bCs/>
          <w:color w:val="auto"/>
          <w:sz w:val="21"/>
          <w:szCs w:val="21"/>
          <w:highlight w:val="none"/>
          <w:lang w:val="en-US" w:eastAsia="zh-CN"/>
        </w:rPr>
        <w:t>（按附件格式）</w:t>
      </w:r>
    </w:p>
    <w:p>
      <w:pPr>
        <w:numPr>
          <w:ilvl w:val="0"/>
          <w:numId w:val="0"/>
        </w:numPr>
        <w:snapToGrid w:val="0"/>
        <w:spacing w:line="360" w:lineRule="auto"/>
        <w:ind w:leftChars="200"/>
        <w:jc w:val="both"/>
        <w:rPr>
          <w:rFonts w:hint="eastAsia" w:ascii="宋体" w:hAnsi="宋体" w:eastAsia="宋体" w:cs="宋体"/>
          <w:color w:val="auto"/>
          <w:szCs w:val="22"/>
          <w:highlight w:val="none"/>
        </w:rPr>
      </w:pPr>
      <w:r>
        <w:rPr>
          <w:rFonts w:hint="default" w:ascii="Times New Roman" w:hAnsi="Times New Roman" w:eastAsia="宋体" w:cs="Times New Roman"/>
          <w:b w:val="0"/>
          <w:bCs/>
          <w:color w:val="000000"/>
          <w:sz w:val="21"/>
          <w:szCs w:val="21"/>
          <w:highlight w:val="none"/>
          <w:lang w:val="en-US" w:eastAsia="zh-CN" w:bidi="ar-SA"/>
        </w:rPr>
        <w:t>（2）</w:t>
      </w:r>
      <w:r>
        <w:rPr>
          <w:rFonts w:hint="eastAsia" w:ascii="宋体" w:hAnsi="宋体" w:eastAsia="宋体" w:cs="宋体"/>
          <w:color w:val="auto"/>
          <w:szCs w:val="22"/>
          <w:lang w:eastAsia="zh-CN"/>
        </w:rPr>
        <w:t>法定代表人授权书</w:t>
      </w:r>
      <w:r>
        <w:rPr>
          <w:rFonts w:hint="eastAsia" w:ascii="宋体" w:hAnsi="宋体" w:eastAsia="宋体" w:cs="宋体"/>
          <w:color w:val="auto"/>
          <w:szCs w:val="22"/>
          <w:lang w:val="en-US" w:eastAsia="zh-CN"/>
        </w:rPr>
        <w:t xml:space="preserve">                                      </w:t>
      </w:r>
      <w:r>
        <w:rPr>
          <w:rFonts w:hint="eastAsia" w:ascii="宋体" w:hAnsi="宋体" w:eastAsia="宋体" w:cs="宋体"/>
          <w:color w:val="auto"/>
          <w:szCs w:val="22"/>
          <w:highlight w:val="none"/>
          <w:lang w:val="en-US" w:eastAsia="zh-CN"/>
        </w:rPr>
        <w:t xml:space="preserve"> </w:t>
      </w:r>
      <w:r>
        <w:rPr>
          <w:rFonts w:hint="eastAsia" w:ascii="宋体" w:hAnsi="宋体" w:eastAsia="宋体" w:cs="宋体"/>
          <w:b w:val="0"/>
          <w:bCs/>
          <w:color w:val="auto"/>
          <w:sz w:val="21"/>
          <w:szCs w:val="21"/>
          <w:highlight w:val="none"/>
          <w:lang w:val="en-US" w:eastAsia="zh-CN"/>
        </w:rPr>
        <w:t>（按附件格式）</w:t>
      </w:r>
    </w:p>
    <w:p>
      <w:pPr>
        <w:numPr>
          <w:ilvl w:val="0"/>
          <w:numId w:val="0"/>
        </w:numPr>
        <w:snapToGrid w:val="0"/>
        <w:spacing w:line="360" w:lineRule="auto"/>
        <w:ind w:leftChars="200"/>
        <w:jc w:val="both"/>
        <w:rPr>
          <w:rFonts w:hint="eastAsia" w:ascii="宋体" w:hAnsi="宋体" w:eastAsia="宋体" w:cs="宋体"/>
          <w:color w:val="auto"/>
          <w:szCs w:val="22"/>
          <w:highlight w:val="none"/>
          <w:lang w:eastAsia="zh-CN"/>
        </w:rPr>
      </w:pPr>
      <w:r>
        <w:rPr>
          <w:rFonts w:hint="default" w:ascii="Times New Roman" w:hAnsi="Times New Roman" w:eastAsia="宋体" w:cs="Times New Roman"/>
          <w:b w:val="0"/>
          <w:bCs/>
          <w:color w:val="000000"/>
          <w:sz w:val="21"/>
          <w:szCs w:val="21"/>
          <w:highlight w:val="none"/>
          <w:lang w:val="en-US" w:eastAsia="zh-CN" w:bidi="ar-SA"/>
        </w:rPr>
        <w:t>（</w:t>
      </w:r>
      <w:r>
        <w:rPr>
          <w:rFonts w:hint="eastAsia" w:ascii="Times New Roman" w:hAnsi="Times New Roman" w:eastAsia="宋体" w:cs="Times New Roman"/>
          <w:b w:val="0"/>
          <w:bCs/>
          <w:color w:val="000000"/>
          <w:sz w:val="21"/>
          <w:szCs w:val="21"/>
          <w:highlight w:val="none"/>
          <w:lang w:val="en-US" w:eastAsia="zh-CN" w:bidi="ar-SA"/>
        </w:rPr>
        <w:t>3</w:t>
      </w:r>
      <w:r>
        <w:rPr>
          <w:rFonts w:hint="default" w:ascii="Times New Roman" w:hAnsi="Times New Roman" w:eastAsia="宋体" w:cs="Times New Roman"/>
          <w:b w:val="0"/>
          <w:bCs/>
          <w:color w:val="000000"/>
          <w:sz w:val="21"/>
          <w:szCs w:val="21"/>
          <w:highlight w:val="none"/>
          <w:lang w:val="en-US" w:eastAsia="zh-CN" w:bidi="ar-SA"/>
        </w:rPr>
        <w:t>）</w:t>
      </w:r>
      <w:r>
        <w:rPr>
          <w:rFonts w:hint="eastAsia" w:ascii="宋体" w:hAnsi="宋体" w:cs="宋体"/>
        </w:rPr>
        <w:t>▲</w:t>
      </w:r>
      <w:r>
        <w:rPr>
          <w:rFonts w:hint="eastAsia" w:ascii="Times New Roman" w:hAnsi="Times New Roman" w:eastAsia="宋体" w:cs="Times New Roman"/>
          <w:b w:val="0"/>
          <w:bCs/>
          <w:color w:val="000000"/>
          <w:sz w:val="21"/>
          <w:szCs w:val="21"/>
          <w:highlight w:val="none"/>
          <w:lang w:val="en-US" w:eastAsia="zh-CN" w:bidi="ar-SA"/>
        </w:rPr>
        <w:t>投</w:t>
      </w:r>
      <w:r>
        <w:rPr>
          <w:rFonts w:hint="eastAsia" w:ascii="宋体" w:hAnsi="宋体" w:eastAsia="宋体" w:cs="宋体"/>
          <w:color w:val="auto"/>
          <w:szCs w:val="22"/>
          <w:highlight w:val="none"/>
          <w:lang w:val="en-US" w:eastAsia="zh-CN"/>
        </w:rPr>
        <w:t xml:space="preserve">标函   </w:t>
      </w:r>
      <w:r>
        <w:rPr>
          <w:rFonts w:hint="eastAsia" w:ascii="宋体" w:hAnsi="宋体" w:eastAsia="宋体" w:cs="宋体"/>
          <w:color w:val="auto"/>
          <w:szCs w:val="22"/>
          <w:highlight w:val="none"/>
          <w:lang w:eastAsia="zh-CN"/>
        </w:rPr>
        <w:t xml:space="preserve">                                         </w:t>
      </w:r>
      <w:r>
        <w:rPr>
          <w:rFonts w:hint="eastAsia" w:ascii="宋体" w:hAnsi="宋体" w:eastAsia="宋体" w:cs="宋体"/>
          <w:color w:val="auto"/>
          <w:szCs w:val="22"/>
          <w:highlight w:val="none"/>
          <w:lang w:val="en-US" w:eastAsia="zh-CN"/>
        </w:rPr>
        <w:t xml:space="preserve">  </w:t>
      </w:r>
      <w:r>
        <w:rPr>
          <w:rFonts w:hint="eastAsia" w:ascii="宋体" w:hAnsi="宋体" w:eastAsia="宋体" w:cs="宋体"/>
          <w:b w:val="0"/>
          <w:bCs/>
          <w:color w:val="auto"/>
          <w:sz w:val="21"/>
          <w:szCs w:val="21"/>
          <w:highlight w:val="none"/>
          <w:lang w:val="en-US" w:eastAsia="zh-CN"/>
        </w:rPr>
        <w:t xml:space="preserve"> （按附件格式）</w:t>
      </w:r>
    </w:p>
    <w:p>
      <w:pPr>
        <w:numPr>
          <w:ilvl w:val="0"/>
          <w:numId w:val="0"/>
        </w:numPr>
        <w:snapToGrid w:val="0"/>
        <w:spacing w:line="360" w:lineRule="auto"/>
        <w:ind w:left="2520" w:leftChars="200" w:hanging="2100" w:hangingChars="1000"/>
        <w:jc w:val="both"/>
        <w:rPr>
          <w:rFonts w:hint="eastAsia" w:ascii="宋体" w:hAnsi="宋体" w:eastAsia="宋体" w:cs="宋体"/>
          <w:color w:val="auto"/>
          <w:szCs w:val="22"/>
          <w:highlight w:val="none"/>
        </w:rPr>
      </w:pPr>
      <w:r>
        <w:rPr>
          <w:rFonts w:hint="eastAsia" w:ascii="Times New Roman" w:hAnsi="Times New Roman" w:eastAsia="宋体" w:cs="Times New Roman"/>
          <w:b w:val="0"/>
          <w:bCs/>
          <w:color w:val="000000"/>
          <w:sz w:val="21"/>
          <w:szCs w:val="21"/>
          <w:highlight w:val="none"/>
          <w:lang w:val="en-US" w:eastAsia="zh-CN" w:bidi="ar-SA"/>
        </w:rPr>
        <w:t>（4）</w:t>
      </w:r>
      <w:r>
        <w:rPr>
          <w:rFonts w:hint="eastAsia" w:ascii="宋体" w:hAnsi="宋体" w:eastAsia="宋体" w:cs="宋体"/>
          <w:color w:val="auto"/>
          <w:szCs w:val="22"/>
          <w:highlight w:val="none"/>
          <w:lang w:val="en-US" w:eastAsia="zh-CN"/>
        </w:rPr>
        <w:t>商务与技术偏离表</w:t>
      </w:r>
      <w:r>
        <w:rPr>
          <w:rFonts w:hint="eastAsia" w:ascii="宋体" w:hAnsi="宋体" w:eastAsia="宋体" w:cs="宋体"/>
          <w:color w:val="auto"/>
          <w:szCs w:val="22"/>
          <w:highlight w:val="none"/>
        </w:rPr>
        <w:t xml:space="preserve">                      </w:t>
      </w:r>
      <w:r>
        <w:rPr>
          <w:rFonts w:hint="eastAsia" w:ascii="宋体" w:hAnsi="宋体" w:eastAsia="宋体" w:cs="宋体"/>
          <w:color w:val="auto"/>
          <w:szCs w:val="22"/>
          <w:highlight w:val="none"/>
          <w:lang w:val="en-US" w:eastAsia="zh-CN"/>
        </w:rPr>
        <w:t xml:space="preserve">                </w:t>
      </w:r>
      <w:r>
        <w:rPr>
          <w:rFonts w:hint="eastAsia" w:ascii="宋体" w:hAnsi="宋体" w:eastAsia="宋体" w:cs="宋体"/>
          <w:color w:val="auto"/>
          <w:szCs w:val="22"/>
          <w:highlight w:val="none"/>
        </w:rPr>
        <w:t xml:space="preserve"> （</w:t>
      </w:r>
      <w:r>
        <w:rPr>
          <w:rFonts w:hint="eastAsia" w:ascii="宋体" w:hAnsi="宋体" w:eastAsia="宋体" w:cs="宋体"/>
          <w:color w:val="auto"/>
          <w:szCs w:val="22"/>
          <w:highlight w:val="none"/>
          <w:lang w:eastAsia="zh-CN"/>
        </w:rPr>
        <w:t>按附件格式</w:t>
      </w:r>
      <w:r>
        <w:rPr>
          <w:rFonts w:hint="eastAsia" w:ascii="宋体" w:hAnsi="宋体" w:eastAsia="宋体" w:cs="宋体"/>
          <w:color w:val="auto"/>
          <w:szCs w:val="22"/>
          <w:highlight w:val="none"/>
        </w:rPr>
        <w:t>）</w:t>
      </w:r>
    </w:p>
    <w:p>
      <w:pPr>
        <w:numPr>
          <w:ilvl w:val="0"/>
          <w:numId w:val="0"/>
        </w:numPr>
        <w:snapToGrid w:val="0"/>
        <w:spacing w:line="360" w:lineRule="auto"/>
        <w:ind w:leftChars="200"/>
        <w:rPr>
          <w:rFonts w:hint="eastAsia" w:ascii="宋体" w:hAnsi="宋体" w:eastAsia="宋体" w:cs="宋体"/>
          <w:color w:val="auto"/>
          <w:szCs w:val="22"/>
          <w:highlight w:val="none"/>
        </w:rPr>
      </w:pPr>
      <w:r>
        <w:rPr>
          <w:rFonts w:hint="eastAsia" w:ascii="Times New Roman" w:hAnsi="Times New Roman" w:eastAsia="宋体" w:cs="Times New Roman"/>
          <w:b w:val="0"/>
          <w:bCs/>
          <w:color w:val="000000"/>
          <w:sz w:val="21"/>
          <w:szCs w:val="21"/>
          <w:highlight w:val="none"/>
          <w:lang w:val="en-US" w:eastAsia="zh-CN" w:bidi="ar-SA"/>
        </w:rPr>
        <w:t>（5）项目</w:t>
      </w:r>
      <w:r>
        <w:rPr>
          <w:rFonts w:hint="eastAsia" w:ascii="宋体" w:hAnsi="宋体" w:eastAsia="宋体" w:cs="宋体"/>
          <w:color w:val="auto"/>
          <w:szCs w:val="22"/>
          <w:highlight w:val="none"/>
        </w:rPr>
        <w:t>负责人资格情况表</w:t>
      </w:r>
      <w:r>
        <w:rPr>
          <w:rFonts w:hint="eastAsia" w:ascii="宋体" w:hAnsi="宋体" w:eastAsia="宋体" w:cs="宋体"/>
          <w:color w:val="auto"/>
          <w:szCs w:val="22"/>
          <w:highlight w:val="none"/>
          <w:lang w:val="en-US" w:eastAsia="zh-CN"/>
        </w:rPr>
        <w:t xml:space="preserve">                                   </w:t>
      </w:r>
      <w:r>
        <w:rPr>
          <w:rFonts w:hint="eastAsia" w:ascii="宋体" w:hAnsi="宋体" w:eastAsia="宋体" w:cs="宋体"/>
          <w:color w:val="auto"/>
          <w:szCs w:val="22"/>
          <w:highlight w:val="none"/>
        </w:rPr>
        <w:t>（</w:t>
      </w:r>
      <w:r>
        <w:rPr>
          <w:rFonts w:hint="eastAsia" w:ascii="宋体" w:hAnsi="宋体" w:eastAsia="宋体" w:cs="宋体"/>
          <w:color w:val="auto"/>
          <w:szCs w:val="22"/>
          <w:highlight w:val="none"/>
          <w:lang w:eastAsia="zh-CN"/>
        </w:rPr>
        <w:t>按附件格式</w:t>
      </w:r>
      <w:r>
        <w:rPr>
          <w:rFonts w:hint="eastAsia" w:ascii="宋体" w:hAnsi="宋体" w:eastAsia="宋体" w:cs="宋体"/>
          <w:color w:val="auto"/>
          <w:szCs w:val="22"/>
          <w:highlight w:val="none"/>
        </w:rPr>
        <w:t>）</w:t>
      </w:r>
    </w:p>
    <w:p>
      <w:pPr>
        <w:numPr>
          <w:ilvl w:val="0"/>
          <w:numId w:val="0"/>
        </w:numPr>
        <w:snapToGrid w:val="0"/>
        <w:spacing w:line="360" w:lineRule="auto"/>
        <w:ind w:leftChars="200"/>
        <w:rPr>
          <w:rFonts w:hint="eastAsia" w:ascii="Times New Roman" w:hAnsi="Times New Roman" w:eastAsia="宋体" w:cs="Times New Roman"/>
          <w:b w:val="0"/>
          <w:bCs/>
          <w:color w:val="000000"/>
          <w:sz w:val="21"/>
          <w:szCs w:val="21"/>
          <w:highlight w:val="none"/>
          <w:lang w:val="en-US" w:eastAsia="zh-CN" w:bidi="ar-SA"/>
        </w:rPr>
      </w:pPr>
      <w:r>
        <w:rPr>
          <w:rFonts w:hint="eastAsia" w:ascii="Times New Roman" w:hAnsi="Times New Roman" w:eastAsia="宋体" w:cs="Times New Roman"/>
          <w:b w:val="0"/>
          <w:bCs/>
          <w:color w:val="000000"/>
          <w:sz w:val="21"/>
          <w:szCs w:val="21"/>
          <w:highlight w:val="none"/>
          <w:lang w:val="en-US" w:eastAsia="zh-CN" w:bidi="ar-SA"/>
        </w:rPr>
        <w:t xml:space="preserve">（6）业务主管资格情况表                                     </w:t>
      </w:r>
      <w:r>
        <w:rPr>
          <w:rFonts w:hint="eastAsia" w:ascii="宋体" w:hAnsi="宋体" w:eastAsia="宋体" w:cs="宋体"/>
          <w:color w:val="auto"/>
          <w:szCs w:val="22"/>
          <w:highlight w:val="none"/>
        </w:rPr>
        <w:t>（</w:t>
      </w:r>
      <w:r>
        <w:rPr>
          <w:rFonts w:hint="eastAsia" w:ascii="宋体" w:hAnsi="宋体" w:eastAsia="宋体" w:cs="宋体"/>
          <w:color w:val="auto"/>
          <w:szCs w:val="22"/>
          <w:highlight w:val="none"/>
          <w:lang w:eastAsia="zh-CN"/>
        </w:rPr>
        <w:t>按附件格式</w:t>
      </w:r>
      <w:r>
        <w:rPr>
          <w:rFonts w:hint="eastAsia" w:ascii="宋体" w:hAnsi="宋体" w:eastAsia="宋体" w:cs="宋体"/>
          <w:color w:val="auto"/>
          <w:szCs w:val="22"/>
          <w:highlight w:val="none"/>
        </w:rPr>
        <w:t>）</w:t>
      </w:r>
    </w:p>
    <w:p>
      <w:pPr>
        <w:numPr>
          <w:ilvl w:val="0"/>
          <w:numId w:val="0"/>
        </w:numPr>
        <w:snapToGrid w:val="0"/>
        <w:spacing w:line="360" w:lineRule="auto"/>
        <w:ind w:leftChars="200"/>
        <w:jc w:val="both"/>
        <w:rPr>
          <w:rFonts w:hint="eastAsia" w:ascii="宋体" w:hAnsi="宋体" w:eastAsia="宋体" w:cs="宋体"/>
          <w:color w:val="auto"/>
          <w:szCs w:val="22"/>
        </w:rPr>
      </w:pPr>
      <w:r>
        <w:rPr>
          <w:rFonts w:hint="eastAsia" w:ascii="Times New Roman" w:hAnsi="Times New Roman" w:eastAsia="宋体" w:cs="Times New Roman"/>
          <w:b w:val="0"/>
          <w:bCs/>
          <w:color w:val="000000"/>
          <w:sz w:val="21"/>
          <w:szCs w:val="21"/>
          <w:highlight w:val="none"/>
          <w:lang w:val="en-US" w:eastAsia="zh-CN" w:bidi="ar-SA"/>
        </w:rPr>
        <w:t>（7）</w:t>
      </w:r>
      <w:r>
        <w:rPr>
          <w:rFonts w:hint="eastAsia" w:ascii="宋体" w:hAnsi="宋体" w:eastAsia="宋体" w:cs="宋体"/>
          <w:color w:val="auto"/>
          <w:szCs w:val="22"/>
        </w:rPr>
        <w:t>投入设备及工具一览表</w:t>
      </w:r>
      <w:r>
        <w:rPr>
          <w:rFonts w:hint="eastAsia" w:ascii="宋体" w:hAnsi="宋体" w:eastAsia="宋体" w:cs="宋体"/>
          <w:color w:val="auto"/>
          <w:szCs w:val="22"/>
          <w:lang w:val="en-US" w:eastAsia="zh-CN"/>
        </w:rPr>
        <w:t xml:space="preserve">                                   </w:t>
      </w:r>
      <w:r>
        <w:rPr>
          <w:rFonts w:hint="eastAsia" w:ascii="宋体" w:hAnsi="宋体" w:eastAsia="宋体" w:cs="宋体"/>
          <w:color w:val="auto"/>
          <w:szCs w:val="22"/>
        </w:rPr>
        <w:t>（</w:t>
      </w:r>
      <w:r>
        <w:rPr>
          <w:rFonts w:hint="eastAsia" w:ascii="宋体" w:hAnsi="宋体" w:eastAsia="宋体" w:cs="宋体"/>
          <w:color w:val="auto"/>
          <w:szCs w:val="22"/>
          <w:lang w:eastAsia="zh-CN"/>
        </w:rPr>
        <w:t>按附件格式</w:t>
      </w:r>
      <w:r>
        <w:rPr>
          <w:rFonts w:hint="eastAsia" w:ascii="宋体" w:hAnsi="宋体" w:eastAsia="宋体" w:cs="宋体"/>
          <w:color w:val="auto"/>
          <w:szCs w:val="22"/>
        </w:rPr>
        <w:t>）</w:t>
      </w:r>
    </w:p>
    <w:p>
      <w:pPr>
        <w:numPr>
          <w:ilvl w:val="0"/>
          <w:numId w:val="0"/>
        </w:numPr>
        <w:snapToGrid w:val="0"/>
        <w:spacing w:line="360" w:lineRule="auto"/>
        <w:ind w:leftChars="200"/>
        <w:jc w:val="both"/>
        <w:rPr>
          <w:rFonts w:hint="eastAsia" w:ascii="宋体" w:hAnsi="宋体" w:eastAsia="宋体" w:cs="宋体"/>
          <w:color w:val="auto"/>
          <w:szCs w:val="22"/>
        </w:rPr>
      </w:pPr>
      <w:r>
        <w:rPr>
          <w:rFonts w:hint="eastAsia" w:ascii="Times New Roman" w:hAnsi="Times New Roman" w:eastAsia="宋体" w:cs="Times New Roman"/>
          <w:b w:val="0"/>
          <w:bCs/>
          <w:color w:val="000000"/>
          <w:sz w:val="21"/>
          <w:szCs w:val="21"/>
          <w:highlight w:val="none"/>
          <w:lang w:val="en-US" w:eastAsia="zh-CN" w:bidi="ar-SA"/>
        </w:rPr>
        <w:t>（8）</w:t>
      </w:r>
      <w:r>
        <w:rPr>
          <w:rFonts w:hint="eastAsia" w:ascii="宋体" w:hAnsi="宋体" w:eastAsia="宋体" w:cs="宋体"/>
          <w:color w:val="auto"/>
          <w:szCs w:val="22"/>
        </w:rPr>
        <w:t>耗材选用配备一览表</w:t>
      </w:r>
      <w:r>
        <w:rPr>
          <w:rFonts w:hint="eastAsia" w:ascii="宋体" w:hAnsi="宋体" w:eastAsia="宋体" w:cs="宋体"/>
          <w:color w:val="auto"/>
          <w:szCs w:val="22"/>
          <w:lang w:val="en-US" w:eastAsia="zh-CN"/>
        </w:rPr>
        <w:t xml:space="preserve">                                     </w:t>
      </w:r>
      <w:r>
        <w:rPr>
          <w:rFonts w:hint="eastAsia" w:ascii="宋体" w:hAnsi="宋体" w:eastAsia="宋体" w:cs="宋体"/>
          <w:color w:val="auto"/>
          <w:szCs w:val="22"/>
        </w:rPr>
        <w:t>（</w:t>
      </w:r>
      <w:r>
        <w:rPr>
          <w:rFonts w:hint="eastAsia" w:ascii="宋体" w:hAnsi="宋体" w:eastAsia="宋体" w:cs="宋体"/>
          <w:color w:val="auto"/>
          <w:szCs w:val="22"/>
          <w:lang w:eastAsia="zh-CN"/>
        </w:rPr>
        <w:t>按附件格式</w:t>
      </w:r>
      <w:r>
        <w:rPr>
          <w:rFonts w:hint="eastAsia" w:ascii="宋体" w:hAnsi="宋体" w:eastAsia="宋体" w:cs="宋体"/>
          <w:color w:val="auto"/>
          <w:szCs w:val="22"/>
        </w:rPr>
        <w:t>）</w:t>
      </w:r>
    </w:p>
    <w:p>
      <w:pPr>
        <w:numPr>
          <w:ilvl w:val="0"/>
          <w:numId w:val="0"/>
        </w:numPr>
        <w:snapToGrid w:val="0"/>
        <w:spacing w:line="360" w:lineRule="auto"/>
        <w:ind w:left="0" w:leftChars="0" w:firstLine="420" w:firstLineChars="200"/>
        <w:jc w:val="both"/>
        <w:rPr>
          <w:rFonts w:hint="eastAsia" w:ascii="宋体" w:hAnsi="宋体" w:eastAsia="宋体" w:cs="宋体"/>
          <w:color w:val="auto"/>
          <w:szCs w:val="21"/>
          <w:highlight w:val="none"/>
          <w:lang w:val="en-US" w:eastAsia="zh-CN"/>
        </w:rPr>
      </w:pPr>
      <w:r>
        <w:rPr>
          <w:rFonts w:hint="eastAsia" w:ascii="Times New Roman" w:hAnsi="Times New Roman" w:eastAsia="宋体" w:cs="Times New Roman"/>
          <w:b w:val="0"/>
          <w:bCs/>
          <w:color w:val="000000"/>
          <w:sz w:val="21"/>
          <w:szCs w:val="21"/>
          <w:highlight w:val="none"/>
          <w:lang w:val="en-US" w:eastAsia="zh-CN" w:bidi="ar-SA"/>
        </w:rPr>
        <w:t>（9）</w:t>
      </w:r>
      <w:r>
        <w:rPr>
          <w:rFonts w:hint="eastAsia" w:ascii="宋体" w:hAnsi="宋体" w:eastAsia="宋体" w:cs="宋体"/>
          <w:color w:val="auto"/>
          <w:szCs w:val="21"/>
          <w:highlight w:val="none"/>
        </w:rPr>
        <w:t>业绩证明</w:t>
      </w:r>
      <w:r>
        <w:rPr>
          <w:rFonts w:hint="eastAsia" w:ascii="宋体" w:hAnsi="宋体" w:eastAsia="宋体" w:cs="宋体"/>
          <w:color w:val="auto"/>
          <w:szCs w:val="21"/>
          <w:highlight w:val="none"/>
          <w:lang w:val="en-US" w:eastAsia="zh-CN"/>
        </w:rPr>
        <w:t>材料</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详见招标文件第四部分 “三、商务技术、价格评审标准”相应内容</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 xml:space="preserve"> </w:t>
      </w:r>
    </w:p>
    <w:p>
      <w:pPr>
        <w:numPr>
          <w:ilvl w:val="0"/>
          <w:numId w:val="0"/>
        </w:numPr>
        <w:snapToGrid w:val="0"/>
        <w:spacing w:line="360" w:lineRule="auto"/>
        <w:ind w:left="0" w:leftChars="0" w:firstLine="420" w:firstLineChars="200"/>
        <w:jc w:val="both"/>
        <w:rPr>
          <w:rFonts w:hint="eastAsia" w:ascii="宋体" w:hAnsi="宋体" w:eastAsia="宋体" w:cs="宋体"/>
          <w:color w:val="auto"/>
          <w:szCs w:val="22"/>
          <w:highlight w:val="none"/>
          <w:lang w:val="en-US" w:eastAsia="zh-CN"/>
        </w:rPr>
      </w:pPr>
      <w:r>
        <w:rPr>
          <w:rFonts w:hint="eastAsia" w:ascii="Times New Roman" w:hAnsi="Times New Roman" w:eastAsia="宋体" w:cs="Times New Roman"/>
          <w:b w:val="0"/>
          <w:bCs/>
          <w:color w:val="000000"/>
          <w:sz w:val="21"/>
          <w:szCs w:val="21"/>
          <w:highlight w:val="none"/>
          <w:lang w:val="en-US" w:eastAsia="zh-CN" w:bidi="ar-SA"/>
        </w:rPr>
        <w:t>（10）</w:t>
      </w:r>
      <w:r>
        <w:rPr>
          <w:rFonts w:hint="eastAsia" w:ascii="宋体" w:hAnsi="宋体" w:eastAsia="宋体" w:cs="宋体"/>
          <w:color w:val="auto"/>
          <w:szCs w:val="22"/>
          <w:highlight w:val="none"/>
          <w:lang w:val="en-US" w:eastAsia="zh-CN"/>
        </w:rPr>
        <w:t>与本项目</w:t>
      </w:r>
      <w:r>
        <w:rPr>
          <w:rFonts w:hint="eastAsia" w:ascii="宋体" w:hAnsi="宋体" w:eastAsia="宋体" w:cs="宋体"/>
          <w:color w:val="auto"/>
          <w:szCs w:val="21"/>
          <w:highlight w:val="none"/>
          <w:lang w:val="en-US" w:eastAsia="zh-CN"/>
        </w:rPr>
        <w:t>商务技术评审</w:t>
      </w:r>
      <w:r>
        <w:rPr>
          <w:rFonts w:hint="eastAsia" w:ascii="宋体" w:hAnsi="宋体" w:eastAsia="宋体" w:cs="宋体"/>
          <w:color w:val="auto"/>
          <w:szCs w:val="22"/>
          <w:highlight w:val="none"/>
          <w:lang w:val="en-US" w:eastAsia="zh-CN"/>
        </w:rPr>
        <w:t>相关的其他内容（</w:t>
      </w:r>
      <w:r>
        <w:rPr>
          <w:rFonts w:hint="eastAsia" w:ascii="宋体" w:hAnsi="宋体" w:eastAsia="宋体" w:cs="宋体"/>
          <w:color w:val="auto"/>
          <w:szCs w:val="21"/>
          <w:highlight w:val="none"/>
          <w:lang w:val="en-US" w:eastAsia="zh-CN"/>
        </w:rPr>
        <w:t>详见招标文件第四部分 “三、商务技术、价格评审标准”相应内容</w:t>
      </w:r>
      <w:r>
        <w:rPr>
          <w:rFonts w:hint="eastAsia" w:ascii="宋体" w:hAnsi="宋体" w:eastAsia="宋体" w:cs="宋体"/>
          <w:color w:val="auto"/>
          <w:szCs w:val="22"/>
          <w:highlight w:val="none"/>
          <w:lang w:val="en-US" w:eastAsia="zh-CN"/>
        </w:rPr>
        <w:t>）</w:t>
      </w:r>
    </w:p>
    <w:p>
      <w:pPr>
        <w:numPr>
          <w:ilvl w:val="0"/>
          <w:numId w:val="0"/>
        </w:numPr>
        <w:snapToGrid w:val="0"/>
        <w:spacing w:line="360" w:lineRule="auto"/>
        <w:ind w:leftChars="200"/>
        <w:jc w:val="left"/>
        <w:rPr>
          <w:rFonts w:hint="eastAsia" w:ascii="宋体" w:hAnsi="宋体" w:eastAsia="宋体" w:cs="宋体"/>
          <w:color w:val="auto"/>
          <w:szCs w:val="22"/>
          <w:highlight w:val="none"/>
        </w:rPr>
      </w:pPr>
      <w:r>
        <w:rPr>
          <w:rFonts w:hint="eastAsia" w:ascii="Times New Roman" w:hAnsi="Times New Roman" w:eastAsia="宋体" w:cs="Times New Roman"/>
          <w:b w:val="0"/>
          <w:bCs/>
          <w:color w:val="000000"/>
          <w:sz w:val="21"/>
          <w:szCs w:val="21"/>
          <w:highlight w:val="none"/>
          <w:lang w:val="en-US" w:eastAsia="zh-CN" w:bidi="ar-SA"/>
        </w:rPr>
        <w:t>（11）</w:t>
      </w:r>
      <w:r>
        <w:rPr>
          <w:rFonts w:hint="eastAsia" w:ascii="宋体" w:hAnsi="宋体" w:eastAsia="宋体" w:cs="宋体"/>
          <w:color w:val="auto"/>
          <w:szCs w:val="22"/>
          <w:highlight w:val="none"/>
          <w:lang w:val="en-US" w:eastAsia="zh-CN"/>
        </w:rPr>
        <w:t>投标人</w:t>
      </w:r>
      <w:r>
        <w:rPr>
          <w:rFonts w:hint="eastAsia" w:ascii="宋体" w:hAnsi="宋体" w:eastAsia="宋体" w:cs="宋体"/>
          <w:color w:val="auto"/>
          <w:szCs w:val="22"/>
          <w:highlight w:val="none"/>
        </w:rPr>
        <w:t>认为需要提供的其</w:t>
      </w:r>
      <w:r>
        <w:rPr>
          <w:rFonts w:hint="eastAsia" w:ascii="宋体" w:hAnsi="宋体" w:eastAsia="宋体" w:cs="宋体"/>
          <w:color w:val="auto"/>
          <w:szCs w:val="22"/>
          <w:highlight w:val="none"/>
          <w:lang w:eastAsia="zh-CN"/>
        </w:rPr>
        <w:t>他</w:t>
      </w:r>
      <w:r>
        <w:rPr>
          <w:rFonts w:hint="eastAsia" w:ascii="宋体" w:hAnsi="宋体" w:eastAsia="宋体" w:cs="宋体"/>
          <w:color w:val="auto"/>
          <w:szCs w:val="22"/>
          <w:highlight w:val="none"/>
        </w:rPr>
        <w:t>文件和资料</w:t>
      </w:r>
    </w:p>
    <w:p>
      <w:pPr>
        <w:pStyle w:val="20"/>
        <w:ind w:left="0" w:leftChars="0" w:right="-252" w:firstLine="420" w:firstLineChars="200"/>
        <w:rPr>
          <w:rFonts w:hint="eastAsia" w:ascii="宋体" w:hAnsi="宋体" w:eastAsia="宋体" w:cs="宋体"/>
          <w:b w:val="0"/>
          <w:bCs w:val="0"/>
          <w:color w:val="auto"/>
          <w:sz w:val="21"/>
          <w:szCs w:val="22"/>
          <w:highlight w:val="none"/>
        </w:rPr>
      </w:pPr>
      <w:bookmarkStart w:id="390" w:name="_Toc14946"/>
      <w:r>
        <w:rPr>
          <w:rFonts w:hint="eastAsia" w:ascii="宋体" w:hAnsi="宋体" w:eastAsia="宋体" w:cs="宋体"/>
          <w:b w:val="0"/>
          <w:bCs w:val="0"/>
          <w:color w:val="auto"/>
          <w:sz w:val="21"/>
          <w:szCs w:val="22"/>
          <w:highlight w:val="none"/>
        </w:rPr>
        <w:t>第三部分：报价文件</w:t>
      </w:r>
      <w:bookmarkEnd w:id="390"/>
    </w:p>
    <w:p>
      <w:pPr>
        <w:numPr>
          <w:ilvl w:val="0"/>
          <w:numId w:val="0"/>
        </w:numPr>
        <w:snapToGrid w:val="0"/>
        <w:spacing w:line="360" w:lineRule="auto"/>
        <w:ind w:firstLine="420" w:firstLineChars="200"/>
        <w:jc w:val="left"/>
        <w:rPr>
          <w:rFonts w:hint="eastAsia" w:ascii="宋体" w:hAnsi="宋体" w:eastAsia="宋体" w:cs="宋体"/>
          <w:color w:val="auto"/>
          <w:szCs w:val="21"/>
          <w:highlight w:val="none"/>
        </w:rPr>
      </w:pPr>
      <w:r>
        <w:rPr>
          <w:rFonts w:hint="eastAsia" w:ascii="Times New Roman" w:hAnsi="Times New Roman" w:eastAsia="宋体" w:cs="Times New Roman"/>
          <w:b w:val="0"/>
          <w:bCs/>
          <w:color w:val="auto"/>
          <w:sz w:val="21"/>
          <w:szCs w:val="21"/>
          <w:highlight w:val="none"/>
          <w:lang w:val="en-US" w:eastAsia="zh-CN" w:bidi="ar-SA"/>
        </w:rPr>
        <w:t>（1）</w:t>
      </w:r>
      <w:r>
        <w:rPr>
          <w:rFonts w:hint="eastAsia" w:ascii="宋体" w:hAnsi="宋体" w:cs="宋体"/>
        </w:rPr>
        <w:t>▲</w:t>
      </w:r>
      <w:r>
        <w:rPr>
          <w:rFonts w:hint="eastAsia" w:ascii="宋体" w:hAnsi="宋体" w:eastAsia="宋体" w:cs="宋体"/>
          <w:color w:val="auto"/>
          <w:szCs w:val="21"/>
          <w:highlight w:val="none"/>
          <w:lang w:eastAsia="zh-CN"/>
        </w:rPr>
        <w:t>开标</w:t>
      </w:r>
      <w:r>
        <w:rPr>
          <w:rFonts w:hint="eastAsia" w:ascii="宋体" w:hAnsi="宋体" w:eastAsia="宋体" w:cs="宋体"/>
          <w:color w:val="auto"/>
          <w:szCs w:val="21"/>
          <w:highlight w:val="none"/>
        </w:rPr>
        <w:t xml:space="preserve">一览表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按附件格式</w:t>
      </w:r>
      <w:r>
        <w:rPr>
          <w:rFonts w:hint="eastAsia" w:ascii="宋体" w:hAnsi="宋体" w:eastAsia="宋体" w:cs="宋体"/>
          <w:color w:val="auto"/>
          <w:szCs w:val="21"/>
          <w:highlight w:val="none"/>
        </w:rPr>
        <w:t>）</w:t>
      </w:r>
    </w:p>
    <w:p>
      <w:pPr>
        <w:pStyle w:val="18"/>
        <w:ind w:left="0" w:leftChars="0" w:firstLine="420" w:firstLineChars="200"/>
        <w:rPr>
          <w:rFonts w:hint="eastAsia" w:ascii="宋体" w:hAnsi="宋体" w:eastAsia="宋体" w:cs="宋体"/>
          <w:color w:val="auto"/>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bidi="ar-SA"/>
        </w:rPr>
        <w:t>（2）</w:t>
      </w:r>
      <w:r>
        <w:rPr>
          <w:rFonts w:hint="eastAsia" w:ascii="宋体" w:hAnsi="宋体" w:cs="宋体"/>
        </w:rPr>
        <w:t>▲</w:t>
      </w:r>
      <w:r>
        <w:rPr>
          <w:rFonts w:hint="eastAsia" w:ascii="宋体" w:hAnsi="宋体" w:eastAsia="宋体" w:cs="宋体"/>
          <w:color w:val="auto"/>
          <w:szCs w:val="21"/>
          <w:highlight w:val="none"/>
          <w:lang w:val="en-US" w:eastAsia="zh-CN"/>
        </w:rPr>
        <w:t>报价明细表                                               （按附件格式）</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投标报价</w:t>
      </w:r>
    </w:p>
    <w:p>
      <w:pPr>
        <w:keepNext w:val="0"/>
        <w:keepLines w:val="0"/>
        <w:pageBreakBefore w:val="0"/>
        <w:widowControl/>
        <w:numPr>
          <w:ilvl w:val="1"/>
          <w:numId w:val="11"/>
        </w:numPr>
        <w:tabs>
          <w:tab w:val="left" w:pos="0"/>
          <w:tab w:val="clear" w:pos="562"/>
        </w:tabs>
        <w:kinsoku/>
        <w:wordWrap/>
        <w:overflowPunct/>
        <w:topLinePunct w:val="0"/>
        <w:autoSpaceDE/>
        <w:autoSpaceDN/>
        <w:bidi w:val="0"/>
        <w:adjustRightInd/>
        <w:snapToGrid w:val="0"/>
        <w:spacing w:line="360" w:lineRule="auto"/>
        <w:ind w:left="7" w:leftChars="0" w:firstLine="413" w:firstLineChars="0"/>
        <w:jc w:val="both"/>
        <w:textAlignment w:val="auto"/>
        <w:outlineLvl w:val="9"/>
        <w:rPr>
          <w:rFonts w:ascii="宋体" w:hAnsi="宋体" w:cs="宋体"/>
          <w:szCs w:val="21"/>
        </w:rPr>
      </w:pPr>
      <w:r>
        <w:rPr>
          <w:rFonts w:hint="eastAsia" w:ascii="宋体" w:hAnsi="宋体" w:cs="宋体"/>
          <w:szCs w:val="21"/>
        </w:rPr>
        <w:t>投标人提供的货物和服务价格应该用人民币</w:t>
      </w:r>
      <w:r>
        <w:rPr>
          <w:rFonts w:hint="eastAsia" w:ascii="宋体" w:hAnsi="宋体" w:cs="宋体"/>
          <w:szCs w:val="21"/>
          <w:lang w:eastAsia="zh-CN"/>
        </w:rPr>
        <w:t>报价</w:t>
      </w:r>
      <w:r>
        <w:rPr>
          <w:rFonts w:hint="eastAsia" w:ascii="宋体" w:hAnsi="宋体" w:cs="宋体"/>
          <w:szCs w:val="21"/>
        </w:rPr>
        <w:t>。</w:t>
      </w:r>
      <w:r>
        <w:rPr>
          <w:rFonts w:ascii="宋体" w:hAnsi="宋体" w:cs="宋体"/>
          <w:szCs w:val="21"/>
        </w:rPr>
        <w:t>投标价格应该已经扣除所有</w:t>
      </w:r>
      <w:r>
        <w:rPr>
          <w:rFonts w:hint="eastAsia" w:ascii="宋体" w:hAnsi="宋体" w:cs="宋体"/>
          <w:szCs w:val="21"/>
        </w:rPr>
        <w:t>商业</w:t>
      </w:r>
      <w:r>
        <w:rPr>
          <w:rFonts w:ascii="宋体" w:hAnsi="宋体" w:cs="宋体"/>
          <w:szCs w:val="21"/>
        </w:rPr>
        <w:t>折扣以及现金折扣。投标报价应包括购买</w:t>
      </w:r>
      <w:r>
        <w:rPr>
          <w:rFonts w:hint="eastAsia" w:ascii="宋体" w:hAnsi="宋体" w:cs="宋体"/>
          <w:szCs w:val="21"/>
        </w:rPr>
        <w:t>货物</w:t>
      </w:r>
      <w:r>
        <w:rPr>
          <w:rFonts w:hint="eastAsia" w:ascii="宋体" w:hAnsi="宋体" w:cs="宋体"/>
          <w:szCs w:val="21"/>
          <w:lang w:eastAsia="zh-CN"/>
        </w:rPr>
        <w:t>、服务</w:t>
      </w:r>
      <w:r>
        <w:rPr>
          <w:rFonts w:ascii="宋体" w:hAnsi="宋体" w:cs="宋体"/>
          <w:szCs w:val="21"/>
        </w:rPr>
        <w:t>所需缴纳的所有税费</w:t>
      </w:r>
      <w:r>
        <w:rPr>
          <w:rFonts w:hint="eastAsia" w:ascii="宋体" w:hAnsi="宋体" w:cs="宋体"/>
          <w:szCs w:val="21"/>
        </w:rPr>
        <w:t>和</w:t>
      </w:r>
      <w:r>
        <w:rPr>
          <w:rFonts w:ascii="宋体" w:hAnsi="宋体" w:cs="宋体"/>
          <w:szCs w:val="21"/>
        </w:rPr>
        <w:t>一切费用</w:t>
      </w:r>
      <w:r>
        <w:rPr>
          <w:rFonts w:hint="eastAsia" w:ascii="宋体" w:hAnsi="宋体" w:cs="宋体"/>
          <w:szCs w:val="21"/>
        </w:rPr>
        <w:t>，费用包括送达使用单位指定地点的一切费用。</w:t>
      </w:r>
    </w:p>
    <w:p>
      <w:pPr>
        <w:keepNext w:val="0"/>
        <w:keepLines w:val="0"/>
        <w:pageBreakBefore w:val="0"/>
        <w:widowControl/>
        <w:numPr>
          <w:ilvl w:val="1"/>
          <w:numId w:val="11"/>
        </w:numPr>
        <w:tabs>
          <w:tab w:val="left" w:pos="0"/>
          <w:tab w:val="clear" w:pos="562"/>
        </w:tabs>
        <w:kinsoku/>
        <w:wordWrap/>
        <w:overflowPunct/>
        <w:topLinePunct w:val="0"/>
        <w:autoSpaceDE/>
        <w:autoSpaceDN/>
        <w:bidi w:val="0"/>
        <w:adjustRightInd/>
        <w:snapToGrid w:val="0"/>
        <w:spacing w:line="360" w:lineRule="auto"/>
        <w:ind w:left="7" w:leftChars="0" w:firstLine="413" w:firstLineChars="0"/>
        <w:jc w:val="both"/>
        <w:textAlignment w:val="auto"/>
        <w:outlineLvl w:val="9"/>
        <w:rPr>
          <w:rFonts w:ascii="宋体" w:hAnsi="宋体" w:cs="宋体"/>
          <w:szCs w:val="21"/>
        </w:rPr>
      </w:pPr>
      <w:r>
        <w:rPr>
          <w:rFonts w:hint="eastAsia" w:ascii="宋体" w:hAnsi="宋体" w:cs="宋体"/>
          <w:szCs w:val="21"/>
        </w:rPr>
        <w:t>本次招标只允许有一个报价，并只有一次投标报价，投标人应在各自技术和商务占优势的基础上并充分考虑本次招标的重要性，提供对采购人最优惠的投标报价。</w:t>
      </w:r>
    </w:p>
    <w:p>
      <w:pPr>
        <w:keepNext w:val="0"/>
        <w:keepLines w:val="0"/>
        <w:pageBreakBefore w:val="0"/>
        <w:widowControl/>
        <w:numPr>
          <w:ilvl w:val="1"/>
          <w:numId w:val="11"/>
        </w:numPr>
        <w:tabs>
          <w:tab w:val="left" w:pos="0"/>
          <w:tab w:val="clear" w:pos="562"/>
        </w:tabs>
        <w:kinsoku/>
        <w:wordWrap/>
        <w:overflowPunct/>
        <w:topLinePunct w:val="0"/>
        <w:autoSpaceDE/>
        <w:autoSpaceDN/>
        <w:bidi w:val="0"/>
        <w:adjustRightInd/>
        <w:snapToGrid w:val="0"/>
        <w:spacing w:line="360" w:lineRule="auto"/>
        <w:ind w:left="7" w:leftChars="0" w:firstLine="413" w:firstLineChars="0"/>
        <w:jc w:val="both"/>
        <w:textAlignment w:val="auto"/>
        <w:outlineLvl w:val="9"/>
        <w:rPr>
          <w:rFonts w:ascii="宋体" w:hAnsi="宋体" w:cs="宋体"/>
          <w:szCs w:val="21"/>
        </w:rPr>
      </w:pPr>
      <w:r>
        <w:rPr>
          <w:rFonts w:hint="eastAsia" w:ascii="宋体" w:hAnsi="宋体" w:cs="宋体"/>
          <w:szCs w:val="21"/>
        </w:rPr>
        <w:t>投标人在报价文件上传的价格和</w:t>
      </w:r>
      <w:r>
        <w:rPr>
          <w:rFonts w:hint="eastAsia" w:ascii="宋体" w:hAnsi="宋体" w:cs="宋体"/>
          <w:szCs w:val="21"/>
          <w:lang w:eastAsia="zh-CN"/>
        </w:rPr>
        <w:t>电子交易平台填写</w:t>
      </w:r>
      <w:r>
        <w:rPr>
          <w:rFonts w:hint="eastAsia" w:ascii="宋体" w:hAnsi="宋体" w:cs="宋体"/>
          <w:szCs w:val="21"/>
        </w:rPr>
        <w:t>的金额不一致时，以投标人上传的报价文件为准，对投标人的报价进行修正。</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投标有效期</w:t>
      </w:r>
    </w:p>
    <w:p>
      <w:pPr>
        <w:numPr>
          <w:ilvl w:val="1"/>
          <w:numId w:val="11"/>
        </w:numPr>
        <w:tabs>
          <w:tab w:val="left" w:pos="0"/>
          <w:tab w:val="clear" w:pos="562"/>
        </w:tabs>
        <w:snapToGrid w:val="0"/>
        <w:spacing w:line="360" w:lineRule="auto"/>
        <w:ind w:left="7" w:leftChars="0" w:firstLine="413" w:firstLineChars="0"/>
        <w:jc w:val="both"/>
        <w:rPr>
          <w:rFonts w:ascii="宋体" w:hAnsi="宋体" w:cs="宋体"/>
          <w:color w:val="000000"/>
          <w:szCs w:val="21"/>
          <w:highlight w:val="none"/>
        </w:rPr>
      </w:pPr>
      <w:r>
        <w:rPr>
          <w:rFonts w:hint="eastAsia" w:ascii="宋体" w:hAnsi="宋体" w:cs="宋体"/>
          <w:szCs w:val="21"/>
        </w:rPr>
        <w:t>提交投标文件截止</w:t>
      </w:r>
      <w:r>
        <w:rPr>
          <w:rFonts w:hint="eastAsia" w:ascii="宋体" w:hAnsi="宋体" w:cs="宋体"/>
          <w:szCs w:val="21"/>
          <w:lang w:eastAsia="zh-CN"/>
        </w:rPr>
        <w:t>之</w:t>
      </w:r>
      <w:r>
        <w:rPr>
          <w:rFonts w:hint="eastAsia" w:ascii="宋体" w:hAnsi="宋体" w:cs="宋体"/>
          <w:szCs w:val="21"/>
        </w:rPr>
        <w:t>日起</w:t>
      </w:r>
      <w:r>
        <w:rPr>
          <w:rFonts w:hint="default" w:ascii="Arial" w:hAnsi="Arial" w:eastAsia="宋体" w:cs="Arial"/>
          <w:b w:val="0"/>
          <w:bCs w:val="0"/>
          <w:color w:val="auto"/>
          <w:szCs w:val="22"/>
          <w:highlight w:val="none"/>
          <w:lang w:val="en-US" w:eastAsia="zh-CN"/>
        </w:rPr>
        <w:t>90</w:t>
      </w:r>
      <w:r>
        <w:rPr>
          <w:rFonts w:hint="eastAsia" w:ascii="宋体" w:hAnsi="宋体" w:cs="宋体"/>
          <w:szCs w:val="21"/>
        </w:rPr>
        <w:t>天内，投标文件应保持有效。投标有效期比规定期限短的</w:t>
      </w:r>
      <w:r>
        <w:rPr>
          <w:rFonts w:hint="eastAsia" w:ascii="宋体" w:hAnsi="宋体" w:cs="宋体"/>
          <w:szCs w:val="21"/>
          <w:lang w:eastAsia="zh-CN"/>
        </w:rPr>
        <w:t>投标文件</w:t>
      </w:r>
      <w:r>
        <w:rPr>
          <w:rFonts w:hint="eastAsia" w:ascii="宋体" w:hAnsi="宋体" w:cs="宋体"/>
          <w:szCs w:val="21"/>
        </w:rPr>
        <w:t>将</w:t>
      </w:r>
      <w:r>
        <w:rPr>
          <w:rFonts w:hint="eastAsia" w:ascii="宋体" w:hAnsi="宋体" w:cs="宋体"/>
          <w:color w:val="000000"/>
          <w:szCs w:val="21"/>
          <w:highlight w:val="none"/>
        </w:rPr>
        <w:t>被视作投标无效。</w:t>
      </w:r>
    </w:p>
    <w:p>
      <w:pPr>
        <w:numPr>
          <w:ilvl w:val="1"/>
          <w:numId w:val="11"/>
        </w:numPr>
        <w:tabs>
          <w:tab w:val="left" w:pos="0"/>
          <w:tab w:val="clear" w:pos="562"/>
        </w:tabs>
        <w:snapToGrid w:val="0"/>
        <w:spacing w:line="360" w:lineRule="auto"/>
        <w:ind w:left="7" w:leftChars="0" w:firstLine="413" w:firstLineChars="0"/>
        <w:jc w:val="both"/>
        <w:rPr>
          <w:rFonts w:ascii="宋体" w:hAnsi="宋体" w:cs="宋体"/>
          <w:color w:val="000000"/>
          <w:szCs w:val="21"/>
          <w:highlight w:val="none"/>
        </w:rPr>
      </w:pPr>
      <w:r>
        <w:rPr>
          <w:rFonts w:hint="eastAsia" w:ascii="宋体" w:hAnsi="宋体" w:cs="宋体"/>
          <w:color w:val="000000"/>
          <w:szCs w:val="21"/>
          <w:highlight w:val="none"/>
          <w:lang w:eastAsia="zh-CN"/>
        </w:rPr>
        <w:t>在原投标有效期结束前，</w:t>
      </w:r>
      <w:r>
        <w:rPr>
          <w:rFonts w:hint="eastAsia" w:ascii="宋体" w:hAnsi="宋体" w:cs="宋体"/>
          <w:snapToGrid w:val="0"/>
          <w:color w:val="000000"/>
          <w:kern w:val="0"/>
          <w:szCs w:val="21"/>
          <w:highlight w:val="none"/>
        </w:rPr>
        <w:t>如果出现特殊情况，采购人可以以书面形式</w:t>
      </w:r>
      <w:r>
        <w:rPr>
          <w:rFonts w:hint="eastAsia" w:ascii="宋体" w:hAnsi="宋体" w:cs="宋体"/>
          <w:snapToGrid w:val="0"/>
          <w:color w:val="000000"/>
          <w:kern w:val="0"/>
          <w:szCs w:val="21"/>
          <w:highlight w:val="none"/>
          <w:lang w:eastAsia="zh-CN"/>
        </w:rPr>
        <w:t>要求投标人延长投标有效期。</w:t>
      </w:r>
      <w:r>
        <w:rPr>
          <w:rFonts w:hint="eastAsia" w:ascii="宋体" w:hAnsi="宋体" w:cs="宋体"/>
          <w:snapToGrid w:val="0"/>
          <w:color w:val="000000"/>
          <w:kern w:val="0"/>
          <w:szCs w:val="21"/>
          <w:highlight w:val="none"/>
          <w:lang w:val="en-US" w:eastAsia="zh-CN"/>
        </w:rPr>
        <w:t>投标人同意延长的，不得修改其投标文件；</w:t>
      </w:r>
      <w:r>
        <w:rPr>
          <w:rFonts w:hint="eastAsia" w:ascii="宋体" w:hAnsi="宋体" w:cs="宋体"/>
          <w:snapToGrid w:val="0"/>
          <w:color w:val="000000"/>
          <w:kern w:val="0"/>
          <w:szCs w:val="21"/>
          <w:highlight w:val="none"/>
        </w:rPr>
        <w:t>投标人拒绝</w:t>
      </w:r>
      <w:r>
        <w:rPr>
          <w:rFonts w:hint="eastAsia" w:ascii="宋体" w:hAnsi="宋体" w:cs="宋体"/>
          <w:snapToGrid w:val="0"/>
          <w:color w:val="000000"/>
          <w:kern w:val="0"/>
          <w:szCs w:val="21"/>
          <w:highlight w:val="none"/>
          <w:lang w:eastAsia="zh-CN"/>
        </w:rPr>
        <w:t>延长的</w:t>
      </w:r>
      <w:r>
        <w:rPr>
          <w:rFonts w:hint="eastAsia" w:ascii="宋体" w:hAnsi="宋体" w:cs="宋体"/>
          <w:snapToGrid w:val="0"/>
          <w:color w:val="000000"/>
          <w:kern w:val="0"/>
          <w:szCs w:val="21"/>
          <w:highlight w:val="none"/>
          <w:lang w:val="en-US" w:eastAsia="zh-CN"/>
        </w:rPr>
        <w:t>，投标文件在有效期结束后自行失效。</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投标文件的提交、补充、修改与撤回</w:t>
      </w:r>
    </w:p>
    <w:p>
      <w:pPr>
        <w:numPr>
          <w:ilvl w:val="1"/>
          <w:numId w:val="11"/>
        </w:numPr>
        <w:snapToGrid w:val="0"/>
        <w:spacing w:line="360" w:lineRule="auto"/>
        <w:ind w:hanging="147"/>
        <w:jc w:val="both"/>
        <w:rPr>
          <w:szCs w:val="21"/>
        </w:rPr>
      </w:pPr>
      <w:bookmarkStart w:id="391" w:name="_Toc26722"/>
      <w:bookmarkStart w:id="392" w:name="_Toc31886"/>
      <w:bookmarkStart w:id="393" w:name="_Toc20124"/>
      <w:bookmarkStart w:id="394" w:name="_Toc25586"/>
      <w:bookmarkStart w:id="395" w:name="_Toc25773"/>
      <w:bookmarkStart w:id="396" w:name="_Toc23174"/>
      <w:bookmarkStart w:id="397" w:name="_Toc14122"/>
      <w:bookmarkStart w:id="398" w:name="_Toc1177"/>
      <w:bookmarkStart w:id="399" w:name="_Toc24883"/>
      <w:bookmarkStart w:id="400" w:name="_Toc16810"/>
      <w:bookmarkStart w:id="401" w:name="_Toc15091"/>
      <w:bookmarkStart w:id="402" w:name="_Toc32408"/>
      <w:bookmarkStart w:id="403" w:name="_Toc5008"/>
      <w:bookmarkStart w:id="404" w:name="_Toc20297"/>
      <w:bookmarkStart w:id="405" w:name="_Toc29843"/>
      <w:bookmarkStart w:id="406" w:name="_Toc10087"/>
      <w:bookmarkStart w:id="407" w:name="_Toc13070"/>
      <w:bookmarkStart w:id="408" w:name="_Toc20577"/>
      <w:bookmarkStart w:id="409" w:name="_Toc4480"/>
      <w:bookmarkStart w:id="410" w:name="_Toc16819"/>
      <w:bookmarkStart w:id="411" w:name="_Toc18336"/>
      <w:r>
        <w:rPr>
          <w:rFonts w:hint="eastAsia"/>
          <w:szCs w:val="21"/>
        </w:rPr>
        <w:t>投标人须在投标截止时间之前将生成的电子加密投标文件上传至电子交易平台。</w:t>
      </w:r>
    </w:p>
    <w:p>
      <w:pPr>
        <w:numPr>
          <w:ilvl w:val="1"/>
          <w:numId w:val="11"/>
        </w:numPr>
        <w:tabs>
          <w:tab w:val="clear" w:pos="562"/>
        </w:tabs>
        <w:snapToGrid w:val="0"/>
        <w:spacing w:line="360" w:lineRule="auto"/>
        <w:ind w:left="7" w:firstLine="413"/>
        <w:jc w:val="both"/>
        <w:rPr>
          <w:szCs w:val="21"/>
        </w:rPr>
      </w:pPr>
      <w:r>
        <w:rPr>
          <w:rFonts w:hint="eastAsia"/>
          <w:szCs w:val="21"/>
        </w:rPr>
        <w:t xml:space="preserve"> 投标人在响应文件提交截止时间之前可以补充、修改或者撤回电子加密响应文件。补充或者修改电子加密响应文件的，应当先行撤回原文件，</w:t>
      </w:r>
      <w:r>
        <w:rPr>
          <w:rFonts w:hint="eastAsia"/>
          <w:szCs w:val="21"/>
          <w:highlight w:val="none"/>
        </w:rPr>
        <w:t>补充、修改后重新提交。响应文件提交截止时间前未完成传输的，视为撤回响应文件。</w:t>
      </w:r>
    </w:p>
    <w:p>
      <w:pPr>
        <w:pStyle w:val="3"/>
        <w:spacing w:before="156" w:beforeLines="50" w:after="156" w:afterLines="50" w:line="360" w:lineRule="auto"/>
        <w:jc w:val="center"/>
        <w:rPr>
          <w:sz w:val="24"/>
          <w:szCs w:val="24"/>
        </w:rPr>
      </w:pPr>
      <w:bookmarkStart w:id="412" w:name="_Toc1809"/>
      <w:bookmarkStart w:id="413" w:name="_Toc1023"/>
      <w:bookmarkStart w:id="414" w:name="_Toc4700"/>
      <w:bookmarkStart w:id="415" w:name="_Toc10172"/>
      <w:bookmarkStart w:id="416" w:name="_Toc657"/>
      <w:bookmarkStart w:id="417" w:name="_Toc935"/>
      <w:bookmarkStart w:id="418" w:name="_Toc12480"/>
      <w:bookmarkStart w:id="419" w:name="_Toc20021"/>
      <w:bookmarkStart w:id="420" w:name="_Toc17523"/>
      <w:bookmarkStart w:id="421" w:name="_Toc5642"/>
      <w:bookmarkStart w:id="422" w:name="_Toc25601"/>
      <w:bookmarkStart w:id="423" w:name="_Toc17761"/>
      <w:bookmarkStart w:id="424" w:name="_Toc6865"/>
      <w:bookmarkStart w:id="425" w:name="_Toc32282"/>
      <w:r>
        <w:rPr>
          <w:rFonts w:hint="eastAsia"/>
          <w:sz w:val="24"/>
          <w:szCs w:val="24"/>
          <w:lang w:eastAsia="zh-CN"/>
        </w:rPr>
        <w:t>四、</w:t>
      </w:r>
      <w:r>
        <w:rPr>
          <w:rFonts w:hint="eastAsia"/>
          <w:sz w:val="24"/>
          <w:szCs w:val="24"/>
        </w:rPr>
        <w:t>开标</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numPr>
          <w:ilvl w:val="0"/>
          <w:numId w:val="11"/>
        </w:numPr>
        <w:snapToGrid w:val="0"/>
        <w:spacing w:line="360" w:lineRule="auto"/>
        <w:ind w:hanging="5"/>
        <w:jc w:val="both"/>
        <w:rPr>
          <w:b/>
          <w:sz w:val="24"/>
          <w:szCs w:val="22"/>
        </w:rPr>
      </w:pPr>
      <w:bookmarkStart w:id="426" w:name="_Toc28532"/>
      <w:bookmarkStart w:id="427" w:name="_Toc15175"/>
      <w:bookmarkStart w:id="428" w:name="_Toc14276"/>
      <w:bookmarkStart w:id="429" w:name="_Toc17711"/>
      <w:bookmarkStart w:id="430" w:name="_Toc29073"/>
      <w:bookmarkStart w:id="431" w:name="_Toc30362"/>
      <w:bookmarkStart w:id="432" w:name="_Toc8969"/>
      <w:bookmarkStart w:id="433" w:name="_Toc9928"/>
      <w:bookmarkStart w:id="434" w:name="_Toc1762"/>
      <w:bookmarkStart w:id="435" w:name="_Toc30201"/>
      <w:bookmarkStart w:id="436" w:name="_Toc27358"/>
      <w:bookmarkStart w:id="437" w:name="_Toc1670"/>
      <w:bookmarkStart w:id="438" w:name="_Toc14819"/>
      <w:bookmarkStart w:id="439" w:name="_Toc12342"/>
      <w:bookmarkStart w:id="440" w:name="_Toc9819"/>
      <w:bookmarkStart w:id="441" w:name="_Toc21839"/>
      <w:r>
        <w:rPr>
          <w:rFonts w:hint="eastAsia"/>
          <w:b/>
          <w:sz w:val="24"/>
          <w:szCs w:val="22"/>
        </w:rPr>
        <w:t>解密与开启投标文件</w:t>
      </w:r>
    </w:p>
    <w:p>
      <w:pPr>
        <w:numPr>
          <w:ilvl w:val="1"/>
          <w:numId w:val="11"/>
        </w:numPr>
        <w:tabs>
          <w:tab w:val="left" w:pos="0"/>
          <w:tab w:val="clear" w:pos="562"/>
        </w:tabs>
        <w:snapToGrid w:val="0"/>
        <w:spacing w:line="360" w:lineRule="auto"/>
        <w:ind w:left="7" w:firstLine="413"/>
        <w:jc w:val="both"/>
        <w:rPr>
          <w:szCs w:val="21"/>
        </w:rPr>
      </w:pPr>
      <w:r>
        <w:rPr>
          <w:rFonts w:hint="eastAsia"/>
          <w:szCs w:val="21"/>
        </w:rPr>
        <w:t>集中采购机构按照招标文件规定的时间通过电子交易平台组织开标，所有投标人均应当准时在线参加，投标人未在线参加开标的，视同认可开标结果，事后不得对采购相关人员、开标过程和开标结果提出异议。投标人不足</w:t>
      </w:r>
      <w:r>
        <w:rPr>
          <w:rFonts w:ascii="Arial" w:hAnsi="Arial" w:cs="Arial"/>
          <w:szCs w:val="21"/>
        </w:rPr>
        <w:t>3</w:t>
      </w:r>
      <w:r>
        <w:rPr>
          <w:rFonts w:hint="eastAsia"/>
          <w:szCs w:val="21"/>
        </w:rPr>
        <w:t>家的，不得开标。</w:t>
      </w:r>
    </w:p>
    <w:p>
      <w:pPr>
        <w:numPr>
          <w:ilvl w:val="1"/>
          <w:numId w:val="11"/>
        </w:numPr>
        <w:tabs>
          <w:tab w:val="left" w:pos="0"/>
          <w:tab w:val="clear" w:pos="562"/>
        </w:tabs>
        <w:snapToGrid w:val="0"/>
        <w:spacing w:line="360" w:lineRule="auto"/>
        <w:ind w:left="7" w:firstLine="413"/>
        <w:jc w:val="both"/>
      </w:pPr>
      <w:r>
        <w:rPr>
          <w:rFonts w:hint="eastAsia"/>
          <w:szCs w:val="21"/>
        </w:rPr>
        <w:t>开标应当在提交投标文件截止时间后立即进行，集中采购机构依托电子交易平台发起开始解密指令，投标人按照平台提示和招标文件的规定在</w:t>
      </w:r>
      <w:r>
        <w:rPr>
          <w:rFonts w:ascii="Arial" w:hAnsi="Arial" w:cs="Arial"/>
          <w:szCs w:val="21"/>
        </w:rPr>
        <w:t>30</w:t>
      </w:r>
      <w:r>
        <w:rPr>
          <w:rFonts w:hint="eastAsia"/>
          <w:szCs w:val="21"/>
        </w:rPr>
        <w:t>分钟内完成在线解密。</w:t>
      </w:r>
    </w:p>
    <w:p>
      <w:pPr>
        <w:numPr>
          <w:ilvl w:val="1"/>
          <w:numId w:val="11"/>
        </w:numPr>
        <w:tabs>
          <w:tab w:val="left" w:pos="0"/>
          <w:tab w:val="clear" w:pos="562"/>
        </w:tabs>
        <w:snapToGrid w:val="0"/>
        <w:spacing w:line="360" w:lineRule="auto"/>
        <w:ind w:left="7" w:firstLine="413"/>
        <w:jc w:val="both"/>
        <w:rPr>
          <w:szCs w:val="21"/>
        </w:rPr>
      </w:pPr>
      <w:r>
        <w:rPr>
          <w:rFonts w:hint="eastAsia"/>
          <w:szCs w:val="21"/>
        </w:rPr>
        <w:t>开评标期间，投标人代表应在线操作，并关注电子交易平台有关信息公布、澄清等情况。</w:t>
      </w:r>
    </w:p>
    <w:p>
      <w:pPr>
        <w:numPr>
          <w:ilvl w:val="0"/>
          <w:numId w:val="11"/>
        </w:numPr>
        <w:snapToGrid w:val="0"/>
        <w:spacing w:line="360" w:lineRule="auto"/>
        <w:ind w:hanging="5"/>
        <w:jc w:val="both"/>
        <w:rPr>
          <w:b/>
          <w:sz w:val="24"/>
          <w:szCs w:val="22"/>
          <w:highlight w:val="none"/>
        </w:rPr>
      </w:pPr>
      <w:r>
        <w:rPr>
          <w:rFonts w:hint="eastAsia"/>
          <w:b/>
          <w:sz w:val="24"/>
          <w:szCs w:val="22"/>
          <w:highlight w:val="none"/>
        </w:rPr>
        <w:t>政府采购活动现场确认声明书</w:t>
      </w:r>
    </w:p>
    <w:p>
      <w:pPr>
        <w:tabs>
          <w:tab w:val="left" w:pos="0"/>
        </w:tabs>
        <w:snapToGrid w:val="0"/>
        <w:spacing w:line="360" w:lineRule="auto"/>
        <w:ind w:firstLine="420" w:firstLineChars="200"/>
        <w:jc w:val="both"/>
        <w:rPr>
          <w:rFonts w:hint="eastAsia"/>
          <w:szCs w:val="21"/>
          <w:highlight w:val="none"/>
        </w:rPr>
      </w:pPr>
      <w:r>
        <w:rPr>
          <w:rFonts w:hint="eastAsia"/>
          <w:szCs w:val="21"/>
          <w:highlight w:val="none"/>
        </w:rPr>
        <w:t>开启投标文件后，集中采购机构通过电子交易平台发出询标函，投标人在规定的时间内真实完整填写《政府采购活动现场确认声明书》（按附件格式），通过电子交易平台提交《政府采购活动现场确认声明书》并电子签章。</w:t>
      </w:r>
    </w:p>
    <w:p>
      <w:pPr>
        <w:numPr>
          <w:ilvl w:val="0"/>
          <w:numId w:val="11"/>
        </w:numPr>
        <w:snapToGrid w:val="0"/>
        <w:spacing w:line="360" w:lineRule="auto"/>
        <w:ind w:hanging="5"/>
        <w:jc w:val="both"/>
        <w:rPr>
          <w:rFonts w:hint="eastAsia"/>
          <w:b/>
          <w:sz w:val="24"/>
          <w:szCs w:val="22"/>
          <w:highlight w:val="none"/>
        </w:rPr>
      </w:pPr>
      <w:r>
        <w:rPr>
          <w:rFonts w:hint="eastAsia"/>
          <w:b/>
          <w:sz w:val="24"/>
          <w:szCs w:val="22"/>
          <w:highlight w:val="none"/>
          <w:lang w:eastAsia="zh-CN"/>
        </w:rPr>
        <w:t>视频评审的软硬件要求</w:t>
      </w:r>
    </w:p>
    <w:p>
      <w:pPr>
        <w:tabs>
          <w:tab w:val="left" w:pos="0"/>
        </w:tabs>
        <w:snapToGrid w:val="0"/>
        <w:spacing w:line="360" w:lineRule="auto"/>
        <w:ind w:firstLine="420" w:firstLineChars="200"/>
        <w:jc w:val="both"/>
        <w:rPr>
          <w:highlight w:val="none"/>
        </w:rPr>
      </w:pPr>
      <w:r>
        <w:rPr>
          <w:rFonts w:hint="eastAsia"/>
          <w:b w:val="0"/>
          <w:bCs w:val="0"/>
          <w:szCs w:val="21"/>
          <w:highlight w:val="none"/>
          <w:lang w:val="en-US" w:eastAsia="zh-CN"/>
        </w:rPr>
        <w:t>评标委员会对投标文件内容含义不明确的部分向投标人提出询标、发起视频评审。投标人自行准备好摄像头和耳麦，开标保持网络稳定通畅，项目前自测硬件能否正常使用，如因自身硬件或网络原因导致询标讲解失败，相关后果自行负责。</w:t>
      </w:r>
    </w:p>
    <w:p>
      <w:pPr>
        <w:pStyle w:val="3"/>
        <w:spacing w:before="156" w:beforeLines="50" w:after="156" w:afterLines="50" w:line="360" w:lineRule="auto"/>
        <w:jc w:val="center"/>
        <w:rPr>
          <w:rFonts w:ascii="宋体" w:hAnsi="宋体" w:cs="宋体"/>
          <w:b w:val="0"/>
          <w:sz w:val="24"/>
          <w:szCs w:val="24"/>
        </w:rPr>
      </w:pPr>
      <w:bookmarkStart w:id="442" w:name="_Toc17555"/>
      <w:bookmarkStart w:id="443" w:name="_Toc2082"/>
      <w:bookmarkStart w:id="444" w:name="_Toc6661"/>
      <w:bookmarkStart w:id="445" w:name="_Toc30717"/>
      <w:bookmarkStart w:id="446" w:name="_Toc24364"/>
      <w:bookmarkStart w:id="447" w:name="_Toc19176"/>
      <w:bookmarkStart w:id="448" w:name="_Toc24773"/>
      <w:bookmarkStart w:id="449" w:name="_Toc20308"/>
      <w:bookmarkStart w:id="450" w:name="_Toc24329"/>
      <w:bookmarkStart w:id="451" w:name="_Toc14750"/>
      <w:bookmarkStart w:id="452" w:name="_Toc7010"/>
      <w:bookmarkStart w:id="453" w:name="_Toc30199"/>
      <w:bookmarkStart w:id="454" w:name="_Toc9275"/>
      <w:bookmarkStart w:id="455" w:name="_Toc5962"/>
      <w:r>
        <w:rPr>
          <w:rFonts w:hint="eastAsia"/>
          <w:sz w:val="24"/>
          <w:szCs w:val="24"/>
          <w:lang w:eastAsia="zh-CN"/>
        </w:rPr>
        <w:t>五、评</w:t>
      </w:r>
      <w:r>
        <w:rPr>
          <w:rFonts w:hint="eastAsia"/>
          <w:sz w:val="24"/>
          <w:szCs w:val="24"/>
        </w:rPr>
        <w:t>标</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评标委员会</w:t>
      </w:r>
    </w:p>
    <w:p>
      <w:pPr>
        <w:keepNext w:val="0"/>
        <w:keepLines w:val="0"/>
        <w:pageBreakBefore w:val="0"/>
        <w:widowControl/>
        <w:numPr>
          <w:ilvl w:val="1"/>
          <w:numId w:val="11"/>
        </w:numPr>
        <w:tabs>
          <w:tab w:val="left" w:pos="0"/>
          <w:tab w:val="clear" w:pos="562"/>
        </w:tabs>
        <w:kinsoku/>
        <w:wordWrap/>
        <w:overflowPunct/>
        <w:topLinePunct w:val="0"/>
        <w:autoSpaceDE/>
        <w:autoSpaceDN/>
        <w:bidi w:val="0"/>
        <w:adjustRightInd/>
        <w:snapToGrid w:val="0"/>
        <w:spacing w:line="360" w:lineRule="auto"/>
        <w:ind w:left="7" w:leftChars="0" w:firstLine="413" w:firstLineChars="0"/>
        <w:jc w:val="both"/>
        <w:textAlignment w:val="auto"/>
        <w:outlineLvl w:val="9"/>
        <w:rPr>
          <w:rFonts w:hint="eastAsia" w:ascii="宋体" w:hAnsi="宋体" w:cs="Arial"/>
          <w:szCs w:val="21"/>
        </w:rPr>
      </w:pPr>
      <w:r>
        <w:rPr>
          <w:rFonts w:hint="eastAsia" w:ascii="宋体" w:hAnsi="宋体" w:cs="Arial"/>
          <w:szCs w:val="21"/>
        </w:rPr>
        <w:t>评标委员会由采购人代表</w:t>
      </w:r>
      <w:r>
        <w:rPr>
          <w:rFonts w:hint="eastAsia" w:ascii="宋体" w:hAnsi="宋体" w:cs="Arial"/>
          <w:szCs w:val="21"/>
          <w:lang w:eastAsia="zh-CN"/>
        </w:rPr>
        <w:t>和评审专家组成</w:t>
      </w:r>
      <w:r>
        <w:rPr>
          <w:rFonts w:hint="eastAsia" w:ascii="宋体" w:hAnsi="宋体" w:cs="Arial"/>
          <w:szCs w:val="21"/>
        </w:rPr>
        <w:t>，成员为</w:t>
      </w:r>
      <w:r>
        <w:rPr>
          <w:rFonts w:hint="default" w:ascii="Arial" w:hAnsi="Arial" w:cs="Arial"/>
          <w:szCs w:val="21"/>
        </w:rPr>
        <w:t>5</w:t>
      </w:r>
      <w:r>
        <w:rPr>
          <w:rFonts w:hint="eastAsia" w:ascii="宋体" w:hAnsi="宋体" w:cs="Arial"/>
          <w:szCs w:val="21"/>
        </w:rPr>
        <w:t>人</w:t>
      </w:r>
      <w:r>
        <w:rPr>
          <w:rFonts w:hint="eastAsia" w:ascii="宋体" w:hAnsi="宋体" w:cs="Arial"/>
          <w:szCs w:val="21"/>
          <w:lang w:eastAsia="zh-CN"/>
        </w:rPr>
        <w:t>（含）</w:t>
      </w:r>
      <w:r>
        <w:rPr>
          <w:rFonts w:hint="eastAsia" w:ascii="宋体" w:hAnsi="宋体" w:cs="Arial"/>
          <w:szCs w:val="21"/>
        </w:rPr>
        <w:t>以上单数，其中评审专家不得少于成员总数的三分之二。评审专家按规定统一从浙江省政府采购评审专家库中随机抽取。</w:t>
      </w:r>
    </w:p>
    <w:p>
      <w:pPr>
        <w:keepNext w:val="0"/>
        <w:keepLines w:val="0"/>
        <w:pageBreakBefore w:val="0"/>
        <w:widowControl/>
        <w:numPr>
          <w:ilvl w:val="1"/>
          <w:numId w:val="11"/>
        </w:numPr>
        <w:tabs>
          <w:tab w:val="left" w:pos="0"/>
          <w:tab w:val="clear" w:pos="562"/>
        </w:tabs>
        <w:kinsoku/>
        <w:wordWrap/>
        <w:overflowPunct/>
        <w:topLinePunct w:val="0"/>
        <w:autoSpaceDE/>
        <w:autoSpaceDN/>
        <w:bidi w:val="0"/>
        <w:adjustRightInd/>
        <w:snapToGrid w:val="0"/>
        <w:spacing w:line="360" w:lineRule="auto"/>
        <w:ind w:left="7" w:leftChars="0" w:firstLine="413" w:firstLineChars="0"/>
        <w:jc w:val="both"/>
        <w:textAlignment w:val="auto"/>
        <w:outlineLvl w:val="9"/>
        <w:rPr>
          <w:rFonts w:hint="eastAsia" w:ascii="宋体" w:hAnsi="宋体" w:cs="Arial"/>
          <w:szCs w:val="21"/>
        </w:rPr>
      </w:pPr>
      <w:r>
        <w:rPr>
          <w:rFonts w:hint="eastAsia" w:ascii="宋体" w:hAnsi="宋体" w:cs="Arial"/>
          <w:szCs w:val="21"/>
        </w:rPr>
        <w:t>评标委员会负责具体评标事务，并独立履行下列职责</w:t>
      </w:r>
      <w:r>
        <w:rPr>
          <w:rFonts w:hint="eastAsia" w:ascii="宋体" w:hAnsi="宋体" w:cs="Arial"/>
          <w:szCs w:val="21"/>
          <w:lang w:eastAsia="zh-CN"/>
        </w:rPr>
        <w:t>：</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val="0"/>
        <w:spacing w:line="360" w:lineRule="auto"/>
        <w:ind w:firstLine="420" w:firstLineChars="200"/>
        <w:jc w:val="both"/>
        <w:textAlignment w:val="auto"/>
        <w:outlineLvl w:val="9"/>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审查、评价投标文件是否符合招标文件的商务、技术等实质性要求；</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val="0"/>
        <w:spacing w:line="360" w:lineRule="auto"/>
        <w:ind w:firstLine="420" w:firstLineChars="200"/>
        <w:jc w:val="both"/>
        <w:textAlignment w:val="auto"/>
        <w:outlineLvl w:val="9"/>
        <w:rPr>
          <w:rFonts w:hint="eastAsia" w:ascii="宋体" w:hAnsi="宋体" w:eastAsia="宋体" w:cs="宋体"/>
          <w:szCs w:val="21"/>
        </w:rPr>
      </w:pP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2</w:t>
      </w:r>
      <w:r>
        <w:rPr>
          <w:rFonts w:hint="default" w:ascii="Times New Roman" w:hAnsi="Times New Roman" w:eastAsia="宋体" w:cs="Times New Roman"/>
          <w:szCs w:val="21"/>
          <w:lang w:eastAsia="zh-CN"/>
        </w:rPr>
        <w:t>）</w:t>
      </w:r>
      <w:r>
        <w:rPr>
          <w:rFonts w:hint="eastAsia" w:ascii="宋体" w:hAnsi="宋体" w:eastAsia="宋体" w:cs="宋体"/>
          <w:szCs w:val="21"/>
        </w:rPr>
        <w:t>要求投标人对投标文件有关事项作出澄清或者说明；</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val="0"/>
        <w:spacing w:line="360" w:lineRule="auto"/>
        <w:ind w:firstLine="420" w:firstLineChars="200"/>
        <w:jc w:val="both"/>
        <w:textAlignment w:val="auto"/>
        <w:outlineLvl w:val="9"/>
        <w:rPr>
          <w:rFonts w:hint="default" w:ascii="Times New Roman" w:hAnsi="Times New Roman" w:eastAsia="宋体" w:cs="Times New Roman"/>
          <w:szCs w:val="21"/>
        </w:rPr>
      </w:pP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3</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对投标文件进行比较和评价；</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val="0"/>
        <w:spacing w:line="360" w:lineRule="auto"/>
        <w:ind w:firstLine="420" w:firstLineChars="200"/>
        <w:jc w:val="both"/>
        <w:textAlignment w:val="auto"/>
        <w:outlineLvl w:val="9"/>
        <w:rPr>
          <w:rFonts w:hint="default" w:ascii="Times New Roman" w:hAnsi="Times New Roman" w:eastAsia="宋体" w:cs="Times New Roman"/>
          <w:szCs w:val="21"/>
        </w:rPr>
      </w:pP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4</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推荐中标候选人或根据采购人委托直接确定中标</w:t>
      </w:r>
      <w:r>
        <w:rPr>
          <w:rFonts w:hint="default" w:ascii="Times New Roman" w:hAnsi="Times New Roman" w:eastAsia="宋体" w:cs="Times New Roman"/>
          <w:szCs w:val="21"/>
          <w:lang w:eastAsia="zh-CN"/>
        </w:rPr>
        <w:t>人</w:t>
      </w:r>
      <w:r>
        <w:rPr>
          <w:rFonts w:hint="default" w:ascii="Times New Roman" w:hAnsi="Times New Roman" w:eastAsia="宋体" w:cs="Times New Roman"/>
          <w:szCs w:val="21"/>
        </w:rPr>
        <w:t>；</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val="0"/>
        <w:spacing w:line="360" w:lineRule="auto"/>
        <w:ind w:firstLine="420" w:firstLineChars="200"/>
        <w:jc w:val="both"/>
        <w:textAlignment w:val="auto"/>
        <w:outlineLvl w:val="9"/>
        <w:rPr>
          <w:rFonts w:hint="default" w:ascii="Times New Roman" w:hAnsi="Times New Roman" w:eastAsia="宋体" w:cs="Times New Roman"/>
          <w:szCs w:val="21"/>
        </w:rPr>
      </w:pP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5</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向采购人、财政部门报告评标中发现的违法行为。</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评标纪律</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val="0"/>
        <w:spacing w:line="360" w:lineRule="auto"/>
        <w:ind w:firstLine="420" w:firstLineChars="200"/>
        <w:jc w:val="both"/>
        <w:textAlignment w:val="auto"/>
        <w:outlineLvl w:val="9"/>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（1）评标委员会成员要严格遵守评审工作纪律、保密、回避等相关规定，依法独立履行评审职责，客观、公正、审慎参与评审工作。</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val="0"/>
        <w:spacing w:line="360" w:lineRule="auto"/>
        <w:ind w:firstLine="420" w:firstLineChars="200"/>
        <w:jc w:val="both"/>
        <w:textAlignment w:val="auto"/>
        <w:outlineLvl w:val="9"/>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（2）与投标人或评标委员会其他成员存在利害关系的，要主动回避，自觉签订《政府采购评审人员廉洁自律承诺书》。</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val="0"/>
        <w:spacing w:line="360" w:lineRule="auto"/>
        <w:ind w:firstLine="420" w:firstLineChars="200"/>
        <w:jc w:val="both"/>
        <w:textAlignment w:val="auto"/>
        <w:outlineLvl w:val="9"/>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（3）评标委员会成员不得私下接触联系投标人，不得接受或参加投标人或与投标有关的单位、组织或个人的有碍公务的宴请、娱乐活动等，不得以任何形式弄虚作假。</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val="0"/>
        <w:spacing w:line="360" w:lineRule="auto"/>
        <w:ind w:firstLine="420" w:firstLineChars="200"/>
        <w:jc w:val="both"/>
        <w:textAlignment w:val="auto"/>
        <w:outlineLvl w:val="9"/>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4）保持评审现场安静，不在评审现场随意走动，因发生不可预见情况确需与外界联系或暂时离开评审现场的，应向现场监督员说明情况，征得同意后在监控区域内进行相关活动，并应接受相关工作人员的监督。</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val="0"/>
        <w:spacing w:line="360" w:lineRule="auto"/>
        <w:ind w:firstLine="420" w:firstLineChars="200"/>
        <w:jc w:val="both"/>
        <w:textAlignment w:val="auto"/>
        <w:outlineLvl w:val="9"/>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（5）评标委员会成员不得将自身意见强加给其他评标委员会成员，或私下相互串通压制其他评标委员会成员的意见。</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val="0"/>
        <w:spacing w:line="360" w:lineRule="auto"/>
        <w:ind w:firstLine="420" w:firstLineChars="200"/>
        <w:jc w:val="both"/>
        <w:textAlignment w:val="auto"/>
        <w:outlineLvl w:val="9"/>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（6）评标委员会成员不得征询采购人对投标人的倾向性意向，不得接受任何单位、个人明示或暗示提出的倾向或排斥特定投标人的要求。</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val="0"/>
        <w:spacing w:line="360" w:lineRule="auto"/>
        <w:ind w:firstLine="420" w:firstLineChars="200"/>
        <w:jc w:val="both"/>
        <w:textAlignment w:val="auto"/>
        <w:outlineLvl w:val="9"/>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（7）严格遵守政府采购评审工作纪律，不得向外泄露评审情况及涉及投标人商业秘密的信息。</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val="0"/>
        <w:spacing w:line="360" w:lineRule="auto"/>
        <w:ind w:firstLine="420" w:firstLineChars="200"/>
        <w:jc w:val="both"/>
        <w:textAlignment w:val="auto"/>
        <w:outlineLvl w:val="9"/>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（8）评标结束后，各评标人员应将全部资料整理上交招标采购单位，严禁将评标过程中的任何资料带出评标现场向投标人或其他单位提供。</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评标程序</w:t>
      </w:r>
    </w:p>
    <w:p>
      <w:pPr>
        <w:pStyle w:val="20"/>
        <w:widowControl w:val="0"/>
        <w:numPr>
          <w:ilvl w:val="0"/>
          <w:numId w:val="0"/>
        </w:numPr>
        <w:adjustRightInd w:val="0"/>
        <w:spacing w:line="300" w:lineRule="auto"/>
        <w:ind w:right="-252" w:rightChars="-120" w:firstLine="420" w:firstLineChars="200"/>
        <w:jc w:val="left"/>
        <w:rPr>
          <w:rFonts w:hint="eastAsia" w:ascii="宋体" w:hAnsi="宋体" w:cs="宋体"/>
          <w:szCs w:val="21"/>
          <w:highlight w:val="yellow"/>
        </w:rPr>
      </w:pPr>
      <w:r>
        <w:rPr>
          <w:rFonts w:hint="eastAsia" w:ascii="Arial" w:hAnsi="Arial"/>
          <w:color w:val="000000"/>
          <w:sz w:val="21"/>
          <w:szCs w:val="22"/>
          <w:highlight w:val="none"/>
          <w:lang w:val="en-US" w:eastAsia="zh-CN" w:bidi="ar-SA"/>
        </w:rPr>
        <w:t>详见招标文件第四部分“评标办法”。</w:t>
      </w:r>
    </w:p>
    <w:p>
      <w:pPr>
        <w:pStyle w:val="3"/>
        <w:spacing w:before="156" w:beforeLines="50" w:after="156" w:afterLines="50" w:line="360" w:lineRule="auto"/>
        <w:jc w:val="center"/>
        <w:rPr>
          <w:sz w:val="24"/>
          <w:szCs w:val="24"/>
        </w:rPr>
      </w:pPr>
      <w:bookmarkStart w:id="456" w:name="_Toc19025"/>
      <w:bookmarkStart w:id="457" w:name="_Toc29102"/>
      <w:bookmarkStart w:id="458" w:name="_Toc31235"/>
      <w:bookmarkStart w:id="459" w:name="_Toc5165"/>
      <w:bookmarkStart w:id="460" w:name="_Toc19627"/>
      <w:bookmarkStart w:id="461" w:name="_Toc10737"/>
      <w:bookmarkStart w:id="462" w:name="_Toc10136"/>
      <w:bookmarkStart w:id="463" w:name="_Toc2500"/>
      <w:bookmarkStart w:id="464" w:name="_Toc10738"/>
      <w:bookmarkStart w:id="465" w:name="_Toc28361"/>
      <w:bookmarkStart w:id="466" w:name="_Toc27816"/>
      <w:bookmarkStart w:id="467" w:name="_Toc12094"/>
      <w:bookmarkStart w:id="468" w:name="_Toc17614"/>
      <w:bookmarkStart w:id="469" w:name="_Toc25263"/>
      <w:bookmarkStart w:id="470" w:name="_Toc29217"/>
      <w:bookmarkStart w:id="471" w:name="_Toc28262"/>
      <w:bookmarkStart w:id="472" w:name="_Toc12215"/>
      <w:bookmarkStart w:id="473" w:name="_Toc3662"/>
      <w:bookmarkStart w:id="474" w:name="_Toc22962"/>
      <w:bookmarkStart w:id="475" w:name="_Toc4218"/>
      <w:bookmarkStart w:id="476" w:name="_Toc26537"/>
      <w:bookmarkStart w:id="477" w:name="_Toc25429"/>
      <w:bookmarkStart w:id="478" w:name="_Toc5479"/>
      <w:bookmarkStart w:id="479" w:name="_Toc97"/>
      <w:bookmarkStart w:id="480" w:name="_Toc7850"/>
      <w:bookmarkStart w:id="481" w:name="_Toc19988"/>
      <w:bookmarkStart w:id="482" w:name="_Toc15686"/>
      <w:bookmarkStart w:id="483" w:name="_Toc18773"/>
      <w:bookmarkStart w:id="484" w:name="_Toc28579"/>
      <w:bookmarkStart w:id="485" w:name="_Toc3813"/>
      <w:r>
        <w:rPr>
          <w:rFonts w:hint="eastAsia"/>
          <w:sz w:val="24"/>
          <w:szCs w:val="24"/>
          <w:lang w:eastAsia="zh-CN"/>
        </w:rPr>
        <w:t>六、定</w:t>
      </w:r>
      <w:r>
        <w:rPr>
          <w:rFonts w:hint="eastAsia"/>
          <w:sz w:val="24"/>
          <w:szCs w:val="24"/>
        </w:rPr>
        <w:t>标</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中标人的确定</w:t>
      </w:r>
    </w:p>
    <w:p>
      <w:pPr>
        <w:numPr>
          <w:ilvl w:val="1"/>
          <w:numId w:val="11"/>
        </w:numPr>
        <w:tabs>
          <w:tab w:val="clear" w:pos="562"/>
        </w:tabs>
        <w:snapToGrid w:val="0"/>
        <w:spacing w:line="360" w:lineRule="auto"/>
        <w:ind w:left="7" w:leftChars="0" w:firstLine="413" w:firstLineChars="0"/>
        <w:jc w:val="left"/>
        <w:rPr>
          <w:rFonts w:hint="eastAsia" w:ascii="宋体" w:hAnsi="宋体" w:cs="宋体"/>
          <w:szCs w:val="21"/>
        </w:rPr>
      </w:pPr>
      <w:r>
        <w:rPr>
          <w:rFonts w:hint="eastAsia" w:ascii="宋体" w:hAnsi="宋体" w:cs="宋体"/>
          <w:b w:val="0"/>
          <w:bCs w:val="0"/>
          <w:szCs w:val="21"/>
        </w:rPr>
        <w:t>集中采购机构在评标结束后</w:t>
      </w:r>
      <w:r>
        <w:rPr>
          <w:rFonts w:hint="default" w:ascii="Arial" w:hAnsi="Arial" w:cs="Arial"/>
          <w:b w:val="0"/>
          <w:bCs w:val="0"/>
          <w:szCs w:val="21"/>
        </w:rPr>
        <w:t>2</w:t>
      </w:r>
      <w:r>
        <w:rPr>
          <w:rFonts w:hint="eastAsia" w:ascii="宋体" w:hAnsi="宋体" w:cs="宋体"/>
          <w:b w:val="0"/>
          <w:bCs w:val="0"/>
          <w:szCs w:val="21"/>
        </w:rPr>
        <w:t>个工作日内将评标报告送采购人。</w:t>
      </w:r>
      <w:r>
        <w:rPr>
          <w:rFonts w:hint="eastAsia" w:ascii="宋体" w:hAnsi="宋体" w:cs="宋体"/>
          <w:b w:val="0"/>
          <w:bCs w:val="0"/>
          <w:color w:val="auto"/>
          <w:szCs w:val="21"/>
          <w:highlight w:val="none"/>
        </w:rPr>
        <w:t>采购人自收到评标报告之日起</w:t>
      </w:r>
      <w:r>
        <w:rPr>
          <w:rFonts w:hint="default" w:ascii="Arial" w:hAnsi="Arial" w:cs="Arial"/>
          <w:b w:val="0"/>
          <w:bCs w:val="0"/>
          <w:color w:val="auto"/>
          <w:szCs w:val="21"/>
          <w:highlight w:val="none"/>
        </w:rPr>
        <w:t>5</w:t>
      </w:r>
      <w:r>
        <w:rPr>
          <w:rFonts w:hint="eastAsia" w:ascii="宋体" w:hAnsi="宋体" w:cs="宋体"/>
          <w:b w:val="0"/>
          <w:bCs w:val="0"/>
          <w:color w:val="auto"/>
          <w:szCs w:val="21"/>
          <w:highlight w:val="none"/>
        </w:rPr>
        <w:t>个工作日内，在评标报告确定的中标候选人名单中按顺序确定中标人。中标候选人并列的，</w:t>
      </w:r>
      <w:r>
        <w:rPr>
          <w:rFonts w:hint="eastAsia" w:ascii="宋体" w:hAnsi="宋体" w:cs="宋体"/>
          <w:b w:val="0"/>
          <w:bCs w:val="0"/>
          <w:color w:val="auto"/>
          <w:szCs w:val="21"/>
          <w:highlight w:val="none"/>
          <w:lang w:eastAsia="zh-CN"/>
        </w:rPr>
        <w:t>由采购人或者采购人委托评标委员会</w:t>
      </w:r>
      <w:r>
        <w:rPr>
          <w:rFonts w:hint="eastAsia" w:ascii="宋体" w:hAnsi="宋体" w:cs="宋体"/>
          <w:b w:val="0"/>
          <w:bCs w:val="0"/>
          <w:color w:val="auto"/>
          <w:szCs w:val="21"/>
          <w:highlight w:val="none"/>
        </w:rPr>
        <w:t>确定商务</w:t>
      </w:r>
      <w:r>
        <w:rPr>
          <w:rFonts w:hint="eastAsia" w:ascii="宋体" w:hAnsi="宋体" w:cs="宋体"/>
          <w:b w:val="0"/>
          <w:bCs w:val="0"/>
          <w:color w:val="auto"/>
          <w:szCs w:val="21"/>
          <w:highlight w:val="none"/>
          <w:lang w:eastAsia="zh-CN"/>
        </w:rPr>
        <w:t>技术</w:t>
      </w:r>
      <w:r>
        <w:rPr>
          <w:rFonts w:hint="eastAsia" w:ascii="宋体" w:hAnsi="宋体" w:cs="宋体"/>
          <w:b w:val="0"/>
          <w:bCs w:val="0"/>
          <w:color w:val="auto"/>
          <w:szCs w:val="21"/>
          <w:highlight w:val="none"/>
        </w:rPr>
        <w:t>标得分高的为中标人，中标候选人并列且商务</w:t>
      </w:r>
      <w:r>
        <w:rPr>
          <w:rFonts w:hint="eastAsia" w:ascii="宋体" w:hAnsi="宋体" w:cs="宋体"/>
          <w:b w:val="0"/>
          <w:bCs w:val="0"/>
          <w:color w:val="auto"/>
          <w:szCs w:val="21"/>
          <w:highlight w:val="none"/>
          <w:lang w:eastAsia="zh-CN"/>
        </w:rPr>
        <w:t>技术</w:t>
      </w:r>
      <w:r>
        <w:rPr>
          <w:rFonts w:hint="eastAsia" w:ascii="宋体" w:hAnsi="宋体" w:cs="宋体"/>
          <w:b w:val="0"/>
          <w:bCs w:val="0"/>
          <w:color w:val="auto"/>
          <w:szCs w:val="21"/>
          <w:highlight w:val="none"/>
        </w:rPr>
        <w:t>标得分相同的，</w:t>
      </w:r>
      <w:r>
        <w:rPr>
          <w:rFonts w:hint="eastAsia" w:ascii="宋体" w:hAnsi="宋体" w:cs="宋体"/>
          <w:b w:val="0"/>
          <w:bCs w:val="0"/>
          <w:color w:val="auto"/>
          <w:szCs w:val="21"/>
          <w:highlight w:val="none"/>
          <w:lang w:eastAsia="zh-CN"/>
        </w:rPr>
        <w:t>采取随机抽取的方式确定</w:t>
      </w:r>
      <w:r>
        <w:rPr>
          <w:rFonts w:hint="eastAsia" w:ascii="宋体" w:hAnsi="宋体" w:cs="宋体"/>
          <w:b w:val="0"/>
          <w:bCs w:val="0"/>
          <w:color w:val="auto"/>
          <w:szCs w:val="21"/>
          <w:highlight w:val="none"/>
        </w:rPr>
        <w:t>。</w:t>
      </w:r>
    </w:p>
    <w:p>
      <w:pPr>
        <w:numPr>
          <w:ilvl w:val="1"/>
          <w:numId w:val="11"/>
        </w:numPr>
        <w:tabs>
          <w:tab w:val="left" w:pos="0"/>
          <w:tab w:val="clear" w:pos="562"/>
        </w:tabs>
        <w:snapToGrid w:val="0"/>
        <w:spacing w:line="360" w:lineRule="auto"/>
        <w:ind w:left="7" w:leftChars="0" w:firstLine="413" w:firstLineChars="0"/>
        <w:jc w:val="left"/>
        <w:rPr>
          <w:rFonts w:hint="eastAsia" w:ascii="宋体" w:hAnsi="宋体" w:cs="宋体"/>
          <w:szCs w:val="21"/>
        </w:rPr>
      </w:pPr>
      <w:r>
        <w:rPr>
          <w:rFonts w:hint="eastAsia" w:ascii="宋体" w:hAnsi="宋体" w:cs="宋体"/>
          <w:szCs w:val="21"/>
        </w:rPr>
        <w:t>采购人在收到评标报告</w:t>
      </w:r>
      <w:r>
        <w:rPr>
          <w:rFonts w:hint="default" w:ascii="Arial" w:hAnsi="Arial" w:cs="Arial"/>
          <w:szCs w:val="21"/>
        </w:rPr>
        <w:t>5</w:t>
      </w:r>
      <w:r>
        <w:rPr>
          <w:rFonts w:hint="eastAsia" w:ascii="宋体" w:hAnsi="宋体" w:cs="宋体"/>
          <w:szCs w:val="21"/>
        </w:rPr>
        <w:t>个工作日内未按评标报告推荐的中标候选人顺序确定中标人，又不能说明合法理由的，视同按评标报告推荐的顺序确定排名第一的中标候选人为中标人。</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中标结果公告及中标通知书</w:t>
      </w:r>
    </w:p>
    <w:p>
      <w:pPr>
        <w:tabs>
          <w:tab w:val="left" w:pos="562"/>
        </w:tabs>
        <w:snapToGrid w:val="0"/>
        <w:spacing w:line="360" w:lineRule="auto"/>
        <w:ind w:firstLine="420" w:firstLineChars="200"/>
        <w:jc w:val="both"/>
        <w:rPr>
          <w:rFonts w:hint="eastAsia" w:ascii="宋体" w:hAnsi="宋体" w:eastAsia="宋体" w:cs="宋体"/>
          <w:snapToGrid w:val="0"/>
          <w:sz w:val="21"/>
          <w:szCs w:val="21"/>
          <w:lang w:val="en-US" w:eastAsia="zh-CN" w:bidi="ar-SA"/>
        </w:rPr>
      </w:pPr>
      <w:r>
        <w:rPr>
          <w:rFonts w:hint="eastAsia" w:ascii="宋体" w:hAnsi="宋体" w:eastAsia="宋体" w:cs="宋体"/>
          <w:snapToGrid w:val="0"/>
          <w:sz w:val="21"/>
          <w:szCs w:val="21"/>
          <w:lang w:val="en-US" w:eastAsia="zh-CN" w:bidi="ar-SA"/>
        </w:rPr>
        <w:t>集</w:t>
      </w:r>
      <w:r>
        <w:rPr>
          <w:rFonts w:hint="eastAsia"/>
          <w:snapToGrid w:val="0"/>
          <w:szCs w:val="21"/>
        </w:rPr>
        <w:t>中采购机构在中标人确定之日起</w:t>
      </w:r>
      <w:r>
        <w:rPr>
          <w:rFonts w:ascii="Arial" w:hAnsi="Arial" w:cs="Arial"/>
          <w:snapToGrid w:val="0"/>
          <w:szCs w:val="21"/>
        </w:rPr>
        <w:t>2</w:t>
      </w:r>
      <w:r>
        <w:rPr>
          <w:rFonts w:hint="eastAsia"/>
          <w:snapToGrid w:val="0"/>
          <w:szCs w:val="21"/>
        </w:rPr>
        <w:t>个工作日内，在“浙江省政府采购网”（网址：</w:t>
      </w:r>
      <w:r>
        <w:rPr>
          <w:rStyle w:val="46"/>
          <w:rFonts w:hint="default" w:ascii="Arial" w:hAnsi="Arial" w:cs="Arial"/>
          <w:snapToGrid w:val="0"/>
          <w:sz w:val="21"/>
          <w:szCs w:val="21"/>
        </w:rPr>
        <w:t>http://zfcg.czt.zj.gov.cn/</w:t>
      </w:r>
      <w:r>
        <w:rPr>
          <w:rStyle w:val="46"/>
          <w:rFonts w:hint="default" w:ascii="Times New Roman" w:hAnsi="Times New Roman" w:cs="Times New Roman"/>
          <w:snapToGrid w:val="0"/>
          <w:sz w:val="21"/>
          <w:szCs w:val="21"/>
        </w:rPr>
        <w:t>）及</w:t>
      </w:r>
      <w:r>
        <w:rPr>
          <w:rFonts w:hint="eastAsia"/>
          <w:snapToGrid w:val="0"/>
          <w:szCs w:val="21"/>
        </w:rPr>
        <w:t>“瑞安市人民政府-公共资源交易网”（网址：</w:t>
      </w:r>
      <w:r>
        <w:rPr>
          <w:rFonts w:ascii="Arial" w:hAnsi="Arial" w:cs="Arial"/>
          <w:snapToGrid w:val="0"/>
          <w:szCs w:val="21"/>
        </w:rPr>
        <w:t>http://ggzy.ruian.gov.cn/</w:t>
      </w:r>
      <w:r>
        <w:rPr>
          <w:rFonts w:hint="eastAsia"/>
          <w:snapToGrid w:val="0"/>
          <w:szCs w:val="21"/>
        </w:rPr>
        <w:t>）</w:t>
      </w:r>
      <w:r>
        <w:fldChar w:fldCharType="begin"/>
      </w:r>
      <w:r>
        <w:instrText xml:space="preserve"> HYPERLINK "http://zfcg.czt.zj.gov.cn/）发布中标结果公告，同时向中标人发出中标通知书。" </w:instrText>
      </w:r>
      <w:r>
        <w:fldChar w:fldCharType="separate"/>
      </w:r>
      <w:r>
        <w:rPr>
          <w:rStyle w:val="46"/>
          <w:rFonts w:hint="default" w:ascii="Times New Roman" w:hAnsi="Times New Roman" w:cs="Times New Roman"/>
          <w:snapToGrid w:val="0"/>
          <w:sz w:val="21"/>
          <w:szCs w:val="21"/>
        </w:rPr>
        <w:t>发布中标结果公告</w:t>
      </w:r>
      <w:r>
        <w:rPr>
          <w:rStyle w:val="46"/>
          <w:rFonts w:hint="default"/>
          <w:snapToGrid w:val="0"/>
          <w:sz w:val="21"/>
          <w:szCs w:val="21"/>
        </w:rPr>
        <w:t>，并公开评审专家抽取规则、开标情况、资格审查情况、符合性审查情况、专家评分情况、中标候选人推荐情况等，</w:t>
      </w:r>
      <w:r>
        <w:rPr>
          <w:rStyle w:val="46"/>
          <w:rFonts w:hint="default" w:ascii="Times New Roman" w:hAnsi="Times New Roman" w:cs="Times New Roman"/>
          <w:snapToGrid w:val="0"/>
          <w:sz w:val="21"/>
          <w:szCs w:val="21"/>
        </w:rPr>
        <w:t>同时向中标人发出中标通知书。</w:t>
      </w:r>
      <w:r>
        <w:rPr>
          <w:rFonts w:hint="default" w:ascii="Times New Roman" w:hAnsi="Times New Roman" w:cs="Times New Roman"/>
          <w:snapToGrid w:val="0"/>
          <w:sz w:val="21"/>
          <w:szCs w:val="21"/>
        </w:rPr>
        <w:fldChar w:fldCharType="end"/>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宋体" w:hAnsi="宋体" w:eastAsia="宋体" w:cs="宋体"/>
          <w:snapToGrid w:val="0"/>
          <w:color w:val="000000"/>
          <w:sz w:val="21"/>
          <w:szCs w:val="21"/>
          <w:lang w:val="en-US" w:eastAsia="zh-CN" w:bidi="ar-SA"/>
        </w:rPr>
      </w:pPr>
      <w:r>
        <w:rPr>
          <w:rFonts w:hint="eastAsia" w:ascii="宋体" w:hAnsi="宋体" w:cs="宋体"/>
          <w:snapToGrid w:val="0"/>
          <w:color w:val="000000"/>
          <w:kern w:val="0"/>
          <w:szCs w:val="21"/>
          <w:highlight w:val="none"/>
        </w:rPr>
        <w:t>中标人享受中小企业扶持政策的，</w:t>
      </w:r>
      <w:r>
        <w:rPr>
          <w:rFonts w:hint="eastAsia" w:ascii="宋体" w:hAnsi="宋体" w:eastAsia="宋体" w:cs="宋体"/>
          <w:snapToGrid w:val="0"/>
          <w:sz w:val="21"/>
          <w:szCs w:val="21"/>
          <w:lang w:val="en-US" w:eastAsia="zh-CN" w:bidi="ar-SA"/>
        </w:rPr>
        <w:t>集中采购机构</w:t>
      </w:r>
      <w:r>
        <w:rPr>
          <w:rFonts w:hint="eastAsia" w:ascii="宋体" w:hAnsi="宋体" w:cs="宋体"/>
          <w:snapToGrid w:val="0"/>
          <w:color w:val="000000"/>
          <w:kern w:val="0"/>
          <w:szCs w:val="21"/>
          <w:highlight w:val="none"/>
        </w:rPr>
        <w:t>应当随中标结果公开中标人的《中小企业声明函》。</w:t>
      </w:r>
    </w:p>
    <w:p>
      <w:pPr>
        <w:pStyle w:val="3"/>
        <w:numPr>
          <w:ilvl w:val="0"/>
          <w:numId w:val="14"/>
        </w:numPr>
        <w:spacing w:before="156" w:beforeLines="50" w:after="156" w:afterLines="50" w:line="360" w:lineRule="auto"/>
        <w:jc w:val="center"/>
        <w:rPr>
          <w:rFonts w:hint="eastAsia" w:ascii="宋体" w:hAnsi="宋体" w:cs="宋体"/>
          <w:bCs w:val="0"/>
          <w:sz w:val="24"/>
          <w:szCs w:val="24"/>
        </w:rPr>
      </w:pPr>
      <w:bookmarkStart w:id="486" w:name="_Toc10245"/>
      <w:bookmarkStart w:id="487" w:name="_Toc22905"/>
      <w:bookmarkStart w:id="488" w:name="_Toc575"/>
      <w:bookmarkStart w:id="489" w:name="_Toc13351"/>
      <w:bookmarkStart w:id="490" w:name="_Toc2121"/>
      <w:bookmarkStart w:id="491" w:name="_Toc32338"/>
      <w:bookmarkStart w:id="492" w:name="_Toc3768"/>
      <w:bookmarkStart w:id="493" w:name="_Toc2861"/>
      <w:bookmarkStart w:id="494" w:name="_Toc13604"/>
      <w:bookmarkStart w:id="495" w:name="_Toc25523"/>
      <w:bookmarkStart w:id="496" w:name="_Toc16454"/>
      <w:bookmarkStart w:id="497" w:name="_Toc1454"/>
      <w:bookmarkStart w:id="498" w:name="_Toc12606"/>
      <w:bookmarkStart w:id="499" w:name="_Toc18041"/>
      <w:bookmarkStart w:id="500" w:name="_Toc19566"/>
      <w:bookmarkStart w:id="501" w:name="_Toc8972"/>
      <w:bookmarkStart w:id="502" w:name="_Toc24416"/>
      <w:bookmarkStart w:id="503" w:name="_Toc25399"/>
      <w:bookmarkStart w:id="504" w:name="_Toc17384"/>
      <w:bookmarkStart w:id="505" w:name="_Toc32468"/>
      <w:bookmarkStart w:id="506" w:name="_Toc12110"/>
      <w:bookmarkStart w:id="507" w:name="_Toc4658"/>
      <w:bookmarkStart w:id="508" w:name="_Toc23784"/>
      <w:bookmarkStart w:id="509" w:name="_Toc3606"/>
      <w:bookmarkStart w:id="510" w:name="_Toc15083"/>
      <w:bookmarkStart w:id="511" w:name="_Toc13860"/>
      <w:bookmarkStart w:id="512" w:name="_Toc22245"/>
      <w:bookmarkStart w:id="513" w:name="_Toc19286"/>
      <w:bookmarkStart w:id="514" w:name="_Toc13285"/>
      <w:bookmarkStart w:id="515" w:name="_Toc27507"/>
      <w:r>
        <w:rPr>
          <w:rFonts w:hint="eastAsia" w:ascii="宋体" w:hAnsi="宋体" w:cs="宋体"/>
          <w:bCs w:val="0"/>
          <w:sz w:val="24"/>
          <w:szCs w:val="24"/>
        </w:rPr>
        <w:t>授予合同</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Start w:id="516" w:name="_Toc29289"/>
      <w:bookmarkStart w:id="517" w:name="_Toc25977"/>
      <w:bookmarkStart w:id="518" w:name="_Toc27136"/>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bookmarkStart w:id="519" w:name="_Toc5135"/>
      <w:bookmarkStart w:id="520" w:name="_Toc13499"/>
      <w:bookmarkStart w:id="521" w:name="_Toc15069"/>
      <w:bookmarkStart w:id="522" w:name="_Toc31820"/>
      <w:bookmarkStart w:id="523" w:name="_Toc31702"/>
      <w:bookmarkStart w:id="524" w:name="_Toc18195"/>
      <w:bookmarkStart w:id="525" w:name="_Toc9555"/>
      <w:r>
        <w:rPr>
          <w:rFonts w:hint="default" w:ascii="Times New Roman" w:hAnsi="Times New Roman" w:cs="Times New Roman"/>
          <w:b/>
          <w:sz w:val="24"/>
          <w:szCs w:val="22"/>
          <w:lang w:val="en-US" w:eastAsia="zh-CN"/>
        </w:rPr>
        <w:t>合同的签订</w:t>
      </w:r>
      <w:bookmarkEnd w:id="519"/>
      <w:bookmarkEnd w:id="520"/>
      <w:bookmarkEnd w:id="521"/>
      <w:bookmarkEnd w:id="522"/>
      <w:bookmarkEnd w:id="523"/>
      <w:bookmarkEnd w:id="524"/>
      <w:bookmarkEnd w:id="525"/>
    </w:p>
    <w:p>
      <w:pPr>
        <w:pStyle w:val="20"/>
        <w:numPr>
          <w:ilvl w:val="1"/>
          <w:numId w:val="11"/>
        </w:numPr>
        <w:tabs>
          <w:tab w:val="left" w:pos="0"/>
          <w:tab w:val="clear" w:pos="562"/>
        </w:tabs>
        <w:ind w:left="7" w:leftChars="0" w:right="-252" w:rightChars="-120" w:firstLine="413" w:firstLineChars="0"/>
        <w:rPr>
          <w:rFonts w:hint="default" w:ascii="宋体" w:hAnsi="宋体" w:cs="宋体"/>
          <w:color w:val="000000"/>
          <w:sz w:val="21"/>
          <w:szCs w:val="21"/>
          <w:highlight w:val="none"/>
          <w:lang w:val="en-US" w:eastAsia="zh-CN" w:bidi="ar-SA"/>
        </w:rPr>
      </w:pPr>
      <w:r>
        <w:rPr>
          <w:rFonts w:hint="eastAsia" w:cs="宋体"/>
          <w:color w:val="000000"/>
          <w:sz w:val="21"/>
          <w:szCs w:val="21"/>
          <w:highlight w:val="none"/>
          <w:lang w:val="en-US" w:eastAsia="zh-CN" w:bidi="ar-SA"/>
        </w:rPr>
        <w:t>采购人应当自中标通知书发出之日起</w:t>
      </w:r>
      <w:r>
        <w:rPr>
          <w:rFonts w:hint="default" w:ascii="Arial" w:hAnsi="Arial" w:cs="Arial"/>
          <w:color w:val="000000"/>
          <w:sz w:val="21"/>
          <w:szCs w:val="21"/>
          <w:highlight w:val="none"/>
          <w:lang w:val="en-US" w:eastAsia="zh-CN" w:bidi="ar-SA"/>
        </w:rPr>
        <w:t>30</w:t>
      </w:r>
      <w:r>
        <w:rPr>
          <w:rFonts w:hint="eastAsia" w:cs="宋体"/>
          <w:color w:val="000000"/>
          <w:sz w:val="21"/>
          <w:szCs w:val="21"/>
          <w:highlight w:val="none"/>
          <w:lang w:val="en-US" w:eastAsia="zh-CN" w:bidi="ar-SA"/>
        </w:rPr>
        <w:t>日内，按照招标文件和中标人投标文件规定，与中标人签订书面合同。所签订的合同不得对招标文件确定的事项和中标人投标文件作实质性修改。</w:t>
      </w:r>
    </w:p>
    <w:p>
      <w:pPr>
        <w:pStyle w:val="20"/>
        <w:numPr>
          <w:ilvl w:val="1"/>
          <w:numId w:val="11"/>
        </w:numPr>
        <w:tabs>
          <w:tab w:val="left" w:pos="0"/>
          <w:tab w:val="clear" w:pos="562"/>
        </w:tabs>
        <w:ind w:left="7" w:leftChars="0" w:right="-252" w:rightChars="-120" w:firstLine="413" w:firstLineChars="0"/>
        <w:rPr>
          <w:rFonts w:hint="default" w:ascii="宋体" w:hAnsi="宋体" w:cs="宋体"/>
          <w:color w:val="000000"/>
          <w:sz w:val="21"/>
          <w:szCs w:val="21"/>
          <w:highlight w:val="none"/>
          <w:lang w:val="en-US" w:eastAsia="zh-CN" w:bidi="ar-SA"/>
        </w:rPr>
      </w:pPr>
      <w:r>
        <w:rPr>
          <w:rFonts w:hint="default" w:ascii="宋体" w:hAnsi="宋体" w:cs="宋体"/>
          <w:color w:val="000000"/>
          <w:sz w:val="21"/>
          <w:szCs w:val="21"/>
          <w:highlight w:val="none"/>
          <w:lang w:val="en-US" w:eastAsia="zh-CN" w:bidi="ar-SA"/>
        </w:rPr>
        <w:t>如中标人为联合体的，由联合体成员各方法定代表人或其授权代表与采购人代表签订合同。</w:t>
      </w:r>
      <w:r>
        <w:rPr>
          <w:rFonts w:hint="eastAsia" w:cs="宋体"/>
          <w:color w:val="000000"/>
          <w:sz w:val="21"/>
          <w:szCs w:val="21"/>
          <w:highlight w:val="none"/>
          <w:lang w:val="en-US" w:eastAsia="zh-CN" w:bidi="ar-SA"/>
        </w:rPr>
        <w:t>采购人与</w:t>
      </w:r>
      <w:r>
        <w:rPr>
          <w:rFonts w:hint="default" w:ascii="宋体" w:hAnsi="宋体" w:cs="宋体"/>
          <w:color w:val="000000"/>
          <w:sz w:val="21"/>
          <w:szCs w:val="21"/>
          <w:highlight w:val="none"/>
          <w:lang w:val="en-US" w:eastAsia="zh-CN" w:bidi="ar-SA"/>
        </w:rPr>
        <w:t>中标人签订合同后</w:t>
      </w:r>
      <w:r>
        <w:rPr>
          <w:rFonts w:hint="eastAsia" w:cs="宋体"/>
          <w:color w:val="000000"/>
          <w:sz w:val="21"/>
          <w:szCs w:val="21"/>
          <w:highlight w:val="none"/>
          <w:lang w:val="en-US" w:eastAsia="zh-CN" w:bidi="ar-SA"/>
        </w:rPr>
        <w:t>，及时</w:t>
      </w:r>
      <w:r>
        <w:rPr>
          <w:rFonts w:hint="default" w:ascii="宋体" w:hAnsi="宋体" w:cs="宋体"/>
          <w:color w:val="000000"/>
          <w:sz w:val="21"/>
          <w:szCs w:val="21"/>
          <w:highlight w:val="none"/>
          <w:lang w:val="en-US" w:eastAsia="zh-CN" w:bidi="ar-SA"/>
        </w:rPr>
        <w:t>将合同原件交瑞安市公共资源交易中心归档。</w:t>
      </w:r>
    </w:p>
    <w:p>
      <w:pPr>
        <w:pStyle w:val="20"/>
        <w:numPr>
          <w:ilvl w:val="1"/>
          <w:numId w:val="11"/>
        </w:numPr>
        <w:tabs>
          <w:tab w:val="left" w:pos="0"/>
          <w:tab w:val="clear" w:pos="562"/>
        </w:tabs>
        <w:ind w:left="7" w:leftChars="0" w:right="-252" w:rightChars="-120" w:firstLine="413" w:firstLineChars="0"/>
        <w:rPr>
          <w:rFonts w:hint="default" w:ascii="宋体" w:hAnsi="宋体" w:cs="宋体"/>
          <w:sz w:val="21"/>
          <w:szCs w:val="21"/>
          <w:lang w:val="en-US" w:eastAsia="zh-CN" w:bidi="ar-SA"/>
        </w:rPr>
      </w:pPr>
      <w:r>
        <w:rPr>
          <w:rFonts w:hint="eastAsia" w:cs="宋体"/>
          <w:color w:val="000000"/>
          <w:sz w:val="21"/>
          <w:szCs w:val="21"/>
          <w:highlight w:val="none"/>
          <w:lang w:val="en-US" w:eastAsia="zh-CN" w:bidi="ar-SA"/>
        </w:rPr>
        <w:t>招标</w:t>
      </w:r>
      <w:r>
        <w:rPr>
          <w:rFonts w:hint="default" w:ascii="宋体" w:hAnsi="宋体" w:cs="宋体"/>
          <w:color w:val="000000"/>
          <w:sz w:val="21"/>
          <w:szCs w:val="21"/>
          <w:highlight w:val="none"/>
          <w:lang w:val="en-US" w:eastAsia="zh-CN" w:bidi="ar-SA"/>
        </w:rPr>
        <w:t>文件、中标人的投标文件及投标修改文件、评标过程中有关澄清文件及经投标人法定代表人或授权代表签字确认的询标回复和承诺及中标通知书均作为合同组成部分。</w:t>
      </w:r>
    </w:p>
    <w:p>
      <w:pPr>
        <w:pStyle w:val="20"/>
        <w:numPr>
          <w:ilvl w:val="1"/>
          <w:numId w:val="11"/>
        </w:numPr>
        <w:tabs>
          <w:tab w:val="left" w:pos="0"/>
          <w:tab w:val="clear" w:pos="562"/>
        </w:tabs>
        <w:ind w:left="7" w:leftChars="0" w:right="-252" w:rightChars="-120" w:firstLine="413" w:firstLineChars="0"/>
        <w:rPr>
          <w:rFonts w:hint="default" w:ascii="宋体" w:hAnsi="宋体" w:cs="宋体"/>
          <w:sz w:val="21"/>
          <w:szCs w:val="21"/>
          <w:lang w:val="en-US" w:eastAsia="zh-CN" w:bidi="ar-SA"/>
        </w:rPr>
      </w:pPr>
      <w:r>
        <w:rPr>
          <w:rFonts w:hint="eastAsia" w:cs="宋体"/>
          <w:sz w:val="21"/>
          <w:szCs w:val="21"/>
          <w:lang w:val="en-US" w:eastAsia="zh-CN" w:bidi="ar-SA"/>
        </w:rPr>
        <w:t>在项目允许分包的前提下，</w:t>
      </w:r>
      <w:r>
        <w:rPr>
          <w:rFonts w:hint="default" w:ascii="宋体" w:hAnsi="宋体" w:cs="宋体"/>
          <w:sz w:val="21"/>
          <w:szCs w:val="21"/>
          <w:lang w:val="en-US" w:eastAsia="zh-CN" w:bidi="ar-SA"/>
        </w:rPr>
        <w:t>享受扶持政策获得政府采购合同的，小微企业不得将合同分包给大中型企业，中型企业不得将合同分包给大型企业。</w:t>
      </w:r>
    </w:p>
    <w:p>
      <w:pPr>
        <w:pStyle w:val="20"/>
        <w:numPr>
          <w:ilvl w:val="1"/>
          <w:numId w:val="11"/>
        </w:numPr>
        <w:tabs>
          <w:tab w:val="left" w:pos="0"/>
          <w:tab w:val="clear" w:pos="562"/>
        </w:tabs>
        <w:ind w:left="7" w:leftChars="0" w:right="-252" w:rightChars="-120" w:firstLine="413" w:firstLineChars="0"/>
        <w:rPr>
          <w:rFonts w:hint="eastAsia" w:ascii="宋体" w:hAnsi="宋体" w:cs="宋体"/>
          <w:color w:val="000000"/>
          <w:sz w:val="21"/>
          <w:szCs w:val="21"/>
          <w:highlight w:val="none"/>
          <w:lang w:val="en-US" w:eastAsia="zh-CN" w:bidi="ar-SA"/>
        </w:rPr>
      </w:pPr>
      <w:r>
        <w:rPr>
          <w:rFonts w:hint="eastAsia" w:ascii="宋体" w:hAnsi="宋体" w:cs="宋体"/>
          <w:color w:val="000000"/>
          <w:sz w:val="21"/>
          <w:szCs w:val="21"/>
          <w:highlight w:val="none"/>
          <w:lang w:val="en-US" w:eastAsia="zh-CN" w:bidi="ar-SA"/>
        </w:rPr>
        <w:t>预留份额专门面向中小企业采购的项目，</w:t>
      </w:r>
      <w:r>
        <w:rPr>
          <w:rFonts w:hint="default" w:ascii="宋体" w:hAnsi="宋体" w:cs="宋体"/>
          <w:color w:val="000000"/>
          <w:sz w:val="21"/>
          <w:szCs w:val="21"/>
          <w:highlight w:val="none"/>
          <w:lang w:val="en-US" w:eastAsia="zh-CN" w:bidi="ar-SA"/>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20"/>
        <w:numPr>
          <w:ilvl w:val="1"/>
          <w:numId w:val="11"/>
        </w:numPr>
        <w:tabs>
          <w:tab w:val="left" w:pos="0"/>
          <w:tab w:val="clear" w:pos="562"/>
        </w:tabs>
        <w:ind w:left="7" w:leftChars="0" w:right="-252" w:rightChars="-120" w:firstLine="413" w:firstLineChars="0"/>
        <w:rPr>
          <w:rFonts w:hint="eastAsia" w:ascii="宋体" w:hAnsi="宋体" w:cs="宋体"/>
          <w:color w:val="000000"/>
          <w:sz w:val="21"/>
          <w:szCs w:val="21"/>
          <w:highlight w:val="none"/>
          <w:lang w:val="en-US" w:eastAsia="zh-CN" w:bidi="ar-SA"/>
        </w:rPr>
      </w:pPr>
      <w:r>
        <w:rPr>
          <w:rFonts w:hint="default" w:ascii="宋体" w:hAnsi="宋体" w:cs="宋体"/>
          <w:color w:val="000000"/>
          <w:sz w:val="21"/>
          <w:szCs w:val="21"/>
          <w:highlight w:val="none"/>
          <w:lang w:val="en-US" w:eastAsia="zh-CN" w:bidi="ar-SA"/>
        </w:rPr>
        <w:t>中标</w:t>
      </w:r>
      <w:r>
        <w:rPr>
          <w:rFonts w:hint="eastAsia" w:ascii="宋体" w:hAnsi="宋体" w:cs="宋体"/>
          <w:color w:val="000000"/>
          <w:sz w:val="21"/>
          <w:szCs w:val="21"/>
          <w:highlight w:val="none"/>
          <w:lang w:val="en-US" w:eastAsia="zh-CN" w:bidi="ar-SA"/>
        </w:rPr>
        <w:t>人</w:t>
      </w:r>
      <w:r>
        <w:rPr>
          <w:rFonts w:hint="default" w:ascii="宋体" w:hAnsi="宋体" w:cs="宋体"/>
          <w:color w:val="000000"/>
          <w:sz w:val="21"/>
          <w:szCs w:val="21"/>
          <w:highlight w:val="none"/>
          <w:lang w:val="en-US" w:eastAsia="zh-CN" w:bidi="ar-SA"/>
        </w:rPr>
        <w:t>拒绝与采购人签订合同的，采购人可以按照评</w:t>
      </w:r>
      <w:r>
        <w:rPr>
          <w:rFonts w:hint="eastAsia" w:ascii="宋体" w:hAnsi="宋体" w:cs="宋体"/>
          <w:color w:val="000000"/>
          <w:sz w:val="21"/>
          <w:szCs w:val="21"/>
          <w:highlight w:val="none"/>
          <w:lang w:val="en-US" w:eastAsia="zh-CN" w:bidi="ar-SA"/>
        </w:rPr>
        <w:t>审</w:t>
      </w:r>
      <w:r>
        <w:rPr>
          <w:rFonts w:hint="default" w:ascii="宋体" w:hAnsi="宋体" w:cs="宋体"/>
          <w:color w:val="000000"/>
          <w:sz w:val="21"/>
          <w:szCs w:val="21"/>
          <w:highlight w:val="none"/>
          <w:lang w:val="en-US" w:eastAsia="zh-CN" w:bidi="ar-SA"/>
        </w:rPr>
        <w:t>报告推荐的中标候选人名单排序，确定下一候选人为中标</w:t>
      </w:r>
      <w:r>
        <w:rPr>
          <w:rFonts w:hint="eastAsia" w:ascii="宋体" w:hAnsi="宋体" w:cs="宋体"/>
          <w:color w:val="000000"/>
          <w:sz w:val="21"/>
          <w:szCs w:val="21"/>
          <w:highlight w:val="none"/>
          <w:lang w:val="en-US" w:eastAsia="zh-CN" w:bidi="ar-SA"/>
        </w:rPr>
        <w:t>人</w:t>
      </w:r>
      <w:r>
        <w:rPr>
          <w:rFonts w:hint="default" w:ascii="宋体" w:hAnsi="宋体" w:cs="宋体"/>
          <w:color w:val="000000"/>
          <w:sz w:val="21"/>
          <w:szCs w:val="21"/>
          <w:highlight w:val="none"/>
          <w:lang w:val="en-US" w:eastAsia="zh-CN" w:bidi="ar-SA"/>
        </w:rPr>
        <w:t>，也可以重新开展政府采购活动。</w:t>
      </w:r>
    </w:p>
    <w:p>
      <w:pPr>
        <w:pStyle w:val="3"/>
        <w:numPr>
          <w:ilvl w:val="0"/>
          <w:numId w:val="15"/>
        </w:numPr>
        <w:spacing w:before="156" w:beforeLines="50" w:after="156" w:afterLines="50" w:line="360" w:lineRule="auto"/>
        <w:jc w:val="center"/>
        <w:rPr>
          <w:rFonts w:hint="eastAsia" w:ascii="宋体" w:hAnsi="宋体" w:cs="宋体"/>
          <w:bCs w:val="0"/>
          <w:sz w:val="24"/>
          <w:szCs w:val="24"/>
        </w:rPr>
      </w:pPr>
      <w:bookmarkStart w:id="526" w:name="_Toc29194"/>
      <w:bookmarkStart w:id="527" w:name="_Toc10599"/>
      <w:bookmarkStart w:id="528" w:name="_Toc12843"/>
      <w:bookmarkStart w:id="529" w:name="_Toc19629"/>
      <w:bookmarkStart w:id="530" w:name="_Toc7546"/>
      <w:bookmarkStart w:id="531" w:name="_Toc32553"/>
      <w:bookmarkStart w:id="532" w:name="_Toc32590"/>
      <w:bookmarkStart w:id="533" w:name="_Toc10229"/>
      <w:bookmarkStart w:id="534" w:name="_Toc29954"/>
      <w:bookmarkStart w:id="535" w:name="_Toc13250"/>
      <w:bookmarkStart w:id="536" w:name="_Toc18024"/>
      <w:bookmarkStart w:id="537" w:name="_Toc2988"/>
      <w:bookmarkStart w:id="538" w:name="_Toc26376"/>
      <w:bookmarkStart w:id="539" w:name="_Toc19417"/>
      <w:bookmarkStart w:id="540" w:name="_Toc31784"/>
      <w:bookmarkStart w:id="541" w:name="_Toc23338"/>
      <w:bookmarkStart w:id="542" w:name="_Toc21682"/>
      <w:bookmarkStart w:id="543" w:name="_Toc20337"/>
      <w:bookmarkStart w:id="544" w:name="_Toc7514"/>
      <w:bookmarkStart w:id="545" w:name="_Toc6966"/>
      <w:bookmarkStart w:id="546" w:name="_Toc14573"/>
      <w:bookmarkStart w:id="547" w:name="_Toc27612"/>
      <w:bookmarkStart w:id="548" w:name="_Toc11395"/>
      <w:bookmarkStart w:id="549" w:name="_Toc9502"/>
      <w:bookmarkStart w:id="550" w:name="_Toc29808"/>
      <w:bookmarkStart w:id="551" w:name="_Toc6703"/>
      <w:bookmarkStart w:id="552" w:name="_Toc1858"/>
      <w:r>
        <w:rPr>
          <w:rFonts w:hint="eastAsia" w:ascii="宋体" w:hAnsi="宋体" w:cs="宋体"/>
          <w:b/>
          <w:bCs/>
          <w:color w:val="000000"/>
          <w:sz w:val="24"/>
          <w:szCs w:val="24"/>
          <w:lang w:val="en-US" w:eastAsia="zh-CN"/>
        </w:rPr>
        <w:t>履约</w:t>
      </w:r>
      <w:r>
        <w:rPr>
          <w:rFonts w:hint="eastAsia" w:ascii="宋体" w:hAnsi="宋体" w:cs="宋体"/>
          <w:bCs w:val="0"/>
          <w:sz w:val="24"/>
          <w:szCs w:val="24"/>
          <w:lang w:eastAsia="zh-CN"/>
        </w:rPr>
        <w:t>验收</w:t>
      </w:r>
      <w:bookmarkEnd w:id="516"/>
      <w:bookmarkEnd w:id="517"/>
      <w:bookmarkEnd w:id="518"/>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highlight w:val="none"/>
          <w:lang w:val="en-US" w:eastAsia="zh-CN"/>
        </w:rPr>
      </w:pPr>
      <w:r>
        <w:rPr>
          <w:rFonts w:hint="eastAsia" w:ascii="Times New Roman" w:hAnsi="Times New Roman" w:cs="Times New Roman"/>
          <w:b/>
          <w:sz w:val="24"/>
          <w:szCs w:val="22"/>
          <w:highlight w:val="none"/>
          <w:lang w:val="en-US" w:eastAsia="zh-CN"/>
        </w:rPr>
        <w:t>严格规范开展</w:t>
      </w:r>
      <w:r>
        <w:rPr>
          <w:rFonts w:hint="default" w:ascii="Times New Roman" w:hAnsi="Times New Roman" w:cs="Times New Roman"/>
          <w:b/>
          <w:sz w:val="24"/>
          <w:szCs w:val="22"/>
          <w:highlight w:val="none"/>
          <w:lang w:val="en-US" w:eastAsia="zh-CN"/>
        </w:rPr>
        <w:t>履约验收</w:t>
      </w:r>
    </w:p>
    <w:p>
      <w:pPr>
        <w:numPr>
          <w:ilvl w:val="1"/>
          <w:numId w:val="11"/>
        </w:numPr>
        <w:tabs>
          <w:tab w:val="left" w:pos="0"/>
          <w:tab w:val="clear" w:pos="562"/>
        </w:tabs>
        <w:snapToGrid w:val="0"/>
        <w:spacing w:line="360" w:lineRule="auto"/>
        <w:ind w:left="7" w:leftChars="0" w:firstLine="413" w:firstLineChars="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采购人应当依法组织履约验收工作。采购人应当根据采购项目的具体情况，自行组织项目验收或者委托采购代理机构验收。采购人委托采购代理机构进行履约验收的，应当在委托代理协议中对委托事项予以明确，并对验收结果进行书面确认，不得因委托而转移或者免除采购人履约验收的主体责任。</w:t>
      </w:r>
    </w:p>
    <w:p>
      <w:pPr>
        <w:numPr>
          <w:ilvl w:val="1"/>
          <w:numId w:val="11"/>
        </w:numPr>
        <w:tabs>
          <w:tab w:val="left" w:pos="0"/>
          <w:tab w:val="clear" w:pos="562"/>
        </w:tabs>
        <w:snapToGrid w:val="0"/>
        <w:spacing w:line="360" w:lineRule="auto"/>
        <w:ind w:left="7" w:leftChars="0" w:firstLine="413" w:firstLineChars="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完整细化编制验收方案。采购人或采购人委托采购代理机构应当根据项目特点制定验收方案，明确履约验收的时间、方式、程序、内容和验收标准等事项。验收方法分为一次性验收、分段验收和分期验收三种。对于技术复杂、社会影响较大，涉及到原材料查验、内部设备安装等隐蔽环节，以及需要设置出厂检验、到货检验、安装调试检验、配套服务检验等多重验收环节的货物类项目，应当采取分段验收方式；服务类项目，可根据项目特点对服务期内的服务实施情况进行分期考核，结合考核情况和服务效果进行分期验收；工程类项目应当按照行业管理部门规定的标准、方法和内容进行验收。</w:t>
      </w:r>
    </w:p>
    <w:p>
      <w:pPr>
        <w:numPr>
          <w:ilvl w:val="1"/>
          <w:numId w:val="11"/>
        </w:numPr>
        <w:tabs>
          <w:tab w:val="left" w:pos="0"/>
          <w:tab w:val="left" w:pos="420"/>
          <w:tab w:val="clear" w:pos="562"/>
        </w:tabs>
        <w:snapToGrid w:val="0"/>
        <w:spacing w:line="360" w:lineRule="auto"/>
        <w:ind w:left="7" w:leftChars="0" w:firstLine="413" w:firstLineChars="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完善验收方式。对于采购人和使用人分离的采购项目，应当邀请实际使用人参与验收。采购人、采购代理机构可以邀请参加本项目的其他供应商或第三方专业机构及专家参与验收</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相关验收意见作为验收书的参考资料</w:t>
      </w:r>
      <w:r>
        <w:rPr>
          <w:rFonts w:hint="eastAsia" w:ascii="宋体" w:hAnsi="宋体" w:eastAsia="宋体" w:cs="宋体"/>
          <w:color w:val="auto"/>
          <w:kern w:val="0"/>
          <w:sz w:val="21"/>
          <w:szCs w:val="21"/>
          <w:highlight w:val="none"/>
          <w:lang w:eastAsia="zh-CN"/>
        </w:rPr>
        <w:t>。其中</w:t>
      </w:r>
      <w:r>
        <w:rPr>
          <w:rFonts w:hint="eastAsia" w:ascii="宋体" w:hAnsi="宋体" w:eastAsia="宋体" w:cs="宋体"/>
          <w:color w:val="auto"/>
          <w:kern w:val="0"/>
          <w:sz w:val="21"/>
          <w:szCs w:val="21"/>
          <w:highlight w:val="none"/>
        </w:rPr>
        <w:t>大型或复杂、关系到生命财产安全、社会关注度高的采购项目，采购人或者采购代理机构应当邀请国家认可的质量检测机构参与验收。</w:t>
      </w:r>
      <w:r>
        <w:rPr>
          <w:rFonts w:hint="eastAsia" w:ascii="宋体" w:hAnsi="宋体" w:eastAsia="宋体" w:cs="宋体"/>
          <w:color w:val="auto"/>
          <w:kern w:val="0"/>
          <w:sz w:val="21"/>
          <w:szCs w:val="21"/>
          <w:highlight w:val="none"/>
          <w:shd w:val="clear" w:color="auto" w:fill="auto"/>
        </w:rPr>
        <w:t>政府向社会公众提供的公共服务项目，应当邀请服务对象参与验收并出具意见</w:t>
      </w:r>
      <w:r>
        <w:rPr>
          <w:rFonts w:hint="eastAsia" w:ascii="宋体" w:hAnsi="宋体" w:eastAsia="宋体" w:cs="宋体"/>
          <w:color w:val="auto"/>
          <w:kern w:val="0"/>
          <w:sz w:val="21"/>
          <w:szCs w:val="21"/>
          <w:highlight w:val="none"/>
          <w:shd w:val="clear" w:color="auto" w:fill="auto"/>
          <w:lang w:eastAsia="zh-CN"/>
        </w:rPr>
        <w:t>。</w:t>
      </w:r>
      <w:r>
        <w:rPr>
          <w:rFonts w:hint="eastAsia" w:ascii="宋体" w:hAnsi="宋体" w:eastAsia="宋体" w:cs="宋体"/>
          <w:color w:val="auto"/>
          <w:kern w:val="0"/>
          <w:sz w:val="21"/>
          <w:szCs w:val="21"/>
          <w:highlight w:val="none"/>
          <w:shd w:val="clear" w:color="auto" w:fill="auto"/>
        </w:rPr>
        <w:t>政府向社会公众提供的公共服务项目</w:t>
      </w:r>
      <w:r>
        <w:rPr>
          <w:rFonts w:hint="eastAsia" w:ascii="宋体" w:hAnsi="宋体" w:eastAsia="宋体" w:cs="宋体"/>
          <w:color w:val="auto"/>
          <w:kern w:val="0"/>
          <w:sz w:val="21"/>
          <w:szCs w:val="21"/>
          <w:highlight w:val="none"/>
          <w:shd w:val="clear" w:color="auto" w:fill="auto"/>
          <w:lang w:eastAsia="zh-CN"/>
        </w:rPr>
        <w:t>以及合同金额达到分散采购限额标准的项目验收结果应于验收结束后及时在浙江政府采购网公开。项目合同涉及中止、未经验收提前终止的，也应当及时在浙江政府采购网公开。</w:t>
      </w:r>
    </w:p>
    <w:p>
      <w:pPr>
        <w:numPr>
          <w:ilvl w:val="1"/>
          <w:numId w:val="11"/>
        </w:numPr>
        <w:tabs>
          <w:tab w:val="left" w:pos="0"/>
          <w:tab w:val="clear" w:pos="562"/>
        </w:tabs>
        <w:snapToGrid w:val="0"/>
        <w:spacing w:line="360" w:lineRule="auto"/>
        <w:ind w:left="7" w:leftChars="0" w:firstLine="413" w:firstLineChars="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严格按照采购合同开展履约验收。采购人或者采购代理机构应当成立验收小组，按照</w:t>
      </w:r>
      <w:r>
        <w:rPr>
          <w:rFonts w:hint="eastAsia" w:ascii="宋体" w:hAnsi="宋体" w:eastAsia="宋体" w:cs="宋体"/>
          <w:color w:val="auto"/>
          <w:kern w:val="0"/>
          <w:sz w:val="21"/>
          <w:szCs w:val="21"/>
          <w:highlight w:val="none"/>
          <w:lang w:eastAsia="zh-CN"/>
        </w:rPr>
        <w:t>招标</w:t>
      </w:r>
      <w:r>
        <w:rPr>
          <w:rFonts w:hint="eastAsia" w:ascii="宋体" w:hAnsi="宋体" w:eastAsia="宋体" w:cs="宋体"/>
          <w:color w:val="auto"/>
          <w:kern w:val="0"/>
          <w:sz w:val="21"/>
          <w:szCs w:val="21"/>
          <w:highlight w:val="none"/>
        </w:rPr>
        <w:t>文件、</w:t>
      </w:r>
      <w:r>
        <w:rPr>
          <w:rFonts w:hint="eastAsia" w:ascii="宋体" w:hAnsi="宋体" w:eastAsia="宋体" w:cs="宋体"/>
          <w:color w:val="auto"/>
          <w:kern w:val="0"/>
          <w:sz w:val="21"/>
          <w:szCs w:val="21"/>
          <w:highlight w:val="none"/>
          <w:lang w:eastAsia="zh-CN"/>
        </w:rPr>
        <w:t>投标</w:t>
      </w:r>
      <w:r>
        <w:rPr>
          <w:rFonts w:hint="eastAsia" w:ascii="宋体" w:hAnsi="宋体" w:eastAsia="宋体" w:cs="宋体"/>
          <w:color w:val="auto"/>
          <w:kern w:val="0"/>
          <w:sz w:val="21"/>
          <w:szCs w:val="21"/>
          <w:highlight w:val="none"/>
        </w:rPr>
        <w:t>文件、采购合同、封存样品等约定的质量、数量、技术指标或者服务要求设置验收指标及其标准进行验收。未约定的，应当符合国家强制性规定、政策要求、安全标准、行业或企业有关标准等。验收时，按</w:t>
      </w:r>
      <w:r>
        <w:rPr>
          <w:rFonts w:hint="eastAsia" w:ascii="宋体" w:hAnsi="宋体" w:eastAsia="宋体" w:cs="宋体"/>
          <w:color w:val="auto"/>
          <w:kern w:val="0"/>
          <w:sz w:val="21"/>
          <w:szCs w:val="21"/>
          <w:highlight w:val="none"/>
          <w:lang w:eastAsia="zh-CN"/>
        </w:rPr>
        <w:t>要求</w:t>
      </w:r>
      <w:r>
        <w:rPr>
          <w:rFonts w:hint="eastAsia" w:ascii="宋体" w:hAnsi="宋体" w:eastAsia="宋体" w:cs="宋体"/>
          <w:color w:val="auto"/>
          <w:kern w:val="0"/>
          <w:sz w:val="21"/>
          <w:szCs w:val="21"/>
          <w:highlight w:val="none"/>
        </w:rPr>
        <w:t>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numPr>
          <w:ilvl w:val="1"/>
          <w:numId w:val="11"/>
        </w:numPr>
        <w:tabs>
          <w:tab w:val="left" w:pos="0"/>
          <w:tab w:val="clear" w:pos="562"/>
        </w:tabs>
        <w:snapToGrid w:val="0"/>
        <w:spacing w:line="360" w:lineRule="auto"/>
        <w:ind w:left="7" w:leftChars="0" w:firstLine="413" w:firstLineChars="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严格落实履约验收责任。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highlight w:val="none"/>
          <w:lang w:val="en-US" w:eastAsia="zh-CN"/>
        </w:rPr>
      </w:pPr>
      <w:r>
        <w:rPr>
          <w:rFonts w:hint="default" w:ascii="Times New Roman" w:hAnsi="Times New Roman" w:cs="Times New Roman"/>
          <w:b/>
          <w:sz w:val="24"/>
          <w:szCs w:val="22"/>
          <w:highlight w:val="none"/>
          <w:lang w:val="en-US" w:eastAsia="zh-CN"/>
        </w:rPr>
        <w:t>履约验收</w:t>
      </w:r>
      <w:r>
        <w:rPr>
          <w:rFonts w:hint="eastAsia" w:ascii="Times New Roman" w:hAnsi="Times New Roman" w:cs="Times New Roman"/>
          <w:b/>
          <w:sz w:val="24"/>
          <w:szCs w:val="22"/>
          <w:highlight w:val="none"/>
          <w:lang w:val="en-US" w:eastAsia="zh-CN"/>
        </w:rPr>
        <w:t>监督管理</w:t>
      </w:r>
    </w:p>
    <w:p>
      <w:pPr>
        <w:numPr>
          <w:ilvl w:val="0"/>
          <w:numId w:val="0"/>
        </w:numPr>
        <w:tabs>
          <w:tab w:val="left" w:pos="0"/>
        </w:tabs>
        <w:snapToGrid w:val="0"/>
        <w:spacing w:line="360" w:lineRule="auto"/>
        <w:ind w:firstLine="420" w:firstLineChars="200"/>
        <w:jc w:val="both"/>
        <w:rPr>
          <w:rFonts w:hint="eastAsia"/>
        </w:rPr>
      </w:pPr>
      <w:r>
        <w:rPr>
          <w:rFonts w:hint="eastAsia" w:cs="宋体"/>
          <w:sz w:val="21"/>
          <w:szCs w:val="21"/>
        </w:rPr>
        <w:t>财政部门依法对履约验收活动履行监督管理职责，指导和督促采购人严格履行验收义务，可以依法开展履约验收专项检查，查处违法违规行为</w:t>
      </w:r>
      <w:r>
        <w:rPr>
          <w:rFonts w:hint="eastAsia" w:cs="宋体"/>
          <w:sz w:val="21"/>
          <w:szCs w:val="21"/>
          <w:lang w:eastAsia="zh-CN"/>
        </w:rPr>
        <w:t>。</w:t>
      </w:r>
    </w:p>
    <w:p>
      <w:pPr>
        <w:pStyle w:val="3"/>
        <w:numPr>
          <w:ilvl w:val="0"/>
          <w:numId w:val="15"/>
        </w:numPr>
        <w:spacing w:before="156" w:beforeLines="50" w:after="156" w:afterLines="50" w:line="360" w:lineRule="auto"/>
        <w:jc w:val="center"/>
        <w:rPr>
          <w:rFonts w:hint="eastAsia" w:ascii="宋体" w:hAnsi="宋体" w:cs="宋体"/>
          <w:b/>
          <w:bCs/>
          <w:color w:val="000000"/>
          <w:sz w:val="24"/>
          <w:szCs w:val="24"/>
          <w:lang w:val="en-US" w:eastAsia="zh-CN"/>
        </w:rPr>
      </w:pPr>
      <w:bookmarkStart w:id="553" w:name="_Toc20277"/>
      <w:bookmarkStart w:id="554" w:name="_Toc25526"/>
      <w:bookmarkStart w:id="555" w:name="_Toc12639"/>
      <w:bookmarkStart w:id="556" w:name="_Toc25795"/>
      <w:bookmarkStart w:id="557" w:name="_Toc11653"/>
      <w:bookmarkStart w:id="558" w:name="_Toc9190"/>
      <w:bookmarkStart w:id="559" w:name="_Toc31169"/>
      <w:bookmarkStart w:id="560" w:name="_Toc25337"/>
      <w:bookmarkStart w:id="561" w:name="_Toc31124"/>
      <w:bookmarkStart w:id="562" w:name="_Toc8335"/>
      <w:bookmarkStart w:id="563" w:name="_Toc3969"/>
      <w:bookmarkStart w:id="564" w:name="_Toc17587"/>
      <w:bookmarkStart w:id="565" w:name="_Toc23936"/>
      <w:bookmarkStart w:id="566" w:name="_Toc30086"/>
      <w:bookmarkStart w:id="567" w:name="_Toc11228"/>
      <w:bookmarkStart w:id="568" w:name="_Toc22101"/>
      <w:bookmarkStart w:id="569" w:name="_Toc23597"/>
      <w:bookmarkStart w:id="570" w:name="_Toc12554"/>
      <w:bookmarkStart w:id="571" w:name="_Toc12131"/>
      <w:bookmarkStart w:id="572" w:name="_Toc30799"/>
      <w:bookmarkStart w:id="573" w:name="_Toc22743"/>
      <w:bookmarkStart w:id="574" w:name="_Toc26229"/>
      <w:bookmarkStart w:id="575" w:name="_Toc22121"/>
      <w:bookmarkStart w:id="576" w:name="_Toc23081"/>
      <w:bookmarkStart w:id="577" w:name="_Toc9095"/>
      <w:bookmarkStart w:id="578" w:name="_Toc2673"/>
      <w:bookmarkStart w:id="579" w:name="_Toc6061"/>
      <w:bookmarkStart w:id="580" w:name="_Toc32066"/>
      <w:bookmarkStart w:id="581" w:name="_Toc2072"/>
      <w:bookmarkStart w:id="582" w:name="_Toc8351"/>
      <w:r>
        <w:rPr>
          <w:rFonts w:hint="eastAsia" w:ascii="宋体" w:hAnsi="宋体" w:cs="宋体"/>
          <w:b/>
          <w:bCs/>
          <w:color w:val="000000"/>
          <w:sz w:val="24"/>
          <w:szCs w:val="24"/>
          <w:lang w:val="en-US" w:eastAsia="zh-CN"/>
        </w:rPr>
        <w:t>询问、质疑与投诉</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询问</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outlineLvl w:val="9"/>
        <w:rPr>
          <w:rFonts w:hint="eastAsia"/>
          <w:color w:val="000000"/>
        </w:rPr>
      </w:pPr>
      <w:r>
        <w:rPr>
          <w:rFonts w:hint="eastAsia" w:ascii="宋体" w:hAnsi="宋体" w:cs="宋体"/>
          <w:color w:val="000000"/>
          <w:szCs w:val="21"/>
          <w:lang w:eastAsia="zh-CN"/>
        </w:rPr>
        <w:t>投标人</w:t>
      </w:r>
      <w:r>
        <w:rPr>
          <w:rFonts w:hint="eastAsia" w:ascii="宋体" w:hAnsi="宋体" w:cs="宋体"/>
          <w:color w:val="000000"/>
          <w:szCs w:val="21"/>
        </w:rPr>
        <w:t>对政府采购活动事项有疑问的，可以向</w:t>
      </w:r>
      <w:r>
        <w:rPr>
          <w:rFonts w:hint="eastAsia" w:ascii="宋体" w:hAnsi="宋体" w:cs="宋体"/>
          <w:color w:val="000000"/>
          <w:szCs w:val="21"/>
          <w:highlight w:val="none"/>
          <w:lang w:eastAsia="zh-CN"/>
        </w:rPr>
        <w:t>采购人</w:t>
      </w:r>
      <w:r>
        <w:rPr>
          <w:rFonts w:hint="eastAsia" w:ascii="宋体" w:hAnsi="宋体" w:cs="宋体"/>
          <w:color w:val="000000"/>
          <w:szCs w:val="21"/>
        </w:rPr>
        <w:t>提出询问，采购人或者采购代理机构应当在</w:t>
      </w:r>
      <w:r>
        <w:rPr>
          <w:rFonts w:hint="default" w:ascii="Arial" w:hAnsi="Arial" w:cs="Arial"/>
          <w:color w:val="000000"/>
          <w:szCs w:val="21"/>
        </w:rPr>
        <w:t>3</w:t>
      </w:r>
      <w:r>
        <w:rPr>
          <w:rFonts w:hint="eastAsia" w:ascii="宋体" w:hAnsi="宋体" w:cs="宋体"/>
          <w:color w:val="000000"/>
          <w:szCs w:val="21"/>
        </w:rPr>
        <w:t>个工作日内对</w:t>
      </w:r>
      <w:r>
        <w:rPr>
          <w:rFonts w:hint="eastAsia" w:ascii="宋体" w:hAnsi="宋体" w:cs="宋体"/>
          <w:color w:val="000000"/>
          <w:szCs w:val="21"/>
          <w:lang w:eastAsia="zh-CN"/>
        </w:rPr>
        <w:t>投标人</w:t>
      </w:r>
      <w:r>
        <w:rPr>
          <w:rFonts w:hint="eastAsia" w:ascii="宋体" w:hAnsi="宋体" w:cs="宋体"/>
          <w:color w:val="000000"/>
          <w:szCs w:val="21"/>
        </w:rPr>
        <w:t>依法提出的询问作出答复，但答复的内容不得涉及商业秘密。</w:t>
      </w:r>
    </w:p>
    <w:p>
      <w:pPr>
        <w:numPr>
          <w:ilvl w:val="0"/>
          <w:numId w:val="11"/>
        </w:numPr>
        <w:snapToGrid w:val="0"/>
        <w:spacing w:line="360" w:lineRule="auto"/>
        <w:ind w:hanging="5"/>
        <w:jc w:val="both"/>
        <w:rPr>
          <w:b/>
          <w:sz w:val="24"/>
          <w:szCs w:val="22"/>
        </w:rPr>
      </w:pPr>
      <w:r>
        <w:rPr>
          <w:rFonts w:hint="eastAsia"/>
          <w:b/>
          <w:sz w:val="24"/>
          <w:szCs w:val="22"/>
        </w:rPr>
        <w:t>质疑</w:t>
      </w:r>
    </w:p>
    <w:p>
      <w:pPr>
        <w:numPr>
          <w:ilvl w:val="1"/>
          <w:numId w:val="11"/>
        </w:numPr>
        <w:tabs>
          <w:tab w:val="left" w:pos="0"/>
          <w:tab w:val="clear" w:pos="562"/>
        </w:tabs>
        <w:snapToGrid w:val="0"/>
        <w:spacing w:line="360" w:lineRule="auto"/>
        <w:ind w:left="7" w:firstLine="413"/>
        <w:jc w:val="both"/>
        <w:rPr>
          <w:color w:val="000000"/>
          <w:szCs w:val="22"/>
        </w:rPr>
      </w:pPr>
      <w:r>
        <w:rPr>
          <w:rFonts w:hint="eastAsia"/>
          <w:color w:val="000000"/>
          <w:szCs w:val="22"/>
        </w:rPr>
        <w:t>提出质疑的投标人（以下简称质疑人）应当是参与所质疑项目采购活动的投标人。潜在投标人已依法获取其可质疑的招标文件的，可以对该文件提出质疑。</w:t>
      </w:r>
    </w:p>
    <w:p>
      <w:pPr>
        <w:numPr>
          <w:ilvl w:val="1"/>
          <w:numId w:val="11"/>
        </w:numPr>
        <w:tabs>
          <w:tab w:val="left" w:pos="0"/>
          <w:tab w:val="clear" w:pos="562"/>
        </w:tabs>
        <w:snapToGrid w:val="0"/>
        <w:spacing w:line="360" w:lineRule="auto"/>
        <w:ind w:left="7" w:firstLine="413"/>
        <w:jc w:val="both"/>
        <w:rPr>
          <w:color w:val="000000"/>
          <w:szCs w:val="22"/>
        </w:rPr>
      </w:pPr>
      <w:r>
        <w:rPr>
          <w:rFonts w:hint="eastAsia"/>
          <w:color w:val="000000"/>
          <w:szCs w:val="22"/>
        </w:rPr>
        <w:t>质疑人认为招标文件、采购过程、中标或者成交结果使自己的权益受到损害的，可以在知道或者应知其权益受到损害之日起</w:t>
      </w:r>
      <w:r>
        <w:rPr>
          <w:rFonts w:ascii="Arial" w:hAnsi="Arial" w:cs="Arial"/>
          <w:color w:val="000000"/>
          <w:szCs w:val="22"/>
        </w:rPr>
        <w:t>7</w:t>
      </w:r>
      <w:r>
        <w:rPr>
          <w:rFonts w:hint="eastAsia"/>
          <w:color w:val="000000"/>
          <w:szCs w:val="22"/>
        </w:rPr>
        <w:t>个工作日内，以书面形式向采购人、采购代理机构提出质疑。</w:t>
      </w:r>
    </w:p>
    <w:p>
      <w:pPr>
        <w:snapToGrid w:val="0"/>
        <w:spacing w:line="360" w:lineRule="auto"/>
        <w:ind w:firstLine="420" w:firstLineChars="200"/>
        <w:jc w:val="both"/>
        <w:rPr>
          <w:color w:val="000000"/>
          <w:szCs w:val="22"/>
        </w:rPr>
      </w:pPr>
      <w:r>
        <w:rPr>
          <w:rFonts w:hint="eastAsia"/>
          <w:color w:val="000000"/>
          <w:szCs w:val="22"/>
        </w:rPr>
        <w:t>对招标文件提出质疑的，应当在获取招标文件或者招标文件公告期限届满之日起</w:t>
      </w:r>
      <w:r>
        <w:rPr>
          <w:rFonts w:ascii="Arial" w:hAnsi="Arial" w:cs="Arial"/>
          <w:color w:val="000000"/>
          <w:szCs w:val="22"/>
        </w:rPr>
        <w:t>7</w:t>
      </w:r>
      <w:r>
        <w:rPr>
          <w:rFonts w:hint="eastAsia"/>
          <w:color w:val="000000"/>
          <w:szCs w:val="22"/>
        </w:rPr>
        <w:t>个工作日内提出。对采购过程提出质疑的，质疑期限为各采购程序环节结束之日起计算。对采购结果提出质疑的，质疑期限自采购结果公告期限届满之日起计算。本项目要求投标人在法定质疑期内一次性提出针对同一采购程序环节的质疑。</w:t>
      </w:r>
    </w:p>
    <w:p>
      <w:pPr>
        <w:pStyle w:val="18"/>
        <w:numPr>
          <w:ilvl w:val="1"/>
          <w:numId w:val="11"/>
        </w:numPr>
        <w:tabs>
          <w:tab w:val="left" w:pos="0"/>
          <w:tab w:val="clear" w:pos="562"/>
        </w:tabs>
        <w:spacing w:line="360" w:lineRule="auto"/>
        <w:ind w:left="7" w:leftChars="0" w:firstLine="413"/>
        <w:rPr>
          <w:color w:val="000000"/>
          <w:kern w:val="0"/>
          <w:szCs w:val="22"/>
        </w:rPr>
      </w:pPr>
      <w:r>
        <w:rPr>
          <w:rFonts w:hint="eastAsia"/>
          <w:color w:val="000000"/>
          <w:kern w:val="0"/>
          <w:szCs w:val="22"/>
        </w:rPr>
        <w:t>投标人提出质疑应当提交质疑函和必要的证明材料。质疑函应当包括下列内容：</w:t>
      </w:r>
    </w:p>
    <w:p>
      <w:pPr>
        <w:adjustRightInd w:val="0"/>
        <w:snapToGrid w:val="0"/>
        <w:spacing w:line="360" w:lineRule="auto"/>
        <w:ind w:firstLine="420" w:firstLineChars="200"/>
        <w:rPr>
          <w:snapToGrid w:val="0"/>
          <w:color w:val="000000"/>
          <w:szCs w:val="21"/>
        </w:rPr>
      </w:pPr>
      <w:r>
        <w:rPr>
          <w:rFonts w:hint="eastAsia"/>
          <w:snapToGrid w:val="0"/>
          <w:color w:val="000000"/>
          <w:szCs w:val="21"/>
        </w:rPr>
        <w:t>（1）投标人的姓名或者名称、地址、邮编、联系人及联系电话；</w:t>
      </w:r>
    </w:p>
    <w:p>
      <w:pPr>
        <w:adjustRightInd w:val="0"/>
        <w:snapToGrid w:val="0"/>
        <w:spacing w:line="360" w:lineRule="auto"/>
        <w:ind w:firstLine="420" w:firstLineChars="200"/>
        <w:rPr>
          <w:snapToGrid w:val="0"/>
          <w:color w:val="000000"/>
          <w:szCs w:val="21"/>
        </w:rPr>
      </w:pPr>
      <w:r>
        <w:rPr>
          <w:rFonts w:hint="eastAsia"/>
          <w:snapToGrid w:val="0"/>
          <w:color w:val="000000"/>
          <w:szCs w:val="21"/>
        </w:rPr>
        <w:t>（2）质疑项目的名称、编号；</w:t>
      </w:r>
    </w:p>
    <w:p>
      <w:pPr>
        <w:adjustRightInd w:val="0"/>
        <w:snapToGrid w:val="0"/>
        <w:spacing w:line="360" w:lineRule="auto"/>
        <w:ind w:firstLine="420" w:firstLineChars="200"/>
        <w:rPr>
          <w:snapToGrid w:val="0"/>
          <w:color w:val="000000"/>
          <w:szCs w:val="21"/>
        </w:rPr>
      </w:pPr>
      <w:r>
        <w:rPr>
          <w:rFonts w:hint="eastAsia"/>
          <w:snapToGrid w:val="0"/>
          <w:color w:val="000000"/>
          <w:szCs w:val="21"/>
        </w:rPr>
        <w:t>（3）具体、明确的质疑事项和与质疑事项相关的请求；</w:t>
      </w:r>
    </w:p>
    <w:p>
      <w:pPr>
        <w:adjustRightInd w:val="0"/>
        <w:snapToGrid w:val="0"/>
        <w:spacing w:line="360" w:lineRule="auto"/>
        <w:ind w:firstLine="420" w:firstLineChars="200"/>
        <w:rPr>
          <w:snapToGrid w:val="0"/>
          <w:color w:val="000000"/>
          <w:szCs w:val="21"/>
        </w:rPr>
      </w:pPr>
      <w:r>
        <w:rPr>
          <w:rFonts w:hint="eastAsia"/>
          <w:snapToGrid w:val="0"/>
          <w:color w:val="000000"/>
          <w:szCs w:val="21"/>
        </w:rPr>
        <w:t>（4）事实依据；</w:t>
      </w:r>
    </w:p>
    <w:p>
      <w:pPr>
        <w:adjustRightInd w:val="0"/>
        <w:snapToGrid w:val="0"/>
        <w:spacing w:line="360" w:lineRule="auto"/>
        <w:ind w:firstLine="420" w:firstLineChars="200"/>
        <w:rPr>
          <w:snapToGrid w:val="0"/>
          <w:color w:val="000000"/>
          <w:szCs w:val="21"/>
        </w:rPr>
      </w:pPr>
      <w:r>
        <w:rPr>
          <w:rFonts w:hint="eastAsia"/>
          <w:snapToGrid w:val="0"/>
          <w:color w:val="000000"/>
          <w:szCs w:val="21"/>
        </w:rPr>
        <w:t>（5）必要的法律依据；</w:t>
      </w:r>
    </w:p>
    <w:p>
      <w:pPr>
        <w:adjustRightInd w:val="0"/>
        <w:snapToGrid w:val="0"/>
        <w:spacing w:line="360" w:lineRule="auto"/>
        <w:ind w:firstLine="420" w:firstLineChars="200"/>
        <w:rPr>
          <w:snapToGrid w:val="0"/>
          <w:color w:val="000000"/>
          <w:szCs w:val="21"/>
        </w:rPr>
      </w:pPr>
      <w:r>
        <w:rPr>
          <w:rFonts w:hint="eastAsia"/>
          <w:snapToGrid w:val="0"/>
          <w:color w:val="000000"/>
          <w:szCs w:val="21"/>
        </w:rPr>
        <w:t>（6）提出质疑的日期。</w:t>
      </w:r>
    </w:p>
    <w:p>
      <w:pPr>
        <w:adjustRightInd w:val="0"/>
        <w:snapToGrid w:val="0"/>
        <w:spacing w:line="360" w:lineRule="auto"/>
        <w:ind w:firstLine="420" w:firstLineChars="200"/>
        <w:rPr>
          <w:snapToGrid w:val="0"/>
          <w:color w:val="000000"/>
          <w:szCs w:val="21"/>
        </w:rPr>
      </w:pPr>
      <w:r>
        <w:rPr>
          <w:rFonts w:hint="eastAsia"/>
          <w:snapToGrid w:val="0"/>
          <w:color w:val="000000"/>
          <w:szCs w:val="21"/>
        </w:rPr>
        <w:t>投标人为自然人的，应当由本人签字；投标人为法人或者其他组织的，应当由法定代表人、主要负责人，或者其授权代表签字或者盖章，并加盖公章。</w:t>
      </w:r>
    </w:p>
    <w:p>
      <w:pPr>
        <w:keepNext w:val="0"/>
        <w:keepLines w:val="0"/>
        <w:pageBreakBefore w:val="0"/>
        <w:numPr>
          <w:ilvl w:val="1"/>
          <w:numId w:val="11"/>
        </w:numPr>
        <w:tabs>
          <w:tab w:val="left" w:pos="0"/>
          <w:tab w:val="clear" w:pos="562"/>
        </w:tabs>
        <w:kinsoku/>
        <w:wordWrap/>
        <w:overflowPunct/>
        <w:topLinePunct w:val="0"/>
        <w:autoSpaceDE/>
        <w:autoSpaceDN/>
        <w:bidi w:val="0"/>
        <w:adjustRightInd w:val="0"/>
        <w:snapToGrid w:val="0"/>
        <w:spacing w:line="360" w:lineRule="auto"/>
        <w:ind w:left="7" w:leftChars="0" w:firstLine="413" w:firstLineChars="0"/>
        <w:jc w:val="left"/>
        <w:textAlignment w:val="auto"/>
        <w:outlineLvl w:val="9"/>
        <w:rPr>
          <w:rFonts w:hint="eastAsia" w:ascii="宋体" w:hAnsi="宋体" w:eastAsia="宋体" w:cs="宋体"/>
          <w:snapToGrid w:val="0"/>
          <w:color w:val="auto"/>
          <w:kern w:val="0"/>
          <w:szCs w:val="21"/>
          <w:highlight w:val="none"/>
          <w:lang w:val="en-US" w:eastAsia="zh-CN"/>
        </w:rPr>
      </w:pPr>
      <w:r>
        <w:rPr>
          <w:rFonts w:hint="eastAsia" w:ascii="宋体" w:hAnsi="宋体" w:cs="宋体"/>
          <w:snapToGrid w:val="0"/>
          <w:szCs w:val="21"/>
        </w:rPr>
        <w:t>采购人、采购代理机构在收到法定质疑期内发出的质疑函后</w:t>
      </w:r>
      <w:r>
        <w:rPr>
          <w:rFonts w:ascii="Arial" w:hAnsi="Arial" w:cs="Arial"/>
          <w:snapToGrid w:val="0"/>
          <w:szCs w:val="21"/>
        </w:rPr>
        <w:t>7</w:t>
      </w:r>
      <w:r>
        <w:rPr>
          <w:rFonts w:hint="eastAsia" w:ascii="宋体" w:hAnsi="宋体" w:cs="宋体"/>
          <w:snapToGrid w:val="0"/>
          <w:szCs w:val="21"/>
        </w:rPr>
        <w:t>个工作日内作出答复，并以书面形式通知质疑人和其他有关投标人。质疑（询问）受理机构详见招标公告“采购人信息”。质疑答复内容应全面完整，质疑答复人应将质疑答复内容及时在浙江政府采购网公开，涉及国家秘密、个人隐私、商业秘密以及法律、法规规定应予保密的信息内容除外</w:t>
      </w:r>
      <w:r>
        <w:rPr>
          <w:rFonts w:hint="eastAsia" w:ascii="宋体" w:hAnsi="宋体" w:eastAsia="宋体" w:cs="宋体"/>
          <w:snapToGrid w:val="0"/>
          <w:color w:val="auto"/>
          <w:kern w:val="0"/>
          <w:szCs w:val="21"/>
          <w:highlight w:val="none"/>
          <w:lang w:val="en-US" w:eastAsia="zh-CN"/>
        </w:rPr>
        <w:t>。</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highlight w:val="none"/>
          <w:lang w:val="en-US" w:eastAsia="zh-CN"/>
        </w:rPr>
      </w:pPr>
      <w:r>
        <w:rPr>
          <w:rFonts w:hint="default" w:ascii="Times New Roman" w:hAnsi="Times New Roman" w:cs="Times New Roman"/>
          <w:b/>
          <w:sz w:val="24"/>
          <w:szCs w:val="22"/>
          <w:highlight w:val="none"/>
          <w:lang w:val="en-US" w:eastAsia="zh-CN"/>
        </w:rPr>
        <w:t>投诉</w:t>
      </w:r>
    </w:p>
    <w:p>
      <w:pPr>
        <w:pStyle w:val="18"/>
        <w:spacing w:line="360" w:lineRule="auto"/>
        <w:ind w:left="0" w:leftChars="0" w:firstLine="420" w:firstLineChars="200"/>
        <w:rPr>
          <w:rFonts w:hint="eastAsia"/>
        </w:rPr>
      </w:pPr>
      <w:r>
        <w:rPr>
          <w:rFonts w:hint="eastAsia"/>
        </w:rPr>
        <w:t>质疑人对招标采购单位的答复不满意或者招标采购单位未在规定的时间内作出答复的，可以在答复期满后十五个工作日内向同级政府采购监督管理部门提出投诉。</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1" w:leftChars="0" w:firstLine="420" w:firstLineChars="200"/>
        <w:textAlignment w:val="auto"/>
        <w:outlineLvl w:val="9"/>
        <w:rPr>
          <w:rFonts w:hint="eastAsia" w:ascii="宋体" w:hAnsi="宋体" w:cs="宋体"/>
          <w:color w:val="000000"/>
        </w:rPr>
      </w:pPr>
      <w:r>
        <w:rPr>
          <w:rFonts w:hint="eastAsia" w:ascii="宋体" w:hAnsi="宋体" w:cs="宋体"/>
          <w:color w:val="000000"/>
        </w:rPr>
        <w:t>投诉受理机构：瑞安市财政局政府采购监督管理科 联系人：</w:t>
      </w:r>
      <w:r>
        <w:rPr>
          <w:rFonts w:hint="eastAsia"/>
          <w:lang w:val="en-US" w:eastAsia="zh-CN"/>
        </w:rPr>
        <w:t>蔡</w:t>
      </w:r>
      <w:r>
        <w:rPr>
          <w:rFonts w:hint="eastAsia"/>
        </w:rPr>
        <w:t>先生</w:t>
      </w:r>
    </w:p>
    <w:p>
      <w:pPr>
        <w:keepNext w:val="0"/>
        <w:keepLines w:val="0"/>
        <w:pageBreakBefore w:val="0"/>
        <w:widowControl/>
        <w:tabs>
          <w:tab w:val="left" w:pos="851"/>
        </w:tabs>
        <w:kinsoku/>
        <w:wordWrap/>
        <w:overflowPunct/>
        <w:topLinePunct w:val="0"/>
        <w:autoSpaceDE/>
        <w:autoSpaceDN/>
        <w:bidi w:val="0"/>
        <w:adjustRightInd/>
        <w:snapToGrid w:val="0"/>
        <w:spacing w:line="360" w:lineRule="auto"/>
        <w:ind w:firstLine="420" w:firstLineChars="200"/>
        <w:textAlignment w:val="auto"/>
        <w:outlineLvl w:val="9"/>
        <w:rPr>
          <w:rFonts w:ascii="宋体" w:hAnsi="宋体" w:cs="宋体"/>
          <w:color w:val="000000"/>
        </w:rPr>
      </w:pPr>
      <w:r>
        <w:rPr>
          <w:rFonts w:hint="eastAsia" w:ascii="宋体" w:hAnsi="宋体" w:cs="宋体"/>
          <w:color w:val="000000"/>
        </w:rPr>
        <w:t>监督投诉电话：</w:t>
      </w:r>
      <w:r>
        <w:rPr>
          <w:rFonts w:hint="default" w:ascii="Arial" w:hAnsi="Arial" w:cs="Arial"/>
          <w:color w:val="000000"/>
        </w:rPr>
        <w:t>0577-65827567</w:t>
      </w:r>
      <w:r>
        <w:rPr>
          <w:rFonts w:hint="eastAsia" w:ascii="宋体" w:hAnsi="宋体" w:cs="宋体"/>
          <w:color w:val="000000"/>
        </w:rPr>
        <w:t xml:space="preserve"> </w:t>
      </w:r>
      <w:r>
        <w:rPr>
          <w:rFonts w:ascii="宋体" w:hAnsi="宋体" w:cs="宋体"/>
          <w:color w:val="000000"/>
        </w:rPr>
        <w:t xml:space="preserve">  </w:t>
      </w:r>
      <w:r>
        <w:rPr>
          <w:rFonts w:hint="eastAsia" w:ascii="宋体" w:hAnsi="宋体" w:cs="宋体"/>
          <w:color w:val="000000"/>
        </w:rPr>
        <w:t>传真：</w:t>
      </w:r>
      <w:r>
        <w:rPr>
          <w:rFonts w:hint="default" w:ascii="Arial" w:hAnsi="Arial" w:cs="Arial"/>
          <w:color w:val="000000"/>
        </w:rPr>
        <w:t>0577-6582</w:t>
      </w:r>
      <w:r>
        <w:rPr>
          <w:rFonts w:hint="default" w:ascii="Arial" w:hAnsi="Arial" w:cs="Arial"/>
          <w:color w:val="000000"/>
          <w:lang w:val="en-US" w:eastAsia="zh-CN"/>
        </w:rPr>
        <w:t>2153</w:t>
      </w:r>
      <w:r>
        <w:rPr>
          <w:rFonts w:hint="eastAsia" w:ascii="宋体" w:hAnsi="宋体" w:cs="宋体"/>
          <w:color w:val="000000"/>
        </w:rPr>
        <w:t xml:space="preserve"> </w:t>
      </w:r>
    </w:p>
    <w:p>
      <w:pPr>
        <w:keepNext w:val="0"/>
        <w:keepLines w:val="0"/>
        <w:pageBreakBefore w:val="0"/>
        <w:widowControl/>
        <w:tabs>
          <w:tab w:val="left" w:pos="851"/>
        </w:tabs>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cs="宋体"/>
          <w:color w:val="000000"/>
        </w:rPr>
      </w:pPr>
      <w:r>
        <w:rPr>
          <w:rFonts w:hint="eastAsia" w:ascii="宋体" w:hAnsi="宋体" w:cs="宋体"/>
          <w:color w:val="000000"/>
        </w:rPr>
        <w:t>地址：瑞安市财税大楼</w:t>
      </w:r>
      <w:r>
        <w:rPr>
          <w:rFonts w:hint="default" w:ascii="Arial" w:hAnsi="Arial" w:cs="Arial"/>
          <w:color w:val="000000"/>
        </w:rPr>
        <w:t>15</w:t>
      </w:r>
      <w:r>
        <w:rPr>
          <w:rFonts w:hint="eastAsia" w:ascii="宋体" w:hAnsi="宋体" w:cs="宋体"/>
          <w:color w:val="000000"/>
        </w:rPr>
        <w:t>楼</w:t>
      </w:r>
    </w:p>
    <w:p>
      <w:pPr>
        <w:keepNext w:val="0"/>
        <w:keepLines w:val="0"/>
        <w:pageBreakBefore w:val="0"/>
        <w:widowControl/>
        <w:numPr>
          <w:ilvl w:val="0"/>
          <w:numId w:val="0"/>
        </w:numPr>
        <w:kinsoku/>
        <w:wordWrap/>
        <w:overflowPunct/>
        <w:topLinePunct w:val="0"/>
        <w:autoSpaceDE/>
        <w:autoSpaceDN/>
        <w:bidi w:val="0"/>
        <w:adjustRightInd/>
        <w:spacing w:line="360" w:lineRule="auto"/>
        <w:ind w:firstLine="420" w:firstLineChars="200"/>
        <w:textAlignment w:val="auto"/>
        <w:outlineLvl w:val="9"/>
        <w:rPr>
          <w:rFonts w:ascii="宋体" w:hAnsi="宋体"/>
        </w:rPr>
      </w:pPr>
      <w:r>
        <w:rPr>
          <w:rFonts w:hint="eastAsia" w:ascii="宋体" w:hAnsi="宋体" w:cs="宋体"/>
          <w:b w:val="0"/>
          <w:bCs/>
          <w:color w:val="000000"/>
          <w:szCs w:val="21"/>
        </w:rPr>
        <w:t>质疑函范本、投诉书范本请到浙江政府采购网下载专区下载（网址：</w:t>
      </w:r>
      <w:r>
        <w:rPr>
          <w:rFonts w:hint="eastAsia" w:ascii="宋体" w:hAnsi="宋体" w:cs="宋体"/>
          <w:b w:val="0"/>
          <w:bCs/>
          <w:color w:val="000000"/>
          <w:szCs w:val="21"/>
        </w:rPr>
        <w:fldChar w:fldCharType="begin"/>
      </w:r>
      <w:r>
        <w:rPr>
          <w:rFonts w:hint="eastAsia" w:ascii="宋体" w:hAnsi="宋体" w:cs="宋体"/>
          <w:b w:val="0"/>
          <w:bCs/>
          <w:color w:val="000000"/>
          <w:szCs w:val="21"/>
        </w:rPr>
        <w:instrText xml:space="preserve"> HYPERLINK "http://zfcg.czt.zj.gov.cn/download/index.html?_=1585060584349）。" </w:instrText>
      </w:r>
      <w:r>
        <w:rPr>
          <w:rFonts w:hint="eastAsia" w:ascii="宋体" w:hAnsi="宋体" w:cs="宋体"/>
          <w:b w:val="0"/>
          <w:bCs/>
          <w:color w:val="000000"/>
          <w:szCs w:val="21"/>
        </w:rPr>
        <w:fldChar w:fldCharType="separate"/>
      </w:r>
      <w:r>
        <w:rPr>
          <w:rStyle w:val="46"/>
          <w:rFonts w:hint="default" w:ascii="Arial" w:hAnsi="Arial" w:cs="Arial"/>
          <w:b w:val="0"/>
          <w:bCs/>
          <w:szCs w:val="21"/>
        </w:rPr>
        <w:t>http://zfcg.czt.zj.gov.cn/download/index.html?_=1585060584349</w:t>
      </w:r>
      <w:r>
        <w:rPr>
          <w:rStyle w:val="46"/>
          <w:rFonts w:hint="eastAsia" w:ascii="宋体" w:hAnsi="宋体" w:cs="宋体"/>
          <w:b w:val="0"/>
          <w:bCs/>
          <w:szCs w:val="21"/>
        </w:rPr>
        <w:t>）</w:t>
      </w:r>
      <w:r>
        <w:rPr>
          <w:rFonts w:hint="eastAsia" w:ascii="宋体" w:hAnsi="宋体" w:cs="宋体"/>
          <w:b w:val="0"/>
          <w:bCs/>
          <w:color w:val="000000"/>
          <w:szCs w:val="21"/>
        </w:rPr>
        <w:fldChar w:fldCharType="end"/>
      </w:r>
    </w:p>
    <w:p>
      <w:pPr>
        <w:pStyle w:val="3"/>
        <w:numPr>
          <w:ilvl w:val="0"/>
          <w:numId w:val="15"/>
        </w:numPr>
        <w:spacing w:before="156" w:beforeLines="50" w:after="156" w:afterLines="50" w:line="240" w:lineRule="auto"/>
        <w:ind w:left="0" w:leftChars="0" w:firstLine="0" w:firstLineChars="0"/>
        <w:jc w:val="center"/>
        <w:rPr>
          <w:rFonts w:hint="eastAsia" w:ascii="宋体" w:hAnsi="宋体" w:cs="宋体"/>
          <w:b/>
          <w:bCs/>
          <w:color w:val="000000"/>
          <w:sz w:val="24"/>
          <w:szCs w:val="24"/>
          <w:lang w:val="en-US" w:eastAsia="zh-CN"/>
        </w:rPr>
      </w:pPr>
      <w:bookmarkStart w:id="583" w:name="_Toc3814"/>
      <w:bookmarkStart w:id="584" w:name="_Toc8853"/>
      <w:bookmarkStart w:id="585" w:name="_Toc14608"/>
      <w:bookmarkStart w:id="586" w:name="_Toc27014"/>
      <w:bookmarkStart w:id="587" w:name="_Toc14768"/>
      <w:bookmarkStart w:id="588" w:name="_Toc15028"/>
      <w:bookmarkStart w:id="589" w:name="_Toc25266"/>
      <w:bookmarkStart w:id="590" w:name="_Toc3644"/>
      <w:bookmarkStart w:id="591" w:name="_Toc8814"/>
      <w:bookmarkStart w:id="592" w:name="_Toc2276"/>
      <w:bookmarkStart w:id="593" w:name="_Toc31686"/>
      <w:bookmarkStart w:id="594" w:name="_Toc28892"/>
      <w:bookmarkStart w:id="595" w:name="_Toc24975"/>
      <w:bookmarkStart w:id="596" w:name="_Toc30165"/>
      <w:bookmarkStart w:id="597" w:name="_Toc2237"/>
      <w:bookmarkStart w:id="598" w:name="_Toc16854"/>
      <w:bookmarkStart w:id="599" w:name="_Toc17869"/>
      <w:bookmarkStart w:id="600" w:name="_Toc10682"/>
      <w:bookmarkStart w:id="601" w:name="_Toc20926"/>
      <w:bookmarkStart w:id="602" w:name="_Toc32608"/>
      <w:bookmarkStart w:id="603" w:name="_Toc12144"/>
      <w:bookmarkStart w:id="604" w:name="_Toc9487"/>
      <w:bookmarkStart w:id="605" w:name="_Toc9551"/>
      <w:bookmarkStart w:id="606" w:name="_Toc24169"/>
      <w:bookmarkStart w:id="607" w:name="_Toc26827"/>
      <w:bookmarkStart w:id="608" w:name="_Toc6284"/>
      <w:bookmarkStart w:id="609" w:name="_Toc11658"/>
      <w:bookmarkStart w:id="610" w:name="_Toc29117"/>
      <w:bookmarkStart w:id="611" w:name="_Toc27952"/>
      <w:r>
        <w:rPr>
          <w:rFonts w:hint="eastAsia" w:ascii="宋体" w:hAnsi="宋体" w:cs="宋体"/>
          <w:b/>
          <w:bCs/>
          <w:color w:val="000000"/>
          <w:sz w:val="24"/>
          <w:szCs w:val="24"/>
          <w:lang w:val="en-US" w:eastAsia="zh-CN"/>
        </w:rPr>
        <w:t>项目异常情况及处理措施</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bookmarkStart w:id="612" w:name="_Toc15426"/>
      <w:bookmarkStart w:id="613" w:name="_Toc12694"/>
      <w:bookmarkStart w:id="614" w:name="_Toc10199"/>
      <w:bookmarkStart w:id="615" w:name="_Toc18280"/>
      <w:bookmarkStart w:id="616" w:name="_Toc1381"/>
      <w:bookmarkStart w:id="617" w:name="_Toc26295"/>
      <w:bookmarkStart w:id="618" w:name="_Toc30858"/>
      <w:r>
        <w:rPr>
          <w:rFonts w:hint="default" w:ascii="Times New Roman" w:hAnsi="Times New Roman" w:cs="Times New Roman"/>
          <w:b/>
          <w:sz w:val="24"/>
          <w:szCs w:val="22"/>
          <w:lang w:val="en-US" w:eastAsia="zh-CN"/>
        </w:rPr>
        <w:t>不足法定家数情况</w:t>
      </w:r>
      <w:bookmarkEnd w:id="612"/>
      <w:bookmarkEnd w:id="613"/>
      <w:bookmarkEnd w:id="614"/>
      <w:bookmarkEnd w:id="615"/>
      <w:bookmarkEnd w:id="616"/>
      <w:bookmarkEnd w:id="617"/>
      <w:bookmarkEnd w:id="618"/>
    </w:p>
    <w:p>
      <w:pPr>
        <w:keepNext w:val="0"/>
        <w:keepLines w:val="0"/>
        <w:pageBreakBefore w:val="0"/>
        <w:widowControl/>
        <w:numPr>
          <w:ilvl w:val="1"/>
          <w:numId w:val="11"/>
        </w:numPr>
        <w:tabs>
          <w:tab w:val="left" w:pos="0"/>
          <w:tab w:val="clear" w:pos="562"/>
        </w:tabs>
        <w:kinsoku/>
        <w:wordWrap/>
        <w:overflowPunct/>
        <w:topLinePunct w:val="0"/>
        <w:autoSpaceDE/>
        <w:autoSpaceDN/>
        <w:bidi w:val="0"/>
        <w:adjustRightInd/>
        <w:snapToGrid/>
        <w:spacing w:line="360" w:lineRule="auto"/>
        <w:ind w:left="6" w:leftChars="0" w:firstLine="414" w:firstLineChars="0"/>
        <w:textAlignment w:val="auto"/>
        <w:outlineLvl w:val="9"/>
        <w:rPr>
          <w:rFonts w:hint="eastAsia" w:ascii="宋体" w:hAnsi="宋体" w:eastAsia="宋体" w:cs="宋体"/>
          <w:snapToGrid w:val="0"/>
          <w:color w:val="000000"/>
          <w:kern w:val="0"/>
          <w:szCs w:val="21"/>
          <w:highlight w:val="none"/>
        </w:rPr>
      </w:pPr>
      <w:r>
        <w:rPr>
          <w:rFonts w:hint="eastAsia" w:ascii="宋体" w:hAnsi="宋体" w:cs="宋体"/>
          <w:bCs/>
          <w:color w:val="000000"/>
          <w:szCs w:val="21"/>
        </w:rPr>
        <w:t>公开招标数额标准以上的采购项目，投标截止后投标人不足</w:t>
      </w:r>
      <w:r>
        <w:rPr>
          <w:rFonts w:hint="default" w:ascii="Arial" w:hAnsi="Arial" w:cs="Arial"/>
          <w:bCs/>
          <w:color w:val="000000"/>
          <w:szCs w:val="21"/>
        </w:rPr>
        <w:t>3</w:t>
      </w:r>
      <w:r>
        <w:rPr>
          <w:rFonts w:hint="eastAsia" w:ascii="宋体" w:hAnsi="宋体" w:cs="宋体"/>
          <w:bCs/>
          <w:color w:val="000000"/>
          <w:szCs w:val="21"/>
        </w:rPr>
        <w:t>家或者通过资格审</w:t>
      </w:r>
      <w:r>
        <w:rPr>
          <w:rFonts w:hint="eastAsia" w:ascii="宋体" w:hAnsi="宋体" w:eastAsia="宋体" w:cs="宋体"/>
          <w:snapToGrid w:val="0"/>
          <w:color w:val="000000"/>
          <w:kern w:val="0"/>
          <w:szCs w:val="21"/>
          <w:highlight w:val="none"/>
        </w:rPr>
        <w:t>查或符合性审查的投标人不足</w:t>
      </w:r>
      <w:r>
        <w:rPr>
          <w:rFonts w:hint="default" w:ascii="Arial" w:hAnsi="Arial" w:eastAsia="宋体" w:cs="Arial"/>
          <w:snapToGrid w:val="0"/>
          <w:color w:val="000000"/>
          <w:kern w:val="0"/>
          <w:szCs w:val="21"/>
          <w:highlight w:val="none"/>
        </w:rPr>
        <w:t>3</w:t>
      </w:r>
      <w:r>
        <w:rPr>
          <w:rFonts w:hint="eastAsia" w:ascii="宋体" w:hAnsi="宋体" w:eastAsia="宋体" w:cs="宋体"/>
          <w:snapToGrid w:val="0"/>
          <w:color w:val="000000"/>
          <w:kern w:val="0"/>
          <w:szCs w:val="21"/>
          <w:highlight w:val="none"/>
        </w:rPr>
        <w:t>家的，除采购任务取消情形外，按照以下方式处理：</w:t>
      </w:r>
    </w:p>
    <w:p>
      <w:pPr>
        <w:keepNext w:val="0"/>
        <w:keepLines w:val="0"/>
        <w:pageBreakBefore w:val="0"/>
        <w:widowControl/>
        <w:numPr>
          <w:ilvl w:val="0"/>
          <w:numId w:val="0"/>
        </w:numPr>
        <w:kinsoku/>
        <w:wordWrap/>
        <w:overflowPunct/>
        <w:topLinePunct w:val="0"/>
        <w:autoSpaceDE/>
        <w:autoSpaceDN/>
        <w:bidi w:val="0"/>
        <w:snapToGrid w:val="0"/>
        <w:spacing w:line="360" w:lineRule="auto"/>
        <w:ind w:firstLine="420" w:firstLineChars="200"/>
        <w:jc w:val="both"/>
        <w:textAlignment w:val="auto"/>
        <w:outlineLvl w:val="9"/>
        <w:rPr>
          <w:rFonts w:hint="default" w:ascii="Times New Roman" w:hAnsi="Times New Roman" w:eastAsia="宋体" w:cs="Times New Roman"/>
          <w:b w:val="0"/>
          <w:bCs w:val="0"/>
          <w:color w:val="000000"/>
          <w:szCs w:val="22"/>
          <w:lang w:val="en-US" w:eastAsia="zh-CN"/>
        </w:rPr>
      </w:pPr>
      <w:r>
        <w:rPr>
          <w:rFonts w:hint="default" w:ascii="Times New Roman" w:hAnsi="Times New Roman" w:eastAsia="宋体" w:cs="Times New Roman"/>
          <w:b w:val="0"/>
          <w:bCs w:val="0"/>
          <w:color w:val="000000"/>
          <w:szCs w:val="22"/>
          <w:lang w:val="en-US" w:eastAsia="zh-CN"/>
        </w:rPr>
        <w:t>（1）招标文件存在不合理条款或者招标程序不符合规定的，采购人、采购代理机构改正后依法重新招标；</w:t>
      </w:r>
    </w:p>
    <w:p>
      <w:pPr>
        <w:keepNext w:val="0"/>
        <w:keepLines w:val="0"/>
        <w:pageBreakBefore w:val="0"/>
        <w:widowControl/>
        <w:numPr>
          <w:ilvl w:val="0"/>
          <w:numId w:val="0"/>
        </w:numPr>
        <w:kinsoku/>
        <w:wordWrap/>
        <w:overflowPunct/>
        <w:topLinePunct w:val="0"/>
        <w:autoSpaceDE/>
        <w:autoSpaceDN/>
        <w:bidi w:val="0"/>
        <w:snapToGrid w:val="0"/>
        <w:spacing w:line="360" w:lineRule="auto"/>
        <w:ind w:firstLine="420" w:firstLineChars="200"/>
        <w:jc w:val="both"/>
        <w:textAlignment w:val="auto"/>
        <w:outlineLvl w:val="9"/>
        <w:rPr>
          <w:rFonts w:hint="eastAsia" w:ascii="宋体" w:hAnsi="宋体" w:eastAsia="宋体" w:cs="宋体"/>
          <w:b w:val="0"/>
          <w:bCs w:val="0"/>
          <w:color w:val="000000"/>
          <w:szCs w:val="22"/>
          <w:lang w:val="en-US" w:eastAsia="zh-CN"/>
        </w:rPr>
      </w:pPr>
      <w:r>
        <w:rPr>
          <w:rFonts w:hint="default" w:ascii="Times New Roman" w:hAnsi="Times New Roman" w:eastAsia="宋体" w:cs="Times New Roman"/>
          <w:b w:val="0"/>
          <w:bCs w:val="0"/>
          <w:color w:val="000000"/>
          <w:szCs w:val="22"/>
          <w:lang w:val="en-US" w:eastAsia="zh-CN"/>
        </w:rPr>
        <w:t>（2）</w:t>
      </w:r>
      <w:r>
        <w:rPr>
          <w:rFonts w:hint="eastAsia" w:ascii="宋体" w:hAnsi="宋体" w:eastAsia="宋体" w:cs="宋体"/>
          <w:b w:val="0"/>
          <w:bCs w:val="0"/>
          <w:color w:val="000000"/>
          <w:szCs w:val="22"/>
          <w:lang w:val="en-US" w:eastAsia="zh-CN"/>
        </w:rPr>
        <w:t>招标文件没有不合理条款、招标程序符合规定，需要采用其他采购方式采购的，采购人应当依法报财政部门批准。</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废标情形</w:t>
      </w:r>
    </w:p>
    <w:p>
      <w:pPr>
        <w:adjustRightInd w:val="0"/>
        <w:snapToGrid w:val="0"/>
        <w:spacing w:line="360" w:lineRule="auto"/>
        <w:ind w:firstLine="420" w:firstLineChars="200"/>
        <w:jc w:val="left"/>
        <w:rPr>
          <w:rFonts w:hint="eastAsia" w:ascii="宋体" w:hAnsi="宋体" w:eastAsia="宋体" w:cs="宋体"/>
          <w:snapToGrid w:val="0"/>
          <w:color w:val="000000"/>
          <w:kern w:val="0"/>
          <w:szCs w:val="21"/>
          <w:highlight w:val="none"/>
        </w:rPr>
      </w:pPr>
      <w:r>
        <w:rPr>
          <w:rFonts w:hint="eastAsia" w:ascii="宋体" w:hAnsi="宋体" w:eastAsia="宋体" w:cs="宋体"/>
          <w:snapToGrid w:val="0"/>
          <w:color w:val="000000"/>
          <w:kern w:val="0"/>
          <w:szCs w:val="21"/>
          <w:highlight w:val="none"/>
        </w:rPr>
        <w:t>根据《中华人民共和国政府采购法》第三十六条，出现下列情形之一的，应予以废标：</w:t>
      </w:r>
    </w:p>
    <w:p>
      <w:pPr>
        <w:adjustRightInd w:val="0"/>
        <w:snapToGrid w:val="0"/>
        <w:spacing w:line="360" w:lineRule="auto"/>
        <w:ind w:firstLine="420" w:firstLineChars="200"/>
        <w:jc w:val="left"/>
        <w:rPr>
          <w:rFonts w:hint="default" w:ascii="Times New Roman" w:hAnsi="Times New Roman" w:eastAsia="宋体" w:cs="Times New Roman"/>
          <w:snapToGrid w:val="0"/>
          <w:color w:val="000000"/>
          <w:kern w:val="0"/>
          <w:szCs w:val="21"/>
          <w:highlight w:val="none"/>
        </w:rPr>
      </w:pPr>
      <w:r>
        <w:rPr>
          <w:rFonts w:hint="default" w:ascii="Times New Roman" w:hAnsi="Times New Roman" w:eastAsia="宋体" w:cs="Times New Roman"/>
          <w:snapToGrid w:val="0"/>
          <w:color w:val="000000"/>
          <w:kern w:val="0"/>
          <w:szCs w:val="21"/>
          <w:highlight w:val="none"/>
        </w:rPr>
        <w:t>（1）符合专业条件的</w:t>
      </w:r>
      <w:r>
        <w:rPr>
          <w:rFonts w:hint="eastAsia" w:ascii="Times New Roman" w:hAnsi="Times New Roman" w:eastAsia="宋体" w:cs="Times New Roman"/>
          <w:snapToGrid w:val="0"/>
          <w:color w:val="000000"/>
          <w:kern w:val="0"/>
          <w:szCs w:val="21"/>
          <w:highlight w:val="none"/>
          <w:lang w:eastAsia="zh-CN"/>
        </w:rPr>
        <w:t>投标人</w:t>
      </w:r>
      <w:r>
        <w:rPr>
          <w:rFonts w:hint="default" w:ascii="Times New Roman" w:hAnsi="Times New Roman" w:eastAsia="宋体" w:cs="Times New Roman"/>
          <w:snapToGrid w:val="0"/>
          <w:color w:val="000000"/>
          <w:kern w:val="0"/>
          <w:szCs w:val="21"/>
          <w:highlight w:val="none"/>
        </w:rPr>
        <w:t>或者对采购文件作实质响应的</w:t>
      </w:r>
      <w:r>
        <w:rPr>
          <w:rFonts w:hint="eastAsia" w:ascii="Times New Roman" w:hAnsi="Times New Roman" w:eastAsia="宋体" w:cs="Times New Roman"/>
          <w:snapToGrid w:val="0"/>
          <w:color w:val="000000"/>
          <w:kern w:val="0"/>
          <w:szCs w:val="21"/>
          <w:highlight w:val="none"/>
          <w:lang w:eastAsia="zh-CN"/>
        </w:rPr>
        <w:t>投标人</w:t>
      </w:r>
      <w:r>
        <w:rPr>
          <w:rFonts w:hint="default" w:ascii="Times New Roman" w:hAnsi="Times New Roman" w:eastAsia="宋体" w:cs="Times New Roman"/>
          <w:snapToGrid w:val="0"/>
          <w:color w:val="000000"/>
          <w:kern w:val="0"/>
          <w:szCs w:val="21"/>
          <w:highlight w:val="none"/>
        </w:rPr>
        <w:t>不足三家的；</w:t>
      </w:r>
    </w:p>
    <w:p>
      <w:pPr>
        <w:adjustRightInd w:val="0"/>
        <w:snapToGrid w:val="0"/>
        <w:spacing w:line="360" w:lineRule="auto"/>
        <w:ind w:firstLine="420" w:firstLineChars="200"/>
        <w:jc w:val="left"/>
        <w:rPr>
          <w:rFonts w:hint="default" w:ascii="Times New Roman" w:hAnsi="Times New Roman" w:eastAsia="宋体" w:cs="Times New Roman"/>
          <w:snapToGrid w:val="0"/>
          <w:color w:val="000000"/>
          <w:kern w:val="0"/>
          <w:szCs w:val="21"/>
          <w:highlight w:val="none"/>
        </w:rPr>
      </w:pPr>
      <w:r>
        <w:rPr>
          <w:rFonts w:hint="default" w:ascii="Times New Roman" w:hAnsi="Times New Roman" w:eastAsia="宋体" w:cs="Times New Roman"/>
          <w:snapToGrid w:val="0"/>
          <w:color w:val="000000"/>
          <w:kern w:val="0"/>
          <w:szCs w:val="21"/>
          <w:highlight w:val="none"/>
        </w:rPr>
        <w:t>（2）出现影响采购公正的违法、违规行为的；</w:t>
      </w:r>
    </w:p>
    <w:p>
      <w:pPr>
        <w:adjustRightInd w:val="0"/>
        <w:snapToGrid w:val="0"/>
        <w:spacing w:line="360" w:lineRule="auto"/>
        <w:ind w:firstLine="420" w:firstLineChars="200"/>
        <w:jc w:val="left"/>
        <w:rPr>
          <w:rFonts w:hint="default" w:ascii="Times New Roman" w:hAnsi="Times New Roman" w:eastAsia="宋体" w:cs="Times New Roman"/>
          <w:snapToGrid w:val="0"/>
          <w:color w:val="000000"/>
          <w:kern w:val="0"/>
          <w:szCs w:val="21"/>
          <w:highlight w:val="none"/>
        </w:rPr>
      </w:pPr>
      <w:r>
        <w:rPr>
          <w:rFonts w:hint="default" w:ascii="Times New Roman" w:hAnsi="Times New Roman" w:eastAsia="宋体" w:cs="Times New Roman"/>
          <w:snapToGrid w:val="0"/>
          <w:color w:val="000000"/>
          <w:kern w:val="0"/>
          <w:szCs w:val="21"/>
          <w:highlight w:val="none"/>
        </w:rPr>
        <w:t>（3）所有投标人的报价均超过了采购预算，采购人不能支付的；</w:t>
      </w:r>
    </w:p>
    <w:p>
      <w:pPr>
        <w:adjustRightInd w:val="0"/>
        <w:snapToGrid w:val="0"/>
        <w:spacing w:line="360" w:lineRule="auto"/>
        <w:ind w:firstLine="420" w:firstLineChars="200"/>
        <w:jc w:val="left"/>
        <w:rPr>
          <w:rFonts w:hint="default" w:ascii="Times New Roman" w:hAnsi="Times New Roman" w:cs="Times New Roman"/>
          <w:color w:val="000000"/>
          <w:lang w:eastAsia="zh-CN"/>
        </w:rPr>
      </w:pPr>
      <w:r>
        <w:rPr>
          <w:rFonts w:hint="default" w:ascii="Times New Roman" w:hAnsi="Times New Roman" w:eastAsia="宋体" w:cs="Times New Roman"/>
          <w:snapToGrid w:val="0"/>
          <w:color w:val="000000"/>
          <w:kern w:val="0"/>
          <w:szCs w:val="21"/>
          <w:highlight w:val="none"/>
        </w:rPr>
        <w:t>（4）因重大变故，采购任务取消的。</w:t>
      </w:r>
    </w:p>
    <w:p>
      <w:pPr>
        <w:numPr>
          <w:ilvl w:val="0"/>
          <w:numId w:val="11"/>
        </w:numPr>
        <w:snapToGrid w:val="0"/>
        <w:spacing w:line="360" w:lineRule="auto"/>
        <w:ind w:left="425" w:leftChars="0" w:hanging="5" w:firstLineChars="0"/>
        <w:jc w:val="both"/>
        <w:rPr>
          <w:rFonts w:hint="default" w:ascii="Times New Roman" w:hAnsi="Times New Roman" w:cs="Times New Roman"/>
          <w:b/>
          <w:sz w:val="24"/>
          <w:szCs w:val="22"/>
          <w:lang w:val="en-US" w:eastAsia="zh-CN"/>
        </w:rPr>
      </w:pPr>
      <w:r>
        <w:rPr>
          <w:rFonts w:hint="default" w:ascii="Times New Roman" w:hAnsi="Times New Roman" w:cs="Times New Roman"/>
          <w:b/>
          <w:sz w:val="24"/>
          <w:szCs w:val="22"/>
          <w:lang w:val="en-US" w:eastAsia="zh-CN"/>
        </w:rPr>
        <w:t>电子交易活动异常情况</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cs="宋体"/>
          <w:bCs/>
          <w:color w:val="000000"/>
          <w:szCs w:val="21"/>
        </w:rPr>
      </w:pPr>
      <w:r>
        <w:rPr>
          <w:rFonts w:hint="eastAsia" w:ascii="宋体" w:hAnsi="宋体" w:cs="宋体"/>
          <w:bCs/>
          <w:color w:val="000000"/>
          <w:szCs w:val="21"/>
        </w:rPr>
        <w:t>采购过程中出现以下情形，导致电子交易平台无法正常运行，或者无法保证电子交易的公平、公正和安全时，</w:t>
      </w:r>
      <w:r>
        <w:rPr>
          <w:rFonts w:hint="eastAsia" w:ascii="宋体" w:hAnsi="宋体" w:cs="宋体"/>
          <w:bCs/>
          <w:color w:val="000000"/>
          <w:szCs w:val="21"/>
          <w:lang w:eastAsia="zh-CN"/>
        </w:rPr>
        <w:t>集中采购机构</w:t>
      </w:r>
      <w:r>
        <w:rPr>
          <w:rFonts w:hint="eastAsia" w:ascii="宋体" w:hAnsi="宋体" w:cs="宋体"/>
          <w:bCs/>
          <w:color w:val="000000"/>
          <w:szCs w:val="21"/>
        </w:rPr>
        <w:t>中止电子交易活动：</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lang w:eastAsia="zh-CN"/>
        </w:rPr>
        <w:t>（</w:t>
      </w:r>
      <w:r>
        <w:rPr>
          <w:rFonts w:hint="default" w:ascii="Times New Roman" w:hAnsi="Times New Roman" w:eastAsia="宋体" w:cs="Times New Roman"/>
          <w:bCs/>
          <w:color w:val="000000"/>
          <w:szCs w:val="21"/>
          <w:lang w:val="en-US" w:eastAsia="zh-CN"/>
        </w:rPr>
        <w:t>1</w:t>
      </w:r>
      <w:r>
        <w:rPr>
          <w:rFonts w:hint="default" w:ascii="Times New Roman" w:hAnsi="Times New Roman" w:eastAsia="宋体" w:cs="Times New Roman"/>
          <w:bCs/>
          <w:color w:val="000000"/>
          <w:szCs w:val="21"/>
          <w:lang w:eastAsia="zh-CN"/>
        </w:rPr>
        <w:t>）</w:t>
      </w:r>
      <w:r>
        <w:rPr>
          <w:rFonts w:hint="default" w:ascii="Times New Roman" w:hAnsi="Times New Roman" w:eastAsia="宋体" w:cs="Times New Roman"/>
          <w:bCs/>
          <w:color w:val="000000"/>
          <w:szCs w:val="21"/>
        </w:rPr>
        <w:t>电子交易平台发生故障而无法登录访问的；</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lang w:eastAsia="zh-CN"/>
        </w:rPr>
        <w:t>（</w:t>
      </w:r>
      <w:r>
        <w:rPr>
          <w:rFonts w:hint="default" w:ascii="Times New Roman" w:hAnsi="Times New Roman" w:eastAsia="宋体" w:cs="Times New Roman"/>
          <w:bCs/>
          <w:color w:val="000000"/>
          <w:szCs w:val="21"/>
          <w:lang w:val="en-US" w:eastAsia="zh-CN"/>
        </w:rPr>
        <w:t>2</w:t>
      </w:r>
      <w:r>
        <w:rPr>
          <w:rFonts w:hint="default" w:ascii="Times New Roman" w:hAnsi="Times New Roman" w:eastAsia="宋体" w:cs="Times New Roman"/>
          <w:bCs/>
          <w:color w:val="000000"/>
          <w:szCs w:val="21"/>
          <w:lang w:eastAsia="zh-CN"/>
        </w:rPr>
        <w:t>）</w:t>
      </w:r>
      <w:r>
        <w:rPr>
          <w:rFonts w:hint="default" w:ascii="Times New Roman" w:hAnsi="Times New Roman" w:eastAsia="宋体" w:cs="Times New Roman"/>
          <w:bCs/>
          <w:color w:val="000000"/>
          <w:szCs w:val="21"/>
        </w:rPr>
        <w:t>电子交易平台应用或数据库出现错误</w:t>
      </w:r>
      <w:r>
        <w:rPr>
          <w:rFonts w:hint="default" w:ascii="Times New Roman" w:hAnsi="Times New Roman" w:eastAsia="宋体" w:cs="Times New Roman"/>
          <w:bCs/>
          <w:color w:val="000000"/>
          <w:szCs w:val="21"/>
          <w:lang w:eastAsia="zh-CN"/>
        </w:rPr>
        <w:t>，</w:t>
      </w:r>
      <w:r>
        <w:rPr>
          <w:rFonts w:hint="default" w:ascii="Times New Roman" w:hAnsi="Times New Roman" w:eastAsia="宋体" w:cs="Times New Roman"/>
          <w:bCs/>
          <w:color w:val="000000"/>
          <w:szCs w:val="21"/>
        </w:rPr>
        <w:t>不能进行正常操作的；</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lang w:eastAsia="zh-CN"/>
        </w:rPr>
        <w:t>（</w:t>
      </w:r>
      <w:r>
        <w:rPr>
          <w:rFonts w:hint="default" w:ascii="Times New Roman" w:hAnsi="Times New Roman" w:eastAsia="宋体" w:cs="Times New Roman"/>
          <w:bCs/>
          <w:color w:val="000000"/>
          <w:szCs w:val="21"/>
          <w:lang w:val="en-US" w:eastAsia="zh-CN"/>
        </w:rPr>
        <w:t>3</w:t>
      </w:r>
      <w:r>
        <w:rPr>
          <w:rFonts w:hint="default" w:ascii="Times New Roman" w:hAnsi="Times New Roman" w:eastAsia="宋体" w:cs="Times New Roman"/>
          <w:bCs/>
          <w:color w:val="000000"/>
          <w:szCs w:val="21"/>
          <w:lang w:eastAsia="zh-CN"/>
        </w:rPr>
        <w:t>）</w:t>
      </w:r>
      <w:r>
        <w:rPr>
          <w:rFonts w:hint="default" w:ascii="Times New Roman" w:hAnsi="Times New Roman" w:eastAsia="宋体" w:cs="Times New Roman"/>
          <w:bCs/>
          <w:color w:val="000000"/>
          <w:szCs w:val="21"/>
        </w:rPr>
        <w:t>电子交易平台发现严重安全漏洞，有潜在泄密危险的；</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lang w:eastAsia="zh-CN"/>
        </w:rPr>
        <w:t>（</w:t>
      </w:r>
      <w:r>
        <w:rPr>
          <w:rFonts w:hint="default" w:ascii="Times New Roman" w:hAnsi="Times New Roman" w:eastAsia="宋体" w:cs="Times New Roman"/>
          <w:bCs/>
          <w:color w:val="000000"/>
          <w:szCs w:val="21"/>
          <w:lang w:val="en-US" w:eastAsia="zh-CN"/>
        </w:rPr>
        <w:t>4</w:t>
      </w:r>
      <w:r>
        <w:rPr>
          <w:rFonts w:hint="default" w:ascii="Times New Roman" w:hAnsi="Times New Roman" w:eastAsia="宋体" w:cs="Times New Roman"/>
          <w:bCs/>
          <w:color w:val="000000"/>
          <w:szCs w:val="21"/>
          <w:lang w:eastAsia="zh-CN"/>
        </w:rPr>
        <w:t>）</w:t>
      </w:r>
      <w:r>
        <w:rPr>
          <w:rFonts w:hint="default" w:ascii="Times New Roman" w:hAnsi="Times New Roman" w:eastAsia="宋体" w:cs="Times New Roman"/>
          <w:bCs/>
          <w:color w:val="000000"/>
          <w:szCs w:val="21"/>
        </w:rPr>
        <w:t>病毒发作导致不能进行正常操作的；</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Cs/>
          <w:color w:val="000000"/>
          <w:szCs w:val="21"/>
        </w:rPr>
      </w:pPr>
      <w:r>
        <w:rPr>
          <w:rFonts w:hint="default" w:ascii="Times New Roman" w:hAnsi="Times New Roman" w:eastAsia="宋体" w:cs="Times New Roman"/>
          <w:bCs/>
          <w:color w:val="000000"/>
          <w:szCs w:val="21"/>
          <w:lang w:eastAsia="zh-CN"/>
        </w:rPr>
        <w:t>（</w:t>
      </w:r>
      <w:r>
        <w:rPr>
          <w:rFonts w:hint="default" w:ascii="Times New Roman" w:hAnsi="Times New Roman" w:eastAsia="宋体" w:cs="Times New Roman"/>
          <w:bCs/>
          <w:color w:val="000000"/>
          <w:szCs w:val="21"/>
          <w:lang w:val="en-US" w:eastAsia="zh-CN"/>
        </w:rPr>
        <w:t>5</w:t>
      </w:r>
      <w:r>
        <w:rPr>
          <w:rFonts w:hint="default" w:ascii="Times New Roman" w:hAnsi="Times New Roman" w:eastAsia="宋体" w:cs="Times New Roman"/>
          <w:bCs/>
          <w:color w:val="000000"/>
          <w:szCs w:val="21"/>
          <w:lang w:eastAsia="zh-CN"/>
        </w:rPr>
        <w:t>）</w:t>
      </w:r>
      <w:r>
        <w:rPr>
          <w:rFonts w:hint="default" w:ascii="Times New Roman" w:hAnsi="Times New Roman" w:eastAsia="宋体" w:cs="Times New Roman"/>
          <w:bCs/>
          <w:color w:val="000000"/>
          <w:szCs w:val="21"/>
        </w:rPr>
        <w:t>其他无法保证电子交易的公平、公正和安全的情况。</w:t>
      </w:r>
    </w:p>
    <w:p>
      <w:pPr>
        <w:pStyle w:val="18"/>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pPr>
      <w:r>
        <w:rPr>
          <w:rFonts w:hint="eastAsia" w:ascii="宋体" w:hAnsi="宋体" w:cs="宋体"/>
          <w:bCs/>
          <w:color w:val="000000"/>
          <w:szCs w:val="21"/>
        </w:rPr>
        <w:t>出现前款规定情形，不影响采购公平、公正性的，</w:t>
      </w:r>
      <w:r>
        <w:rPr>
          <w:rFonts w:hint="eastAsia" w:ascii="宋体" w:hAnsi="宋体" w:cs="宋体"/>
          <w:bCs/>
          <w:color w:val="000000"/>
          <w:szCs w:val="21"/>
          <w:lang w:eastAsia="zh-CN"/>
        </w:rPr>
        <w:t>集中采购机构</w:t>
      </w:r>
      <w:r>
        <w:rPr>
          <w:rFonts w:hint="eastAsia" w:ascii="宋体" w:hAnsi="宋体" w:cs="宋体"/>
          <w:bCs/>
          <w:color w:val="000000"/>
          <w:szCs w:val="21"/>
        </w:rPr>
        <w:t>可以待上述情形消除后继续组织电子交易活动；影响或可能影响采购公平、公正性的，重新采购。</w:t>
      </w:r>
    </w:p>
    <w:p/>
    <w:p>
      <w:pPr>
        <w:pStyle w:val="2"/>
        <w:jc w:val="both"/>
        <w:rPr>
          <w:rFonts w:hint="eastAsia"/>
          <w:sz w:val="28"/>
          <w:szCs w:val="28"/>
          <w:lang w:eastAsia="zh-CN"/>
        </w:rPr>
      </w:pPr>
      <w:bookmarkStart w:id="619" w:name="_Toc12411"/>
      <w:bookmarkStart w:id="620" w:name="_Toc12936"/>
      <w:bookmarkStart w:id="621" w:name="_Toc6481"/>
      <w:bookmarkStart w:id="622" w:name="_Toc20250"/>
      <w:bookmarkStart w:id="623" w:name="_Toc30672"/>
      <w:bookmarkStart w:id="624" w:name="_Toc10715"/>
      <w:bookmarkStart w:id="625" w:name="_Toc22123"/>
      <w:bookmarkStart w:id="626" w:name="_Toc6711"/>
      <w:bookmarkStart w:id="627" w:name="_Toc20945"/>
      <w:bookmarkStart w:id="628" w:name="_Toc11360"/>
      <w:bookmarkStart w:id="629" w:name="_Toc22839"/>
      <w:bookmarkStart w:id="630" w:name="_Toc2482"/>
      <w:bookmarkStart w:id="631" w:name="_Toc29559"/>
      <w:bookmarkStart w:id="632" w:name="_Toc7428"/>
      <w:bookmarkStart w:id="633" w:name="_Toc3041"/>
      <w:bookmarkStart w:id="634" w:name="_Toc3816"/>
      <w:bookmarkStart w:id="635" w:name="_Toc26968"/>
      <w:bookmarkStart w:id="636" w:name="_Toc9116"/>
      <w:bookmarkStart w:id="637" w:name="_Toc19772"/>
      <w:bookmarkStart w:id="638" w:name="_Toc21443"/>
      <w:bookmarkStart w:id="639" w:name="_Toc20369"/>
      <w:bookmarkStart w:id="640" w:name="_Toc3637"/>
      <w:bookmarkStart w:id="641" w:name="_Toc453571454"/>
    </w:p>
    <w:p>
      <w:pPr>
        <w:rPr>
          <w:rFonts w:hint="eastAsia"/>
          <w:sz w:val="28"/>
          <w:szCs w:val="28"/>
          <w:lang w:eastAsia="zh-CN"/>
        </w:rPr>
      </w:pPr>
    </w:p>
    <w:p>
      <w:pPr>
        <w:pStyle w:val="18"/>
        <w:rPr>
          <w:rFonts w:hint="eastAsia"/>
          <w:sz w:val="28"/>
          <w:szCs w:val="28"/>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ind w:firstLine="2249" w:firstLineChars="800"/>
        <w:jc w:val="both"/>
        <w:rPr>
          <w:sz w:val="28"/>
          <w:szCs w:val="28"/>
        </w:rPr>
      </w:pPr>
      <w:bookmarkStart w:id="642" w:name="_Toc9976"/>
      <w:bookmarkStart w:id="643" w:name="_Toc24136"/>
      <w:bookmarkStart w:id="644" w:name="_Toc29473"/>
      <w:bookmarkStart w:id="645" w:name="_Toc8115"/>
      <w:bookmarkStart w:id="646" w:name="_Toc13510"/>
      <w:bookmarkStart w:id="647" w:name="_Toc31992"/>
      <w:bookmarkStart w:id="648" w:name="_Toc23655"/>
      <w:bookmarkStart w:id="649" w:name="_Toc17356"/>
      <w:bookmarkStart w:id="650" w:name="_Toc23536"/>
      <w:bookmarkStart w:id="651" w:name="_Toc22734"/>
      <w:bookmarkStart w:id="652" w:name="_Toc7523"/>
      <w:bookmarkStart w:id="653" w:name="_Toc1829"/>
      <w:bookmarkStart w:id="654" w:name="_Toc24451"/>
      <w:bookmarkStart w:id="655" w:name="_Toc19717"/>
      <w:r>
        <w:rPr>
          <w:rFonts w:hint="eastAsia"/>
          <w:sz w:val="28"/>
          <w:szCs w:val="28"/>
          <w:lang w:eastAsia="zh-CN"/>
        </w:rPr>
        <w:t>第三部分</w:t>
      </w:r>
      <w:r>
        <w:rPr>
          <w:rFonts w:hint="eastAsia"/>
          <w:sz w:val="28"/>
          <w:szCs w:val="28"/>
        </w:rPr>
        <w:t xml:space="preserve">  招标内容及要求</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snapToGrid w:val="0"/>
        <w:spacing w:line="360" w:lineRule="auto"/>
        <w:ind w:firstLine="422" w:firstLineChars="175"/>
        <w:outlineLvl w:val="1"/>
        <w:rPr>
          <w:rFonts w:hint="eastAsia" w:ascii="宋体" w:hAnsi="宋体"/>
          <w:b/>
          <w:bCs/>
          <w:sz w:val="24"/>
          <w:szCs w:val="24"/>
        </w:rPr>
      </w:pPr>
      <w:bookmarkStart w:id="656" w:name="_Toc29738"/>
      <w:bookmarkStart w:id="657" w:name="_Toc12082"/>
      <w:bookmarkStart w:id="658" w:name="_Toc11576"/>
      <w:bookmarkStart w:id="659" w:name="_Toc6439"/>
      <w:bookmarkStart w:id="660" w:name="_Toc4778"/>
      <w:bookmarkStart w:id="661" w:name="_Toc12080"/>
      <w:bookmarkStart w:id="662" w:name="_Toc10822"/>
      <w:bookmarkStart w:id="663" w:name="_Toc15389"/>
      <w:bookmarkStart w:id="664" w:name="_Toc28967"/>
      <w:bookmarkStart w:id="665" w:name="_Toc24640"/>
      <w:bookmarkStart w:id="666" w:name="_Toc4833"/>
      <w:bookmarkStart w:id="667" w:name="_Toc3481"/>
      <w:bookmarkStart w:id="668" w:name="_Toc17978"/>
      <w:bookmarkStart w:id="669" w:name="_Toc10180"/>
      <w:bookmarkStart w:id="670" w:name="_Toc22765"/>
      <w:bookmarkStart w:id="671" w:name="_Toc9485"/>
      <w:bookmarkStart w:id="672" w:name="_Toc21392"/>
      <w:bookmarkStart w:id="673" w:name="_Toc3409"/>
      <w:bookmarkStart w:id="674" w:name="_Toc17730"/>
      <w:bookmarkStart w:id="675" w:name="_Toc20783"/>
      <w:bookmarkStart w:id="676" w:name="_Toc338"/>
      <w:bookmarkStart w:id="677" w:name="_Toc7179"/>
      <w:bookmarkStart w:id="678" w:name="_Toc1188"/>
      <w:bookmarkStart w:id="679" w:name="_Toc18755"/>
      <w:bookmarkStart w:id="680" w:name="_Toc5253"/>
      <w:bookmarkStart w:id="681" w:name="_Toc30801"/>
      <w:bookmarkStart w:id="682" w:name="_Toc27037"/>
      <w:bookmarkStart w:id="683" w:name="_Toc24757"/>
      <w:bookmarkStart w:id="684" w:name="_Toc19662"/>
      <w:bookmarkStart w:id="685" w:name="_Toc30881"/>
      <w:bookmarkStart w:id="686" w:name="_Toc6358"/>
      <w:bookmarkStart w:id="687" w:name="_Toc31723"/>
      <w:bookmarkStart w:id="688" w:name="_Toc29744"/>
      <w:bookmarkStart w:id="689" w:name="_Toc8422"/>
      <w:bookmarkStart w:id="690" w:name="_Toc10278"/>
      <w:bookmarkStart w:id="691" w:name="_Toc14993"/>
      <w:bookmarkStart w:id="692" w:name="_Toc1687"/>
      <w:bookmarkStart w:id="693" w:name="_Toc31198"/>
      <w:bookmarkStart w:id="694" w:name="_Toc25637"/>
      <w:bookmarkStart w:id="695" w:name="_Toc1826"/>
      <w:bookmarkStart w:id="696" w:name="_Toc4049"/>
      <w:r>
        <w:rPr>
          <w:rFonts w:hint="eastAsia" w:ascii="宋体" w:hAnsi="宋体"/>
          <w:b/>
          <w:bCs/>
          <w:sz w:val="24"/>
          <w:szCs w:val="24"/>
          <w:lang w:val="en-US" w:eastAsia="zh-CN"/>
        </w:rPr>
        <w:t>一</w:t>
      </w:r>
      <w:r>
        <w:rPr>
          <w:rFonts w:hint="eastAsia" w:ascii="宋体" w:hAnsi="宋体"/>
          <w:b/>
          <w:bCs/>
          <w:sz w:val="24"/>
          <w:szCs w:val="24"/>
        </w:rPr>
        <w:t>、采购内容及标准</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numPr>
          <w:ilvl w:val="0"/>
          <w:numId w:val="16"/>
        </w:numPr>
        <w:snapToGrid w:val="0"/>
        <w:spacing w:line="360" w:lineRule="auto"/>
        <w:ind w:firstLine="422" w:firstLineChars="175"/>
        <w:jc w:val="both"/>
        <w:rPr>
          <w:rFonts w:ascii="宋体" w:hAnsi="宋体"/>
          <w:b/>
          <w:bCs/>
          <w:sz w:val="24"/>
          <w:szCs w:val="24"/>
        </w:rPr>
      </w:pPr>
      <w:r>
        <w:rPr>
          <w:rFonts w:hint="eastAsia" w:ascii="宋体" w:hAnsi="宋体"/>
          <w:b/>
          <w:bCs/>
          <w:sz w:val="24"/>
          <w:szCs w:val="24"/>
        </w:rPr>
        <w:t>服务人员配置要求</w:t>
      </w:r>
    </w:p>
    <w:p>
      <w:pPr>
        <w:pageBreakBefore w:val="0"/>
        <w:numPr>
          <w:ilvl w:val="0"/>
          <w:numId w:val="17"/>
        </w:numPr>
        <w:kinsoku/>
        <w:wordWrap/>
        <w:overflowPunct/>
        <w:topLinePunct w:val="0"/>
        <w:autoSpaceDE/>
        <w:autoSpaceDN/>
        <w:bidi w:val="0"/>
        <w:snapToGrid w:val="0"/>
        <w:spacing w:line="360" w:lineRule="auto"/>
        <w:ind w:firstLine="420"/>
        <w:jc w:val="both"/>
        <w:textAlignment w:val="auto"/>
        <w:rPr>
          <w:rFonts w:hint="eastAsia" w:ascii="Arial" w:hAnsi="Arial"/>
          <w:bCs/>
          <w:szCs w:val="22"/>
        </w:rPr>
      </w:pPr>
      <w:r>
        <w:rPr>
          <w:rFonts w:hint="eastAsia" w:ascii="Arial" w:hAnsi="Arial"/>
          <w:bCs/>
          <w:szCs w:val="22"/>
        </w:rPr>
        <w:t>岗位需求表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5"/>
        <w:gridCol w:w="1220"/>
        <w:gridCol w:w="990"/>
        <w:gridCol w:w="5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425" w:type="dxa"/>
            <w:vMerge w:val="restart"/>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default" w:ascii="宋体" w:hAnsi="宋体" w:cs="Times New Roman"/>
                <w:b/>
                <w:szCs w:val="20"/>
              </w:rPr>
            </w:pPr>
            <w:r>
              <w:rPr>
                <w:rFonts w:hint="eastAsia" w:ascii="宋体" w:hAnsi="宋体" w:cs="Times New Roman"/>
                <w:b/>
                <w:szCs w:val="20"/>
              </w:rPr>
              <w:t>序号</w:t>
            </w:r>
          </w:p>
        </w:tc>
        <w:tc>
          <w:tcPr>
            <w:tcW w:w="1220" w:type="dxa"/>
            <w:vMerge w:val="restart"/>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default" w:ascii="宋体" w:hAnsi="宋体" w:cs="Times New Roman"/>
                <w:b/>
                <w:szCs w:val="20"/>
              </w:rPr>
            </w:pPr>
            <w:r>
              <w:rPr>
                <w:rFonts w:hint="eastAsia" w:ascii="宋体" w:hAnsi="宋体" w:cs="Times New Roman"/>
                <w:b/>
                <w:szCs w:val="20"/>
              </w:rPr>
              <w:t>岗位</w:t>
            </w:r>
          </w:p>
        </w:tc>
        <w:tc>
          <w:tcPr>
            <w:tcW w:w="990" w:type="dxa"/>
            <w:vMerge w:val="restart"/>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default" w:ascii="宋体" w:hAnsi="宋体" w:cs="Times New Roman"/>
                <w:b/>
                <w:szCs w:val="20"/>
              </w:rPr>
            </w:pPr>
            <w:r>
              <w:rPr>
                <w:rFonts w:hint="eastAsia" w:ascii="宋体" w:hAnsi="宋体" w:cs="Times New Roman"/>
                <w:b/>
                <w:szCs w:val="20"/>
              </w:rPr>
              <w:t>人数（名）</w:t>
            </w:r>
          </w:p>
        </w:tc>
        <w:tc>
          <w:tcPr>
            <w:tcW w:w="5634" w:type="dxa"/>
            <w:vMerge w:val="restart"/>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default" w:ascii="宋体" w:hAnsi="宋体" w:cs="Times New Roman"/>
                <w:b/>
                <w:szCs w:val="20"/>
              </w:rPr>
            </w:pPr>
            <w:r>
              <w:rPr>
                <w:rFonts w:hint="eastAsia" w:ascii="宋体" w:hAnsi="宋体" w:cs="Times New Roman"/>
                <w:b/>
                <w:szCs w:val="2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425" w:type="dxa"/>
            <w:vMerge w:val="continue"/>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default" w:ascii="Times New Roman" w:hAnsi="Times New Roman" w:cs="Times New Roman"/>
                <w:szCs w:val="20"/>
              </w:rPr>
            </w:pPr>
          </w:p>
        </w:tc>
        <w:tc>
          <w:tcPr>
            <w:tcW w:w="1220" w:type="dxa"/>
            <w:vMerge w:val="continue"/>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default" w:ascii="Times New Roman" w:hAnsi="Times New Roman" w:cs="Times New Roman"/>
                <w:szCs w:val="20"/>
              </w:rPr>
            </w:pPr>
          </w:p>
        </w:tc>
        <w:tc>
          <w:tcPr>
            <w:tcW w:w="990" w:type="dxa"/>
            <w:vMerge w:val="continue"/>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default" w:ascii="Times New Roman" w:hAnsi="Times New Roman" w:cs="Times New Roman"/>
                <w:szCs w:val="20"/>
              </w:rPr>
            </w:pPr>
          </w:p>
        </w:tc>
        <w:tc>
          <w:tcPr>
            <w:tcW w:w="5634" w:type="dxa"/>
            <w:vMerge w:val="continue"/>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jc w:val="center"/>
        </w:trPr>
        <w:tc>
          <w:tcPr>
            <w:tcW w:w="425"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default" w:ascii="宋体" w:hAnsi="宋体" w:cs="Times New Roman"/>
                <w:b w:val="0"/>
                <w:bCs/>
                <w:szCs w:val="20"/>
              </w:rPr>
            </w:pPr>
            <w:r>
              <w:rPr>
                <w:rFonts w:hint="eastAsia" w:ascii="宋体" w:hAnsi="宋体" w:cs="Times New Roman"/>
                <w:b w:val="0"/>
                <w:bCs/>
                <w:szCs w:val="20"/>
              </w:rPr>
              <w:t>1</w:t>
            </w:r>
          </w:p>
        </w:tc>
        <w:tc>
          <w:tcPr>
            <w:tcW w:w="1220"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Times New Roman" w:hAnsi="Times New Roman" w:eastAsia="宋体" w:cs="Times New Roman"/>
                <w:szCs w:val="20"/>
                <w:lang w:val="en-US" w:eastAsia="zh-CN"/>
              </w:rPr>
            </w:pPr>
            <w:r>
              <w:rPr>
                <w:rFonts w:hint="eastAsia" w:ascii="宋体" w:hAnsi="宋体" w:eastAsia="宋体" w:cs="宋体"/>
                <w:b/>
                <w:bCs/>
                <w:strike w:val="0"/>
                <w:dstrike w:val="0"/>
                <w:sz w:val="24"/>
                <w:szCs w:val="24"/>
                <w:highlight w:val="none"/>
              </w:rPr>
              <w:t>▲</w:t>
            </w:r>
            <w:r>
              <w:rPr>
                <w:rFonts w:hint="eastAsia" w:ascii="Times New Roman" w:hAnsi="Times New Roman" w:cs="Times New Roman"/>
                <w:szCs w:val="20"/>
                <w:lang w:val="en-US" w:eastAsia="zh-CN"/>
              </w:rPr>
              <w:t>项目负责人</w:t>
            </w:r>
          </w:p>
        </w:tc>
        <w:tc>
          <w:tcPr>
            <w:tcW w:w="990" w:type="dxa"/>
            <w:noWrap w:val="0"/>
            <w:vAlign w:val="center"/>
          </w:tcPr>
          <w:p>
            <w:pPr>
              <w:pStyle w:val="18"/>
              <w:keepNext w:val="0"/>
              <w:keepLines w:val="0"/>
              <w:suppressLineNumbers w:val="0"/>
              <w:spacing w:before="0" w:beforeAutospacing="0" w:afterAutospacing="0"/>
              <w:ind w:left="0" w:leftChars="0" w:right="0"/>
              <w:jc w:val="center"/>
              <w:rPr>
                <w:rFonts w:hint="default" w:ascii="Arial" w:hAnsi="Arial" w:cs="Arial"/>
                <w:b/>
                <w:szCs w:val="21"/>
              </w:rPr>
            </w:pPr>
            <w:r>
              <w:rPr>
                <w:rFonts w:hint="eastAsia" w:ascii="Arial" w:hAnsi="Arial" w:cs="Arial"/>
                <w:b w:val="0"/>
                <w:bCs/>
                <w:szCs w:val="21"/>
                <w:lang w:val="en-US" w:eastAsia="zh-CN"/>
              </w:rPr>
              <w:t>1</w:t>
            </w:r>
          </w:p>
        </w:tc>
        <w:tc>
          <w:tcPr>
            <w:tcW w:w="5634"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124" w:lineRule="atLeast"/>
              <w:ind w:left="17" w:leftChars="8" w:right="0" w:firstLine="411" w:firstLineChars="195"/>
              <w:textAlignment w:val="auto"/>
              <w:outlineLvl w:val="9"/>
              <w:rPr>
                <w:rFonts w:hint="eastAsia" w:ascii="Times New Roman" w:hAnsi="Times New Roman" w:eastAsia="宋体" w:cs="Times New Roman"/>
                <w:szCs w:val="20"/>
                <w:lang w:eastAsia="zh-CN"/>
              </w:rPr>
            </w:pPr>
            <w:r>
              <w:rPr>
                <w:rFonts w:hint="eastAsia" w:ascii="宋体" w:hAnsi="宋体" w:cs="Times New Roman"/>
                <w:b/>
                <w:szCs w:val="21"/>
              </w:rPr>
              <w:t>大专以上学历，具有</w:t>
            </w:r>
            <w:r>
              <w:rPr>
                <w:rFonts w:hint="eastAsia" w:ascii="宋体" w:hAnsi="宋体" w:cs="Times New Roman"/>
                <w:b/>
                <w:szCs w:val="21"/>
                <w:lang w:val="en-US" w:eastAsia="zh-CN"/>
              </w:rPr>
              <w:t>2018年1月1日以来不少于</w:t>
            </w:r>
            <w:r>
              <w:rPr>
                <w:rFonts w:hint="eastAsia" w:ascii="宋体" w:hAnsi="宋体" w:cs="Times New Roman"/>
                <w:b/>
                <w:szCs w:val="21"/>
                <w:highlight w:val="none"/>
                <w:lang w:val="en-US" w:eastAsia="zh-CN"/>
              </w:rPr>
              <w:t>三</w:t>
            </w:r>
            <w:r>
              <w:rPr>
                <w:rFonts w:hint="eastAsia" w:ascii="宋体" w:hAnsi="宋体" w:cs="Times New Roman"/>
                <w:b/>
                <w:szCs w:val="21"/>
                <w:lang w:val="en-US" w:eastAsia="zh-CN"/>
              </w:rPr>
              <w:t>年的</w:t>
            </w:r>
            <w:r>
              <w:rPr>
                <w:rFonts w:hint="eastAsia" w:ascii="宋体" w:hAnsi="宋体" w:cs="宋体"/>
                <w:b/>
                <w:bCs/>
                <w:color w:val="auto"/>
                <w:szCs w:val="21"/>
                <w:highlight w:val="none"/>
                <w:lang w:eastAsia="zh-CN"/>
              </w:rPr>
              <w:t>行政</w:t>
            </w:r>
            <w:r>
              <w:rPr>
                <w:rFonts w:hint="eastAsia" w:ascii="宋体" w:hAnsi="宋体" w:cs="Times New Roman"/>
                <w:b/>
                <w:szCs w:val="21"/>
                <w:highlight w:val="none"/>
                <w:lang w:eastAsia="zh-CN"/>
              </w:rPr>
              <w:t>办公楼</w:t>
            </w:r>
            <w:r>
              <w:rPr>
                <w:rFonts w:hint="eastAsia" w:ascii="宋体" w:hAnsi="宋体" w:cs="Times New Roman"/>
                <w:b/>
                <w:szCs w:val="21"/>
                <w:highlight w:val="none"/>
                <w:lang w:val="en-US" w:eastAsia="zh-CN"/>
              </w:rPr>
              <w:t>类</w:t>
            </w:r>
            <w:r>
              <w:rPr>
                <w:rFonts w:hint="eastAsia" w:ascii="宋体" w:hAnsi="宋体" w:cs="Times New Roman"/>
                <w:b/>
                <w:szCs w:val="21"/>
              </w:rPr>
              <w:t>物业管理经验。</w:t>
            </w:r>
            <w:r>
              <w:rPr>
                <w:rFonts w:hint="eastAsia" w:ascii="Times New Roman" w:hAnsi="Times New Roman" w:cs="Times New Roman"/>
                <w:szCs w:val="22"/>
                <w:highlight w:val="none"/>
                <w:u w:val="single"/>
                <w:lang w:val="en-US" w:eastAsia="zh-CN"/>
              </w:rPr>
              <w:t>投标文件中须提供身份证、学历证明、投标人</w:t>
            </w:r>
            <w:r>
              <w:rPr>
                <w:rFonts w:hint="eastAsia" w:ascii="宋体" w:hAnsi="宋体" w:eastAsia="宋体" w:cs="宋体"/>
                <w:b w:val="0"/>
                <w:bCs w:val="0"/>
                <w:i w:val="0"/>
                <w:iCs w:val="0"/>
                <w:color w:val="auto"/>
                <w:kern w:val="0"/>
                <w:sz w:val="21"/>
                <w:szCs w:val="21"/>
                <w:u w:val="single"/>
                <w:lang w:val="en-US" w:eastAsia="zh-CN" w:bidi="ar"/>
              </w:rPr>
              <w:t>为其缴纳的2023年5、6、7月份的社保缴纳证明（投标人注册时间未满三个月的，提供7月份的社保缴纳证明,投标人注册时间未满一个月的，提供社会保险参保证明）、</w:t>
            </w:r>
            <w:r>
              <w:rPr>
                <w:rFonts w:hint="eastAsia" w:ascii="Times New Roman" w:hAnsi="Times New Roman" w:cs="Times New Roman"/>
                <w:szCs w:val="22"/>
                <w:highlight w:val="none"/>
                <w:u w:val="single"/>
                <w:lang w:val="en-US" w:eastAsia="zh-CN"/>
              </w:rPr>
              <w:t>经验证明材料（提供劳动合同或业主方出具的证明材料或其他可以证明其管理经验的资料，须明确其就职岗位为项目负责人），以上资料均提供复印件并进行电子签章</w:t>
            </w:r>
            <w:r>
              <w:rPr>
                <w:rFonts w:hint="eastAsia" w:ascii="Times New Roman" w:hAnsi="Times New Roman" w:eastAsia="宋体" w:cs="Times New Roman"/>
                <w:b w:val="0"/>
                <w:bCs w:val="0"/>
                <w:spacing w:val="12"/>
                <w:szCs w:val="21"/>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425"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default" w:ascii="宋体" w:hAnsi="宋体" w:cs="Times New Roman"/>
                <w:b w:val="0"/>
                <w:bCs/>
                <w:color w:val="auto"/>
                <w:szCs w:val="20"/>
                <w:highlight w:val="none"/>
              </w:rPr>
            </w:pPr>
            <w:r>
              <w:rPr>
                <w:rFonts w:hint="eastAsia" w:ascii="宋体" w:hAnsi="宋体" w:cs="Times New Roman"/>
                <w:b w:val="0"/>
                <w:bCs/>
                <w:color w:val="auto"/>
                <w:szCs w:val="20"/>
                <w:highlight w:val="none"/>
              </w:rPr>
              <w:t>2</w:t>
            </w:r>
          </w:p>
        </w:tc>
        <w:tc>
          <w:tcPr>
            <w:tcW w:w="1220" w:type="dxa"/>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s="Times New Roman"/>
                <w:bCs/>
                <w:color w:val="auto"/>
                <w:szCs w:val="21"/>
              </w:rPr>
            </w:pPr>
            <w:r>
              <w:rPr>
                <w:rFonts w:hint="eastAsia" w:ascii="宋体" w:hAnsi="宋体" w:eastAsia="宋体" w:cs="宋体"/>
                <w:b/>
                <w:bCs/>
                <w:strike w:val="0"/>
                <w:dstrike w:val="0"/>
                <w:color w:val="auto"/>
                <w:sz w:val="24"/>
                <w:szCs w:val="24"/>
                <w:highlight w:val="none"/>
              </w:rPr>
              <w:t>▲</w:t>
            </w:r>
            <w:r>
              <w:rPr>
                <w:rFonts w:hint="eastAsia" w:ascii="宋体" w:hAnsi="宋体" w:cs="Times New Roman"/>
                <w:bCs/>
                <w:color w:val="auto"/>
                <w:szCs w:val="21"/>
              </w:rPr>
              <w:t>保安主管</w:t>
            </w:r>
          </w:p>
          <w:p>
            <w:pPr>
              <w:keepNext w:val="0"/>
              <w:keepLines w:val="0"/>
              <w:widowControl/>
              <w:suppressLineNumbers w:val="0"/>
              <w:snapToGrid w:val="0"/>
              <w:spacing w:before="0" w:beforeAutospacing="0" w:after="0" w:afterAutospacing="0" w:line="124" w:lineRule="atLeast"/>
              <w:ind w:left="0" w:right="0" w:firstLine="210" w:firstLineChars="100"/>
              <w:rPr>
                <w:rFonts w:hint="default" w:ascii="Times New Roman" w:hAnsi="Times New Roman" w:cs="Times New Roman"/>
                <w:color w:val="auto"/>
                <w:szCs w:val="22"/>
                <w:highlight w:val="none"/>
              </w:rPr>
            </w:pPr>
          </w:p>
        </w:tc>
        <w:tc>
          <w:tcPr>
            <w:tcW w:w="990"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default" w:ascii="Arial" w:hAnsi="Arial" w:eastAsia="宋体" w:cs="Arial"/>
                <w:color w:val="C00000"/>
                <w:szCs w:val="22"/>
                <w:highlight w:val="none"/>
                <w:lang w:val="en-US" w:eastAsia="zh-CN"/>
              </w:rPr>
            </w:pPr>
            <w:r>
              <w:rPr>
                <w:rFonts w:hint="eastAsia" w:ascii="Arial" w:hAnsi="Arial" w:cs="Arial"/>
                <w:color w:val="auto"/>
                <w:szCs w:val="22"/>
                <w:highlight w:val="none"/>
                <w:lang w:val="en-US" w:eastAsia="zh-CN"/>
              </w:rPr>
              <w:t>1</w:t>
            </w:r>
          </w:p>
        </w:tc>
        <w:tc>
          <w:tcPr>
            <w:tcW w:w="5634" w:type="dxa"/>
            <w:noWrap w:val="0"/>
            <w:vAlign w:val="center"/>
          </w:tcPr>
          <w:p>
            <w:pPr>
              <w:keepNext w:val="0"/>
              <w:keepLines w:val="0"/>
              <w:widowControl/>
              <w:suppressLineNumbers w:val="0"/>
              <w:snapToGrid w:val="0"/>
              <w:spacing w:before="0" w:beforeAutospacing="0" w:after="0" w:afterAutospacing="0" w:line="124" w:lineRule="atLeast"/>
              <w:ind w:left="0" w:right="0" w:firstLine="422" w:firstLineChars="200"/>
              <w:jc w:val="both"/>
              <w:rPr>
                <w:rFonts w:hint="eastAsia" w:ascii="Times New Roman" w:hAnsi="Times New Roman" w:eastAsia="宋体" w:cs="Times New Roman"/>
                <w:color w:val="auto"/>
                <w:szCs w:val="20"/>
                <w:highlight w:val="none"/>
                <w:lang w:val="en-US" w:eastAsia="zh-CN"/>
              </w:rPr>
            </w:pPr>
            <w:r>
              <w:rPr>
                <w:rFonts w:hint="eastAsia" w:ascii="宋体" w:hAnsi="宋体" w:cs="Times New Roman"/>
                <w:b/>
                <w:szCs w:val="21"/>
                <w:highlight w:val="none"/>
              </w:rPr>
              <w:t>大专以上学历，</w:t>
            </w:r>
            <w:r>
              <w:rPr>
                <w:rFonts w:hint="eastAsia" w:ascii="Times New Roman" w:hAnsi="Times New Roman" w:cs="Times New Roman"/>
                <w:b/>
                <w:bCs/>
                <w:color w:val="auto"/>
                <w:szCs w:val="20"/>
                <w:highlight w:val="none"/>
              </w:rPr>
              <w:t>持保安证上岗</w:t>
            </w:r>
            <w:r>
              <w:rPr>
                <w:rFonts w:hint="eastAsia" w:ascii="Times New Roman" w:hAnsi="Times New Roman" w:cs="Times New Roman"/>
                <w:b/>
                <w:bCs/>
                <w:color w:val="auto"/>
                <w:szCs w:val="20"/>
                <w:highlight w:val="none"/>
                <w:lang w:eastAsia="zh-CN"/>
              </w:rPr>
              <w:t>，</w:t>
            </w:r>
            <w:r>
              <w:rPr>
                <w:rFonts w:hint="eastAsia" w:ascii="Times New Roman" w:hAnsi="Times New Roman" w:cs="Times New Roman"/>
                <w:b/>
                <w:bCs/>
                <w:color w:val="auto"/>
                <w:szCs w:val="20"/>
                <w:highlight w:val="none"/>
                <w:lang w:val="en-US" w:eastAsia="zh-CN"/>
              </w:rPr>
              <w:t>本项目投标截止时间前一个月内由公安部门出具的</w:t>
            </w:r>
            <w:r>
              <w:rPr>
                <w:rFonts w:hint="eastAsia" w:ascii="宋体" w:hAnsi="宋体" w:cs="Times New Roman"/>
                <w:b/>
                <w:bCs w:val="0"/>
                <w:color w:val="000000"/>
                <w:szCs w:val="21"/>
                <w:highlight w:val="none"/>
                <w:lang w:eastAsia="zh-CN"/>
              </w:rPr>
              <w:t>无犯罪记录证明</w:t>
            </w:r>
            <w:r>
              <w:rPr>
                <w:rFonts w:hint="eastAsia" w:ascii="Times New Roman" w:hAnsi="Times New Roman" w:cs="Times New Roman"/>
                <w:b/>
                <w:bCs/>
                <w:color w:val="auto"/>
                <w:szCs w:val="20"/>
                <w:highlight w:val="none"/>
                <w:lang w:eastAsia="zh-CN"/>
              </w:rPr>
              <w:t>，</w:t>
            </w:r>
            <w:r>
              <w:rPr>
                <w:rFonts w:hint="eastAsia" w:ascii="宋体" w:hAnsi="宋体" w:cs="Times New Roman"/>
                <w:b/>
                <w:color w:val="auto"/>
                <w:szCs w:val="21"/>
                <w:highlight w:val="none"/>
              </w:rPr>
              <w:t>具有</w:t>
            </w:r>
            <w:r>
              <w:rPr>
                <w:rFonts w:hint="eastAsia" w:ascii="宋体" w:hAnsi="宋体" w:cs="Times New Roman"/>
                <w:b/>
                <w:color w:val="auto"/>
                <w:szCs w:val="21"/>
                <w:highlight w:val="none"/>
                <w:lang w:val="en-US" w:eastAsia="zh-CN"/>
              </w:rPr>
              <w:t>2018年1月1日以来不少于三年的</w:t>
            </w:r>
            <w:r>
              <w:rPr>
                <w:rFonts w:hint="eastAsia" w:ascii="宋体" w:hAnsi="宋体" w:cs="宋体"/>
                <w:b/>
                <w:bCs/>
                <w:color w:val="auto"/>
                <w:szCs w:val="21"/>
                <w:highlight w:val="none"/>
                <w:lang w:eastAsia="zh-CN"/>
              </w:rPr>
              <w:t>行政</w:t>
            </w:r>
            <w:r>
              <w:rPr>
                <w:rFonts w:hint="eastAsia" w:ascii="宋体" w:hAnsi="宋体" w:cs="Times New Roman"/>
                <w:b/>
                <w:color w:val="auto"/>
                <w:szCs w:val="21"/>
                <w:highlight w:val="none"/>
                <w:lang w:eastAsia="zh-CN"/>
              </w:rPr>
              <w:t>办公楼</w:t>
            </w:r>
            <w:r>
              <w:rPr>
                <w:rFonts w:hint="eastAsia" w:ascii="宋体" w:hAnsi="宋体" w:cs="Times New Roman"/>
                <w:b/>
                <w:color w:val="auto"/>
                <w:szCs w:val="21"/>
                <w:highlight w:val="none"/>
                <w:lang w:val="en-US" w:eastAsia="zh-CN"/>
              </w:rPr>
              <w:t>类</w:t>
            </w:r>
            <w:r>
              <w:rPr>
                <w:rFonts w:hint="eastAsia" w:ascii="宋体" w:hAnsi="宋体" w:cs="Times New Roman"/>
                <w:b/>
                <w:color w:val="auto"/>
                <w:szCs w:val="21"/>
                <w:highlight w:val="none"/>
              </w:rPr>
              <w:t>物业</w:t>
            </w:r>
            <w:r>
              <w:rPr>
                <w:rFonts w:hint="eastAsia" w:ascii="宋体" w:hAnsi="宋体" w:cs="Times New Roman"/>
                <w:b/>
                <w:color w:val="auto"/>
                <w:szCs w:val="21"/>
                <w:highlight w:val="none"/>
                <w:lang w:val="en-US" w:eastAsia="zh-CN"/>
              </w:rPr>
              <w:t>保安主管</w:t>
            </w:r>
            <w:r>
              <w:rPr>
                <w:rFonts w:hint="eastAsia" w:ascii="宋体" w:hAnsi="宋体" w:cs="Times New Roman"/>
                <w:b/>
                <w:color w:val="auto"/>
                <w:szCs w:val="21"/>
                <w:highlight w:val="none"/>
              </w:rPr>
              <w:t>经验。</w:t>
            </w:r>
            <w:r>
              <w:rPr>
                <w:rFonts w:hint="eastAsia" w:ascii="Times New Roman" w:hAnsi="Times New Roman" w:cs="Times New Roman"/>
                <w:color w:val="auto"/>
                <w:szCs w:val="22"/>
                <w:highlight w:val="none"/>
                <w:u w:val="single"/>
                <w:lang w:val="en-US" w:eastAsia="zh-CN"/>
              </w:rPr>
              <w:t>投标文件中须提供身份证、学历证</w:t>
            </w:r>
            <w:r>
              <w:rPr>
                <w:rFonts w:hint="eastAsia" w:ascii="Times New Roman" w:hAnsi="Times New Roman" w:cs="Times New Roman"/>
                <w:szCs w:val="22"/>
                <w:highlight w:val="none"/>
                <w:u w:val="single"/>
                <w:lang w:val="en-US" w:eastAsia="zh-CN"/>
              </w:rPr>
              <w:t>明</w:t>
            </w:r>
            <w:r>
              <w:rPr>
                <w:rFonts w:hint="eastAsia" w:ascii="Times New Roman" w:hAnsi="Times New Roman" w:cs="Times New Roman"/>
                <w:color w:val="auto"/>
                <w:szCs w:val="22"/>
                <w:highlight w:val="none"/>
                <w:u w:val="single"/>
                <w:lang w:val="en-US" w:eastAsia="zh-CN"/>
              </w:rPr>
              <w:t>、保安上岗证、本项目投标截止时间前一个月内公安部门出具的无犯罪记录证明、经验证明材料（提供劳动合同或业主方出具的证明材料或其他可以证明其管理经验的资料，须明确其就职岗位为保安主管或类似岗位），以上资料均提供复印件并进行电子签章</w:t>
            </w:r>
            <w:r>
              <w:rPr>
                <w:rFonts w:hint="eastAsia" w:ascii="Times New Roman" w:hAnsi="Times New Roman" w:eastAsia="宋体" w:cs="Times New Roman"/>
                <w:b w:val="0"/>
                <w:bCs w:val="0"/>
                <w:color w:val="auto"/>
                <w:spacing w:val="12"/>
                <w:szCs w:val="21"/>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425"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宋体" w:hAnsi="宋体" w:eastAsia="宋体" w:cs="Times New Roman"/>
                <w:b w:val="0"/>
                <w:bCs/>
                <w:color w:val="auto"/>
                <w:szCs w:val="22"/>
                <w:highlight w:val="none"/>
                <w:lang w:val="en-US" w:eastAsia="zh-CN"/>
              </w:rPr>
            </w:pPr>
            <w:r>
              <w:rPr>
                <w:rFonts w:hint="eastAsia" w:ascii="宋体" w:hAnsi="宋体" w:cs="Times New Roman"/>
                <w:b w:val="0"/>
                <w:bCs/>
                <w:color w:val="auto"/>
                <w:szCs w:val="22"/>
                <w:highlight w:val="none"/>
                <w:lang w:val="en-US" w:eastAsia="zh-CN"/>
              </w:rPr>
              <w:t>3</w:t>
            </w:r>
          </w:p>
        </w:tc>
        <w:tc>
          <w:tcPr>
            <w:tcW w:w="1220" w:type="dxa"/>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s="Times New Roman"/>
                <w:bCs/>
                <w:color w:val="auto"/>
                <w:szCs w:val="21"/>
              </w:rPr>
            </w:pPr>
            <w:r>
              <w:rPr>
                <w:rFonts w:hint="eastAsia" w:ascii="宋体" w:hAnsi="宋体" w:eastAsia="宋体" w:cs="宋体"/>
                <w:b/>
                <w:bCs/>
                <w:strike w:val="0"/>
                <w:dstrike w:val="0"/>
                <w:color w:val="auto"/>
                <w:sz w:val="24"/>
                <w:szCs w:val="24"/>
                <w:highlight w:val="none"/>
              </w:rPr>
              <w:t>▲</w:t>
            </w:r>
            <w:r>
              <w:rPr>
                <w:rFonts w:hint="eastAsia" w:ascii="宋体" w:hAnsi="宋体" w:cs="Times New Roman"/>
                <w:bCs/>
                <w:color w:val="auto"/>
                <w:szCs w:val="21"/>
              </w:rPr>
              <w:t>设备主管</w:t>
            </w:r>
          </w:p>
          <w:p>
            <w:pPr>
              <w:keepNext w:val="0"/>
              <w:keepLines w:val="0"/>
              <w:widowControl/>
              <w:suppressLineNumbers w:val="0"/>
              <w:snapToGrid w:val="0"/>
              <w:spacing w:before="0" w:beforeAutospacing="0" w:after="0" w:afterAutospacing="0" w:line="124" w:lineRule="atLeast"/>
              <w:ind w:left="0" w:right="0"/>
              <w:jc w:val="center"/>
              <w:rPr>
                <w:rFonts w:hint="eastAsia" w:ascii="宋体" w:hAnsi="宋体" w:cs="Times New Roman"/>
                <w:b w:val="0"/>
                <w:bCs/>
                <w:color w:val="auto"/>
                <w:szCs w:val="22"/>
                <w:highlight w:val="none"/>
                <w:lang w:val="en-US" w:eastAsia="zh-CN"/>
              </w:rPr>
            </w:pPr>
          </w:p>
        </w:tc>
        <w:tc>
          <w:tcPr>
            <w:tcW w:w="990"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default" w:ascii="Arial" w:hAnsi="Arial" w:cs="Arial"/>
                <w:b w:val="0"/>
                <w:bCs/>
                <w:color w:val="auto"/>
                <w:szCs w:val="22"/>
                <w:highlight w:val="none"/>
                <w:lang w:val="en-US" w:eastAsia="zh-CN"/>
              </w:rPr>
            </w:pPr>
            <w:r>
              <w:rPr>
                <w:rFonts w:hint="eastAsia" w:ascii="Arial" w:hAnsi="Arial" w:cs="Arial"/>
                <w:b w:val="0"/>
                <w:bCs/>
                <w:color w:val="auto"/>
                <w:szCs w:val="22"/>
                <w:highlight w:val="none"/>
                <w:lang w:val="en-US" w:eastAsia="zh-CN"/>
              </w:rPr>
              <w:t>1</w:t>
            </w:r>
          </w:p>
        </w:tc>
        <w:tc>
          <w:tcPr>
            <w:tcW w:w="5634" w:type="dxa"/>
            <w:noWrap w:val="0"/>
            <w:vAlign w:val="center"/>
          </w:tcPr>
          <w:p>
            <w:pPr>
              <w:keepNext w:val="0"/>
              <w:keepLines w:val="0"/>
              <w:widowControl/>
              <w:suppressLineNumbers w:val="0"/>
              <w:spacing w:before="0" w:beforeAutospacing="0" w:after="0" w:afterAutospacing="0"/>
              <w:ind w:left="0" w:right="0" w:firstLine="422" w:firstLineChars="200"/>
              <w:jc w:val="left"/>
              <w:rPr>
                <w:rFonts w:hint="eastAsia" w:ascii="宋体" w:hAnsi="宋体" w:eastAsia="宋体" w:cs="Times New Roman"/>
                <w:b w:val="0"/>
                <w:bCs/>
                <w:color w:val="auto"/>
                <w:szCs w:val="22"/>
                <w:highlight w:val="none"/>
                <w:lang w:val="en-US" w:eastAsia="zh-CN"/>
              </w:rPr>
            </w:pPr>
            <w:r>
              <w:rPr>
                <w:rFonts w:hint="eastAsia" w:ascii="宋体" w:hAnsi="宋体" w:cs="Times New Roman"/>
                <w:b/>
                <w:szCs w:val="21"/>
                <w:highlight w:val="none"/>
              </w:rPr>
              <w:t>大专以上学历</w:t>
            </w:r>
            <w:r>
              <w:rPr>
                <w:rFonts w:hint="eastAsia" w:ascii="宋体" w:hAnsi="宋体" w:cs="Times New Roman"/>
                <w:b/>
                <w:bCs w:val="0"/>
                <w:szCs w:val="21"/>
                <w:highlight w:val="none"/>
              </w:rPr>
              <w:t>，</w:t>
            </w:r>
            <w:r>
              <w:rPr>
                <w:rFonts w:hint="eastAsia" w:ascii="宋体" w:hAnsi="宋体" w:cs="Times New Roman"/>
                <w:b/>
                <w:bCs w:val="0"/>
                <w:color w:val="auto"/>
                <w:szCs w:val="21"/>
                <w:highlight w:val="none"/>
                <w:lang w:val="en-US" w:eastAsia="zh-CN"/>
              </w:rPr>
              <w:t>持</w:t>
            </w:r>
            <w:r>
              <w:rPr>
                <w:rFonts w:hint="eastAsia" w:ascii="宋体" w:hAnsi="宋体" w:eastAsia="宋体" w:cs="Times New Roman"/>
                <w:b/>
                <w:bCs w:val="0"/>
                <w:color w:val="auto"/>
                <w:szCs w:val="21"/>
                <w:highlight w:val="none"/>
                <w:lang w:val="en-US" w:eastAsia="zh-CN"/>
              </w:rPr>
              <w:t>高压电工作业证</w:t>
            </w:r>
            <w:r>
              <w:rPr>
                <w:rFonts w:hint="eastAsia" w:ascii="宋体" w:hAnsi="宋体" w:cs="Times New Roman"/>
                <w:b/>
                <w:bCs w:val="0"/>
                <w:color w:val="auto"/>
                <w:szCs w:val="21"/>
                <w:highlight w:val="none"/>
                <w:lang w:val="en-US" w:eastAsia="zh-CN"/>
              </w:rPr>
              <w:t>。</w:t>
            </w:r>
            <w:r>
              <w:rPr>
                <w:rFonts w:hint="eastAsia" w:ascii="宋体" w:hAnsi="宋体" w:cs="Times New Roman"/>
                <w:b/>
                <w:bCs w:val="0"/>
                <w:color w:val="auto"/>
                <w:szCs w:val="21"/>
                <w:highlight w:val="none"/>
              </w:rPr>
              <w:t>具有</w:t>
            </w:r>
            <w:r>
              <w:rPr>
                <w:rFonts w:hint="eastAsia" w:ascii="宋体" w:hAnsi="宋体" w:cs="Times New Roman"/>
                <w:b/>
                <w:bCs w:val="0"/>
                <w:color w:val="auto"/>
                <w:szCs w:val="21"/>
                <w:highlight w:val="none"/>
                <w:lang w:val="en-US" w:eastAsia="zh-CN"/>
              </w:rPr>
              <w:t>2018年1月1日以来不少于三年的</w:t>
            </w:r>
            <w:r>
              <w:rPr>
                <w:rFonts w:hint="eastAsia" w:ascii="宋体" w:hAnsi="宋体" w:cs="宋体"/>
                <w:b/>
                <w:bCs w:val="0"/>
                <w:color w:val="auto"/>
                <w:szCs w:val="21"/>
                <w:highlight w:val="none"/>
                <w:lang w:eastAsia="zh-CN"/>
              </w:rPr>
              <w:t>行政</w:t>
            </w:r>
            <w:r>
              <w:rPr>
                <w:rFonts w:hint="eastAsia" w:ascii="宋体" w:hAnsi="宋体" w:cs="Times New Roman"/>
                <w:b/>
                <w:bCs w:val="0"/>
                <w:color w:val="auto"/>
                <w:szCs w:val="21"/>
                <w:highlight w:val="none"/>
                <w:lang w:eastAsia="zh-CN"/>
              </w:rPr>
              <w:t>办公楼</w:t>
            </w:r>
            <w:r>
              <w:rPr>
                <w:rFonts w:hint="eastAsia" w:ascii="宋体" w:hAnsi="宋体" w:cs="Times New Roman"/>
                <w:b/>
                <w:bCs w:val="0"/>
                <w:color w:val="auto"/>
                <w:szCs w:val="21"/>
                <w:highlight w:val="none"/>
                <w:lang w:val="en-US" w:eastAsia="zh-CN"/>
              </w:rPr>
              <w:t>类</w:t>
            </w:r>
            <w:r>
              <w:rPr>
                <w:rFonts w:hint="eastAsia" w:ascii="宋体" w:hAnsi="宋体" w:cs="Times New Roman"/>
                <w:b/>
                <w:bCs w:val="0"/>
                <w:color w:val="auto"/>
                <w:szCs w:val="21"/>
                <w:highlight w:val="none"/>
              </w:rPr>
              <w:t>物业</w:t>
            </w:r>
            <w:r>
              <w:rPr>
                <w:rFonts w:hint="eastAsia" w:ascii="宋体" w:hAnsi="宋体" w:cs="Times New Roman"/>
                <w:b/>
                <w:bCs w:val="0"/>
                <w:color w:val="auto"/>
                <w:szCs w:val="21"/>
                <w:highlight w:val="none"/>
                <w:lang w:val="en-US" w:eastAsia="zh-CN"/>
              </w:rPr>
              <w:t>设备主管</w:t>
            </w:r>
            <w:r>
              <w:rPr>
                <w:rFonts w:hint="eastAsia" w:ascii="宋体" w:hAnsi="宋体" w:cs="Times New Roman"/>
                <w:b/>
                <w:bCs w:val="0"/>
                <w:color w:val="auto"/>
                <w:szCs w:val="21"/>
                <w:highlight w:val="none"/>
              </w:rPr>
              <w:t>经验。</w:t>
            </w:r>
            <w:r>
              <w:rPr>
                <w:rFonts w:hint="eastAsia" w:ascii="Times New Roman" w:hAnsi="Times New Roman" w:cs="Times New Roman"/>
                <w:color w:val="auto"/>
                <w:szCs w:val="22"/>
                <w:highlight w:val="none"/>
                <w:u w:val="single"/>
                <w:lang w:val="en-US" w:eastAsia="zh-CN"/>
              </w:rPr>
              <w:t>投标文件中须提供身份证、学历证</w:t>
            </w:r>
            <w:r>
              <w:rPr>
                <w:rFonts w:hint="eastAsia" w:ascii="Times New Roman" w:hAnsi="Times New Roman" w:cs="Times New Roman"/>
                <w:szCs w:val="22"/>
                <w:highlight w:val="none"/>
                <w:u w:val="single"/>
                <w:lang w:val="en-US" w:eastAsia="zh-CN"/>
              </w:rPr>
              <w:t>明</w:t>
            </w:r>
            <w:r>
              <w:rPr>
                <w:rFonts w:hint="eastAsia" w:ascii="Times New Roman" w:hAnsi="Times New Roman" w:cs="Times New Roman"/>
                <w:color w:val="auto"/>
                <w:szCs w:val="22"/>
                <w:highlight w:val="none"/>
                <w:u w:val="single"/>
                <w:lang w:val="en-US" w:eastAsia="zh-CN"/>
              </w:rPr>
              <w:t>、高压电工作业证、经验证明材料（提供劳动合同或业主方出具的证明材料或其他可以证明其管理经验的资料，须明确其就职岗位为设备主管或类似岗位），以上资料均提供复印件并进行电子签章</w:t>
            </w:r>
            <w:r>
              <w:rPr>
                <w:rFonts w:hint="eastAsia" w:ascii="Times New Roman" w:hAnsi="Times New Roman" w:eastAsia="宋体" w:cs="Times New Roman"/>
                <w:b w:val="0"/>
                <w:bCs w:val="0"/>
                <w:color w:val="auto"/>
                <w:spacing w:val="12"/>
                <w:szCs w:val="21"/>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425"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宋体" w:hAnsi="宋体" w:cs="Times New Roman"/>
                <w:b w:val="0"/>
                <w:bCs/>
                <w:color w:val="auto"/>
                <w:szCs w:val="22"/>
                <w:highlight w:val="none"/>
                <w:lang w:val="en-US" w:eastAsia="zh-CN"/>
              </w:rPr>
            </w:pPr>
            <w:r>
              <w:rPr>
                <w:rFonts w:hint="eastAsia" w:ascii="宋体" w:hAnsi="宋体" w:cs="Times New Roman"/>
                <w:b w:val="0"/>
                <w:bCs/>
                <w:color w:val="auto"/>
                <w:szCs w:val="22"/>
                <w:highlight w:val="none"/>
                <w:lang w:val="en-US" w:eastAsia="zh-CN"/>
              </w:rPr>
              <w:t>4</w:t>
            </w:r>
          </w:p>
        </w:tc>
        <w:tc>
          <w:tcPr>
            <w:tcW w:w="1220" w:type="dxa"/>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s="Times New Roman"/>
                <w:bCs/>
                <w:color w:val="auto"/>
                <w:szCs w:val="21"/>
                <w:highlight w:val="none"/>
              </w:rPr>
            </w:pPr>
            <w:r>
              <w:rPr>
                <w:rFonts w:hint="eastAsia" w:ascii="宋体" w:hAnsi="宋体" w:eastAsia="宋体" w:cs="宋体"/>
                <w:b/>
                <w:bCs/>
                <w:strike w:val="0"/>
                <w:dstrike w:val="0"/>
                <w:color w:val="auto"/>
                <w:sz w:val="24"/>
                <w:szCs w:val="24"/>
                <w:highlight w:val="none"/>
              </w:rPr>
              <w:t>▲</w:t>
            </w:r>
            <w:r>
              <w:rPr>
                <w:rFonts w:hint="eastAsia" w:ascii="宋体" w:hAnsi="宋体" w:cs="Times New Roman"/>
                <w:bCs/>
                <w:color w:val="auto"/>
                <w:szCs w:val="21"/>
                <w:highlight w:val="none"/>
              </w:rPr>
              <w:t>保洁主管</w:t>
            </w:r>
          </w:p>
          <w:p>
            <w:pPr>
              <w:keepNext w:val="0"/>
              <w:keepLines w:val="0"/>
              <w:widowControl/>
              <w:suppressLineNumbers w:val="0"/>
              <w:snapToGrid w:val="0"/>
              <w:spacing w:before="0" w:beforeAutospacing="0" w:after="0" w:afterAutospacing="0" w:line="124" w:lineRule="atLeast"/>
              <w:ind w:left="0" w:right="0"/>
              <w:jc w:val="center"/>
              <w:rPr>
                <w:rFonts w:hint="eastAsia" w:ascii="宋体" w:hAnsi="宋体" w:cs="Times New Roman"/>
                <w:b w:val="0"/>
                <w:bCs/>
                <w:color w:val="auto"/>
                <w:szCs w:val="22"/>
                <w:highlight w:val="none"/>
                <w:lang w:val="en-US" w:eastAsia="zh-CN"/>
              </w:rPr>
            </w:pPr>
          </w:p>
        </w:tc>
        <w:tc>
          <w:tcPr>
            <w:tcW w:w="990"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Arial" w:hAnsi="Arial" w:cs="Arial"/>
                <w:b w:val="0"/>
                <w:bCs/>
                <w:color w:val="auto"/>
                <w:szCs w:val="22"/>
                <w:highlight w:val="none"/>
                <w:lang w:val="en-US" w:eastAsia="zh-CN"/>
              </w:rPr>
            </w:pPr>
            <w:r>
              <w:rPr>
                <w:rFonts w:hint="eastAsia" w:ascii="Arial" w:hAnsi="Arial" w:cs="Arial"/>
                <w:b w:val="0"/>
                <w:bCs/>
                <w:color w:val="auto"/>
                <w:szCs w:val="22"/>
                <w:highlight w:val="none"/>
                <w:lang w:val="en-US" w:eastAsia="zh-CN"/>
              </w:rPr>
              <w:t>1</w:t>
            </w:r>
          </w:p>
        </w:tc>
        <w:tc>
          <w:tcPr>
            <w:tcW w:w="5634" w:type="dxa"/>
            <w:noWrap w:val="0"/>
            <w:vAlign w:val="center"/>
          </w:tcPr>
          <w:p>
            <w:pPr>
              <w:keepNext w:val="0"/>
              <w:keepLines w:val="0"/>
              <w:widowControl/>
              <w:suppressLineNumbers w:val="0"/>
              <w:snapToGrid w:val="0"/>
              <w:spacing w:before="0" w:beforeAutospacing="0" w:after="0" w:afterAutospacing="0" w:line="124" w:lineRule="atLeast"/>
              <w:ind w:left="0" w:right="0" w:firstLine="422" w:firstLineChars="200"/>
              <w:jc w:val="both"/>
              <w:rPr>
                <w:rFonts w:hint="eastAsia" w:ascii="宋体" w:hAnsi="宋体" w:eastAsia="宋体" w:cs="Times New Roman"/>
                <w:b/>
                <w:bCs w:val="0"/>
                <w:color w:val="auto"/>
                <w:szCs w:val="21"/>
                <w:highlight w:val="none"/>
                <w:lang w:val="en-US" w:eastAsia="zh-CN"/>
              </w:rPr>
            </w:pPr>
            <w:r>
              <w:rPr>
                <w:rFonts w:hint="eastAsia" w:ascii="宋体" w:hAnsi="宋体" w:cs="Times New Roman"/>
                <w:b/>
                <w:szCs w:val="21"/>
                <w:highlight w:val="none"/>
              </w:rPr>
              <w:t>大专以上学历，</w:t>
            </w:r>
            <w:r>
              <w:rPr>
                <w:rFonts w:hint="default" w:ascii="_5b8b_4f53" w:hAnsi="_5b8b_4f53" w:cs="Times New Roman"/>
                <w:b/>
                <w:bCs/>
                <w:color w:val="auto"/>
                <w:szCs w:val="21"/>
                <w:highlight w:val="none"/>
                <w:shd w:val="clear" w:color="auto" w:fill="FFFFFF"/>
              </w:rPr>
              <w:t>年龄</w:t>
            </w:r>
            <w:r>
              <w:rPr>
                <w:rFonts w:hint="eastAsia" w:ascii="_5b8b_4f53" w:hAnsi="_5b8b_4f53" w:cs="Times New Roman"/>
                <w:b/>
                <w:bCs/>
                <w:color w:val="auto"/>
                <w:szCs w:val="21"/>
                <w:highlight w:val="none"/>
                <w:shd w:val="clear" w:color="auto" w:fill="FFFFFF"/>
                <w:lang w:val="en-US" w:eastAsia="zh-CN"/>
              </w:rPr>
              <w:t>55</w:t>
            </w:r>
            <w:r>
              <w:rPr>
                <w:rFonts w:hint="default" w:ascii="_5b8b_4f53" w:hAnsi="_5b8b_4f53" w:cs="Times New Roman"/>
                <w:b/>
                <w:bCs/>
                <w:color w:val="auto"/>
                <w:szCs w:val="21"/>
                <w:highlight w:val="none"/>
                <w:shd w:val="clear" w:color="auto" w:fill="FFFFFF"/>
              </w:rPr>
              <w:t>周岁</w:t>
            </w:r>
            <w:r>
              <w:rPr>
                <w:rFonts w:hint="eastAsia" w:ascii="_5b8b_4f53" w:hAnsi="_5b8b_4f53" w:cs="Times New Roman"/>
                <w:b/>
                <w:bCs/>
                <w:color w:val="auto"/>
                <w:szCs w:val="21"/>
                <w:highlight w:val="none"/>
                <w:shd w:val="clear" w:color="auto" w:fill="FFFFFF"/>
                <w:lang w:eastAsia="zh-CN"/>
              </w:rPr>
              <w:t>（</w:t>
            </w:r>
            <w:r>
              <w:rPr>
                <w:rFonts w:hint="eastAsia" w:ascii="_5b8b_4f53" w:hAnsi="_5b8b_4f53" w:cs="Times New Roman"/>
                <w:b/>
                <w:bCs/>
                <w:color w:val="auto"/>
                <w:szCs w:val="21"/>
                <w:highlight w:val="none"/>
                <w:shd w:val="clear" w:color="auto" w:fill="FFFFFF"/>
                <w:lang w:val="en-US" w:eastAsia="zh-CN"/>
              </w:rPr>
              <w:t>含</w:t>
            </w:r>
            <w:r>
              <w:rPr>
                <w:rFonts w:hint="eastAsia" w:ascii="_5b8b_4f53" w:hAnsi="_5b8b_4f53" w:cs="Times New Roman"/>
                <w:b/>
                <w:bCs/>
                <w:color w:val="auto"/>
                <w:szCs w:val="21"/>
                <w:highlight w:val="none"/>
                <w:shd w:val="clear" w:color="auto" w:fill="FFFFFF"/>
                <w:lang w:eastAsia="zh-CN"/>
              </w:rPr>
              <w:t>）</w:t>
            </w:r>
            <w:r>
              <w:rPr>
                <w:rFonts w:hint="default" w:ascii="_5b8b_4f53" w:hAnsi="_5b8b_4f53" w:cs="Times New Roman"/>
                <w:b/>
                <w:bCs/>
                <w:color w:val="auto"/>
                <w:szCs w:val="21"/>
                <w:highlight w:val="none"/>
                <w:shd w:val="clear" w:color="auto" w:fill="FFFFFF"/>
              </w:rPr>
              <w:t>以下</w:t>
            </w:r>
            <w:r>
              <w:rPr>
                <w:rFonts w:hint="eastAsia" w:ascii="_5b8b_4f53" w:hAnsi="_5b8b_4f53" w:cs="Times New Roman"/>
                <w:color w:val="auto"/>
                <w:szCs w:val="21"/>
                <w:highlight w:val="none"/>
                <w:shd w:val="clear" w:color="auto" w:fill="FFFFFF"/>
                <w:lang w:eastAsia="zh-CN"/>
              </w:rPr>
              <w:t>。</w:t>
            </w:r>
            <w:r>
              <w:rPr>
                <w:rFonts w:hint="eastAsia" w:ascii="宋体" w:hAnsi="宋体" w:cs="Times New Roman"/>
                <w:b/>
                <w:color w:val="auto"/>
                <w:szCs w:val="21"/>
                <w:highlight w:val="none"/>
              </w:rPr>
              <w:t>具有</w:t>
            </w:r>
            <w:r>
              <w:rPr>
                <w:rFonts w:hint="eastAsia" w:ascii="宋体" w:hAnsi="宋体" w:cs="Times New Roman"/>
                <w:b/>
                <w:color w:val="auto"/>
                <w:szCs w:val="21"/>
                <w:highlight w:val="none"/>
                <w:lang w:val="en-US" w:eastAsia="zh-CN"/>
              </w:rPr>
              <w:t>2018年1月1日以来不少于三年的</w:t>
            </w:r>
            <w:r>
              <w:rPr>
                <w:rFonts w:hint="eastAsia" w:ascii="宋体" w:hAnsi="宋体" w:cs="宋体"/>
                <w:b/>
                <w:bCs/>
                <w:color w:val="auto"/>
                <w:szCs w:val="21"/>
                <w:highlight w:val="none"/>
                <w:lang w:eastAsia="zh-CN"/>
              </w:rPr>
              <w:t>行政</w:t>
            </w:r>
            <w:r>
              <w:rPr>
                <w:rFonts w:hint="eastAsia" w:ascii="宋体" w:hAnsi="宋体" w:cs="Times New Roman"/>
                <w:b/>
                <w:color w:val="auto"/>
                <w:szCs w:val="21"/>
                <w:highlight w:val="none"/>
                <w:lang w:eastAsia="zh-CN"/>
              </w:rPr>
              <w:t>办公楼</w:t>
            </w:r>
            <w:r>
              <w:rPr>
                <w:rFonts w:hint="eastAsia" w:ascii="宋体" w:hAnsi="宋体" w:cs="Times New Roman"/>
                <w:b/>
                <w:color w:val="auto"/>
                <w:szCs w:val="21"/>
                <w:highlight w:val="none"/>
                <w:lang w:val="en-US" w:eastAsia="zh-CN"/>
              </w:rPr>
              <w:t>类</w:t>
            </w:r>
            <w:r>
              <w:rPr>
                <w:rFonts w:hint="eastAsia" w:ascii="宋体" w:hAnsi="宋体" w:cs="Times New Roman"/>
                <w:b/>
                <w:color w:val="auto"/>
                <w:szCs w:val="21"/>
                <w:highlight w:val="none"/>
              </w:rPr>
              <w:t>物业</w:t>
            </w:r>
            <w:r>
              <w:rPr>
                <w:rFonts w:hint="eastAsia" w:ascii="宋体" w:hAnsi="宋体" w:cs="Times New Roman"/>
                <w:b/>
                <w:color w:val="auto"/>
                <w:szCs w:val="21"/>
                <w:highlight w:val="none"/>
                <w:lang w:val="en-US" w:eastAsia="zh-CN"/>
              </w:rPr>
              <w:t>保洁主管</w:t>
            </w:r>
            <w:r>
              <w:rPr>
                <w:rFonts w:hint="eastAsia" w:ascii="宋体" w:hAnsi="宋体" w:cs="Times New Roman"/>
                <w:b/>
                <w:color w:val="auto"/>
                <w:szCs w:val="21"/>
                <w:highlight w:val="none"/>
              </w:rPr>
              <w:t>经验。</w:t>
            </w:r>
            <w:r>
              <w:rPr>
                <w:rFonts w:hint="eastAsia" w:ascii="Times New Roman" w:hAnsi="Times New Roman" w:cs="Times New Roman"/>
                <w:color w:val="auto"/>
                <w:szCs w:val="22"/>
                <w:highlight w:val="none"/>
                <w:u w:val="single"/>
                <w:lang w:val="en-US" w:eastAsia="zh-CN"/>
              </w:rPr>
              <w:t>投标文件中须提供身份证、学历证</w:t>
            </w:r>
            <w:r>
              <w:rPr>
                <w:rFonts w:hint="eastAsia" w:ascii="Times New Roman" w:hAnsi="Times New Roman" w:cs="Times New Roman"/>
                <w:szCs w:val="22"/>
                <w:highlight w:val="none"/>
                <w:u w:val="single"/>
                <w:lang w:val="en-US" w:eastAsia="zh-CN"/>
              </w:rPr>
              <w:t>明</w:t>
            </w:r>
            <w:r>
              <w:rPr>
                <w:rFonts w:hint="eastAsia" w:ascii="Times New Roman" w:hAnsi="Times New Roman" w:cs="Times New Roman"/>
                <w:color w:val="auto"/>
                <w:szCs w:val="22"/>
                <w:highlight w:val="none"/>
                <w:u w:val="single"/>
                <w:lang w:val="en-US" w:eastAsia="zh-CN"/>
              </w:rPr>
              <w:t>、经验证明材料（提供劳动合同或业主方出具的证明材料或其他可以证明其管理经验的资料，须明确其就职岗位为保洁主管或类似岗位），以上资料均提供复印件并进行电子签章</w:t>
            </w:r>
            <w:r>
              <w:rPr>
                <w:rFonts w:hint="eastAsia" w:ascii="Times New Roman" w:hAnsi="Times New Roman" w:eastAsia="宋体" w:cs="Times New Roman"/>
                <w:b w:val="0"/>
                <w:bCs w:val="0"/>
                <w:color w:val="auto"/>
                <w:spacing w:val="12"/>
                <w:szCs w:val="21"/>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425"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宋体" w:hAnsi="宋体" w:cs="Times New Roman"/>
                <w:b w:val="0"/>
                <w:bCs/>
                <w:color w:val="auto"/>
                <w:szCs w:val="22"/>
                <w:highlight w:val="none"/>
                <w:lang w:val="en-US" w:eastAsia="zh-CN"/>
              </w:rPr>
            </w:pPr>
            <w:r>
              <w:rPr>
                <w:rFonts w:hint="eastAsia" w:ascii="宋体" w:hAnsi="宋体" w:cs="Times New Roman"/>
                <w:b w:val="0"/>
                <w:bCs/>
                <w:color w:val="auto"/>
                <w:szCs w:val="22"/>
                <w:highlight w:val="none"/>
                <w:lang w:val="en-US" w:eastAsia="zh-CN"/>
              </w:rPr>
              <w:t>5</w:t>
            </w:r>
          </w:p>
        </w:tc>
        <w:tc>
          <w:tcPr>
            <w:tcW w:w="1220" w:type="dxa"/>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s="Times New Roman"/>
                <w:bCs/>
                <w:color w:val="auto"/>
                <w:szCs w:val="21"/>
                <w:highlight w:val="none"/>
              </w:rPr>
            </w:pPr>
            <w:r>
              <w:rPr>
                <w:rFonts w:hint="eastAsia" w:ascii="宋体" w:hAnsi="宋体" w:eastAsia="宋体" w:cs="宋体"/>
                <w:b/>
                <w:bCs/>
                <w:strike w:val="0"/>
                <w:dstrike w:val="0"/>
                <w:color w:val="auto"/>
                <w:sz w:val="24"/>
                <w:szCs w:val="24"/>
                <w:highlight w:val="none"/>
              </w:rPr>
              <w:t>▲</w:t>
            </w:r>
            <w:r>
              <w:rPr>
                <w:rFonts w:hint="eastAsia" w:ascii="宋体" w:hAnsi="宋体" w:cs="Times New Roman"/>
                <w:bCs/>
                <w:color w:val="auto"/>
                <w:szCs w:val="21"/>
                <w:highlight w:val="none"/>
              </w:rPr>
              <w:t>会务主管</w:t>
            </w:r>
          </w:p>
          <w:p>
            <w:pPr>
              <w:keepNext w:val="0"/>
              <w:keepLines w:val="0"/>
              <w:widowControl/>
              <w:suppressLineNumbers w:val="0"/>
              <w:snapToGrid w:val="0"/>
              <w:spacing w:before="0" w:beforeAutospacing="0" w:after="0" w:afterAutospacing="0" w:line="124" w:lineRule="atLeast"/>
              <w:ind w:left="0" w:right="0"/>
              <w:jc w:val="center"/>
              <w:rPr>
                <w:rFonts w:hint="eastAsia" w:ascii="宋体" w:hAnsi="宋体" w:cs="Times New Roman"/>
                <w:b w:val="0"/>
                <w:bCs/>
                <w:color w:val="auto"/>
                <w:szCs w:val="22"/>
                <w:highlight w:val="none"/>
                <w:lang w:val="en-US" w:eastAsia="zh-CN"/>
              </w:rPr>
            </w:pPr>
          </w:p>
        </w:tc>
        <w:tc>
          <w:tcPr>
            <w:tcW w:w="990"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Arial" w:hAnsi="Arial" w:cs="Arial"/>
                <w:b w:val="0"/>
                <w:bCs/>
                <w:color w:val="auto"/>
                <w:szCs w:val="22"/>
                <w:highlight w:val="none"/>
                <w:lang w:val="en-US" w:eastAsia="zh-CN"/>
              </w:rPr>
            </w:pPr>
            <w:r>
              <w:rPr>
                <w:rFonts w:hint="eastAsia" w:ascii="Arial" w:hAnsi="Arial" w:cs="Arial"/>
                <w:b w:val="0"/>
                <w:bCs/>
                <w:color w:val="auto"/>
                <w:szCs w:val="22"/>
                <w:highlight w:val="none"/>
                <w:lang w:val="en-US" w:eastAsia="zh-CN"/>
              </w:rPr>
              <w:t>1</w:t>
            </w:r>
          </w:p>
        </w:tc>
        <w:tc>
          <w:tcPr>
            <w:tcW w:w="5634" w:type="dxa"/>
            <w:noWrap w:val="0"/>
            <w:vAlign w:val="center"/>
          </w:tcPr>
          <w:p>
            <w:pPr>
              <w:keepNext w:val="0"/>
              <w:keepLines w:val="0"/>
              <w:widowControl/>
              <w:suppressLineNumbers w:val="0"/>
              <w:snapToGrid w:val="0"/>
              <w:spacing w:before="0" w:beforeAutospacing="0" w:after="0" w:afterAutospacing="0" w:line="124" w:lineRule="atLeast"/>
              <w:ind w:left="0" w:right="0" w:firstLine="422" w:firstLineChars="200"/>
              <w:jc w:val="both"/>
              <w:rPr>
                <w:rFonts w:hint="eastAsia" w:ascii="宋体" w:hAnsi="宋体" w:eastAsia="宋体" w:cs="Times New Roman"/>
                <w:bCs/>
                <w:color w:val="auto"/>
                <w:szCs w:val="21"/>
                <w:highlight w:val="none"/>
                <w:lang w:eastAsia="zh-CN"/>
              </w:rPr>
            </w:pPr>
            <w:r>
              <w:rPr>
                <w:rFonts w:hint="eastAsia" w:ascii="宋体" w:hAnsi="宋体" w:cs="Times New Roman"/>
                <w:b/>
                <w:szCs w:val="21"/>
                <w:highlight w:val="none"/>
              </w:rPr>
              <w:t>大专以上学历，</w:t>
            </w:r>
            <w:r>
              <w:rPr>
                <w:rFonts w:hint="default" w:ascii="宋体" w:hAnsi="宋体" w:cs="Times New Roman"/>
                <w:b/>
                <w:bCs w:val="0"/>
                <w:color w:val="auto"/>
                <w:szCs w:val="21"/>
                <w:highlight w:val="none"/>
              </w:rPr>
              <w:t>年龄18至</w:t>
            </w:r>
            <w:r>
              <w:rPr>
                <w:rFonts w:hint="eastAsia" w:ascii="宋体" w:hAnsi="宋体" w:cs="Times New Roman"/>
                <w:b/>
                <w:bCs w:val="0"/>
                <w:color w:val="auto"/>
                <w:szCs w:val="21"/>
                <w:highlight w:val="none"/>
                <w:lang w:val="en-US" w:eastAsia="zh-CN"/>
              </w:rPr>
              <w:t>40</w:t>
            </w:r>
            <w:r>
              <w:rPr>
                <w:rFonts w:hint="default" w:ascii="宋体" w:hAnsi="宋体" w:cs="Times New Roman"/>
                <w:b/>
                <w:bCs w:val="0"/>
                <w:color w:val="auto"/>
                <w:szCs w:val="21"/>
                <w:highlight w:val="none"/>
              </w:rPr>
              <w:t>周岁，</w:t>
            </w:r>
            <w:r>
              <w:rPr>
                <w:rFonts w:hint="eastAsia" w:ascii="宋体" w:hAnsi="宋体" w:cs="Times New Roman"/>
                <w:b/>
                <w:bCs w:val="0"/>
                <w:color w:val="auto"/>
                <w:szCs w:val="21"/>
                <w:highlight w:val="none"/>
              </w:rPr>
              <w:t>持健康证</w:t>
            </w:r>
            <w:r>
              <w:rPr>
                <w:rFonts w:hint="eastAsia" w:ascii="宋体" w:hAnsi="宋体" w:cs="Times New Roman"/>
                <w:b/>
                <w:bCs w:val="0"/>
                <w:color w:val="auto"/>
                <w:szCs w:val="21"/>
                <w:highlight w:val="none"/>
                <w:lang w:eastAsia="zh-CN"/>
              </w:rPr>
              <w:t>。</w:t>
            </w:r>
            <w:r>
              <w:rPr>
                <w:rFonts w:hint="eastAsia" w:ascii="宋体" w:hAnsi="宋体" w:cs="Times New Roman"/>
                <w:b/>
                <w:bCs w:val="0"/>
                <w:color w:val="auto"/>
                <w:szCs w:val="21"/>
                <w:highlight w:val="none"/>
              </w:rPr>
              <w:t>具</w:t>
            </w:r>
            <w:r>
              <w:rPr>
                <w:rFonts w:hint="eastAsia" w:ascii="宋体" w:hAnsi="宋体" w:cs="Times New Roman"/>
                <w:b/>
                <w:color w:val="auto"/>
                <w:szCs w:val="21"/>
                <w:highlight w:val="none"/>
              </w:rPr>
              <w:t>有</w:t>
            </w:r>
            <w:r>
              <w:rPr>
                <w:rFonts w:hint="eastAsia" w:ascii="宋体" w:hAnsi="宋体" w:cs="Times New Roman"/>
                <w:b/>
                <w:color w:val="auto"/>
                <w:szCs w:val="21"/>
                <w:highlight w:val="none"/>
                <w:lang w:val="en-US" w:eastAsia="zh-CN"/>
              </w:rPr>
              <w:t>2018年1月1日以来不少于三年的</w:t>
            </w:r>
            <w:r>
              <w:rPr>
                <w:rFonts w:hint="eastAsia" w:ascii="宋体" w:hAnsi="宋体" w:cs="宋体"/>
                <w:b/>
                <w:bCs/>
                <w:color w:val="auto"/>
                <w:szCs w:val="21"/>
                <w:highlight w:val="none"/>
                <w:lang w:eastAsia="zh-CN"/>
              </w:rPr>
              <w:t>行政</w:t>
            </w:r>
            <w:r>
              <w:rPr>
                <w:rFonts w:hint="eastAsia" w:ascii="宋体" w:hAnsi="宋体" w:cs="Times New Roman"/>
                <w:b/>
                <w:color w:val="auto"/>
                <w:szCs w:val="21"/>
                <w:highlight w:val="none"/>
                <w:lang w:eastAsia="zh-CN"/>
              </w:rPr>
              <w:t>办公楼</w:t>
            </w:r>
            <w:r>
              <w:rPr>
                <w:rFonts w:hint="eastAsia" w:ascii="宋体" w:hAnsi="宋体" w:cs="Times New Roman"/>
                <w:b/>
                <w:color w:val="auto"/>
                <w:szCs w:val="21"/>
                <w:highlight w:val="none"/>
                <w:lang w:val="en-US" w:eastAsia="zh-CN"/>
              </w:rPr>
              <w:t>类</w:t>
            </w:r>
            <w:r>
              <w:rPr>
                <w:rFonts w:hint="eastAsia" w:ascii="宋体" w:hAnsi="宋体" w:cs="Times New Roman"/>
                <w:b/>
                <w:color w:val="auto"/>
                <w:szCs w:val="21"/>
                <w:highlight w:val="none"/>
              </w:rPr>
              <w:t>物业</w:t>
            </w:r>
            <w:r>
              <w:rPr>
                <w:rFonts w:hint="eastAsia" w:ascii="宋体" w:hAnsi="宋体" w:cs="Times New Roman"/>
                <w:b/>
                <w:color w:val="auto"/>
                <w:szCs w:val="21"/>
                <w:highlight w:val="none"/>
                <w:lang w:val="en-US" w:eastAsia="zh-CN"/>
              </w:rPr>
              <w:t>会务主管</w:t>
            </w:r>
            <w:r>
              <w:rPr>
                <w:rFonts w:hint="eastAsia" w:ascii="宋体" w:hAnsi="宋体" w:cs="Times New Roman"/>
                <w:b/>
                <w:color w:val="auto"/>
                <w:szCs w:val="21"/>
                <w:highlight w:val="none"/>
              </w:rPr>
              <w:t>经验。</w:t>
            </w:r>
            <w:r>
              <w:rPr>
                <w:rFonts w:hint="eastAsia" w:ascii="Times New Roman" w:hAnsi="Times New Roman" w:cs="Times New Roman"/>
                <w:color w:val="auto"/>
                <w:szCs w:val="22"/>
                <w:highlight w:val="none"/>
                <w:u w:val="single"/>
                <w:lang w:val="en-US" w:eastAsia="zh-CN"/>
              </w:rPr>
              <w:t>投标文件中须提供身份证、学历证</w:t>
            </w:r>
            <w:r>
              <w:rPr>
                <w:rFonts w:hint="eastAsia" w:ascii="Times New Roman" w:hAnsi="Times New Roman" w:cs="Times New Roman"/>
                <w:szCs w:val="22"/>
                <w:highlight w:val="none"/>
                <w:u w:val="single"/>
                <w:lang w:val="en-US" w:eastAsia="zh-CN"/>
              </w:rPr>
              <w:t>明</w:t>
            </w:r>
            <w:r>
              <w:rPr>
                <w:rFonts w:hint="eastAsia" w:ascii="Times New Roman" w:hAnsi="Times New Roman" w:cs="Times New Roman"/>
                <w:color w:val="auto"/>
                <w:szCs w:val="22"/>
                <w:highlight w:val="none"/>
                <w:u w:val="single"/>
                <w:lang w:val="en-US" w:eastAsia="zh-CN"/>
              </w:rPr>
              <w:t>、健康证、经验证明材料（提供劳动合同或业主方出具的证明材料或其他可以证明其管理经验的资料，须明确其就职岗位为会务主管或类似岗位），以上资料均提供复印件并进行电子签章</w:t>
            </w:r>
            <w:r>
              <w:rPr>
                <w:rFonts w:hint="eastAsia" w:ascii="Times New Roman" w:hAnsi="Times New Roman" w:eastAsia="宋体" w:cs="Times New Roman"/>
                <w:b w:val="0"/>
                <w:bCs w:val="0"/>
                <w:color w:val="auto"/>
                <w:spacing w:val="12"/>
                <w:szCs w:val="21"/>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425"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宋体" w:hAnsi="宋体" w:cs="Times New Roman"/>
                <w:b w:val="0"/>
                <w:bCs/>
                <w:szCs w:val="22"/>
                <w:highlight w:val="none"/>
                <w:lang w:val="en-US" w:eastAsia="zh-CN"/>
              </w:rPr>
            </w:pPr>
            <w:r>
              <w:rPr>
                <w:rFonts w:hint="eastAsia" w:ascii="宋体" w:hAnsi="宋体" w:cs="Times New Roman"/>
                <w:b w:val="0"/>
                <w:bCs/>
                <w:szCs w:val="22"/>
                <w:highlight w:val="none"/>
                <w:lang w:val="en-US" w:eastAsia="zh-CN"/>
              </w:rPr>
              <w:t>6</w:t>
            </w:r>
          </w:p>
        </w:tc>
        <w:tc>
          <w:tcPr>
            <w:tcW w:w="1220" w:type="dxa"/>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宋体" w:hAnsi="宋体" w:cs="Times New Roman"/>
                <w:b w:val="0"/>
                <w:bCs/>
                <w:szCs w:val="22"/>
                <w:highlight w:val="none"/>
                <w:lang w:val="en-US" w:eastAsia="zh-CN"/>
              </w:rPr>
            </w:pPr>
            <w:r>
              <w:rPr>
                <w:rFonts w:hint="eastAsia" w:ascii="宋体" w:hAnsi="宋体" w:cs="Times New Roman"/>
                <w:bCs/>
                <w:color w:val="000000"/>
                <w:szCs w:val="21"/>
              </w:rPr>
              <w:t>秩序维护员</w:t>
            </w:r>
          </w:p>
        </w:tc>
        <w:tc>
          <w:tcPr>
            <w:tcW w:w="990"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default" w:ascii="Arial" w:hAnsi="Arial" w:cs="Arial"/>
                <w:b w:val="0"/>
                <w:bCs/>
                <w:szCs w:val="22"/>
                <w:highlight w:val="none"/>
                <w:lang w:val="en-US" w:eastAsia="zh-CN"/>
              </w:rPr>
            </w:pPr>
            <w:r>
              <w:rPr>
                <w:rFonts w:hint="eastAsia" w:ascii="Arial" w:hAnsi="Arial" w:cs="Arial"/>
                <w:b w:val="0"/>
                <w:bCs/>
                <w:szCs w:val="22"/>
                <w:highlight w:val="none"/>
                <w:lang w:val="en-US" w:eastAsia="zh-CN"/>
              </w:rPr>
              <w:t>56</w:t>
            </w:r>
          </w:p>
        </w:tc>
        <w:tc>
          <w:tcPr>
            <w:tcW w:w="5634" w:type="dxa"/>
            <w:noWrap w:val="0"/>
            <w:vAlign w:val="center"/>
          </w:tcPr>
          <w:p>
            <w:pPr>
              <w:keepNext w:val="0"/>
              <w:keepLines w:val="0"/>
              <w:widowControl/>
              <w:suppressLineNumbers w:val="0"/>
              <w:snapToGrid w:val="0"/>
              <w:spacing w:before="0" w:beforeAutospacing="0" w:after="0" w:afterAutospacing="0" w:line="124" w:lineRule="atLeast"/>
              <w:ind w:left="0" w:leftChars="0" w:right="0" w:firstLine="426" w:firstLineChars="203"/>
              <w:jc w:val="both"/>
              <w:rPr>
                <w:rFonts w:hint="default" w:ascii="宋体" w:hAnsi="宋体" w:eastAsia="宋体" w:cs="Times New Roman"/>
                <w:bCs/>
                <w:szCs w:val="21"/>
                <w:lang w:val="en-US" w:eastAsia="zh-CN"/>
              </w:rPr>
            </w:pPr>
            <w:r>
              <w:rPr>
                <w:rFonts w:hint="eastAsia" w:ascii="宋体" w:hAnsi="宋体" w:cs="Times New Roman"/>
                <w:bCs/>
                <w:color w:val="000000"/>
                <w:szCs w:val="21"/>
                <w:highlight w:val="none"/>
              </w:rPr>
              <w:t>需持</w:t>
            </w:r>
            <w:r>
              <w:rPr>
                <w:rFonts w:hint="eastAsia" w:ascii="宋体" w:hAnsi="宋体" w:cs="Times New Roman"/>
                <w:bCs/>
                <w:color w:val="000000"/>
                <w:szCs w:val="21"/>
                <w:highlight w:val="none"/>
                <w:lang w:val="en-US" w:eastAsia="zh-CN"/>
              </w:rPr>
              <w:t>保安</w:t>
            </w:r>
            <w:r>
              <w:rPr>
                <w:rFonts w:hint="eastAsia" w:ascii="宋体" w:hAnsi="宋体" w:cs="Times New Roman"/>
                <w:bCs/>
                <w:color w:val="000000"/>
                <w:szCs w:val="21"/>
                <w:highlight w:val="none"/>
              </w:rPr>
              <w:t>证上岗</w:t>
            </w:r>
            <w:r>
              <w:rPr>
                <w:rFonts w:hint="eastAsia" w:ascii="宋体" w:hAnsi="宋体" w:cs="Times New Roman"/>
                <w:bCs/>
                <w:color w:val="000000"/>
                <w:szCs w:val="21"/>
                <w:highlight w:val="none"/>
                <w:lang w:eastAsia="zh-CN"/>
              </w:rPr>
              <w:t>，</w:t>
            </w:r>
            <w:r>
              <w:rPr>
                <w:rFonts w:hint="eastAsia" w:ascii="宋体" w:hAnsi="宋体" w:cs="Times New Roman"/>
                <w:bCs/>
                <w:color w:val="000000"/>
                <w:szCs w:val="21"/>
                <w:highlight w:val="none"/>
                <w:lang w:val="en-US" w:eastAsia="zh-CN"/>
              </w:rPr>
              <w:t>提供由公安部门出具的</w:t>
            </w:r>
            <w:r>
              <w:rPr>
                <w:rFonts w:hint="eastAsia" w:ascii="宋体" w:hAnsi="宋体" w:cs="Times New Roman"/>
                <w:bCs/>
                <w:color w:val="000000"/>
                <w:szCs w:val="21"/>
                <w:highlight w:val="none"/>
                <w:lang w:eastAsia="zh-CN"/>
              </w:rPr>
              <w:t>无犯罪记录证明。</w:t>
            </w:r>
            <w:r>
              <w:rPr>
                <w:rFonts w:hint="default" w:ascii="_5b8b_4f53" w:hAnsi="_5b8b_4f53" w:cs="Times New Roman"/>
                <w:color w:val="000000"/>
                <w:szCs w:val="21"/>
                <w:highlight w:val="none"/>
                <w:shd w:val="clear" w:color="auto" w:fill="FFFFFF"/>
              </w:rPr>
              <w:t>形象岗要求：男性，身体健康，素质高，形象佳，身高：175CM（含）以上，年龄20至</w:t>
            </w:r>
            <w:r>
              <w:rPr>
                <w:rFonts w:hint="eastAsia" w:ascii="_5b8b_4f53" w:hAnsi="_5b8b_4f53" w:cs="Times New Roman"/>
                <w:color w:val="000000"/>
                <w:szCs w:val="21"/>
                <w:highlight w:val="none"/>
                <w:shd w:val="clear" w:color="auto" w:fill="FFFFFF"/>
                <w:lang w:val="en-US" w:eastAsia="zh-CN"/>
              </w:rPr>
              <w:t>40</w:t>
            </w:r>
            <w:r>
              <w:rPr>
                <w:rFonts w:hint="default" w:ascii="_5b8b_4f53" w:hAnsi="_5b8b_4f53" w:cs="Times New Roman"/>
                <w:color w:val="000000"/>
                <w:szCs w:val="21"/>
                <w:highlight w:val="none"/>
                <w:shd w:val="clear" w:color="auto" w:fill="FFFFFF"/>
              </w:rPr>
              <w:t>周岁。其他岗位要求：身体健康，素质高，形象佳，身高：170CM（含）以上，年龄20至</w:t>
            </w:r>
            <w:r>
              <w:rPr>
                <w:rFonts w:hint="eastAsia" w:ascii="_5b8b_4f53" w:hAnsi="_5b8b_4f53" w:cs="Times New Roman"/>
                <w:color w:val="000000"/>
                <w:szCs w:val="21"/>
                <w:highlight w:val="none"/>
                <w:shd w:val="clear" w:color="auto" w:fill="FFFFFF"/>
                <w:lang w:val="en-US" w:eastAsia="zh-CN"/>
              </w:rPr>
              <w:t>50</w:t>
            </w:r>
            <w:r>
              <w:rPr>
                <w:rFonts w:hint="default" w:ascii="_5b8b_4f53" w:hAnsi="_5b8b_4f53" w:cs="Times New Roman"/>
                <w:color w:val="000000"/>
                <w:szCs w:val="21"/>
                <w:highlight w:val="none"/>
                <w:shd w:val="clear" w:color="auto" w:fill="FFFFFF"/>
              </w:rPr>
              <w:t>周岁。个别岗位可适当放宽</w:t>
            </w:r>
            <w:r>
              <w:rPr>
                <w:rFonts w:hint="eastAsia" w:ascii="_5b8b_4f53" w:hAnsi="_5b8b_4f53" w:cs="Times New Roman"/>
                <w:color w:val="000000"/>
                <w:szCs w:val="21"/>
                <w:highlight w:val="none"/>
                <w:shd w:val="clear" w:color="auto" w:fill="FFFFFF"/>
                <w:lang w:eastAsia="zh-CN"/>
              </w:rPr>
              <w:t>须报保卫科审核</w:t>
            </w:r>
            <w:r>
              <w:rPr>
                <w:rFonts w:hint="default" w:ascii="_5b8b_4f53" w:hAnsi="_5b8b_4f53" w:cs="Times New Roman"/>
                <w:color w:val="000000"/>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425"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default" w:ascii="宋体" w:hAnsi="宋体" w:cs="Times New Roman"/>
                <w:b w:val="0"/>
                <w:bCs/>
                <w:sz w:val="21"/>
                <w:szCs w:val="22"/>
                <w:highlight w:val="none"/>
                <w:lang w:val="en-US" w:eastAsia="zh-CN" w:bidi="ar-SA"/>
              </w:rPr>
            </w:pPr>
            <w:r>
              <w:rPr>
                <w:rFonts w:hint="eastAsia" w:ascii="宋体" w:hAnsi="宋体" w:cs="Times New Roman"/>
                <w:b w:val="0"/>
                <w:bCs/>
                <w:szCs w:val="22"/>
                <w:highlight w:val="none"/>
                <w:lang w:val="en-US" w:eastAsia="zh-CN"/>
              </w:rPr>
              <w:t>7</w:t>
            </w:r>
          </w:p>
        </w:tc>
        <w:tc>
          <w:tcPr>
            <w:tcW w:w="1220" w:type="dxa"/>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宋体" w:hAnsi="宋体" w:eastAsia="宋体" w:cs="Times New Roman"/>
                <w:bCs/>
                <w:color w:val="000000"/>
                <w:szCs w:val="21"/>
                <w:highlight w:val="none"/>
                <w:lang w:eastAsia="zh-CN"/>
              </w:rPr>
            </w:pPr>
            <w:r>
              <w:rPr>
                <w:rFonts w:hint="eastAsia" w:ascii="宋体" w:hAnsi="宋体" w:cs="Times New Roman"/>
                <w:bCs/>
                <w:color w:val="000000"/>
                <w:szCs w:val="21"/>
                <w:highlight w:val="none"/>
                <w:lang w:eastAsia="zh-CN"/>
              </w:rPr>
              <w:t>消防设施操作员</w:t>
            </w:r>
          </w:p>
        </w:tc>
        <w:tc>
          <w:tcPr>
            <w:tcW w:w="990"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default" w:ascii="Arial" w:hAnsi="Arial" w:cs="Arial"/>
                <w:b w:val="0"/>
                <w:bCs/>
                <w:szCs w:val="22"/>
                <w:highlight w:val="none"/>
                <w:lang w:val="en-US" w:eastAsia="zh-CN"/>
              </w:rPr>
            </w:pPr>
            <w:r>
              <w:rPr>
                <w:rFonts w:hint="eastAsia" w:ascii="Arial" w:hAnsi="Arial" w:cs="Arial"/>
                <w:b w:val="0"/>
                <w:bCs/>
                <w:szCs w:val="22"/>
                <w:highlight w:val="none"/>
                <w:lang w:val="en-US" w:eastAsia="zh-CN"/>
              </w:rPr>
              <w:t>6</w:t>
            </w:r>
          </w:p>
        </w:tc>
        <w:tc>
          <w:tcPr>
            <w:tcW w:w="5634" w:type="dxa"/>
            <w:noWrap w:val="0"/>
            <w:vAlign w:val="center"/>
          </w:tcPr>
          <w:p>
            <w:pPr>
              <w:keepNext w:val="0"/>
              <w:keepLines w:val="0"/>
              <w:widowControl/>
              <w:suppressLineNumbers w:val="0"/>
              <w:snapToGrid w:val="0"/>
              <w:spacing w:before="0" w:beforeAutospacing="0" w:after="0" w:afterAutospacing="0" w:line="124" w:lineRule="atLeast"/>
              <w:ind w:left="0" w:leftChars="0" w:right="0" w:firstLine="426" w:firstLineChars="203"/>
              <w:jc w:val="both"/>
              <w:rPr>
                <w:rFonts w:hint="eastAsia" w:ascii="宋体" w:hAnsi="宋体" w:eastAsia="宋体" w:cs="Times New Roman"/>
                <w:bCs/>
                <w:color w:val="000000"/>
                <w:szCs w:val="21"/>
                <w:highlight w:val="none"/>
                <w:lang w:eastAsia="zh-CN"/>
              </w:rPr>
            </w:pPr>
            <w:r>
              <w:rPr>
                <w:rFonts w:hint="eastAsia" w:ascii="宋体" w:hAnsi="宋体" w:cs="Times New Roman"/>
                <w:bCs/>
                <w:color w:val="000000"/>
                <w:szCs w:val="21"/>
                <w:highlight w:val="none"/>
              </w:rPr>
              <w:t>持</w:t>
            </w:r>
            <w:r>
              <w:rPr>
                <w:rFonts w:hint="eastAsia" w:ascii="宋体" w:hAnsi="宋体" w:cs="Times New Roman"/>
                <w:bCs/>
                <w:color w:val="000000"/>
                <w:szCs w:val="21"/>
                <w:highlight w:val="none"/>
                <w:lang w:eastAsia="zh-CN"/>
              </w:rPr>
              <w:t>消防设施操作员证书</w:t>
            </w:r>
            <w:r>
              <w:rPr>
                <w:rFonts w:hint="eastAsia" w:ascii="宋体" w:hAnsi="宋体" w:cs="Times New Roman"/>
                <w:bCs/>
                <w:color w:val="000000"/>
                <w:szCs w:val="21"/>
                <w:highlight w:val="none"/>
                <w:lang w:val="en-US" w:eastAsia="zh-CN"/>
              </w:rPr>
              <w:t>上岗</w:t>
            </w:r>
            <w:r>
              <w:rPr>
                <w:rFonts w:hint="eastAsia" w:ascii="宋体" w:hAnsi="宋体" w:cs="Times New Roman"/>
                <w:bCs/>
                <w:color w:val="000000"/>
                <w:szCs w:val="21"/>
                <w:highlight w:val="none"/>
                <w:lang w:eastAsia="zh-CN"/>
              </w:rPr>
              <w:t>，</w:t>
            </w:r>
            <w:r>
              <w:rPr>
                <w:rFonts w:hint="default" w:ascii="_5b8b_4f53" w:hAnsi="_5b8b_4f53" w:cs="Times New Roman"/>
                <w:color w:val="000000"/>
                <w:szCs w:val="21"/>
                <w:highlight w:val="none"/>
                <w:shd w:val="clear" w:color="auto" w:fill="FFFFFF"/>
              </w:rPr>
              <w:t>身体健康，素质高</w:t>
            </w:r>
            <w:r>
              <w:rPr>
                <w:rFonts w:hint="eastAsia" w:ascii="_5b8b_4f53" w:hAnsi="_5b8b_4f53" w:cs="Times New Roman"/>
                <w:color w:val="000000"/>
                <w:szCs w:val="21"/>
                <w:highlight w:val="none"/>
                <w:shd w:val="clear" w:color="auto" w:fill="FFFFFF"/>
                <w:lang w:eastAsia="zh-CN"/>
              </w:rPr>
              <w:t>，熟练操作消防设施。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425"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宋体" w:hAnsi="宋体" w:cs="Times New Roman"/>
                <w:b w:val="0"/>
                <w:bCs/>
                <w:sz w:val="21"/>
                <w:szCs w:val="22"/>
                <w:highlight w:val="none"/>
                <w:lang w:val="en-US" w:eastAsia="zh-CN" w:bidi="ar-SA"/>
              </w:rPr>
            </w:pPr>
            <w:r>
              <w:rPr>
                <w:rFonts w:hint="eastAsia" w:ascii="宋体" w:hAnsi="宋体" w:cs="Times New Roman"/>
                <w:b w:val="0"/>
                <w:bCs/>
                <w:szCs w:val="22"/>
                <w:highlight w:val="none"/>
                <w:lang w:val="en-US" w:eastAsia="zh-CN"/>
              </w:rPr>
              <w:t>8</w:t>
            </w:r>
          </w:p>
        </w:tc>
        <w:tc>
          <w:tcPr>
            <w:tcW w:w="1220" w:type="dxa"/>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宋体" w:hAnsi="宋体" w:cs="Times New Roman"/>
                <w:bCs/>
                <w:color w:val="000000"/>
                <w:szCs w:val="21"/>
              </w:rPr>
            </w:pPr>
            <w:r>
              <w:rPr>
                <w:rFonts w:hint="eastAsia" w:ascii="宋体" w:hAnsi="宋体" w:cs="Times New Roman"/>
                <w:bCs/>
                <w:color w:val="000000"/>
                <w:szCs w:val="21"/>
              </w:rPr>
              <w:t>设备日常维护</w:t>
            </w:r>
          </w:p>
        </w:tc>
        <w:tc>
          <w:tcPr>
            <w:tcW w:w="990"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Arial" w:hAnsi="Arial" w:cs="Arial"/>
                <w:b w:val="0"/>
                <w:bCs/>
                <w:szCs w:val="22"/>
                <w:highlight w:val="none"/>
                <w:lang w:val="en-US" w:eastAsia="zh-CN"/>
              </w:rPr>
            </w:pPr>
            <w:r>
              <w:rPr>
                <w:rFonts w:hint="eastAsia" w:ascii="Arial" w:hAnsi="Arial" w:cs="Arial"/>
                <w:b w:val="0"/>
                <w:bCs/>
                <w:szCs w:val="22"/>
                <w:highlight w:val="none"/>
                <w:lang w:val="en-US" w:eastAsia="zh-CN"/>
              </w:rPr>
              <w:t>14</w:t>
            </w:r>
          </w:p>
        </w:tc>
        <w:tc>
          <w:tcPr>
            <w:tcW w:w="5634" w:type="dxa"/>
            <w:noWrap w:val="0"/>
            <w:vAlign w:val="center"/>
          </w:tcPr>
          <w:p>
            <w:pPr>
              <w:keepNext w:val="0"/>
              <w:keepLines w:val="0"/>
              <w:widowControl/>
              <w:suppressLineNumbers w:val="0"/>
              <w:spacing w:before="0" w:beforeAutospacing="0" w:after="0" w:afterAutospacing="0"/>
              <w:ind w:left="0" w:right="0" w:firstLine="420" w:firstLineChars="200"/>
              <w:jc w:val="left"/>
              <w:rPr>
                <w:rFonts w:hint="eastAsia" w:ascii="宋体" w:hAnsi="宋体" w:cs="Times New Roman"/>
                <w:bCs/>
                <w:color w:val="000000"/>
                <w:szCs w:val="21"/>
              </w:rPr>
            </w:pPr>
            <w:r>
              <w:rPr>
                <w:rFonts w:hint="default" w:ascii="_5b8b_4f53" w:hAnsi="_5b8b_4f53" w:cs="Times New Roman"/>
                <w:color w:val="000000"/>
                <w:szCs w:val="21"/>
                <w:shd w:val="clear" w:color="auto" w:fill="FFFFFF"/>
              </w:rPr>
              <w:t>年龄25至</w:t>
            </w:r>
            <w:r>
              <w:rPr>
                <w:rFonts w:hint="eastAsia" w:ascii="_5b8b_4f53" w:hAnsi="_5b8b_4f53" w:cs="Times New Roman"/>
                <w:color w:val="000000"/>
                <w:szCs w:val="21"/>
                <w:highlight w:val="none"/>
                <w:shd w:val="clear" w:color="auto" w:fill="FFFFFF"/>
                <w:lang w:val="en-US" w:eastAsia="zh-CN"/>
              </w:rPr>
              <w:t>60</w:t>
            </w:r>
            <w:r>
              <w:rPr>
                <w:rFonts w:hint="default" w:ascii="_5b8b_4f53" w:hAnsi="_5b8b_4f53" w:cs="Times New Roman"/>
                <w:color w:val="000000"/>
                <w:szCs w:val="21"/>
                <w:shd w:val="clear" w:color="auto" w:fill="FFFFFF"/>
              </w:rPr>
              <w:t>周岁，</w:t>
            </w:r>
            <w:r>
              <w:rPr>
                <w:rFonts w:hint="eastAsia" w:ascii="宋体" w:hAnsi="宋体" w:cs="Times New Roman"/>
                <w:bCs/>
                <w:color w:val="000000"/>
                <w:szCs w:val="21"/>
              </w:rPr>
              <w:t>持</w:t>
            </w:r>
            <w:r>
              <w:rPr>
                <w:rFonts w:hint="eastAsia" w:ascii="宋体" w:hAnsi="宋体" w:cs="Times New Roman"/>
                <w:bCs/>
                <w:color w:val="000000"/>
                <w:szCs w:val="21"/>
                <w:lang w:val="en-US" w:eastAsia="zh-CN"/>
              </w:rPr>
              <w:t>电工</w:t>
            </w:r>
            <w:r>
              <w:rPr>
                <w:rFonts w:hint="eastAsia" w:ascii="宋体" w:hAnsi="宋体" w:cs="Times New Roman"/>
                <w:bCs/>
                <w:color w:val="000000"/>
                <w:szCs w:val="21"/>
              </w:rPr>
              <w:t>证上岗</w:t>
            </w:r>
            <w:r>
              <w:rPr>
                <w:rFonts w:hint="eastAsia" w:ascii="宋体" w:hAnsi="宋体" w:eastAsia="宋体" w:cs="Times New Roman"/>
                <w:b/>
                <w:szCs w:val="21"/>
                <w:highlight w:val="none"/>
                <w:lang w:val="en-US" w:eastAsia="zh-CN"/>
              </w:rPr>
              <w:t>（其中不少于两名持高压电工作业证）</w:t>
            </w:r>
            <w:r>
              <w:rPr>
                <w:rFonts w:hint="eastAsia" w:ascii="宋体" w:hAnsi="宋体" w:cs="Times New Roman"/>
                <w:bCs/>
                <w:color w:val="000000"/>
                <w:szCs w:val="21"/>
              </w:rPr>
              <w:t>，</w:t>
            </w:r>
            <w:r>
              <w:rPr>
                <w:rFonts w:hint="default" w:ascii="_5b8b_4f53" w:hAnsi="_5b8b_4f53" w:cs="Times New Roman"/>
                <w:color w:val="000000"/>
                <w:szCs w:val="21"/>
                <w:shd w:val="clear" w:color="auto" w:fill="FFFFFF"/>
              </w:rPr>
              <w:t>工作经验丰富，从事本工种工作3年以上</w:t>
            </w:r>
            <w:r>
              <w:rPr>
                <w:rFonts w:hint="default" w:ascii="_5b8b_4f53" w:hAnsi="_5b8b_4f53" w:cs="Times New Roman"/>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425"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宋体" w:hAnsi="宋体" w:cs="Times New Roman"/>
                <w:b w:val="0"/>
                <w:bCs/>
                <w:sz w:val="21"/>
                <w:szCs w:val="22"/>
                <w:highlight w:val="none"/>
                <w:lang w:val="en-US" w:eastAsia="zh-CN" w:bidi="ar-SA"/>
              </w:rPr>
            </w:pPr>
            <w:r>
              <w:rPr>
                <w:rFonts w:hint="eastAsia" w:ascii="宋体" w:hAnsi="宋体" w:cs="Times New Roman"/>
                <w:b w:val="0"/>
                <w:bCs/>
                <w:szCs w:val="22"/>
                <w:highlight w:val="none"/>
                <w:lang w:val="en-US" w:eastAsia="zh-CN"/>
              </w:rPr>
              <w:t>9</w:t>
            </w:r>
          </w:p>
        </w:tc>
        <w:tc>
          <w:tcPr>
            <w:tcW w:w="1220" w:type="dxa"/>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宋体" w:hAnsi="宋体" w:cs="Times New Roman"/>
                <w:bCs/>
                <w:color w:val="000000"/>
                <w:szCs w:val="21"/>
              </w:rPr>
            </w:pPr>
            <w:r>
              <w:rPr>
                <w:rFonts w:hint="eastAsia" w:ascii="宋体" w:hAnsi="宋体" w:cs="Times New Roman"/>
                <w:bCs/>
                <w:szCs w:val="21"/>
              </w:rPr>
              <w:t>保洁员</w:t>
            </w:r>
          </w:p>
        </w:tc>
        <w:tc>
          <w:tcPr>
            <w:tcW w:w="990"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Arial" w:hAnsi="Arial" w:cs="Arial"/>
                <w:b w:val="0"/>
                <w:bCs/>
                <w:szCs w:val="22"/>
                <w:highlight w:val="none"/>
                <w:lang w:val="en-US" w:eastAsia="zh-CN"/>
              </w:rPr>
            </w:pPr>
            <w:r>
              <w:rPr>
                <w:rFonts w:hint="eastAsia" w:ascii="Arial" w:hAnsi="Arial" w:cs="Arial"/>
                <w:b w:val="0"/>
                <w:bCs/>
                <w:szCs w:val="22"/>
                <w:highlight w:val="none"/>
                <w:lang w:val="en-US" w:eastAsia="zh-CN"/>
              </w:rPr>
              <w:t>30</w:t>
            </w:r>
          </w:p>
        </w:tc>
        <w:tc>
          <w:tcPr>
            <w:tcW w:w="5634" w:type="dxa"/>
            <w:noWrap w:val="0"/>
            <w:vAlign w:val="center"/>
          </w:tcPr>
          <w:p>
            <w:pPr>
              <w:keepNext w:val="0"/>
              <w:keepLines w:val="0"/>
              <w:widowControl/>
              <w:suppressLineNumbers w:val="0"/>
              <w:snapToGrid w:val="0"/>
              <w:spacing w:before="0" w:beforeAutospacing="0" w:after="0" w:afterAutospacing="0" w:line="124" w:lineRule="atLeast"/>
              <w:ind w:left="0" w:right="0" w:firstLine="420" w:firstLineChars="200"/>
              <w:jc w:val="both"/>
              <w:rPr>
                <w:rFonts w:hint="eastAsia" w:ascii="宋体" w:hAnsi="宋体" w:cs="Times New Roman"/>
                <w:bCs/>
                <w:color w:val="000000"/>
                <w:szCs w:val="21"/>
              </w:rPr>
            </w:pPr>
            <w:r>
              <w:rPr>
                <w:rFonts w:hint="default" w:ascii="_5b8b_4f53" w:hAnsi="_5b8b_4f53" w:cs="Times New Roman"/>
                <w:szCs w:val="21"/>
                <w:shd w:val="clear" w:color="auto" w:fill="FFFFFF"/>
              </w:rPr>
              <w:t>身体健康，品德优良，需通过公司业务培训上岗，年龄</w:t>
            </w:r>
            <w:r>
              <w:rPr>
                <w:rFonts w:hint="eastAsia" w:ascii="_5b8b_4f53" w:hAnsi="_5b8b_4f53" w:cs="Times New Roman"/>
                <w:szCs w:val="21"/>
                <w:highlight w:val="none"/>
                <w:shd w:val="clear" w:color="auto" w:fill="FFFFFF"/>
                <w:lang w:val="en-US" w:eastAsia="zh-CN"/>
              </w:rPr>
              <w:t>55</w:t>
            </w:r>
            <w:r>
              <w:rPr>
                <w:rFonts w:hint="default" w:ascii="_5b8b_4f53" w:hAnsi="_5b8b_4f53" w:cs="Times New Roman"/>
                <w:szCs w:val="21"/>
                <w:shd w:val="clear" w:color="auto" w:fill="FFFFFF"/>
              </w:rPr>
              <w:t>周岁</w:t>
            </w:r>
            <w:r>
              <w:rPr>
                <w:rFonts w:hint="eastAsia" w:ascii="_5b8b_4f53" w:hAnsi="_5b8b_4f53" w:cs="Times New Roman"/>
                <w:szCs w:val="21"/>
                <w:shd w:val="clear" w:color="auto" w:fill="FFFFFF"/>
                <w:lang w:eastAsia="zh-CN"/>
              </w:rPr>
              <w:t>（</w:t>
            </w:r>
            <w:r>
              <w:rPr>
                <w:rFonts w:hint="eastAsia" w:ascii="_5b8b_4f53" w:hAnsi="_5b8b_4f53" w:cs="Times New Roman"/>
                <w:szCs w:val="21"/>
                <w:shd w:val="clear" w:color="auto" w:fill="FFFFFF"/>
                <w:lang w:val="en-US" w:eastAsia="zh-CN"/>
              </w:rPr>
              <w:t>含</w:t>
            </w:r>
            <w:r>
              <w:rPr>
                <w:rFonts w:hint="eastAsia" w:ascii="_5b8b_4f53" w:hAnsi="_5b8b_4f53" w:cs="Times New Roman"/>
                <w:szCs w:val="21"/>
                <w:shd w:val="clear" w:color="auto" w:fill="FFFFFF"/>
                <w:lang w:eastAsia="zh-CN"/>
              </w:rPr>
              <w:t>）</w:t>
            </w:r>
            <w:r>
              <w:rPr>
                <w:rFonts w:hint="default" w:ascii="_5b8b_4f53" w:hAnsi="_5b8b_4f53" w:cs="Times New Roman"/>
                <w:szCs w:val="21"/>
                <w:shd w:val="clear" w:color="auto" w:fill="FFFFFF"/>
              </w:rPr>
              <w:t>以下，其中必须有两名以上男性保洁人员</w:t>
            </w:r>
            <w:r>
              <w:rPr>
                <w:rFonts w:hint="eastAsia" w:ascii="宋体" w:hAnsi="宋体"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425"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宋体" w:hAnsi="宋体" w:cs="Times New Roman"/>
                <w:b w:val="0"/>
                <w:bCs/>
                <w:sz w:val="21"/>
                <w:szCs w:val="22"/>
                <w:highlight w:val="none"/>
                <w:lang w:val="en-US" w:eastAsia="zh-CN" w:bidi="ar-SA"/>
              </w:rPr>
            </w:pPr>
            <w:r>
              <w:rPr>
                <w:rFonts w:hint="eastAsia" w:ascii="宋体" w:hAnsi="宋体" w:cs="Times New Roman"/>
                <w:b w:val="0"/>
                <w:bCs/>
                <w:szCs w:val="22"/>
                <w:highlight w:val="none"/>
                <w:lang w:val="en-US" w:eastAsia="zh-CN"/>
              </w:rPr>
              <w:t>10</w:t>
            </w:r>
          </w:p>
        </w:tc>
        <w:tc>
          <w:tcPr>
            <w:tcW w:w="1220" w:type="dxa"/>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宋体" w:hAnsi="宋体" w:cs="Times New Roman"/>
                <w:bCs/>
                <w:color w:val="000000"/>
                <w:szCs w:val="21"/>
              </w:rPr>
            </w:pPr>
            <w:r>
              <w:rPr>
                <w:rFonts w:hint="eastAsia" w:ascii="宋体" w:hAnsi="宋体" w:cs="Times New Roman"/>
                <w:bCs/>
                <w:color w:val="000000"/>
                <w:szCs w:val="21"/>
              </w:rPr>
              <w:t>会务</w:t>
            </w:r>
          </w:p>
          <w:p>
            <w:pPr>
              <w:keepNext w:val="0"/>
              <w:keepLines w:val="0"/>
              <w:widowControl/>
              <w:suppressLineNumbers w:val="0"/>
              <w:snapToGrid w:val="0"/>
              <w:spacing w:before="0" w:beforeAutospacing="0" w:after="0" w:afterAutospacing="0" w:line="360" w:lineRule="exact"/>
              <w:ind w:left="0" w:right="0"/>
              <w:jc w:val="center"/>
              <w:rPr>
                <w:rFonts w:hint="eastAsia" w:ascii="宋体" w:hAnsi="宋体" w:cs="Times New Roman"/>
                <w:bCs/>
                <w:color w:val="000000"/>
                <w:szCs w:val="21"/>
              </w:rPr>
            </w:pPr>
          </w:p>
        </w:tc>
        <w:tc>
          <w:tcPr>
            <w:tcW w:w="990"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Arial" w:hAnsi="Arial" w:cs="Arial"/>
                <w:b w:val="0"/>
                <w:bCs/>
                <w:szCs w:val="22"/>
                <w:highlight w:val="none"/>
                <w:lang w:val="en-US" w:eastAsia="zh-CN"/>
              </w:rPr>
            </w:pPr>
            <w:r>
              <w:rPr>
                <w:rFonts w:hint="eastAsia" w:ascii="Arial" w:hAnsi="Arial" w:cs="Arial"/>
                <w:b w:val="0"/>
                <w:bCs/>
                <w:szCs w:val="22"/>
                <w:highlight w:val="none"/>
                <w:lang w:val="en-US" w:eastAsia="zh-CN"/>
              </w:rPr>
              <w:t>22</w:t>
            </w:r>
          </w:p>
        </w:tc>
        <w:tc>
          <w:tcPr>
            <w:tcW w:w="5634" w:type="dxa"/>
            <w:noWrap w:val="0"/>
            <w:vAlign w:val="center"/>
          </w:tcPr>
          <w:p>
            <w:pPr>
              <w:keepNext w:val="0"/>
              <w:keepLines w:val="0"/>
              <w:widowControl/>
              <w:suppressLineNumbers w:val="0"/>
              <w:snapToGrid w:val="0"/>
              <w:spacing w:before="0" w:beforeAutospacing="0" w:after="0" w:afterAutospacing="0" w:line="360" w:lineRule="exact"/>
              <w:ind w:left="0" w:right="0" w:firstLine="420" w:firstLineChars="200"/>
              <w:jc w:val="both"/>
              <w:rPr>
                <w:rFonts w:hint="default" w:ascii="宋体" w:hAnsi="宋体" w:cs="Times New Roman"/>
                <w:bCs/>
                <w:color w:val="000000"/>
                <w:szCs w:val="21"/>
                <w:highlight w:val="none"/>
              </w:rPr>
            </w:pPr>
            <w:r>
              <w:rPr>
                <w:rFonts w:hint="eastAsia" w:ascii="宋体" w:hAnsi="宋体" w:cs="Times New Roman"/>
                <w:bCs/>
                <w:color w:val="000000"/>
                <w:szCs w:val="21"/>
                <w:highlight w:val="none"/>
                <w:lang w:eastAsia="zh-CN"/>
              </w:rPr>
              <w:t>会务服务人员：</w:t>
            </w:r>
            <w:r>
              <w:rPr>
                <w:rFonts w:hint="eastAsia" w:ascii="宋体" w:hAnsi="宋体" w:cs="Times New Roman"/>
                <w:bCs/>
                <w:color w:val="000000"/>
                <w:szCs w:val="21"/>
                <w:highlight w:val="none"/>
                <w:lang w:val="en-US" w:eastAsia="zh-CN"/>
              </w:rPr>
              <w:t>18名，</w:t>
            </w:r>
            <w:r>
              <w:rPr>
                <w:rFonts w:hint="default" w:ascii="宋体" w:hAnsi="宋体" w:cs="Times New Roman"/>
                <w:bCs/>
                <w:color w:val="000000"/>
                <w:szCs w:val="21"/>
                <w:highlight w:val="none"/>
              </w:rPr>
              <w:t>高中以上</w:t>
            </w:r>
            <w:r>
              <w:rPr>
                <w:rFonts w:hint="eastAsia" w:ascii="宋体" w:hAnsi="宋体" w:cs="Times New Roman"/>
                <w:bCs/>
                <w:color w:val="000000"/>
                <w:szCs w:val="21"/>
                <w:highlight w:val="none"/>
              </w:rPr>
              <w:t>学历</w:t>
            </w:r>
            <w:r>
              <w:rPr>
                <w:rFonts w:hint="default" w:ascii="宋体" w:hAnsi="宋体" w:cs="Times New Roman"/>
                <w:bCs/>
                <w:color w:val="000000"/>
                <w:szCs w:val="21"/>
                <w:highlight w:val="none"/>
              </w:rPr>
              <w:t>，女性，年龄18至</w:t>
            </w:r>
            <w:r>
              <w:rPr>
                <w:rFonts w:hint="eastAsia" w:ascii="宋体" w:hAnsi="宋体" w:cs="Times New Roman"/>
                <w:bCs/>
                <w:color w:val="000000"/>
                <w:szCs w:val="21"/>
                <w:highlight w:val="none"/>
                <w:lang w:val="en-US" w:eastAsia="zh-CN"/>
              </w:rPr>
              <w:t>4</w:t>
            </w:r>
            <w:r>
              <w:rPr>
                <w:rFonts w:hint="default" w:ascii="宋体" w:hAnsi="宋体" w:cs="Times New Roman"/>
                <w:bCs/>
                <w:color w:val="000000"/>
                <w:szCs w:val="21"/>
                <w:highlight w:val="none"/>
              </w:rPr>
              <w:t>0周岁，身高160CM以上，素质高、形象佳，</w:t>
            </w:r>
            <w:r>
              <w:rPr>
                <w:rFonts w:hint="eastAsia" w:ascii="宋体" w:hAnsi="宋体" w:cs="Times New Roman"/>
                <w:bCs/>
                <w:color w:val="000000"/>
                <w:szCs w:val="21"/>
                <w:highlight w:val="none"/>
              </w:rPr>
              <w:t>持健康证上岗，</w:t>
            </w:r>
            <w:r>
              <w:rPr>
                <w:rFonts w:hint="default" w:ascii="宋体" w:hAnsi="宋体" w:cs="Times New Roman"/>
                <w:bCs/>
                <w:color w:val="000000"/>
                <w:szCs w:val="21"/>
                <w:highlight w:val="none"/>
              </w:rPr>
              <w:t>工作经验丰富。</w:t>
            </w:r>
          </w:p>
          <w:p>
            <w:pPr>
              <w:keepNext w:val="0"/>
              <w:keepLines w:val="0"/>
              <w:widowControl/>
              <w:suppressLineNumbers w:val="0"/>
              <w:snapToGrid w:val="0"/>
              <w:spacing w:before="0" w:beforeAutospacing="0" w:after="0" w:afterAutospacing="0" w:line="124" w:lineRule="atLeast"/>
              <w:ind w:left="0" w:right="0" w:firstLine="420" w:firstLineChars="200"/>
              <w:jc w:val="both"/>
              <w:rPr>
                <w:rFonts w:hint="default" w:ascii="_5b8b_4f53" w:hAnsi="_5b8b_4f53" w:cs="Times New Roman"/>
                <w:szCs w:val="21"/>
                <w:shd w:val="clear" w:color="auto" w:fill="FFFFFF"/>
              </w:rPr>
            </w:pPr>
            <w:r>
              <w:rPr>
                <w:rFonts w:hint="default" w:ascii="宋体" w:hAnsi="宋体" w:cs="Times New Roman"/>
                <w:bCs/>
                <w:color w:val="000000"/>
                <w:szCs w:val="21"/>
                <w:highlight w:val="none"/>
              </w:rPr>
              <w:t>调音师：</w:t>
            </w:r>
            <w:r>
              <w:rPr>
                <w:rFonts w:hint="eastAsia" w:ascii="宋体" w:hAnsi="宋体" w:cs="Times New Roman"/>
                <w:bCs/>
                <w:color w:val="000000"/>
                <w:szCs w:val="21"/>
                <w:highlight w:val="none"/>
                <w:lang w:val="en-US" w:eastAsia="zh-CN"/>
              </w:rPr>
              <w:t>4名</w:t>
            </w:r>
            <w:r>
              <w:rPr>
                <w:rFonts w:hint="eastAsia" w:ascii="宋体" w:hAnsi="宋体" w:cs="Times New Roman"/>
                <w:bCs/>
                <w:color w:val="000000"/>
                <w:szCs w:val="21"/>
                <w:lang w:val="en-US" w:eastAsia="zh-CN"/>
              </w:rPr>
              <w:t>，</w:t>
            </w:r>
            <w:r>
              <w:rPr>
                <w:rFonts w:hint="default" w:ascii="宋体" w:hAnsi="宋体" w:cs="Times New Roman"/>
                <w:bCs/>
                <w:color w:val="000000"/>
                <w:szCs w:val="21"/>
              </w:rPr>
              <w:t>年龄25至45周岁，工作经验丰富，从事调音员工作3年以上。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425"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宋体" w:hAnsi="宋体" w:cs="Times New Roman"/>
                <w:b w:val="0"/>
                <w:bCs/>
                <w:sz w:val="21"/>
                <w:szCs w:val="22"/>
                <w:highlight w:val="none"/>
                <w:lang w:val="en-US" w:eastAsia="zh-CN" w:bidi="ar-SA"/>
              </w:rPr>
            </w:pPr>
            <w:r>
              <w:rPr>
                <w:rFonts w:hint="eastAsia" w:ascii="宋体" w:hAnsi="宋体" w:cs="Times New Roman"/>
                <w:b w:val="0"/>
                <w:bCs/>
                <w:szCs w:val="22"/>
                <w:highlight w:val="none"/>
                <w:lang w:val="en-US" w:eastAsia="zh-CN"/>
              </w:rPr>
              <w:t>11</w:t>
            </w:r>
          </w:p>
        </w:tc>
        <w:tc>
          <w:tcPr>
            <w:tcW w:w="1220" w:type="dxa"/>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宋体" w:hAnsi="宋体" w:eastAsia="宋体" w:cs="Times New Roman"/>
                <w:bCs/>
                <w:color w:val="000000"/>
                <w:szCs w:val="21"/>
                <w:lang w:val="en-US" w:eastAsia="zh-CN"/>
              </w:rPr>
            </w:pPr>
            <w:r>
              <w:rPr>
                <w:rFonts w:hint="eastAsia" w:ascii="宋体" w:hAnsi="宋体" w:cs="Times New Roman"/>
                <w:bCs/>
                <w:color w:val="000000"/>
                <w:szCs w:val="21"/>
              </w:rPr>
              <w:t>理发室</w:t>
            </w:r>
            <w:r>
              <w:rPr>
                <w:rFonts w:hint="eastAsia" w:ascii="宋体" w:hAnsi="宋体" w:cs="Times New Roman"/>
                <w:bCs/>
                <w:color w:val="000000"/>
                <w:szCs w:val="21"/>
                <w:lang w:val="en-US" w:eastAsia="zh-CN"/>
              </w:rPr>
              <w:t>人员</w:t>
            </w:r>
          </w:p>
        </w:tc>
        <w:tc>
          <w:tcPr>
            <w:tcW w:w="990"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Arial" w:hAnsi="Arial" w:cs="Arial"/>
                <w:b w:val="0"/>
                <w:bCs/>
                <w:szCs w:val="22"/>
                <w:highlight w:val="none"/>
                <w:lang w:val="en-US" w:eastAsia="zh-CN"/>
              </w:rPr>
            </w:pPr>
            <w:r>
              <w:rPr>
                <w:rFonts w:hint="eastAsia" w:ascii="Arial" w:hAnsi="Arial" w:cs="Arial"/>
                <w:b w:val="0"/>
                <w:bCs/>
                <w:szCs w:val="22"/>
                <w:highlight w:val="none"/>
                <w:lang w:val="en-US" w:eastAsia="zh-CN"/>
              </w:rPr>
              <w:t>7</w:t>
            </w:r>
          </w:p>
        </w:tc>
        <w:tc>
          <w:tcPr>
            <w:tcW w:w="5634" w:type="dxa"/>
            <w:noWrap w:val="0"/>
            <w:vAlign w:val="center"/>
          </w:tcPr>
          <w:p>
            <w:pPr>
              <w:keepNext w:val="0"/>
              <w:keepLines w:val="0"/>
              <w:widowControl/>
              <w:suppressLineNumbers w:val="0"/>
              <w:snapToGrid w:val="0"/>
              <w:spacing w:before="0" w:beforeAutospacing="0" w:after="0" w:afterAutospacing="0" w:line="124" w:lineRule="atLeast"/>
              <w:ind w:left="0" w:leftChars="0" w:right="0" w:firstLine="218" w:firstLineChars="104"/>
              <w:jc w:val="both"/>
              <w:rPr>
                <w:rFonts w:hint="default" w:ascii="宋体" w:hAnsi="宋体" w:cs="Times New Roman"/>
                <w:bCs/>
                <w:color w:val="000000"/>
                <w:szCs w:val="21"/>
              </w:rPr>
            </w:pPr>
            <w:r>
              <w:rPr>
                <w:rFonts w:hint="eastAsia" w:ascii="_5b8b_4f53" w:hAnsi="_5b8b_4f53" w:cs="Times New Roman"/>
                <w:color w:val="000000"/>
                <w:szCs w:val="21"/>
                <w:shd w:val="clear" w:color="auto" w:fill="FFFFFF"/>
              </w:rPr>
              <w:t>身</w:t>
            </w:r>
            <w:r>
              <w:rPr>
                <w:rFonts w:hint="default" w:ascii="_5b8b_4f53" w:hAnsi="_5b8b_4f53" w:cs="Times New Roman"/>
                <w:color w:val="000000"/>
                <w:szCs w:val="21"/>
                <w:shd w:val="clear" w:color="auto" w:fill="FFFFFF"/>
              </w:rPr>
              <w:t>体健康，素质高，形象佳，年龄</w:t>
            </w:r>
            <w:r>
              <w:rPr>
                <w:rFonts w:hint="eastAsia" w:ascii="_5b8b_4f53" w:hAnsi="_5b8b_4f53" w:cs="Times New Roman"/>
                <w:color w:val="000000"/>
                <w:szCs w:val="21"/>
                <w:shd w:val="clear" w:color="auto" w:fill="FFFFFF"/>
                <w:lang w:eastAsia="zh-CN"/>
              </w:rPr>
              <w:t>（</w:t>
            </w:r>
            <w:r>
              <w:rPr>
                <w:rFonts w:hint="eastAsia" w:ascii="_5b8b_4f53" w:hAnsi="_5b8b_4f53" w:cs="Times New Roman"/>
                <w:color w:val="auto"/>
                <w:szCs w:val="21"/>
                <w:highlight w:val="none"/>
                <w:shd w:val="clear" w:color="auto" w:fill="FFFFFF"/>
                <w:lang w:eastAsia="zh-CN"/>
              </w:rPr>
              <w:t>男性：</w:t>
            </w:r>
            <w:r>
              <w:rPr>
                <w:rFonts w:hint="default" w:ascii="_5b8b_4f53" w:hAnsi="_5b8b_4f53" w:cs="Times New Roman"/>
                <w:color w:val="auto"/>
                <w:szCs w:val="21"/>
                <w:highlight w:val="none"/>
                <w:shd w:val="clear" w:color="auto" w:fill="FFFFFF"/>
              </w:rPr>
              <w:t>25至</w:t>
            </w:r>
            <w:r>
              <w:rPr>
                <w:rFonts w:hint="eastAsia" w:ascii="_5b8b_4f53" w:hAnsi="_5b8b_4f53" w:cs="Times New Roman"/>
                <w:color w:val="auto"/>
                <w:szCs w:val="21"/>
                <w:highlight w:val="none"/>
                <w:shd w:val="clear" w:color="auto" w:fill="FFFFFF"/>
                <w:lang w:val="en-US" w:eastAsia="zh-CN"/>
              </w:rPr>
              <w:t>60</w:t>
            </w:r>
            <w:r>
              <w:rPr>
                <w:rFonts w:hint="default" w:ascii="_5b8b_4f53" w:hAnsi="_5b8b_4f53" w:cs="Times New Roman"/>
                <w:color w:val="auto"/>
                <w:szCs w:val="21"/>
                <w:highlight w:val="none"/>
                <w:shd w:val="clear" w:color="auto" w:fill="FFFFFF"/>
              </w:rPr>
              <w:t>周岁</w:t>
            </w:r>
            <w:r>
              <w:rPr>
                <w:rFonts w:hint="eastAsia" w:ascii="_5b8b_4f53" w:hAnsi="_5b8b_4f53" w:cs="Times New Roman"/>
                <w:color w:val="auto"/>
                <w:szCs w:val="21"/>
                <w:highlight w:val="none"/>
                <w:shd w:val="clear" w:color="auto" w:fill="FFFFFF"/>
                <w:lang w:eastAsia="zh-CN"/>
              </w:rPr>
              <w:t>，女性：</w:t>
            </w:r>
            <w:r>
              <w:rPr>
                <w:rFonts w:hint="eastAsia" w:ascii="_5b8b_4f53" w:hAnsi="_5b8b_4f53" w:cs="Times New Roman"/>
                <w:color w:val="auto"/>
                <w:szCs w:val="21"/>
                <w:highlight w:val="none"/>
                <w:shd w:val="clear" w:color="auto" w:fill="FFFFFF"/>
                <w:lang w:val="en-US" w:eastAsia="zh-CN"/>
              </w:rPr>
              <w:t>25至55周岁）</w:t>
            </w:r>
            <w:r>
              <w:rPr>
                <w:rFonts w:hint="eastAsia" w:ascii="_5b8b_4f53" w:hAnsi="_5b8b_4f53" w:cs="Times New Roman"/>
                <w:color w:val="auto"/>
                <w:szCs w:val="21"/>
                <w:highlight w:val="none"/>
                <w:shd w:val="clear" w:color="auto" w:fill="FFFFFF"/>
                <w:lang w:eastAsia="zh-CN"/>
              </w:rPr>
              <w:t>，其中理发师</w:t>
            </w:r>
            <w:r>
              <w:rPr>
                <w:rFonts w:hint="eastAsia" w:ascii="_5b8b_4f53" w:hAnsi="_5b8b_4f53" w:cs="Times New Roman"/>
                <w:color w:val="auto"/>
                <w:szCs w:val="21"/>
                <w:highlight w:val="none"/>
                <w:shd w:val="clear" w:color="auto" w:fill="FFFFFF"/>
                <w:lang w:val="en-US" w:eastAsia="zh-CN"/>
              </w:rPr>
              <w:t>6名，</w:t>
            </w:r>
            <w:r>
              <w:rPr>
                <w:rFonts w:hint="default" w:ascii="_5b8b_4f53" w:hAnsi="_5b8b_4f53" w:cs="Times New Roman"/>
                <w:color w:val="000000"/>
                <w:szCs w:val="21"/>
                <w:highlight w:val="none"/>
                <w:shd w:val="clear" w:color="auto" w:fill="FFFFFF"/>
              </w:rPr>
              <w:t>持</w:t>
            </w:r>
            <w:r>
              <w:rPr>
                <w:rFonts w:hint="eastAsia" w:ascii="_5b8b_4f53" w:hAnsi="_5b8b_4f53" w:cs="Times New Roman"/>
                <w:color w:val="000000"/>
                <w:szCs w:val="21"/>
                <w:highlight w:val="none"/>
                <w:shd w:val="clear" w:color="auto" w:fill="FFFFFF"/>
                <w:lang w:val="en-US" w:eastAsia="zh-CN"/>
              </w:rPr>
              <w:t>美发师证</w:t>
            </w:r>
            <w:r>
              <w:rPr>
                <w:rFonts w:hint="default" w:ascii="_5b8b_4f53" w:hAnsi="_5b8b_4f53" w:cs="Times New Roman"/>
                <w:color w:val="000000"/>
                <w:szCs w:val="21"/>
                <w:highlight w:val="none"/>
                <w:shd w:val="clear" w:color="auto" w:fill="FFFFFF"/>
              </w:rPr>
              <w:t>上岗</w:t>
            </w:r>
            <w:r>
              <w:rPr>
                <w:rFonts w:hint="default" w:ascii="_5b8b_4f53" w:hAnsi="_5b8b_4f53" w:cs="Times New Roman"/>
                <w:color w:val="000000"/>
                <w:sz w:val="27"/>
                <w:szCs w:val="27"/>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425"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宋体" w:hAnsi="宋体" w:cs="Times New Roman"/>
                <w:b w:val="0"/>
                <w:bCs/>
                <w:sz w:val="21"/>
                <w:szCs w:val="22"/>
                <w:highlight w:val="none"/>
                <w:lang w:val="en-US" w:eastAsia="zh-CN" w:bidi="ar-SA"/>
              </w:rPr>
            </w:pPr>
            <w:r>
              <w:rPr>
                <w:rFonts w:hint="eastAsia" w:ascii="宋体" w:hAnsi="宋体" w:cs="Times New Roman"/>
                <w:b w:val="0"/>
                <w:bCs/>
                <w:szCs w:val="22"/>
                <w:highlight w:val="none"/>
                <w:lang w:val="en-US" w:eastAsia="zh-CN"/>
              </w:rPr>
              <w:t>12</w:t>
            </w:r>
          </w:p>
        </w:tc>
        <w:tc>
          <w:tcPr>
            <w:tcW w:w="1220" w:type="dxa"/>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宋体" w:hAnsi="宋体" w:cs="Times New Roman"/>
                <w:bCs/>
                <w:color w:val="000000"/>
                <w:szCs w:val="21"/>
              </w:rPr>
            </w:pPr>
            <w:r>
              <w:rPr>
                <w:rFonts w:hint="eastAsia" w:ascii="宋体" w:hAnsi="宋体" w:cs="Times New Roman"/>
                <w:bCs/>
                <w:szCs w:val="21"/>
                <w:lang w:eastAsia="zh-CN"/>
              </w:rPr>
              <w:t>洗车管理员</w:t>
            </w:r>
          </w:p>
        </w:tc>
        <w:tc>
          <w:tcPr>
            <w:tcW w:w="990"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Arial" w:hAnsi="Arial" w:cs="Arial"/>
                <w:b w:val="0"/>
                <w:bCs/>
                <w:szCs w:val="22"/>
                <w:highlight w:val="none"/>
                <w:lang w:val="en-US" w:eastAsia="zh-CN"/>
              </w:rPr>
            </w:pPr>
            <w:r>
              <w:rPr>
                <w:rFonts w:hint="eastAsia" w:ascii="Arial" w:hAnsi="Arial" w:cs="Arial"/>
                <w:b w:val="0"/>
                <w:bCs/>
                <w:szCs w:val="22"/>
                <w:highlight w:val="none"/>
                <w:lang w:val="en-US" w:eastAsia="zh-CN"/>
              </w:rPr>
              <w:t>1</w:t>
            </w:r>
          </w:p>
        </w:tc>
        <w:tc>
          <w:tcPr>
            <w:tcW w:w="5634" w:type="dxa"/>
            <w:noWrap w:val="0"/>
            <w:vAlign w:val="center"/>
          </w:tcPr>
          <w:p>
            <w:pPr>
              <w:keepNext w:val="0"/>
              <w:keepLines w:val="0"/>
              <w:widowControl/>
              <w:suppressLineNumbers w:val="0"/>
              <w:snapToGrid w:val="0"/>
              <w:spacing w:before="0" w:beforeAutospacing="0" w:after="0" w:afterAutospacing="0" w:line="124" w:lineRule="atLeast"/>
              <w:ind w:left="0" w:leftChars="0" w:right="0" w:firstLine="218" w:firstLineChars="104"/>
              <w:jc w:val="both"/>
              <w:rPr>
                <w:rFonts w:hint="eastAsia" w:ascii="_5b8b_4f53" w:hAnsi="_5b8b_4f53" w:cs="Times New Roman"/>
                <w:color w:val="000000"/>
                <w:szCs w:val="21"/>
                <w:shd w:val="clear" w:color="auto" w:fill="FFFFFF"/>
              </w:rPr>
            </w:pPr>
            <w:r>
              <w:rPr>
                <w:rFonts w:hint="default" w:ascii="_5b8b_4f53" w:hAnsi="_5b8b_4f53" w:cs="Times New Roman"/>
                <w:szCs w:val="21"/>
                <w:shd w:val="clear" w:color="auto" w:fill="FFFFFF"/>
              </w:rPr>
              <w:t>身体健康，品德优良，</w:t>
            </w:r>
            <w:r>
              <w:rPr>
                <w:rFonts w:hint="eastAsia" w:ascii="_5b8b_4f53" w:hAnsi="_5b8b_4f53" w:cs="Times New Roman"/>
                <w:szCs w:val="21"/>
                <w:shd w:val="clear" w:color="auto" w:fill="FFFFFF"/>
                <w:lang w:eastAsia="zh-CN"/>
              </w:rPr>
              <w:t>具有相关专业知识，男性，</w:t>
            </w:r>
            <w:r>
              <w:rPr>
                <w:rFonts w:hint="default" w:ascii="宋体" w:hAnsi="宋体" w:cs="Times New Roman"/>
                <w:bCs/>
                <w:color w:val="000000"/>
                <w:szCs w:val="21"/>
              </w:rPr>
              <w:t>年龄25至</w:t>
            </w:r>
            <w:r>
              <w:rPr>
                <w:rFonts w:hint="eastAsia" w:ascii="宋体" w:hAnsi="宋体" w:cs="Times New Roman"/>
                <w:bCs/>
                <w:color w:val="000000"/>
                <w:szCs w:val="21"/>
                <w:highlight w:val="none"/>
                <w:lang w:val="en-US" w:eastAsia="zh-CN"/>
              </w:rPr>
              <w:t>60</w:t>
            </w:r>
            <w:r>
              <w:rPr>
                <w:rFonts w:hint="default" w:ascii="宋体" w:hAnsi="宋体" w:cs="Times New Roman"/>
                <w:bCs/>
                <w:color w:val="000000"/>
                <w:szCs w:val="21"/>
              </w:rPr>
              <w:t>周岁</w:t>
            </w:r>
            <w:r>
              <w:rPr>
                <w:rFonts w:hint="eastAsia" w:ascii="宋体" w:hAnsi="宋体" w:cs="Times New Roman"/>
                <w:bCs/>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425"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default" w:ascii="宋体" w:hAnsi="宋体" w:cs="Times New Roman"/>
                <w:b w:val="0"/>
                <w:bCs/>
                <w:szCs w:val="22"/>
                <w:highlight w:val="none"/>
                <w:lang w:val="en-US" w:eastAsia="zh-CN"/>
              </w:rPr>
            </w:pPr>
            <w:r>
              <w:rPr>
                <w:rFonts w:hint="eastAsia" w:ascii="宋体" w:hAnsi="宋体" w:cs="Times New Roman"/>
                <w:b w:val="0"/>
                <w:bCs/>
                <w:szCs w:val="22"/>
                <w:highlight w:val="none"/>
                <w:lang w:val="en-US" w:eastAsia="zh-CN"/>
              </w:rPr>
              <w:t>13</w:t>
            </w:r>
          </w:p>
        </w:tc>
        <w:tc>
          <w:tcPr>
            <w:tcW w:w="1220"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宋体" w:hAnsi="宋体" w:cs="Times New Roman"/>
                <w:bCs/>
                <w:szCs w:val="21"/>
                <w:lang w:eastAsia="zh-CN"/>
              </w:rPr>
            </w:pPr>
            <w:r>
              <w:rPr>
                <w:rFonts w:hint="eastAsia" w:ascii="Times New Roman" w:hAnsi="Times New Roman" w:cs="Times New Roman"/>
                <w:szCs w:val="20"/>
              </w:rPr>
              <w:t>文员</w:t>
            </w:r>
            <w:r>
              <w:rPr>
                <w:rFonts w:hint="eastAsia" w:ascii="Times New Roman" w:hAnsi="Times New Roman" w:cs="Times New Roman"/>
                <w:szCs w:val="20"/>
                <w:lang w:val="en-US" w:eastAsia="zh-CN"/>
              </w:rPr>
              <w:t>兼</w:t>
            </w:r>
            <w:r>
              <w:rPr>
                <w:rFonts w:hint="eastAsia" w:ascii="Times New Roman" w:hAnsi="Times New Roman" w:cs="Times New Roman"/>
                <w:szCs w:val="20"/>
              </w:rPr>
              <w:t>仓管</w:t>
            </w:r>
          </w:p>
        </w:tc>
        <w:tc>
          <w:tcPr>
            <w:tcW w:w="990"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Arial" w:hAnsi="Arial" w:cs="Arial"/>
                <w:b w:val="0"/>
                <w:bCs/>
                <w:szCs w:val="22"/>
                <w:highlight w:val="none"/>
                <w:lang w:val="en-US" w:eastAsia="zh-CN"/>
              </w:rPr>
            </w:pPr>
            <w:r>
              <w:rPr>
                <w:rFonts w:hint="default" w:ascii="Arial" w:hAnsi="Arial" w:cs="Arial"/>
                <w:szCs w:val="20"/>
                <w:lang w:val="en-US" w:eastAsia="zh-CN"/>
              </w:rPr>
              <w:t>1</w:t>
            </w:r>
          </w:p>
        </w:tc>
        <w:tc>
          <w:tcPr>
            <w:tcW w:w="5634" w:type="dxa"/>
            <w:noWrap w:val="0"/>
            <w:vAlign w:val="top"/>
          </w:tcPr>
          <w:p>
            <w:pPr>
              <w:keepNext w:val="0"/>
              <w:keepLines w:val="0"/>
              <w:widowControl/>
              <w:suppressLineNumbers w:val="0"/>
              <w:snapToGrid w:val="0"/>
              <w:spacing w:before="0" w:beforeAutospacing="0" w:after="0" w:afterAutospacing="0" w:line="124" w:lineRule="atLeast"/>
              <w:ind w:left="0" w:right="0" w:firstLine="210" w:firstLineChars="100"/>
              <w:rPr>
                <w:rFonts w:hint="default" w:ascii="_5b8b_4f53" w:hAnsi="_5b8b_4f53" w:cs="Times New Roman"/>
                <w:szCs w:val="21"/>
                <w:shd w:val="clear" w:color="auto" w:fill="FFFFFF"/>
              </w:rPr>
            </w:pPr>
            <w:r>
              <w:rPr>
                <w:rFonts w:hint="eastAsia" w:ascii="宋体" w:hAnsi="宋体" w:cs="Times New Roman"/>
                <w:bCs/>
                <w:szCs w:val="21"/>
              </w:rPr>
              <w:t>高中以上学历，具有较强的管理能力和组织协调能力。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425"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宋体" w:hAnsi="宋体" w:cs="Times New Roman"/>
                <w:b/>
                <w:szCs w:val="20"/>
              </w:rPr>
            </w:pPr>
          </w:p>
        </w:tc>
        <w:tc>
          <w:tcPr>
            <w:tcW w:w="2210" w:type="dxa"/>
            <w:gridSpan w:val="2"/>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Times New Roman" w:hAnsi="Times New Roman" w:cs="Times New Roman"/>
                <w:szCs w:val="20"/>
                <w:lang w:val="en-US" w:eastAsia="zh-CN"/>
              </w:rPr>
            </w:pPr>
            <w:r>
              <w:rPr>
                <w:rFonts w:hint="eastAsia" w:ascii="Times New Roman" w:hAnsi="Times New Roman" w:cs="Times New Roman"/>
                <w:szCs w:val="20"/>
                <w:lang w:val="en-US" w:eastAsia="zh-CN"/>
              </w:rPr>
              <w:t>合计</w:t>
            </w:r>
          </w:p>
        </w:tc>
        <w:tc>
          <w:tcPr>
            <w:tcW w:w="5634" w:type="dxa"/>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Times New Roman" w:hAnsi="Times New Roman" w:eastAsia="宋体" w:cs="Times New Roman"/>
                <w:szCs w:val="20"/>
                <w:lang w:val="en-US" w:eastAsia="zh-CN"/>
              </w:rPr>
            </w:pPr>
            <w:r>
              <w:rPr>
                <w:rFonts w:hint="eastAsia" w:ascii="Times New Roman" w:hAnsi="Times New Roman" w:cs="Times New Roman"/>
                <w:szCs w:val="20"/>
                <w:lang w:val="en-US" w:eastAsia="zh-CN"/>
              </w:rPr>
              <w:t>142人</w:t>
            </w:r>
          </w:p>
        </w:tc>
      </w:tr>
    </w:tbl>
    <w:p>
      <w:pPr>
        <w:pageBreakBefore w:val="0"/>
        <w:numPr>
          <w:ilvl w:val="0"/>
          <w:numId w:val="17"/>
        </w:numPr>
        <w:kinsoku/>
        <w:wordWrap/>
        <w:overflowPunct/>
        <w:topLinePunct w:val="0"/>
        <w:autoSpaceDE/>
        <w:autoSpaceDN/>
        <w:bidi w:val="0"/>
        <w:snapToGrid w:val="0"/>
        <w:spacing w:line="360" w:lineRule="auto"/>
        <w:ind w:firstLine="420"/>
        <w:jc w:val="both"/>
        <w:textAlignment w:val="auto"/>
        <w:rPr>
          <w:rFonts w:hint="eastAsia" w:ascii="Arial" w:hAnsi="Arial"/>
          <w:b/>
          <w:bCs w:val="0"/>
          <w:szCs w:val="22"/>
        </w:rPr>
      </w:pPr>
      <w:r>
        <w:rPr>
          <w:rFonts w:hint="eastAsia" w:ascii="Arial" w:hAnsi="Arial"/>
          <w:b/>
          <w:bCs w:val="0"/>
          <w:szCs w:val="22"/>
        </w:rPr>
        <w:t>投标人应为本项目各项服务工作配备足够各类人员，人员不得少于</w:t>
      </w:r>
      <w:r>
        <w:rPr>
          <w:rFonts w:hint="eastAsia" w:ascii="Arial" w:hAnsi="Arial"/>
          <w:b/>
          <w:bCs w:val="0"/>
          <w:szCs w:val="22"/>
          <w:lang w:val="en-US" w:eastAsia="zh-CN"/>
        </w:rPr>
        <w:t>142</w:t>
      </w:r>
      <w:r>
        <w:rPr>
          <w:rFonts w:hint="eastAsia" w:ascii="Arial" w:hAnsi="Arial"/>
          <w:b/>
          <w:bCs w:val="0"/>
          <w:szCs w:val="22"/>
        </w:rPr>
        <w:t>人</w:t>
      </w:r>
      <w:r>
        <w:rPr>
          <w:rFonts w:hint="eastAsia" w:ascii="Arial" w:hAnsi="Arial"/>
          <w:b w:val="0"/>
          <w:bCs/>
          <w:szCs w:val="22"/>
        </w:rPr>
        <w:t>（投标人可根据自己的管理方案增加人员）。</w:t>
      </w:r>
      <w:r>
        <w:rPr>
          <w:rFonts w:hint="eastAsia" w:ascii="Arial" w:hAnsi="Arial"/>
          <w:bCs/>
          <w:szCs w:val="22"/>
        </w:rPr>
        <w:t>所聘人员必须符合劳动部门有关用工规定，所有相关人员的配备如需经相关主管部门认证发证才能上岗的，必须持证上岗。上岗人员要求政治上可靠、身体素质好，无不良行为记录，特殊或重要岗位人员配备必须经采购人审核，政治审查通过方可录用。提供人员不得是已有项目操作的人员或中标（成交）项目中的人员。</w:t>
      </w:r>
    </w:p>
    <w:p>
      <w:pPr>
        <w:pageBreakBefore w:val="0"/>
        <w:numPr>
          <w:ilvl w:val="0"/>
          <w:numId w:val="17"/>
        </w:numPr>
        <w:kinsoku/>
        <w:wordWrap/>
        <w:overflowPunct/>
        <w:topLinePunct w:val="0"/>
        <w:autoSpaceDE/>
        <w:autoSpaceDN/>
        <w:bidi w:val="0"/>
        <w:snapToGrid w:val="0"/>
        <w:spacing w:line="360" w:lineRule="auto"/>
        <w:ind w:firstLine="420"/>
        <w:jc w:val="both"/>
        <w:textAlignment w:val="auto"/>
        <w:rPr>
          <w:rFonts w:hint="eastAsia" w:ascii="Arial" w:hAnsi="Arial"/>
          <w:bCs/>
          <w:szCs w:val="22"/>
        </w:rPr>
      </w:pPr>
      <w:r>
        <w:rPr>
          <w:rFonts w:hint="eastAsia" w:ascii="Arial" w:hAnsi="Arial"/>
          <w:bCs/>
          <w:szCs w:val="22"/>
        </w:rPr>
        <w:t>所有人员必须专职为本项目服务，不得兼职，如需要调换物业服务人员，须及时通报采购人，经采购人认可后方可调整。如服务人员出现素质低劣，不能胜任物业服务工作，采购人有权提出调换，中标人应予以及时调换。</w:t>
      </w:r>
    </w:p>
    <w:p>
      <w:pPr>
        <w:numPr>
          <w:ilvl w:val="0"/>
          <w:numId w:val="16"/>
        </w:numPr>
        <w:snapToGrid w:val="0"/>
        <w:spacing w:line="360" w:lineRule="auto"/>
        <w:ind w:firstLine="422" w:firstLineChars="175"/>
        <w:jc w:val="both"/>
        <w:rPr>
          <w:rFonts w:hint="eastAsia" w:ascii="宋体" w:hAnsi="宋体"/>
          <w:b/>
          <w:bCs/>
          <w:sz w:val="24"/>
          <w:szCs w:val="24"/>
        </w:rPr>
      </w:pPr>
      <w:r>
        <w:rPr>
          <w:rFonts w:hint="eastAsia" w:ascii="宋体" w:hAnsi="宋体"/>
          <w:b/>
          <w:bCs/>
          <w:sz w:val="24"/>
          <w:szCs w:val="24"/>
        </w:rPr>
        <w:t>物业管理的具体内容及服务要求</w:t>
      </w:r>
    </w:p>
    <w:p>
      <w:pPr>
        <w:pageBreakBefore w:val="0"/>
        <w:numPr>
          <w:ilvl w:val="0"/>
          <w:numId w:val="18"/>
        </w:numPr>
        <w:kinsoku/>
        <w:wordWrap/>
        <w:overflowPunct/>
        <w:topLinePunct w:val="0"/>
        <w:autoSpaceDE/>
        <w:autoSpaceDN/>
        <w:bidi w:val="0"/>
        <w:snapToGrid w:val="0"/>
        <w:spacing w:line="360" w:lineRule="auto"/>
        <w:ind w:firstLine="420"/>
        <w:jc w:val="both"/>
        <w:textAlignment w:val="auto"/>
        <w:rPr>
          <w:rFonts w:hint="eastAsia" w:ascii="Arial" w:hAnsi="Arial"/>
          <w:bCs/>
          <w:szCs w:val="22"/>
        </w:rPr>
      </w:pPr>
      <w:r>
        <w:rPr>
          <w:rFonts w:hint="eastAsia" w:ascii="Arial" w:hAnsi="Arial"/>
          <w:bCs/>
          <w:szCs w:val="22"/>
        </w:rPr>
        <w:t>总体要求</w:t>
      </w:r>
    </w:p>
    <w:p>
      <w:pPr>
        <w:numPr>
          <w:ilvl w:val="0"/>
          <w:numId w:val="19"/>
        </w:numPr>
        <w:tabs>
          <w:tab w:val="left" w:pos="640"/>
        </w:tabs>
        <w:spacing w:line="360" w:lineRule="auto"/>
        <w:ind w:left="5" w:firstLine="415"/>
        <w:rPr>
          <w:rFonts w:ascii="宋体" w:hAnsi="宋体" w:cs="宋体"/>
          <w:szCs w:val="21"/>
        </w:rPr>
      </w:pPr>
      <w:r>
        <w:rPr>
          <w:rFonts w:hint="eastAsia" w:ascii="宋体" w:hAnsi="宋体" w:cs="宋体"/>
          <w:spacing w:val="-3"/>
          <w:szCs w:val="21"/>
        </w:rPr>
        <w:t>投标人在建立并完善了各种管理制度和工作流程、明</w:t>
      </w:r>
      <w:r>
        <w:rPr>
          <w:rFonts w:hint="eastAsia" w:ascii="宋体" w:hAnsi="宋体" w:cs="宋体"/>
          <w:spacing w:val="5"/>
          <w:szCs w:val="21"/>
        </w:rPr>
        <w:t>确了分工及职责和工作质量标准的前提下，</w:t>
      </w:r>
      <w:r>
        <w:rPr>
          <w:rFonts w:hint="eastAsia" w:ascii="宋体" w:hAnsi="宋体"/>
        </w:rPr>
        <w:t>推行标准化服务，不断提升服务质量。</w:t>
      </w:r>
      <w:r>
        <w:rPr>
          <w:rFonts w:hint="eastAsia" w:ascii="宋体" w:hAnsi="宋体" w:cs="宋体"/>
          <w:spacing w:val="8"/>
          <w:szCs w:val="21"/>
        </w:rPr>
        <w:t>按照管理内容编制检查表，每日</w:t>
      </w:r>
      <w:r>
        <w:rPr>
          <w:rFonts w:hint="eastAsia" w:ascii="宋体" w:hAnsi="宋体"/>
        </w:rPr>
        <w:t>对各工作岗位的服务质量</w:t>
      </w:r>
      <w:r>
        <w:rPr>
          <w:rFonts w:hint="eastAsia" w:ascii="宋体" w:hAnsi="宋体" w:cs="宋体"/>
          <w:spacing w:val="8"/>
          <w:szCs w:val="21"/>
        </w:rPr>
        <w:t>进行检查，发现问题及时整改、提高。</w:t>
      </w:r>
      <w:r>
        <w:rPr>
          <w:rFonts w:hint="eastAsia" w:ascii="宋体" w:hAnsi="宋体" w:cs="宋体"/>
          <w:spacing w:val="6"/>
          <w:szCs w:val="21"/>
        </w:rPr>
        <w:t>收集服务对象的反馈意见</w:t>
      </w:r>
      <w:r>
        <w:rPr>
          <w:rFonts w:hint="eastAsia" w:ascii="宋体" w:hAnsi="宋体" w:cs="宋体"/>
          <w:spacing w:val="8"/>
          <w:szCs w:val="21"/>
        </w:rPr>
        <w:t>，进行服务水平的优化提高。</w:t>
      </w:r>
    </w:p>
    <w:p>
      <w:pPr>
        <w:numPr>
          <w:ilvl w:val="0"/>
          <w:numId w:val="19"/>
        </w:numPr>
        <w:tabs>
          <w:tab w:val="left" w:pos="640"/>
        </w:tabs>
        <w:spacing w:line="360" w:lineRule="auto"/>
        <w:ind w:left="5" w:firstLine="415"/>
        <w:rPr>
          <w:rFonts w:ascii="宋体" w:hAnsi="宋体" w:cs="宋体"/>
          <w:szCs w:val="21"/>
        </w:rPr>
      </w:pPr>
      <w:r>
        <w:rPr>
          <w:rFonts w:hint="eastAsia" w:ascii="宋体" w:hAnsi="宋体" w:cs="宋体"/>
          <w:szCs w:val="21"/>
        </w:rPr>
        <w:t>有本企业的形象识别系统、服务理念、行为规范（专业着装、佩戴标志、语言规范、文明服务）、现场标识等。</w:t>
      </w:r>
    </w:p>
    <w:p>
      <w:pPr>
        <w:numPr>
          <w:ilvl w:val="0"/>
          <w:numId w:val="19"/>
        </w:numPr>
        <w:tabs>
          <w:tab w:val="left" w:pos="220"/>
          <w:tab w:val="left" w:pos="640"/>
        </w:tabs>
        <w:spacing w:line="360" w:lineRule="auto"/>
        <w:ind w:left="5" w:firstLine="415"/>
        <w:rPr>
          <w:rFonts w:ascii="宋体" w:hAnsi="宋体" w:cs="宋体"/>
          <w:szCs w:val="21"/>
        </w:rPr>
      </w:pPr>
      <w:r>
        <w:rPr>
          <w:rFonts w:hint="eastAsia" w:ascii="宋体" w:hAnsi="宋体" w:cs="宋体"/>
          <w:szCs w:val="21"/>
        </w:rPr>
        <w:t>房屋档案、设备档案、财务管理、日常管理等运用计算机管理。</w:t>
      </w:r>
    </w:p>
    <w:p>
      <w:pPr>
        <w:numPr>
          <w:ilvl w:val="0"/>
          <w:numId w:val="19"/>
        </w:numPr>
        <w:tabs>
          <w:tab w:val="left" w:pos="220"/>
          <w:tab w:val="left" w:pos="640"/>
        </w:tabs>
        <w:spacing w:line="360" w:lineRule="auto"/>
        <w:ind w:left="5" w:firstLine="415"/>
        <w:rPr>
          <w:rFonts w:ascii="宋体" w:hAnsi="宋体" w:cs="宋体"/>
          <w:szCs w:val="21"/>
        </w:rPr>
      </w:pPr>
      <w:r>
        <w:rPr>
          <w:rFonts w:hint="eastAsia" w:ascii="宋体" w:hAnsi="宋体" w:cs="宋体"/>
          <w:szCs w:val="21"/>
        </w:rPr>
        <w:t>建立完善的档案管理制度（物业管理设备管理档案、日常管理档案等）。</w:t>
      </w:r>
    </w:p>
    <w:p>
      <w:pPr>
        <w:numPr>
          <w:ilvl w:val="0"/>
          <w:numId w:val="19"/>
        </w:numPr>
        <w:tabs>
          <w:tab w:val="left" w:pos="220"/>
          <w:tab w:val="left" w:pos="640"/>
        </w:tabs>
        <w:spacing w:line="360" w:lineRule="auto"/>
        <w:ind w:left="5" w:firstLine="415"/>
        <w:rPr>
          <w:rFonts w:ascii="宋体" w:hAnsi="宋体" w:cs="宋体"/>
          <w:szCs w:val="21"/>
        </w:rPr>
      </w:pPr>
      <w:r>
        <w:rPr>
          <w:rFonts w:hint="eastAsia" w:ascii="宋体" w:hAnsi="宋体" w:cs="宋体"/>
          <w:szCs w:val="21"/>
        </w:rPr>
        <w:t>建立健全的财务管理制度，依法做好财务管理工作。</w:t>
      </w:r>
    </w:p>
    <w:p>
      <w:pPr>
        <w:numPr>
          <w:ilvl w:val="0"/>
          <w:numId w:val="19"/>
        </w:numPr>
        <w:tabs>
          <w:tab w:val="left" w:pos="220"/>
          <w:tab w:val="left" w:pos="640"/>
        </w:tabs>
        <w:spacing w:line="360" w:lineRule="auto"/>
        <w:ind w:left="5" w:firstLine="415"/>
        <w:rPr>
          <w:rFonts w:ascii="宋体" w:hAnsi="宋体" w:cs="宋体"/>
          <w:szCs w:val="21"/>
          <w:highlight w:val="none"/>
        </w:rPr>
      </w:pPr>
      <w:r>
        <w:rPr>
          <w:rFonts w:hint="eastAsia"/>
          <w:szCs w:val="22"/>
          <w:highlight w:val="none"/>
        </w:rPr>
        <w:t>按照市政大院安全保卫工作特点建立切实可行的应急预案</w:t>
      </w:r>
      <w:r>
        <w:rPr>
          <w:rFonts w:hint="eastAsia" w:ascii="宋体" w:hAnsi="宋体" w:cs="宋体"/>
          <w:szCs w:val="21"/>
          <w:highlight w:val="none"/>
        </w:rPr>
        <w:t>（</w:t>
      </w:r>
      <w:r>
        <w:rPr>
          <w:rFonts w:hint="eastAsia"/>
          <w:szCs w:val="22"/>
          <w:highlight w:val="none"/>
        </w:rPr>
        <w:t>如消防、抗台、安全、**、信访闹</w:t>
      </w:r>
      <w:r>
        <w:rPr>
          <w:rFonts w:hint="eastAsia"/>
          <w:szCs w:val="22"/>
          <w:highlight w:val="none"/>
          <w:lang w:val="en-US" w:eastAsia="zh-CN"/>
        </w:rPr>
        <w:t>事、特殊事件、应急事件等</w:t>
      </w:r>
      <w:r>
        <w:rPr>
          <w:rFonts w:hint="eastAsia" w:ascii="宋体" w:hAnsi="宋体" w:cs="宋体"/>
          <w:szCs w:val="21"/>
          <w:highlight w:val="none"/>
        </w:rPr>
        <w:t>）并实施，培训相关人员达到相关要求。</w:t>
      </w:r>
    </w:p>
    <w:p>
      <w:pPr>
        <w:numPr>
          <w:ilvl w:val="0"/>
          <w:numId w:val="19"/>
        </w:numPr>
        <w:tabs>
          <w:tab w:val="left" w:pos="220"/>
          <w:tab w:val="left" w:pos="640"/>
        </w:tabs>
        <w:spacing w:line="360" w:lineRule="auto"/>
        <w:ind w:left="5" w:firstLine="415"/>
        <w:rPr>
          <w:rFonts w:hint="eastAsia" w:ascii="宋体" w:hAnsi="宋体" w:cs="宋体"/>
          <w:szCs w:val="21"/>
          <w:highlight w:val="none"/>
        </w:rPr>
      </w:pPr>
      <w:r>
        <w:rPr>
          <w:rFonts w:hint="eastAsia" w:ascii="宋体" w:hAnsi="宋体" w:cs="宋体"/>
          <w:szCs w:val="21"/>
          <w:highlight w:val="none"/>
        </w:rPr>
        <w:t>协助市公安局驻市政大院**联络室处理好市政大院及周边信访秩序。</w:t>
      </w:r>
    </w:p>
    <w:p>
      <w:pPr>
        <w:numPr>
          <w:ilvl w:val="0"/>
          <w:numId w:val="19"/>
        </w:numPr>
        <w:tabs>
          <w:tab w:val="left" w:pos="220"/>
          <w:tab w:val="left" w:pos="630"/>
        </w:tabs>
        <w:spacing w:line="360" w:lineRule="auto"/>
        <w:ind w:left="5" w:firstLine="415"/>
        <w:rPr>
          <w:rFonts w:ascii="宋体" w:hAnsi="宋体" w:cs="宋体"/>
          <w:szCs w:val="21"/>
        </w:rPr>
      </w:pPr>
      <w:r>
        <w:rPr>
          <w:rFonts w:hint="eastAsia" w:ascii="宋体" w:hAnsi="宋体" w:cs="宋体"/>
          <w:szCs w:val="21"/>
        </w:rPr>
        <w:t>根据物业管理内容及要求进行物业管理机构设置、资源配置、质量管理控制及制订管理方案。</w:t>
      </w:r>
    </w:p>
    <w:p>
      <w:pPr>
        <w:numPr>
          <w:ilvl w:val="0"/>
          <w:numId w:val="19"/>
        </w:numPr>
        <w:tabs>
          <w:tab w:val="left" w:pos="220"/>
          <w:tab w:val="left" w:pos="630"/>
        </w:tabs>
        <w:spacing w:line="360" w:lineRule="auto"/>
        <w:ind w:left="5" w:firstLine="415"/>
        <w:rPr>
          <w:rFonts w:ascii="宋体" w:hAnsi="宋体" w:cs="宋体"/>
          <w:szCs w:val="21"/>
        </w:rPr>
      </w:pPr>
      <w:r>
        <w:rPr>
          <w:rFonts w:hint="eastAsia" w:ascii="宋体" w:hAnsi="宋体" w:cs="宋体"/>
          <w:szCs w:val="21"/>
        </w:rPr>
        <w:t>重大活动任务必须事先制订周密的工作计划，并严格按照计划实施。</w:t>
      </w:r>
    </w:p>
    <w:p>
      <w:pPr>
        <w:pageBreakBefore w:val="0"/>
        <w:numPr>
          <w:ilvl w:val="0"/>
          <w:numId w:val="18"/>
        </w:numPr>
        <w:kinsoku/>
        <w:wordWrap/>
        <w:overflowPunct/>
        <w:topLinePunct w:val="0"/>
        <w:autoSpaceDE/>
        <w:autoSpaceDN/>
        <w:bidi w:val="0"/>
        <w:snapToGrid w:val="0"/>
        <w:spacing w:line="360" w:lineRule="auto"/>
        <w:ind w:firstLine="420"/>
        <w:jc w:val="both"/>
        <w:textAlignment w:val="auto"/>
        <w:rPr>
          <w:rFonts w:hint="eastAsia" w:ascii="Arial" w:hAnsi="Arial"/>
          <w:bCs/>
          <w:szCs w:val="22"/>
        </w:rPr>
      </w:pPr>
      <w:r>
        <w:rPr>
          <w:rFonts w:hint="eastAsia" w:ascii="Arial" w:hAnsi="Arial"/>
          <w:bCs/>
          <w:szCs w:val="22"/>
        </w:rPr>
        <w:t>各项具体服务要求</w:t>
      </w:r>
    </w:p>
    <w:p>
      <w:pPr>
        <w:numPr>
          <w:ilvl w:val="0"/>
          <w:numId w:val="20"/>
        </w:numPr>
        <w:tabs>
          <w:tab w:val="left" w:pos="630"/>
        </w:tabs>
        <w:spacing w:line="360" w:lineRule="auto"/>
        <w:ind w:hanging="5"/>
        <w:rPr>
          <w:rFonts w:ascii="宋体" w:hAnsi="宋体" w:cs="宋体"/>
          <w:b/>
          <w:bCs/>
          <w:szCs w:val="21"/>
        </w:rPr>
      </w:pPr>
      <w:r>
        <w:rPr>
          <w:rFonts w:hint="eastAsia" w:ascii="宋体" w:hAnsi="宋体" w:cs="宋体"/>
          <w:b/>
          <w:bCs/>
          <w:szCs w:val="21"/>
        </w:rPr>
        <w:t>秩序维护、消防监控管理</w:t>
      </w:r>
    </w:p>
    <w:p>
      <w:pPr>
        <w:numPr>
          <w:ilvl w:val="0"/>
          <w:numId w:val="21"/>
        </w:numPr>
        <w:tabs>
          <w:tab w:val="left" w:pos="360"/>
        </w:tabs>
        <w:snapToGrid w:val="0"/>
        <w:spacing w:line="380" w:lineRule="exact"/>
        <w:ind w:leftChars="200" w:hanging="5"/>
        <w:jc w:val="both"/>
      </w:pPr>
      <w:r>
        <w:rPr>
          <w:rFonts w:hint="eastAsia"/>
          <w:b/>
          <w:bCs/>
        </w:rPr>
        <w:t>服务范围</w:t>
      </w:r>
    </w:p>
    <w:p>
      <w:pPr>
        <w:snapToGrid w:val="0"/>
        <w:spacing w:line="380" w:lineRule="exact"/>
        <w:ind w:left="8" w:leftChars="0" w:firstLine="411" w:firstLineChars="196"/>
        <w:jc w:val="both"/>
      </w:pPr>
      <w:r>
        <w:rPr>
          <w:rFonts w:hint="eastAsia"/>
        </w:rPr>
        <w:t>负责市政大院全部场所（含市人大联络室、综合办公楼、市四套班子办公楼及领导办公室、领导生活房、市机关事务管理中心办公楼、原信访局办公楼、新会议楼、市政会议中心、市社会矛盾纠纷调处化解中心、机关餐厅）及人民广场的正常秩序、安全保卫、消防、监控、停车秩序</w:t>
      </w:r>
      <w:r>
        <w:rPr>
          <w:rFonts w:hint="eastAsia"/>
          <w:lang w:val="en-US" w:eastAsia="zh-CN"/>
        </w:rPr>
        <w:t>、安检</w:t>
      </w:r>
      <w:r>
        <w:rPr>
          <w:rFonts w:hint="eastAsia"/>
        </w:rPr>
        <w:t>等管理工作。</w:t>
      </w:r>
    </w:p>
    <w:p>
      <w:pPr>
        <w:numPr>
          <w:ilvl w:val="0"/>
          <w:numId w:val="21"/>
        </w:numPr>
        <w:tabs>
          <w:tab w:val="left" w:pos="360"/>
        </w:tabs>
        <w:snapToGrid w:val="0"/>
        <w:spacing w:line="380" w:lineRule="exact"/>
        <w:ind w:leftChars="200" w:hanging="5"/>
        <w:jc w:val="both"/>
        <w:rPr>
          <w:b/>
          <w:bCs/>
        </w:rPr>
      </w:pPr>
      <w:r>
        <w:rPr>
          <w:rFonts w:hint="eastAsia"/>
          <w:b/>
          <w:bCs/>
        </w:rPr>
        <w:t>服务要求</w:t>
      </w:r>
    </w:p>
    <w:p>
      <w:pPr>
        <w:numPr>
          <w:ilvl w:val="0"/>
          <w:numId w:val="22"/>
        </w:numPr>
        <w:snapToGrid w:val="0"/>
        <w:spacing w:line="380" w:lineRule="exact"/>
        <w:ind w:left="0" w:leftChars="0" w:firstLine="418" w:firstLineChars="0"/>
        <w:jc w:val="both"/>
        <w:rPr>
          <w:b/>
          <w:bCs/>
        </w:rPr>
      </w:pPr>
      <w:r>
        <w:rPr>
          <w:rFonts w:hint="eastAsia"/>
          <w:b/>
        </w:rPr>
        <w:t>东岗亭岗位</w:t>
      </w:r>
      <w:r>
        <w:rPr>
          <w:rFonts w:hint="eastAsia"/>
          <w:b/>
          <w:bCs/>
        </w:rPr>
        <w:t>工作要求</w:t>
      </w:r>
    </w:p>
    <w:p>
      <w:pPr>
        <w:numPr>
          <w:ilvl w:val="0"/>
          <w:numId w:val="23"/>
        </w:numPr>
        <w:snapToGrid w:val="0"/>
        <w:spacing w:line="380" w:lineRule="exact"/>
        <w:ind w:left="0" w:leftChars="0" w:firstLine="418" w:firstLineChars="0"/>
        <w:jc w:val="both"/>
        <w:rPr>
          <w:rFonts w:hint="eastAsia"/>
          <w:szCs w:val="22"/>
        </w:rPr>
      </w:pPr>
      <w:r>
        <w:rPr>
          <w:rFonts w:hint="eastAsia"/>
          <w:szCs w:val="22"/>
        </w:rPr>
        <w:t>按时开、关东大门，无特殊情况7:30开门，18:30关门（随行政上、下班时间分别提前和延迟1小时）。</w:t>
      </w:r>
    </w:p>
    <w:p>
      <w:pPr>
        <w:numPr>
          <w:ilvl w:val="0"/>
          <w:numId w:val="23"/>
        </w:numPr>
        <w:snapToGrid w:val="0"/>
        <w:spacing w:line="380" w:lineRule="exact"/>
        <w:ind w:left="0" w:leftChars="0" w:firstLine="418" w:firstLineChars="0"/>
        <w:jc w:val="both"/>
        <w:rPr>
          <w:rFonts w:hint="eastAsia"/>
          <w:szCs w:val="22"/>
        </w:rPr>
      </w:pPr>
      <w:r>
        <w:rPr>
          <w:rFonts w:hint="eastAsia"/>
          <w:szCs w:val="22"/>
        </w:rPr>
        <w:t>禁止闲杂人员及车辆进入市政大院，外来办事人员一律由正门登记有效证件进出，机关工作人员</w:t>
      </w:r>
      <w:r>
        <w:rPr>
          <w:rFonts w:hint="eastAsia"/>
          <w:szCs w:val="22"/>
          <w:highlight w:val="none"/>
        </w:rPr>
        <w:t>由</w:t>
      </w:r>
      <w:r>
        <w:rPr>
          <w:rFonts w:hint="eastAsia"/>
          <w:szCs w:val="22"/>
          <w:highlight w:val="none"/>
          <w:lang w:eastAsia="zh-CN"/>
        </w:rPr>
        <w:t>东岗亭</w:t>
      </w:r>
      <w:r>
        <w:rPr>
          <w:rFonts w:hint="eastAsia"/>
          <w:szCs w:val="22"/>
          <w:highlight w:val="none"/>
          <w:lang w:val="en-US" w:eastAsia="zh-CN"/>
        </w:rPr>
        <w:t>使用人脸识别系统</w:t>
      </w:r>
      <w:r>
        <w:rPr>
          <w:rFonts w:hint="eastAsia"/>
          <w:szCs w:val="22"/>
          <w:highlight w:val="none"/>
        </w:rPr>
        <w:t>进出</w:t>
      </w:r>
      <w:r>
        <w:rPr>
          <w:rFonts w:hint="eastAsia" w:ascii="Times New Roman" w:hAnsi="Times New Roman" w:eastAsia="宋体" w:cs="Times New Roman"/>
          <w:szCs w:val="22"/>
          <w:highlight w:val="none"/>
          <w:lang w:val="en-US" w:eastAsia="zh-CN"/>
        </w:rPr>
        <w:t>，车辆一律使用车辆门禁感应系统进入，</w:t>
      </w:r>
      <w:r>
        <w:rPr>
          <w:rFonts w:hint="eastAsia" w:ascii="Times New Roman" w:hAnsi="Times New Roman" w:eastAsia="宋体" w:cs="Times New Roman"/>
          <w:szCs w:val="22"/>
          <w:highlight w:val="none"/>
          <w:lang w:eastAsia="zh-CN"/>
        </w:rPr>
        <w:t>车辆在行政上班时间一律东进西出</w:t>
      </w:r>
      <w:r>
        <w:rPr>
          <w:rFonts w:hint="eastAsia"/>
          <w:szCs w:val="22"/>
        </w:rPr>
        <w:t>，不得停留在门口及通道，严禁超速或逆向行驶。</w:t>
      </w:r>
    </w:p>
    <w:p>
      <w:pPr>
        <w:numPr>
          <w:ilvl w:val="0"/>
          <w:numId w:val="23"/>
        </w:numPr>
        <w:snapToGrid w:val="0"/>
        <w:spacing w:line="380" w:lineRule="exact"/>
        <w:ind w:left="0" w:leftChars="0" w:firstLine="418" w:firstLineChars="0"/>
        <w:jc w:val="both"/>
        <w:rPr>
          <w:rFonts w:hint="eastAsia"/>
          <w:szCs w:val="22"/>
        </w:rPr>
      </w:pPr>
      <w:r>
        <w:rPr>
          <w:rFonts w:hint="eastAsia"/>
          <w:szCs w:val="22"/>
        </w:rPr>
        <w:t>值班人员做好本职工作，接班时打扫卫生，保持室内合理布局和做好各种值班器材的维护交接工作。</w:t>
      </w:r>
    </w:p>
    <w:p>
      <w:pPr>
        <w:numPr>
          <w:ilvl w:val="0"/>
          <w:numId w:val="23"/>
        </w:numPr>
        <w:snapToGrid w:val="0"/>
        <w:spacing w:line="380" w:lineRule="exact"/>
        <w:ind w:left="0" w:leftChars="0" w:firstLine="418" w:firstLineChars="0"/>
        <w:jc w:val="both"/>
        <w:rPr>
          <w:rFonts w:hint="eastAsia"/>
          <w:szCs w:val="22"/>
        </w:rPr>
      </w:pPr>
      <w:r>
        <w:rPr>
          <w:rFonts w:hint="eastAsia"/>
          <w:szCs w:val="22"/>
        </w:rPr>
        <w:t>巡查所辖区域的治安消防工作，发现情况及时组织处理，并汇报。</w:t>
      </w:r>
    </w:p>
    <w:p>
      <w:pPr>
        <w:numPr>
          <w:ilvl w:val="0"/>
          <w:numId w:val="23"/>
        </w:numPr>
        <w:snapToGrid w:val="0"/>
        <w:spacing w:line="380" w:lineRule="exact"/>
        <w:ind w:left="0" w:leftChars="0" w:firstLine="418" w:firstLineChars="0"/>
        <w:jc w:val="both"/>
        <w:rPr>
          <w:rFonts w:hint="eastAsia"/>
          <w:szCs w:val="22"/>
        </w:rPr>
      </w:pPr>
      <w:r>
        <w:rPr>
          <w:rFonts w:hint="eastAsia"/>
          <w:szCs w:val="22"/>
          <w:highlight w:val="none"/>
        </w:rPr>
        <w:t>形象岗</w:t>
      </w:r>
      <w:r>
        <w:rPr>
          <w:rFonts w:hint="eastAsia"/>
          <w:szCs w:val="22"/>
        </w:rPr>
        <w:t>人员要执行立岗制度，姿态端正，精神饱满，仪容整洁，礼节周到。</w:t>
      </w:r>
    </w:p>
    <w:p>
      <w:pPr>
        <w:numPr>
          <w:ilvl w:val="0"/>
          <w:numId w:val="23"/>
        </w:numPr>
        <w:snapToGrid w:val="0"/>
        <w:spacing w:line="380" w:lineRule="exact"/>
        <w:ind w:left="0" w:leftChars="0" w:firstLine="418" w:firstLineChars="0"/>
        <w:jc w:val="both"/>
        <w:rPr>
          <w:rFonts w:hint="eastAsia"/>
          <w:szCs w:val="22"/>
        </w:rPr>
      </w:pPr>
      <w:r>
        <w:rPr>
          <w:rFonts w:hint="eastAsia"/>
          <w:szCs w:val="22"/>
        </w:rPr>
        <w:t>负责万松路至东大门道路秩序管理。</w:t>
      </w:r>
    </w:p>
    <w:p>
      <w:pPr>
        <w:numPr>
          <w:ilvl w:val="0"/>
          <w:numId w:val="23"/>
        </w:numPr>
        <w:snapToGrid w:val="0"/>
        <w:spacing w:line="380" w:lineRule="exact"/>
        <w:ind w:left="0" w:leftChars="0" w:firstLine="418" w:firstLineChars="0"/>
        <w:jc w:val="both"/>
        <w:rPr>
          <w:rFonts w:hint="eastAsia"/>
          <w:szCs w:val="22"/>
        </w:rPr>
      </w:pPr>
      <w:r>
        <w:rPr>
          <w:rFonts w:hint="eastAsia"/>
          <w:szCs w:val="22"/>
        </w:rPr>
        <w:t>做好交接班和值班记录，并保管好值班记录。</w:t>
      </w:r>
    </w:p>
    <w:p>
      <w:pPr>
        <w:numPr>
          <w:ilvl w:val="0"/>
          <w:numId w:val="24"/>
        </w:numPr>
        <w:snapToGrid w:val="0"/>
        <w:spacing w:line="380" w:lineRule="exact"/>
        <w:ind w:hanging="200"/>
        <w:jc w:val="both"/>
        <w:rPr>
          <w:b/>
          <w:bCs/>
        </w:rPr>
      </w:pPr>
      <w:r>
        <w:rPr>
          <w:rFonts w:hint="eastAsia"/>
          <w:b/>
          <w:bCs/>
          <w:lang w:val="en-US" w:eastAsia="zh-CN"/>
        </w:rPr>
        <w:t>正门</w:t>
      </w:r>
      <w:r>
        <w:rPr>
          <w:rFonts w:hint="eastAsia"/>
          <w:b/>
          <w:bCs/>
        </w:rPr>
        <w:t>岗位工作要求</w:t>
      </w:r>
    </w:p>
    <w:p>
      <w:pPr>
        <w:numPr>
          <w:ilvl w:val="0"/>
          <w:numId w:val="25"/>
        </w:numPr>
        <w:snapToGrid w:val="0"/>
        <w:spacing w:line="380" w:lineRule="exact"/>
        <w:jc w:val="both"/>
        <w:rPr>
          <w:rFonts w:hint="eastAsia"/>
          <w:szCs w:val="22"/>
        </w:rPr>
      </w:pPr>
      <w:r>
        <w:rPr>
          <w:rFonts w:hint="eastAsia"/>
          <w:szCs w:val="22"/>
        </w:rPr>
        <w:t>按时开、关正门大厅，无特殊情况7:30开门，18:30关门（随行政上、下班时间分别提前和延迟1小时）。</w:t>
      </w:r>
    </w:p>
    <w:p>
      <w:pPr>
        <w:numPr>
          <w:ilvl w:val="0"/>
          <w:numId w:val="25"/>
        </w:numPr>
        <w:snapToGrid w:val="0"/>
        <w:spacing w:line="380" w:lineRule="exact"/>
        <w:jc w:val="both"/>
        <w:rPr>
          <w:rFonts w:hint="eastAsia"/>
          <w:szCs w:val="22"/>
        </w:rPr>
      </w:pPr>
      <w:r>
        <w:rPr>
          <w:rFonts w:hint="eastAsia"/>
          <w:szCs w:val="22"/>
        </w:rPr>
        <w:t>负责维持正门大厅秩序，确保正门大厅畅通有序。</w:t>
      </w:r>
    </w:p>
    <w:p>
      <w:pPr>
        <w:numPr>
          <w:ilvl w:val="0"/>
          <w:numId w:val="25"/>
        </w:numPr>
        <w:snapToGrid w:val="0"/>
        <w:spacing w:line="380" w:lineRule="exact"/>
        <w:jc w:val="both"/>
        <w:rPr>
          <w:rFonts w:hint="eastAsia"/>
          <w:szCs w:val="22"/>
        </w:rPr>
      </w:pPr>
      <w:r>
        <w:rPr>
          <w:rFonts w:hint="eastAsia"/>
          <w:szCs w:val="22"/>
        </w:rPr>
        <w:t>密切注意大厅出入人员，劝离衣冠不整者及闲杂人员。</w:t>
      </w:r>
    </w:p>
    <w:p>
      <w:pPr>
        <w:numPr>
          <w:ilvl w:val="0"/>
          <w:numId w:val="25"/>
        </w:numPr>
        <w:snapToGrid w:val="0"/>
        <w:spacing w:line="380" w:lineRule="exact"/>
        <w:jc w:val="both"/>
        <w:rPr>
          <w:rFonts w:hint="eastAsia"/>
          <w:szCs w:val="22"/>
        </w:rPr>
      </w:pPr>
      <w:r>
        <w:rPr>
          <w:rFonts w:hint="eastAsia"/>
          <w:szCs w:val="22"/>
          <w:highlight w:val="none"/>
        </w:rPr>
        <w:t>负责查验大件</w:t>
      </w:r>
      <w:r>
        <w:rPr>
          <w:rFonts w:hint="eastAsia"/>
          <w:szCs w:val="22"/>
          <w:highlight w:val="none"/>
          <w:lang w:eastAsia="zh-CN"/>
        </w:rPr>
        <w:t>和可疑</w:t>
      </w:r>
      <w:r>
        <w:rPr>
          <w:rFonts w:hint="eastAsia"/>
          <w:szCs w:val="22"/>
          <w:highlight w:val="none"/>
        </w:rPr>
        <w:t>物品进入大院，</w:t>
      </w:r>
      <w:r>
        <w:rPr>
          <w:rFonts w:hint="eastAsia"/>
          <w:szCs w:val="22"/>
          <w:highlight w:val="none"/>
          <w:lang w:eastAsia="zh-CN"/>
        </w:rPr>
        <w:t>安检人员检查后方能进入。</w:t>
      </w:r>
      <w:r>
        <w:rPr>
          <w:rFonts w:hint="eastAsia"/>
          <w:szCs w:val="22"/>
          <w:highlight w:val="none"/>
        </w:rPr>
        <w:t>快递取投原则安排</w:t>
      </w:r>
      <w:r>
        <w:rPr>
          <w:rFonts w:hint="eastAsia"/>
          <w:szCs w:val="22"/>
        </w:rPr>
        <w:t>在东侧台阶下的投递箱柜内，严禁运送快递人员进入大门。</w:t>
      </w:r>
    </w:p>
    <w:p>
      <w:pPr>
        <w:numPr>
          <w:ilvl w:val="0"/>
          <w:numId w:val="25"/>
        </w:numPr>
        <w:snapToGrid w:val="0"/>
        <w:spacing w:line="380" w:lineRule="exact"/>
        <w:jc w:val="both"/>
        <w:rPr>
          <w:rFonts w:hint="eastAsia"/>
          <w:szCs w:val="22"/>
        </w:rPr>
      </w:pPr>
      <w:r>
        <w:rPr>
          <w:rFonts w:hint="eastAsia"/>
          <w:szCs w:val="22"/>
        </w:rPr>
        <w:t>负责非大院人员出入的登记工作，严禁无关人员进入大院，遇群众上访事件应维持秩序（按瑞委办[2018]46号文件执行），不得任其入内，及时处理且汇报。</w:t>
      </w:r>
    </w:p>
    <w:p>
      <w:pPr>
        <w:numPr>
          <w:ilvl w:val="0"/>
          <w:numId w:val="25"/>
        </w:numPr>
        <w:snapToGrid w:val="0"/>
        <w:spacing w:line="380" w:lineRule="exact"/>
        <w:jc w:val="both"/>
        <w:rPr>
          <w:rFonts w:hint="eastAsia"/>
          <w:szCs w:val="22"/>
        </w:rPr>
      </w:pPr>
      <w:r>
        <w:rPr>
          <w:rFonts w:hint="eastAsia"/>
          <w:szCs w:val="22"/>
        </w:rPr>
        <w:t>正门出入口不得停放车辆，发现后及时疏导劝离，确保大门畅通，保持正门良好交通秩序。</w:t>
      </w:r>
    </w:p>
    <w:p>
      <w:pPr>
        <w:numPr>
          <w:ilvl w:val="0"/>
          <w:numId w:val="25"/>
        </w:numPr>
        <w:snapToGrid w:val="0"/>
        <w:spacing w:line="380" w:lineRule="exact"/>
        <w:jc w:val="both"/>
        <w:rPr>
          <w:rFonts w:hint="eastAsia"/>
          <w:szCs w:val="22"/>
        </w:rPr>
      </w:pPr>
      <w:r>
        <w:rPr>
          <w:rFonts w:hint="eastAsia"/>
          <w:szCs w:val="22"/>
        </w:rPr>
        <w:t>两名</w:t>
      </w:r>
      <w:r>
        <w:rPr>
          <w:rFonts w:hint="eastAsia"/>
          <w:szCs w:val="22"/>
          <w:highlight w:val="none"/>
        </w:rPr>
        <w:t>形象岗</w:t>
      </w:r>
      <w:r>
        <w:rPr>
          <w:rFonts w:hint="eastAsia"/>
          <w:szCs w:val="22"/>
        </w:rPr>
        <w:t>人员要执行立岗制度，姿态端正，精神饱满，仪容整洁，礼节周到。</w:t>
      </w:r>
    </w:p>
    <w:p>
      <w:pPr>
        <w:numPr>
          <w:ilvl w:val="0"/>
          <w:numId w:val="25"/>
        </w:numPr>
        <w:snapToGrid w:val="0"/>
        <w:spacing w:line="380" w:lineRule="exact"/>
        <w:jc w:val="both"/>
        <w:rPr>
          <w:rFonts w:hint="eastAsia"/>
          <w:szCs w:val="22"/>
        </w:rPr>
      </w:pPr>
      <w:r>
        <w:rPr>
          <w:rFonts w:hint="eastAsia"/>
          <w:szCs w:val="22"/>
        </w:rPr>
        <w:t>做好交接班和值班记录，并保管好值班记录。</w:t>
      </w:r>
    </w:p>
    <w:p>
      <w:pPr>
        <w:numPr>
          <w:ilvl w:val="0"/>
          <w:numId w:val="26"/>
        </w:numPr>
        <w:snapToGrid w:val="0"/>
        <w:spacing w:line="380" w:lineRule="exact"/>
        <w:ind w:hanging="200"/>
        <w:jc w:val="both"/>
        <w:rPr>
          <w:b/>
          <w:bCs/>
        </w:rPr>
      </w:pPr>
      <w:r>
        <w:rPr>
          <w:rFonts w:hint="eastAsia"/>
          <w:b/>
        </w:rPr>
        <w:t>西岗亭岗位</w:t>
      </w:r>
      <w:r>
        <w:rPr>
          <w:rFonts w:hint="eastAsia"/>
          <w:b/>
          <w:lang w:val="en-US" w:eastAsia="zh-CN"/>
        </w:rPr>
        <w:t>工作</w:t>
      </w:r>
      <w:r>
        <w:rPr>
          <w:rFonts w:hint="eastAsia"/>
          <w:b/>
          <w:bCs/>
        </w:rPr>
        <w:t>要求</w:t>
      </w:r>
    </w:p>
    <w:p>
      <w:pPr>
        <w:numPr>
          <w:ilvl w:val="0"/>
          <w:numId w:val="27"/>
        </w:numPr>
        <w:snapToGrid w:val="0"/>
        <w:spacing w:line="380" w:lineRule="exact"/>
        <w:jc w:val="both"/>
        <w:rPr>
          <w:rFonts w:hint="eastAsia"/>
          <w:szCs w:val="22"/>
        </w:rPr>
      </w:pPr>
      <w:r>
        <w:rPr>
          <w:rFonts w:hint="eastAsia"/>
          <w:szCs w:val="22"/>
        </w:rPr>
        <w:t>实行24小时值班制度。</w:t>
      </w:r>
    </w:p>
    <w:p>
      <w:pPr>
        <w:numPr>
          <w:ilvl w:val="0"/>
          <w:numId w:val="27"/>
        </w:numPr>
        <w:snapToGrid w:val="0"/>
        <w:spacing w:line="380" w:lineRule="exact"/>
        <w:jc w:val="both"/>
        <w:rPr>
          <w:rFonts w:hint="eastAsia"/>
          <w:szCs w:val="22"/>
          <w:highlight w:val="none"/>
        </w:rPr>
      </w:pPr>
      <w:r>
        <w:rPr>
          <w:rFonts w:hint="eastAsia"/>
          <w:szCs w:val="22"/>
          <w:highlight w:val="none"/>
        </w:rPr>
        <w:t>禁止闲杂人员及无关车辆进入大院。机关工作人员由</w:t>
      </w:r>
      <w:r>
        <w:rPr>
          <w:rFonts w:hint="eastAsia"/>
          <w:szCs w:val="22"/>
          <w:highlight w:val="none"/>
          <w:lang w:eastAsia="zh-CN"/>
        </w:rPr>
        <w:t>西岗亭</w:t>
      </w:r>
      <w:r>
        <w:rPr>
          <w:rFonts w:hint="eastAsia"/>
          <w:szCs w:val="22"/>
          <w:highlight w:val="none"/>
          <w:lang w:val="en-US" w:eastAsia="zh-CN"/>
        </w:rPr>
        <w:t>使用人脸识别系统</w:t>
      </w:r>
      <w:r>
        <w:rPr>
          <w:rFonts w:hint="eastAsia"/>
          <w:szCs w:val="22"/>
          <w:highlight w:val="none"/>
        </w:rPr>
        <w:t>进出，外来办事人员一律由正门登记进入，车辆在行政上班时间一律东进西出，禁止车辆逆向行驶进入大院。节假日及非办公时间由西门</w:t>
      </w:r>
      <w:r>
        <w:rPr>
          <w:rFonts w:hint="eastAsia" w:ascii="Times New Roman" w:hAnsi="Times New Roman" w:eastAsia="宋体" w:cs="Times New Roman"/>
          <w:szCs w:val="22"/>
          <w:highlight w:val="none"/>
          <w:lang w:val="en-US" w:eastAsia="zh-CN"/>
        </w:rPr>
        <w:t>使用车辆门禁感应系统进出，未使用人脸识别系统和车辆门禁感应系统进出的车辆和人员</w:t>
      </w:r>
      <w:r>
        <w:rPr>
          <w:rFonts w:hint="eastAsia"/>
          <w:szCs w:val="22"/>
          <w:highlight w:val="none"/>
          <w:lang w:val="en-US" w:eastAsia="zh-CN"/>
        </w:rPr>
        <w:t>，</w:t>
      </w:r>
      <w:r>
        <w:rPr>
          <w:rFonts w:hint="eastAsia"/>
          <w:szCs w:val="22"/>
          <w:highlight w:val="none"/>
        </w:rPr>
        <w:t>要对进出人员和车辆进行严格掌控盘问登记。</w:t>
      </w:r>
    </w:p>
    <w:p>
      <w:pPr>
        <w:numPr>
          <w:ilvl w:val="0"/>
          <w:numId w:val="27"/>
        </w:numPr>
        <w:snapToGrid w:val="0"/>
        <w:spacing w:line="380" w:lineRule="exact"/>
        <w:jc w:val="both"/>
        <w:rPr>
          <w:rFonts w:hint="eastAsia"/>
          <w:szCs w:val="22"/>
        </w:rPr>
      </w:pPr>
      <w:r>
        <w:rPr>
          <w:rFonts w:hint="eastAsia"/>
          <w:szCs w:val="22"/>
        </w:rPr>
        <w:t>值班人员本职工作，接班时打扫卫生，保持室内合理布局和做好各种值班器材的维护交接工作。</w:t>
      </w:r>
    </w:p>
    <w:p>
      <w:pPr>
        <w:numPr>
          <w:ilvl w:val="0"/>
          <w:numId w:val="27"/>
        </w:numPr>
        <w:snapToGrid w:val="0"/>
        <w:spacing w:line="380" w:lineRule="exact"/>
        <w:jc w:val="both"/>
        <w:rPr>
          <w:rFonts w:hint="eastAsia"/>
          <w:szCs w:val="22"/>
        </w:rPr>
      </w:pPr>
      <w:r>
        <w:rPr>
          <w:rFonts w:hint="eastAsia"/>
          <w:szCs w:val="22"/>
        </w:rPr>
        <w:t>负责西大门至万松路道路秩序管理。</w:t>
      </w:r>
    </w:p>
    <w:p>
      <w:pPr>
        <w:numPr>
          <w:ilvl w:val="0"/>
          <w:numId w:val="27"/>
        </w:numPr>
        <w:snapToGrid w:val="0"/>
        <w:spacing w:line="380" w:lineRule="exact"/>
        <w:jc w:val="both"/>
        <w:rPr>
          <w:rFonts w:hint="eastAsia"/>
          <w:szCs w:val="22"/>
        </w:rPr>
      </w:pPr>
      <w:r>
        <w:rPr>
          <w:rFonts w:hint="eastAsia"/>
          <w:szCs w:val="22"/>
        </w:rPr>
        <w:t>巡查所辖区域的治安消防工作，发现情况及时组织处理并汇报。</w:t>
      </w:r>
    </w:p>
    <w:p>
      <w:pPr>
        <w:numPr>
          <w:ilvl w:val="0"/>
          <w:numId w:val="27"/>
        </w:numPr>
        <w:snapToGrid w:val="0"/>
        <w:spacing w:line="380" w:lineRule="exact"/>
        <w:jc w:val="both"/>
        <w:rPr>
          <w:rFonts w:hint="eastAsia"/>
          <w:szCs w:val="22"/>
          <w:highlight w:val="none"/>
        </w:rPr>
      </w:pPr>
      <w:r>
        <w:rPr>
          <w:rFonts w:hint="eastAsia"/>
          <w:szCs w:val="22"/>
          <w:highlight w:val="none"/>
        </w:rPr>
        <w:t>两名形象岗人员要执行立岗制度，姿态良好，精神饱满，仪容端庄，礼节周到。</w:t>
      </w:r>
    </w:p>
    <w:p>
      <w:pPr>
        <w:numPr>
          <w:ilvl w:val="0"/>
          <w:numId w:val="27"/>
        </w:numPr>
        <w:snapToGrid w:val="0"/>
        <w:spacing w:line="380" w:lineRule="exact"/>
        <w:jc w:val="both"/>
        <w:rPr>
          <w:b w:val="0"/>
          <w:bCs w:val="0"/>
        </w:rPr>
      </w:pPr>
      <w:r>
        <w:rPr>
          <w:rFonts w:hint="eastAsia"/>
          <w:b w:val="0"/>
          <w:bCs w:val="0"/>
          <w:szCs w:val="22"/>
        </w:rPr>
        <w:t>做好交接班和值班记录，并保管好值班记录。负责西大门至万松路道路秩序管理。</w:t>
      </w:r>
    </w:p>
    <w:p>
      <w:pPr>
        <w:numPr>
          <w:ilvl w:val="0"/>
          <w:numId w:val="26"/>
        </w:numPr>
        <w:snapToGrid w:val="0"/>
        <w:spacing w:line="380" w:lineRule="exact"/>
        <w:ind w:hanging="200"/>
        <w:jc w:val="both"/>
        <w:rPr>
          <w:rFonts w:hint="eastAsia"/>
          <w:b/>
          <w:szCs w:val="22"/>
        </w:rPr>
      </w:pPr>
      <w:r>
        <w:rPr>
          <w:rFonts w:hint="eastAsia"/>
          <w:b/>
          <w:szCs w:val="22"/>
        </w:rPr>
        <w:t>巡逻岗位工作要求</w:t>
      </w:r>
    </w:p>
    <w:p>
      <w:pPr>
        <w:numPr>
          <w:ilvl w:val="0"/>
          <w:numId w:val="28"/>
        </w:numPr>
        <w:snapToGrid w:val="0"/>
        <w:spacing w:line="380" w:lineRule="exact"/>
        <w:jc w:val="both"/>
        <w:rPr>
          <w:rFonts w:hint="eastAsia"/>
          <w:b w:val="0"/>
          <w:bCs w:val="0"/>
          <w:szCs w:val="22"/>
        </w:rPr>
      </w:pPr>
      <w:r>
        <w:rPr>
          <w:rFonts w:hint="eastAsia"/>
          <w:b w:val="0"/>
          <w:bCs w:val="0"/>
          <w:szCs w:val="22"/>
        </w:rPr>
        <w:t>实行24小时值班制度。巡逻人员在监控室蹲点，配备器材（装具）警容严整，不间断地巡逻，留意治安消防情况。</w:t>
      </w:r>
    </w:p>
    <w:p>
      <w:pPr>
        <w:numPr>
          <w:ilvl w:val="0"/>
          <w:numId w:val="28"/>
        </w:numPr>
        <w:snapToGrid w:val="0"/>
        <w:spacing w:line="380" w:lineRule="exact"/>
        <w:jc w:val="both"/>
        <w:rPr>
          <w:rFonts w:hint="eastAsia"/>
          <w:b w:val="0"/>
          <w:bCs w:val="0"/>
          <w:szCs w:val="22"/>
        </w:rPr>
      </w:pPr>
      <w:r>
        <w:rPr>
          <w:rFonts w:hint="eastAsia"/>
          <w:b w:val="0"/>
          <w:bCs w:val="0"/>
          <w:szCs w:val="22"/>
        </w:rPr>
        <w:t>发现可疑人员及车辆，并做好盘查、询问及登记，及时将可疑人员、车辆劝离市政大院。</w:t>
      </w:r>
    </w:p>
    <w:p>
      <w:pPr>
        <w:numPr>
          <w:ilvl w:val="0"/>
          <w:numId w:val="28"/>
        </w:numPr>
        <w:snapToGrid w:val="0"/>
        <w:spacing w:line="380" w:lineRule="exact"/>
        <w:jc w:val="both"/>
        <w:rPr>
          <w:rFonts w:hint="eastAsia"/>
          <w:b w:val="0"/>
          <w:bCs w:val="0"/>
          <w:szCs w:val="22"/>
        </w:rPr>
      </w:pPr>
      <w:r>
        <w:rPr>
          <w:rFonts w:hint="eastAsia"/>
          <w:b w:val="0"/>
          <w:bCs w:val="0"/>
          <w:szCs w:val="22"/>
        </w:rPr>
        <w:t>对大院各个部位治安、防火及车辆情况进行全面巡查，突出重点部位定人定位进行管理（四大办）的安全和确保车辆的有序停放。</w:t>
      </w:r>
    </w:p>
    <w:p>
      <w:pPr>
        <w:numPr>
          <w:ilvl w:val="0"/>
          <w:numId w:val="28"/>
        </w:numPr>
        <w:snapToGrid w:val="0"/>
        <w:spacing w:line="380" w:lineRule="exact"/>
        <w:jc w:val="both"/>
        <w:rPr>
          <w:rFonts w:hint="eastAsia"/>
          <w:b w:val="0"/>
          <w:bCs w:val="0"/>
          <w:szCs w:val="22"/>
        </w:rPr>
      </w:pPr>
      <w:r>
        <w:rPr>
          <w:rFonts w:hint="eastAsia"/>
          <w:b w:val="0"/>
          <w:bCs w:val="0"/>
          <w:szCs w:val="22"/>
        </w:rPr>
        <w:t>非办公时间负责检查单位门窗锁闭情况，发现问题及时处理。</w:t>
      </w:r>
    </w:p>
    <w:p>
      <w:pPr>
        <w:numPr>
          <w:ilvl w:val="0"/>
          <w:numId w:val="28"/>
        </w:numPr>
        <w:snapToGrid w:val="0"/>
        <w:spacing w:line="380" w:lineRule="exact"/>
        <w:jc w:val="both"/>
        <w:rPr>
          <w:rFonts w:hint="eastAsia"/>
          <w:b w:val="0"/>
          <w:bCs w:val="0"/>
          <w:szCs w:val="22"/>
        </w:rPr>
      </w:pPr>
      <w:r>
        <w:rPr>
          <w:rFonts w:hint="eastAsia"/>
          <w:b w:val="0"/>
          <w:bCs w:val="0"/>
          <w:szCs w:val="22"/>
        </w:rPr>
        <w:t>保持高度警惕性，保持通讯畅通，发现问题及时组织处理。</w:t>
      </w:r>
    </w:p>
    <w:p>
      <w:pPr>
        <w:numPr>
          <w:ilvl w:val="0"/>
          <w:numId w:val="28"/>
        </w:numPr>
        <w:snapToGrid w:val="0"/>
        <w:spacing w:line="380" w:lineRule="exact"/>
        <w:jc w:val="both"/>
        <w:rPr>
          <w:rFonts w:hint="eastAsia"/>
          <w:b w:val="0"/>
          <w:bCs w:val="0"/>
          <w:szCs w:val="22"/>
        </w:rPr>
      </w:pPr>
      <w:r>
        <w:rPr>
          <w:rFonts w:hint="eastAsia"/>
          <w:b w:val="0"/>
          <w:bCs w:val="0"/>
          <w:szCs w:val="22"/>
        </w:rPr>
        <w:t>协助</w:t>
      </w:r>
      <w:r>
        <w:rPr>
          <w:rFonts w:hint="eastAsia"/>
          <w:b w:val="0"/>
          <w:bCs w:val="0"/>
          <w:szCs w:val="22"/>
          <w:highlight w:val="none"/>
          <w:lang w:eastAsia="zh-CN"/>
        </w:rPr>
        <w:t>中心</w:t>
      </w:r>
      <w:r>
        <w:rPr>
          <w:rFonts w:hint="eastAsia"/>
          <w:b w:val="0"/>
          <w:bCs w:val="0"/>
          <w:szCs w:val="22"/>
          <w:highlight w:val="none"/>
        </w:rPr>
        <w:t>节能</w:t>
      </w:r>
      <w:r>
        <w:rPr>
          <w:rFonts w:hint="eastAsia"/>
          <w:b w:val="0"/>
          <w:bCs w:val="0"/>
          <w:szCs w:val="22"/>
          <w:highlight w:val="none"/>
          <w:lang w:eastAsia="zh-CN"/>
        </w:rPr>
        <w:t>和公车</w:t>
      </w:r>
      <w:r>
        <w:rPr>
          <w:rFonts w:hint="eastAsia"/>
          <w:b w:val="0"/>
          <w:bCs w:val="0"/>
          <w:szCs w:val="22"/>
          <w:highlight w:val="none"/>
        </w:rPr>
        <w:t>管理科</w:t>
      </w:r>
      <w:r>
        <w:rPr>
          <w:rFonts w:hint="eastAsia"/>
          <w:b w:val="0"/>
          <w:bCs w:val="0"/>
          <w:szCs w:val="22"/>
        </w:rPr>
        <w:t>落实大院节能管理制度，杜绝“常水流、常明灯”等现象发生。</w:t>
      </w:r>
    </w:p>
    <w:p>
      <w:pPr>
        <w:numPr>
          <w:ilvl w:val="0"/>
          <w:numId w:val="28"/>
        </w:numPr>
        <w:snapToGrid w:val="0"/>
        <w:spacing w:line="380" w:lineRule="exact"/>
        <w:jc w:val="both"/>
        <w:rPr>
          <w:rFonts w:hint="eastAsia"/>
          <w:b w:val="0"/>
          <w:bCs w:val="0"/>
          <w:szCs w:val="22"/>
        </w:rPr>
      </w:pPr>
      <w:r>
        <w:rPr>
          <w:rFonts w:hint="eastAsia"/>
          <w:b w:val="0"/>
          <w:bCs w:val="0"/>
          <w:szCs w:val="22"/>
        </w:rPr>
        <w:t>定期检查压力表、室内消防栓、灭火器是否正常</w:t>
      </w:r>
      <w:r>
        <w:rPr>
          <w:rFonts w:hint="eastAsia"/>
          <w:b w:val="0"/>
          <w:bCs w:val="0"/>
          <w:szCs w:val="22"/>
          <w:lang w:eastAsia="zh-CN"/>
        </w:rPr>
        <w:t>。</w:t>
      </w:r>
    </w:p>
    <w:p>
      <w:pPr>
        <w:numPr>
          <w:ilvl w:val="0"/>
          <w:numId w:val="28"/>
        </w:numPr>
        <w:snapToGrid w:val="0"/>
        <w:spacing w:line="380" w:lineRule="exact"/>
        <w:jc w:val="both"/>
        <w:rPr>
          <w:rFonts w:hint="eastAsia"/>
          <w:b w:val="0"/>
          <w:bCs w:val="0"/>
          <w:szCs w:val="22"/>
        </w:rPr>
      </w:pPr>
      <w:r>
        <w:rPr>
          <w:rFonts w:hint="eastAsia"/>
          <w:b w:val="0"/>
          <w:bCs w:val="0"/>
          <w:szCs w:val="22"/>
        </w:rPr>
        <w:t>负责大院亮化照明灯的管理工作。</w:t>
      </w:r>
    </w:p>
    <w:p>
      <w:pPr>
        <w:numPr>
          <w:ilvl w:val="0"/>
          <w:numId w:val="28"/>
        </w:numPr>
        <w:snapToGrid w:val="0"/>
        <w:spacing w:line="380" w:lineRule="exact"/>
        <w:jc w:val="both"/>
        <w:rPr>
          <w:rFonts w:hint="eastAsia"/>
          <w:b w:val="0"/>
          <w:bCs w:val="0"/>
          <w:szCs w:val="22"/>
        </w:rPr>
      </w:pPr>
      <w:r>
        <w:rPr>
          <w:rFonts w:hint="eastAsia"/>
          <w:b w:val="0"/>
          <w:bCs w:val="0"/>
          <w:szCs w:val="22"/>
        </w:rPr>
        <w:t>认真做好值班记录工作和交接班工作，并保管好值班记录。</w:t>
      </w:r>
    </w:p>
    <w:p>
      <w:pPr>
        <w:numPr>
          <w:ilvl w:val="0"/>
          <w:numId w:val="26"/>
        </w:numPr>
        <w:snapToGrid w:val="0"/>
        <w:spacing w:line="380" w:lineRule="exact"/>
        <w:ind w:hanging="200"/>
        <w:jc w:val="both"/>
        <w:rPr>
          <w:rFonts w:hint="eastAsia"/>
          <w:b/>
          <w:szCs w:val="22"/>
        </w:rPr>
      </w:pPr>
      <w:r>
        <w:rPr>
          <w:rFonts w:hint="eastAsia"/>
          <w:b/>
          <w:szCs w:val="22"/>
        </w:rPr>
        <w:t>消控室岗位工作要求</w:t>
      </w:r>
    </w:p>
    <w:p>
      <w:pPr>
        <w:numPr>
          <w:ilvl w:val="0"/>
          <w:numId w:val="29"/>
        </w:numPr>
        <w:snapToGrid w:val="0"/>
        <w:spacing w:line="380" w:lineRule="exact"/>
        <w:jc w:val="both"/>
        <w:rPr>
          <w:rFonts w:hint="eastAsia"/>
          <w:szCs w:val="22"/>
        </w:rPr>
      </w:pPr>
      <w:r>
        <w:rPr>
          <w:rFonts w:hint="eastAsia"/>
          <w:szCs w:val="22"/>
        </w:rPr>
        <w:t>实行24小时双人持证值班制度。负责监控室电视屏幕及消防监测设备的正常工作，严格掌控东西岗亭、正门及矛调中心等岗位日常工作情况，如有异常及时通知巡逻安保人员。</w:t>
      </w:r>
    </w:p>
    <w:p>
      <w:pPr>
        <w:numPr>
          <w:ilvl w:val="0"/>
          <w:numId w:val="29"/>
        </w:numPr>
        <w:snapToGrid w:val="0"/>
        <w:spacing w:line="380" w:lineRule="exact"/>
        <w:jc w:val="both"/>
        <w:rPr>
          <w:rFonts w:hint="eastAsia"/>
          <w:szCs w:val="22"/>
        </w:rPr>
      </w:pPr>
      <w:r>
        <w:rPr>
          <w:rFonts w:hint="eastAsia"/>
          <w:szCs w:val="22"/>
        </w:rPr>
        <w:t>负责消控室内的卫生清扫工作，无关人员禁止入内。</w:t>
      </w:r>
    </w:p>
    <w:p>
      <w:pPr>
        <w:numPr>
          <w:ilvl w:val="0"/>
          <w:numId w:val="29"/>
        </w:numPr>
        <w:snapToGrid w:val="0"/>
        <w:spacing w:line="380" w:lineRule="exact"/>
        <w:jc w:val="both"/>
        <w:rPr>
          <w:rFonts w:hint="eastAsia"/>
          <w:szCs w:val="22"/>
        </w:rPr>
      </w:pPr>
      <w:r>
        <w:rPr>
          <w:rFonts w:hint="eastAsia"/>
          <w:szCs w:val="22"/>
        </w:rPr>
        <w:t>发现异常情况和可疑人员及时报告，同时通知巡逻人员到现场查验并做相应处理和报警。</w:t>
      </w:r>
    </w:p>
    <w:p>
      <w:pPr>
        <w:numPr>
          <w:ilvl w:val="0"/>
          <w:numId w:val="29"/>
        </w:numPr>
        <w:snapToGrid w:val="0"/>
        <w:spacing w:line="380" w:lineRule="exact"/>
        <w:jc w:val="both"/>
        <w:rPr>
          <w:rFonts w:hint="eastAsia"/>
          <w:szCs w:val="22"/>
        </w:rPr>
      </w:pPr>
      <w:r>
        <w:rPr>
          <w:rFonts w:hint="eastAsia"/>
          <w:szCs w:val="22"/>
        </w:rPr>
        <w:t>负责视频数据存储的管理工作。</w:t>
      </w:r>
    </w:p>
    <w:p>
      <w:pPr>
        <w:numPr>
          <w:ilvl w:val="0"/>
          <w:numId w:val="29"/>
        </w:numPr>
        <w:snapToGrid w:val="0"/>
        <w:spacing w:line="380" w:lineRule="exact"/>
        <w:jc w:val="both"/>
        <w:rPr>
          <w:rFonts w:hint="eastAsia"/>
          <w:szCs w:val="22"/>
        </w:rPr>
      </w:pPr>
      <w:r>
        <w:rPr>
          <w:rFonts w:hint="eastAsia"/>
          <w:szCs w:val="22"/>
        </w:rPr>
        <w:t>发现火警立即报告并按报警程序报警。</w:t>
      </w:r>
    </w:p>
    <w:p>
      <w:pPr>
        <w:numPr>
          <w:ilvl w:val="0"/>
          <w:numId w:val="29"/>
        </w:numPr>
        <w:snapToGrid w:val="0"/>
        <w:spacing w:line="380" w:lineRule="exact"/>
        <w:jc w:val="both"/>
        <w:rPr>
          <w:rFonts w:hint="eastAsia"/>
          <w:szCs w:val="22"/>
        </w:rPr>
      </w:pPr>
      <w:r>
        <w:rPr>
          <w:rFonts w:hint="eastAsia"/>
          <w:szCs w:val="22"/>
        </w:rPr>
        <w:t>及时做好公司及上级领导交办的各项任务，并详细记录。</w:t>
      </w:r>
    </w:p>
    <w:p>
      <w:pPr>
        <w:numPr>
          <w:ilvl w:val="0"/>
          <w:numId w:val="29"/>
        </w:numPr>
        <w:snapToGrid w:val="0"/>
        <w:spacing w:line="380" w:lineRule="exact"/>
        <w:jc w:val="both"/>
        <w:rPr>
          <w:rFonts w:hint="eastAsia"/>
          <w:szCs w:val="22"/>
        </w:rPr>
      </w:pPr>
      <w:r>
        <w:rPr>
          <w:rFonts w:hint="eastAsia"/>
          <w:szCs w:val="22"/>
        </w:rPr>
        <w:t>做好交接班和值班记录，并保管好值班记录。</w:t>
      </w:r>
    </w:p>
    <w:p>
      <w:pPr>
        <w:numPr>
          <w:ilvl w:val="0"/>
          <w:numId w:val="29"/>
        </w:numPr>
        <w:snapToGrid w:val="0"/>
        <w:spacing w:line="380" w:lineRule="exact"/>
        <w:jc w:val="both"/>
        <w:rPr>
          <w:rFonts w:hint="eastAsia"/>
          <w:szCs w:val="22"/>
          <w:highlight w:val="none"/>
          <w:lang w:val="en-US" w:eastAsia="zh-CN"/>
        </w:rPr>
      </w:pPr>
      <w:r>
        <w:rPr>
          <w:rFonts w:hint="eastAsia"/>
          <w:szCs w:val="22"/>
          <w:highlight w:val="none"/>
          <w:lang w:val="en-US" w:eastAsia="zh-CN"/>
        </w:rPr>
        <w:t>注意保密管理工作，不私自拍取大院内的照片和视频，更不能私自转发，违者追究法律责任。</w:t>
      </w:r>
    </w:p>
    <w:p>
      <w:pPr>
        <w:numPr>
          <w:ilvl w:val="0"/>
          <w:numId w:val="26"/>
        </w:numPr>
        <w:snapToGrid w:val="0"/>
        <w:spacing w:line="380" w:lineRule="exact"/>
        <w:ind w:hanging="200"/>
        <w:jc w:val="both"/>
        <w:rPr>
          <w:rFonts w:hint="eastAsia"/>
          <w:b/>
          <w:szCs w:val="22"/>
        </w:rPr>
      </w:pPr>
      <w:r>
        <w:rPr>
          <w:rFonts w:hint="eastAsia"/>
          <w:b/>
          <w:szCs w:val="22"/>
        </w:rPr>
        <w:t>矛调中心岗位工作要求</w:t>
      </w:r>
    </w:p>
    <w:p>
      <w:pPr>
        <w:numPr>
          <w:ilvl w:val="0"/>
          <w:numId w:val="30"/>
        </w:numPr>
        <w:snapToGrid w:val="0"/>
        <w:spacing w:line="380" w:lineRule="exact"/>
        <w:jc w:val="both"/>
        <w:rPr>
          <w:rFonts w:hint="eastAsia"/>
          <w:szCs w:val="22"/>
        </w:rPr>
      </w:pPr>
      <w:r>
        <w:rPr>
          <w:rFonts w:hint="eastAsia"/>
          <w:szCs w:val="22"/>
        </w:rPr>
        <w:t>按时开、关大门，无特殊情况7:30开门，18:30关门，遇个特殊情况周末上班时，安保人员按大院正常工作时间上班。</w:t>
      </w:r>
    </w:p>
    <w:p>
      <w:pPr>
        <w:numPr>
          <w:ilvl w:val="0"/>
          <w:numId w:val="30"/>
        </w:numPr>
        <w:snapToGrid w:val="0"/>
        <w:spacing w:line="380" w:lineRule="exact"/>
        <w:jc w:val="both"/>
        <w:rPr>
          <w:rFonts w:hint="eastAsia"/>
          <w:szCs w:val="22"/>
        </w:rPr>
      </w:pPr>
      <w:r>
        <w:rPr>
          <w:rFonts w:hint="eastAsia"/>
          <w:szCs w:val="22"/>
        </w:rPr>
        <w:t>防止违法行为发生，禁止非本单位车辆停放过夜。</w:t>
      </w:r>
    </w:p>
    <w:p>
      <w:pPr>
        <w:numPr>
          <w:ilvl w:val="0"/>
          <w:numId w:val="30"/>
        </w:numPr>
        <w:snapToGrid w:val="0"/>
        <w:spacing w:line="380" w:lineRule="exact"/>
        <w:jc w:val="both"/>
        <w:rPr>
          <w:rFonts w:hint="eastAsia"/>
          <w:szCs w:val="22"/>
        </w:rPr>
      </w:pPr>
      <w:r>
        <w:rPr>
          <w:rFonts w:hint="eastAsia"/>
          <w:szCs w:val="22"/>
        </w:rPr>
        <w:t>坚守工作岗位，维护矛调中心内部的工作秩序，并进行不定时巡查，发现问题及时组织处理，并汇报工作。</w:t>
      </w:r>
    </w:p>
    <w:p>
      <w:pPr>
        <w:numPr>
          <w:ilvl w:val="0"/>
          <w:numId w:val="30"/>
        </w:numPr>
        <w:snapToGrid w:val="0"/>
        <w:spacing w:line="380" w:lineRule="exact"/>
        <w:jc w:val="both"/>
        <w:rPr>
          <w:rFonts w:hint="eastAsia"/>
          <w:szCs w:val="22"/>
        </w:rPr>
      </w:pPr>
      <w:r>
        <w:rPr>
          <w:rFonts w:hint="eastAsia"/>
          <w:szCs w:val="22"/>
        </w:rPr>
        <w:t>夜间矛调中心值班人员负责中心范围内的安全防范、防火及车辆管理工作，并进行巡查</w:t>
      </w:r>
      <w:r>
        <w:rPr>
          <w:rFonts w:hint="eastAsia"/>
          <w:szCs w:val="22"/>
          <w:lang w:eastAsia="zh-CN"/>
        </w:rPr>
        <w:t>。</w:t>
      </w:r>
    </w:p>
    <w:p>
      <w:pPr>
        <w:numPr>
          <w:ilvl w:val="0"/>
          <w:numId w:val="30"/>
        </w:numPr>
        <w:snapToGrid w:val="0"/>
        <w:spacing w:line="380" w:lineRule="exact"/>
        <w:jc w:val="both"/>
        <w:rPr>
          <w:rFonts w:hint="eastAsia"/>
          <w:szCs w:val="22"/>
        </w:rPr>
      </w:pPr>
      <w:r>
        <w:rPr>
          <w:rFonts w:hint="eastAsia"/>
          <w:szCs w:val="22"/>
        </w:rPr>
        <w:t>做好交接班和值班记录，并保管好值班记录。</w:t>
      </w:r>
    </w:p>
    <w:p>
      <w:pPr>
        <w:numPr>
          <w:ilvl w:val="0"/>
          <w:numId w:val="26"/>
        </w:numPr>
        <w:snapToGrid w:val="0"/>
        <w:spacing w:line="380" w:lineRule="exact"/>
        <w:ind w:hanging="200"/>
        <w:jc w:val="both"/>
        <w:rPr>
          <w:rFonts w:hint="eastAsia"/>
          <w:b/>
          <w:szCs w:val="22"/>
          <w:highlight w:val="none"/>
        </w:rPr>
      </w:pPr>
      <w:r>
        <w:rPr>
          <w:rFonts w:hint="eastAsia"/>
          <w:b/>
          <w:szCs w:val="22"/>
          <w:highlight w:val="none"/>
        </w:rPr>
        <w:t>治安维护</w:t>
      </w:r>
      <w:r>
        <w:rPr>
          <w:rFonts w:hint="eastAsia"/>
          <w:b/>
          <w:szCs w:val="22"/>
          <w:highlight w:val="none"/>
          <w:lang w:val="en-US" w:eastAsia="zh-CN"/>
        </w:rPr>
        <w:t>岗</w:t>
      </w:r>
      <w:r>
        <w:rPr>
          <w:rFonts w:hint="eastAsia"/>
          <w:b/>
          <w:szCs w:val="22"/>
          <w:highlight w:val="none"/>
        </w:rPr>
        <w:t>工作要求</w:t>
      </w:r>
    </w:p>
    <w:p>
      <w:pPr>
        <w:numPr>
          <w:ilvl w:val="0"/>
          <w:numId w:val="31"/>
        </w:numPr>
        <w:snapToGrid w:val="0"/>
        <w:spacing w:line="380" w:lineRule="exact"/>
        <w:jc w:val="both"/>
        <w:rPr>
          <w:rFonts w:hint="eastAsia"/>
          <w:szCs w:val="22"/>
          <w:highlight w:val="none"/>
        </w:rPr>
      </w:pPr>
      <w:r>
        <w:rPr>
          <w:rFonts w:hint="eastAsia"/>
          <w:szCs w:val="22"/>
          <w:highlight w:val="none"/>
        </w:rPr>
        <w:t>熟悉《企事业单位内部治安管理条例》，相关法律、法规和规章制度，认真做好上访人员人劝导工作。</w:t>
      </w:r>
    </w:p>
    <w:p>
      <w:pPr>
        <w:numPr>
          <w:ilvl w:val="0"/>
          <w:numId w:val="31"/>
        </w:numPr>
        <w:snapToGrid w:val="0"/>
        <w:spacing w:line="380" w:lineRule="exact"/>
        <w:jc w:val="both"/>
        <w:rPr>
          <w:rFonts w:hint="eastAsia"/>
          <w:szCs w:val="22"/>
          <w:highlight w:val="none"/>
        </w:rPr>
      </w:pPr>
      <w:r>
        <w:rPr>
          <w:rFonts w:hint="eastAsia"/>
          <w:szCs w:val="22"/>
          <w:highlight w:val="none"/>
        </w:rPr>
        <w:t>严格执行“瑞委办[2018]46号文件”精神，维护市政大院及矛调中心秩序和安全。</w:t>
      </w:r>
    </w:p>
    <w:p>
      <w:pPr>
        <w:numPr>
          <w:ilvl w:val="0"/>
          <w:numId w:val="31"/>
        </w:numPr>
        <w:snapToGrid w:val="0"/>
        <w:spacing w:line="380" w:lineRule="exact"/>
        <w:jc w:val="both"/>
        <w:rPr>
          <w:rFonts w:hint="eastAsia"/>
          <w:szCs w:val="22"/>
          <w:highlight w:val="none"/>
        </w:rPr>
      </w:pPr>
      <w:r>
        <w:rPr>
          <w:rFonts w:hint="eastAsia"/>
          <w:szCs w:val="22"/>
          <w:highlight w:val="none"/>
        </w:rPr>
        <w:t>负责市政大</w:t>
      </w:r>
      <w:r>
        <w:rPr>
          <w:rFonts w:hint="eastAsia"/>
          <w:szCs w:val="22"/>
          <w:highlight w:val="none"/>
          <w:lang w:eastAsia="zh-CN"/>
        </w:rPr>
        <w:t>院</w:t>
      </w:r>
      <w:r>
        <w:rPr>
          <w:rFonts w:hint="eastAsia"/>
          <w:szCs w:val="22"/>
          <w:highlight w:val="none"/>
        </w:rPr>
        <w:t>多功能厅，矛调中心等其他周边的安保工作，警容严整，携带必备的器材（装具）并随时做好应急处突的准备工作。</w:t>
      </w:r>
    </w:p>
    <w:p>
      <w:pPr>
        <w:numPr>
          <w:ilvl w:val="0"/>
          <w:numId w:val="31"/>
        </w:numPr>
        <w:snapToGrid w:val="0"/>
        <w:spacing w:line="380" w:lineRule="exact"/>
        <w:jc w:val="both"/>
        <w:rPr>
          <w:rFonts w:hint="eastAsia"/>
          <w:szCs w:val="22"/>
          <w:highlight w:val="none"/>
        </w:rPr>
      </w:pPr>
      <w:r>
        <w:rPr>
          <w:rFonts w:hint="eastAsia"/>
          <w:szCs w:val="22"/>
          <w:highlight w:val="none"/>
        </w:rPr>
        <w:t>做好交接班和值班记录，并保管好记录。</w:t>
      </w:r>
    </w:p>
    <w:p>
      <w:pPr>
        <w:numPr>
          <w:ilvl w:val="0"/>
          <w:numId w:val="26"/>
        </w:numPr>
        <w:snapToGrid w:val="0"/>
        <w:spacing w:line="380" w:lineRule="exact"/>
        <w:ind w:hanging="200"/>
        <w:jc w:val="both"/>
        <w:rPr>
          <w:rFonts w:hint="eastAsia"/>
          <w:b/>
          <w:szCs w:val="22"/>
        </w:rPr>
      </w:pPr>
      <w:r>
        <w:rPr>
          <w:rFonts w:hint="eastAsia"/>
          <w:b/>
          <w:szCs w:val="22"/>
        </w:rPr>
        <w:t>登记室岗位工作要求</w:t>
      </w:r>
    </w:p>
    <w:p>
      <w:pPr>
        <w:numPr>
          <w:ilvl w:val="0"/>
          <w:numId w:val="32"/>
        </w:numPr>
        <w:snapToGrid w:val="0"/>
        <w:spacing w:line="380" w:lineRule="exact"/>
        <w:jc w:val="both"/>
        <w:rPr>
          <w:rFonts w:hint="eastAsia"/>
          <w:szCs w:val="22"/>
        </w:rPr>
      </w:pPr>
      <w:r>
        <w:rPr>
          <w:rFonts w:hint="eastAsia"/>
          <w:szCs w:val="22"/>
        </w:rPr>
        <w:t>严格控制外来办事人员登记手续，做到一看、二查、三问、四登记、五可入的程序。</w:t>
      </w:r>
    </w:p>
    <w:p>
      <w:pPr>
        <w:numPr>
          <w:ilvl w:val="0"/>
          <w:numId w:val="32"/>
        </w:numPr>
        <w:snapToGrid w:val="0"/>
        <w:spacing w:line="380" w:lineRule="exact"/>
        <w:jc w:val="both"/>
        <w:rPr>
          <w:rFonts w:hint="eastAsia"/>
          <w:szCs w:val="22"/>
        </w:rPr>
      </w:pPr>
      <w:r>
        <w:rPr>
          <w:rFonts w:hint="eastAsia"/>
          <w:szCs w:val="22"/>
        </w:rPr>
        <w:t>姿态端正，精神饱满，礼节周到，耐心做好外来办事人员的说服工作。</w:t>
      </w:r>
    </w:p>
    <w:p>
      <w:pPr>
        <w:numPr>
          <w:ilvl w:val="0"/>
          <w:numId w:val="32"/>
        </w:numPr>
        <w:snapToGrid w:val="0"/>
        <w:spacing w:line="380" w:lineRule="exact"/>
        <w:jc w:val="both"/>
        <w:rPr>
          <w:rFonts w:hint="eastAsia"/>
          <w:szCs w:val="22"/>
        </w:rPr>
      </w:pPr>
      <w:r>
        <w:rPr>
          <w:rFonts w:hint="eastAsia"/>
          <w:szCs w:val="22"/>
        </w:rPr>
        <w:t>积极做好非正常上访人员情况登记工作，并登记备档。</w:t>
      </w:r>
    </w:p>
    <w:p>
      <w:pPr>
        <w:numPr>
          <w:ilvl w:val="0"/>
          <w:numId w:val="32"/>
        </w:numPr>
        <w:snapToGrid w:val="0"/>
        <w:spacing w:line="380" w:lineRule="exact"/>
        <w:jc w:val="both"/>
        <w:rPr>
          <w:rFonts w:hint="eastAsia"/>
          <w:szCs w:val="22"/>
        </w:rPr>
      </w:pPr>
      <w:r>
        <w:rPr>
          <w:rFonts w:hint="eastAsia"/>
          <w:szCs w:val="22"/>
        </w:rPr>
        <w:t>配合正门安保人员执勤工作。</w:t>
      </w:r>
    </w:p>
    <w:p>
      <w:pPr>
        <w:numPr>
          <w:ilvl w:val="0"/>
          <w:numId w:val="26"/>
        </w:numPr>
        <w:snapToGrid w:val="0"/>
        <w:spacing w:line="380" w:lineRule="exact"/>
        <w:ind w:hanging="200"/>
        <w:jc w:val="both"/>
        <w:rPr>
          <w:rFonts w:hint="eastAsia"/>
          <w:b/>
          <w:szCs w:val="22"/>
        </w:rPr>
      </w:pPr>
      <w:r>
        <w:rPr>
          <w:rFonts w:hint="eastAsia"/>
          <w:b/>
          <w:szCs w:val="22"/>
        </w:rPr>
        <w:t>车辆出入和停车场（库）管理要求</w:t>
      </w:r>
    </w:p>
    <w:p>
      <w:pPr>
        <w:numPr>
          <w:ilvl w:val="0"/>
          <w:numId w:val="33"/>
        </w:numPr>
        <w:snapToGrid w:val="0"/>
        <w:spacing w:line="380" w:lineRule="exact"/>
        <w:jc w:val="both"/>
        <w:rPr>
          <w:rFonts w:hint="eastAsia"/>
          <w:szCs w:val="22"/>
        </w:rPr>
      </w:pPr>
      <w:r>
        <w:rPr>
          <w:rFonts w:hint="eastAsia"/>
          <w:szCs w:val="22"/>
        </w:rPr>
        <w:t>确保东门为进入门，西门为驶出门；休息日节假日由西大门出入。</w:t>
      </w:r>
    </w:p>
    <w:p>
      <w:pPr>
        <w:numPr>
          <w:ilvl w:val="0"/>
          <w:numId w:val="33"/>
        </w:numPr>
        <w:snapToGrid w:val="0"/>
        <w:spacing w:line="380" w:lineRule="exact"/>
        <w:jc w:val="both"/>
        <w:rPr>
          <w:rFonts w:hint="eastAsia"/>
          <w:szCs w:val="22"/>
        </w:rPr>
      </w:pPr>
      <w:r>
        <w:rPr>
          <w:rFonts w:hint="eastAsia"/>
          <w:szCs w:val="22"/>
        </w:rPr>
        <w:t>外来车辆未经许可，不得进入大院内。</w:t>
      </w:r>
    </w:p>
    <w:p>
      <w:pPr>
        <w:numPr>
          <w:ilvl w:val="0"/>
          <w:numId w:val="33"/>
        </w:numPr>
        <w:snapToGrid w:val="0"/>
        <w:spacing w:line="380" w:lineRule="exact"/>
        <w:jc w:val="both"/>
        <w:rPr>
          <w:rFonts w:hint="eastAsia"/>
          <w:szCs w:val="22"/>
        </w:rPr>
      </w:pPr>
      <w:r>
        <w:rPr>
          <w:rFonts w:hint="eastAsia"/>
          <w:szCs w:val="22"/>
        </w:rPr>
        <w:t>凡装有易燃、易爆、剧毒物品或有污染物品车辆和2.5吨以上货车，一律不准驶入大院内。（除定点油罐车外）</w:t>
      </w:r>
    </w:p>
    <w:p>
      <w:pPr>
        <w:numPr>
          <w:ilvl w:val="0"/>
          <w:numId w:val="33"/>
        </w:numPr>
        <w:snapToGrid w:val="0"/>
        <w:spacing w:line="380" w:lineRule="exact"/>
        <w:jc w:val="both"/>
        <w:rPr>
          <w:rFonts w:hint="eastAsia"/>
          <w:szCs w:val="22"/>
        </w:rPr>
      </w:pPr>
      <w:r>
        <w:rPr>
          <w:rFonts w:hint="eastAsia"/>
          <w:szCs w:val="22"/>
        </w:rPr>
        <w:t>驶入大院内的车辆，均需减速慢行，时速不超过10公里，禁止鸣笛现象发生。</w:t>
      </w:r>
    </w:p>
    <w:p>
      <w:pPr>
        <w:numPr>
          <w:ilvl w:val="0"/>
          <w:numId w:val="33"/>
        </w:numPr>
        <w:snapToGrid w:val="0"/>
        <w:spacing w:line="380" w:lineRule="exact"/>
        <w:jc w:val="both"/>
        <w:rPr>
          <w:rFonts w:hint="eastAsia"/>
          <w:szCs w:val="22"/>
        </w:rPr>
      </w:pPr>
      <w:r>
        <w:rPr>
          <w:rFonts w:hint="eastAsia"/>
          <w:szCs w:val="22"/>
        </w:rPr>
        <w:t>大院内所有车辆均纳入物业公司管理范围，停放有序，禁占消防通道。</w:t>
      </w:r>
    </w:p>
    <w:p>
      <w:pPr>
        <w:numPr>
          <w:ilvl w:val="0"/>
          <w:numId w:val="33"/>
        </w:numPr>
        <w:snapToGrid w:val="0"/>
        <w:spacing w:line="380" w:lineRule="exact"/>
        <w:jc w:val="both"/>
        <w:rPr>
          <w:rFonts w:hint="eastAsia"/>
          <w:szCs w:val="22"/>
        </w:rPr>
      </w:pPr>
      <w:r>
        <w:rPr>
          <w:rFonts w:hint="eastAsia"/>
          <w:szCs w:val="22"/>
        </w:rPr>
        <w:t>熟知大院内公车车主姓名、车型、车牌号、工作单位、车位。</w:t>
      </w:r>
    </w:p>
    <w:p>
      <w:pPr>
        <w:numPr>
          <w:ilvl w:val="0"/>
          <w:numId w:val="33"/>
        </w:numPr>
        <w:snapToGrid w:val="0"/>
        <w:spacing w:line="380" w:lineRule="exact"/>
        <w:jc w:val="both"/>
        <w:rPr>
          <w:rFonts w:hint="eastAsia"/>
          <w:szCs w:val="22"/>
        </w:rPr>
      </w:pPr>
      <w:r>
        <w:rPr>
          <w:rFonts w:hint="eastAsia"/>
          <w:szCs w:val="22"/>
        </w:rPr>
        <w:t>随时巡查车辆停放情况及车辆的车况，遇有车辆门未锁、灯未关、漏油、漏水等现象发生时，及时通知车主。</w:t>
      </w:r>
    </w:p>
    <w:p>
      <w:pPr>
        <w:numPr>
          <w:ilvl w:val="0"/>
          <w:numId w:val="33"/>
        </w:numPr>
        <w:snapToGrid w:val="0"/>
        <w:spacing w:line="380" w:lineRule="exact"/>
        <w:jc w:val="both"/>
        <w:rPr>
          <w:rFonts w:hint="eastAsia"/>
          <w:szCs w:val="22"/>
        </w:rPr>
      </w:pPr>
      <w:r>
        <w:rPr>
          <w:rFonts w:hint="eastAsia"/>
          <w:szCs w:val="22"/>
        </w:rPr>
        <w:t>停车场内无货物堆积、道路阻塞现象。</w:t>
      </w:r>
    </w:p>
    <w:p>
      <w:pPr>
        <w:numPr>
          <w:ilvl w:val="0"/>
          <w:numId w:val="34"/>
        </w:numPr>
        <w:snapToGrid w:val="0"/>
        <w:spacing w:line="380" w:lineRule="exact"/>
        <w:ind w:hanging="200"/>
        <w:jc w:val="both"/>
        <w:rPr>
          <w:b/>
          <w:bCs/>
        </w:rPr>
      </w:pPr>
      <w:r>
        <w:rPr>
          <w:rFonts w:hint="eastAsia"/>
          <w:b/>
          <w:bCs/>
        </w:rPr>
        <w:t>消防管理要求</w:t>
      </w:r>
    </w:p>
    <w:p>
      <w:pPr>
        <w:numPr>
          <w:ilvl w:val="0"/>
          <w:numId w:val="35"/>
        </w:numPr>
        <w:snapToGrid w:val="0"/>
        <w:spacing w:line="380" w:lineRule="exact"/>
        <w:jc w:val="both"/>
      </w:pPr>
      <w:r>
        <w:rPr>
          <w:rFonts w:hint="eastAsia"/>
        </w:rPr>
        <w:t>人员分工：建立消防安全小组，</w:t>
      </w:r>
      <w:r>
        <w:rPr>
          <w:rFonts w:hint="eastAsia"/>
          <w:highlight w:val="none"/>
          <w:lang w:val="en-US" w:eastAsia="zh-CN"/>
        </w:rPr>
        <w:t>项目负责人</w:t>
      </w:r>
      <w:r>
        <w:rPr>
          <w:rFonts w:hint="eastAsia"/>
          <w:highlight w:val="none"/>
        </w:rPr>
        <w:t>为组长，</w:t>
      </w:r>
      <w:r>
        <w:rPr>
          <w:rFonts w:hint="eastAsia"/>
        </w:rPr>
        <w:t>其他人员为义务消防志愿者。</w:t>
      </w:r>
    </w:p>
    <w:p>
      <w:pPr>
        <w:numPr>
          <w:ilvl w:val="0"/>
          <w:numId w:val="35"/>
        </w:numPr>
        <w:snapToGrid w:val="0"/>
        <w:spacing w:line="380" w:lineRule="exact"/>
        <w:jc w:val="both"/>
      </w:pPr>
      <w:r>
        <w:rPr>
          <w:rFonts w:hint="eastAsia"/>
        </w:rPr>
        <w:t>建立各项消防制度：</w:t>
      </w:r>
    </w:p>
    <w:p>
      <w:pPr>
        <w:numPr>
          <w:ilvl w:val="0"/>
          <w:numId w:val="36"/>
        </w:numPr>
        <w:tabs>
          <w:tab w:val="left" w:pos="780"/>
        </w:tabs>
        <w:snapToGrid w:val="0"/>
        <w:spacing w:line="380" w:lineRule="exact"/>
        <w:ind w:left="5" w:leftChars="0" w:firstLine="411" w:firstLineChars="196"/>
        <w:jc w:val="both"/>
      </w:pPr>
      <w:r>
        <w:rPr>
          <w:rFonts w:hint="eastAsia"/>
        </w:rPr>
        <w:t>实行消防检查制度。消防安全小组每月检查1次大院消防安全情况，包括消防设备、安全用水、用电情况等，填写《消防安全检查表》，编制消防检查月报表，报表经物业经理签字确认后上报公司；</w:t>
      </w:r>
    </w:p>
    <w:p>
      <w:pPr>
        <w:numPr>
          <w:ilvl w:val="0"/>
          <w:numId w:val="36"/>
        </w:numPr>
        <w:tabs>
          <w:tab w:val="left" w:pos="780"/>
        </w:tabs>
        <w:snapToGrid w:val="0"/>
        <w:spacing w:line="380" w:lineRule="exact"/>
        <w:ind w:left="5" w:leftChars="0" w:firstLine="411" w:firstLineChars="196"/>
        <w:jc w:val="both"/>
      </w:pPr>
      <w:r>
        <w:rPr>
          <w:rFonts w:hint="eastAsia"/>
        </w:rPr>
        <w:t>在安全检查中发现消防隐患，应及时采取整改措施，做到隐患消除，整改到位。</w:t>
      </w:r>
    </w:p>
    <w:p>
      <w:pPr>
        <w:numPr>
          <w:ilvl w:val="0"/>
          <w:numId w:val="35"/>
        </w:numPr>
        <w:snapToGrid w:val="0"/>
        <w:spacing w:line="380" w:lineRule="exact"/>
        <w:ind w:left="5" w:leftChars="0" w:firstLine="411" w:firstLineChars="196"/>
        <w:jc w:val="both"/>
      </w:pPr>
      <w:r>
        <w:rPr>
          <w:rFonts w:hint="eastAsia"/>
        </w:rPr>
        <w:t>防火措施：</w:t>
      </w:r>
    </w:p>
    <w:p>
      <w:pPr>
        <w:numPr>
          <w:ilvl w:val="0"/>
          <w:numId w:val="37"/>
        </w:numPr>
        <w:snapToGrid w:val="0"/>
        <w:spacing w:line="380" w:lineRule="exact"/>
        <w:ind w:left="5" w:leftChars="0" w:firstLine="411" w:firstLineChars="196"/>
        <w:jc w:val="both"/>
      </w:pPr>
      <w:r>
        <w:rPr>
          <w:rFonts w:hint="eastAsia"/>
        </w:rPr>
        <w:t>贯彻“预防为主，防消结合”的方针，树立防火意识。消防日常工作由</w:t>
      </w:r>
      <w:r>
        <w:rPr>
          <w:rFonts w:hint="eastAsia"/>
          <w:lang w:val="en-US" w:eastAsia="zh-CN"/>
        </w:rPr>
        <w:t>项目负责人</w:t>
      </w:r>
      <w:r>
        <w:rPr>
          <w:rFonts w:hint="eastAsia"/>
        </w:rPr>
        <w:t>负责，保安人员负责消防工作日常巡视，发现问题填写在《安防工作记录》中，并及时处理和汇报；</w:t>
      </w:r>
    </w:p>
    <w:p>
      <w:pPr>
        <w:numPr>
          <w:ilvl w:val="0"/>
          <w:numId w:val="37"/>
        </w:numPr>
        <w:snapToGrid w:val="0"/>
        <w:spacing w:line="380" w:lineRule="exact"/>
        <w:ind w:left="5" w:leftChars="0" w:firstLine="411" w:firstLineChars="196"/>
        <w:jc w:val="both"/>
      </w:pPr>
      <w:r>
        <w:rPr>
          <w:rFonts w:hint="eastAsia"/>
        </w:rPr>
        <w:t>严禁乱拉、乱接临时用电线路，电瓶车违规充电，电器线路维修时需请持证人员施工。</w:t>
      </w:r>
    </w:p>
    <w:p>
      <w:pPr>
        <w:numPr>
          <w:ilvl w:val="0"/>
          <w:numId w:val="35"/>
        </w:numPr>
        <w:snapToGrid w:val="0"/>
        <w:spacing w:line="380" w:lineRule="exact"/>
        <w:ind w:left="5" w:leftChars="0" w:firstLine="411" w:firstLineChars="196"/>
        <w:jc w:val="both"/>
      </w:pPr>
      <w:r>
        <w:rPr>
          <w:rFonts w:hint="eastAsia"/>
        </w:rPr>
        <w:t>消防设备管理：</w:t>
      </w:r>
    </w:p>
    <w:p>
      <w:pPr>
        <w:numPr>
          <w:ilvl w:val="0"/>
          <w:numId w:val="38"/>
        </w:numPr>
        <w:snapToGrid w:val="0"/>
        <w:spacing w:line="380" w:lineRule="exact"/>
        <w:ind w:left="5" w:leftChars="0" w:firstLine="411" w:firstLineChars="196"/>
        <w:jc w:val="both"/>
      </w:pPr>
      <w:r>
        <w:rPr>
          <w:rFonts w:hint="eastAsia"/>
        </w:rPr>
        <w:t>物业公司负责建立消防档案和消防设施台帐；</w:t>
      </w:r>
    </w:p>
    <w:p>
      <w:pPr>
        <w:numPr>
          <w:ilvl w:val="0"/>
          <w:numId w:val="38"/>
        </w:numPr>
        <w:snapToGrid w:val="0"/>
        <w:spacing w:line="380" w:lineRule="exact"/>
        <w:ind w:left="5" w:leftChars="0" w:firstLine="411" w:firstLineChars="196"/>
        <w:jc w:val="both"/>
      </w:pPr>
      <w:r>
        <w:rPr>
          <w:rFonts w:hint="eastAsia"/>
        </w:rPr>
        <w:t>物业公司对各种消防设备和设施的标识进行校对，编制《消防设备标识登记》。消防设备标识由保安</w:t>
      </w:r>
      <w:r>
        <w:rPr>
          <w:rFonts w:hint="eastAsia"/>
          <w:lang w:val="en-US" w:eastAsia="zh-CN"/>
        </w:rPr>
        <w:t>主管</w:t>
      </w:r>
      <w:r>
        <w:rPr>
          <w:rFonts w:hint="eastAsia"/>
        </w:rPr>
        <w:t>管理，并在安全检查中作为检查内容；</w:t>
      </w:r>
    </w:p>
    <w:p>
      <w:pPr>
        <w:numPr>
          <w:ilvl w:val="0"/>
          <w:numId w:val="38"/>
        </w:numPr>
        <w:snapToGrid w:val="0"/>
        <w:spacing w:line="380" w:lineRule="exact"/>
        <w:ind w:left="5" w:leftChars="0" w:firstLine="411" w:firstLineChars="196"/>
        <w:jc w:val="both"/>
      </w:pPr>
      <w:r>
        <w:rPr>
          <w:rFonts w:hint="eastAsia"/>
        </w:rPr>
        <w:t>按《消防法》和《设备管理制度》的有关规定对消防设备进行日常维护。</w:t>
      </w:r>
    </w:p>
    <w:p>
      <w:pPr>
        <w:numPr>
          <w:ilvl w:val="0"/>
          <w:numId w:val="34"/>
        </w:numPr>
        <w:snapToGrid w:val="0"/>
        <w:spacing w:line="380" w:lineRule="exact"/>
        <w:ind w:hanging="200"/>
        <w:jc w:val="both"/>
        <w:rPr>
          <w:rFonts w:hint="eastAsia"/>
          <w:b/>
          <w:bCs/>
          <w:szCs w:val="22"/>
        </w:rPr>
      </w:pPr>
      <w:r>
        <w:rPr>
          <w:rFonts w:hint="eastAsia"/>
          <w:b/>
          <w:bCs/>
          <w:szCs w:val="22"/>
        </w:rPr>
        <w:t>广场保安管理要求</w:t>
      </w:r>
    </w:p>
    <w:p>
      <w:pPr>
        <w:numPr>
          <w:ilvl w:val="0"/>
          <w:numId w:val="39"/>
        </w:numPr>
        <w:snapToGrid w:val="0"/>
        <w:spacing w:line="380" w:lineRule="exact"/>
        <w:ind w:left="5" w:leftChars="0" w:firstLine="411" w:firstLineChars="196"/>
        <w:jc w:val="both"/>
        <w:rPr>
          <w:rFonts w:hint="eastAsia"/>
          <w:szCs w:val="22"/>
        </w:rPr>
      </w:pPr>
      <w:r>
        <w:rPr>
          <w:rFonts w:hint="eastAsia"/>
          <w:szCs w:val="22"/>
        </w:rPr>
        <w:t>禁止在广场内设点摆摊，维护广场整体形象。在下午下班前对广场东入口进行重点监管，严禁摊贩进入广场。</w:t>
      </w:r>
    </w:p>
    <w:p>
      <w:pPr>
        <w:numPr>
          <w:ilvl w:val="0"/>
          <w:numId w:val="39"/>
        </w:numPr>
        <w:snapToGrid w:val="0"/>
        <w:spacing w:line="380" w:lineRule="exact"/>
        <w:ind w:left="5" w:leftChars="0" w:firstLine="411" w:firstLineChars="196"/>
        <w:jc w:val="both"/>
        <w:rPr>
          <w:rFonts w:hint="eastAsia"/>
          <w:szCs w:val="22"/>
        </w:rPr>
      </w:pPr>
      <w:r>
        <w:rPr>
          <w:rFonts w:hint="eastAsia"/>
          <w:szCs w:val="22"/>
        </w:rPr>
        <w:t>车辆有序、整齐停泊在指定的位置，严禁车辆乱停乱放。</w:t>
      </w:r>
    </w:p>
    <w:p>
      <w:pPr>
        <w:numPr>
          <w:ilvl w:val="0"/>
          <w:numId w:val="39"/>
        </w:numPr>
        <w:snapToGrid w:val="0"/>
        <w:spacing w:line="380" w:lineRule="exact"/>
        <w:ind w:left="5" w:leftChars="0" w:firstLine="411" w:firstLineChars="196"/>
        <w:jc w:val="both"/>
        <w:rPr>
          <w:rFonts w:hint="eastAsia"/>
          <w:szCs w:val="22"/>
        </w:rPr>
      </w:pPr>
      <w:r>
        <w:rPr>
          <w:rFonts w:hint="eastAsia"/>
          <w:szCs w:val="22"/>
        </w:rPr>
        <w:t>对在广场有打架斗殴、赌博的人应立即予以劝阻、制止，涉及违法的应立即报公安机关。</w:t>
      </w:r>
    </w:p>
    <w:p>
      <w:pPr>
        <w:numPr>
          <w:ilvl w:val="0"/>
          <w:numId w:val="39"/>
        </w:numPr>
        <w:snapToGrid w:val="0"/>
        <w:spacing w:line="380" w:lineRule="exact"/>
        <w:ind w:left="5" w:leftChars="0" w:firstLine="411" w:firstLineChars="196"/>
        <w:jc w:val="both"/>
        <w:rPr>
          <w:rFonts w:hint="eastAsia"/>
          <w:szCs w:val="22"/>
        </w:rPr>
      </w:pPr>
      <w:r>
        <w:rPr>
          <w:rFonts w:hint="eastAsia"/>
          <w:szCs w:val="22"/>
        </w:rPr>
        <w:t>杜绝广场的不文明现象，对于乞讨、捡破烂者等应劝阻、制止。</w:t>
      </w:r>
    </w:p>
    <w:p>
      <w:pPr>
        <w:numPr>
          <w:ilvl w:val="0"/>
          <w:numId w:val="39"/>
        </w:numPr>
        <w:snapToGrid w:val="0"/>
        <w:spacing w:line="380" w:lineRule="exact"/>
        <w:ind w:left="5" w:leftChars="0" w:firstLine="411" w:firstLineChars="196"/>
        <w:jc w:val="both"/>
        <w:rPr>
          <w:rFonts w:hint="eastAsia"/>
          <w:szCs w:val="22"/>
        </w:rPr>
      </w:pPr>
      <w:r>
        <w:rPr>
          <w:rFonts w:hint="eastAsia"/>
          <w:szCs w:val="22"/>
        </w:rPr>
        <w:t>时时警惕消防安全，对有火灾隐患部位应及时上报。有发生火灾的应急预案。事发时及时报告</w:t>
      </w:r>
      <w:r>
        <w:rPr>
          <w:rFonts w:hint="eastAsia"/>
          <w:szCs w:val="22"/>
          <w:lang w:val="en-US" w:eastAsia="zh-CN"/>
        </w:rPr>
        <w:t>采购人</w:t>
      </w:r>
      <w:r>
        <w:rPr>
          <w:rFonts w:hint="eastAsia"/>
          <w:szCs w:val="22"/>
        </w:rPr>
        <w:t>和有关部门，并协助采取</w:t>
      </w:r>
      <w:r>
        <w:rPr>
          <w:rFonts w:hint="eastAsia"/>
          <w:szCs w:val="22"/>
          <w:lang w:val="en-US" w:eastAsia="zh-CN"/>
        </w:rPr>
        <w:t>相应</w:t>
      </w:r>
      <w:r>
        <w:rPr>
          <w:rFonts w:hint="eastAsia"/>
          <w:szCs w:val="22"/>
        </w:rPr>
        <w:t>措施。</w:t>
      </w:r>
    </w:p>
    <w:p>
      <w:pPr>
        <w:numPr>
          <w:ilvl w:val="0"/>
          <w:numId w:val="34"/>
        </w:numPr>
        <w:snapToGrid w:val="0"/>
        <w:spacing w:line="380" w:lineRule="exact"/>
        <w:ind w:hanging="200"/>
        <w:jc w:val="both"/>
        <w:rPr>
          <w:rFonts w:hint="eastAsia"/>
          <w:b/>
          <w:bCs/>
          <w:szCs w:val="22"/>
          <w:lang w:val="en-US" w:eastAsia="zh-CN"/>
        </w:rPr>
      </w:pPr>
      <w:r>
        <w:rPr>
          <w:rFonts w:hint="eastAsia"/>
          <w:b/>
          <w:bCs/>
          <w:szCs w:val="22"/>
          <w:lang w:val="en-US" w:eastAsia="zh-CN"/>
        </w:rPr>
        <w:t>12、安检工作要求</w:t>
      </w:r>
    </w:p>
    <w:p>
      <w:pPr>
        <w:numPr>
          <w:ilvl w:val="0"/>
          <w:numId w:val="40"/>
        </w:numPr>
        <w:snapToGrid w:val="0"/>
        <w:spacing w:line="380" w:lineRule="exact"/>
        <w:ind w:left="5" w:leftChars="0" w:firstLine="411" w:firstLineChars="196"/>
        <w:jc w:val="both"/>
        <w:rPr>
          <w:rFonts w:hint="eastAsia"/>
          <w:szCs w:val="22"/>
        </w:rPr>
      </w:pPr>
      <w:r>
        <w:rPr>
          <w:rFonts w:hint="eastAsia"/>
          <w:szCs w:val="22"/>
        </w:rPr>
        <w:t>使用仪器，依法检查进出场所的人员及其随身携带物品；</w:t>
      </w:r>
    </w:p>
    <w:p>
      <w:pPr>
        <w:numPr>
          <w:ilvl w:val="0"/>
          <w:numId w:val="40"/>
        </w:numPr>
        <w:snapToGrid w:val="0"/>
        <w:spacing w:line="380" w:lineRule="exact"/>
        <w:ind w:left="5" w:leftChars="0" w:firstLine="411" w:firstLineChars="196"/>
        <w:jc w:val="both"/>
        <w:rPr>
          <w:rFonts w:hint="eastAsia"/>
          <w:szCs w:val="22"/>
        </w:rPr>
      </w:pPr>
      <w:r>
        <w:rPr>
          <w:rFonts w:hint="eastAsia"/>
          <w:szCs w:val="22"/>
        </w:rPr>
        <w:t>手工或使用开箱包、X射线机、防爆仪器等设备，检查、检测可疑物品；</w:t>
      </w:r>
    </w:p>
    <w:p>
      <w:pPr>
        <w:numPr>
          <w:ilvl w:val="0"/>
          <w:numId w:val="40"/>
        </w:numPr>
        <w:snapToGrid w:val="0"/>
        <w:spacing w:line="380" w:lineRule="exact"/>
        <w:ind w:left="5" w:leftChars="0" w:firstLine="411" w:firstLineChars="196"/>
        <w:jc w:val="both"/>
        <w:rPr>
          <w:rFonts w:hint="eastAsia"/>
          <w:szCs w:val="22"/>
        </w:rPr>
      </w:pPr>
      <w:r>
        <w:rPr>
          <w:rFonts w:hint="eastAsia"/>
          <w:szCs w:val="22"/>
        </w:rPr>
        <w:t>依法依规对可疑物品进行暂存、没 收等处置，对违规或违法者移交执法部门处置。</w:t>
      </w:r>
    </w:p>
    <w:p>
      <w:pPr>
        <w:numPr>
          <w:ilvl w:val="0"/>
          <w:numId w:val="20"/>
        </w:numPr>
        <w:spacing w:line="360" w:lineRule="auto"/>
        <w:ind w:hanging="5"/>
        <w:rPr>
          <w:rFonts w:ascii="宋体" w:hAnsi="宋体" w:cs="宋体"/>
          <w:b/>
          <w:bCs/>
          <w:szCs w:val="21"/>
        </w:rPr>
      </w:pPr>
      <w:r>
        <w:rPr>
          <w:rFonts w:hint="eastAsia" w:ascii="宋体" w:hAnsi="宋体" w:cs="宋体"/>
          <w:b/>
          <w:bCs/>
          <w:szCs w:val="21"/>
        </w:rPr>
        <w:t>卫生保洁服务</w:t>
      </w:r>
    </w:p>
    <w:p>
      <w:pPr>
        <w:numPr>
          <w:ilvl w:val="0"/>
          <w:numId w:val="41"/>
        </w:numPr>
        <w:tabs>
          <w:tab w:val="left" w:pos="360"/>
        </w:tabs>
        <w:snapToGrid w:val="0"/>
        <w:spacing w:line="380" w:lineRule="exact"/>
        <w:ind w:hanging="5"/>
        <w:jc w:val="both"/>
      </w:pPr>
      <w:r>
        <w:rPr>
          <w:rFonts w:hint="eastAsia"/>
          <w:b/>
          <w:bCs/>
        </w:rPr>
        <w:t>服务范围</w:t>
      </w:r>
    </w:p>
    <w:p>
      <w:pPr>
        <w:tabs>
          <w:tab w:val="left" w:pos="360"/>
        </w:tabs>
        <w:snapToGrid w:val="0"/>
        <w:spacing w:line="380" w:lineRule="exact"/>
        <w:ind w:firstLine="420" w:firstLineChars="200"/>
        <w:jc w:val="both"/>
      </w:pPr>
      <w:r>
        <w:rPr>
          <w:rFonts w:hint="eastAsia"/>
        </w:rPr>
        <w:t>市人大联络室、综合办公楼、市四套班子办公楼及领导办公室、领导生活房、市机关事务管理中心办公楼、新会议楼、市政会议中心、市矛调中心、机关餐厅（除餐厅内部）、人民广场及停车场（库）等建筑物的内外公共区域（除绿化带修剪枝外），主要包括楼顶、室外路面走道、大厅、各楼层地面、墙面、公共通道门窗、楼梯走廊、天花板、卫生间、绿化带以及市政大院公共设备。</w:t>
      </w:r>
    </w:p>
    <w:p>
      <w:pPr>
        <w:numPr>
          <w:ilvl w:val="0"/>
          <w:numId w:val="41"/>
        </w:numPr>
        <w:tabs>
          <w:tab w:val="left" w:pos="360"/>
        </w:tabs>
        <w:snapToGrid w:val="0"/>
        <w:spacing w:line="380" w:lineRule="exact"/>
        <w:ind w:hanging="5"/>
        <w:jc w:val="both"/>
        <w:rPr>
          <w:b/>
          <w:bCs/>
        </w:rPr>
      </w:pPr>
      <w:r>
        <w:rPr>
          <w:rFonts w:hint="eastAsia"/>
          <w:b/>
          <w:bCs/>
        </w:rPr>
        <w:t>服务标准：</w:t>
      </w:r>
    </w:p>
    <w:p>
      <w:pPr>
        <w:numPr>
          <w:ilvl w:val="0"/>
          <w:numId w:val="42"/>
        </w:numPr>
        <w:tabs>
          <w:tab w:val="left" w:pos="420"/>
        </w:tabs>
        <w:snapToGrid w:val="0"/>
        <w:spacing w:line="380" w:lineRule="exact"/>
        <w:ind w:hanging="142"/>
        <w:jc w:val="both"/>
        <w:rPr>
          <w:b/>
        </w:rPr>
      </w:pPr>
      <w:r>
        <w:rPr>
          <w:rFonts w:hint="eastAsia"/>
          <w:b/>
        </w:rPr>
        <w:t>楼内公共区域的质量标准</w:t>
      </w:r>
    </w:p>
    <w:p>
      <w:pPr>
        <w:numPr>
          <w:ilvl w:val="0"/>
          <w:numId w:val="43"/>
        </w:numPr>
        <w:snapToGrid w:val="0"/>
        <w:spacing w:line="380" w:lineRule="exact"/>
        <w:jc w:val="both"/>
      </w:pPr>
      <w:r>
        <w:rPr>
          <w:rFonts w:hint="eastAsia"/>
        </w:rPr>
        <w:t>地面：无垃圾杂物、无泥沙污渍、无脚印、保持光亮。</w:t>
      </w:r>
    </w:p>
    <w:p>
      <w:pPr>
        <w:numPr>
          <w:ilvl w:val="0"/>
          <w:numId w:val="43"/>
        </w:numPr>
        <w:snapToGrid w:val="0"/>
        <w:spacing w:line="380" w:lineRule="exact"/>
        <w:jc w:val="both"/>
      </w:pPr>
      <w:r>
        <w:rPr>
          <w:rFonts w:hint="eastAsia"/>
        </w:rPr>
        <w:t>墙面</w:t>
      </w:r>
    </w:p>
    <w:p>
      <w:pPr>
        <w:numPr>
          <w:ilvl w:val="0"/>
          <w:numId w:val="44"/>
        </w:numPr>
        <w:tabs>
          <w:tab w:val="left" w:pos="420"/>
        </w:tabs>
        <w:snapToGrid w:val="0"/>
        <w:spacing w:line="380" w:lineRule="exact"/>
        <w:ind w:hanging="5"/>
        <w:jc w:val="both"/>
      </w:pPr>
      <w:r>
        <w:rPr>
          <w:rFonts w:hint="eastAsia"/>
        </w:rPr>
        <w:t>无痰迹污渍，无积尘，无手印、脚印；</w:t>
      </w:r>
    </w:p>
    <w:p>
      <w:pPr>
        <w:numPr>
          <w:ilvl w:val="0"/>
          <w:numId w:val="44"/>
        </w:numPr>
        <w:tabs>
          <w:tab w:val="left" w:pos="420"/>
        </w:tabs>
        <w:snapToGrid w:val="0"/>
        <w:spacing w:line="380" w:lineRule="exact"/>
        <w:ind w:hanging="5"/>
        <w:jc w:val="both"/>
      </w:pPr>
      <w:r>
        <w:rPr>
          <w:rFonts w:hint="eastAsia"/>
        </w:rPr>
        <w:t>大理石、瓷片、喷涂等墙面无明显灰尘；</w:t>
      </w:r>
    </w:p>
    <w:p>
      <w:pPr>
        <w:numPr>
          <w:ilvl w:val="0"/>
          <w:numId w:val="44"/>
        </w:numPr>
        <w:tabs>
          <w:tab w:val="left" w:pos="420"/>
        </w:tabs>
        <w:snapToGrid w:val="0"/>
        <w:spacing w:line="380" w:lineRule="exact"/>
        <w:ind w:hanging="5"/>
        <w:jc w:val="both"/>
      </w:pPr>
      <w:r>
        <w:rPr>
          <w:rFonts w:hint="eastAsia"/>
        </w:rPr>
        <w:t>乳胶漆墙面无污渍，目视无明显灰尘。</w:t>
      </w:r>
    </w:p>
    <w:p>
      <w:pPr>
        <w:numPr>
          <w:ilvl w:val="0"/>
          <w:numId w:val="43"/>
        </w:numPr>
        <w:snapToGrid w:val="0"/>
        <w:spacing w:line="380" w:lineRule="exact"/>
        <w:jc w:val="both"/>
      </w:pPr>
      <w:r>
        <w:rPr>
          <w:rFonts w:hint="eastAsia"/>
        </w:rPr>
        <w:t>楼道与走廊：目视无纸屑、无杂物、无污迹，每个单元楼道烟头不超过1个，走廊100㎡烟头不超过1个，目视天花板无明显灰尘、无蜘蛛网。</w:t>
      </w:r>
    </w:p>
    <w:p>
      <w:pPr>
        <w:numPr>
          <w:ilvl w:val="0"/>
          <w:numId w:val="43"/>
        </w:numPr>
        <w:snapToGrid w:val="0"/>
        <w:spacing w:line="380" w:lineRule="exact"/>
        <w:jc w:val="both"/>
      </w:pPr>
      <w:r>
        <w:rPr>
          <w:rFonts w:hint="eastAsia"/>
        </w:rPr>
        <w:t>窗、扶手、门、消防栓管、信报箱、宣传栏、楼道灯开关等无蜘蛛网、无痰迹污渍、无积尘。</w:t>
      </w:r>
    </w:p>
    <w:p>
      <w:pPr>
        <w:numPr>
          <w:ilvl w:val="0"/>
          <w:numId w:val="43"/>
        </w:numPr>
        <w:snapToGrid w:val="0"/>
        <w:spacing w:line="380" w:lineRule="exact"/>
        <w:jc w:val="both"/>
      </w:pPr>
      <w:r>
        <w:rPr>
          <w:rFonts w:hint="eastAsia"/>
        </w:rPr>
        <w:t>公用卫生间</w:t>
      </w:r>
    </w:p>
    <w:p>
      <w:pPr>
        <w:numPr>
          <w:ilvl w:val="0"/>
          <w:numId w:val="45"/>
        </w:numPr>
        <w:tabs>
          <w:tab w:val="left" w:pos="420"/>
        </w:tabs>
        <w:snapToGrid w:val="0"/>
        <w:spacing w:line="380" w:lineRule="exact"/>
        <w:ind w:hanging="5"/>
        <w:jc w:val="both"/>
      </w:pPr>
      <w:r>
        <w:rPr>
          <w:rFonts w:hint="eastAsia"/>
        </w:rPr>
        <w:t>地面干净无积水、无污渍、无杂物；</w:t>
      </w:r>
    </w:p>
    <w:p>
      <w:pPr>
        <w:numPr>
          <w:ilvl w:val="0"/>
          <w:numId w:val="45"/>
        </w:numPr>
        <w:tabs>
          <w:tab w:val="left" w:pos="420"/>
        </w:tabs>
        <w:snapToGrid w:val="0"/>
        <w:spacing w:line="380" w:lineRule="exact"/>
        <w:ind w:hanging="5"/>
        <w:jc w:val="both"/>
      </w:pPr>
      <w:r>
        <w:rPr>
          <w:rFonts w:hint="eastAsia"/>
        </w:rPr>
        <w:t>墙面、门、窗无明显灰尘，便器无污渍，墙上无涂画；</w:t>
      </w:r>
    </w:p>
    <w:p>
      <w:pPr>
        <w:numPr>
          <w:ilvl w:val="0"/>
          <w:numId w:val="45"/>
        </w:numPr>
        <w:tabs>
          <w:tab w:val="left" w:pos="420"/>
        </w:tabs>
        <w:snapToGrid w:val="0"/>
        <w:spacing w:line="380" w:lineRule="exact"/>
        <w:ind w:hanging="5"/>
        <w:jc w:val="both"/>
      </w:pPr>
      <w:r>
        <w:rPr>
          <w:rFonts w:hint="eastAsia"/>
        </w:rPr>
        <w:t>设施完好、用品齐全，室内无异味；</w:t>
      </w:r>
    </w:p>
    <w:p>
      <w:pPr>
        <w:numPr>
          <w:ilvl w:val="0"/>
          <w:numId w:val="45"/>
        </w:numPr>
        <w:tabs>
          <w:tab w:val="left" w:pos="420"/>
        </w:tabs>
        <w:snapToGrid w:val="0"/>
        <w:spacing w:line="380" w:lineRule="exact"/>
        <w:ind w:hanging="5"/>
        <w:jc w:val="both"/>
      </w:pPr>
      <w:r>
        <w:rPr>
          <w:rFonts w:hint="eastAsia"/>
        </w:rPr>
        <w:t>天花板、灯具目视无明显灰尘，无蜘蛛网；</w:t>
      </w:r>
    </w:p>
    <w:p>
      <w:pPr>
        <w:numPr>
          <w:ilvl w:val="0"/>
          <w:numId w:val="45"/>
        </w:numPr>
        <w:tabs>
          <w:tab w:val="left" w:pos="420"/>
        </w:tabs>
        <w:snapToGrid w:val="0"/>
        <w:spacing w:line="380" w:lineRule="exact"/>
        <w:ind w:hanging="5"/>
        <w:jc w:val="both"/>
      </w:pPr>
      <w:r>
        <w:rPr>
          <w:rFonts w:hint="eastAsia"/>
        </w:rPr>
        <w:t>玻璃、镜面无灰尘、无污迹、无手印。</w:t>
      </w:r>
    </w:p>
    <w:p>
      <w:pPr>
        <w:numPr>
          <w:ilvl w:val="0"/>
          <w:numId w:val="43"/>
        </w:numPr>
        <w:snapToGrid w:val="0"/>
        <w:spacing w:line="380" w:lineRule="exact"/>
        <w:jc w:val="both"/>
      </w:pPr>
      <w:r>
        <w:rPr>
          <w:rFonts w:hint="eastAsia"/>
        </w:rPr>
        <w:t>灯罩、烟感器、出风口、指示灯：目视无明显灰尘、无污迹</w:t>
      </w:r>
      <w:r>
        <w:rPr>
          <w:rFonts w:hint="eastAsia"/>
          <w:lang w:eastAsia="zh-CN"/>
        </w:rPr>
        <w:t>。</w:t>
      </w:r>
    </w:p>
    <w:p>
      <w:pPr>
        <w:numPr>
          <w:ilvl w:val="0"/>
          <w:numId w:val="43"/>
        </w:numPr>
        <w:snapToGrid w:val="0"/>
        <w:spacing w:line="380" w:lineRule="exact"/>
        <w:jc w:val="both"/>
      </w:pPr>
      <w:r>
        <w:rPr>
          <w:rFonts w:hint="eastAsia"/>
        </w:rPr>
        <w:t>玻璃门窗和镜面</w:t>
      </w:r>
    </w:p>
    <w:p>
      <w:pPr>
        <w:numPr>
          <w:ilvl w:val="0"/>
          <w:numId w:val="46"/>
        </w:numPr>
        <w:tabs>
          <w:tab w:val="left" w:pos="420"/>
        </w:tabs>
        <w:snapToGrid w:val="0"/>
        <w:spacing w:line="380" w:lineRule="exact"/>
        <w:ind w:hanging="5"/>
        <w:jc w:val="both"/>
      </w:pPr>
      <w:r>
        <w:rPr>
          <w:rFonts w:hint="eastAsia"/>
        </w:rPr>
        <w:t>玻璃、镜面无污迹、无手印，无明显灰尘；</w:t>
      </w:r>
    </w:p>
    <w:p>
      <w:pPr>
        <w:numPr>
          <w:ilvl w:val="0"/>
          <w:numId w:val="46"/>
        </w:numPr>
        <w:tabs>
          <w:tab w:val="left" w:pos="420"/>
        </w:tabs>
        <w:snapToGrid w:val="0"/>
        <w:spacing w:line="380" w:lineRule="exact"/>
        <w:ind w:hanging="5"/>
        <w:jc w:val="both"/>
      </w:pPr>
      <w:r>
        <w:rPr>
          <w:rFonts w:hint="eastAsia"/>
        </w:rPr>
        <w:t>门窗框、镜框无积尘、无污迹。</w:t>
      </w:r>
    </w:p>
    <w:p>
      <w:pPr>
        <w:numPr>
          <w:ilvl w:val="0"/>
          <w:numId w:val="42"/>
        </w:numPr>
        <w:tabs>
          <w:tab w:val="left" w:pos="420"/>
        </w:tabs>
        <w:snapToGrid w:val="0"/>
        <w:spacing w:line="380" w:lineRule="exact"/>
        <w:ind w:hanging="142"/>
        <w:jc w:val="both"/>
        <w:rPr>
          <w:b/>
        </w:rPr>
      </w:pPr>
      <w:r>
        <w:rPr>
          <w:rFonts w:hint="eastAsia"/>
          <w:b/>
        </w:rPr>
        <w:t>室外公共区域的质量标准</w:t>
      </w:r>
    </w:p>
    <w:p>
      <w:pPr>
        <w:numPr>
          <w:ilvl w:val="0"/>
          <w:numId w:val="47"/>
        </w:numPr>
        <w:snapToGrid w:val="0"/>
        <w:spacing w:line="440" w:lineRule="exact"/>
        <w:jc w:val="both"/>
      </w:pPr>
      <w:r>
        <w:rPr>
          <w:rFonts w:hint="eastAsia"/>
        </w:rPr>
        <w:t>道路：无明显泥沙、无污垢，每100㎡内烟头、纸屑平均不超过两个、无直径1㎝以上的石子。</w:t>
      </w:r>
    </w:p>
    <w:p>
      <w:pPr>
        <w:numPr>
          <w:ilvl w:val="0"/>
          <w:numId w:val="47"/>
        </w:numPr>
        <w:snapToGrid w:val="0"/>
        <w:spacing w:line="380" w:lineRule="exact"/>
        <w:jc w:val="both"/>
      </w:pPr>
      <w:r>
        <w:rPr>
          <w:rFonts w:hint="eastAsia"/>
        </w:rPr>
        <w:t>草坪：草坪中无纸屑、塑料袋等垃圾，不包括草坪中修剪枝。</w:t>
      </w:r>
    </w:p>
    <w:p>
      <w:pPr>
        <w:numPr>
          <w:ilvl w:val="0"/>
          <w:numId w:val="47"/>
        </w:numPr>
        <w:snapToGrid w:val="0"/>
        <w:spacing w:line="380" w:lineRule="exact"/>
        <w:jc w:val="both"/>
      </w:pPr>
      <w:r>
        <w:rPr>
          <w:rFonts w:hint="eastAsia"/>
        </w:rPr>
        <w:t>排水明沟：无明显泥沙、无污垢，无烟头、纸屑在两个以下。</w:t>
      </w:r>
    </w:p>
    <w:p>
      <w:pPr>
        <w:numPr>
          <w:ilvl w:val="0"/>
          <w:numId w:val="47"/>
        </w:numPr>
        <w:snapToGrid w:val="0"/>
        <w:spacing w:line="380" w:lineRule="exact"/>
        <w:jc w:val="both"/>
      </w:pPr>
      <w:r>
        <w:rPr>
          <w:rFonts w:hint="eastAsia"/>
        </w:rPr>
        <w:t>垃圾箱：</w:t>
      </w:r>
    </w:p>
    <w:p>
      <w:pPr>
        <w:numPr>
          <w:ilvl w:val="0"/>
          <w:numId w:val="48"/>
        </w:numPr>
        <w:snapToGrid w:val="0"/>
        <w:spacing w:line="380" w:lineRule="exact"/>
        <w:ind w:hanging="5"/>
        <w:jc w:val="both"/>
      </w:pPr>
      <w:r>
        <w:rPr>
          <w:rFonts w:hint="eastAsia"/>
        </w:rPr>
        <w:t>周围地面无散落垃圾、无污水、无明显污迹；</w:t>
      </w:r>
    </w:p>
    <w:p>
      <w:pPr>
        <w:numPr>
          <w:ilvl w:val="0"/>
          <w:numId w:val="48"/>
        </w:numPr>
        <w:snapToGrid w:val="0"/>
        <w:spacing w:line="380" w:lineRule="exact"/>
        <w:ind w:hanging="5"/>
        <w:jc w:val="both"/>
      </w:pPr>
      <w:r>
        <w:rPr>
          <w:rFonts w:hint="eastAsia"/>
        </w:rPr>
        <w:t>箱外无污染，箱内无积水</w:t>
      </w:r>
      <w:r>
        <w:rPr>
          <w:rFonts w:hint="eastAsia"/>
          <w:lang w:eastAsia="zh-CN"/>
        </w:rPr>
        <w:t>。</w:t>
      </w:r>
    </w:p>
    <w:p>
      <w:pPr>
        <w:numPr>
          <w:ilvl w:val="0"/>
          <w:numId w:val="47"/>
        </w:numPr>
        <w:snapToGrid w:val="0"/>
        <w:spacing w:line="380" w:lineRule="exact"/>
        <w:jc w:val="both"/>
      </w:pPr>
      <w:r>
        <w:rPr>
          <w:rFonts w:hint="eastAsia"/>
        </w:rPr>
        <w:t>果壳箱：内部垃圾及时清理，外表无污迹、粘附物</w:t>
      </w:r>
      <w:r>
        <w:rPr>
          <w:rFonts w:hint="eastAsia"/>
          <w:lang w:eastAsia="zh-CN"/>
        </w:rPr>
        <w:t>。</w:t>
      </w:r>
    </w:p>
    <w:p>
      <w:pPr>
        <w:numPr>
          <w:ilvl w:val="0"/>
          <w:numId w:val="47"/>
        </w:numPr>
        <w:snapToGrid w:val="0"/>
        <w:spacing w:line="380" w:lineRule="exact"/>
        <w:jc w:val="both"/>
      </w:pPr>
      <w:r>
        <w:rPr>
          <w:rFonts w:hint="eastAsia"/>
        </w:rPr>
        <w:t>标识牌和告示栏：目视表面无明显积尘、无污迹、无乱张贴。</w:t>
      </w:r>
    </w:p>
    <w:p>
      <w:pPr>
        <w:numPr>
          <w:ilvl w:val="0"/>
          <w:numId w:val="41"/>
        </w:numPr>
        <w:tabs>
          <w:tab w:val="left" w:pos="360"/>
        </w:tabs>
        <w:snapToGrid w:val="0"/>
        <w:spacing w:line="380" w:lineRule="exact"/>
        <w:ind w:hanging="5"/>
        <w:jc w:val="both"/>
        <w:rPr>
          <w:b/>
          <w:bCs/>
        </w:rPr>
      </w:pPr>
      <w:r>
        <w:rPr>
          <w:rFonts w:hint="eastAsia"/>
          <w:b/>
          <w:bCs/>
        </w:rPr>
        <w:t>保洁的操作要求</w:t>
      </w:r>
    </w:p>
    <w:p>
      <w:pPr>
        <w:numPr>
          <w:ilvl w:val="0"/>
          <w:numId w:val="49"/>
        </w:numPr>
        <w:snapToGrid w:val="0"/>
        <w:spacing w:line="380" w:lineRule="exact"/>
        <w:jc w:val="both"/>
      </w:pPr>
      <w:r>
        <w:rPr>
          <w:rFonts w:hint="eastAsia"/>
        </w:rPr>
        <w:t>门厅保洁</w:t>
      </w:r>
    </w:p>
    <w:p>
      <w:pPr>
        <w:numPr>
          <w:ilvl w:val="0"/>
          <w:numId w:val="50"/>
        </w:numPr>
        <w:tabs>
          <w:tab w:val="left" w:pos="851"/>
        </w:tabs>
        <w:snapToGrid w:val="0"/>
        <w:spacing w:line="380" w:lineRule="exact"/>
        <w:ind w:hanging="5"/>
        <w:jc w:val="both"/>
      </w:pPr>
      <w:r>
        <w:rPr>
          <w:rFonts w:hint="eastAsia"/>
        </w:rPr>
        <w:t>门厅垃圾桶的烟灰缸内烟头存放不得超过3个；</w:t>
      </w:r>
    </w:p>
    <w:p>
      <w:pPr>
        <w:numPr>
          <w:ilvl w:val="0"/>
          <w:numId w:val="50"/>
        </w:numPr>
        <w:tabs>
          <w:tab w:val="left" w:pos="851"/>
        </w:tabs>
        <w:snapToGrid w:val="0"/>
        <w:spacing w:line="380" w:lineRule="exact"/>
        <w:ind w:hanging="5"/>
        <w:jc w:val="both"/>
      </w:pPr>
      <w:r>
        <w:rPr>
          <w:rFonts w:hint="eastAsia"/>
        </w:rPr>
        <w:t>垃圾桶内垃圾不能超过一半，下班前应把垃圾清倒干净；</w:t>
      </w:r>
    </w:p>
    <w:p>
      <w:pPr>
        <w:numPr>
          <w:ilvl w:val="0"/>
          <w:numId w:val="50"/>
        </w:numPr>
        <w:tabs>
          <w:tab w:val="left" w:pos="851"/>
        </w:tabs>
        <w:snapToGrid w:val="0"/>
        <w:spacing w:line="380" w:lineRule="exact"/>
        <w:ind w:hanging="5"/>
        <w:jc w:val="both"/>
      </w:pPr>
      <w:r>
        <w:rPr>
          <w:rFonts w:hint="eastAsia"/>
        </w:rPr>
        <w:t>玻璃大门无手印和灰尘，保持光亮、干净；</w:t>
      </w:r>
    </w:p>
    <w:p>
      <w:pPr>
        <w:numPr>
          <w:ilvl w:val="0"/>
          <w:numId w:val="50"/>
        </w:numPr>
        <w:tabs>
          <w:tab w:val="left" w:pos="851"/>
        </w:tabs>
        <w:snapToGrid w:val="0"/>
        <w:spacing w:line="380" w:lineRule="exact"/>
        <w:ind w:left="5" w:leftChars="0" w:firstLine="415" w:firstLineChars="0"/>
        <w:jc w:val="both"/>
      </w:pPr>
      <w:r>
        <w:rPr>
          <w:rFonts w:hint="eastAsia"/>
        </w:rPr>
        <w:t>早上用拖把把门厅地面拖洗干净，用尘推循环打扫地面，保持花岗石地板无污渍、无垃圾；下雨天要增加拖地次数，保持地面无积水；</w:t>
      </w:r>
    </w:p>
    <w:p>
      <w:pPr>
        <w:numPr>
          <w:ilvl w:val="0"/>
          <w:numId w:val="50"/>
        </w:numPr>
        <w:tabs>
          <w:tab w:val="left" w:pos="851"/>
        </w:tabs>
        <w:snapToGrid w:val="0"/>
        <w:spacing w:line="380" w:lineRule="exact"/>
        <w:ind w:hanging="5"/>
        <w:jc w:val="both"/>
      </w:pPr>
      <w:r>
        <w:rPr>
          <w:rFonts w:hint="eastAsia"/>
        </w:rPr>
        <w:t>及时更换有烟头的烟灰缸并清洗干净；</w:t>
      </w:r>
    </w:p>
    <w:p>
      <w:pPr>
        <w:numPr>
          <w:ilvl w:val="0"/>
          <w:numId w:val="50"/>
        </w:numPr>
        <w:tabs>
          <w:tab w:val="left" w:pos="851"/>
        </w:tabs>
        <w:snapToGrid w:val="0"/>
        <w:spacing w:line="380" w:lineRule="exact"/>
        <w:ind w:hanging="5"/>
        <w:jc w:val="both"/>
      </w:pPr>
      <w:r>
        <w:rPr>
          <w:rFonts w:hint="eastAsia"/>
        </w:rPr>
        <w:t>每两个月进行一次大理石打蜡（除餐厅外），保持清洁明亮。</w:t>
      </w:r>
    </w:p>
    <w:p>
      <w:pPr>
        <w:numPr>
          <w:ilvl w:val="0"/>
          <w:numId w:val="49"/>
        </w:numPr>
        <w:snapToGrid w:val="0"/>
        <w:spacing w:line="380" w:lineRule="exact"/>
        <w:jc w:val="both"/>
      </w:pPr>
      <w:r>
        <w:rPr>
          <w:rFonts w:hint="eastAsia"/>
        </w:rPr>
        <w:t>梯间通道的保洁</w:t>
      </w:r>
    </w:p>
    <w:p>
      <w:pPr>
        <w:numPr>
          <w:ilvl w:val="0"/>
          <w:numId w:val="51"/>
        </w:numPr>
        <w:tabs>
          <w:tab w:val="left" w:pos="851"/>
        </w:tabs>
        <w:snapToGrid w:val="0"/>
        <w:spacing w:line="380" w:lineRule="exact"/>
        <w:ind w:hanging="5"/>
        <w:jc w:val="both"/>
      </w:pPr>
      <w:r>
        <w:rPr>
          <w:rFonts w:hint="eastAsia"/>
        </w:rPr>
        <w:t>每天清扫各楼层通道和楼梯台阶并拖洗干净；</w:t>
      </w:r>
    </w:p>
    <w:p>
      <w:pPr>
        <w:numPr>
          <w:ilvl w:val="0"/>
          <w:numId w:val="51"/>
        </w:numPr>
        <w:tabs>
          <w:tab w:val="left" w:pos="851"/>
        </w:tabs>
        <w:snapToGrid w:val="0"/>
        <w:spacing w:line="380" w:lineRule="exact"/>
        <w:ind w:left="5" w:leftChars="0" w:firstLine="415" w:firstLineChars="0"/>
        <w:jc w:val="both"/>
      </w:pPr>
      <w:r>
        <w:rPr>
          <w:rFonts w:hint="eastAsia"/>
        </w:rPr>
        <w:t>楼道门、楼梯扶手、栏杆、玻璃窗、楼道灯开关、有线网柜、消防栓柜、指示牌等每天保洁一次；</w:t>
      </w:r>
    </w:p>
    <w:p>
      <w:pPr>
        <w:numPr>
          <w:ilvl w:val="0"/>
          <w:numId w:val="51"/>
        </w:numPr>
        <w:tabs>
          <w:tab w:val="left" w:pos="851"/>
        </w:tabs>
        <w:snapToGrid w:val="0"/>
        <w:spacing w:line="380" w:lineRule="exact"/>
        <w:ind w:hanging="5"/>
        <w:jc w:val="both"/>
      </w:pPr>
      <w:r>
        <w:rPr>
          <w:rFonts w:hint="eastAsia"/>
        </w:rPr>
        <w:t>清理楼梯口和通道摆放的烟灰缸内的垃圾和烟头；</w:t>
      </w:r>
    </w:p>
    <w:p>
      <w:pPr>
        <w:numPr>
          <w:ilvl w:val="0"/>
          <w:numId w:val="51"/>
        </w:numPr>
        <w:tabs>
          <w:tab w:val="left" w:pos="851"/>
        </w:tabs>
        <w:snapToGrid w:val="0"/>
        <w:spacing w:line="380" w:lineRule="exact"/>
        <w:ind w:hanging="5"/>
        <w:jc w:val="both"/>
      </w:pPr>
      <w:r>
        <w:rPr>
          <w:rFonts w:hint="eastAsia"/>
        </w:rPr>
        <w:t>各梯间、通道的壁面、天花板应每周进行一次除尘。</w:t>
      </w:r>
    </w:p>
    <w:p>
      <w:pPr>
        <w:numPr>
          <w:ilvl w:val="0"/>
          <w:numId w:val="49"/>
        </w:numPr>
        <w:snapToGrid w:val="0"/>
        <w:spacing w:line="380" w:lineRule="exact"/>
        <w:jc w:val="both"/>
      </w:pPr>
      <w:r>
        <w:rPr>
          <w:rFonts w:hint="eastAsia"/>
        </w:rPr>
        <w:t>公用洗手间的保洁</w:t>
      </w:r>
    </w:p>
    <w:p>
      <w:pPr>
        <w:numPr>
          <w:ilvl w:val="0"/>
          <w:numId w:val="52"/>
        </w:numPr>
        <w:tabs>
          <w:tab w:val="left" w:pos="851"/>
        </w:tabs>
        <w:snapToGrid w:val="0"/>
        <w:spacing w:line="380" w:lineRule="exact"/>
        <w:ind w:hanging="5"/>
        <w:jc w:val="both"/>
      </w:pPr>
      <w:r>
        <w:rPr>
          <w:rFonts w:hint="eastAsia"/>
        </w:rPr>
        <w:t>打开门窗通风，用水冲洗大小便器；</w:t>
      </w:r>
    </w:p>
    <w:p>
      <w:pPr>
        <w:numPr>
          <w:ilvl w:val="0"/>
          <w:numId w:val="52"/>
        </w:numPr>
        <w:tabs>
          <w:tab w:val="left" w:pos="851"/>
        </w:tabs>
        <w:snapToGrid w:val="0"/>
        <w:spacing w:line="380" w:lineRule="exact"/>
        <w:ind w:hanging="5"/>
        <w:jc w:val="both"/>
      </w:pPr>
      <w:r>
        <w:rPr>
          <w:rFonts w:hint="eastAsia"/>
        </w:rPr>
        <w:t>清扫地面垃圾、清倒垃圾篓垃圾、换新的垃圾袋后放回原处；</w:t>
      </w:r>
    </w:p>
    <w:p>
      <w:pPr>
        <w:numPr>
          <w:ilvl w:val="0"/>
          <w:numId w:val="52"/>
        </w:numPr>
        <w:tabs>
          <w:tab w:val="left" w:pos="851"/>
        </w:tabs>
        <w:snapToGrid w:val="0"/>
        <w:spacing w:line="380" w:lineRule="exact"/>
        <w:ind w:left="5" w:leftChars="0" w:firstLine="415" w:firstLineChars="0"/>
        <w:jc w:val="both"/>
      </w:pPr>
      <w:r>
        <w:rPr>
          <w:rFonts w:hint="eastAsia"/>
        </w:rPr>
        <w:t>用洗洁精均匀喷洒在洗手盆及大、小便器上，用毛球洗刷大、小便器，用快洁布擦洗洗手盆，然后用清水冲干净；</w:t>
      </w:r>
    </w:p>
    <w:p>
      <w:pPr>
        <w:numPr>
          <w:ilvl w:val="0"/>
          <w:numId w:val="52"/>
        </w:numPr>
        <w:tabs>
          <w:tab w:val="left" w:pos="851"/>
        </w:tabs>
        <w:snapToGrid w:val="0"/>
        <w:spacing w:line="380" w:lineRule="exact"/>
        <w:ind w:hanging="5"/>
        <w:jc w:val="both"/>
      </w:pPr>
      <w:r>
        <w:rPr>
          <w:rFonts w:hint="eastAsia"/>
        </w:rPr>
        <w:t>用毛巾从门开始顺时针方向依次将墙面、台面、开关、门窗标牌等抹一遍；</w:t>
      </w:r>
    </w:p>
    <w:p>
      <w:pPr>
        <w:numPr>
          <w:ilvl w:val="0"/>
          <w:numId w:val="52"/>
        </w:numPr>
        <w:tabs>
          <w:tab w:val="left" w:pos="851"/>
        </w:tabs>
        <w:snapToGrid w:val="0"/>
        <w:spacing w:line="380" w:lineRule="exact"/>
        <w:ind w:hanging="5"/>
        <w:jc w:val="both"/>
      </w:pPr>
      <w:r>
        <w:rPr>
          <w:rFonts w:hint="eastAsia"/>
        </w:rPr>
        <w:t>先用湿布擦窗、玻璃和镜子，然后用干毛巾擦干净；</w:t>
      </w:r>
    </w:p>
    <w:p>
      <w:pPr>
        <w:numPr>
          <w:ilvl w:val="0"/>
          <w:numId w:val="52"/>
        </w:numPr>
        <w:tabs>
          <w:tab w:val="left" w:pos="851"/>
        </w:tabs>
        <w:snapToGrid w:val="0"/>
        <w:spacing w:line="380" w:lineRule="exact"/>
        <w:ind w:hanging="5"/>
        <w:jc w:val="both"/>
      </w:pPr>
      <w:r>
        <w:rPr>
          <w:rFonts w:hint="eastAsia"/>
        </w:rPr>
        <w:t>用拖把拖干净地面；</w:t>
      </w:r>
    </w:p>
    <w:p>
      <w:pPr>
        <w:numPr>
          <w:ilvl w:val="0"/>
          <w:numId w:val="52"/>
        </w:numPr>
        <w:tabs>
          <w:tab w:val="left" w:pos="851"/>
        </w:tabs>
        <w:snapToGrid w:val="0"/>
        <w:spacing w:line="380" w:lineRule="exact"/>
        <w:ind w:hanging="5"/>
        <w:jc w:val="both"/>
      </w:pPr>
      <w:r>
        <w:rPr>
          <w:rFonts w:hint="eastAsia"/>
        </w:rPr>
        <w:t>适量喷洒空气清新剂，根据消耗情况及时添卫生纸、卫生球</w:t>
      </w:r>
      <w:r>
        <w:rPr>
          <w:rFonts w:hint="eastAsia"/>
          <w:lang w:eastAsia="zh-CN"/>
        </w:rPr>
        <w:t>；</w:t>
      </w:r>
    </w:p>
    <w:p>
      <w:pPr>
        <w:numPr>
          <w:ilvl w:val="0"/>
          <w:numId w:val="52"/>
        </w:numPr>
        <w:tabs>
          <w:tab w:val="left" w:pos="851"/>
        </w:tabs>
        <w:snapToGrid w:val="0"/>
        <w:spacing w:line="380" w:lineRule="exact"/>
        <w:ind w:hanging="5"/>
        <w:jc w:val="both"/>
      </w:pPr>
      <w:r>
        <w:rPr>
          <w:rFonts w:hint="eastAsia"/>
        </w:rPr>
        <w:t>每周二次用玻璃清洁工具清洁洗手间的玻璃镜；</w:t>
      </w:r>
    </w:p>
    <w:p>
      <w:pPr>
        <w:numPr>
          <w:ilvl w:val="0"/>
          <w:numId w:val="52"/>
        </w:numPr>
        <w:tabs>
          <w:tab w:val="left" w:pos="851"/>
        </w:tabs>
        <w:snapToGrid w:val="0"/>
        <w:spacing w:line="380" w:lineRule="exact"/>
        <w:ind w:hanging="5"/>
        <w:jc w:val="both"/>
      </w:pPr>
      <w:r>
        <w:rPr>
          <w:rFonts w:hint="eastAsia"/>
        </w:rPr>
        <w:t>每月二次用毛巾擦灯具、清扫天花板；</w:t>
      </w:r>
    </w:p>
    <w:p>
      <w:pPr>
        <w:numPr>
          <w:ilvl w:val="0"/>
          <w:numId w:val="52"/>
        </w:numPr>
        <w:tabs>
          <w:tab w:val="left" w:pos="851"/>
        </w:tabs>
        <w:snapToGrid w:val="0"/>
        <w:spacing w:line="380" w:lineRule="exact"/>
        <w:ind w:hanging="5"/>
        <w:jc w:val="both"/>
      </w:pPr>
      <w:r>
        <w:rPr>
          <w:rFonts w:hint="eastAsia"/>
        </w:rPr>
        <w:t>每月二次对洗手间进行消杀工作。</w:t>
      </w:r>
    </w:p>
    <w:p>
      <w:pPr>
        <w:numPr>
          <w:ilvl w:val="0"/>
          <w:numId w:val="49"/>
        </w:numPr>
        <w:snapToGrid w:val="0"/>
        <w:spacing w:line="380" w:lineRule="exact"/>
        <w:jc w:val="both"/>
      </w:pPr>
      <w:r>
        <w:rPr>
          <w:rFonts w:hint="eastAsia"/>
        </w:rPr>
        <w:t>路面的保洁</w:t>
      </w:r>
    </w:p>
    <w:p>
      <w:pPr>
        <w:numPr>
          <w:ilvl w:val="0"/>
          <w:numId w:val="53"/>
        </w:numPr>
        <w:snapToGrid w:val="0"/>
        <w:spacing w:line="380" w:lineRule="exact"/>
        <w:ind w:hanging="5"/>
        <w:jc w:val="both"/>
      </w:pPr>
      <w:r>
        <w:rPr>
          <w:rFonts w:hint="eastAsia"/>
        </w:rPr>
        <w:t>每天对院内道路彻底清扫一次，清扫工作从每天早上6点开始；</w:t>
      </w:r>
    </w:p>
    <w:p>
      <w:pPr>
        <w:numPr>
          <w:ilvl w:val="0"/>
          <w:numId w:val="53"/>
        </w:numPr>
        <w:snapToGrid w:val="0"/>
        <w:spacing w:line="380" w:lineRule="exact"/>
        <w:ind w:hanging="5"/>
        <w:jc w:val="both"/>
      </w:pPr>
      <w:r>
        <w:rPr>
          <w:rFonts w:hint="eastAsia"/>
        </w:rPr>
        <w:t>对主干道除定时清扫外，应巡回保洁，做到人过地净；</w:t>
      </w:r>
    </w:p>
    <w:p>
      <w:pPr>
        <w:numPr>
          <w:ilvl w:val="0"/>
          <w:numId w:val="53"/>
        </w:numPr>
        <w:snapToGrid w:val="0"/>
        <w:spacing w:line="380" w:lineRule="exact"/>
        <w:ind w:hanging="5"/>
        <w:jc w:val="both"/>
      </w:pPr>
      <w:r>
        <w:rPr>
          <w:rFonts w:hint="eastAsia"/>
        </w:rPr>
        <w:t>下雨天应及时清扫路面，确保路面无积水；</w:t>
      </w:r>
    </w:p>
    <w:p>
      <w:pPr>
        <w:numPr>
          <w:ilvl w:val="0"/>
          <w:numId w:val="53"/>
        </w:numPr>
        <w:snapToGrid w:val="0"/>
        <w:spacing w:line="380" w:lineRule="exact"/>
        <w:ind w:hanging="5"/>
        <w:jc w:val="both"/>
      </w:pPr>
      <w:r>
        <w:rPr>
          <w:rFonts w:hint="eastAsia"/>
        </w:rPr>
        <w:t>用铲刀清除粘在地面上的香口胶等杂物。</w:t>
      </w:r>
    </w:p>
    <w:p>
      <w:pPr>
        <w:numPr>
          <w:ilvl w:val="0"/>
          <w:numId w:val="49"/>
        </w:numPr>
        <w:snapToGrid w:val="0"/>
        <w:spacing w:line="380" w:lineRule="exact"/>
        <w:jc w:val="both"/>
      </w:pPr>
      <w:r>
        <w:rPr>
          <w:rFonts w:hint="eastAsia"/>
        </w:rPr>
        <w:t>地下车库的保洁</w:t>
      </w:r>
    </w:p>
    <w:p>
      <w:pPr>
        <w:numPr>
          <w:ilvl w:val="0"/>
          <w:numId w:val="54"/>
        </w:numPr>
        <w:snapToGrid w:val="0"/>
        <w:spacing w:line="380" w:lineRule="exact"/>
        <w:ind w:hanging="5"/>
        <w:jc w:val="both"/>
      </w:pPr>
      <w:r>
        <w:rPr>
          <w:rFonts w:hint="eastAsia"/>
        </w:rPr>
        <w:t>目视地面无垃圾、果皮、纸屑，无积水、污迹和杂物；</w:t>
      </w:r>
    </w:p>
    <w:p>
      <w:pPr>
        <w:numPr>
          <w:ilvl w:val="0"/>
          <w:numId w:val="54"/>
        </w:numPr>
        <w:snapToGrid w:val="0"/>
        <w:spacing w:line="380" w:lineRule="exact"/>
        <w:ind w:hanging="5"/>
        <w:jc w:val="both"/>
      </w:pPr>
      <w:r>
        <w:rPr>
          <w:rFonts w:hint="eastAsia"/>
        </w:rPr>
        <w:t>管道标识清楚，油漆鲜亮，无脱落，无锈迹；</w:t>
      </w:r>
    </w:p>
    <w:p>
      <w:pPr>
        <w:numPr>
          <w:ilvl w:val="0"/>
          <w:numId w:val="54"/>
        </w:numPr>
        <w:snapToGrid w:val="0"/>
        <w:spacing w:line="380" w:lineRule="exact"/>
        <w:ind w:hanging="5"/>
        <w:jc w:val="both"/>
      </w:pPr>
      <w:r>
        <w:rPr>
          <w:rFonts w:hint="eastAsia"/>
        </w:rPr>
        <w:t>目视墙面、管线无污迹、无灰尘；</w:t>
      </w:r>
    </w:p>
    <w:p>
      <w:pPr>
        <w:numPr>
          <w:ilvl w:val="0"/>
          <w:numId w:val="54"/>
        </w:numPr>
        <w:snapToGrid w:val="0"/>
        <w:spacing w:line="380" w:lineRule="exact"/>
        <w:ind w:hanging="5"/>
        <w:jc w:val="both"/>
      </w:pPr>
      <w:r>
        <w:rPr>
          <w:rFonts w:hint="eastAsia"/>
        </w:rPr>
        <w:t>及时清除地车库进出口处的垃圾，以免下水道堵塞；</w:t>
      </w:r>
    </w:p>
    <w:p>
      <w:pPr>
        <w:numPr>
          <w:ilvl w:val="0"/>
          <w:numId w:val="54"/>
        </w:numPr>
        <w:snapToGrid w:val="0"/>
        <w:spacing w:line="380" w:lineRule="exact"/>
        <w:ind w:hanging="5"/>
        <w:jc w:val="both"/>
      </w:pPr>
      <w:r>
        <w:rPr>
          <w:rFonts w:hint="eastAsia"/>
        </w:rPr>
        <w:t>每月应彻底清扫一次地下车库；每天对地下车库进行循环保洁；</w:t>
      </w:r>
    </w:p>
    <w:p>
      <w:pPr>
        <w:numPr>
          <w:ilvl w:val="0"/>
          <w:numId w:val="54"/>
        </w:numPr>
        <w:tabs>
          <w:tab w:val="left" w:pos="0"/>
        </w:tabs>
        <w:snapToGrid w:val="0"/>
        <w:spacing w:line="380" w:lineRule="exact"/>
        <w:ind w:left="5" w:leftChars="0" w:firstLine="415" w:firstLineChars="0"/>
        <w:jc w:val="both"/>
      </w:pPr>
      <w:r>
        <w:rPr>
          <w:rFonts w:hint="eastAsia"/>
        </w:rPr>
        <w:t>每月用清洁剂、毛巾擦拭一遍消防栓、指示牌、指示灯、车位档、防火门等公共设施。</w:t>
      </w:r>
    </w:p>
    <w:p>
      <w:pPr>
        <w:numPr>
          <w:ilvl w:val="0"/>
          <w:numId w:val="49"/>
        </w:numPr>
        <w:snapToGrid w:val="0"/>
        <w:spacing w:line="380" w:lineRule="exact"/>
        <w:jc w:val="both"/>
      </w:pPr>
      <w:r>
        <w:rPr>
          <w:rFonts w:hint="eastAsia"/>
        </w:rPr>
        <w:t>楼顶保洁</w:t>
      </w:r>
    </w:p>
    <w:p>
      <w:pPr>
        <w:numPr>
          <w:ilvl w:val="0"/>
          <w:numId w:val="55"/>
        </w:numPr>
        <w:snapToGrid w:val="0"/>
        <w:spacing w:line="380" w:lineRule="exact"/>
        <w:ind w:hanging="5"/>
        <w:jc w:val="both"/>
      </w:pPr>
      <w:r>
        <w:rPr>
          <w:rFonts w:hint="eastAsia"/>
        </w:rPr>
        <w:t>楼顶每月一次清扫，每星期巡查一次；</w:t>
      </w:r>
    </w:p>
    <w:p>
      <w:pPr>
        <w:numPr>
          <w:ilvl w:val="0"/>
          <w:numId w:val="55"/>
        </w:numPr>
        <w:snapToGrid w:val="0"/>
        <w:spacing w:line="380" w:lineRule="exact"/>
        <w:ind w:hanging="5"/>
        <w:jc w:val="both"/>
      </w:pPr>
      <w:r>
        <w:rPr>
          <w:rFonts w:hint="eastAsia"/>
        </w:rPr>
        <w:t>保持楼顶无污染、无杂物；</w:t>
      </w:r>
    </w:p>
    <w:p>
      <w:pPr>
        <w:numPr>
          <w:ilvl w:val="0"/>
          <w:numId w:val="55"/>
        </w:numPr>
        <w:snapToGrid w:val="0"/>
        <w:spacing w:line="380" w:lineRule="exact"/>
        <w:ind w:hanging="5"/>
        <w:jc w:val="both"/>
      </w:pPr>
      <w:r>
        <w:rPr>
          <w:rFonts w:hint="eastAsia"/>
        </w:rPr>
        <w:t>保持楼顶下水道通畅；</w:t>
      </w:r>
    </w:p>
    <w:p>
      <w:pPr>
        <w:numPr>
          <w:ilvl w:val="0"/>
          <w:numId w:val="55"/>
        </w:numPr>
        <w:snapToGrid w:val="0"/>
        <w:spacing w:line="380" w:lineRule="exact"/>
        <w:ind w:hanging="5"/>
        <w:jc w:val="both"/>
      </w:pPr>
      <w:r>
        <w:rPr>
          <w:rFonts w:hint="eastAsia"/>
        </w:rPr>
        <w:t>台风期间加强楼顶清扫。</w:t>
      </w:r>
    </w:p>
    <w:p>
      <w:pPr>
        <w:numPr>
          <w:ilvl w:val="0"/>
          <w:numId w:val="49"/>
        </w:numPr>
        <w:snapToGrid w:val="0"/>
        <w:spacing w:line="380" w:lineRule="exact"/>
        <w:jc w:val="both"/>
        <w:rPr>
          <w:rFonts w:hint="eastAsia"/>
          <w:szCs w:val="22"/>
        </w:rPr>
      </w:pPr>
      <w:r>
        <w:rPr>
          <w:rFonts w:hint="eastAsia"/>
          <w:szCs w:val="22"/>
        </w:rPr>
        <w:t>广场保洁</w:t>
      </w:r>
    </w:p>
    <w:p>
      <w:pPr>
        <w:numPr>
          <w:ilvl w:val="0"/>
          <w:numId w:val="56"/>
        </w:numPr>
        <w:snapToGrid w:val="0"/>
        <w:spacing w:line="380" w:lineRule="exact"/>
        <w:ind w:left="5" w:leftChars="0" w:firstLine="415" w:firstLineChars="0"/>
        <w:jc w:val="both"/>
        <w:rPr>
          <w:rFonts w:hint="eastAsia"/>
          <w:szCs w:val="22"/>
        </w:rPr>
      </w:pPr>
      <w:r>
        <w:rPr>
          <w:rFonts w:hint="eastAsia"/>
          <w:szCs w:val="22"/>
        </w:rPr>
        <w:t>在广场主要的入口处和转角点合理放置固定垃圾桶，在合适的部位做些标志牌，随时提醒市民保护环境</w:t>
      </w:r>
      <w:r>
        <w:rPr>
          <w:rFonts w:hint="eastAsia"/>
          <w:szCs w:val="22"/>
          <w:lang w:eastAsia="zh-CN"/>
        </w:rPr>
        <w:t>；</w:t>
      </w:r>
    </w:p>
    <w:p>
      <w:pPr>
        <w:numPr>
          <w:ilvl w:val="0"/>
          <w:numId w:val="56"/>
        </w:numPr>
        <w:snapToGrid w:val="0"/>
        <w:spacing w:line="380" w:lineRule="exact"/>
        <w:ind w:left="5" w:leftChars="0" w:firstLine="415" w:firstLineChars="0"/>
        <w:jc w:val="both"/>
        <w:rPr>
          <w:rFonts w:hint="eastAsia"/>
          <w:szCs w:val="22"/>
        </w:rPr>
      </w:pPr>
      <w:r>
        <w:rPr>
          <w:rFonts w:hint="eastAsia"/>
          <w:szCs w:val="22"/>
        </w:rPr>
        <w:t>将实行垃圾袋装化，垃圾每日及时清理，保持垃圾桶清洁、无异味；</w:t>
      </w:r>
    </w:p>
    <w:p>
      <w:pPr>
        <w:numPr>
          <w:ilvl w:val="0"/>
          <w:numId w:val="56"/>
        </w:numPr>
        <w:snapToGrid w:val="0"/>
        <w:spacing w:line="380" w:lineRule="exact"/>
        <w:ind w:left="5" w:leftChars="0" w:firstLine="415" w:firstLineChars="0"/>
        <w:jc w:val="both"/>
        <w:rPr>
          <w:rFonts w:hint="eastAsia"/>
          <w:szCs w:val="22"/>
        </w:rPr>
      </w:pPr>
      <w:r>
        <w:rPr>
          <w:rFonts w:hint="eastAsia"/>
          <w:szCs w:val="22"/>
        </w:rPr>
        <w:t>保洁人员对道路、广场实行不间断的保洁服务。对游客随手扔置的垃圾和构筑物设备上的污渍、牛皮癣，对喷泉水面漂浮物体等发现后必须及时清理；</w:t>
      </w:r>
    </w:p>
    <w:p>
      <w:pPr>
        <w:numPr>
          <w:ilvl w:val="0"/>
          <w:numId w:val="56"/>
        </w:numPr>
        <w:snapToGrid w:val="0"/>
        <w:spacing w:line="380" w:lineRule="exact"/>
        <w:ind w:left="5" w:leftChars="0" w:firstLine="415" w:firstLineChars="0"/>
        <w:jc w:val="both"/>
        <w:rPr>
          <w:rFonts w:hint="eastAsia"/>
          <w:szCs w:val="22"/>
        </w:rPr>
      </w:pPr>
      <w:r>
        <w:rPr>
          <w:rFonts w:hint="eastAsia"/>
          <w:szCs w:val="22"/>
        </w:rPr>
        <w:t>对一些扶手、栏杆和人们经常触摸的地方及时进行清洗处理；</w:t>
      </w:r>
    </w:p>
    <w:p>
      <w:pPr>
        <w:numPr>
          <w:ilvl w:val="0"/>
          <w:numId w:val="56"/>
        </w:numPr>
        <w:snapToGrid w:val="0"/>
        <w:spacing w:line="380" w:lineRule="exact"/>
        <w:ind w:left="5" w:leftChars="0" w:firstLine="415" w:firstLineChars="0"/>
        <w:jc w:val="both"/>
        <w:rPr>
          <w:rFonts w:hint="eastAsia"/>
          <w:szCs w:val="22"/>
        </w:rPr>
      </w:pPr>
      <w:r>
        <w:rPr>
          <w:rFonts w:hint="eastAsia"/>
          <w:szCs w:val="22"/>
        </w:rPr>
        <w:t>及时清理道路积水、积雪</w:t>
      </w:r>
      <w:r>
        <w:rPr>
          <w:rFonts w:hint="eastAsia"/>
          <w:szCs w:val="22"/>
          <w:lang w:eastAsia="zh-CN"/>
        </w:rPr>
        <w:t>。</w:t>
      </w:r>
    </w:p>
    <w:p>
      <w:pPr>
        <w:numPr>
          <w:ilvl w:val="0"/>
          <w:numId w:val="49"/>
        </w:numPr>
        <w:snapToGrid w:val="0"/>
        <w:spacing w:line="380" w:lineRule="exact"/>
        <w:jc w:val="both"/>
      </w:pPr>
      <w:r>
        <w:rPr>
          <w:rFonts w:hint="eastAsia"/>
        </w:rPr>
        <w:t>其他的环境治理</w:t>
      </w:r>
    </w:p>
    <w:p>
      <w:pPr>
        <w:numPr>
          <w:ilvl w:val="0"/>
          <w:numId w:val="57"/>
        </w:numPr>
        <w:snapToGrid w:val="0"/>
        <w:spacing w:line="380" w:lineRule="exact"/>
        <w:ind w:hanging="5"/>
        <w:jc w:val="both"/>
      </w:pPr>
      <w:r>
        <w:rPr>
          <w:rFonts w:hint="eastAsia"/>
        </w:rPr>
        <w:t>生活用水蓄水池按规定委托专业公司清洗消毒，达到国家饮用水检验标准；</w:t>
      </w:r>
    </w:p>
    <w:p>
      <w:pPr>
        <w:numPr>
          <w:ilvl w:val="0"/>
          <w:numId w:val="57"/>
        </w:numPr>
        <w:snapToGrid w:val="0"/>
        <w:spacing w:line="380" w:lineRule="exact"/>
        <w:ind w:hanging="5"/>
        <w:jc w:val="both"/>
      </w:pPr>
      <w:r>
        <w:rPr>
          <w:rFonts w:hint="eastAsia"/>
        </w:rPr>
        <w:t>加强对噪声污染源的监测、控制。</w:t>
      </w:r>
    </w:p>
    <w:p>
      <w:pPr>
        <w:numPr>
          <w:ilvl w:val="0"/>
          <w:numId w:val="49"/>
        </w:numPr>
        <w:snapToGrid w:val="0"/>
        <w:spacing w:line="380" w:lineRule="exact"/>
        <w:jc w:val="both"/>
      </w:pPr>
      <w:r>
        <w:rPr>
          <w:rFonts w:hint="eastAsia"/>
        </w:rPr>
        <w:t>其他操作</w:t>
      </w:r>
    </w:p>
    <w:p>
      <w:pPr>
        <w:numPr>
          <w:ilvl w:val="0"/>
          <w:numId w:val="58"/>
        </w:numPr>
        <w:snapToGrid w:val="0"/>
        <w:spacing w:line="380" w:lineRule="exact"/>
        <w:ind w:left="5" w:leftChars="0" w:firstLine="415" w:firstLineChars="0"/>
        <w:jc w:val="both"/>
        <w:rPr>
          <w:rFonts w:hint="eastAsia"/>
          <w:szCs w:val="22"/>
        </w:rPr>
      </w:pPr>
      <w:bookmarkStart w:id="697" w:name="_Toc181721329"/>
      <w:bookmarkStart w:id="698" w:name="_Toc181721328"/>
      <w:r>
        <w:rPr>
          <w:rFonts w:hint="eastAsia"/>
          <w:szCs w:val="22"/>
        </w:rPr>
        <w:t>地毯每季度清洗一次；</w:t>
      </w:r>
    </w:p>
    <w:p>
      <w:pPr>
        <w:numPr>
          <w:ilvl w:val="0"/>
          <w:numId w:val="58"/>
        </w:numPr>
        <w:snapToGrid w:val="0"/>
        <w:spacing w:line="380" w:lineRule="exact"/>
        <w:ind w:left="5" w:leftChars="0" w:firstLine="415" w:firstLineChars="0"/>
        <w:jc w:val="both"/>
        <w:rPr>
          <w:rFonts w:hint="eastAsia"/>
          <w:szCs w:val="22"/>
        </w:rPr>
      </w:pPr>
      <w:r>
        <w:rPr>
          <w:rFonts w:hint="eastAsia"/>
          <w:szCs w:val="22"/>
        </w:rPr>
        <w:t>综合楼正大门两边的玻璃幕墙及顶上大理石墙壁、机关事务大楼两边玻璃墙幕、会议中心两边玻璃墙幕每季度清洗一次；</w:t>
      </w:r>
    </w:p>
    <w:p>
      <w:pPr>
        <w:numPr>
          <w:ilvl w:val="0"/>
          <w:numId w:val="58"/>
        </w:numPr>
        <w:snapToGrid w:val="0"/>
        <w:spacing w:line="380" w:lineRule="exact"/>
        <w:ind w:left="5" w:leftChars="0" w:firstLine="415" w:firstLineChars="0"/>
        <w:jc w:val="both"/>
        <w:rPr>
          <w:rFonts w:hint="eastAsia"/>
          <w:szCs w:val="22"/>
        </w:rPr>
      </w:pPr>
      <w:r>
        <w:rPr>
          <w:rFonts w:hint="eastAsia"/>
          <w:szCs w:val="22"/>
        </w:rPr>
        <w:t>化粪池每半年清理一次；</w:t>
      </w:r>
    </w:p>
    <w:p>
      <w:pPr>
        <w:numPr>
          <w:ilvl w:val="0"/>
          <w:numId w:val="58"/>
        </w:numPr>
        <w:snapToGrid w:val="0"/>
        <w:spacing w:line="380" w:lineRule="exact"/>
        <w:ind w:left="5" w:leftChars="0" w:firstLine="415" w:firstLineChars="0"/>
        <w:jc w:val="both"/>
        <w:rPr>
          <w:rFonts w:hint="eastAsia"/>
          <w:szCs w:val="22"/>
        </w:rPr>
      </w:pPr>
      <w:r>
        <w:rPr>
          <w:rFonts w:hint="eastAsia"/>
          <w:szCs w:val="22"/>
        </w:rPr>
        <w:t>下水道每季度清理一次；</w:t>
      </w:r>
    </w:p>
    <w:p>
      <w:pPr>
        <w:numPr>
          <w:ilvl w:val="0"/>
          <w:numId w:val="58"/>
        </w:numPr>
        <w:snapToGrid w:val="0"/>
        <w:spacing w:line="380" w:lineRule="exact"/>
        <w:ind w:left="5" w:leftChars="0" w:firstLine="415" w:firstLineChars="0"/>
        <w:jc w:val="both"/>
        <w:rPr>
          <w:rFonts w:hint="eastAsia"/>
          <w:szCs w:val="22"/>
        </w:rPr>
      </w:pPr>
      <w:r>
        <w:rPr>
          <w:rFonts w:hint="eastAsia"/>
          <w:szCs w:val="22"/>
        </w:rPr>
        <w:t>广场水池和大院内水池不定时清洗；</w:t>
      </w:r>
    </w:p>
    <w:p>
      <w:pPr>
        <w:numPr>
          <w:ilvl w:val="0"/>
          <w:numId w:val="58"/>
        </w:numPr>
        <w:snapToGrid w:val="0"/>
        <w:spacing w:line="380" w:lineRule="exact"/>
        <w:ind w:left="5" w:leftChars="0" w:firstLine="415" w:firstLineChars="0"/>
        <w:jc w:val="both"/>
        <w:rPr>
          <w:rFonts w:hint="eastAsia"/>
          <w:szCs w:val="22"/>
        </w:rPr>
      </w:pPr>
      <w:r>
        <w:rPr>
          <w:rFonts w:hint="eastAsia"/>
          <w:szCs w:val="22"/>
        </w:rPr>
        <w:t>隔油池每季度清理一次；</w:t>
      </w:r>
    </w:p>
    <w:p>
      <w:pPr>
        <w:numPr>
          <w:ilvl w:val="0"/>
          <w:numId w:val="58"/>
        </w:numPr>
        <w:snapToGrid w:val="0"/>
        <w:spacing w:line="380" w:lineRule="exact"/>
        <w:ind w:left="5" w:leftChars="0" w:firstLine="415" w:firstLineChars="0"/>
        <w:jc w:val="both"/>
        <w:rPr>
          <w:rFonts w:hint="eastAsia"/>
          <w:szCs w:val="22"/>
        </w:rPr>
      </w:pPr>
      <w:r>
        <w:rPr>
          <w:rFonts w:hint="eastAsia"/>
          <w:szCs w:val="22"/>
        </w:rPr>
        <w:t>大理石每季度采取打蜡晶面处理，保洁清洁明亮</w:t>
      </w:r>
      <w:r>
        <w:rPr>
          <w:rFonts w:hint="eastAsia"/>
          <w:szCs w:val="22"/>
          <w:lang w:eastAsia="zh-CN"/>
        </w:rPr>
        <w:t>。</w:t>
      </w:r>
    </w:p>
    <w:p>
      <w:pPr>
        <w:numPr>
          <w:ilvl w:val="0"/>
          <w:numId w:val="41"/>
        </w:numPr>
        <w:tabs>
          <w:tab w:val="left" w:pos="360"/>
        </w:tabs>
        <w:snapToGrid w:val="0"/>
        <w:spacing w:line="380" w:lineRule="exact"/>
        <w:ind w:hanging="5"/>
        <w:jc w:val="both"/>
        <w:rPr>
          <w:b/>
          <w:bCs/>
        </w:rPr>
      </w:pPr>
      <w:r>
        <w:rPr>
          <w:rFonts w:hint="eastAsia"/>
          <w:b/>
          <w:bCs/>
        </w:rPr>
        <w:t>灭虫及消毒</w:t>
      </w:r>
      <w:bookmarkEnd w:id="697"/>
    </w:p>
    <w:p>
      <w:pPr>
        <w:numPr>
          <w:ilvl w:val="0"/>
          <w:numId w:val="59"/>
        </w:numPr>
        <w:snapToGrid w:val="0"/>
        <w:spacing w:line="380" w:lineRule="exact"/>
        <w:jc w:val="both"/>
      </w:pPr>
      <w:r>
        <w:rPr>
          <w:rFonts w:hint="eastAsia"/>
        </w:rPr>
        <w:t>整体开展灭“四害”工作。</w:t>
      </w:r>
    </w:p>
    <w:p>
      <w:pPr>
        <w:numPr>
          <w:ilvl w:val="0"/>
          <w:numId w:val="59"/>
        </w:numPr>
        <w:snapToGrid w:val="0"/>
        <w:spacing w:line="380" w:lineRule="exact"/>
        <w:jc w:val="both"/>
      </w:pPr>
      <w:r>
        <w:rPr>
          <w:rFonts w:hint="eastAsia"/>
        </w:rPr>
        <w:t>根据季节气候情况，定期在物业管理区域内组织杀虫、消毒。</w:t>
      </w:r>
    </w:p>
    <w:p>
      <w:pPr>
        <w:numPr>
          <w:ilvl w:val="0"/>
          <w:numId w:val="59"/>
        </w:numPr>
        <w:snapToGrid w:val="0"/>
        <w:spacing w:line="380" w:lineRule="exact"/>
        <w:jc w:val="both"/>
      </w:pPr>
      <w:r>
        <w:rPr>
          <w:rFonts w:hint="eastAsia"/>
        </w:rPr>
        <w:t>垃圾日产日清，垃圾箱等定期清洗，避免虫害滋生。</w:t>
      </w:r>
    </w:p>
    <w:p>
      <w:pPr>
        <w:numPr>
          <w:ilvl w:val="0"/>
          <w:numId w:val="59"/>
        </w:numPr>
        <w:snapToGrid w:val="0"/>
        <w:spacing w:line="380" w:lineRule="exact"/>
        <w:jc w:val="both"/>
      </w:pPr>
      <w:r>
        <w:rPr>
          <w:rFonts w:hint="eastAsia"/>
        </w:rPr>
        <w:t>所有卫生设施保持无异味、污迹、积水，避免成为虫害孳生地。</w:t>
      </w:r>
    </w:p>
    <w:p>
      <w:pPr>
        <w:numPr>
          <w:ilvl w:val="0"/>
          <w:numId w:val="59"/>
        </w:numPr>
        <w:snapToGrid w:val="0"/>
        <w:spacing w:line="380" w:lineRule="exact"/>
        <w:jc w:val="both"/>
      </w:pPr>
      <w:r>
        <w:rPr>
          <w:rFonts w:hint="eastAsia"/>
        </w:rPr>
        <w:t>对卫生间等公共区域定期进行清洁和消毒工作。</w:t>
      </w:r>
    </w:p>
    <w:p>
      <w:pPr>
        <w:numPr>
          <w:ilvl w:val="0"/>
          <w:numId w:val="59"/>
        </w:numPr>
        <w:snapToGrid w:val="0"/>
        <w:spacing w:line="380" w:lineRule="exact"/>
        <w:jc w:val="both"/>
      </w:pPr>
      <w:r>
        <w:rPr>
          <w:rFonts w:hint="eastAsia"/>
        </w:rPr>
        <w:t>制定杀虫、消毒方案。</w:t>
      </w:r>
    </w:p>
    <w:p>
      <w:pPr>
        <w:numPr>
          <w:ilvl w:val="0"/>
          <w:numId w:val="59"/>
        </w:numPr>
        <w:snapToGrid w:val="0"/>
        <w:spacing w:line="380" w:lineRule="exact"/>
        <w:jc w:val="both"/>
      </w:pPr>
      <w:r>
        <w:rPr>
          <w:rFonts w:hint="eastAsia"/>
        </w:rPr>
        <w:t>制定杀虫、消毒工作流程及工作要求、标准。</w:t>
      </w:r>
    </w:p>
    <w:p>
      <w:pPr>
        <w:numPr>
          <w:ilvl w:val="0"/>
          <w:numId w:val="59"/>
        </w:numPr>
        <w:snapToGrid w:val="0"/>
        <w:spacing w:line="380" w:lineRule="exact"/>
        <w:jc w:val="both"/>
      </w:pPr>
      <w:r>
        <w:rPr>
          <w:rFonts w:hint="eastAsia"/>
        </w:rPr>
        <w:t>确定专人负责该项工作，确保有序开展。</w:t>
      </w:r>
    </w:p>
    <w:p>
      <w:pPr>
        <w:numPr>
          <w:ilvl w:val="0"/>
          <w:numId w:val="41"/>
        </w:numPr>
        <w:tabs>
          <w:tab w:val="left" w:pos="360"/>
        </w:tabs>
        <w:snapToGrid w:val="0"/>
        <w:spacing w:line="380" w:lineRule="exact"/>
        <w:ind w:hanging="5"/>
        <w:jc w:val="both"/>
        <w:rPr>
          <w:b/>
          <w:bCs/>
        </w:rPr>
      </w:pPr>
      <w:r>
        <w:rPr>
          <w:rFonts w:hint="eastAsia"/>
          <w:b/>
          <w:bCs/>
        </w:rPr>
        <w:t>环境卫生管理措施</w:t>
      </w:r>
      <w:bookmarkEnd w:id="698"/>
    </w:p>
    <w:p>
      <w:pPr>
        <w:numPr>
          <w:ilvl w:val="0"/>
          <w:numId w:val="60"/>
        </w:numPr>
        <w:snapToGrid w:val="0"/>
        <w:spacing w:line="380" w:lineRule="exact"/>
        <w:jc w:val="both"/>
      </w:pPr>
      <w:r>
        <w:rPr>
          <w:rFonts w:hint="eastAsia"/>
        </w:rPr>
        <w:t>建立保洁制度，按操作规程进行规范操作。</w:t>
      </w:r>
    </w:p>
    <w:p>
      <w:pPr>
        <w:numPr>
          <w:ilvl w:val="0"/>
          <w:numId w:val="60"/>
        </w:numPr>
        <w:snapToGrid w:val="0"/>
        <w:spacing w:line="380" w:lineRule="exact"/>
        <w:jc w:val="both"/>
      </w:pPr>
      <w:r>
        <w:rPr>
          <w:rFonts w:hint="eastAsia"/>
        </w:rPr>
        <w:t>加强保洁人员的思想教育和业务培训，提高员工素质，增强专业技能。</w:t>
      </w:r>
    </w:p>
    <w:p>
      <w:pPr>
        <w:numPr>
          <w:ilvl w:val="0"/>
          <w:numId w:val="60"/>
        </w:numPr>
        <w:snapToGrid w:val="0"/>
        <w:spacing w:line="380" w:lineRule="exact"/>
        <w:jc w:val="both"/>
      </w:pPr>
      <w:r>
        <w:rPr>
          <w:rFonts w:hint="eastAsia"/>
        </w:rPr>
        <w:t>以“三查”形式对保洁工作进行经常性监督检查（“三查”指：清洁工自查、物业公司总经理巡查、公司部门抽查），建立《保洁工工作记录》。</w:t>
      </w:r>
    </w:p>
    <w:p>
      <w:pPr>
        <w:numPr>
          <w:ilvl w:val="0"/>
          <w:numId w:val="60"/>
        </w:numPr>
        <w:snapToGrid w:val="0"/>
        <w:spacing w:line="380" w:lineRule="exact"/>
        <w:jc w:val="both"/>
      </w:pPr>
      <w:r>
        <w:rPr>
          <w:rFonts w:hint="eastAsia"/>
        </w:rPr>
        <w:t>抓好保洁人员的行为规范管理，要求服装统一、标识齐全、言行文明。</w:t>
      </w:r>
    </w:p>
    <w:p>
      <w:pPr>
        <w:numPr>
          <w:ilvl w:val="0"/>
          <w:numId w:val="60"/>
        </w:numPr>
        <w:snapToGrid w:val="0"/>
        <w:spacing w:line="380" w:lineRule="exact"/>
        <w:jc w:val="both"/>
      </w:pPr>
      <w:r>
        <w:rPr>
          <w:rFonts w:hint="eastAsia"/>
        </w:rPr>
        <w:t>明确奖罚制度，具体见员工手册。</w:t>
      </w:r>
    </w:p>
    <w:p>
      <w:pPr>
        <w:numPr>
          <w:ilvl w:val="0"/>
          <w:numId w:val="41"/>
        </w:numPr>
        <w:tabs>
          <w:tab w:val="left" w:pos="360"/>
        </w:tabs>
        <w:snapToGrid w:val="0"/>
        <w:spacing w:line="380" w:lineRule="exact"/>
        <w:ind w:hanging="5"/>
        <w:jc w:val="both"/>
        <w:rPr>
          <w:b/>
          <w:bCs/>
        </w:rPr>
      </w:pPr>
      <w:r>
        <w:rPr>
          <w:rFonts w:hint="eastAsia"/>
          <w:b/>
          <w:bCs/>
        </w:rPr>
        <w:t>其他要求和说明</w:t>
      </w:r>
    </w:p>
    <w:p>
      <w:pPr>
        <w:numPr>
          <w:ilvl w:val="0"/>
          <w:numId w:val="61"/>
        </w:numPr>
        <w:snapToGrid w:val="0"/>
        <w:spacing w:line="380" w:lineRule="exact"/>
        <w:jc w:val="both"/>
      </w:pPr>
      <w:r>
        <w:rPr>
          <w:rFonts w:hint="eastAsia"/>
        </w:rPr>
        <w:t>按照卫生标准提供卫生保洁服务，并针对特殊情况（如台风、传染病等）采取特定措施（如加固建筑物玻璃门窗或采取消毒隔离制度等）。</w:t>
      </w:r>
    </w:p>
    <w:p>
      <w:pPr>
        <w:numPr>
          <w:ilvl w:val="0"/>
          <w:numId w:val="61"/>
        </w:numPr>
        <w:snapToGrid w:val="0"/>
        <w:spacing w:line="380" w:lineRule="exact"/>
        <w:jc w:val="both"/>
      </w:pPr>
      <w:r>
        <w:rPr>
          <w:rFonts w:hint="eastAsia"/>
        </w:rPr>
        <w:t>按照卫生消杀标准要求，做好预防和灭治白蚁及除“四害”等工作。</w:t>
      </w:r>
    </w:p>
    <w:p>
      <w:pPr>
        <w:numPr>
          <w:ilvl w:val="0"/>
          <w:numId w:val="61"/>
        </w:numPr>
        <w:snapToGrid w:val="0"/>
        <w:spacing w:line="380" w:lineRule="exact"/>
        <w:jc w:val="both"/>
      </w:pPr>
      <w:r>
        <w:rPr>
          <w:rFonts w:hint="eastAsia"/>
        </w:rPr>
        <w:t>卫生保洁工作人员需统一着装，言行文明。</w:t>
      </w:r>
    </w:p>
    <w:p>
      <w:pPr>
        <w:numPr>
          <w:ilvl w:val="0"/>
          <w:numId w:val="61"/>
        </w:numPr>
        <w:snapToGrid w:val="0"/>
        <w:spacing w:line="380" w:lineRule="exact"/>
        <w:jc w:val="both"/>
      </w:pPr>
      <w:r>
        <w:rPr>
          <w:rFonts w:hint="eastAsia"/>
        </w:rPr>
        <w:t>负责办公区建筑物内、停车场和走廊通道上废旧桌椅和杂物的清理工作。</w:t>
      </w:r>
    </w:p>
    <w:p>
      <w:pPr>
        <w:numPr>
          <w:ilvl w:val="0"/>
          <w:numId w:val="61"/>
        </w:numPr>
        <w:snapToGrid w:val="0"/>
        <w:spacing w:line="380" w:lineRule="exact"/>
        <w:jc w:val="both"/>
      </w:pPr>
      <w:r>
        <w:rPr>
          <w:rFonts w:hint="eastAsia"/>
        </w:rPr>
        <w:t>负责每年重大节假日(劳动节、国庆节、元旦、春节)</w:t>
      </w:r>
      <w:r>
        <w:rPr>
          <w:rFonts w:hint="eastAsia"/>
          <w:lang w:val="en-US" w:eastAsia="zh-CN"/>
        </w:rPr>
        <w:t>大楼</w:t>
      </w:r>
      <w:r>
        <w:rPr>
          <w:rFonts w:hint="eastAsia"/>
        </w:rPr>
        <w:t>大门国旗、灯笼、彩旗的悬挂、</w:t>
      </w:r>
      <w:r>
        <w:rPr>
          <w:rFonts w:hint="eastAsia"/>
          <w:szCs w:val="22"/>
        </w:rPr>
        <w:t>特别是春节大院内节日氛围的装饰。</w:t>
      </w:r>
    </w:p>
    <w:p>
      <w:pPr>
        <w:numPr>
          <w:ilvl w:val="0"/>
          <w:numId w:val="20"/>
        </w:numPr>
        <w:spacing w:line="360" w:lineRule="auto"/>
        <w:ind w:hanging="205"/>
        <w:rPr>
          <w:rFonts w:ascii="宋体" w:hAnsi="宋体" w:cs="宋体"/>
          <w:b/>
          <w:bCs/>
          <w:szCs w:val="21"/>
        </w:rPr>
      </w:pPr>
      <w:r>
        <w:rPr>
          <w:rFonts w:hint="eastAsia" w:ascii="宋体" w:hAnsi="宋体" w:cs="宋体"/>
          <w:b/>
          <w:bCs/>
          <w:szCs w:val="21"/>
          <w:lang w:val="en-US" w:eastAsia="zh-CN"/>
        </w:rPr>
        <w:t>会议</w:t>
      </w:r>
      <w:r>
        <w:rPr>
          <w:rFonts w:hint="eastAsia" w:ascii="宋体" w:hAnsi="宋体" w:cs="宋体"/>
          <w:b/>
          <w:bCs/>
          <w:szCs w:val="21"/>
        </w:rPr>
        <w:t>服务</w:t>
      </w:r>
    </w:p>
    <w:p>
      <w:pPr>
        <w:numPr>
          <w:ilvl w:val="0"/>
          <w:numId w:val="62"/>
        </w:numPr>
        <w:tabs>
          <w:tab w:val="left" w:pos="360"/>
        </w:tabs>
        <w:snapToGrid w:val="0"/>
        <w:spacing w:line="380" w:lineRule="exact"/>
        <w:ind w:hanging="5"/>
        <w:jc w:val="both"/>
        <w:rPr>
          <w:b/>
          <w:bCs/>
        </w:rPr>
      </w:pPr>
      <w:r>
        <w:rPr>
          <w:rFonts w:hint="eastAsia"/>
          <w:b/>
          <w:bCs/>
        </w:rPr>
        <w:t>服务范围</w:t>
      </w:r>
    </w:p>
    <w:p>
      <w:pPr>
        <w:tabs>
          <w:tab w:val="left" w:pos="360"/>
        </w:tabs>
        <w:snapToGrid w:val="0"/>
        <w:spacing w:line="380" w:lineRule="exact"/>
        <w:ind w:left="0" w:leftChars="0" w:firstLine="417" w:firstLineChars="199"/>
        <w:jc w:val="both"/>
      </w:pPr>
      <w:r>
        <w:rPr>
          <w:rFonts w:hint="eastAsia"/>
        </w:rPr>
        <w:t>市人大联络室、市政会议中心大礼堂，市政会议中心第五会议室、第七会议室、第八会议室、市人大常委会会议室，市四套班子会议室，综合办公楼的二楼多功能会议厅、三楼迎宾厅、四楼第八会议室、五楼第十会议室，市机关事务管理中心二楼会议室、矛调中心会议室、新会议楼和临时安排的现场会会务服务点等招标人负责管理的所有会议服务工作。</w:t>
      </w:r>
    </w:p>
    <w:p>
      <w:pPr>
        <w:numPr>
          <w:ilvl w:val="0"/>
          <w:numId w:val="62"/>
        </w:numPr>
        <w:tabs>
          <w:tab w:val="left" w:pos="360"/>
        </w:tabs>
        <w:snapToGrid w:val="0"/>
        <w:spacing w:line="380" w:lineRule="exact"/>
        <w:ind w:hanging="5"/>
        <w:jc w:val="both"/>
        <w:rPr>
          <w:b/>
          <w:bCs/>
        </w:rPr>
      </w:pPr>
      <w:r>
        <w:rPr>
          <w:rFonts w:hint="eastAsia"/>
          <w:b/>
          <w:bCs/>
        </w:rPr>
        <w:t>服务标准：</w:t>
      </w:r>
    </w:p>
    <w:p>
      <w:pPr>
        <w:numPr>
          <w:ilvl w:val="0"/>
          <w:numId w:val="63"/>
        </w:numPr>
        <w:snapToGrid w:val="0"/>
        <w:spacing w:line="380" w:lineRule="exact"/>
        <w:ind w:left="0" w:leftChars="0" w:firstLine="400" w:firstLineChars="0"/>
        <w:jc w:val="both"/>
        <w:rPr>
          <w:rFonts w:hint="eastAsia"/>
          <w:color w:val="auto"/>
          <w:highlight w:val="none"/>
        </w:rPr>
      </w:pPr>
      <w:r>
        <w:rPr>
          <w:rFonts w:hint="eastAsia"/>
          <w:color w:val="auto"/>
          <w:highlight w:val="none"/>
          <w:lang w:val="en-US" w:eastAsia="zh-CN"/>
        </w:rPr>
        <w:t>服务标准</w:t>
      </w:r>
      <w:r>
        <w:rPr>
          <w:color w:val="auto"/>
          <w:highlight w:val="none"/>
        </w:rPr>
        <w:t>：</w:t>
      </w:r>
      <w:r>
        <w:rPr>
          <w:rFonts w:hint="eastAsia"/>
          <w:color w:val="auto"/>
          <w:highlight w:val="none"/>
          <w:lang w:val="en-US" w:eastAsia="zh-CN"/>
        </w:rPr>
        <w:t>持续稳定地提供优质的会议服务</w:t>
      </w:r>
      <w:r>
        <w:rPr>
          <w:color w:val="auto"/>
          <w:highlight w:val="none"/>
        </w:rPr>
        <w:t>，</w:t>
      </w:r>
      <w:r>
        <w:rPr>
          <w:rFonts w:hint="eastAsia"/>
          <w:color w:val="auto"/>
          <w:highlight w:val="none"/>
          <w:lang w:val="en-US" w:eastAsia="zh-CN"/>
        </w:rPr>
        <w:t>包括但不限于日常会议及</w:t>
      </w:r>
      <w:r>
        <w:rPr>
          <w:color w:val="auto"/>
          <w:highlight w:val="none"/>
        </w:rPr>
        <w:t>突发事件</w:t>
      </w:r>
      <w:r>
        <w:rPr>
          <w:rFonts w:hint="eastAsia"/>
          <w:color w:val="auto"/>
          <w:highlight w:val="none"/>
          <w:lang w:val="en-US" w:eastAsia="zh-CN"/>
        </w:rPr>
        <w:t>的临时会议，</w:t>
      </w:r>
      <w:r>
        <w:rPr>
          <w:color w:val="auto"/>
          <w:highlight w:val="none"/>
        </w:rPr>
        <w:t>不限时间。</w:t>
      </w:r>
    </w:p>
    <w:p>
      <w:pPr>
        <w:numPr>
          <w:ilvl w:val="0"/>
          <w:numId w:val="63"/>
        </w:numPr>
        <w:snapToGrid w:val="0"/>
        <w:spacing w:line="380" w:lineRule="exact"/>
        <w:ind w:left="0" w:leftChars="0" w:firstLine="400" w:firstLineChars="0"/>
        <w:jc w:val="both"/>
        <w:rPr>
          <w:rFonts w:hint="eastAsia"/>
          <w:color w:val="auto"/>
          <w:highlight w:val="none"/>
        </w:rPr>
      </w:pPr>
      <w:r>
        <w:rPr>
          <w:color w:val="auto"/>
          <w:highlight w:val="none"/>
        </w:rPr>
        <w:t>培训要求：</w:t>
      </w:r>
      <w:r>
        <w:rPr>
          <w:rFonts w:hint="eastAsia"/>
          <w:color w:val="auto"/>
          <w:highlight w:val="none"/>
          <w:lang w:val="en-US" w:eastAsia="zh-CN"/>
        </w:rPr>
        <w:t>要求以促进机关</w:t>
      </w:r>
      <w:r>
        <w:rPr>
          <w:rFonts w:hint="default"/>
          <w:color w:val="auto"/>
          <w:highlight w:val="none"/>
          <w:lang w:val="en-US" w:eastAsia="zh-CN"/>
        </w:rPr>
        <w:t>会务工作规范化</w:t>
      </w:r>
      <w:r>
        <w:rPr>
          <w:rFonts w:hint="eastAsia"/>
          <w:color w:val="auto"/>
          <w:highlight w:val="none"/>
          <w:lang w:val="en-US" w:eastAsia="zh-CN"/>
        </w:rPr>
        <w:t>，提高会务人员服务意识与服务技能为目标对会议服务人员进行培训</w:t>
      </w:r>
      <w:r>
        <w:rPr>
          <w:color w:val="auto"/>
          <w:highlight w:val="none"/>
        </w:rPr>
        <w:t>。</w:t>
      </w:r>
    </w:p>
    <w:p>
      <w:pPr>
        <w:numPr>
          <w:ilvl w:val="0"/>
          <w:numId w:val="62"/>
        </w:numPr>
        <w:tabs>
          <w:tab w:val="left" w:pos="360"/>
        </w:tabs>
        <w:snapToGrid w:val="0"/>
        <w:spacing w:line="380" w:lineRule="exact"/>
        <w:ind w:hanging="5"/>
        <w:jc w:val="both"/>
        <w:rPr>
          <w:b/>
          <w:bCs/>
        </w:rPr>
      </w:pPr>
      <w:r>
        <w:rPr>
          <w:rFonts w:hint="eastAsia"/>
          <w:b/>
          <w:bCs/>
          <w:lang w:val="en-US" w:eastAsia="zh-CN"/>
        </w:rPr>
        <w:t>具体操作</w:t>
      </w:r>
      <w:r>
        <w:rPr>
          <w:rFonts w:hint="eastAsia"/>
          <w:b/>
          <w:bCs/>
        </w:rPr>
        <w:t>要求</w:t>
      </w:r>
    </w:p>
    <w:p>
      <w:pPr>
        <w:numPr>
          <w:ilvl w:val="0"/>
          <w:numId w:val="42"/>
        </w:numPr>
        <w:tabs>
          <w:tab w:val="left" w:pos="-900"/>
        </w:tabs>
        <w:snapToGrid w:val="0"/>
        <w:spacing w:line="380" w:lineRule="exact"/>
        <w:ind w:left="562" w:leftChars="0" w:hanging="142" w:firstLineChars="0"/>
        <w:jc w:val="both"/>
        <w:rPr>
          <w:rFonts w:hint="eastAsia"/>
          <w:b/>
        </w:rPr>
      </w:pPr>
      <w:r>
        <w:rPr>
          <w:rFonts w:hint="eastAsia"/>
          <w:b/>
        </w:rPr>
        <w:t>会前服务</w:t>
      </w:r>
    </w:p>
    <w:p>
      <w:pPr>
        <w:numPr>
          <w:ilvl w:val="0"/>
          <w:numId w:val="64"/>
        </w:numPr>
        <w:tabs>
          <w:tab w:val="left" w:pos="0"/>
        </w:tabs>
        <w:snapToGrid w:val="0"/>
        <w:spacing w:line="380" w:lineRule="exact"/>
        <w:jc w:val="both"/>
        <w:rPr>
          <w:rFonts w:hint="eastAsia"/>
          <w:szCs w:val="22"/>
        </w:rPr>
      </w:pPr>
      <w:r>
        <w:rPr>
          <w:rFonts w:hint="eastAsia"/>
          <w:szCs w:val="22"/>
        </w:rPr>
        <w:t>会前服务人员搞好会场卫生，按会议规定摆好桌椅。整理和打扫桌面、抽屉、座椅、座套、地面、卫生间、门窗、休息室等，检查服务用品是否齐全，桌椅座套是否整齐，检查音控效果，并悬挂好横幅和会标。同时，根据会议主办方要求落实鲜花和花卉的摆放等与会务相关服务工作。</w:t>
      </w:r>
    </w:p>
    <w:p>
      <w:pPr>
        <w:numPr>
          <w:ilvl w:val="0"/>
          <w:numId w:val="64"/>
        </w:numPr>
        <w:tabs>
          <w:tab w:val="left" w:pos="0"/>
        </w:tabs>
        <w:snapToGrid w:val="0"/>
        <w:spacing w:line="380" w:lineRule="exact"/>
        <w:jc w:val="both"/>
        <w:rPr>
          <w:rFonts w:hint="eastAsia"/>
          <w:szCs w:val="22"/>
        </w:rPr>
      </w:pPr>
      <w:r>
        <w:rPr>
          <w:rFonts w:hint="eastAsia"/>
          <w:szCs w:val="22"/>
        </w:rPr>
        <w:t>服务人员应提前1小时到达会场，备好茶水，打开音响，播放轻音乐，同时打开安全门和照明灯及领导休息室和通道门。主席台的服务人员负责放好台上的茶杯和小毛巾，台下服务员备好茶水，做好引导工作。</w:t>
      </w:r>
    </w:p>
    <w:p>
      <w:pPr>
        <w:numPr>
          <w:ilvl w:val="0"/>
          <w:numId w:val="64"/>
        </w:numPr>
        <w:tabs>
          <w:tab w:val="left" w:pos="0"/>
        </w:tabs>
        <w:snapToGrid w:val="0"/>
        <w:spacing w:line="380" w:lineRule="exact"/>
        <w:jc w:val="both"/>
        <w:rPr>
          <w:rFonts w:hint="eastAsia"/>
          <w:szCs w:val="22"/>
        </w:rPr>
      </w:pPr>
      <w:r>
        <w:rPr>
          <w:rFonts w:hint="eastAsia"/>
          <w:szCs w:val="22"/>
        </w:rPr>
        <w:t>会务主管在会前对会场的准备情况进行逐项检查，主要检查鲜花摆放、横幅内容及悬挂效果，检查卫生、主席台茶具和茶叶、服务人员的着装及仪表、音响效果、室内温度、台下茶水准备量是否符合规范。征求主办方的意见，如有要求，立即改进。</w:t>
      </w:r>
    </w:p>
    <w:p>
      <w:pPr>
        <w:numPr>
          <w:ilvl w:val="0"/>
          <w:numId w:val="42"/>
        </w:numPr>
        <w:tabs>
          <w:tab w:val="left" w:pos="-900"/>
        </w:tabs>
        <w:snapToGrid w:val="0"/>
        <w:spacing w:line="380" w:lineRule="exact"/>
        <w:jc w:val="both"/>
        <w:rPr>
          <w:rFonts w:hint="eastAsia"/>
          <w:b/>
        </w:rPr>
      </w:pPr>
      <w:r>
        <w:rPr>
          <w:rFonts w:hint="eastAsia"/>
          <w:b/>
        </w:rPr>
        <w:t>会中服务</w:t>
      </w:r>
    </w:p>
    <w:p>
      <w:pPr>
        <w:numPr>
          <w:ilvl w:val="0"/>
          <w:numId w:val="65"/>
        </w:numPr>
        <w:tabs>
          <w:tab w:val="left" w:pos="0"/>
        </w:tabs>
        <w:snapToGrid w:val="0"/>
        <w:spacing w:line="380" w:lineRule="exact"/>
        <w:jc w:val="both"/>
        <w:rPr>
          <w:rFonts w:hint="eastAsia"/>
          <w:szCs w:val="22"/>
        </w:rPr>
      </w:pPr>
      <w:r>
        <w:rPr>
          <w:rFonts w:hint="eastAsia"/>
          <w:szCs w:val="22"/>
        </w:rPr>
        <w:t>会议服务人员在与会人员入场前应站立在会议厅门口两侧，注意仪表，有礼貌地向到会人员点头致意，并说“早上（下午、晚上）好”或“欢迎光临”等文明用语。部分客人入座后，服务人员一一送上茶水，茶水量一般控制在8分。主席台倒茶水时应遵循从左至右的原则，从宾客翼侧依次加水，原则上每15—20分钟添加茶水一次，也可根据实际情况进行调整。如会议时间较长或天气较热，会间应更换1—2次小毛巾。</w:t>
      </w:r>
    </w:p>
    <w:p>
      <w:pPr>
        <w:numPr>
          <w:ilvl w:val="0"/>
          <w:numId w:val="65"/>
        </w:numPr>
        <w:tabs>
          <w:tab w:val="left" w:pos="0"/>
        </w:tabs>
        <w:snapToGrid w:val="0"/>
        <w:spacing w:line="380" w:lineRule="exact"/>
        <w:jc w:val="both"/>
        <w:rPr>
          <w:rFonts w:hint="eastAsia"/>
          <w:szCs w:val="22"/>
        </w:rPr>
      </w:pPr>
      <w:r>
        <w:rPr>
          <w:rFonts w:hint="eastAsia"/>
          <w:szCs w:val="22"/>
        </w:rPr>
        <w:t>负责音控的人员要坚守岗位，注意观察和随听音响设备运行状况，确保音响设备正常运作。</w:t>
      </w:r>
    </w:p>
    <w:p>
      <w:pPr>
        <w:numPr>
          <w:ilvl w:val="0"/>
          <w:numId w:val="42"/>
        </w:numPr>
        <w:tabs>
          <w:tab w:val="left" w:pos="-900"/>
        </w:tabs>
        <w:snapToGrid w:val="0"/>
        <w:spacing w:line="380" w:lineRule="exact"/>
        <w:jc w:val="both"/>
        <w:rPr>
          <w:rFonts w:hint="eastAsia"/>
          <w:b/>
        </w:rPr>
      </w:pPr>
      <w:r>
        <w:rPr>
          <w:rFonts w:hint="eastAsia"/>
          <w:b/>
        </w:rPr>
        <w:t>会后服务</w:t>
      </w:r>
    </w:p>
    <w:p>
      <w:pPr>
        <w:numPr>
          <w:ilvl w:val="0"/>
          <w:numId w:val="66"/>
        </w:numPr>
        <w:tabs>
          <w:tab w:val="left" w:pos="0"/>
        </w:tabs>
        <w:snapToGrid w:val="0"/>
        <w:spacing w:line="380" w:lineRule="exact"/>
        <w:jc w:val="both"/>
        <w:rPr>
          <w:rFonts w:hint="eastAsia"/>
          <w:szCs w:val="22"/>
        </w:rPr>
      </w:pPr>
      <w:r>
        <w:rPr>
          <w:rFonts w:hint="eastAsia"/>
          <w:szCs w:val="22"/>
        </w:rPr>
        <w:t>会议结束，服务人员要及时打开通道门，及时做好会场清理工作。发现有客人遗留物品迅速与有关单位联系。关闭所有灯光、空调、音响和饮水机，关好门窗。</w:t>
      </w:r>
    </w:p>
    <w:p>
      <w:pPr>
        <w:numPr>
          <w:ilvl w:val="0"/>
          <w:numId w:val="66"/>
        </w:numPr>
        <w:tabs>
          <w:tab w:val="left" w:pos="0"/>
        </w:tabs>
        <w:snapToGrid w:val="0"/>
        <w:spacing w:line="380" w:lineRule="exact"/>
        <w:jc w:val="both"/>
        <w:rPr>
          <w:rFonts w:hint="eastAsia"/>
          <w:szCs w:val="22"/>
        </w:rPr>
      </w:pPr>
      <w:r>
        <w:rPr>
          <w:rFonts w:hint="eastAsia"/>
          <w:szCs w:val="22"/>
        </w:rPr>
        <w:t>公共会议厅的灯光、音控设备由设备人员每月检查一次，并填写检修联系单。检查结束，双方签字认可。平时发现的设备问题，服务人员应及时与设备组取得联系并修理。</w:t>
      </w:r>
    </w:p>
    <w:p>
      <w:pPr>
        <w:numPr>
          <w:ilvl w:val="0"/>
          <w:numId w:val="66"/>
        </w:numPr>
        <w:tabs>
          <w:tab w:val="left" w:pos="0"/>
        </w:tabs>
        <w:snapToGrid w:val="0"/>
        <w:spacing w:line="380" w:lineRule="exact"/>
        <w:jc w:val="both"/>
        <w:rPr>
          <w:rFonts w:hint="eastAsia"/>
          <w:szCs w:val="22"/>
        </w:rPr>
      </w:pPr>
      <w:r>
        <w:rPr>
          <w:rFonts w:hint="eastAsia"/>
          <w:szCs w:val="22"/>
        </w:rPr>
        <w:t>会议结束后，服务主管人员应主动及时征求会议主办单位的意见，以总结工作，改进服务。</w:t>
      </w:r>
    </w:p>
    <w:p>
      <w:pPr>
        <w:numPr>
          <w:ilvl w:val="0"/>
          <w:numId w:val="66"/>
        </w:numPr>
        <w:tabs>
          <w:tab w:val="left" w:pos="0"/>
        </w:tabs>
        <w:snapToGrid w:val="0"/>
        <w:spacing w:line="380" w:lineRule="exact"/>
        <w:jc w:val="both"/>
        <w:rPr>
          <w:rFonts w:hint="eastAsia"/>
          <w:szCs w:val="22"/>
        </w:rPr>
      </w:pPr>
      <w:r>
        <w:rPr>
          <w:rFonts w:hint="eastAsia"/>
          <w:szCs w:val="22"/>
        </w:rPr>
        <w:t>严格做好保密工作，不询问、不议论、不外传会议内容和领导讲话内容。</w:t>
      </w:r>
    </w:p>
    <w:p>
      <w:pPr>
        <w:numPr>
          <w:ilvl w:val="0"/>
          <w:numId w:val="62"/>
        </w:numPr>
        <w:tabs>
          <w:tab w:val="left" w:pos="360"/>
        </w:tabs>
        <w:snapToGrid w:val="0"/>
        <w:spacing w:line="380" w:lineRule="exact"/>
        <w:ind w:hanging="5"/>
        <w:jc w:val="both"/>
        <w:rPr>
          <w:rFonts w:hint="eastAsia"/>
          <w:b/>
          <w:bCs/>
          <w:szCs w:val="22"/>
          <w:lang w:val="en-US" w:eastAsia="zh-CN"/>
        </w:rPr>
      </w:pPr>
      <w:r>
        <w:rPr>
          <w:rFonts w:hint="eastAsia"/>
          <w:b/>
          <w:bCs/>
          <w:szCs w:val="22"/>
          <w:lang w:val="en-US" w:eastAsia="zh-CN"/>
        </w:rPr>
        <w:t>有关要求和说明</w:t>
      </w:r>
    </w:p>
    <w:p>
      <w:pPr>
        <w:numPr>
          <w:ilvl w:val="0"/>
          <w:numId w:val="67"/>
        </w:numPr>
        <w:tabs>
          <w:tab w:val="left" w:pos="0"/>
        </w:tabs>
        <w:snapToGrid w:val="0"/>
        <w:spacing w:line="380" w:lineRule="exact"/>
        <w:jc w:val="both"/>
        <w:rPr>
          <w:rFonts w:hint="eastAsia"/>
          <w:szCs w:val="22"/>
        </w:rPr>
      </w:pPr>
      <w:r>
        <w:rPr>
          <w:rFonts w:hint="eastAsia"/>
          <w:szCs w:val="22"/>
        </w:rPr>
        <w:t>会务人员上班时间需统一着装，长发一律盘起，言行文明。不带无关人员进入会议室、工作间，严格做好保密工作；</w:t>
      </w:r>
    </w:p>
    <w:p>
      <w:pPr>
        <w:numPr>
          <w:ilvl w:val="0"/>
          <w:numId w:val="67"/>
        </w:numPr>
        <w:tabs>
          <w:tab w:val="left" w:pos="0"/>
        </w:tabs>
        <w:snapToGrid w:val="0"/>
        <w:spacing w:line="380" w:lineRule="exact"/>
        <w:jc w:val="both"/>
        <w:rPr>
          <w:rFonts w:hint="eastAsia"/>
          <w:szCs w:val="22"/>
        </w:rPr>
      </w:pPr>
      <w:r>
        <w:rPr>
          <w:rFonts w:hint="eastAsia"/>
          <w:szCs w:val="22"/>
        </w:rPr>
        <w:t>无偿提供礼仪服务；</w:t>
      </w:r>
    </w:p>
    <w:p>
      <w:pPr>
        <w:numPr>
          <w:ilvl w:val="0"/>
          <w:numId w:val="67"/>
        </w:numPr>
        <w:tabs>
          <w:tab w:val="left" w:pos="0"/>
        </w:tabs>
        <w:snapToGrid w:val="0"/>
        <w:spacing w:line="380" w:lineRule="exact"/>
        <w:jc w:val="both"/>
        <w:rPr>
          <w:rFonts w:hint="eastAsia"/>
          <w:szCs w:val="22"/>
        </w:rPr>
      </w:pPr>
      <w:r>
        <w:rPr>
          <w:rFonts w:hint="eastAsia"/>
          <w:szCs w:val="22"/>
        </w:rPr>
        <w:t>按照</w:t>
      </w:r>
      <w:r>
        <w:rPr>
          <w:rFonts w:hint="eastAsia"/>
          <w:szCs w:val="22"/>
          <w:lang w:val="en-US" w:eastAsia="zh-CN"/>
        </w:rPr>
        <w:t>采购</w:t>
      </w:r>
      <w:r>
        <w:rPr>
          <w:rFonts w:hint="eastAsia"/>
          <w:szCs w:val="22"/>
        </w:rPr>
        <w:t>人会议室功能定位和会议类别需要提供优质会议服务；</w:t>
      </w:r>
    </w:p>
    <w:p>
      <w:pPr>
        <w:numPr>
          <w:ilvl w:val="0"/>
          <w:numId w:val="67"/>
        </w:numPr>
        <w:tabs>
          <w:tab w:val="left" w:pos="0"/>
        </w:tabs>
        <w:snapToGrid w:val="0"/>
        <w:spacing w:line="380" w:lineRule="exact"/>
        <w:jc w:val="both"/>
        <w:rPr>
          <w:rFonts w:hint="eastAsia"/>
          <w:szCs w:val="22"/>
        </w:rPr>
      </w:pPr>
      <w:r>
        <w:rPr>
          <w:rFonts w:hint="eastAsia"/>
          <w:szCs w:val="22"/>
        </w:rPr>
        <w:t>做好会议厅（室）、工作间、休息室等相关场所卫生保洁工作。</w:t>
      </w:r>
    </w:p>
    <w:p>
      <w:pPr>
        <w:numPr>
          <w:ilvl w:val="0"/>
          <w:numId w:val="67"/>
        </w:numPr>
        <w:tabs>
          <w:tab w:val="left" w:pos="0"/>
        </w:tabs>
        <w:snapToGrid w:val="0"/>
        <w:spacing w:line="380" w:lineRule="exact"/>
        <w:jc w:val="both"/>
        <w:rPr>
          <w:rFonts w:hint="eastAsia"/>
          <w:szCs w:val="22"/>
        </w:rPr>
      </w:pPr>
      <w:r>
        <w:rPr>
          <w:rFonts w:hint="eastAsia"/>
          <w:szCs w:val="22"/>
        </w:rPr>
        <w:t>会务人员必须持健康证上岗。</w:t>
      </w:r>
    </w:p>
    <w:p>
      <w:pPr>
        <w:numPr>
          <w:ilvl w:val="0"/>
          <w:numId w:val="20"/>
        </w:numPr>
        <w:spacing w:line="360" w:lineRule="auto"/>
        <w:ind w:hanging="5"/>
        <w:rPr>
          <w:rFonts w:ascii="宋体" w:hAnsi="宋体" w:cs="宋体"/>
          <w:b/>
          <w:bCs/>
          <w:szCs w:val="21"/>
        </w:rPr>
      </w:pPr>
      <w:r>
        <w:rPr>
          <w:rFonts w:hint="eastAsia" w:ascii="宋体" w:hAnsi="宋体" w:cs="宋体"/>
          <w:b/>
          <w:bCs/>
          <w:szCs w:val="21"/>
        </w:rPr>
        <w:t>设备运行日常维护服务</w:t>
      </w:r>
    </w:p>
    <w:p>
      <w:pPr>
        <w:numPr>
          <w:ilvl w:val="0"/>
          <w:numId w:val="68"/>
        </w:numPr>
        <w:tabs>
          <w:tab w:val="left" w:pos="360"/>
        </w:tabs>
        <w:snapToGrid w:val="0"/>
        <w:spacing w:line="380" w:lineRule="exact"/>
        <w:ind w:hanging="5"/>
        <w:jc w:val="both"/>
        <w:rPr>
          <w:b/>
          <w:bCs/>
        </w:rPr>
      </w:pPr>
      <w:r>
        <w:rPr>
          <w:rFonts w:hint="eastAsia"/>
          <w:b/>
          <w:bCs/>
        </w:rPr>
        <w:t>服务范围：</w:t>
      </w:r>
    </w:p>
    <w:p>
      <w:pPr>
        <w:tabs>
          <w:tab w:val="left" w:pos="360"/>
        </w:tabs>
        <w:snapToGrid w:val="0"/>
        <w:spacing w:line="380" w:lineRule="exact"/>
        <w:ind w:firstLine="420" w:firstLineChars="200"/>
        <w:jc w:val="both"/>
      </w:pPr>
      <w:r>
        <w:rPr>
          <w:rFonts w:hint="eastAsia"/>
        </w:rPr>
        <w:t>市政大院区域</w:t>
      </w:r>
      <w:r>
        <w:rPr>
          <w:rFonts w:hint="eastAsia"/>
          <w:lang w:eastAsia="zh-CN"/>
        </w:rPr>
        <w:t>内外</w:t>
      </w:r>
      <w:r>
        <w:rPr>
          <w:rFonts w:hint="eastAsia"/>
        </w:rPr>
        <w:t>的照明系统、给排水系统、空调系统、消控系统、强电系统、弱电系统、音响设备、舞台机械设备、电梯设备、餐厅内厨房用品、人民广场喷泉等所有设备设施的日常维修保养、应急抢修以及各种应急事件处理防范工作。</w:t>
      </w:r>
    </w:p>
    <w:p>
      <w:pPr>
        <w:numPr>
          <w:ilvl w:val="0"/>
          <w:numId w:val="68"/>
        </w:numPr>
        <w:tabs>
          <w:tab w:val="left" w:pos="360"/>
        </w:tabs>
        <w:snapToGrid w:val="0"/>
        <w:spacing w:line="380" w:lineRule="exact"/>
        <w:ind w:hanging="5"/>
        <w:jc w:val="both"/>
        <w:rPr>
          <w:b/>
          <w:bCs/>
        </w:rPr>
      </w:pPr>
      <w:r>
        <w:rPr>
          <w:rFonts w:hint="eastAsia"/>
          <w:b/>
          <w:bCs/>
        </w:rPr>
        <w:t>服务标准：</w:t>
      </w:r>
    </w:p>
    <w:p>
      <w:pPr>
        <w:numPr>
          <w:ilvl w:val="0"/>
          <w:numId w:val="69"/>
        </w:numPr>
        <w:snapToGrid w:val="0"/>
        <w:spacing w:line="380" w:lineRule="exact"/>
        <w:jc w:val="both"/>
      </w:pPr>
      <w:r>
        <w:rPr>
          <w:rFonts w:hint="eastAsia"/>
        </w:rPr>
        <w:t>设备运行良好，运行正常，定期保养，专人维护，无破损，各种重要设备设施可随时启用，如出现问题，中标人应立即进行处理或向有关科室和特定维修机构报修</w:t>
      </w:r>
      <w:r>
        <w:rPr>
          <w:rFonts w:hint="eastAsia"/>
          <w:lang w:eastAsia="zh-CN"/>
        </w:rPr>
        <w:t>。</w:t>
      </w:r>
    </w:p>
    <w:p>
      <w:pPr>
        <w:numPr>
          <w:ilvl w:val="0"/>
          <w:numId w:val="69"/>
        </w:numPr>
        <w:snapToGrid w:val="0"/>
        <w:spacing w:line="380" w:lineRule="exact"/>
        <w:jc w:val="both"/>
      </w:pPr>
      <w:r>
        <w:rPr>
          <w:rFonts w:hint="eastAsia"/>
        </w:rPr>
        <w:t>设备设施突发应急事件处理：</w:t>
      </w:r>
      <w:r>
        <w:t>急修应立即到位，确保在最短时间内予以修复，除不能克服的特殊情况</w:t>
      </w:r>
      <w:r>
        <w:rPr>
          <w:rFonts w:hint="eastAsia"/>
        </w:rPr>
        <w:t>中标人</w:t>
      </w:r>
      <w:r>
        <w:t>可以征得</w:t>
      </w:r>
      <w:r>
        <w:rPr>
          <w:rFonts w:hint="eastAsia"/>
        </w:rPr>
        <w:t>采购人</w:t>
      </w:r>
      <w:r>
        <w:t>同意后延迟外，应在半个工作日内修复</w:t>
      </w:r>
      <w:r>
        <w:rPr>
          <w:rFonts w:hint="eastAsia"/>
        </w:rPr>
        <w:t>；</w:t>
      </w:r>
      <w:r>
        <w:t>小修应在一个工作日内修复，除非</w:t>
      </w:r>
      <w:r>
        <w:rPr>
          <w:rFonts w:hint="eastAsia"/>
        </w:rPr>
        <w:t>中标人</w:t>
      </w:r>
      <w:r>
        <w:t>征得</w:t>
      </w:r>
      <w:r>
        <w:rPr>
          <w:rFonts w:hint="eastAsia"/>
        </w:rPr>
        <w:t>采购人</w:t>
      </w:r>
      <w:r>
        <w:t>同意延迟。</w:t>
      </w:r>
      <w:r>
        <w:rPr>
          <w:rFonts w:hint="eastAsia"/>
        </w:rPr>
        <w:t>同时中标人应根据</w:t>
      </w:r>
      <w:r>
        <w:rPr>
          <w:rFonts w:hint="eastAsia"/>
          <w:lang w:val="en-US" w:eastAsia="zh-CN"/>
        </w:rPr>
        <w:t>采购人</w:t>
      </w:r>
      <w:r>
        <w:rPr>
          <w:rFonts w:hint="eastAsia"/>
        </w:rPr>
        <w:t>实际制订停电、抗台、火灾、水管爆裂、排污管道堵塞等突发事件应急工作方案，并定期演练。</w:t>
      </w:r>
    </w:p>
    <w:p>
      <w:pPr>
        <w:numPr>
          <w:ilvl w:val="0"/>
          <w:numId w:val="68"/>
        </w:numPr>
        <w:tabs>
          <w:tab w:val="left" w:pos="360"/>
        </w:tabs>
        <w:snapToGrid w:val="0"/>
        <w:spacing w:line="380" w:lineRule="exact"/>
        <w:ind w:hanging="5"/>
        <w:jc w:val="both"/>
        <w:rPr>
          <w:b/>
          <w:bCs/>
        </w:rPr>
      </w:pPr>
      <w:r>
        <w:rPr>
          <w:rFonts w:hint="eastAsia"/>
          <w:b/>
          <w:bCs/>
        </w:rPr>
        <w:t>服务要求</w:t>
      </w:r>
    </w:p>
    <w:p>
      <w:pPr>
        <w:numPr>
          <w:ilvl w:val="0"/>
          <w:numId w:val="70"/>
        </w:numPr>
        <w:snapToGrid w:val="0"/>
        <w:spacing w:line="380" w:lineRule="exact"/>
        <w:jc w:val="both"/>
      </w:pPr>
      <w:r>
        <w:rPr>
          <w:rFonts w:hint="eastAsia"/>
        </w:rPr>
        <w:t>做好设备管理基础工作，制定和完善设备管理制度和安全、技术、操作及维护检修规程与技术标准，完善凭证管理、数据管理、定额管理和档案资料管理，建立、健全设备管理信息系统，并定期进行统计分析，以达到持续改进设备管理工作。</w:t>
      </w:r>
    </w:p>
    <w:p>
      <w:pPr>
        <w:numPr>
          <w:ilvl w:val="0"/>
          <w:numId w:val="70"/>
        </w:numPr>
        <w:snapToGrid w:val="0"/>
        <w:spacing w:line="380" w:lineRule="exact"/>
        <w:jc w:val="both"/>
        <w:rPr>
          <w:rFonts w:hint="eastAsia"/>
          <w:color w:val="auto"/>
          <w:szCs w:val="22"/>
          <w:highlight w:val="none"/>
        </w:rPr>
      </w:pPr>
      <w:r>
        <w:rPr>
          <w:rFonts w:hint="eastAsia"/>
          <w:color w:val="auto"/>
          <w:szCs w:val="22"/>
          <w:highlight w:val="none"/>
          <w:lang w:eastAsia="zh-CN"/>
        </w:rPr>
        <w:t>每年</w:t>
      </w:r>
      <w:r>
        <w:rPr>
          <w:rFonts w:hint="eastAsia"/>
          <w:color w:val="auto"/>
          <w:szCs w:val="22"/>
          <w:highlight w:val="none"/>
          <w:lang w:val="en-US" w:eastAsia="zh-CN"/>
        </w:rPr>
        <w:t>4月30日前，</w:t>
      </w:r>
      <w:r>
        <w:rPr>
          <w:rFonts w:hint="eastAsia"/>
          <w:color w:val="auto"/>
          <w:szCs w:val="22"/>
          <w:highlight w:val="none"/>
        </w:rPr>
        <w:t>中标</w:t>
      </w:r>
      <w:r>
        <w:rPr>
          <w:rFonts w:hint="eastAsia"/>
          <w:color w:val="auto"/>
          <w:szCs w:val="22"/>
          <w:highlight w:val="none"/>
          <w:lang w:val="en-US" w:eastAsia="zh-CN"/>
        </w:rPr>
        <w:t>人必须对</w:t>
      </w:r>
      <w:r>
        <w:rPr>
          <w:rFonts w:hint="eastAsia"/>
          <w:color w:val="auto"/>
          <w:szCs w:val="22"/>
          <w:highlight w:val="none"/>
          <w:lang w:eastAsia="zh-CN"/>
        </w:rPr>
        <w:t>市政大院内的高低压配电设备和发电设备完成年检，并出具检测报告及整改意见书，于双方归档、备查；如有整改内容限定</w:t>
      </w:r>
      <w:r>
        <w:rPr>
          <w:rFonts w:hint="eastAsia"/>
          <w:color w:val="auto"/>
          <w:szCs w:val="22"/>
          <w:highlight w:val="none"/>
          <w:lang w:val="en-US" w:eastAsia="zh-CN"/>
        </w:rPr>
        <w:t>30个工作日内完成。</w:t>
      </w:r>
    </w:p>
    <w:p>
      <w:pPr>
        <w:numPr>
          <w:ilvl w:val="0"/>
          <w:numId w:val="70"/>
        </w:numPr>
        <w:snapToGrid w:val="0"/>
        <w:spacing w:line="380" w:lineRule="exact"/>
        <w:jc w:val="both"/>
      </w:pPr>
      <w:r>
        <w:rPr>
          <w:rFonts w:hint="eastAsia"/>
        </w:rPr>
        <w:t>做好设备技术管理工作，重视增加设备的技术含量，采用先进的检测、修理、改造技术，适时进行设备更新，不断提高设备性能，以发挥设备的最大效用。</w:t>
      </w:r>
    </w:p>
    <w:p>
      <w:pPr>
        <w:numPr>
          <w:ilvl w:val="0"/>
          <w:numId w:val="70"/>
        </w:numPr>
        <w:snapToGrid w:val="0"/>
        <w:spacing w:line="380" w:lineRule="exact"/>
        <w:jc w:val="both"/>
      </w:pPr>
      <w:r>
        <w:rPr>
          <w:rFonts w:hint="eastAsia"/>
        </w:rPr>
        <w:t>做好设备现场管理工作，做好清洁、润滑、保养、检查和调整工作。</w:t>
      </w:r>
    </w:p>
    <w:p>
      <w:pPr>
        <w:numPr>
          <w:ilvl w:val="0"/>
          <w:numId w:val="70"/>
        </w:numPr>
        <w:snapToGrid w:val="0"/>
        <w:spacing w:line="380" w:lineRule="exact"/>
        <w:jc w:val="both"/>
      </w:pPr>
      <w:r>
        <w:rPr>
          <w:rFonts w:hint="eastAsia"/>
        </w:rPr>
        <w:t>做好设备经济管理工作，从节能着手，发挥设备最大效能，做好设备资产分析和核算工作，合理制定维修费用指标，保证设备资产的经济运行。</w:t>
      </w:r>
    </w:p>
    <w:p>
      <w:pPr>
        <w:numPr>
          <w:ilvl w:val="0"/>
          <w:numId w:val="70"/>
        </w:numPr>
        <w:snapToGrid w:val="0"/>
        <w:spacing w:line="380" w:lineRule="exact"/>
        <w:jc w:val="both"/>
      </w:pPr>
      <w:r>
        <w:rPr>
          <w:rFonts w:hint="eastAsia"/>
        </w:rPr>
        <w:t>做好设备管理、操作及维修技术人员的培训工作，提高他们的技术、业务素质，使其达到岗位要求，以确保设备得到及时准确的运行维护。</w:t>
      </w:r>
    </w:p>
    <w:p>
      <w:pPr>
        <w:numPr>
          <w:ilvl w:val="0"/>
          <w:numId w:val="70"/>
        </w:numPr>
        <w:snapToGrid w:val="0"/>
        <w:spacing w:line="380" w:lineRule="exact"/>
        <w:jc w:val="both"/>
      </w:pPr>
      <w:r>
        <w:rPr>
          <w:rFonts w:hint="eastAsia"/>
        </w:rPr>
        <w:t>做好对其他外来服务单位（如专业厂家或公司）的监管、配合服务工作,确保设备安全稳定运行。</w:t>
      </w:r>
    </w:p>
    <w:p>
      <w:pPr>
        <w:numPr>
          <w:ilvl w:val="0"/>
          <w:numId w:val="70"/>
        </w:numPr>
        <w:snapToGrid w:val="0"/>
        <w:spacing w:line="360" w:lineRule="auto"/>
        <w:jc w:val="both"/>
        <w:rPr>
          <w:szCs w:val="22"/>
          <w:highlight w:val="none"/>
        </w:rPr>
      </w:pPr>
      <w:r>
        <w:rPr>
          <w:rFonts w:hint="eastAsia"/>
          <w:szCs w:val="22"/>
          <w:highlight w:val="none"/>
        </w:rPr>
        <w:t>中标人应负责</w:t>
      </w:r>
      <w:r>
        <w:rPr>
          <w:rFonts w:hint="eastAsia"/>
          <w:szCs w:val="22"/>
        </w:rPr>
        <w:t>市政大院所有设备设施的管理和日常维护</w:t>
      </w:r>
      <w:r>
        <w:rPr>
          <w:rFonts w:hint="eastAsia"/>
          <w:szCs w:val="22"/>
          <w:highlight w:val="none"/>
        </w:rPr>
        <w:t>。</w:t>
      </w:r>
    </w:p>
    <w:p>
      <w:pPr>
        <w:numPr>
          <w:ilvl w:val="0"/>
          <w:numId w:val="70"/>
        </w:numPr>
        <w:snapToGrid w:val="0"/>
        <w:spacing w:line="360" w:lineRule="auto"/>
        <w:jc w:val="both"/>
        <w:rPr>
          <w:color w:val="auto"/>
          <w:szCs w:val="22"/>
        </w:rPr>
      </w:pPr>
      <w:r>
        <w:rPr>
          <w:rFonts w:hint="eastAsia"/>
          <w:color w:val="auto"/>
          <w:szCs w:val="22"/>
        </w:rPr>
        <w:t>中标人应</w:t>
      </w:r>
      <w:r>
        <w:rPr>
          <w:rFonts w:hint="eastAsia" w:ascii="宋体" w:hAnsi="宋体" w:cs="宋体"/>
          <w:b/>
          <w:bCs/>
          <w:color w:val="auto"/>
          <w:szCs w:val="21"/>
        </w:rPr>
        <w:t>聘请具备相应资质的公司进行专业服务</w:t>
      </w:r>
      <w:r>
        <w:rPr>
          <w:rFonts w:hint="eastAsia" w:ascii="宋体" w:hAnsi="宋体" w:cs="宋体"/>
          <w:b/>
          <w:bCs/>
          <w:color w:val="auto"/>
          <w:szCs w:val="21"/>
          <w:lang w:eastAsia="zh-CN"/>
        </w:rPr>
        <w:t>并与第三方签订相关合同</w:t>
      </w:r>
      <w:r>
        <w:rPr>
          <w:rFonts w:hint="eastAsia" w:ascii="宋体" w:hAnsi="宋体" w:cs="宋体"/>
          <w:b/>
          <w:bCs/>
          <w:color w:val="auto"/>
          <w:szCs w:val="21"/>
        </w:rPr>
        <w:t>（</w:t>
      </w:r>
      <w:r>
        <w:rPr>
          <w:rFonts w:hint="eastAsia"/>
          <w:b/>
          <w:bCs/>
          <w:color w:val="auto"/>
          <w:szCs w:val="22"/>
        </w:rPr>
        <w:t>发电机维保、</w:t>
      </w:r>
      <w:r>
        <w:rPr>
          <w:rFonts w:hint="eastAsia"/>
          <w:b/>
          <w:bCs/>
          <w:color w:val="auto"/>
          <w:szCs w:val="22"/>
          <w:lang w:eastAsia="zh-CN"/>
        </w:rPr>
        <w:t>常压电热锅炉维护调试、</w:t>
      </w:r>
      <w:r>
        <w:rPr>
          <w:rFonts w:hint="eastAsia"/>
          <w:b/>
          <w:bCs/>
          <w:color w:val="auto"/>
          <w:szCs w:val="22"/>
        </w:rPr>
        <w:t>消防维保及检测、消防器材充装及更换、监控维保、会场音响系统和会议中心舞台灯光系统设备、防雷检测、高低压配维保及检测、</w:t>
      </w:r>
      <w:r>
        <w:rPr>
          <w:rFonts w:hint="eastAsia"/>
          <w:b/>
          <w:bCs/>
          <w:color w:val="auto"/>
          <w:szCs w:val="22"/>
          <w:lang w:eastAsia="zh-CN"/>
        </w:rPr>
        <w:t>中央空调维保及检测（</w:t>
      </w:r>
      <w:r>
        <w:rPr>
          <w:rFonts w:hint="eastAsia"/>
          <w:b/>
          <w:bCs/>
          <w:color w:val="auto"/>
          <w:szCs w:val="22"/>
          <w:lang w:val="en-US" w:eastAsia="zh-CN"/>
        </w:rPr>
        <w:t>不含深度清洗</w:t>
      </w:r>
      <w:r>
        <w:rPr>
          <w:rFonts w:hint="eastAsia"/>
          <w:b/>
          <w:bCs/>
          <w:color w:val="auto"/>
          <w:szCs w:val="22"/>
          <w:lang w:eastAsia="zh-CN"/>
        </w:rPr>
        <w:t>）、</w:t>
      </w:r>
      <w:r>
        <w:rPr>
          <w:rFonts w:hint="eastAsia"/>
          <w:b/>
          <w:bCs/>
          <w:color w:val="auto"/>
          <w:szCs w:val="22"/>
        </w:rPr>
        <w:t>电梯维保及检测、</w:t>
      </w:r>
      <w:r>
        <w:rPr>
          <w:rFonts w:hint="eastAsia" w:ascii="宋体" w:hAnsi="宋体"/>
          <w:b/>
          <w:bCs/>
          <w:color w:val="auto"/>
          <w:szCs w:val="21"/>
          <w:highlight w:val="none"/>
        </w:rPr>
        <w:t>生活水池水质检测及清洗、卫生消杀</w:t>
      </w:r>
      <w:r>
        <w:rPr>
          <w:rFonts w:hint="eastAsia" w:ascii="宋体" w:hAnsi="宋体" w:cs="宋体"/>
          <w:b/>
          <w:bCs/>
          <w:color w:val="auto"/>
          <w:szCs w:val="21"/>
        </w:rPr>
        <w:t>）</w:t>
      </w:r>
      <w:r>
        <w:rPr>
          <w:rFonts w:hint="eastAsia" w:ascii="宋体" w:hAnsi="宋体" w:cs="宋体"/>
          <w:color w:val="auto"/>
          <w:szCs w:val="21"/>
        </w:rPr>
        <w:t>，并</w:t>
      </w:r>
      <w:r>
        <w:rPr>
          <w:rFonts w:hint="eastAsia"/>
          <w:color w:val="auto"/>
          <w:szCs w:val="22"/>
        </w:rPr>
        <w:t>报采购人备案，需要检测的项目需提供官方认可有资质的检测机构的各类检测报告。</w:t>
      </w:r>
    </w:p>
    <w:p>
      <w:pPr>
        <w:numPr>
          <w:ilvl w:val="0"/>
          <w:numId w:val="70"/>
        </w:numPr>
        <w:snapToGrid w:val="0"/>
        <w:spacing w:line="360" w:lineRule="auto"/>
        <w:jc w:val="both"/>
        <w:rPr>
          <w:rFonts w:hint="eastAsia"/>
          <w:color w:val="auto"/>
          <w:szCs w:val="22"/>
          <w:highlight w:val="none"/>
        </w:rPr>
      </w:pPr>
      <w:r>
        <w:rPr>
          <w:rFonts w:hint="eastAsia"/>
          <w:color w:val="auto"/>
          <w:szCs w:val="22"/>
          <w:highlight w:val="none"/>
          <w:lang w:eastAsia="zh-CN"/>
        </w:rPr>
        <w:t>中央空调主机维护及调试：中标人只能与市政大院中央空调主机品牌及型号类型相同的，有维修及维护经验不少于三年的第三方单位签订维护及保养合同，并报采购人备案。中央空调主机运行≤2000小时必须更换指定型号机油及过滤器，并对主机进行清洗维修（现年运行为1800-1900小时）。每年5月10日前必须完成主机维护调试运行的准备工作</w:t>
      </w:r>
      <w:r>
        <w:rPr>
          <w:rFonts w:hint="eastAsia"/>
          <w:color w:val="auto"/>
          <w:szCs w:val="22"/>
          <w:highlight w:val="none"/>
          <w:lang w:val="en-US" w:eastAsia="zh-CN"/>
        </w:rPr>
        <w:t>。</w:t>
      </w:r>
    </w:p>
    <w:p>
      <w:pPr>
        <w:numPr>
          <w:ilvl w:val="0"/>
          <w:numId w:val="70"/>
        </w:numPr>
        <w:snapToGrid w:val="0"/>
        <w:spacing w:line="360" w:lineRule="auto"/>
        <w:jc w:val="both"/>
        <w:rPr>
          <w:rFonts w:hint="eastAsia"/>
          <w:color w:val="auto"/>
          <w:szCs w:val="22"/>
          <w:highlight w:val="none"/>
        </w:rPr>
      </w:pPr>
      <w:r>
        <w:rPr>
          <w:rFonts w:hint="eastAsia"/>
          <w:color w:val="auto"/>
          <w:szCs w:val="22"/>
          <w:highlight w:val="none"/>
          <w:lang w:eastAsia="zh-CN"/>
        </w:rPr>
        <w:t>发电机维修、维护：发电机每月试运行</w:t>
      </w:r>
      <w:r>
        <w:rPr>
          <w:rFonts w:hint="eastAsia"/>
          <w:color w:val="auto"/>
          <w:szCs w:val="22"/>
          <w:highlight w:val="none"/>
          <w:lang w:val="en-US" w:eastAsia="zh-CN"/>
        </w:rPr>
        <w:t>15至20分钟，并做好</w:t>
      </w:r>
      <w:r>
        <w:rPr>
          <w:rFonts w:hint="eastAsia"/>
          <w:color w:val="auto"/>
          <w:szCs w:val="22"/>
          <w:highlight w:val="none"/>
          <w:lang w:eastAsia="zh-CN"/>
        </w:rPr>
        <w:t>试运行</w:t>
      </w:r>
      <w:r>
        <w:rPr>
          <w:rFonts w:hint="eastAsia"/>
          <w:color w:val="auto"/>
          <w:szCs w:val="22"/>
          <w:highlight w:val="none"/>
          <w:lang w:val="en-US" w:eastAsia="zh-CN"/>
        </w:rPr>
        <w:t>记录，每年4月30日前完成一次年检，如有整改要求的，限30个工作日内完成相关的整改工作。</w:t>
      </w:r>
    </w:p>
    <w:p>
      <w:pPr>
        <w:numPr>
          <w:ilvl w:val="0"/>
          <w:numId w:val="70"/>
        </w:numPr>
        <w:snapToGrid w:val="0"/>
        <w:spacing w:line="360" w:lineRule="auto"/>
        <w:jc w:val="both"/>
        <w:rPr>
          <w:rFonts w:hint="eastAsia"/>
          <w:color w:val="auto"/>
          <w:szCs w:val="22"/>
          <w:highlight w:val="none"/>
        </w:rPr>
      </w:pPr>
      <w:r>
        <w:rPr>
          <w:rFonts w:hint="eastAsia"/>
          <w:color w:val="auto"/>
          <w:szCs w:val="22"/>
          <w:highlight w:val="none"/>
          <w:lang w:eastAsia="zh-CN"/>
        </w:rPr>
        <w:t>常压电热锅炉</w:t>
      </w:r>
      <w:r>
        <w:rPr>
          <w:rFonts w:hint="eastAsia"/>
          <w:b w:val="0"/>
          <w:bCs w:val="0"/>
          <w:color w:val="auto"/>
          <w:szCs w:val="22"/>
          <w:highlight w:val="none"/>
          <w:lang w:eastAsia="zh-CN"/>
        </w:rPr>
        <w:t>维护调试</w:t>
      </w:r>
      <w:r>
        <w:rPr>
          <w:rFonts w:hint="eastAsia"/>
          <w:color w:val="auto"/>
          <w:szCs w:val="22"/>
          <w:highlight w:val="none"/>
          <w:lang w:eastAsia="zh-CN"/>
        </w:rPr>
        <w:t>：每年</w:t>
      </w:r>
      <w:r>
        <w:rPr>
          <w:rFonts w:hint="eastAsia"/>
          <w:color w:val="auto"/>
          <w:szCs w:val="22"/>
          <w:highlight w:val="none"/>
          <w:lang w:val="en-US" w:eastAsia="zh-CN"/>
        </w:rPr>
        <w:t>10月10日前完成常压电热锅炉的维护、调试运行工作，并做好相关记录。</w:t>
      </w:r>
    </w:p>
    <w:p>
      <w:pPr>
        <w:numPr>
          <w:ilvl w:val="0"/>
          <w:numId w:val="70"/>
        </w:numPr>
        <w:snapToGrid w:val="0"/>
        <w:spacing w:line="360" w:lineRule="auto"/>
        <w:jc w:val="both"/>
        <w:rPr>
          <w:color w:val="auto"/>
          <w:szCs w:val="22"/>
        </w:rPr>
      </w:pPr>
      <w:r>
        <w:rPr>
          <w:rFonts w:hint="eastAsia"/>
          <w:color w:val="auto"/>
          <w:szCs w:val="22"/>
        </w:rPr>
        <w:t>电梯运行维护服务标准：建立电梯运行管理、设备管理、安全管理制度，确保电梯按规定时间运行，安全设施齐全有效，通风、照明及其它附属设施完好；严格执行国家有关电梯管理的规定和安全规程，电梯准用证、年检合格证、维修保养合同完备，定期进行维修保养，电梯维保单位必须经采购人许可；轿厢、井道保持清洁；因故障停梯，接到报修后维修人员应在20分钟内到达现场抢修，及时排除故障</w:t>
      </w:r>
      <w:r>
        <w:rPr>
          <w:rFonts w:hint="eastAsia"/>
          <w:color w:val="auto"/>
          <w:lang w:eastAsia="zh-CN"/>
        </w:rPr>
        <w:t>。</w:t>
      </w:r>
    </w:p>
    <w:p>
      <w:pPr>
        <w:numPr>
          <w:ilvl w:val="0"/>
          <w:numId w:val="70"/>
        </w:numPr>
        <w:snapToGrid w:val="0"/>
        <w:spacing w:line="360" w:lineRule="auto"/>
        <w:jc w:val="both"/>
        <w:rPr>
          <w:color w:val="auto"/>
          <w:szCs w:val="22"/>
        </w:rPr>
      </w:pPr>
      <w:r>
        <w:rPr>
          <w:rFonts w:hint="eastAsia"/>
          <w:color w:val="auto"/>
          <w:szCs w:val="22"/>
        </w:rPr>
        <w:t>配合采购人对设备设施进行系统改造或大批量维修的工作，确保工程项目施工正常。</w:t>
      </w:r>
    </w:p>
    <w:p>
      <w:pPr>
        <w:numPr>
          <w:ilvl w:val="0"/>
          <w:numId w:val="70"/>
        </w:numPr>
        <w:snapToGrid w:val="0"/>
        <w:spacing w:line="360" w:lineRule="auto"/>
        <w:jc w:val="both"/>
        <w:rPr>
          <w:rFonts w:hint="eastAsia"/>
          <w:color w:val="auto"/>
          <w:szCs w:val="22"/>
          <w:highlight w:val="none"/>
        </w:rPr>
      </w:pPr>
      <w:r>
        <w:rPr>
          <w:rFonts w:hint="eastAsia"/>
          <w:color w:val="auto"/>
          <w:szCs w:val="22"/>
          <w:highlight w:val="none"/>
        </w:rPr>
        <w:t>负责市政大院供水、供电、智能线路系统</w:t>
      </w:r>
      <w:r>
        <w:rPr>
          <w:rFonts w:hint="eastAsia"/>
          <w:color w:val="auto"/>
          <w:szCs w:val="22"/>
          <w:highlight w:val="none"/>
          <w:lang w:eastAsia="zh-CN"/>
        </w:rPr>
        <w:t>、</w:t>
      </w:r>
      <w:r>
        <w:rPr>
          <w:rFonts w:hint="eastAsia"/>
          <w:color w:val="auto"/>
          <w:szCs w:val="22"/>
          <w:highlight w:val="none"/>
        </w:rPr>
        <w:t>地面道路（除广场）、办公座椅</w:t>
      </w:r>
      <w:r>
        <w:rPr>
          <w:rFonts w:hint="eastAsia"/>
          <w:color w:val="auto"/>
          <w:szCs w:val="22"/>
          <w:highlight w:val="none"/>
          <w:lang w:val="en-US" w:eastAsia="zh-CN"/>
        </w:rPr>
        <w:t>的</w:t>
      </w:r>
      <w:r>
        <w:rPr>
          <w:rFonts w:hint="eastAsia"/>
          <w:color w:val="auto"/>
          <w:szCs w:val="22"/>
          <w:highlight w:val="none"/>
        </w:rPr>
        <w:t>零星修理和零配件更换</w:t>
      </w:r>
      <w:r>
        <w:rPr>
          <w:rFonts w:hint="eastAsia"/>
          <w:color w:val="auto"/>
          <w:szCs w:val="22"/>
          <w:highlight w:val="none"/>
          <w:lang w:val="en-US" w:eastAsia="zh-CN"/>
        </w:rPr>
        <w:t>及市政大院内所有</w:t>
      </w:r>
      <w:r>
        <w:rPr>
          <w:rFonts w:hint="eastAsia"/>
          <w:color w:val="auto"/>
          <w:szCs w:val="22"/>
          <w:highlight w:val="none"/>
        </w:rPr>
        <w:t>分体空调的修理、清洗和零配件更换</w:t>
      </w:r>
      <w:r>
        <w:rPr>
          <w:rFonts w:hint="eastAsia"/>
          <w:color w:val="auto"/>
          <w:szCs w:val="22"/>
          <w:highlight w:val="none"/>
          <w:lang w:eastAsia="zh-CN"/>
        </w:rPr>
        <w:t>。</w:t>
      </w:r>
    </w:p>
    <w:p>
      <w:pPr>
        <w:numPr>
          <w:ilvl w:val="0"/>
          <w:numId w:val="70"/>
        </w:numPr>
        <w:snapToGrid w:val="0"/>
        <w:spacing w:line="360" w:lineRule="auto"/>
        <w:jc w:val="both"/>
        <w:rPr>
          <w:rFonts w:hint="eastAsia"/>
          <w:color w:val="auto"/>
          <w:szCs w:val="22"/>
        </w:rPr>
      </w:pPr>
      <w:r>
        <w:rPr>
          <w:rFonts w:hint="eastAsia"/>
          <w:color w:val="auto"/>
          <w:szCs w:val="22"/>
        </w:rPr>
        <w:t>房屋及设施、设备日常维修、养护：保证每月对房屋状况、设施、设备运行情况全面检查一次，并按月提供检查报告。中标</w:t>
      </w:r>
      <w:r>
        <w:rPr>
          <w:rFonts w:hint="eastAsia"/>
          <w:color w:val="auto"/>
          <w:szCs w:val="22"/>
          <w:lang w:val="en-US" w:eastAsia="zh-CN"/>
        </w:rPr>
        <w:t>人</w:t>
      </w:r>
      <w:r>
        <w:rPr>
          <w:rFonts w:hint="eastAsia"/>
          <w:color w:val="auto"/>
          <w:szCs w:val="22"/>
        </w:rPr>
        <w:t>保证排污排水等的通畅，并保证随时发现问题，随时解决。</w:t>
      </w:r>
    </w:p>
    <w:p>
      <w:pPr>
        <w:numPr>
          <w:ilvl w:val="0"/>
          <w:numId w:val="70"/>
        </w:numPr>
        <w:snapToGrid w:val="0"/>
        <w:spacing w:line="360" w:lineRule="auto"/>
        <w:jc w:val="both"/>
        <w:rPr>
          <w:rFonts w:hint="eastAsia"/>
          <w:color w:val="auto"/>
          <w:szCs w:val="22"/>
          <w:highlight w:val="none"/>
        </w:rPr>
      </w:pPr>
      <w:r>
        <w:rPr>
          <w:rFonts w:hint="eastAsia"/>
          <w:color w:val="auto"/>
          <w:szCs w:val="22"/>
          <w:highlight w:val="none"/>
          <w:lang w:val="en-US" w:eastAsia="zh-CN"/>
        </w:rPr>
        <w:t>室内所有壁挂式空调及立柜式空调一年深度清洗一次。</w:t>
      </w:r>
    </w:p>
    <w:p>
      <w:pPr>
        <w:snapToGrid w:val="0"/>
        <w:spacing w:line="360" w:lineRule="auto"/>
        <w:jc w:val="both"/>
        <w:rPr>
          <w:rFonts w:hint="eastAsia" w:ascii="宋体" w:hAnsi="宋体"/>
          <w:b/>
          <w:bCs/>
          <w:color w:val="auto"/>
          <w:sz w:val="24"/>
          <w:szCs w:val="24"/>
        </w:rPr>
      </w:pPr>
      <w:r>
        <w:rPr>
          <w:rFonts w:hint="eastAsia" w:ascii="宋体" w:hAnsi="宋体"/>
          <w:b/>
          <w:bCs/>
          <w:color w:val="auto"/>
          <w:sz w:val="24"/>
          <w:szCs w:val="24"/>
        </w:rPr>
        <w:t>三、其他说明</w:t>
      </w:r>
    </w:p>
    <w:p>
      <w:pPr>
        <w:numPr>
          <w:ilvl w:val="0"/>
          <w:numId w:val="71"/>
        </w:numPr>
        <w:tabs>
          <w:tab w:val="left" w:pos="360"/>
          <w:tab w:val="left" w:pos="420"/>
          <w:tab w:val="left" w:pos="540"/>
        </w:tabs>
        <w:spacing w:line="360" w:lineRule="auto"/>
        <w:ind w:left="17" w:leftChars="0" w:firstLine="401" w:firstLineChars="0"/>
        <w:rPr>
          <w:rFonts w:ascii="宋体" w:hAnsi="宋体" w:cs="宋体"/>
          <w:color w:val="auto"/>
          <w:szCs w:val="21"/>
        </w:rPr>
      </w:pPr>
      <w:r>
        <w:rPr>
          <w:rFonts w:hint="eastAsia" w:ascii="宋体" w:hAnsi="宋体" w:cs="宋体"/>
          <w:color w:val="auto"/>
          <w:szCs w:val="21"/>
        </w:rPr>
        <w:t>中标人应根据国家、省市的有关法律、法规，按照招标文件、投标文件和合同对本服务实施统一管理、综合服务、自主经营、自负盈亏。</w:t>
      </w:r>
    </w:p>
    <w:p>
      <w:pPr>
        <w:numPr>
          <w:ilvl w:val="0"/>
          <w:numId w:val="71"/>
        </w:numPr>
        <w:tabs>
          <w:tab w:val="left" w:pos="360"/>
          <w:tab w:val="left" w:pos="420"/>
          <w:tab w:val="left" w:pos="540"/>
        </w:tabs>
        <w:spacing w:line="360" w:lineRule="auto"/>
        <w:ind w:left="17" w:leftChars="0" w:firstLine="401" w:firstLineChars="0"/>
        <w:rPr>
          <w:rFonts w:ascii="宋体" w:hAnsi="宋体" w:cs="宋体"/>
          <w:color w:val="auto"/>
          <w:szCs w:val="21"/>
        </w:rPr>
      </w:pPr>
      <w:r>
        <w:rPr>
          <w:rFonts w:hint="eastAsia" w:ascii="宋体" w:hAnsi="宋体" w:cs="宋体"/>
          <w:color w:val="auto"/>
          <w:szCs w:val="21"/>
        </w:rPr>
        <w:t>采购人按照合同约定的履约验收方案，组织履约验收小组对乙方履约情况进行考核验收，根据考核标准进行评分。</w:t>
      </w:r>
    </w:p>
    <w:p>
      <w:pPr>
        <w:numPr>
          <w:ilvl w:val="0"/>
          <w:numId w:val="71"/>
        </w:numPr>
        <w:tabs>
          <w:tab w:val="left" w:pos="360"/>
          <w:tab w:val="left" w:pos="420"/>
          <w:tab w:val="left" w:pos="540"/>
        </w:tabs>
        <w:spacing w:line="360" w:lineRule="auto"/>
        <w:ind w:left="17" w:leftChars="0" w:firstLine="401" w:firstLineChars="0"/>
        <w:rPr>
          <w:rFonts w:ascii="宋体" w:hAnsi="宋体" w:cs="宋体"/>
          <w:color w:val="auto"/>
          <w:szCs w:val="21"/>
        </w:rPr>
      </w:pPr>
      <w:r>
        <w:rPr>
          <w:rFonts w:hint="eastAsia" w:ascii="宋体" w:hAnsi="宋体" w:cs="宋体"/>
          <w:color w:val="auto"/>
          <w:szCs w:val="21"/>
        </w:rPr>
        <w:t>未达到合同中服务质量标准的，采购人有权提出整改意见和限期改进，当整改期限满后仍无明显改善的，将依据法律法规及政策规定，按法定程序解除合同。</w:t>
      </w:r>
    </w:p>
    <w:p>
      <w:pPr>
        <w:numPr>
          <w:ilvl w:val="0"/>
          <w:numId w:val="71"/>
        </w:numPr>
        <w:tabs>
          <w:tab w:val="left" w:pos="360"/>
          <w:tab w:val="left" w:pos="420"/>
          <w:tab w:val="left" w:pos="540"/>
        </w:tabs>
        <w:spacing w:line="360" w:lineRule="auto"/>
        <w:ind w:left="17" w:leftChars="0" w:firstLine="401" w:firstLineChars="0"/>
        <w:rPr>
          <w:rFonts w:ascii="宋体" w:hAnsi="宋体" w:cs="宋体"/>
          <w:color w:val="auto"/>
          <w:szCs w:val="21"/>
        </w:rPr>
      </w:pPr>
      <w:r>
        <w:rPr>
          <w:rFonts w:hint="eastAsia" w:ascii="宋体" w:hAnsi="宋体" w:cs="宋体"/>
          <w:color w:val="auto"/>
          <w:szCs w:val="21"/>
        </w:rPr>
        <w:t>中标人在与采购人签订合同后的一个星期内，应派相关人员进驻管理现场，并履行下列职责：熟悉服务区域的地理位置、环境条件、设施的配置、使用，服务区域管理用房的配置和设施配套情况；办理承接手续时，要与采购人交接所有与服务相关的资料和档案材料，并由双方授权代表签字。</w:t>
      </w:r>
    </w:p>
    <w:p>
      <w:pPr>
        <w:numPr>
          <w:ilvl w:val="0"/>
          <w:numId w:val="71"/>
        </w:numPr>
        <w:tabs>
          <w:tab w:val="left" w:pos="360"/>
          <w:tab w:val="left" w:pos="420"/>
          <w:tab w:val="left" w:pos="540"/>
        </w:tabs>
        <w:spacing w:line="360" w:lineRule="auto"/>
        <w:ind w:left="17" w:leftChars="0" w:firstLine="401" w:firstLineChars="0"/>
        <w:rPr>
          <w:rFonts w:ascii="宋体" w:hAnsi="宋体" w:cs="宋体"/>
          <w:color w:val="auto"/>
          <w:szCs w:val="21"/>
          <w:highlight w:val="none"/>
        </w:rPr>
      </w:pPr>
      <w:r>
        <w:rPr>
          <w:rFonts w:hint="eastAsia" w:ascii="宋体" w:hAnsi="宋体" w:cs="宋体"/>
          <w:color w:val="auto"/>
          <w:szCs w:val="21"/>
          <w:lang w:val="en-US" w:eastAsia="zh-CN"/>
        </w:rPr>
        <w:t>项目</w:t>
      </w:r>
      <w:r>
        <w:rPr>
          <w:rFonts w:hint="eastAsia" w:ascii="宋体" w:hAnsi="宋体" w:cs="宋体"/>
          <w:color w:val="auto"/>
          <w:szCs w:val="21"/>
        </w:rPr>
        <w:t>负责人全权代表承包区域服务工作，并与采购人保持密切联系。</w:t>
      </w:r>
      <w:r>
        <w:rPr>
          <w:rFonts w:hint="eastAsia" w:ascii="宋体" w:hAnsi="宋体" w:cs="宋体"/>
          <w:color w:val="auto"/>
          <w:szCs w:val="21"/>
          <w:lang w:val="en-US" w:eastAsia="zh-CN"/>
        </w:rPr>
        <w:t>项目</w:t>
      </w:r>
      <w:r>
        <w:rPr>
          <w:rFonts w:hint="eastAsia" w:ascii="宋体" w:hAnsi="宋体" w:cs="宋体"/>
          <w:color w:val="auto"/>
          <w:szCs w:val="21"/>
        </w:rPr>
        <w:t>负责人须</w:t>
      </w:r>
      <w:r>
        <w:rPr>
          <w:rFonts w:hint="eastAsia" w:ascii="宋体" w:hAnsi="宋体" w:cs="宋体"/>
          <w:color w:val="auto"/>
          <w:szCs w:val="21"/>
          <w:highlight w:val="none"/>
        </w:rPr>
        <w:t>全勤到岗，执行合同后不得再兼任其他项目的负责人。</w:t>
      </w:r>
    </w:p>
    <w:p>
      <w:pPr>
        <w:numPr>
          <w:ilvl w:val="0"/>
          <w:numId w:val="71"/>
        </w:numPr>
        <w:tabs>
          <w:tab w:val="left" w:pos="360"/>
          <w:tab w:val="left" w:pos="420"/>
          <w:tab w:val="left" w:pos="540"/>
        </w:tabs>
        <w:spacing w:line="360" w:lineRule="auto"/>
        <w:ind w:left="17" w:leftChars="0" w:firstLine="403" w:firstLineChars="0"/>
        <w:rPr>
          <w:rFonts w:ascii="宋体" w:hAnsi="宋体" w:cs="宋体"/>
          <w:color w:val="auto"/>
          <w:szCs w:val="21"/>
        </w:rPr>
      </w:pPr>
      <w:r>
        <w:rPr>
          <w:rFonts w:hint="eastAsia" w:ascii="宋体" w:hAnsi="宋体" w:eastAsia="宋体" w:cs="宋体"/>
          <w:b/>
          <w:bCs/>
          <w:strike w:val="0"/>
          <w:dstrike w:val="0"/>
          <w:sz w:val="24"/>
          <w:szCs w:val="24"/>
          <w:highlight w:val="none"/>
        </w:rPr>
        <w:t>▲</w:t>
      </w:r>
      <w:r>
        <w:rPr>
          <w:rFonts w:hint="eastAsia" w:ascii="宋体" w:hAnsi="宋体" w:cs="宋体"/>
          <w:b/>
          <w:bCs/>
          <w:color w:val="auto"/>
          <w:szCs w:val="21"/>
          <w:highlight w:val="none"/>
        </w:rPr>
        <w:t>除拟派遣的</w:t>
      </w:r>
      <w:r>
        <w:rPr>
          <w:rFonts w:hint="eastAsia" w:ascii="宋体" w:hAnsi="宋体" w:cs="宋体"/>
          <w:b/>
          <w:bCs/>
          <w:color w:val="auto"/>
          <w:szCs w:val="21"/>
          <w:highlight w:val="none"/>
          <w:lang w:val="en-US" w:eastAsia="zh-CN"/>
        </w:rPr>
        <w:t>项目负责</w:t>
      </w:r>
      <w:r>
        <w:rPr>
          <w:rFonts w:hint="eastAsia" w:ascii="宋体" w:hAnsi="宋体" w:cs="宋体"/>
          <w:b/>
          <w:bCs/>
          <w:color w:val="auto"/>
          <w:szCs w:val="21"/>
          <w:highlight w:val="none"/>
        </w:rPr>
        <w:t>人</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保安主管、设备主管、保洁主管及会务主管</w:t>
      </w:r>
      <w:r>
        <w:rPr>
          <w:rFonts w:hint="eastAsia" w:ascii="宋体" w:hAnsi="宋体" w:cs="宋体"/>
          <w:b/>
          <w:bCs/>
          <w:color w:val="auto"/>
          <w:szCs w:val="21"/>
          <w:highlight w:val="none"/>
        </w:rPr>
        <w:t>外，其余人员具体名册投标时可先不提供，但须在</w:t>
      </w:r>
      <w:r>
        <w:rPr>
          <w:rFonts w:hint="eastAsia" w:ascii="Times New Roman" w:hAnsi="Times New Roman" w:eastAsia="宋体" w:cs="Times New Roman"/>
          <w:b/>
          <w:bCs/>
          <w:color w:val="auto"/>
          <w:szCs w:val="21"/>
          <w:highlight w:val="none"/>
          <w:lang w:val="en-US" w:eastAsia="zh-CN"/>
        </w:rPr>
        <w:t>合同签订之前</w:t>
      </w:r>
      <w:r>
        <w:rPr>
          <w:rFonts w:hint="eastAsia" w:ascii="宋体" w:hAnsi="宋体" w:cs="宋体"/>
          <w:b/>
          <w:bCs/>
          <w:color w:val="auto"/>
          <w:szCs w:val="21"/>
          <w:highlight w:val="none"/>
        </w:rPr>
        <w:t>提交采购人（随名册附人员身份证及上岗证证件等以证明其符合招标文件规定的人员配置要求</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其中秩序维护员要求提供合同签订前一个月内由公安部门出具的无犯罪记录证明</w:t>
      </w:r>
      <w:r>
        <w:rPr>
          <w:rFonts w:hint="eastAsia" w:ascii="宋体" w:hAnsi="宋体" w:cs="宋体"/>
          <w:b/>
          <w:bCs/>
          <w:color w:val="auto"/>
          <w:szCs w:val="21"/>
          <w:highlight w:val="none"/>
        </w:rPr>
        <w:t>）。</w:t>
      </w:r>
      <w:r>
        <w:rPr>
          <w:rFonts w:hint="eastAsia" w:ascii="宋体" w:hAnsi="宋体" w:cs="宋体"/>
          <w:color w:val="auto"/>
          <w:szCs w:val="21"/>
          <w:highlight w:val="none"/>
        </w:rPr>
        <w:t>员工需聘用与采购人所需服</w:t>
      </w:r>
      <w:r>
        <w:rPr>
          <w:rFonts w:hint="eastAsia" w:ascii="宋体" w:hAnsi="宋体" w:cs="宋体"/>
          <w:color w:val="auto"/>
          <w:szCs w:val="21"/>
        </w:rPr>
        <w:t>务相适应的人员，中标人对本项目员工上岗前进行身体健康检查，保证员工身体健康能胜任本项目中规定的岗位工作。</w:t>
      </w:r>
    </w:p>
    <w:p>
      <w:pPr>
        <w:numPr>
          <w:ilvl w:val="0"/>
          <w:numId w:val="71"/>
        </w:numPr>
        <w:tabs>
          <w:tab w:val="left" w:pos="360"/>
          <w:tab w:val="left" w:pos="420"/>
          <w:tab w:val="left" w:pos="540"/>
        </w:tabs>
        <w:spacing w:line="360" w:lineRule="auto"/>
        <w:ind w:left="17" w:leftChars="0" w:firstLine="401" w:firstLineChars="0"/>
        <w:rPr>
          <w:rFonts w:ascii="宋体" w:hAnsi="宋体" w:cs="宋体"/>
          <w:color w:val="auto"/>
          <w:szCs w:val="21"/>
        </w:rPr>
      </w:pPr>
      <w:r>
        <w:rPr>
          <w:rFonts w:hint="eastAsia" w:ascii="宋体" w:hAnsi="宋体" w:cs="宋体"/>
          <w:color w:val="auto"/>
          <w:szCs w:val="21"/>
        </w:rPr>
        <w:t>所聘人员必须符合劳动部门有关用工规定，并经中标人相关专业考核合格后上岗，采购人有权对此进行审核并提出整改意见。</w:t>
      </w:r>
    </w:p>
    <w:p>
      <w:pPr>
        <w:numPr>
          <w:ilvl w:val="0"/>
          <w:numId w:val="71"/>
        </w:numPr>
        <w:tabs>
          <w:tab w:val="left" w:pos="360"/>
          <w:tab w:val="left" w:pos="420"/>
          <w:tab w:val="left" w:pos="540"/>
        </w:tabs>
        <w:spacing w:line="360" w:lineRule="auto"/>
        <w:ind w:left="17" w:leftChars="0" w:firstLine="401" w:firstLineChars="0"/>
        <w:rPr>
          <w:rFonts w:ascii="宋体" w:hAnsi="宋体" w:cs="宋体"/>
          <w:color w:val="auto"/>
          <w:szCs w:val="21"/>
        </w:rPr>
      </w:pPr>
      <w:r>
        <w:rPr>
          <w:rFonts w:hint="eastAsia" w:ascii="宋体" w:hAnsi="宋体" w:cs="宋体"/>
          <w:color w:val="auto"/>
          <w:szCs w:val="21"/>
        </w:rPr>
        <w:t>中标人要认真根据考核要求自行对服务人员进行培训，并接受采购人对服务人员的集中培训，培训相关费用由中标人负责。</w:t>
      </w:r>
    </w:p>
    <w:p>
      <w:pPr>
        <w:numPr>
          <w:ilvl w:val="0"/>
          <w:numId w:val="71"/>
        </w:numPr>
        <w:tabs>
          <w:tab w:val="left" w:pos="360"/>
          <w:tab w:val="left" w:pos="420"/>
          <w:tab w:val="left" w:pos="540"/>
        </w:tabs>
        <w:spacing w:line="360" w:lineRule="auto"/>
        <w:ind w:left="17" w:leftChars="0" w:firstLine="401" w:firstLineChars="0"/>
        <w:rPr>
          <w:rFonts w:ascii="宋体" w:hAnsi="宋体" w:cs="宋体"/>
          <w:color w:val="auto"/>
          <w:szCs w:val="21"/>
        </w:rPr>
      </w:pPr>
      <w:r>
        <w:rPr>
          <w:rFonts w:hint="eastAsia" w:ascii="宋体" w:hAnsi="宋体" w:cs="宋体"/>
          <w:color w:val="auto"/>
          <w:szCs w:val="21"/>
        </w:rPr>
        <w:t>中标人所有人员必须穿着统一标准的服装，但服装样式和标识均需经采购人核准。</w:t>
      </w:r>
    </w:p>
    <w:p>
      <w:pPr>
        <w:numPr>
          <w:ilvl w:val="0"/>
          <w:numId w:val="71"/>
        </w:numPr>
        <w:tabs>
          <w:tab w:val="left" w:pos="360"/>
          <w:tab w:val="left" w:pos="420"/>
          <w:tab w:val="left" w:pos="540"/>
        </w:tabs>
        <w:spacing w:line="360" w:lineRule="auto"/>
        <w:ind w:left="17" w:leftChars="0" w:firstLine="401" w:firstLineChars="0"/>
        <w:rPr>
          <w:rFonts w:ascii="宋体" w:hAnsi="宋体" w:cs="宋体"/>
          <w:color w:val="auto"/>
          <w:szCs w:val="21"/>
        </w:rPr>
      </w:pPr>
      <w:r>
        <w:rPr>
          <w:rFonts w:hint="eastAsia" w:ascii="宋体" w:hAnsi="宋体" w:cs="宋体"/>
          <w:color w:val="auto"/>
          <w:szCs w:val="21"/>
        </w:rPr>
        <w:t>中标人必须积极倡导企业文化，重视党、团工作，增加企业凝聚力，确保人员稳定，特别是骨干人员，骨干人员变动必须经采购人同意，其他人员变动报采购人备案。</w:t>
      </w:r>
    </w:p>
    <w:p>
      <w:pPr>
        <w:numPr>
          <w:ilvl w:val="0"/>
          <w:numId w:val="71"/>
        </w:numPr>
        <w:tabs>
          <w:tab w:val="left" w:pos="360"/>
          <w:tab w:val="left" w:pos="420"/>
          <w:tab w:val="left" w:pos="540"/>
        </w:tabs>
        <w:spacing w:line="360" w:lineRule="auto"/>
        <w:ind w:left="17" w:leftChars="0" w:firstLine="401" w:firstLineChars="0"/>
        <w:rPr>
          <w:rFonts w:ascii="宋体" w:hAnsi="宋体" w:cs="宋体"/>
          <w:color w:val="auto"/>
          <w:szCs w:val="21"/>
        </w:rPr>
      </w:pPr>
      <w:r>
        <w:rPr>
          <w:rFonts w:hint="eastAsia" w:ascii="宋体" w:hAnsi="宋体" w:cs="宋体"/>
          <w:color w:val="auto"/>
          <w:szCs w:val="21"/>
        </w:rPr>
        <w:t>加强能源管理，作好节能降耗工作，定期编制书面月度能耗分析报告。</w:t>
      </w:r>
      <w:r>
        <w:rPr>
          <w:rFonts w:hint="eastAsia"/>
          <w:color w:val="auto"/>
          <w:szCs w:val="22"/>
        </w:rPr>
        <w:t>积极协助</w:t>
      </w:r>
      <w:r>
        <w:rPr>
          <w:rFonts w:hint="eastAsia"/>
          <w:color w:val="auto"/>
          <w:szCs w:val="22"/>
          <w:lang w:val="en-US" w:eastAsia="zh-CN"/>
        </w:rPr>
        <w:t>采购</w:t>
      </w:r>
      <w:r>
        <w:rPr>
          <w:rFonts w:hint="eastAsia"/>
          <w:color w:val="auto"/>
          <w:szCs w:val="22"/>
        </w:rPr>
        <w:t>人有关节能改造项目施工</w:t>
      </w:r>
      <w:r>
        <w:rPr>
          <w:rFonts w:hint="eastAsia"/>
          <w:color w:val="auto"/>
          <w:szCs w:val="22"/>
          <w:lang w:eastAsia="zh-CN"/>
        </w:rPr>
        <w:t>。</w:t>
      </w:r>
      <w:r>
        <w:rPr>
          <w:rFonts w:hint="eastAsia" w:ascii="宋体" w:hAnsi="宋体" w:cs="宋体"/>
          <w:color w:val="auto"/>
          <w:szCs w:val="21"/>
        </w:rPr>
        <w:t>非上班时间或不需要时要及时关闭开水机和服务区域内有关灯光照明。</w:t>
      </w:r>
    </w:p>
    <w:p>
      <w:pPr>
        <w:numPr>
          <w:ilvl w:val="0"/>
          <w:numId w:val="71"/>
        </w:numPr>
        <w:tabs>
          <w:tab w:val="left" w:pos="360"/>
          <w:tab w:val="left" w:pos="420"/>
          <w:tab w:val="left" w:pos="540"/>
        </w:tabs>
        <w:spacing w:line="360" w:lineRule="auto"/>
        <w:ind w:left="17" w:leftChars="0" w:firstLine="401" w:firstLineChars="0"/>
        <w:rPr>
          <w:rFonts w:ascii="宋体" w:hAnsi="宋体" w:cs="宋体"/>
          <w:color w:val="auto"/>
          <w:szCs w:val="21"/>
        </w:rPr>
      </w:pPr>
      <w:r>
        <w:rPr>
          <w:rFonts w:hint="eastAsia" w:ascii="宋体" w:hAnsi="宋体" w:cs="宋体"/>
          <w:color w:val="auto"/>
          <w:szCs w:val="21"/>
          <w:lang w:val="en-US" w:eastAsia="zh-CN"/>
        </w:rPr>
        <w:t>采购人有特殊工作安排需要中标人加班时，</w:t>
      </w:r>
      <w:r>
        <w:rPr>
          <w:rFonts w:hint="eastAsia" w:ascii="宋体" w:hAnsi="宋体" w:cs="宋体"/>
          <w:color w:val="auto"/>
          <w:szCs w:val="21"/>
        </w:rPr>
        <w:t>中标人要无条件服从采购人安排，费用已包括在投标报价内。</w:t>
      </w:r>
    </w:p>
    <w:p>
      <w:pPr>
        <w:numPr>
          <w:ilvl w:val="0"/>
          <w:numId w:val="71"/>
        </w:numPr>
        <w:tabs>
          <w:tab w:val="left" w:pos="360"/>
          <w:tab w:val="left" w:pos="420"/>
          <w:tab w:val="left" w:pos="540"/>
        </w:tabs>
        <w:spacing w:line="360" w:lineRule="auto"/>
        <w:ind w:left="17" w:leftChars="0" w:firstLine="401" w:firstLineChars="0"/>
        <w:rPr>
          <w:rFonts w:hint="eastAsia" w:ascii="宋体" w:hAnsi="宋体" w:cs="宋体"/>
          <w:color w:val="auto"/>
          <w:szCs w:val="21"/>
          <w:lang w:val="en-US" w:eastAsia="zh-CN"/>
        </w:rPr>
      </w:pPr>
      <w:r>
        <w:rPr>
          <w:rFonts w:hint="eastAsia" w:ascii="宋体" w:hAnsi="宋体" w:cs="宋体"/>
          <w:color w:val="auto"/>
          <w:szCs w:val="21"/>
          <w:lang w:val="en-US" w:eastAsia="zh-CN"/>
        </w:rPr>
        <w:t>中标人享受采购人给予同类物业公司等服务单位评优奖励同等待遇。</w:t>
      </w:r>
    </w:p>
    <w:p>
      <w:pPr>
        <w:numPr>
          <w:ilvl w:val="0"/>
          <w:numId w:val="71"/>
        </w:numPr>
        <w:tabs>
          <w:tab w:val="left" w:pos="360"/>
          <w:tab w:val="left" w:pos="420"/>
          <w:tab w:val="left" w:pos="540"/>
        </w:tabs>
        <w:spacing w:line="360" w:lineRule="auto"/>
        <w:ind w:left="17" w:leftChars="0" w:firstLine="401" w:firstLineChars="0"/>
        <w:rPr>
          <w:rFonts w:ascii="宋体" w:hAnsi="宋体" w:cs="宋体"/>
          <w:color w:val="auto"/>
          <w:szCs w:val="21"/>
        </w:rPr>
      </w:pPr>
      <w:r>
        <w:rPr>
          <w:rFonts w:hint="eastAsia" w:ascii="宋体" w:hAnsi="宋体" w:cs="宋体"/>
          <w:color w:val="auto"/>
          <w:szCs w:val="21"/>
        </w:rPr>
        <w:t>遇突发事件或安全检查时，中标人必须配合有关部门执行任务，并指定专职人员协助工作，直至完成。</w:t>
      </w:r>
    </w:p>
    <w:p>
      <w:pPr>
        <w:numPr>
          <w:ilvl w:val="0"/>
          <w:numId w:val="71"/>
        </w:numPr>
        <w:tabs>
          <w:tab w:val="left" w:pos="360"/>
          <w:tab w:val="left" w:pos="420"/>
          <w:tab w:val="left" w:pos="540"/>
        </w:tabs>
        <w:spacing w:line="360" w:lineRule="auto"/>
        <w:ind w:left="17" w:leftChars="0" w:firstLine="401" w:firstLineChars="0"/>
        <w:rPr>
          <w:rFonts w:ascii="宋体" w:hAnsi="宋体" w:cs="宋体"/>
          <w:color w:val="auto"/>
          <w:szCs w:val="21"/>
        </w:rPr>
      </w:pPr>
      <w:r>
        <w:rPr>
          <w:rFonts w:hint="eastAsia" w:ascii="宋体" w:hAnsi="宋体" w:cs="宋体"/>
          <w:color w:val="auto"/>
          <w:szCs w:val="21"/>
        </w:rPr>
        <w:t>积极协助采购人做好全国文明城市、全国卫生城市复评工作，做好垃圾分类示范点创建工作。</w:t>
      </w:r>
    </w:p>
    <w:p>
      <w:pPr>
        <w:numPr>
          <w:ilvl w:val="0"/>
          <w:numId w:val="71"/>
        </w:numPr>
        <w:tabs>
          <w:tab w:val="left" w:pos="360"/>
          <w:tab w:val="left" w:pos="420"/>
          <w:tab w:val="left" w:pos="540"/>
        </w:tabs>
        <w:spacing w:line="360" w:lineRule="auto"/>
        <w:ind w:left="17" w:leftChars="0" w:firstLine="401" w:firstLineChars="0"/>
        <w:rPr>
          <w:color w:val="auto"/>
        </w:rPr>
      </w:pPr>
      <w:r>
        <w:rPr>
          <w:rFonts w:hint="eastAsia" w:ascii="宋体" w:hAnsi="宋体" w:cs="宋体"/>
          <w:color w:val="auto"/>
          <w:szCs w:val="21"/>
        </w:rPr>
        <w:t>中标人应保证本项目员工最低月工资不少于当年瑞安市最低月工资。</w:t>
      </w:r>
    </w:p>
    <w:p>
      <w:pPr>
        <w:numPr>
          <w:ilvl w:val="0"/>
          <w:numId w:val="71"/>
        </w:numPr>
        <w:tabs>
          <w:tab w:val="left" w:pos="360"/>
          <w:tab w:val="left" w:pos="420"/>
          <w:tab w:val="left" w:pos="540"/>
        </w:tabs>
        <w:spacing w:line="360" w:lineRule="auto"/>
        <w:ind w:left="17" w:leftChars="0" w:firstLine="401" w:firstLineChars="0"/>
        <w:rPr>
          <w:rFonts w:ascii="宋体" w:hAnsi="宋体" w:cs="宋体"/>
          <w:color w:val="auto"/>
          <w:szCs w:val="21"/>
        </w:rPr>
      </w:pPr>
      <w:r>
        <w:rPr>
          <w:rFonts w:hint="eastAsia" w:ascii="宋体" w:hAnsi="宋体" w:cs="宋体"/>
          <w:color w:val="auto"/>
          <w:szCs w:val="21"/>
        </w:rPr>
        <w:t>按国家相关政策为员工购买社会保险，除必须的各种社保外，还应包括第三者责任保险和员工人身意外保险，其中：</w:t>
      </w:r>
    </w:p>
    <w:p>
      <w:pPr>
        <w:widowControl w:val="0"/>
        <w:numPr>
          <w:ilvl w:val="0"/>
          <w:numId w:val="72"/>
        </w:numPr>
        <w:spacing w:line="360" w:lineRule="auto"/>
        <w:ind w:left="5" w:firstLine="415"/>
        <w:jc w:val="both"/>
        <w:rPr>
          <w:rFonts w:ascii="宋体" w:hAnsi="宋体" w:cs="宋体"/>
          <w:color w:val="auto"/>
          <w:szCs w:val="21"/>
        </w:rPr>
      </w:pPr>
      <w:r>
        <w:rPr>
          <w:rFonts w:hint="eastAsia" w:ascii="宋体" w:hAnsi="宋体" w:cs="宋体"/>
          <w:color w:val="auto"/>
          <w:szCs w:val="21"/>
        </w:rPr>
        <w:t>第三者责任保险：中标人应为承包区域的服务的工作人员投保，以保证在承包期间人员和财产以外遭受损失时得到补偿。</w:t>
      </w:r>
    </w:p>
    <w:p>
      <w:pPr>
        <w:widowControl w:val="0"/>
        <w:numPr>
          <w:ilvl w:val="0"/>
          <w:numId w:val="72"/>
        </w:numPr>
        <w:spacing w:line="360" w:lineRule="auto"/>
        <w:ind w:left="5" w:firstLine="415"/>
        <w:jc w:val="both"/>
        <w:rPr>
          <w:rFonts w:ascii="宋体" w:hAnsi="宋体" w:cs="宋体"/>
          <w:color w:val="auto"/>
          <w:szCs w:val="21"/>
        </w:rPr>
      </w:pPr>
      <w:r>
        <w:rPr>
          <w:rFonts w:hint="eastAsia" w:ascii="宋体" w:hAnsi="宋体" w:cs="宋体"/>
          <w:color w:val="auto"/>
          <w:szCs w:val="21"/>
        </w:rPr>
        <w:t>员工人身意外保险：在承包期内，中标人应为其员工投保人身意外险，以保证采购人在中标人工作人员索偿时不受任何责任的约束。</w:t>
      </w:r>
    </w:p>
    <w:p>
      <w:pPr>
        <w:widowControl w:val="0"/>
        <w:numPr>
          <w:ilvl w:val="0"/>
          <w:numId w:val="72"/>
        </w:numPr>
        <w:spacing w:line="360" w:lineRule="auto"/>
        <w:ind w:left="5" w:firstLine="415"/>
        <w:jc w:val="both"/>
        <w:rPr>
          <w:rFonts w:ascii="宋体" w:hAnsi="宋体" w:cs="新宋体"/>
          <w:color w:val="auto"/>
          <w:szCs w:val="21"/>
        </w:rPr>
      </w:pPr>
      <w:r>
        <w:rPr>
          <w:rFonts w:hint="eastAsia" w:ascii="宋体" w:hAnsi="宋体" w:cs="宋体"/>
          <w:color w:val="auto"/>
          <w:szCs w:val="21"/>
        </w:rPr>
        <w:t>其他保险及费用：中标人</w:t>
      </w:r>
      <w:r>
        <w:rPr>
          <w:rFonts w:hint="eastAsia" w:ascii="宋体" w:hAnsi="宋体" w:cs="新宋体"/>
          <w:color w:val="auto"/>
          <w:szCs w:val="21"/>
        </w:rPr>
        <w:t>应按政府有关规定负责为全体服务人员办理社会保险（包括但不限于意外险等）并交纳相关费用。</w:t>
      </w:r>
    </w:p>
    <w:p>
      <w:pPr>
        <w:numPr>
          <w:ilvl w:val="0"/>
          <w:numId w:val="71"/>
        </w:numPr>
        <w:tabs>
          <w:tab w:val="left" w:pos="360"/>
          <w:tab w:val="left" w:pos="420"/>
          <w:tab w:val="left" w:pos="540"/>
        </w:tabs>
        <w:spacing w:line="360" w:lineRule="auto"/>
        <w:ind w:left="17" w:leftChars="0" w:firstLine="401" w:firstLineChars="0"/>
        <w:rPr>
          <w:rFonts w:hint="eastAsia" w:ascii="宋体" w:hAnsi="宋体" w:cs="宋体"/>
          <w:color w:val="auto"/>
          <w:szCs w:val="21"/>
        </w:rPr>
      </w:pPr>
      <w:r>
        <w:rPr>
          <w:rFonts w:hint="eastAsia" w:ascii="宋体" w:hAnsi="宋体" w:cs="宋体"/>
          <w:color w:val="auto"/>
          <w:szCs w:val="21"/>
        </w:rPr>
        <w:t>机关有关工作人员有权巡查物业服务人员的工作情况，有权对违反规定的物业服务人员提出批评。</w:t>
      </w:r>
    </w:p>
    <w:p>
      <w:pPr>
        <w:numPr>
          <w:ilvl w:val="0"/>
          <w:numId w:val="71"/>
        </w:numPr>
        <w:tabs>
          <w:tab w:val="left" w:pos="360"/>
          <w:tab w:val="left" w:pos="420"/>
          <w:tab w:val="left" w:pos="540"/>
        </w:tabs>
        <w:spacing w:line="360" w:lineRule="auto"/>
        <w:ind w:left="17" w:leftChars="0" w:firstLine="401" w:firstLineChars="0"/>
        <w:rPr>
          <w:rFonts w:ascii="宋体" w:hAnsi="宋体" w:cs="宋体"/>
          <w:color w:val="auto"/>
          <w:szCs w:val="21"/>
        </w:rPr>
      </w:pPr>
      <w:r>
        <w:rPr>
          <w:rFonts w:hint="eastAsia" w:ascii="宋体" w:hAnsi="宋体" w:cs="宋体"/>
          <w:color w:val="auto"/>
          <w:szCs w:val="21"/>
        </w:rPr>
        <w:t>中标人不得以任何理由向采购人工作人员支付小费或赠送实物，不得在承包区域住宿或从事非法活动或有损采购人利益的活动。</w:t>
      </w:r>
    </w:p>
    <w:p>
      <w:pPr>
        <w:numPr>
          <w:ilvl w:val="0"/>
          <w:numId w:val="71"/>
        </w:numPr>
        <w:tabs>
          <w:tab w:val="left" w:pos="360"/>
          <w:tab w:val="left" w:pos="420"/>
          <w:tab w:val="left" w:pos="540"/>
        </w:tabs>
        <w:spacing w:line="360" w:lineRule="auto"/>
        <w:ind w:left="17" w:leftChars="0" w:firstLine="401" w:firstLineChars="0"/>
        <w:rPr>
          <w:rFonts w:ascii="宋体" w:hAnsi="宋体" w:cs="宋体"/>
          <w:color w:val="auto"/>
          <w:szCs w:val="21"/>
        </w:rPr>
      </w:pPr>
      <w:r>
        <w:rPr>
          <w:rFonts w:hint="eastAsia" w:ascii="宋体" w:hAnsi="宋体" w:cs="宋体"/>
          <w:color w:val="auto"/>
          <w:szCs w:val="21"/>
        </w:rPr>
        <w:t xml:space="preserve">中标人不以任何形式转租、转让、抵押承包区域，在承包区域只从事采购人认可的服务工作。在承包期间，中标人的任何股份配置变动应通知采购人。未经采购人书面批准，任何占有支配地位的股份转让将视为中标人出租、转让的行为。 </w:t>
      </w:r>
    </w:p>
    <w:p>
      <w:pPr>
        <w:snapToGrid w:val="0"/>
        <w:spacing w:line="360" w:lineRule="auto"/>
        <w:ind w:firstLine="422" w:firstLineChars="175"/>
        <w:jc w:val="both"/>
        <w:rPr>
          <w:rFonts w:hint="eastAsia" w:ascii="宋体" w:hAnsi="宋体"/>
          <w:b/>
          <w:bCs/>
          <w:color w:val="auto"/>
          <w:sz w:val="24"/>
          <w:szCs w:val="24"/>
        </w:rPr>
      </w:pPr>
      <w:r>
        <w:rPr>
          <w:rFonts w:hint="eastAsia" w:ascii="宋体" w:hAnsi="宋体"/>
          <w:b/>
          <w:bCs/>
          <w:color w:val="auto"/>
          <w:sz w:val="24"/>
          <w:szCs w:val="24"/>
        </w:rPr>
        <w:t>四、商务要求</w:t>
      </w:r>
    </w:p>
    <w:p>
      <w:pPr>
        <w:numPr>
          <w:ilvl w:val="0"/>
          <w:numId w:val="73"/>
        </w:numPr>
        <w:spacing w:line="360" w:lineRule="auto"/>
        <w:ind w:left="17" w:leftChars="8" w:firstLine="384" w:firstLineChars="183"/>
        <w:rPr>
          <w:rFonts w:ascii="宋体" w:hAnsi="宋体" w:cs="宋体"/>
          <w:b/>
          <w:bCs/>
          <w:color w:val="auto"/>
          <w:szCs w:val="21"/>
          <w:highlight w:val="none"/>
        </w:rPr>
      </w:pPr>
      <w:r>
        <w:rPr>
          <w:rFonts w:hint="eastAsia" w:ascii="宋体" w:hAnsi="宋体" w:cs="宋体"/>
          <w:color w:val="auto"/>
          <w:szCs w:val="21"/>
          <w:highlight w:val="none"/>
        </w:rPr>
        <w:t>本项目的物业管理费用应包括在承包区域内提供</w:t>
      </w:r>
      <w:r>
        <w:rPr>
          <w:rFonts w:hint="eastAsia" w:ascii="宋体" w:hAnsi="宋体" w:cs="宋体"/>
          <w:color w:val="auto"/>
          <w:szCs w:val="21"/>
          <w:highlight w:val="none"/>
          <w:lang w:eastAsia="zh-CN"/>
        </w:rPr>
        <w:t>物业管理服务</w:t>
      </w:r>
      <w:r>
        <w:rPr>
          <w:rFonts w:hint="eastAsia" w:ascii="宋体" w:hAnsi="宋体" w:cs="宋体"/>
          <w:color w:val="auto"/>
          <w:szCs w:val="21"/>
          <w:highlight w:val="none"/>
        </w:rPr>
        <w:t>所需的人工费（人员工资、双休日及法定节假日加班、奖金及社保费）、食宿与交通、服装、安全、仓储、专用设备及工具材料、器械、日常物业耗材费（如保洁用品、一次性用品等，要求卫生间用纸使用质量不得低于星级酒店标准）、</w:t>
      </w:r>
      <w:r>
        <w:rPr>
          <w:rFonts w:hint="eastAsia" w:ascii="宋体" w:hAnsi="宋体" w:cs="宋体"/>
          <w:color w:val="auto"/>
          <w:szCs w:val="21"/>
          <w:highlight w:val="none"/>
          <w:lang w:eastAsia="zh-CN"/>
        </w:rPr>
        <w:t>防疫物资（保障范围的公共区域）、垃圾清运</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所有室内壁挂式空调及立柜式空调深度清洗、</w:t>
      </w:r>
      <w:r>
        <w:rPr>
          <w:rFonts w:hint="eastAsia"/>
          <w:color w:val="auto"/>
          <w:highlight w:val="none"/>
        </w:rPr>
        <w:t>领导生活房</w:t>
      </w:r>
      <w:r>
        <w:rPr>
          <w:rFonts w:hint="eastAsia"/>
          <w:color w:val="auto"/>
          <w:highlight w:val="none"/>
          <w:lang w:val="en-US" w:eastAsia="zh-CN"/>
        </w:rPr>
        <w:t>设备（</w:t>
      </w:r>
      <w:r>
        <w:rPr>
          <w:rFonts w:hint="eastAsia"/>
          <w:color w:val="auto"/>
          <w:highlight w:val="none"/>
        </w:rPr>
        <w:t>水笼头、喷头、面巾架、开关、灯泡和门锁</w:t>
      </w:r>
      <w:r>
        <w:rPr>
          <w:rFonts w:hint="eastAsia"/>
          <w:color w:val="auto"/>
          <w:highlight w:val="none"/>
          <w:lang w:eastAsia="zh-CN"/>
        </w:rPr>
        <w:t>）</w:t>
      </w:r>
      <w:r>
        <w:rPr>
          <w:rFonts w:hint="eastAsia"/>
          <w:color w:val="auto"/>
          <w:highlight w:val="none"/>
        </w:rPr>
        <w:t>的维修和更换</w:t>
      </w:r>
      <w:r>
        <w:rPr>
          <w:rFonts w:hint="eastAsia"/>
          <w:color w:val="auto"/>
          <w:highlight w:val="none"/>
          <w:lang w:eastAsia="zh-CN"/>
        </w:rPr>
        <w:t>、</w:t>
      </w:r>
      <w:r>
        <w:rPr>
          <w:rFonts w:hint="eastAsia" w:ascii="宋体" w:hAnsi="宋体"/>
          <w:b/>
          <w:bCs/>
          <w:color w:val="auto"/>
          <w:szCs w:val="21"/>
          <w:highlight w:val="none"/>
        </w:rPr>
        <w:t>外墙（玻璃）清洗</w:t>
      </w:r>
      <w:r>
        <w:rPr>
          <w:rFonts w:hint="eastAsia" w:ascii="宋体" w:hAnsi="宋体" w:cs="宋体"/>
          <w:b/>
          <w:bCs/>
          <w:color w:val="auto"/>
          <w:szCs w:val="21"/>
          <w:highlight w:val="none"/>
        </w:rPr>
        <w:t>、地毯清洗、化粪池清理、下水道清理、</w:t>
      </w:r>
      <w:r>
        <w:rPr>
          <w:rFonts w:hint="eastAsia" w:ascii="宋体" w:hAnsi="宋体" w:cs="宋体"/>
          <w:b/>
          <w:bCs/>
          <w:color w:val="auto"/>
          <w:szCs w:val="21"/>
          <w:highlight w:val="none"/>
          <w:lang w:val="en-US" w:eastAsia="zh-CN"/>
        </w:rPr>
        <w:t>水池清洗、</w:t>
      </w:r>
      <w:r>
        <w:rPr>
          <w:rFonts w:hint="eastAsia" w:ascii="宋体" w:hAnsi="宋体" w:cs="宋体"/>
          <w:b/>
          <w:bCs/>
          <w:color w:val="auto"/>
          <w:szCs w:val="21"/>
          <w:highlight w:val="none"/>
        </w:rPr>
        <w:t>隔油池清理、大理石打蜡费用</w:t>
      </w:r>
      <w:r>
        <w:rPr>
          <w:rFonts w:hint="eastAsia"/>
          <w:color w:val="auto"/>
          <w:highlight w:val="none"/>
          <w:lang w:eastAsia="zh-CN"/>
        </w:rPr>
        <w:t>，</w:t>
      </w:r>
      <w:r>
        <w:rPr>
          <w:rFonts w:hint="eastAsia" w:ascii="宋体" w:hAnsi="宋体" w:cs="宋体"/>
          <w:b/>
          <w:bCs/>
          <w:color w:val="auto"/>
          <w:szCs w:val="21"/>
          <w:highlight w:val="none"/>
        </w:rPr>
        <w:t>聘请具备相应资质的公司进行专业服务的费用（</w:t>
      </w:r>
      <w:r>
        <w:rPr>
          <w:rFonts w:hint="eastAsia"/>
          <w:b/>
          <w:bCs/>
          <w:color w:val="auto"/>
          <w:szCs w:val="22"/>
          <w:highlight w:val="none"/>
        </w:rPr>
        <w:t>发电机维保、</w:t>
      </w:r>
      <w:r>
        <w:rPr>
          <w:rFonts w:hint="eastAsia"/>
          <w:b/>
          <w:bCs/>
          <w:color w:val="auto"/>
          <w:szCs w:val="22"/>
          <w:highlight w:val="none"/>
          <w:lang w:eastAsia="zh-CN"/>
        </w:rPr>
        <w:t>常压电热锅炉维护调试、</w:t>
      </w:r>
      <w:r>
        <w:rPr>
          <w:rFonts w:hint="eastAsia"/>
          <w:b/>
          <w:bCs/>
          <w:color w:val="auto"/>
          <w:szCs w:val="22"/>
          <w:highlight w:val="none"/>
        </w:rPr>
        <w:t>消防维保及检测、消防器材充装及更换、监控维保、会场音响系统和会议中心舞台灯光系统设备、防雷检测、高低压配维保及检测、</w:t>
      </w:r>
      <w:r>
        <w:rPr>
          <w:rFonts w:hint="eastAsia"/>
          <w:b/>
          <w:bCs/>
          <w:color w:val="auto"/>
          <w:szCs w:val="22"/>
          <w:highlight w:val="none"/>
          <w:lang w:eastAsia="zh-CN"/>
        </w:rPr>
        <w:t>中央空调维保及检测（</w:t>
      </w:r>
      <w:r>
        <w:rPr>
          <w:rFonts w:hint="eastAsia"/>
          <w:b/>
          <w:bCs/>
          <w:color w:val="auto"/>
          <w:szCs w:val="22"/>
          <w:highlight w:val="none"/>
          <w:lang w:val="en-US" w:eastAsia="zh-CN"/>
        </w:rPr>
        <w:t>不含深度清洗</w:t>
      </w:r>
      <w:r>
        <w:rPr>
          <w:rFonts w:hint="eastAsia"/>
          <w:b/>
          <w:bCs/>
          <w:color w:val="auto"/>
          <w:szCs w:val="22"/>
          <w:highlight w:val="none"/>
          <w:lang w:eastAsia="zh-CN"/>
        </w:rPr>
        <w:t>）、</w:t>
      </w:r>
      <w:r>
        <w:rPr>
          <w:rFonts w:hint="eastAsia"/>
          <w:b/>
          <w:bCs/>
          <w:color w:val="auto"/>
          <w:szCs w:val="22"/>
          <w:highlight w:val="none"/>
        </w:rPr>
        <w:t>电梯维保及检测、</w:t>
      </w:r>
      <w:r>
        <w:rPr>
          <w:rFonts w:hint="eastAsia" w:ascii="宋体" w:hAnsi="宋体"/>
          <w:b/>
          <w:bCs/>
          <w:color w:val="auto"/>
          <w:szCs w:val="21"/>
          <w:highlight w:val="none"/>
        </w:rPr>
        <w:t>生活水池水质检测及清洗、卫生消杀</w:t>
      </w:r>
      <w:r>
        <w:rPr>
          <w:rFonts w:hint="eastAsia" w:ascii="宋体" w:hAnsi="宋体" w:cs="宋体"/>
          <w:b/>
          <w:bCs/>
          <w:color w:val="auto"/>
          <w:szCs w:val="21"/>
          <w:highlight w:val="none"/>
        </w:rPr>
        <w:t>）、</w:t>
      </w:r>
      <w:r>
        <w:rPr>
          <w:rFonts w:hint="eastAsia" w:ascii="宋体" w:hAnsi="宋体" w:cs="宋体"/>
          <w:color w:val="auto"/>
          <w:szCs w:val="21"/>
          <w:highlight w:val="none"/>
        </w:rPr>
        <w:t>管理费用、培训、税费、利润、完成合同所需的一切本身和不可或缺的所有工作开支、政策性文件规定及合同包含的所有风险、责任等各项全部费用。</w:t>
      </w:r>
      <w:r>
        <w:rPr>
          <w:rFonts w:hint="eastAsia" w:ascii="宋体" w:hAnsi="宋体" w:cs="宋体"/>
          <w:color w:val="auto"/>
          <w:szCs w:val="21"/>
          <w:highlight w:val="none"/>
          <w:lang w:val="en-US" w:eastAsia="zh-CN"/>
        </w:rPr>
        <w:t>另，</w:t>
      </w:r>
      <w:r>
        <w:rPr>
          <w:rFonts w:hint="eastAsia"/>
          <w:color w:val="auto"/>
          <w:szCs w:val="22"/>
          <w:highlight w:val="none"/>
          <w:lang w:val="en-US" w:eastAsia="zh-CN"/>
        </w:rPr>
        <w:t>物业管理区域内的</w:t>
      </w:r>
      <w:r>
        <w:rPr>
          <w:rFonts w:hint="eastAsia"/>
          <w:color w:val="auto"/>
          <w:szCs w:val="22"/>
          <w:highlight w:val="none"/>
        </w:rPr>
        <w:t>照明灯泡、水暖设备设施、电器插座、消防设备设施（以进场管理时状况为基准）、</w:t>
      </w:r>
      <w:r>
        <w:rPr>
          <w:rFonts w:hint="eastAsia"/>
          <w:color w:val="auto"/>
          <w:highlight w:val="none"/>
        </w:rPr>
        <w:t>公共设施和指示牌</w:t>
      </w:r>
      <w:r>
        <w:rPr>
          <w:rFonts w:hint="eastAsia"/>
          <w:color w:val="auto"/>
          <w:highlight w:val="none"/>
          <w:lang w:val="en-US" w:eastAsia="zh-CN"/>
        </w:rPr>
        <w:t>、</w:t>
      </w:r>
      <w:r>
        <w:rPr>
          <w:rFonts w:hint="eastAsia"/>
          <w:color w:val="auto"/>
          <w:szCs w:val="22"/>
          <w:highlight w:val="none"/>
        </w:rPr>
        <w:t>会场音响系统和会议中心舞台灯光系统设备</w:t>
      </w:r>
      <w:r>
        <w:rPr>
          <w:rFonts w:hint="eastAsia"/>
          <w:color w:val="auto"/>
          <w:szCs w:val="22"/>
          <w:highlight w:val="none"/>
          <w:lang w:val="en-US" w:eastAsia="zh-CN"/>
        </w:rPr>
        <w:t>的</w:t>
      </w:r>
      <w:r>
        <w:rPr>
          <w:rFonts w:hint="eastAsia"/>
          <w:color w:val="auto"/>
          <w:highlight w:val="none"/>
        </w:rPr>
        <w:t>零星修理</w:t>
      </w:r>
      <w:r>
        <w:rPr>
          <w:rFonts w:hint="eastAsia"/>
          <w:color w:val="auto"/>
          <w:highlight w:val="none"/>
          <w:lang w:val="en-US" w:eastAsia="zh-CN"/>
        </w:rPr>
        <w:t>或</w:t>
      </w:r>
      <w:r>
        <w:rPr>
          <w:rFonts w:hint="eastAsia"/>
          <w:color w:val="auto"/>
          <w:highlight w:val="none"/>
        </w:rPr>
        <w:t>零配件</w:t>
      </w:r>
      <w:r>
        <w:rPr>
          <w:rFonts w:hint="eastAsia"/>
          <w:color w:val="auto"/>
          <w:highlight w:val="none"/>
          <w:lang w:val="en-US" w:eastAsia="zh-CN"/>
        </w:rPr>
        <w:t>更换单件单价</w:t>
      </w:r>
      <w:r>
        <w:rPr>
          <w:rFonts w:hint="eastAsia"/>
          <w:color w:val="auto"/>
          <w:szCs w:val="22"/>
          <w:highlight w:val="none"/>
        </w:rPr>
        <w:t>在1000元（含）以下的由中标</w:t>
      </w:r>
      <w:r>
        <w:rPr>
          <w:rFonts w:hint="eastAsia"/>
          <w:color w:val="auto"/>
          <w:szCs w:val="22"/>
          <w:highlight w:val="none"/>
          <w:lang w:val="en-US" w:eastAsia="zh-CN"/>
        </w:rPr>
        <w:t>人</w:t>
      </w:r>
      <w:r>
        <w:rPr>
          <w:rFonts w:hint="eastAsia"/>
          <w:color w:val="auto"/>
          <w:szCs w:val="22"/>
          <w:highlight w:val="none"/>
        </w:rPr>
        <w:t>负责支付</w:t>
      </w:r>
      <w:r>
        <w:rPr>
          <w:rFonts w:hint="eastAsia"/>
          <w:color w:val="auto"/>
          <w:szCs w:val="22"/>
          <w:highlight w:val="none"/>
          <w:lang w:eastAsia="zh-CN"/>
        </w:rPr>
        <w:t>，</w:t>
      </w:r>
      <w:r>
        <w:rPr>
          <w:rFonts w:hint="eastAsia"/>
          <w:color w:val="auto"/>
          <w:szCs w:val="22"/>
          <w:highlight w:val="none"/>
        </w:rPr>
        <w:t>质量不低于原标准要求</w:t>
      </w:r>
      <w:r>
        <w:rPr>
          <w:rFonts w:hint="eastAsia"/>
          <w:color w:val="auto"/>
          <w:szCs w:val="22"/>
          <w:highlight w:val="none"/>
          <w:lang w:eastAsia="zh-CN"/>
        </w:rPr>
        <w:t>。</w:t>
      </w:r>
    </w:p>
    <w:p>
      <w:pPr>
        <w:numPr>
          <w:ilvl w:val="0"/>
          <w:numId w:val="73"/>
        </w:numPr>
        <w:spacing w:line="360" w:lineRule="auto"/>
        <w:ind w:left="17" w:leftChars="8" w:firstLine="386" w:firstLineChars="183"/>
        <w:rPr>
          <w:rFonts w:hint="eastAsia" w:ascii="宋体" w:hAnsi="宋体" w:cs="宋体"/>
          <w:b w:val="0"/>
          <w:bCs w:val="0"/>
          <w:color w:val="auto"/>
          <w:szCs w:val="21"/>
          <w:highlight w:val="none"/>
        </w:rPr>
      </w:pPr>
      <w:r>
        <w:rPr>
          <w:rFonts w:hint="eastAsia" w:ascii="宋体" w:hAnsi="宋体" w:cs="宋体"/>
          <w:b/>
          <w:bCs/>
          <w:color w:val="auto"/>
          <w:szCs w:val="21"/>
          <w:highlight w:val="none"/>
        </w:rPr>
        <w:t>以下费用由采购人承担：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（1）中央空调系统的深</w:t>
      </w:r>
      <w:r>
        <w:rPr>
          <w:rFonts w:hint="eastAsia" w:ascii="宋体" w:hAnsi="宋体" w:cs="宋体"/>
          <w:color w:val="auto"/>
          <w:szCs w:val="21"/>
          <w:highlight w:val="none"/>
          <w:lang w:val="en-US" w:eastAsia="zh-CN"/>
        </w:rPr>
        <w:t>度</w:t>
      </w:r>
      <w:r>
        <w:rPr>
          <w:rFonts w:hint="eastAsia" w:ascii="宋体" w:hAnsi="宋体" w:cs="宋体"/>
          <w:color w:val="auto"/>
          <w:szCs w:val="21"/>
          <w:highlight w:val="none"/>
        </w:rPr>
        <w:t>清洗；</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color w:val="auto"/>
          <w:szCs w:val="22"/>
          <w:highlight w:val="none"/>
          <w:lang w:val="en-US" w:eastAsia="zh-CN"/>
        </w:rPr>
        <w:t>物业管理区域内的</w:t>
      </w:r>
      <w:r>
        <w:rPr>
          <w:rFonts w:hint="eastAsia"/>
          <w:color w:val="auto"/>
          <w:szCs w:val="22"/>
          <w:highlight w:val="none"/>
        </w:rPr>
        <w:t>照明灯泡、水暖设备设施、电器插座、消防设备设施（以进场管理时状况为基准）、</w:t>
      </w:r>
      <w:r>
        <w:rPr>
          <w:rFonts w:hint="eastAsia"/>
          <w:color w:val="auto"/>
          <w:highlight w:val="none"/>
        </w:rPr>
        <w:t>公共设施和指示牌</w:t>
      </w:r>
      <w:r>
        <w:rPr>
          <w:rFonts w:hint="eastAsia"/>
          <w:color w:val="auto"/>
          <w:highlight w:val="none"/>
          <w:lang w:val="en-US" w:eastAsia="zh-CN"/>
        </w:rPr>
        <w:t>、</w:t>
      </w:r>
      <w:r>
        <w:rPr>
          <w:rFonts w:hint="eastAsia"/>
          <w:color w:val="auto"/>
          <w:szCs w:val="22"/>
          <w:highlight w:val="none"/>
        </w:rPr>
        <w:t>会场音响系统和会议中心舞台灯光系统设备</w:t>
      </w:r>
      <w:r>
        <w:rPr>
          <w:rFonts w:hint="eastAsia"/>
          <w:color w:val="auto"/>
          <w:szCs w:val="22"/>
          <w:highlight w:val="none"/>
          <w:lang w:val="en-US" w:eastAsia="zh-CN"/>
        </w:rPr>
        <w:t>的</w:t>
      </w:r>
      <w:r>
        <w:rPr>
          <w:rFonts w:hint="eastAsia"/>
          <w:color w:val="auto"/>
          <w:highlight w:val="none"/>
        </w:rPr>
        <w:t>零星修理</w:t>
      </w:r>
      <w:r>
        <w:rPr>
          <w:rFonts w:hint="eastAsia"/>
          <w:color w:val="auto"/>
          <w:highlight w:val="none"/>
          <w:lang w:val="en-US" w:eastAsia="zh-CN"/>
        </w:rPr>
        <w:t>或</w:t>
      </w:r>
      <w:r>
        <w:rPr>
          <w:rFonts w:hint="eastAsia"/>
          <w:color w:val="auto"/>
          <w:highlight w:val="none"/>
        </w:rPr>
        <w:t>零配件</w:t>
      </w:r>
      <w:r>
        <w:rPr>
          <w:rFonts w:hint="eastAsia"/>
          <w:color w:val="auto"/>
          <w:highlight w:val="none"/>
          <w:lang w:val="en-US" w:eastAsia="zh-CN"/>
        </w:rPr>
        <w:t>更换单件单价</w:t>
      </w:r>
      <w:r>
        <w:rPr>
          <w:rFonts w:hint="eastAsia"/>
          <w:color w:val="auto"/>
          <w:szCs w:val="22"/>
          <w:highlight w:val="none"/>
        </w:rPr>
        <w:t>超过1000元</w:t>
      </w:r>
      <w:r>
        <w:rPr>
          <w:rFonts w:hint="eastAsia" w:ascii="宋体" w:hAnsi="宋体" w:cs="宋体"/>
          <w:color w:val="auto"/>
          <w:szCs w:val="21"/>
          <w:highlight w:val="none"/>
        </w:rPr>
        <w:t>（但因</w:t>
      </w:r>
      <w:r>
        <w:rPr>
          <w:rFonts w:hint="eastAsia" w:ascii="宋体" w:hAnsi="宋体" w:cs="宋体"/>
          <w:color w:val="auto"/>
          <w:szCs w:val="21"/>
          <w:highlight w:val="none"/>
          <w:lang w:val="en-US" w:eastAsia="zh-CN"/>
        </w:rPr>
        <w:t>中标人</w:t>
      </w:r>
      <w:r>
        <w:rPr>
          <w:rFonts w:hint="eastAsia" w:ascii="宋体" w:hAnsi="宋体" w:cs="宋体"/>
          <w:color w:val="auto"/>
          <w:szCs w:val="21"/>
          <w:highlight w:val="none"/>
        </w:rPr>
        <w:t>管理不到位造成的损失均由</w:t>
      </w:r>
      <w:r>
        <w:rPr>
          <w:rFonts w:hint="eastAsia" w:ascii="宋体" w:hAnsi="宋体" w:cs="宋体"/>
          <w:color w:val="auto"/>
          <w:szCs w:val="21"/>
          <w:highlight w:val="none"/>
          <w:lang w:val="en-US" w:eastAsia="zh-CN"/>
        </w:rPr>
        <w:t>中标人</w:t>
      </w:r>
      <w:r>
        <w:rPr>
          <w:rFonts w:hint="eastAsia" w:ascii="宋体" w:hAnsi="宋体" w:cs="宋体"/>
          <w:color w:val="auto"/>
          <w:szCs w:val="21"/>
          <w:highlight w:val="none"/>
        </w:rPr>
        <w:t>承担，更换的零配件的质量不低于原标准要求）</w:t>
      </w:r>
      <w:r>
        <w:rPr>
          <w:rFonts w:hint="eastAsia" w:ascii="宋体" w:hAnsi="宋体" w:cs="宋体"/>
          <w:color w:val="auto"/>
          <w:szCs w:val="21"/>
          <w:highlight w:val="none"/>
          <w:lang w:eastAsia="zh-CN"/>
        </w:rPr>
        <w:t>，</w:t>
      </w:r>
      <w:r>
        <w:rPr>
          <w:rFonts w:hint="eastAsia"/>
          <w:color w:val="auto"/>
          <w:szCs w:val="22"/>
          <w:highlight w:val="none"/>
          <w:lang w:val="en-US" w:eastAsia="zh-CN"/>
        </w:rPr>
        <w:t>中标人</w:t>
      </w:r>
      <w:r>
        <w:rPr>
          <w:rFonts w:hint="eastAsia"/>
          <w:color w:val="auto"/>
          <w:szCs w:val="22"/>
          <w:highlight w:val="none"/>
        </w:rPr>
        <w:t>必须事先报</w:t>
      </w:r>
      <w:r>
        <w:rPr>
          <w:rFonts w:hint="eastAsia"/>
          <w:color w:val="auto"/>
          <w:szCs w:val="22"/>
          <w:highlight w:val="none"/>
          <w:lang w:val="en-US" w:eastAsia="zh-CN"/>
        </w:rPr>
        <w:t>采购人</w:t>
      </w:r>
      <w:r>
        <w:rPr>
          <w:rFonts w:hint="eastAsia"/>
          <w:color w:val="auto"/>
          <w:szCs w:val="22"/>
          <w:highlight w:val="none"/>
        </w:rPr>
        <w:t>审核</w:t>
      </w:r>
      <w:r>
        <w:rPr>
          <w:rFonts w:hint="eastAsia"/>
          <w:color w:val="auto"/>
          <w:szCs w:val="22"/>
          <w:highlight w:val="none"/>
          <w:lang w:eastAsia="zh-CN"/>
        </w:rPr>
        <w:t>，</w:t>
      </w:r>
      <w:r>
        <w:rPr>
          <w:rFonts w:hint="eastAsia"/>
          <w:color w:val="auto"/>
          <w:szCs w:val="22"/>
          <w:highlight w:val="none"/>
          <w:lang w:val="en-US" w:eastAsia="zh-CN"/>
        </w:rPr>
        <w:t>并由采购人</w:t>
      </w:r>
      <w:r>
        <w:rPr>
          <w:rFonts w:hint="eastAsia"/>
          <w:color w:val="auto"/>
          <w:szCs w:val="22"/>
          <w:highlight w:val="none"/>
        </w:rPr>
        <w:t>经办人员签字确认</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理发用</w:t>
      </w:r>
      <w:r>
        <w:rPr>
          <w:rFonts w:hint="eastAsia" w:ascii="宋体" w:hAnsi="宋体" w:eastAsia="宋体" w:cs="宋体"/>
          <w:color w:val="auto"/>
          <w:szCs w:val="21"/>
          <w:highlight w:val="none"/>
          <w:lang w:val="en-US" w:eastAsia="zh-CN"/>
        </w:rPr>
        <w:t>品、茶叶、特殊杯；</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r>
        <w:rPr>
          <w:rFonts w:hint="eastAsia"/>
          <w:color w:val="auto"/>
          <w:highlight w:val="none"/>
        </w:rPr>
        <w:t>地面道路（除广场）、办公座椅</w:t>
      </w:r>
      <w:r>
        <w:rPr>
          <w:rFonts w:hint="eastAsia"/>
          <w:color w:val="auto"/>
          <w:highlight w:val="none"/>
          <w:lang w:val="en-US" w:eastAsia="zh-CN"/>
        </w:rPr>
        <w:t>的</w:t>
      </w:r>
      <w:r>
        <w:rPr>
          <w:rFonts w:hint="eastAsia"/>
          <w:color w:val="auto"/>
          <w:highlight w:val="none"/>
        </w:rPr>
        <w:t>日常</w:t>
      </w:r>
      <w:r>
        <w:rPr>
          <w:color w:val="auto"/>
          <w:highlight w:val="none"/>
        </w:rPr>
        <w:t>维修</w:t>
      </w:r>
      <w:r>
        <w:rPr>
          <w:rFonts w:hint="eastAsia"/>
          <w:color w:val="auto"/>
          <w:highlight w:val="none"/>
          <w:lang w:val="en-US" w:eastAsia="zh-CN"/>
        </w:rPr>
        <w:t>或零配件更换费用达</w:t>
      </w:r>
      <w:r>
        <w:rPr>
          <w:rFonts w:hint="eastAsia"/>
          <w:color w:val="auto"/>
          <w:highlight w:val="none"/>
        </w:rPr>
        <w:t>300元以上</w:t>
      </w:r>
      <w:r>
        <w:rPr>
          <w:rFonts w:hint="eastAsia"/>
          <w:color w:val="auto"/>
          <w:highlight w:val="none"/>
          <w:lang w:val="en-US" w:eastAsia="zh-CN"/>
        </w:rPr>
        <w:t>的，</w:t>
      </w:r>
      <w:r>
        <w:rPr>
          <w:rFonts w:hint="eastAsia"/>
          <w:color w:val="auto"/>
          <w:szCs w:val="22"/>
          <w:highlight w:val="none"/>
          <w:lang w:val="en-US" w:eastAsia="zh-CN"/>
        </w:rPr>
        <w:t>由中标人</w:t>
      </w:r>
      <w:r>
        <w:rPr>
          <w:rFonts w:hint="eastAsia" w:ascii="宋体" w:hAnsi="宋体" w:cs="宋体"/>
          <w:b w:val="0"/>
          <w:bCs w:val="0"/>
          <w:color w:val="auto"/>
          <w:szCs w:val="21"/>
          <w:lang w:val="en-US" w:eastAsia="zh-CN"/>
        </w:rPr>
        <w:t>提出采购清单及要求，经采购人</w:t>
      </w:r>
      <w:r>
        <w:rPr>
          <w:rFonts w:hint="eastAsia"/>
          <w:color w:val="auto"/>
          <w:szCs w:val="22"/>
        </w:rPr>
        <w:t>经办人员签字确</w:t>
      </w:r>
      <w:r>
        <w:rPr>
          <w:rFonts w:hint="eastAsia"/>
          <w:color w:val="auto"/>
          <w:szCs w:val="22"/>
          <w:lang w:eastAsia="zh-CN"/>
        </w:rPr>
        <w:t>认</w:t>
      </w:r>
      <w:r>
        <w:rPr>
          <w:rFonts w:hint="eastAsia"/>
          <w:color w:val="auto"/>
          <w:szCs w:val="22"/>
          <w:lang w:val="en-US" w:eastAsia="zh-CN"/>
        </w:rPr>
        <w:t>后</w:t>
      </w:r>
      <w:r>
        <w:rPr>
          <w:rFonts w:hint="eastAsia" w:ascii="宋体" w:hAnsi="宋体" w:cs="宋体"/>
          <w:b w:val="0"/>
          <w:bCs w:val="0"/>
          <w:color w:val="auto"/>
          <w:szCs w:val="21"/>
          <w:lang w:val="en-US" w:eastAsia="zh-CN"/>
        </w:rPr>
        <w:t>提供</w:t>
      </w:r>
      <w:r>
        <w:rPr>
          <w:rFonts w:hint="eastAsia" w:ascii="宋体" w:hAnsi="宋体" w:cs="宋体"/>
          <w:color w:val="auto"/>
          <w:szCs w:val="21"/>
        </w:rPr>
        <w:t>。</w:t>
      </w:r>
    </w:p>
    <w:p>
      <w:pPr>
        <w:numPr>
          <w:ilvl w:val="0"/>
          <w:numId w:val="73"/>
        </w:numPr>
        <w:spacing w:line="360" w:lineRule="auto"/>
        <w:ind w:left="17" w:leftChars="8" w:firstLine="386" w:firstLineChars="183"/>
        <w:rPr>
          <w:rFonts w:hint="eastAsia" w:ascii="宋体" w:hAnsi="宋体" w:cs="宋体"/>
          <w:b w:val="0"/>
          <w:bCs w:val="0"/>
          <w:color w:val="auto"/>
          <w:szCs w:val="21"/>
        </w:rPr>
      </w:pPr>
      <w:r>
        <w:rPr>
          <w:rFonts w:hint="eastAsia" w:ascii="宋体" w:hAnsi="宋体" w:cs="宋体"/>
          <w:b/>
          <w:bCs/>
          <w:color w:val="auto"/>
          <w:szCs w:val="21"/>
        </w:rPr>
        <w:t>▲服务期限：</w:t>
      </w:r>
      <w:r>
        <w:rPr>
          <w:rFonts w:hint="eastAsia" w:ascii="宋体" w:hAnsi="宋体" w:cs="宋体"/>
          <w:b w:val="0"/>
          <w:bCs w:val="0"/>
          <w:color w:val="auto"/>
          <w:szCs w:val="21"/>
        </w:rPr>
        <w:t>三年（36个月）。合同一年一签，一年合同期满后，中标人的服务达到采购人的考核标准（月考核平均得分达到85分（含）以上），可再续签下一年合同，若中标人有违约行为，或服务质量未达到标准，采购人有权单方面解除合同或不续签下一年合同。</w:t>
      </w:r>
    </w:p>
    <w:p>
      <w:pPr>
        <w:numPr>
          <w:ilvl w:val="0"/>
          <w:numId w:val="73"/>
        </w:numPr>
        <w:spacing w:line="360" w:lineRule="auto"/>
        <w:ind w:left="17" w:leftChars="8" w:firstLine="386" w:firstLineChars="183"/>
        <w:rPr>
          <w:rFonts w:ascii="宋体" w:hAnsi="宋体" w:cs="宋体"/>
          <w:b/>
          <w:bCs/>
          <w:color w:val="auto"/>
          <w:szCs w:val="21"/>
        </w:rPr>
      </w:pPr>
      <w:r>
        <w:rPr>
          <w:rFonts w:hint="eastAsia" w:ascii="宋体" w:hAnsi="宋体" w:cs="宋体"/>
          <w:b/>
          <w:bCs/>
          <w:color w:val="auto"/>
          <w:szCs w:val="21"/>
        </w:rPr>
        <w:t>付款方式：</w:t>
      </w:r>
    </w:p>
    <w:p>
      <w:pPr>
        <w:keepNext w:val="0"/>
        <w:keepLines w:val="0"/>
        <w:pageBreakBefore w:val="0"/>
        <w:widowControl/>
        <w:numPr>
          <w:ilvl w:val="0"/>
          <w:numId w:val="74"/>
        </w:numPr>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cs="宋体"/>
          <w:color w:val="auto"/>
          <w:szCs w:val="21"/>
          <w:highlight w:val="none"/>
        </w:rPr>
      </w:pPr>
      <w:r>
        <w:rPr>
          <w:rFonts w:hint="eastAsia" w:ascii="宋体" w:hAnsi="宋体" w:cs="宋体"/>
          <w:color w:val="auto"/>
          <w:szCs w:val="21"/>
        </w:rPr>
        <w:t>物业管理费实行按月定期结算支付（支付金额=年服务费用÷12-按合同约定的考核</w:t>
      </w:r>
      <w:r>
        <w:rPr>
          <w:rFonts w:hint="eastAsia" w:ascii="宋体" w:hAnsi="宋体" w:cs="宋体"/>
          <w:color w:val="auto"/>
          <w:szCs w:val="21"/>
          <w:highlight w:val="none"/>
        </w:rPr>
        <w:t>及处罚标准进行处罚的金额）。</w:t>
      </w:r>
    </w:p>
    <w:p>
      <w:pPr>
        <w:keepNext w:val="0"/>
        <w:keepLines w:val="0"/>
        <w:pageBreakBefore w:val="0"/>
        <w:widowControl/>
        <w:numPr>
          <w:ilvl w:val="0"/>
          <w:numId w:val="74"/>
        </w:numPr>
        <w:kinsoku/>
        <w:wordWrap/>
        <w:overflowPunct/>
        <w:topLinePunct w:val="0"/>
        <w:autoSpaceDE/>
        <w:autoSpaceDN/>
        <w:bidi w:val="0"/>
        <w:adjustRightInd/>
        <w:snapToGrid w:val="0"/>
        <w:spacing w:line="360" w:lineRule="auto"/>
        <w:ind w:firstLine="420" w:firstLineChars="200"/>
        <w:textAlignment w:val="auto"/>
        <w:rPr>
          <w:rFonts w:ascii="宋体" w:hAnsi="宋体" w:cs="宋体"/>
          <w:color w:val="auto"/>
          <w:szCs w:val="21"/>
        </w:rPr>
      </w:pPr>
      <w:r>
        <w:rPr>
          <w:rFonts w:hint="eastAsia"/>
          <w:color w:val="auto"/>
          <w:szCs w:val="21"/>
        </w:rPr>
        <w:t>采用先服务后支付方式，对于满足合同约定支付条件的，采购人自收到发票后</w:t>
      </w:r>
      <w:r>
        <w:rPr>
          <w:rFonts w:ascii="Arial" w:hAnsi="Arial" w:cs="Arial"/>
          <w:color w:val="auto"/>
          <w:szCs w:val="21"/>
        </w:rPr>
        <w:t>7</w:t>
      </w:r>
      <w:r>
        <w:rPr>
          <w:rFonts w:hint="eastAsia"/>
          <w:color w:val="auto"/>
          <w:szCs w:val="21"/>
        </w:rPr>
        <w:t>个工作日内将上个月的物业管理费支付到合同约定的</w:t>
      </w:r>
      <w:r>
        <w:rPr>
          <w:rFonts w:hint="eastAsia" w:ascii="宋体" w:hAnsi="宋体" w:cs="宋体"/>
          <w:color w:val="auto"/>
          <w:szCs w:val="21"/>
          <w:lang w:val="en-US" w:eastAsia="zh-CN"/>
        </w:rPr>
        <w:t>中标人</w:t>
      </w:r>
      <w:r>
        <w:rPr>
          <w:rFonts w:hint="eastAsia"/>
          <w:color w:val="auto"/>
          <w:szCs w:val="21"/>
        </w:rPr>
        <w:t>账户</w:t>
      </w:r>
      <w:r>
        <w:rPr>
          <w:rFonts w:hint="eastAsia"/>
          <w:color w:val="auto"/>
          <w:szCs w:val="21"/>
          <w:lang w:eastAsia="zh-CN"/>
        </w:rPr>
        <w:t>。</w:t>
      </w:r>
      <w:r>
        <w:rPr>
          <w:rFonts w:hint="eastAsia"/>
          <w:color w:val="auto"/>
          <w:szCs w:val="21"/>
        </w:rPr>
        <w:t>（</w:t>
      </w:r>
      <w:r>
        <w:rPr>
          <w:rFonts w:hint="eastAsia" w:ascii="宋体" w:hAnsi="宋体" w:cs="宋体"/>
          <w:color w:val="auto"/>
          <w:szCs w:val="21"/>
        </w:rPr>
        <w:t>根据浙财采监[2022]3号文件规定，以人工投入为主且实行按月定期结算支付款项的项目，可不约定预付款。</w:t>
      </w:r>
      <w:r>
        <w:rPr>
          <w:rFonts w:hint="eastAsia"/>
          <w:color w:val="auto"/>
          <w:szCs w:val="21"/>
        </w:rPr>
        <w:t>）</w:t>
      </w:r>
    </w:p>
    <w:p>
      <w:pPr>
        <w:keepNext w:val="0"/>
        <w:keepLines w:val="0"/>
        <w:pageBreakBefore w:val="0"/>
        <w:widowControl/>
        <w:numPr>
          <w:ilvl w:val="0"/>
          <w:numId w:val="74"/>
        </w:numPr>
        <w:kinsoku/>
        <w:wordWrap/>
        <w:overflowPunct/>
        <w:topLinePunct w:val="0"/>
        <w:autoSpaceDE/>
        <w:autoSpaceDN/>
        <w:bidi w:val="0"/>
        <w:adjustRightInd/>
        <w:snapToGrid w:val="0"/>
        <w:spacing w:line="360" w:lineRule="auto"/>
        <w:ind w:firstLine="420" w:firstLineChars="200"/>
        <w:textAlignment w:val="auto"/>
        <w:rPr>
          <w:rFonts w:ascii="宋体" w:hAnsi="宋体" w:cs="宋体"/>
          <w:color w:val="auto"/>
          <w:szCs w:val="21"/>
        </w:rPr>
      </w:pPr>
      <w:r>
        <w:rPr>
          <w:rFonts w:hint="eastAsia" w:ascii="宋体" w:hAnsi="宋体" w:cs="宋体"/>
          <w:color w:val="auto"/>
          <w:szCs w:val="21"/>
        </w:rPr>
        <w:t>采购人将按《</w:t>
      </w:r>
      <w:r>
        <w:rPr>
          <w:rFonts w:hint="eastAsia" w:ascii="宋体" w:hAnsi="宋体" w:cs="宋体"/>
          <w:color w:val="auto"/>
          <w:szCs w:val="21"/>
          <w:highlight w:val="none"/>
        </w:rPr>
        <w:t>机关后勤服务项目月度工作目标考核评分细则</w:t>
      </w:r>
      <w:r>
        <w:rPr>
          <w:rFonts w:hint="eastAsia" w:ascii="宋体" w:hAnsi="宋体" w:cs="宋体"/>
          <w:color w:val="auto"/>
          <w:szCs w:val="21"/>
        </w:rPr>
        <w:t>》（附后）作出的考核结果，将处罚金额按期直接在物业管理费付款额中扣除。</w:t>
      </w:r>
    </w:p>
    <w:p>
      <w:pPr>
        <w:snapToGrid w:val="0"/>
        <w:spacing w:line="360" w:lineRule="auto"/>
        <w:ind w:firstLine="422" w:firstLineChars="175"/>
        <w:jc w:val="both"/>
        <w:rPr>
          <w:rFonts w:hint="eastAsia" w:ascii="宋体" w:hAnsi="宋体"/>
          <w:b/>
          <w:bCs/>
          <w:color w:val="auto"/>
          <w:sz w:val="24"/>
          <w:szCs w:val="24"/>
        </w:rPr>
      </w:pPr>
      <w:r>
        <w:rPr>
          <w:rFonts w:hint="eastAsia" w:ascii="宋体" w:hAnsi="宋体"/>
          <w:b/>
          <w:bCs/>
          <w:color w:val="auto"/>
          <w:sz w:val="24"/>
          <w:szCs w:val="24"/>
        </w:rPr>
        <w:t>五、考核及处罚标准</w:t>
      </w:r>
    </w:p>
    <w:p>
      <w:pPr>
        <w:numPr>
          <w:ilvl w:val="0"/>
          <w:numId w:val="75"/>
        </w:numPr>
        <w:spacing w:line="360" w:lineRule="auto"/>
        <w:ind w:left="15" w:leftChars="7" w:firstLine="386" w:firstLineChars="184"/>
        <w:rPr>
          <w:rFonts w:ascii="宋体" w:hAnsi="宋体" w:cs="宋体"/>
          <w:color w:val="auto"/>
          <w:szCs w:val="21"/>
          <w:highlight w:val="none"/>
        </w:rPr>
      </w:pPr>
      <w:r>
        <w:rPr>
          <w:rFonts w:hint="eastAsia" w:ascii="宋体" w:hAnsi="宋体" w:cs="宋体"/>
          <w:color w:val="auto"/>
          <w:szCs w:val="21"/>
          <w:highlight w:val="none"/>
        </w:rPr>
        <w:t>依照物业管理市场化运作考核评分细则进行考评，具体考核评分细则见《机关后勤服务项目月度工作目标考核评分细则》。</w:t>
      </w:r>
    </w:p>
    <w:p>
      <w:pPr>
        <w:numPr>
          <w:ilvl w:val="0"/>
          <w:numId w:val="75"/>
        </w:numPr>
        <w:spacing w:line="360" w:lineRule="auto"/>
        <w:ind w:left="15" w:leftChars="7" w:firstLine="386" w:firstLineChars="184"/>
        <w:rPr>
          <w:rFonts w:ascii="宋体" w:hAnsi="宋体" w:cs="宋体"/>
          <w:color w:val="auto"/>
          <w:szCs w:val="21"/>
        </w:rPr>
      </w:pPr>
      <w:r>
        <w:rPr>
          <w:rFonts w:hint="eastAsia" w:ascii="宋体" w:hAnsi="宋体" w:cs="宋体"/>
          <w:color w:val="auto"/>
          <w:szCs w:val="21"/>
        </w:rPr>
        <w:t>考核小组采取每月定时或抽查形式进行考核</w:t>
      </w:r>
      <w:r>
        <w:rPr>
          <w:rFonts w:hint="eastAsia"/>
          <w:color w:val="auto"/>
        </w:rPr>
        <w:t>。</w:t>
      </w:r>
    </w:p>
    <w:p>
      <w:pPr>
        <w:numPr>
          <w:ilvl w:val="0"/>
          <w:numId w:val="75"/>
        </w:numPr>
        <w:spacing w:line="360" w:lineRule="auto"/>
        <w:ind w:left="15" w:leftChars="7" w:firstLine="386" w:firstLineChars="184"/>
        <w:rPr>
          <w:rFonts w:ascii="宋体" w:hAnsi="宋体" w:cs="宋体"/>
          <w:color w:val="auto"/>
          <w:szCs w:val="21"/>
        </w:rPr>
      </w:pPr>
      <w:r>
        <w:rPr>
          <w:rFonts w:hint="eastAsia" w:ascii="宋体" w:hAnsi="宋体" w:cs="宋体"/>
          <w:color w:val="auto"/>
          <w:szCs w:val="21"/>
          <w:lang w:val="en-US" w:eastAsia="zh-CN"/>
        </w:rPr>
        <w:t>考核</w:t>
      </w:r>
      <w:r>
        <w:rPr>
          <w:rFonts w:hint="eastAsia" w:ascii="宋体" w:hAnsi="宋体" w:cs="宋体"/>
          <w:color w:val="auto"/>
          <w:szCs w:val="21"/>
        </w:rPr>
        <w:t>得分95分(含)以上全额支付当月</w:t>
      </w:r>
      <w:r>
        <w:rPr>
          <w:rFonts w:hint="eastAsia" w:ascii="宋体" w:hAnsi="宋体" w:cs="宋体"/>
          <w:color w:val="auto"/>
          <w:szCs w:val="21"/>
          <w:lang w:eastAsia="zh-CN"/>
        </w:rPr>
        <w:t>物业管理服务</w:t>
      </w:r>
      <w:r>
        <w:rPr>
          <w:rFonts w:hint="eastAsia" w:ascii="宋体" w:hAnsi="宋体" w:cs="宋体"/>
          <w:color w:val="auto"/>
          <w:szCs w:val="21"/>
        </w:rPr>
        <w:t>费；</w:t>
      </w:r>
      <w:r>
        <w:rPr>
          <w:rFonts w:hint="eastAsia" w:ascii="宋体" w:hAnsi="宋体" w:cs="宋体"/>
          <w:color w:val="auto"/>
          <w:szCs w:val="21"/>
          <w:lang w:val="en-US" w:eastAsia="zh-CN"/>
        </w:rPr>
        <w:t>考核</w:t>
      </w:r>
      <w:r>
        <w:rPr>
          <w:rFonts w:hint="eastAsia" w:ascii="宋体" w:hAnsi="宋体" w:cs="宋体"/>
          <w:color w:val="auto"/>
          <w:szCs w:val="21"/>
        </w:rPr>
        <w:t>得分90分（含）以上95分以下扣除当月</w:t>
      </w:r>
      <w:r>
        <w:rPr>
          <w:rFonts w:hint="eastAsia" w:ascii="宋体" w:hAnsi="宋体" w:cs="宋体"/>
          <w:color w:val="auto"/>
          <w:szCs w:val="21"/>
          <w:lang w:eastAsia="zh-CN"/>
        </w:rPr>
        <w:t>物业管理服务</w:t>
      </w:r>
      <w:r>
        <w:rPr>
          <w:rFonts w:hint="eastAsia" w:ascii="宋体" w:hAnsi="宋体" w:cs="宋体"/>
          <w:color w:val="auto"/>
          <w:szCs w:val="21"/>
        </w:rPr>
        <w:t>费1%；</w:t>
      </w:r>
      <w:r>
        <w:rPr>
          <w:rFonts w:hint="eastAsia" w:ascii="宋体" w:hAnsi="宋体" w:cs="宋体"/>
          <w:color w:val="auto"/>
          <w:szCs w:val="21"/>
          <w:lang w:val="en-US" w:eastAsia="zh-CN"/>
        </w:rPr>
        <w:t>考核</w:t>
      </w:r>
      <w:r>
        <w:rPr>
          <w:rFonts w:hint="eastAsia" w:ascii="宋体" w:hAnsi="宋体" w:cs="宋体"/>
          <w:color w:val="auto"/>
          <w:szCs w:val="21"/>
        </w:rPr>
        <w:t>得分85分（含）以上90分以下扣除当月</w:t>
      </w:r>
      <w:r>
        <w:rPr>
          <w:rFonts w:hint="eastAsia" w:ascii="宋体" w:hAnsi="宋体" w:cs="宋体"/>
          <w:color w:val="auto"/>
          <w:szCs w:val="21"/>
          <w:lang w:eastAsia="zh-CN"/>
        </w:rPr>
        <w:t>物业管理服务</w:t>
      </w:r>
      <w:r>
        <w:rPr>
          <w:rFonts w:hint="eastAsia" w:ascii="宋体" w:hAnsi="宋体" w:cs="宋体"/>
          <w:color w:val="auto"/>
          <w:szCs w:val="21"/>
        </w:rPr>
        <w:t>费3%；</w:t>
      </w:r>
      <w:r>
        <w:rPr>
          <w:rFonts w:hint="eastAsia" w:ascii="宋体" w:hAnsi="宋体" w:cs="宋体"/>
          <w:color w:val="auto"/>
          <w:szCs w:val="21"/>
          <w:lang w:val="en-US" w:eastAsia="zh-CN"/>
        </w:rPr>
        <w:t>考核</w:t>
      </w:r>
      <w:r>
        <w:rPr>
          <w:rFonts w:hint="eastAsia" w:ascii="宋体" w:hAnsi="宋体" w:cs="宋体"/>
          <w:color w:val="auto"/>
          <w:szCs w:val="21"/>
        </w:rPr>
        <w:t>得分75分（含）以上85分以下扣除当月</w:t>
      </w:r>
      <w:r>
        <w:rPr>
          <w:rFonts w:hint="eastAsia" w:ascii="宋体" w:hAnsi="宋体" w:cs="宋体"/>
          <w:color w:val="auto"/>
          <w:szCs w:val="21"/>
          <w:lang w:eastAsia="zh-CN"/>
        </w:rPr>
        <w:t>物业管理服务</w:t>
      </w:r>
      <w:r>
        <w:rPr>
          <w:rFonts w:hint="eastAsia" w:ascii="宋体" w:hAnsi="宋体" w:cs="宋体"/>
          <w:color w:val="auto"/>
          <w:szCs w:val="21"/>
        </w:rPr>
        <w:t>费5%；</w:t>
      </w:r>
      <w:r>
        <w:rPr>
          <w:rFonts w:hint="eastAsia" w:ascii="宋体" w:hAnsi="宋体" w:cs="宋体"/>
          <w:color w:val="auto"/>
          <w:szCs w:val="21"/>
          <w:lang w:val="en-US" w:eastAsia="zh-CN"/>
        </w:rPr>
        <w:t>考核</w:t>
      </w:r>
      <w:r>
        <w:rPr>
          <w:rFonts w:hint="eastAsia" w:ascii="宋体" w:hAnsi="宋体" w:cs="宋体"/>
          <w:color w:val="auto"/>
          <w:szCs w:val="21"/>
        </w:rPr>
        <w:t>得分75分以下为不合格，扣除当月</w:t>
      </w:r>
      <w:r>
        <w:rPr>
          <w:rFonts w:hint="eastAsia" w:ascii="宋体" w:hAnsi="宋体" w:cs="宋体"/>
          <w:color w:val="auto"/>
          <w:szCs w:val="21"/>
          <w:lang w:eastAsia="zh-CN"/>
        </w:rPr>
        <w:t>物业管理服务</w:t>
      </w:r>
      <w:r>
        <w:rPr>
          <w:rFonts w:hint="eastAsia" w:ascii="宋体" w:hAnsi="宋体" w:cs="宋体"/>
          <w:color w:val="auto"/>
          <w:szCs w:val="21"/>
        </w:rPr>
        <w:t>费20%。</w:t>
      </w:r>
    </w:p>
    <w:p>
      <w:pPr>
        <w:numPr>
          <w:ilvl w:val="0"/>
          <w:numId w:val="75"/>
        </w:numPr>
        <w:spacing w:line="360" w:lineRule="auto"/>
        <w:ind w:left="15" w:leftChars="7" w:firstLine="386" w:firstLineChars="184"/>
        <w:rPr>
          <w:rFonts w:ascii="宋体" w:hAnsi="宋体" w:cs="宋体"/>
          <w:color w:val="auto"/>
          <w:szCs w:val="21"/>
          <w:highlight w:val="none"/>
        </w:rPr>
      </w:pPr>
      <w:r>
        <w:rPr>
          <w:rFonts w:hint="eastAsia" w:ascii="宋体" w:hAnsi="宋体" w:cs="宋体"/>
          <w:color w:val="auto"/>
          <w:szCs w:val="21"/>
          <w:highlight w:val="none"/>
        </w:rPr>
        <w:t>因物业公司管理不到位，造成投诉12345热线的，每次扣除</w:t>
      </w:r>
      <w:r>
        <w:rPr>
          <w:rFonts w:hint="eastAsia" w:ascii="宋体" w:hAnsi="宋体" w:cs="宋体"/>
          <w:color w:val="auto"/>
          <w:szCs w:val="21"/>
          <w:highlight w:val="none"/>
          <w:lang w:val="en-US" w:eastAsia="zh-CN"/>
        </w:rPr>
        <w:t>当月</w:t>
      </w:r>
      <w:r>
        <w:rPr>
          <w:rFonts w:hint="eastAsia" w:ascii="宋体" w:hAnsi="宋体" w:cs="宋体"/>
          <w:color w:val="auto"/>
          <w:szCs w:val="21"/>
          <w:highlight w:val="none"/>
          <w:lang w:eastAsia="zh-CN"/>
        </w:rPr>
        <w:t>物业管理服务</w:t>
      </w:r>
      <w:r>
        <w:rPr>
          <w:rFonts w:hint="eastAsia" w:ascii="宋体" w:hAnsi="宋体" w:cs="宋体"/>
          <w:color w:val="auto"/>
          <w:szCs w:val="21"/>
          <w:highlight w:val="none"/>
        </w:rPr>
        <w:t>费3000元；在文明指数测评中，由物业公司原因造成扣分的，每扣一分扣除</w:t>
      </w:r>
      <w:r>
        <w:rPr>
          <w:rFonts w:hint="eastAsia" w:ascii="宋体" w:hAnsi="宋体" w:cs="宋体"/>
          <w:color w:val="auto"/>
          <w:szCs w:val="21"/>
          <w:highlight w:val="none"/>
          <w:lang w:val="en-US" w:eastAsia="zh-CN"/>
        </w:rPr>
        <w:t>当月</w:t>
      </w:r>
      <w:r>
        <w:rPr>
          <w:rFonts w:hint="eastAsia" w:ascii="宋体" w:hAnsi="宋体" w:cs="宋体"/>
          <w:color w:val="auto"/>
          <w:szCs w:val="21"/>
          <w:highlight w:val="none"/>
          <w:lang w:eastAsia="zh-CN"/>
        </w:rPr>
        <w:t>物业管理服务</w:t>
      </w:r>
      <w:r>
        <w:rPr>
          <w:rFonts w:hint="eastAsia" w:ascii="宋体" w:hAnsi="宋体" w:cs="宋体"/>
          <w:color w:val="auto"/>
          <w:szCs w:val="21"/>
          <w:highlight w:val="none"/>
        </w:rPr>
        <w:t>费1000元。</w:t>
      </w:r>
    </w:p>
    <w:p>
      <w:pPr>
        <w:numPr>
          <w:ilvl w:val="0"/>
          <w:numId w:val="75"/>
        </w:numPr>
        <w:spacing w:line="360" w:lineRule="auto"/>
        <w:ind w:left="15" w:leftChars="7" w:firstLine="386" w:firstLineChars="184"/>
        <w:rPr>
          <w:rFonts w:ascii="宋体" w:hAnsi="宋体" w:cs="宋体"/>
          <w:color w:val="auto"/>
          <w:szCs w:val="21"/>
          <w:highlight w:val="none"/>
        </w:rPr>
      </w:pPr>
      <w:r>
        <w:rPr>
          <w:rFonts w:hint="eastAsia" w:ascii="宋体" w:hAnsi="宋体" w:cs="宋体"/>
          <w:color w:val="auto"/>
          <w:szCs w:val="21"/>
          <w:highlight w:val="none"/>
        </w:rPr>
        <w:t>如考核连续2个月不合格，采购人有权无责单方解除本合同。</w:t>
      </w:r>
    </w:p>
    <w:p>
      <w:pPr>
        <w:numPr>
          <w:ilvl w:val="0"/>
          <w:numId w:val="75"/>
        </w:numPr>
        <w:spacing w:line="360" w:lineRule="auto"/>
        <w:ind w:left="15" w:leftChars="7" w:firstLine="386" w:firstLineChars="184"/>
        <w:rPr>
          <w:rFonts w:ascii="宋体" w:hAnsi="宋体" w:cs="宋体"/>
          <w:color w:val="auto"/>
          <w:szCs w:val="21"/>
        </w:rPr>
      </w:pPr>
      <w:r>
        <w:rPr>
          <w:rFonts w:hint="eastAsia" w:ascii="宋体" w:hAnsi="宋体" w:cs="宋体"/>
          <w:color w:val="auto"/>
          <w:szCs w:val="21"/>
        </w:rPr>
        <w:t>中标人未经过采购人同意擅自减少人员数量的，</w:t>
      </w:r>
      <w:r>
        <w:rPr>
          <w:rFonts w:hint="eastAsia" w:ascii="宋体" w:hAnsi="宋体" w:cs="宋体"/>
          <w:color w:val="auto"/>
          <w:szCs w:val="21"/>
          <w:lang w:val="en-US" w:eastAsia="zh-CN"/>
        </w:rPr>
        <w:t>采购人</w:t>
      </w:r>
      <w:r>
        <w:rPr>
          <w:rFonts w:hint="eastAsia" w:ascii="宋体" w:hAnsi="宋体" w:cs="宋体"/>
          <w:color w:val="auto"/>
          <w:szCs w:val="21"/>
          <w:highlight w:val="none"/>
        </w:rPr>
        <w:t>可以按缺少人数每人次扣双倍的岗位</w:t>
      </w:r>
      <w:r>
        <w:rPr>
          <w:rFonts w:hint="eastAsia" w:ascii="宋体" w:hAnsi="宋体" w:cs="宋体"/>
          <w:color w:val="auto"/>
          <w:szCs w:val="21"/>
          <w:highlight w:val="none"/>
          <w:lang w:eastAsia="zh-CN"/>
        </w:rPr>
        <w:t>月</w:t>
      </w:r>
      <w:r>
        <w:rPr>
          <w:rFonts w:hint="eastAsia" w:ascii="宋体" w:hAnsi="宋体" w:cs="宋体"/>
          <w:color w:val="auto"/>
          <w:szCs w:val="21"/>
          <w:highlight w:val="none"/>
        </w:rPr>
        <w:t>工资，</w:t>
      </w:r>
      <w:r>
        <w:rPr>
          <w:rFonts w:hint="eastAsia" w:ascii="宋体" w:hAnsi="宋体" w:cs="宋体"/>
          <w:color w:val="auto"/>
          <w:szCs w:val="21"/>
          <w:highlight w:val="none"/>
          <w:lang w:eastAsia="zh-CN"/>
        </w:rPr>
        <w:t>从物业管理服务</w:t>
      </w:r>
      <w:r>
        <w:rPr>
          <w:rFonts w:hint="eastAsia" w:ascii="宋体" w:hAnsi="宋体" w:cs="宋体"/>
          <w:color w:val="auto"/>
          <w:szCs w:val="21"/>
          <w:highlight w:val="none"/>
        </w:rPr>
        <w:t>费</w:t>
      </w:r>
      <w:r>
        <w:rPr>
          <w:rFonts w:hint="eastAsia" w:ascii="宋体" w:hAnsi="宋体" w:cs="宋体"/>
          <w:color w:val="auto"/>
          <w:szCs w:val="21"/>
          <w:highlight w:val="none"/>
          <w:lang w:eastAsia="zh-CN"/>
        </w:rPr>
        <w:t>里累计</w:t>
      </w:r>
      <w:r>
        <w:rPr>
          <w:rFonts w:hint="eastAsia" w:ascii="宋体" w:hAnsi="宋体" w:cs="宋体"/>
          <w:color w:val="auto"/>
          <w:szCs w:val="21"/>
          <w:highlight w:val="none"/>
        </w:rPr>
        <w:t>扣除。</w:t>
      </w:r>
    </w:p>
    <w:p>
      <w:pPr>
        <w:numPr>
          <w:ilvl w:val="0"/>
          <w:numId w:val="75"/>
        </w:numPr>
        <w:spacing w:line="360" w:lineRule="auto"/>
        <w:ind w:left="15" w:leftChars="7" w:firstLine="386" w:firstLineChars="184"/>
        <w:rPr>
          <w:rFonts w:ascii="宋体" w:hAnsi="宋体" w:cs="宋体"/>
          <w:color w:val="auto"/>
          <w:szCs w:val="21"/>
          <w:highlight w:val="none"/>
        </w:rPr>
      </w:pPr>
      <w:r>
        <w:rPr>
          <w:rFonts w:hint="eastAsia" w:ascii="宋体" w:hAnsi="宋体" w:cs="宋体"/>
          <w:color w:val="auto"/>
          <w:szCs w:val="21"/>
          <w:highlight w:val="none"/>
        </w:rPr>
        <w:t>如重要设备、设施由于中标人日常维护保养不当，导致无法正常启动，则扣除当月物业管理服务费的1-3%，造成采购人损失的费用全部由中标人承担。</w:t>
      </w:r>
    </w:p>
    <w:p>
      <w:pPr>
        <w:numPr>
          <w:ilvl w:val="0"/>
          <w:numId w:val="75"/>
        </w:numPr>
        <w:spacing w:line="360" w:lineRule="auto"/>
        <w:ind w:left="15" w:leftChars="7" w:firstLine="386" w:firstLineChars="184"/>
        <w:rPr>
          <w:rFonts w:hint="eastAsia" w:ascii="宋体" w:hAnsi="宋体" w:cs="宋体"/>
          <w:color w:val="auto"/>
          <w:szCs w:val="21"/>
          <w:highlight w:val="none"/>
        </w:rPr>
      </w:pPr>
      <w:r>
        <w:rPr>
          <w:rFonts w:hint="eastAsia"/>
          <w:color w:val="auto"/>
          <w:szCs w:val="22"/>
          <w:highlight w:val="none"/>
        </w:rPr>
        <w:t>如中标</w:t>
      </w:r>
      <w:r>
        <w:rPr>
          <w:rFonts w:hint="eastAsia"/>
          <w:color w:val="auto"/>
          <w:szCs w:val="22"/>
          <w:highlight w:val="none"/>
          <w:lang w:val="en-US" w:eastAsia="zh-CN"/>
        </w:rPr>
        <w:t>人</w:t>
      </w:r>
      <w:r>
        <w:rPr>
          <w:rFonts w:hint="eastAsia"/>
          <w:color w:val="auto"/>
          <w:szCs w:val="22"/>
          <w:highlight w:val="none"/>
        </w:rPr>
        <w:t>会务服务未达到物业管理合同要求标准，造成恶劣影响的，扣除当月物业管理服务费的1-3%。</w:t>
      </w:r>
      <w:r>
        <w:rPr>
          <w:rFonts w:hint="eastAsia" w:ascii="宋体" w:hAnsi="宋体" w:cs="宋体"/>
          <w:color w:val="auto"/>
          <w:szCs w:val="21"/>
          <w:highlight w:val="none"/>
        </w:rPr>
        <w:t>重大会议保障出现会议事故（如播放音乐错误、音响、视频、灯光、舞台机械等设备出现重大故障等），扣除中标</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rPr>
        <w:t>当月物业管理服务费的3-5%</w:t>
      </w:r>
      <w:r>
        <w:rPr>
          <w:rFonts w:hint="eastAsia" w:ascii="宋体" w:hAnsi="宋体" w:cs="宋体"/>
          <w:color w:val="auto"/>
          <w:szCs w:val="21"/>
          <w:highlight w:val="none"/>
          <w:lang w:eastAsia="zh-CN"/>
        </w:rPr>
        <w:t>。</w:t>
      </w:r>
    </w:p>
    <w:p>
      <w:pPr>
        <w:numPr>
          <w:ilvl w:val="0"/>
          <w:numId w:val="75"/>
        </w:numPr>
        <w:spacing w:line="360" w:lineRule="auto"/>
        <w:ind w:left="15" w:leftChars="7" w:firstLine="386" w:firstLineChars="184"/>
        <w:rPr>
          <w:rFonts w:hint="eastAsia" w:ascii="宋体" w:hAnsi="宋体" w:eastAsia="宋体" w:cs="宋体"/>
          <w:b w:val="0"/>
          <w:bCs w:val="0"/>
          <w:color w:val="auto"/>
          <w:kern w:val="0"/>
          <w:sz w:val="21"/>
          <w:szCs w:val="21"/>
          <w:highlight w:val="none"/>
          <w:lang w:val="en-US" w:eastAsia="zh-CN" w:bidi="ar-SA"/>
        </w:rPr>
      </w:pPr>
      <w:r>
        <w:rPr>
          <w:rFonts w:hint="eastAsia" w:ascii="宋体" w:hAnsi="宋体" w:cs="宋体"/>
          <w:b w:val="0"/>
          <w:bCs w:val="0"/>
          <w:color w:val="auto"/>
          <w:szCs w:val="21"/>
          <w:highlight w:val="none"/>
        </w:rPr>
        <w:t>如因中标人应急方案制订不完善、未定期演练、遭遇突发时间处置不当等情况，扣除中标人当月物业管理服务费的1-3%，造成采购人损失的费用全部由中标人承担。</w:t>
      </w:r>
      <w:bookmarkStart w:id="699" w:name="_Toc17254"/>
      <w:bookmarkStart w:id="700" w:name="_Toc6551"/>
      <w:bookmarkStart w:id="701" w:name="_Toc24120"/>
      <w:bookmarkStart w:id="702" w:name="_Toc9669"/>
      <w:bookmarkStart w:id="703" w:name="_Toc13403"/>
      <w:bookmarkStart w:id="704" w:name="_Toc18521"/>
      <w:bookmarkStart w:id="705" w:name="_Toc15081"/>
      <w:bookmarkStart w:id="706" w:name="_Toc2616"/>
    </w:p>
    <w:p>
      <w:pPr>
        <w:numPr>
          <w:ilvl w:val="0"/>
          <w:numId w:val="75"/>
        </w:numPr>
        <w:spacing w:line="360" w:lineRule="auto"/>
        <w:ind w:left="15" w:leftChars="7" w:firstLine="386" w:firstLineChars="184"/>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rPr>
        <w:t>中标</w:t>
      </w:r>
      <w:r>
        <w:rPr>
          <w:rFonts w:hint="eastAsia" w:ascii="宋体" w:hAnsi="宋体" w:cs="宋体"/>
          <w:b w:val="0"/>
          <w:bCs w:val="0"/>
          <w:color w:val="auto"/>
          <w:szCs w:val="21"/>
          <w:highlight w:val="none"/>
          <w:lang w:val="en-US" w:eastAsia="zh-CN"/>
        </w:rPr>
        <w:t>人</w:t>
      </w:r>
      <w:r>
        <w:rPr>
          <w:rFonts w:hint="eastAsia" w:ascii="宋体" w:hAnsi="宋体" w:cs="宋体"/>
          <w:b w:val="0"/>
          <w:bCs w:val="0"/>
          <w:color w:val="auto"/>
          <w:szCs w:val="21"/>
          <w:highlight w:val="none"/>
          <w:lang w:eastAsia="zh-CN"/>
        </w:rPr>
        <w:t>未能完按时（</w:t>
      </w:r>
      <w:r>
        <w:rPr>
          <w:rFonts w:hint="eastAsia"/>
          <w:color w:val="auto"/>
          <w:highlight w:val="none"/>
          <w:lang w:eastAsia="zh-CN"/>
        </w:rPr>
        <w:t>每年</w:t>
      </w:r>
      <w:r>
        <w:rPr>
          <w:rFonts w:hint="eastAsia"/>
          <w:color w:val="auto"/>
          <w:highlight w:val="none"/>
          <w:lang w:val="en-US" w:eastAsia="zh-CN"/>
        </w:rPr>
        <w:t>4月30日前</w:t>
      </w:r>
      <w:r>
        <w:rPr>
          <w:rFonts w:hint="eastAsia" w:ascii="宋体" w:hAnsi="宋体" w:cs="宋体"/>
          <w:b w:val="0"/>
          <w:bCs w:val="0"/>
          <w:color w:val="auto"/>
          <w:szCs w:val="21"/>
          <w:highlight w:val="none"/>
          <w:lang w:eastAsia="zh-CN"/>
        </w:rPr>
        <w:t>）</w:t>
      </w:r>
      <w:r>
        <w:rPr>
          <w:rFonts w:hint="eastAsia" w:ascii="宋体" w:hAnsi="宋体" w:cs="宋体"/>
          <w:b w:val="0"/>
          <w:bCs w:val="0"/>
          <w:color w:val="auto"/>
          <w:szCs w:val="21"/>
          <w:highlight w:val="none"/>
          <w:lang w:val="en-US" w:eastAsia="zh-CN"/>
        </w:rPr>
        <w:t>完</w:t>
      </w:r>
      <w:r>
        <w:rPr>
          <w:rFonts w:hint="eastAsia" w:ascii="宋体" w:hAnsi="宋体" w:cs="宋体"/>
          <w:b w:val="0"/>
          <w:bCs w:val="0"/>
          <w:color w:val="auto"/>
          <w:szCs w:val="21"/>
          <w:highlight w:val="none"/>
          <w:lang w:eastAsia="zh-CN"/>
        </w:rPr>
        <w:t>成</w:t>
      </w:r>
      <w:r>
        <w:rPr>
          <w:rFonts w:hint="eastAsia"/>
          <w:color w:val="auto"/>
          <w:highlight w:val="none"/>
          <w:lang w:eastAsia="zh-CN"/>
        </w:rPr>
        <w:t>市政大院内的高低压配电设备和发电设备</w:t>
      </w:r>
      <w:r>
        <w:rPr>
          <w:rFonts w:hint="eastAsia" w:ascii="宋体" w:hAnsi="宋体" w:cs="宋体"/>
          <w:b w:val="0"/>
          <w:bCs w:val="0"/>
          <w:color w:val="auto"/>
          <w:szCs w:val="21"/>
          <w:highlight w:val="none"/>
          <w:lang w:eastAsia="zh-CN"/>
        </w:rPr>
        <w:t>年检的，</w:t>
      </w:r>
      <w:r>
        <w:rPr>
          <w:rFonts w:hint="eastAsia" w:ascii="宋体" w:hAnsi="宋体" w:cs="宋体"/>
          <w:b w:val="0"/>
          <w:bCs w:val="0"/>
          <w:color w:val="auto"/>
          <w:szCs w:val="21"/>
          <w:highlight w:val="none"/>
        </w:rPr>
        <w:t>扣除中标</w:t>
      </w:r>
      <w:r>
        <w:rPr>
          <w:rFonts w:hint="eastAsia" w:ascii="宋体" w:hAnsi="宋体" w:cs="宋体"/>
          <w:b w:val="0"/>
          <w:bCs w:val="0"/>
          <w:color w:val="auto"/>
          <w:szCs w:val="21"/>
          <w:highlight w:val="none"/>
          <w:lang w:val="en-US" w:eastAsia="zh-CN"/>
        </w:rPr>
        <w:t>人</w:t>
      </w:r>
      <w:r>
        <w:rPr>
          <w:rFonts w:hint="eastAsia" w:ascii="宋体" w:hAnsi="宋体" w:cs="宋体"/>
          <w:b w:val="0"/>
          <w:bCs w:val="0"/>
          <w:color w:val="auto"/>
          <w:szCs w:val="21"/>
          <w:highlight w:val="none"/>
          <w:lang w:eastAsia="zh-CN"/>
        </w:rPr>
        <w:t>延期月份</w:t>
      </w:r>
      <w:r>
        <w:rPr>
          <w:rFonts w:hint="eastAsia" w:ascii="宋体" w:hAnsi="宋体" w:cs="宋体"/>
          <w:b w:val="0"/>
          <w:bCs w:val="0"/>
          <w:color w:val="auto"/>
          <w:szCs w:val="21"/>
          <w:highlight w:val="none"/>
        </w:rPr>
        <w:t>物业管理服务费的</w:t>
      </w:r>
      <w:r>
        <w:rPr>
          <w:rFonts w:hint="eastAsia" w:ascii="宋体" w:hAnsi="宋体" w:cs="宋体"/>
          <w:b w:val="0"/>
          <w:bCs w:val="0"/>
          <w:color w:val="auto"/>
          <w:szCs w:val="21"/>
          <w:highlight w:val="none"/>
          <w:lang w:val="en-US" w:eastAsia="zh-CN"/>
        </w:rPr>
        <w:t>2</w:t>
      </w:r>
      <w:r>
        <w:rPr>
          <w:rFonts w:hint="eastAsia" w:ascii="宋体" w:hAnsi="宋体" w:cs="宋体"/>
          <w:b w:val="0"/>
          <w:bCs w:val="0"/>
          <w:color w:val="auto"/>
          <w:szCs w:val="21"/>
          <w:highlight w:val="none"/>
        </w:rPr>
        <w:t>-3%，造成采购人损失的费用全部由中标人承担。</w:t>
      </w:r>
    </w:p>
    <w:p>
      <w:pPr>
        <w:numPr>
          <w:ilvl w:val="0"/>
          <w:numId w:val="75"/>
        </w:numPr>
        <w:spacing w:line="360" w:lineRule="auto"/>
        <w:ind w:left="15" w:leftChars="7" w:firstLine="386" w:firstLineChars="184"/>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rPr>
        <w:t>中标</w:t>
      </w:r>
      <w:r>
        <w:rPr>
          <w:rFonts w:hint="eastAsia" w:ascii="宋体" w:hAnsi="宋体" w:cs="宋体"/>
          <w:b w:val="0"/>
          <w:bCs w:val="0"/>
          <w:color w:val="auto"/>
          <w:szCs w:val="21"/>
          <w:highlight w:val="none"/>
          <w:lang w:val="en-US" w:eastAsia="zh-CN"/>
        </w:rPr>
        <w:t>人</w:t>
      </w:r>
      <w:r>
        <w:rPr>
          <w:rFonts w:hint="eastAsia" w:ascii="宋体" w:hAnsi="宋体" w:cs="宋体"/>
          <w:b w:val="0"/>
          <w:bCs w:val="0"/>
          <w:color w:val="auto"/>
          <w:szCs w:val="21"/>
          <w:highlight w:val="none"/>
          <w:lang w:eastAsia="zh-CN"/>
        </w:rPr>
        <w:t>未能按时（</w:t>
      </w:r>
      <w:r>
        <w:rPr>
          <w:rFonts w:hint="eastAsia"/>
          <w:color w:val="auto"/>
          <w:highlight w:val="none"/>
          <w:lang w:eastAsia="zh-CN"/>
        </w:rPr>
        <w:t>每年</w:t>
      </w:r>
      <w:r>
        <w:rPr>
          <w:rFonts w:hint="eastAsia"/>
          <w:color w:val="auto"/>
          <w:highlight w:val="none"/>
          <w:lang w:val="en-US" w:eastAsia="zh-CN"/>
        </w:rPr>
        <w:t>5月10日前</w:t>
      </w:r>
      <w:r>
        <w:rPr>
          <w:rFonts w:hint="eastAsia" w:ascii="宋体" w:hAnsi="宋体" w:cs="宋体"/>
          <w:b w:val="0"/>
          <w:bCs w:val="0"/>
          <w:color w:val="auto"/>
          <w:szCs w:val="21"/>
          <w:highlight w:val="none"/>
          <w:lang w:eastAsia="zh-CN"/>
        </w:rPr>
        <w:t>）完成</w:t>
      </w:r>
      <w:r>
        <w:rPr>
          <w:rFonts w:hint="eastAsia"/>
          <w:color w:val="auto"/>
          <w:szCs w:val="22"/>
          <w:highlight w:val="none"/>
          <w:lang w:eastAsia="zh-CN"/>
        </w:rPr>
        <w:t>中央空调主机维护及调试</w:t>
      </w:r>
      <w:r>
        <w:rPr>
          <w:rFonts w:hint="eastAsia"/>
          <w:color w:val="auto"/>
          <w:szCs w:val="22"/>
          <w:highlight w:val="none"/>
          <w:lang w:val="en-US" w:eastAsia="zh-CN"/>
        </w:rPr>
        <w:t>运行准备工作</w:t>
      </w:r>
      <w:r>
        <w:rPr>
          <w:rFonts w:hint="eastAsia" w:ascii="宋体" w:hAnsi="宋体" w:cs="宋体"/>
          <w:b w:val="0"/>
          <w:bCs w:val="0"/>
          <w:color w:val="auto"/>
          <w:szCs w:val="21"/>
          <w:highlight w:val="none"/>
          <w:lang w:eastAsia="zh-CN"/>
        </w:rPr>
        <w:t>的，</w:t>
      </w:r>
      <w:r>
        <w:rPr>
          <w:rFonts w:hint="eastAsia" w:ascii="宋体" w:hAnsi="宋体" w:cs="宋体"/>
          <w:b w:val="0"/>
          <w:bCs w:val="0"/>
          <w:color w:val="auto"/>
          <w:szCs w:val="21"/>
          <w:highlight w:val="none"/>
        </w:rPr>
        <w:t>扣除中标</w:t>
      </w:r>
      <w:r>
        <w:rPr>
          <w:rFonts w:hint="eastAsia" w:ascii="宋体" w:hAnsi="宋体" w:cs="宋体"/>
          <w:b w:val="0"/>
          <w:bCs w:val="0"/>
          <w:color w:val="auto"/>
          <w:szCs w:val="21"/>
          <w:highlight w:val="none"/>
          <w:lang w:val="en-US" w:eastAsia="zh-CN"/>
        </w:rPr>
        <w:t>人</w:t>
      </w:r>
      <w:r>
        <w:rPr>
          <w:rFonts w:hint="eastAsia" w:ascii="宋体" w:hAnsi="宋体" w:cs="宋体"/>
          <w:b w:val="0"/>
          <w:bCs w:val="0"/>
          <w:color w:val="auto"/>
          <w:szCs w:val="21"/>
          <w:highlight w:val="none"/>
          <w:lang w:eastAsia="zh-CN"/>
        </w:rPr>
        <w:t>延期月份</w:t>
      </w:r>
      <w:r>
        <w:rPr>
          <w:rFonts w:hint="eastAsia" w:ascii="宋体" w:hAnsi="宋体" w:cs="宋体"/>
          <w:b w:val="0"/>
          <w:bCs w:val="0"/>
          <w:color w:val="auto"/>
          <w:szCs w:val="21"/>
          <w:highlight w:val="none"/>
        </w:rPr>
        <w:t>物业管理服务费的</w:t>
      </w:r>
      <w:r>
        <w:rPr>
          <w:rFonts w:hint="eastAsia" w:ascii="宋体" w:hAnsi="宋体" w:cs="宋体"/>
          <w:b w:val="0"/>
          <w:bCs w:val="0"/>
          <w:color w:val="auto"/>
          <w:szCs w:val="21"/>
          <w:highlight w:val="none"/>
          <w:lang w:val="en-US" w:eastAsia="zh-CN"/>
        </w:rPr>
        <w:t>1</w:t>
      </w:r>
      <w:r>
        <w:rPr>
          <w:rFonts w:hint="eastAsia" w:ascii="宋体" w:hAnsi="宋体" w:cs="宋体"/>
          <w:b w:val="0"/>
          <w:bCs w:val="0"/>
          <w:color w:val="auto"/>
          <w:szCs w:val="21"/>
          <w:highlight w:val="none"/>
        </w:rPr>
        <w:t>-3%</w:t>
      </w:r>
      <w:r>
        <w:rPr>
          <w:rFonts w:hint="eastAsia" w:ascii="宋体" w:hAnsi="宋体" w:cs="宋体"/>
          <w:b w:val="0"/>
          <w:bCs w:val="0"/>
          <w:color w:val="auto"/>
          <w:szCs w:val="21"/>
          <w:highlight w:val="none"/>
          <w:lang w:eastAsia="zh-CN"/>
        </w:rPr>
        <w:t>，</w:t>
      </w:r>
      <w:r>
        <w:rPr>
          <w:rFonts w:hint="eastAsia" w:ascii="宋体" w:hAnsi="宋体" w:cs="宋体"/>
          <w:b w:val="0"/>
          <w:bCs w:val="0"/>
          <w:color w:val="auto"/>
          <w:szCs w:val="21"/>
          <w:highlight w:val="none"/>
        </w:rPr>
        <w:t>造成采购人损失的费用全部由中标人承担</w:t>
      </w:r>
      <w:r>
        <w:rPr>
          <w:rFonts w:hint="eastAsia" w:ascii="宋体" w:hAnsi="宋体" w:cs="宋体"/>
          <w:b w:val="0"/>
          <w:bCs w:val="0"/>
          <w:color w:val="auto"/>
          <w:szCs w:val="21"/>
          <w:highlight w:val="none"/>
          <w:lang w:eastAsia="zh-CN"/>
        </w:rPr>
        <w:t>。</w:t>
      </w:r>
    </w:p>
    <w:p>
      <w:pPr>
        <w:numPr>
          <w:ilvl w:val="0"/>
          <w:numId w:val="75"/>
        </w:numPr>
        <w:spacing w:line="360" w:lineRule="auto"/>
        <w:ind w:left="15" w:leftChars="7" w:firstLine="386" w:firstLineChars="184"/>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rPr>
        <w:t>中标</w:t>
      </w:r>
      <w:r>
        <w:rPr>
          <w:rFonts w:hint="eastAsia" w:ascii="宋体" w:hAnsi="宋体" w:cs="宋体"/>
          <w:b w:val="0"/>
          <w:bCs w:val="0"/>
          <w:color w:val="auto"/>
          <w:szCs w:val="21"/>
          <w:highlight w:val="none"/>
          <w:lang w:val="en-US" w:eastAsia="zh-CN"/>
        </w:rPr>
        <w:t>人</w:t>
      </w:r>
      <w:r>
        <w:rPr>
          <w:rFonts w:hint="eastAsia" w:ascii="宋体" w:hAnsi="宋体" w:cs="宋体"/>
          <w:b w:val="0"/>
          <w:bCs w:val="0"/>
          <w:color w:val="auto"/>
          <w:szCs w:val="21"/>
          <w:highlight w:val="none"/>
          <w:lang w:eastAsia="zh-CN"/>
        </w:rPr>
        <w:t>未能按时（</w:t>
      </w:r>
      <w:r>
        <w:rPr>
          <w:rFonts w:hint="eastAsia"/>
          <w:color w:val="auto"/>
          <w:highlight w:val="none"/>
          <w:lang w:eastAsia="zh-CN"/>
        </w:rPr>
        <w:t>每年</w:t>
      </w:r>
      <w:r>
        <w:rPr>
          <w:rFonts w:hint="eastAsia"/>
          <w:color w:val="auto"/>
          <w:highlight w:val="none"/>
          <w:lang w:val="en-US" w:eastAsia="zh-CN"/>
        </w:rPr>
        <w:t>4月30日前</w:t>
      </w:r>
      <w:r>
        <w:rPr>
          <w:rFonts w:hint="eastAsia" w:ascii="宋体" w:hAnsi="宋体" w:cs="宋体"/>
          <w:b w:val="0"/>
          <w:bCs w:val="0"/>
          <w:color w:val="auto"/>
          <w:szCs w:val="21"/>
          <w:highlight w:val="none"/>
          <w:lang w:eastAsia="zh-CN"/>
        </w:rPr>
        <w:t>）完成</w:t>
      </w:r>
      <w:r>
        <w:rPr>
          <w:rFonts w:hint="eastAsia"/>
          <w:color w:val="auto"/>
          <w:szCs w:val="22"/>
          <w:highlight w:val="none"/>
          <w:lang w:val="en-US" w:eastAsia="zh-CN"/>
        </w:rPr>
        <w:t>发电机年检</w:t>
      </w:r>
      <w:r>
        <w:rPr>
          <w:rFonts w:hint="eastAsia" w:ascii="宋体" w:hAnsi="宋体" w:cs="宋体"/>
          <w:b w:val="0"/>
          <w:bCs w:val="0"/>
          <w:color w:val="auto"/>
          <w:szCs w:val="21"/>
          <w:highlight w:val="none"/>
          <w:lang w:eastAsia="zh-CN"/>
        </w:rPr>
        <w:t>的，</w:t>
      </w:r>
      <w:r>
        <w:rPr>
          <w:rFonts w:hint="eastAsia" w:ascii="宋体" w:hAnsi="宋体" w:cs="宋体"/>
          <w:b w:val="0"/>
          <w:bCs w:val="0"/>
          <w:color w:val="auto"/>
          <w:szCs w:val="21"/>
          <w:highlight w:val="none"/>
        </w:rPr>
        <w:t>扣除中标</w:t>
      </w:r>
      <w:r>
        <w:rPr>
          <w:rFonts w:hint="eastAsia" w:ascii="宋体" w:hAnsi="宋体" w:cs="宋体"/>
          <w:b w:val="0"/>
          <w:bCs w:val="0"/>
          <w:color w:val="auto"/>
          <w:szCs w:val="21"/>
          <w:highlight w:val="none"/>
          <w:lang w:val="en-US" w:eastAsia="zh-CN"/>
        </w:rPr>
        <w:t>人</w:t>
      </w:r>
      <w:r>
        <w:rPr>
          <w:rFonts w:hint="eastAsia" w:ascii="宋体" w:hAnsi="宋体" w:cs="宋体"/>
          <w:b w:val="0"/>
          <w:bCs w:val="0"/>
          <w:color w:val="auto"/>
          <w:szCs w:val="21"/>
          <w:highlight w:val="none"/>
          <w:lang w:eastAsia="zh-CN"/>
        </w:rPr>
        <w:t>延期月份</w:t>
      </w:r>
      <w:r>
        <w:rPr>
          <w:rFonts w:hint="eastAsia" w:ascii="宋体" w:hAnsi="宋体" w:cs="宋体"/>
          <w:b w:val="0"/>
          <w:bCs w:val="0"/>
          <w:color w:val="auto"/>
          <w:szCs w:val="21"/>
          <w:highlight w:val="none"/>
        </w:rPr>
        <w:t>物业管理服务费的</w:t>
      </w:r>
      <w:r>
        <w:rPr>
          <w:rFonts w:hint="eastAsia" w:ascii="宋体" w:hAnsi="宋体" w:cs="宋体"/>
          <w:b w:val="0"/>
          <w:bCs w:val="0"/>
          <w:color w:val="auto"/>
          <w:szCs w:val="21"/>
          <w:highlight w:val="none"/>
          <w:lang w:val="en-US" w:eastAsia="zh-CN"/>
        </w:rPr>
        <w:t>1</w:t>
      </w:r>
      <w:r>
        <w:rPr>
          <w:rFonts w:hint="eastAsia" w:ascii="宋体" w:hAnsi="宋体" w:cs="宋体"/>
          <w:b w:val="0"/>
          <w:bCs w:val="0"/>
          <w:color w:val="auto"/>
          <w:szCs w:val="21"/>
          <w:highlight w:val="none"/>
        </w:rPr>
        <w:t>-3%</w:t>
      </w:r>
      <w:r>
        <w:rPr>
          <w:rFonts w:hint="eastAsia" w:ascii="宋体" w:hAnsi="宋体" w:cs="宋体"/>
          <w:b w:val="0"/>
          <w:bCs w:val="0"/>
          <w:color w:val="auto"/>
          <w:szCs w:val="21"/>
          <w:highlight w:val="none"/>
          <w:lang w:eastAsia="zh-CN"/>
        </w:rPr>
        <w:t>，</w:t>
      </w:r>
      <w:r>
        <w:rPr>
          <w:rFonts w:hint="eastAsia" w:ascii="宋体" w:hAnsi="宋体" w:cs="宋体"/>
          <w:b w:val="0"/>
          <w:bCs w:val="0"/>
          <w:color w:val="auto"/>
          <w:szCs w:val="21"/>
          <w:highlight w:val="none"/>
        </w:rPr>
        <w:t>造成采购人损失的费用全部由中标人承担</w:t>
      </w:r>
      <w:r>
        <w:rPr>
          <w:rFonts w:hint="eastAsia" w:ascii="宋体" w:hAnsi="宋体" w:cs="宋体"/>
          <w:b w:val="0"/>
          <w:bCs w:val="0"/>
          <w:color w:val="auto"/>
          <w:szCs w:val="21"/>
          <w:highlight w:val="none"/>
          <w:lang w:eastAsia="zh-CN"/>
        </w:rPr>
        <w:t>。</w:t>
      </w:r>
    </w:p>
    <w:p>
      <w:pPr>
        <w:numPr>
          <w:ilvl w:val="0"/>
          <w:numId w:val="75"/>
        </w:numPr>
        <w:spacing w:line="360" w:lineRule="auto"/>
        <w:ind w:left="15" w:leftChars="7" w:firstLine="386" w:firstLineChars="184"/>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rPr>
        <w:t>中标</w:t>
      </w:r>
      <w:r>
        <w:rPr>
          <w:rFonts w:hint="eastAsia" w:ascii="宋体" w:hAnsi="宋体" w:cs="宋体"/>
          <w:b w:val="0"/>
          <w:bCs w:val="0"/>
          <w:color w:val="auto"/>
          <w:szCs w:val="21"/>
          <w:highlight w:val="none"/>
          <w:lang w:val="en-US" w:eastAsia="zh-CN"/>
        </w:rPr>
        <w:t>人</w:t>
      </w:r>
      <w:r>
        <w:rPr>
          <w:rFonts w:hint="eastAsia" w:ascii="宋体" w:hAnsi="宋体" w:cs="宋体"/>
          <w:b w:val="0"/>
          <w:bCs w:val="0"/>
          <w:color w:val="auto"/>
          <w:szCs w:val="21"/>
          <w:highlight w:val="none"/>
          <w:lang w:eastAsia="zh-CN"/>
        </w:rPr>
        <w:t>未能按时（</w:t>
      </w:r>
      <w:r>
        <w:rPr>
          <w:rFonts w:hint="eastAsia"/>
          <w:color w:val="auto"/>
          <w:highlight w:val="none"/>
          <w:lang w:eastAsia="zh-CN"/>
        </w:rPr>
        <w:t>每年</w:t>
      </w:r>
      <w:r>
        <w:rPr>
          <w:rFonts w:hint="eastAsia"/>
          <w:color w:val="auto"/>
          <w:highlight w:val="none"/>
          <w:lang w:val="en-US" w:eastAsia="zh-CN"/>
        </w:rPr>
        <w:t>10月10日前</w:t>
      </w:r>
      <w:r>
        <w:rPr>
          <w:rFonts w:hint="eastAsia" w:ascii="宋体" w:hAnsi="宋体" w:cs="宋体"/>
          <w:b w:val="0"/>
          <w:bCs w:val="0"/>
          <w:color w:val="auto"/>
          <w:szCs w:val="21"/>
          <w:highlight w:val="none"/>
          <w:lang w:eastAsia="zh-CN"/>
        </w:rPr>
        <w:t>）完成</w:t>
      </w:r>
      <w:r>
        <w:rPr>
          <w:rFonts w:hint="eastAsia"/>
          <w:color w:val="auto"/>
          <w:szCs w:val="22"/>
          <w:highlight w:val="none"/>
          <w:lang w:eastAsia="zh-CN"/>
        </w:rPr>
        <w:t>常压电热锅炉</w:t>
      </w:r>
      <w:r>
        <w:rPr>
          <w:rFonts w:hint="eastAsia"/>
          <w:color w:val="auto"/>
          <w:szCs w:val="22"/>
          <w:highlight w:val="none"/>
          <w:lang w:val="en-US" w:eastAsia="zh-CN"/>
        </w:rPr>
        <w:t>年检</w:t>
      </w:r>
      <w:r>
        <w:rPr>
          <w:rFonts w:hint="eastAsia" w:ascii="宋体" w:hAnsi="宋体" w:cs="宋体"/>
          <w:b w:val="0"/>
          <w:bCs w:val="0"/>
          <w:color w:val="auto"/>
          <w:szCs w:val="21"/>
          <w:highlight w:val="none"/>
          <w:lang w:eastAsia="zh-CN"/>
        </w:rPr>
        <w:t>的，</w:t>
      </w:r>
      <w:r>
        <w:rPr>
          <w:rFonts w:hint="eastAsia" w:ascii="宋体" w:hAnsi="宋体" w:cs="宋体"/>
          <w:b w:val="0"/>
          <w:bCs w:val="0"/>
          <w:color w:val="auto"/>
          <w:szCs w:val="21"/>
          <w:highlight w:val="none"/>
        </w:rPr>
        <w:t>扣除中标</w:t>
      </w:r>
      <w:r>
        <w:rPr>
          <w:rFonts w:hint="eastAsia" w:ascii="宋体" w:hAnsi="宋体" w:cs="宋体"/>
          <w:b w:val="0"/>
          <w:bCs w:val="0"/>
          <w:color w:val="auto"/>
          <w:szCs w:val="21"/>
          <w:highlight w:val="none"/>
          <w:lang w:val="en-US" w:eastAsia="zh-CN"/>
        </w:rPr>
        <w:t>人</w:t>
      </w:r>
      <w:r>
        <w:rPr>
          <w:rFonts w:hint="eastAsia" w:ascii="宋体" w:hAnsi="宋体" w:cs="宋体"/>
          <w:b w:val="0"/>
          <w:bCs w:val="0"/>
          <w:color w:val="auto"/>
          <w:szCs w:val="21"/>
          <w:highlight w:val="none"/>
          <w:lang w:eastAsia="zh-CN"/>
        </w:rPr>
        <w:t>延期月份</w:t>
      </w:r>
      <w:r>
        <w:rPr>
          <w:rFonts w:hint="eastAsia" w:ascii="宋体" w:hAnsi="宋体" w:cs="宋体"/>
          <w:b w:val="0"/>
          <w:bCs w:val="0"/>
          <w:color w:val="auto"/>
          <w:szCs w:val="21"/>
          <w:highlight w:val="none"/>
        </w:rPr>
        <w:t>物业管理服务费的</w:t>
      </w:r>
      <w:r>
        <w:rPr>
          <w:rFonts w:hint="eastAsia" w:ascii="宋体" w:hAnsi="宋体" w:cs="宋体"/>
          <w:b w:val="0"/>
          <w:bCs w:val="0"/>
          <w:color w:val="auto"/>
          <w:szCs w:val="21"/>
          <w:highlight w:val="none"/>
          <w:lang w:val="en-US" w:eastAsia="zh-CN"/>
        </w:rPr>
        <w:t>1</w:t>
      </w:r>
      <w:r>
        <w:rPr>
          <w:rFonts w:hint="eastAsia" w:ascii="宋体" w:hAnsi="宋体" w:cs="宋体"/>
          <w:b w:val="0"/>
          <w:bCs w:val="0"/>
          <w:color w:val="auto"/>
          <w:szCs w:val="21"/>
          <w:highlight w:val="none"/>
        </w:rPr>
        <w:t>-3%</w:t>
      </w:r>
      <w:r>
        <w:rPr>
          <w:rFonts w:hint="eastAsia" w:ascii="宋体" w:hAnsi="宋体" w:cs="宋体"/>
          <w:b w:val="0"/>
          <w:bCs w:val="0"/>
          <w:color w:val="auto"/>
          <w:szCs w:val="21"/>
          <w:highlight w:val="none"/>
          <w:lang w:eastAsia="zh-CN"/>
        </w:rPr>
        <w:t>，</w:t>
      </w:r>
      <w:r>
        <w:rPr>
          <w:rFonts w:hint="eastAsia" w:ascii="宋体" w:hAnsi="宋体" w:cs="宋体"/>
          <w:b w:val="0"/>
          <w:bCs w:val="0"/>
          <w:color w:val="auto"/>
          <w:szCs w:val="21"/>
          <w:highlight w:val="none"/>
        </w:rPr>
        <w:t>造成采购人损失的费用全部由中标人承担</w:t>
      </w:r>
      <w:r>
        <w:rPr>
          <w:rFonts w:hint="eastAsia" w:ascii="宋体" w:hAnsi="宋体" w:cs="宋体"/>
          <w:b w:val="0"/>
          <w:bCs w:val="0"/>
          <w:color w:val="auto"/>
          <w:szCs w:val="21"/>
          <w:highlight w:val="none"/>
          <w:lang w:eastAsia="zh-CN"/>
        </w:rPr>
        <w:t>。</w:t>
      </w:r>
    </w:p>
    <w:p>
      <w:pPr>
        <w:pStyle w:val="20"/>
        <w:rPr>
          <w:rFonts w:hint="eastAsia"/>
          <w:color w:val="auto"/>
          <w:lang w:val="en-US" w:eastAsia="zh-CN"/>
        </w:rPr>
      </w:pPr>
    </w:p>
    <w:p>
      <w:pPr>
        <w:pStyle w:val="20"/>
        <w:rPr>
          <w:rFonts w:hint="eastAsia"/>
          <w:color w:val="auto"/>
          <w:lang w:val="en-US" w:eastAsia="zh-CN"/>
        </w:rPr>
      </w:pPr>
    </w:p>
    <w:p>
      <w:pPr>
        <w:pStyle w:val="20"/>
        <w:rPr>
          <w:rFonts w:hint="eastAsia"/>
          <w:color w:val="auto"/>
          <w:lang w:val="en-US" w:eastAsia="zh-CN"/>
        </w:rPr>
      </w:pPr>
    </w:p>
    <w:p>
      <w:pPr>
        <w:pStyle w:val="20"/>
        <w:rPr>
          <w:rFonts w:hint="eastAsia"/>
          <w:color w:val="auto"/>
          <w:lang w:val="en-US" w:eastAsia="zh-CN"/>
        </w:rPr>
      </w:pPr>
    </w:p>
    <w:p>
      <w:pPr>
        <w:pStyle w:val="20"/>
        <w:rPr>
          <w:rFonts w:hint="eastAsia"/>
          <w:color w:val="auto"/>
          <w:lang w:val="en-US" w:eastAsia="zh-CN"/>
        </w:rPr>
      </w:pPr>
    </w:p>
    <w:p>
      <w:pPr>
        <w:pStyle w:val="20"/>
        <w:rPr>
          <w:rFonts w:hint="eastAsia"/>
          <w:color w:val="auto"/>
          <w:lang w:val="en-US" w:eastAsia="zh-CN"/>
        </w:rPr>
      </w:pPr>
    </w:p>
    <w:p>
      <w:pPr>
        <w:pStyle w:val="20"/>
        <w:rPr>
          <w:rFonts w:hint="eastAsia"/>
          <w:color w:val="auto"/>
          <w:lang w:val="en-US" w:eastAsia="zh-CN"/>
        </w:rPr>
      </w:pPr>
    </w:p>
    <w:p>
      <w:pPr>
        <w:pStyle w:val="20"/>
        <w:rPr>
          <w:rFonts w:hint="eastAsia"/>
          <w:color w:val="auto"/>
          <w:lang w:val="en-US" w:eastAsia="zh-CN"/>
        </w:rPr>
      </w:pPr>
    </w:p>
    <w:p>
      <w:pPr>
        <w:numPr>
          <w:ilvl w:val="0"/>
          <w:numId w:val="0"/>
        </w:numPr>
        <w:spacing w:line="360" w:lineRule="auto"/>
        <w:ind w:leftChars="191"/>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bidi="ar-SA"/>
        </w:rPr>
        <w:t>附</w:t>
      </w:r>
      <w:bookmarkEnd w:id="699"/>
      <w:bookmarkEnd w:id="700"/>
      <w:bookmarkEnd w:id="701"/>
      <w:bookmarkEnd w:id="702"/>
      <w:bookmarkEnd w:id="703"/>
      <w:bookmarkEnd w:id="704"/>
      <w:bookmarkEnd w:id="705"/>
      <w:bookmarkEnd w:id="706"/>
    </w:p>
    <w:p>
      <w:pPr>
        <w:numPr>
          <w:ilvl w:val="0"/>
          <w:numId w:val="0"/>
        </w:numPr>
        <w:spacing w:line="360" w:lineRule="auto"/>
        <w:ind w:leftChars="191"/>
        <w:jc w:val="center"/>
        <w:rPr>
          <w:rFonts w:hint="eastAsia" w:ascii="宋体" w:hAnsi="宋体" w:eastAsia="宋体" w:cs="宋体"/>
          <w:b w:val="0"/>
          <w:bCs w:val="0"/>
          <w:color w:val="auto"/>
          <w:kern w:val="0"/>
          <w:sz w:val="36"/>
          <w:szCs w:val="36"/>
          <w:lang w:val="en-US" w:eastAsia="zh-CN" w:bidi="ar-SA"/>
        </w:rPr>
      </w:pPr>
      <w:bookmarkStart w:id="707" w:name="_Toc1746"/>
      <w:bookmarkStart w:id="708" w:name="_Toc26652"/>
      <w:bookmarkStart w:id="709" w:name="_Toc10273"/>
      <w:bookmarkStart w:id="710" w:name="_Toc1010"/>
      <w:bookmarkStart w:id="711" w:name="_Toc5083"/>
      <w:bookmarkStart w:id="712" w:name="_Toc23695"/>
      <w:bookmarkStart w:id="713" w:name="_Toc13840"/>
      <w:bookmarkStart w:id="714" w:name="_Toc12357"/>
      <w:bookmarkStart w:id="715" w:name="_Toc8571"/>
      <w:bookmarkStart w:id="716" w:name="_Toc3906"/>
      <w:r>
        <w:rPr>
          <w:rFonts w:hint="eastAsia" w:ascii="宋体" w:hAnsi="宋体" w:eastAsia="宋体" w:cs="宋体"/>
          <w:b w:val="0"/>
          <w:bCs w:val="0"/>
          <w:color w:val="auto"/>
          <w:kern w:val="0"/>
          <w:sz w:val="36"/>
          <w:szCs w:val="36"/>
          <w:lang w:val="en-US" w:eastAsia="zh-CN" w:bidi="ar-SA"/>
        </w:rPr>
        <w:t>机关后勤服务项目月度工作目标考核评分细则</w:t>
      </w:r>
      <w:bookmarkEnd w:id="707"/>
      <w:bookmarkEnd w:id="708"/>
      <w:bookmarkEnd w:id="709"/>
      <w:bookmarkEnd w:id="710"/>
      <w:bookmarkEnd w:id="711"/>
      <w:bookmarkEnd w:id="712"/>
      <w:bookmarkEnd w:id="713"/>
      <w:bookmarkEnd w:id="714"/>
      <w:bookmarkEnd w:id="715"/>
      <w:bookmarkEnd w:id="716"/>
    </w:p>
    <w:p>
      <w:pPr>
        <w:numPr>
          <w:ilvl w:val="0"/>
          <w:numId w:val="0"/>
        </w:numPr>
        <w:spacing w:line="360" w:lineRule="auto"/>
        <w:ind w:leftChars="191"/>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val="0"/>
          <w:bCs w:val="0"/>
          <w:color w:val="auto"/>
          <w:kern w:val="0"/>
          <w:sz w:val="36"/>
          <w:szCs w:val="36"/>
          <w:lang w:val="en-US" w:eastAsia="zh-CN" w:bidi="ar-SA"/>
        </w:rPr>
        <w:t>（总分1000分，以百分制计算）</w:t>
      </w:r>
    </w:p>
    <w:tbl>
      <w:tblPr>
        <w:tblStyle w:val="38"/>
        <w:tblpPr w:leftFromText="180" w:rightFromText="180" w:vertAnchor="text" w:horzAnchor="page" w:tblpX="1780" w:tblpY="6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95"/>
        <w:gridCol w:w="762"/>
        <w:gridCol w:w="763"/>
        <w:gridCol w:w="6"/>
        <w:gridCol w:w="5214"/>
        <w:gridCol w:w="35"/>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57" w:type="dxa"/>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bookmarkStart w:id="717" w:name="_Toc23615"/>
            <w:bookmarkStart w:id="718" w:name="_Toc20571"/>
            <w:bookmarkStart w:id="719" w:name="_Toc14406"/>
            <w:bookmarkStart w:id="720" w:name="_Toc25189"/>
            <w:bookmarkStart w:id="721" w:name="_Toc2229"/>
            <w:bookmarkStart w:id="722" w:name="_Toc11449"/>
            <w:bookmarkStart w:id="723" w:name="_Toc28228"/>
            <w:bookmarkStart w:id="724" w:name="_Toc29156"/>
            <w:bookmarkStart w:id="725" w:name="_Toc23856"/>
            <w:bookmarkStart w:id="726" w:name="_Toc24243"/>
            <w:r>
              <w:rPr>
                <w:rFonts w:hint="eastAsia" w:ascii="宋体" w:hAnsi="宋体" w:cs="宋体"/>
                <w:color w:val="auto"/>
                <w:sz w:val="18"/>
                <w:szCs w:val="18"/>
                <w:highlight w:val="none"/>
              </w:rPr>
              <w:t>项目</w:t>
            </w:r>
          </w:p>
        </w:tc>
        <w:tc>
          <w:tcPr>
            <w:tcW w:w="7040" w:type="dxa"/>
            <w:gridSpan w:val="5"/>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考   核  项  目</w:t>
            </w:r>
          </w:p>
        </w:tc>
        <w:tc>
          <w:tcPr>
            <w:tcW w:w="1417" w:type="dxa"/>
            <w:gridSpan w:val="2"/>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考核扣分分数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restart"/>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（一）</w:t>
            </w:r>
          </w:p>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基础</w:t>
            </w:r>
          </w:p>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管理88-106分</w:t>
            </w:r>
          </w:p>
        </w:tc>
        <w:tc>
          <w:tcPr>
            <w:tcW w:w="7040" w:type="dxa"/>
            <w:gridSpan w:val="5"/>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Times New Roman"/>
                <w:color w:val="auto"/>
                <w:kern w:val="2"/>
                <w:sz w:val="18"/>
                <w:szCs w:val="18"/>
                <w:highlight w:val="none"/>
              </w:rPr>
              <w:t>员工未统一着装，未佩戴明显标志，工作不规范，作风不严谨；</w:t>
            </w:r>
          </w:p>
        </w:tc>
        <w:tc>
          <w:tcPr>
            <w:tcW w:w="1417" w:type="dxa"/>
            <w:gridSpan w:val="2"/>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default" w:ascii="宋体" w:hAnsi="宋体" w:cs="宋体"/>
                <w:color w:val="auto"/>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040" w:type="dxa"/>
            <w:gridSpan w:val="5"/>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Times New Roman"/>
                <w:color w:val="auto"/>
                <w:kern w:val="2"/>
                <w:sz w:val="18"/>
                <w:szCs w:val="18"/>
                <w:highlight w:val="none"/>
              </w:rPr>
              <w:t>管理人员和专业技术（值班、维修、操作）人员未持有效上岗证件；</w:t>
            </w:r>
          </w:p>
        </w:tc>
        <w:tc>
          <w:tcPr>
            <w:tcW w:w="1417" w:type="dxa"/>
            <w:gridSpan w:val="2"/>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default" w:ascii="宋体" w:hAnsi="宋体" w:cs="宋体"/>
                <w:color w:val="auto"/>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040" w:type="dxa"/>
            <w:gridSpan w:val="5"/>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未经同意擅自带人进入各办公区和有关区域参观；</w:t>
            </w:r>
          </w:p>
        </w:tc>
        <w:tc>
          <w:tcPr>
            <w:tcW w:w="1417" w:type="dxa"/>
            <w:gridSpan w:val="2"/>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default" w:ascii="宋体" w:hAnsi="宋体" w:cs="宋体"/>
                <w:color w:val="auto"/>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040" w:type="dxa"/>
            <w:gridSpan w:val="5"/>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当班时行为不规范，存在大声喧哗，追逐打闹，勾肩搭背，串岗、</w:t>
            </w:r>
            <w:r>
              <w:rPr>
                <w:rFonts w:hint="eastAsia" w:ascii="宋体" w:hAnsi="宋体" w:cs="Times New Roman"/>
                <w:color w:val="auto"/>
                <w:kern w:val="2"/>
                <w:sz w:val="18"/>
                <w:szCs w:val="18"/>
                <w:highlight w:val="none"/>
              </w:rPr>
              <w:t>聊天、玩游戏等；</w:t>
            </w:r>
          </w:p>
        </w:tc>
        <w:tc>
          <w:tcPr>
            <w:tcW w:w="1417" w:type="dxa"/>
            <w:gridSpan w:val="2"/>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040" w:type="dxa"/>
            <w:gridSpan w:val="5"/>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Times New Roman"/>
                <w:color w:val="auto"/>
                <w:kern w:val="2"/>
                <w:sz w:val="18"/>
                <w:szCs w:val="18"/>
                <w:highlight w:val="none"/>
              </w:rPr>
              <w:t>未按规定填写操作记录、交接班记录；</w:t>
            </w:r>
          </w:p>
        </w:tc>
        <w:tc>
          <w:tcPr>
            <w:tcW w:w="1417" w:type="dxa"/>
            <w:gridSpan w:val="2"/>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040" w:type="dxa"/>
            <w:gridSpan w:val="5"/>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在禁止吸烟区域吸烟或使用明火；</w:t>
            </w:r>
          </w:p>
        </w:tc>
        <w:tc>
          <w:tcPr>
            <w:tcW w:w="1417" w:type="dxa"/>
            <w:gridSpan w:val="2"/>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040" w:type="dxa"/>
            <w:gridSpan w:val="5"/>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未严格遵守操作规程、爱护公共财物设备、工具；</w:t>
            </w:r>
          </w:p>
        </w:tc>
        <w:tc>
          <w:tcPr>
            <w:tcW w:w="1417" w:type="dxa"/>
            <w:gridSpan w:val="2"/>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040" w:type="dxa"/>
            <w:gridSpan w:val="5"/>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发现各办公区财物丢失，在接受调查时未如实反映情况；</w:t>
            </w:r>
          </w:p>
        </w:tc>
        <w:tc>
          <w:tcPr>
            <w:tcW w:w="1417" w:type="dxa"/>
            <w:gridSpan w:val="2"/>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040" w:type="dxa"/>
            <w:gridSpan w:val="5"/>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不服从管理，无故拒绝工作安排；</w:t>
            </w:r>
          </w:p>
        </w:tc>
        <w:tc>
          <w:tcPr>
            <w:tcW w:w="1417" w:type="dxa"/>
            <w:gridSpan w:val="2"/>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040" w:type="dxa"/>
            <w:gridSpan w:val="5"/>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在各办公区内进行任何形式的赌博活动；</w:t>
            </w:r>
          </w:p>
        </w:tc>
        <w:tc>
          <w:tcPr>
            <w:tcW w:w="1417" w:type="dxa"/>
            <w:gridSpan w:val="2"/>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040" w:type="dxa"/>
            <w:gridSpan w:val="5"/>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服务态度差；</w:t>
            </w:r>
          </w:p>
        </w:tc>
        <w:tc>
          <w:tcPr>
            <w:tcW w:w="1417" w:type="dxa"/>
            <w:gridSpan w:val="2"/>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040" w:type="dxa"/>
            <w:gridSpan w:val="5"/>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Times New Roman"/>
                <w:color w:val="auto"/>
                <w:kern w:val="2"/>
                <w:sz w:val="18"/>
                <w:szCs w:val="18"/>
                <w:highlight w:val="none"/>
              </w:rPr>
              <w:t>未保持岗位卫生清洁；</w:t>
            </w:r>
          </w:p>
        </w:tc>
        <w:tc>
          <w:tcPr>
            <w:tcW w:w="1417" w:type="dxa"/>
            <w:gridSpan w:val="2"/>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default" w:ascii="宋体" w:hAnsi="宋体" w:cs="宋体"/>
                <w:color w:val="auto"/>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040" w:type="dxa"/>
            <w:gridSpan w:val="5"/>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未做好节假日工作值班安排；</w:t>
            </w:r>
          </w:p>
        </w:tc>
        <w:tc>
          <w:tcPr>
            <w:tcW w:w="1417" w:type="dxa"/>
            <w:gridSpan w:val="2"/>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040" w:type="dxa"/>
            <w:gridSpan w:val="5"/>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服务工作人员未遵守甲方劳动纪律和规章制度</w:t>
            </w:r>
          </w:p>
        </w:tc>
        <w:tc>
          <w:tcPr>
            <w:tcW w:w="1417" w:type="dxa"/>
            <w:gridSpan w:val="2"/>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040" w:type="dxa"/>
            <w:gridSpan w:val="5"/>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岗位设置不合理，责任不明确，</w:t>
            </w:r>
            <w:r>
              <w:rPr>
                <w:rFonts w:hint="eastAsia" w:ascii="宋体" w:hAnsi="宋体" w:cs="宋体"/>
                <w:color w:val="auto"/>
                <w:sz w:val="18"/>
                <w:szCs w:val="18"/>
                <w:highlight w:val="none"/>
              </w:rPr>
              <w:t>项目经理、保安、设备工程及服务项目工作人员等未</w:t>
            </w:r>
            <w:r>
              <w:rPr>
                <w:rFonts w:hint="eastAsia" w:ascii="宋体" w:hAnsi="宋体" w:cs="Times New Roman"/>
                <w:color w:val="auto"/>
                <w:kern w:val="2"/>
                <w:sz w:val="18"/>
                <w:szCs w:val="18"/>
                <w:highlight w:val="none"/>
              </w:rPr>
              <w:t>按合同要求配备齐全；</w:t>
            </w:r>
          </w:p>
        </w:tc>
        <w:tc>
          <w:tcPr>
            <w:tcW w:w="1417" w:type="dxa"/>
            <w:gridSpan w:val="2"/>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r>
              <w:rPr>
                <w:rFonts w:hint="eastAsia" w:ascii="宋体" w:hAnsi="宋体" w:cs="宋体"/>
                <w:color w:val="auto"/>
                <w:sz w:val="18"/>
                <w:szCs w:val="18"/>
                <w:highlight w:val="none"/>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（二）</w:t>
            </w:r>
          </w:p>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安保</w:t>
            </w:r>
          </w:p>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工作</w:t>
            </w:r>
            <w:r>
              <w:rPr>
                <w:rFonts w:hint="eastAsia" w:ascii="宋体" w:hAnsi="宋体" w:cs="宋体"/>
                <w:color w:val="auto"/>
                <w:sz w:val="18"/>
                <w:szCs w:val="18"/>
                <w:highlight w:val="none"/>
                <w:lang w:val="en-US" w:eastAsia="zh-CN"/>
              </w:rPr>
              <w:t>81-142</w:t>
            </w:r>
            <w:r>
              <w:rPr>
                <w:rFonts w:hint="eastAsia" w:ascii="宋体" w:hAnsi="宋体" w:cs="宋体"/>
                <w:color w:val="auto"/>
                <w:sz w:val="18"/>
                <w:szCs w:val="18"/>
                <w:highlight w:val="none"/>
              </w:rPr>
              <w:t>分</w:t>
            </w:r>
          </w:p>
        </w:tc>
        <w:tc>
          <w:tcPr>
            <w:tcW w:w="704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门卫执勤人员未严格按规定时间开门、关门；</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04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存在闲杂人员（推销等）进入大院；</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04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未加强车辆管理，进出口车辆逆向行驶；</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04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停车场停车秩序混乱；</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04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未严格按《内保条例》要求开展消防、安防工作；</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04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Times New Roman"/>
                <w:color w:val="auto"/>
                <w:kern w:val="2"/>
                <w:sz w:val="18"/>
                <w:szCs w:val="18"/>
                <w:highlight w:val="none"/>
              </w:rPr>
              <w:t>不</w:t>
            </w:r>
            <w:r>
              <w:rPr>
                <w:rFonts w:hint="eastAsia" w:ascii="宋体" w:hAnsi="宋体" w:cs="宋体"/>
                <w:color w:val="auto"/>
                <w:sz w:val="18"/>
                <w:szCs w:val="18"/>
                <w:highlight w:val="none"/>
              </w:rPr>
              <w:t>按照程序做好来访登记，岗亭立岗不规范；</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04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未积极落实安全隐患整改措施；</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04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消防安全监控系统日常维护未达到要求，未及时更换损坏零配件；</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04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安保人员擅自脱岗或夜班睡觉；</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04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压力表、室内消防栓、灭火器等消防器材摆放</w:t>
            </w:r>
            <w:r>
              <w:rPr>
                <w:rFonts w:hint="eastAsia" w:ascii="宋体" w:hAnsi="宋体" w:cs="Times New Roman"/>
                <w:color w:val="auto"/>
                <w:kern w:val="2"/>
                <w:sz w:val="18"/>
                <w:szCs w:val="18"/>
                <w:highlight w:val="none"/>
              </w:rPr>
              <w:t>不</w:t>
            </w:r>
            <w:r>
              <w:rPr>
                <w:rFonts w:hint="eastAsia" w:ascii="宋体" w:hAnsi="宋体" w:cs="宋体"/>
                <w:color w:val="auto"/>
                <w:sz w:val="18"/>
                <w:szCs w:val="18"/>
                <w:highlight w:val="none"/>
              </w:rPr>
              <w:t>合理，未定期检查，未能保证正常使用；</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04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遇突发事件或群体上访，安保人员到位不及时。</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restart"/>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（三）</w:t>
            </w:r>
          </w:p>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卫 生</w:t>
            </w:r>
          </w:p>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保 洁</w:t>
            </w:r>
          </w:p>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24-</w:t>
            </w:r>
            <w:r>
              <w:rPr>
                <w:rFonts w:hint="eastAsia" w:ascii="宋体" w:hAnsi="宋体" w:cs="宋体"/>
                <w:color w:val="auto"/>
                <w:sz w:val="18"/>
                <w:szCs w:val="18"/>
                <w:highlight w:val="none"/>
                <w:lang w:val="en-US" w:eastAsia="zh-CN"/>
              </w:rPr>
              <w:t>38</w:t>
            </w:r>
            <w:r>
              <w:rPr>
                <w:rFonts w:hint="eastAsia" w:ascii="宋体" w:hAnsi="宋体" w:cs="宋体"/>
                <w:color w:val="auto"/>
                <w:sz w:val="18"/>
                <w:szCs w:val="18"/>
                <w:highlight w:val="none"/>
              </w:rPr>
              <w:t>分</w:t>
            </w:r>
          </w:p>
        </w:tc>
        <w:tc>
          <w:tcPr>
            <w:tcW w:w="762" w:type="dxa"/>
            <w:vMerge w:val="restart"/>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大厅</w:t>
            </w:r>
          </w:p>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楼层</w:t>
            </w: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宋体"/>
                <w:color w:val="auto"/>
                <w:sz w:val="18"/>
                <w:szCs w:val="18"/>
                <w:highlight w:val="none"/>
              </w:rPr>
            </w:pPr>
            <w:r>
              <w:rPr>
                <w:rFonts w:hint="eastAsia" w:ascii="宋体" w:hAnsi="宋体" w:cs="宋体"/>
                <w:color w:val="auto"/>
                <w:sz w:val="18"/>
                <w:szCs w:val="18"/>
                <w:highlight w:val="none"/>
              </w:rPr>
              <w:t>地面存在脚印、灰尘；</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18"/>
                <w:szCs w:val="18"/>
                <w:highlight w:val="none"/>
                <w:lang w:eastAsia="zh-CN"/>
              </w:rPr>
            </w:pPr>
            <w:r>
              <w:rPr>
                <w:rFonts w:hint="eastAsia" w:ascii="宋体" w:hAnsi="宋体" w:cs="宋体"/>
                <w:b w:val="0"/>
                <w:bCs w:val="0"/>
                <w:color w:val="auto"/>
                <w:sz w:val="18"/>
                <w:szCs w:val="18"/>
                <w:highlight w:val="none"/>
              </w:rPr>
              <w:t>1-</w:t>
            </w:r>
            <w:r>
              <w:rPr>
                <w:rFonts w:hint="eastAsia" w:ascii="宋体" w:hAnsi="宋体" w:cs="宋体"/>
                <w:b w:val="0"/>
                <w:bCs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rPr>
                <w:rFonts w:hint="default" w:ascii="宋体" w:hAnsi="宋体" w:cs="宋体"/>
                <w:color w:val="auto"/>
                <w:sz w:val="18"/>
                <w:szCs w:val="18"/>
                <w:highlight w:val="none"/>
              </w:rPr>
            </w:pPr>
            <w:r>
              <w:rPr>
                <w:rFonts w:hint="eastAsia" w:ascii="宋体" w:hAnsi="宋体" w:cs="宋体"/>
                <w:color w:val="auto"/>
                <w:sz w:val="18"/>
                <w:szCs w:val="18"/>
                <w:highlight w:val="none"/>
              </w:rPr>
              <w:t>墙身存在积尘、蜘蛛网；</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rPr>
              <w:t>1-</w:t>
            </w:r>
            <w:r>
              <w:rPr>
                <w:rFonts w:hint="eastAsia" w:ascii="宋体" w:hAnsi="宋体" w:cs="宋体"/>
                <w:b w:val="0"/>
                <w:bCs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rPr>
                <w:rFonts w:hint="default" w:ascii="宋体" w:hAnsi="宋体" w:cs="宋体"/>
                <w:color w:val="auto"/>
                <w:sz w:val="18"/>
                <w:szCs w:val="18"/>
                <w:highlight w:val="none"/>
              </w:rPr>
            </w:pPr>
            <w:r>
              <w:rPr>
                <w:rFonts w:hint="eastAsia" w:ascii="宋体" w:hAnsi="宋体" w:cs="宋体"/>
                <w:color w:val="auto"/>
                <w:sz w:val="18"/>
                <w:szCs w:val="18"/>
                <w:highlight w:val="none"/>
              </w:rPr>
              <w:t>大理石柱存在积灰、污渍；</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rPr>
              <w:t>1-</w:t>
            </w:r>
            <w:r>
              <w:rPr>
                <w:rFonts w:hint="eastAsia" w:ascii="宋体" w:hAnsi="宋体" w:cs="宋体"/>
                <w:b w:val="0"/>
                <w:bCs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rPr>
                <w:rFonts w:hint="default" w:ascii="宋体" w:hAnsi="宋体" w:cs="宋体"/>
                <w:color w:val="auto"/>
                <w:sz w:val="18"/>
                <w:szCs w:val="18"/>
                <w:highlight w:val="none"/>
              </w:rPr>
            </w:pPr>
            <w:r>
              <w:rPr>
                <w:rFonts w:hint="eastAsia" w:ascii="宋体" w:hAnsi="宋体" w:cs="宋体"/>
                <w:color w:val="auto"/>
                <w:sz w:val="18"/>
                <w:szCs w:val="18"/>
                <w:highlight w:val="none"/>
              </w:rPr>
              <w:t>办公室门存在灰尘、污渍，不光亮；</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rPr>
              <w:t>1-</w:t>
            </w:r>
            <w:r>
              <w:rPr>
                <w:rFonts w:hint="eastAsia" w:ascii="宋体" w:hAnsi="宋体" w:cs="宋体"/>
                <w:b w:val="0"/>
                <w:bCs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rPr>
                <w:rFonts w:hint="default" w:ascii="宋体" w:hAnsi="宋体" w:cs="宋体"/>
                <w:color w:val="auto"/>
                <w:sz w:val="18"/>
                <w:szCs w:val="18"/>
                <w:highlight w:val="none"/>
              </w:rPr>
            </w:pPr>
            <w:r>
              <w:rPr>
                <w:rFonts w:hint="eastAsia" w:ascii="宋体" w:hAnsi="宋体" w:cs="宋体"/>
                <w:color w:val="auto"/>
                <w:sz w:val="18"/>
                <w:szCs w:val="18"/>
                <w:highlight w:val="none"/>
              </w:rPr>
              <w:t>标识牌（各类）有积灰、污渍；</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rPr>
              <w:t>1-</w:t>
            </w:r>
            <w:r>
              <w:rPr>
                <w:rFonts w:hint="eastAsia" w:ascii="宋体" w:hAnsi="宋体" w:cs="宋体"/>
                <w:b w:val="0"/>
                <w:bCs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各类消防设施有灰尘、污渍；</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rPr>
              <w:t>1-</w:t>
            </w:r>
            <w:r>
              <w:rPr>
                <w:rFonts w:hint="eastAsia" w:ascii="宋体" w:hAnsi="宋体" w:cs="宋体"/>
                <w:b w:val="0"/>
                <w:bCs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墙脚线有积灰、污渍；</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rPr>
              <w:t>1-</w:t>
            </w:r>
            <w:r>
              <w:rPr>
                <w:rFonts w:hint="eastAsia" w:ascii="宋体" w:hAnsi="宋体" w:cs="宋体"/>
                <w:b w:val="0"/>
                <w:bCs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风口有积尘、污渍；</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rPr>
              <w:t>1-</w:t>
            </w:r>
            <w:r>
              <w:rPr>
                <w:rFonts w:hint="eastAsia" w:ascii="宋体" w:hAnsi="宋体" w:cs="宋体"/>
                <w:b w:val="0"/>
                <w:bCs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烟灰缸烟蒂超过三只、外表不清洁；</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rPr>
              <w:t>1-</w:t>
            </w:r>
            <w:r>
              <w:rPr>
                <w:rFonts w:hint="eastAsia" w:ascii="宋体" w:hAnsi="宋体" w:cs="宋体"/>
                <w:b w:val="0"/>
                <w:bCs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废物箱垃圾满溢、拖挂；</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rPr>
              <w:t>1-</w:t>
            </w:r>
            <w:r>
              <w:rPr>
                <w:rFonts w:hint="eastAsia" w:ascii="宋体" w:hAnsi="宋体" w:cs="宋体"/>
                <w:b w:val="0"/>
                <w:bCs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门框有灰尘、手印、不明亮；</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rPr>
              <w:t>1-</w:t>
            </w:r>
            <w:r>
              <w:rPr>
                <w:rFonts w:hint="eastAsia" w:ascii="宋体" w:hAnsi="宋体" w:cs="宋体"/>
                <w:b w:val="0"/>
                <w:bCs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玻璃推门有积尘、手印、不明亮；</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rPr>
              <w:t>1-</w:t>
            </w:r>
            <w:r>
              <w:rPr>
                <w:rFonts w:hint="eastAsia" w:ascii="宋体" w:hAnsi="宋体" w:cs="宋体"/>
                <w:b w:val="0"/>
                <w:bCs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灯具有积灰；</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rPr>
              <w:t>1-</w:t>
            </w:r>
            <w:r>
              <w:rPr>
                <w:rFonts w:hint="eastAsia" w:ascii="宋体" w:hAnsi="宋体" w:cs="宋体"/>
                <w:b w:val="0"/>
                <w:bCs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天花板有积尘、蛛网；</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18"/>
                <w:szCs w:val="18"/>
                <w:highlight w:val="none"/>
                <w:lang w:eastAsia="zh-CN"/>
              </w:rPr>
            </w:pPr>
            <w:r>
              <w:rPr>
                <w:rFonts w:hint="eastAsia" w:ascii="宋体" w:hAnsi="宋体" w:cs="宋体"/>
                <w:b w:val="0"/>
                <w:bCs w:val="0"/>
                <w:color w:val="auto"/>
                <w:sz w:val="18"/>
                <w:szCs w:val="18"/>
                <w:highlight w:val="none"/>
              </w:rPr>
              <w:t>1-</w:t>
            </w:r>
            <w:r>
              <w:rPr>
                <w:rFonts w:hint="eastAsia" w:ascii="宋体" w:hAnsi="宋体" w:cs="宋体"/>
                <w:b w:val="0"/>
                <w:bCs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大理石未定期打蜡，或有定期打蜡但不符合质量要求。</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restart"/>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（三）</w:t>
            </w:r>
          </w:p>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卫 生</w:t>
            </w:r>
          </w:p>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保 洁</w:t>
            </w:r>
          </w:p>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lang w:val="en-US" w:eastAsia="zh-CN"/>
              </w:rPr>
              <w:t>42</w:t>
            </w:r>
            <w:r>
              <w:rPr>
                <w:rFonts w:hint="eastAsia" w:ascii="宋体" w:hAnsi="宋体" w:cs="宋体"/>
                <w:color w:val="auto"/>
                <w:sz w:val="18"/>
                <w:szCs w:val="18"/>
                <w:highlight w:val="none"/>
              </w:rPr>
              <w:t>分</w:t>
            </w:r>
          </w:p>
        </w:tc>
        <w:tc>
          <w:tcPr>
            <w:tcW w:w="762" w:type="dxa"/>
            <w:vMerge w:val="restart"/>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洗</w:t>
            </w:r>
          </w:p>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手</w:t>
            </w:r>
          </w:p>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间</w:t>
            </w: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玻璃窗有灰尘、手印；</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隔断有灰尘、涂画、污垢；</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水龙头有水锈、污渍；</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镜面有水迹、污渍、不明亮；</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台面有水迹、污渍；</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墙面有灰尘、污渍；</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灯罩、天花有积灰；</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门和门框有灰尘、手印；</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卫生纸短缺；</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地面有垃圾、水迹、污渍；</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尿斗、便盆、面盆有污垢、积垢、未清洁；</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restart"/>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楼</w:t>
            </w:r>
          </w:p>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梯</w:t>
            </w: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墙面有灰尘；</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外露管道有积尘；</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扶手、栏杆有灰尘；</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灯具有灰尘；</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楼梯级和平台有垃圾、积灰。</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楼顶</w:t>
            </w:r>
          </w:p>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及下水道</w:t>
            </w:r>
          </w:p>
        </w:tc>
        <w:tc>
          <w:tcPr>
            <w:tcW w:w="6018" w:type="dxa"/>
            <w:gridSpan w:val="4"/>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楼顶有垃圾、下水道堵塞、下水沟未及时清理造成堵塞</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restart"/>
            <w:noWrap w:val="0"/>
            <w:vAlign w:val="center"/>
          </w:tcPr>
          <w:p>
            <w:pPr>
              <w:keepNext w:val="0"/>
              <w:keepLines w:val="0"/>
              <w:widowControl/>
              <w:suppressLineNumbers w:val="0"/>
              <w:spacing w:before="0" w:beforeAutospacing="0" w:after="0" w:afterAutospacing="0" w:line="340" w:lineRule="exact"/>
              <w:ind w:left="0" w:right="0"/>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（四）</w:t>
            </w:r>
          </w:p>
          <w:p>
            <w:pPr>
              <w:keepNext w:val="0"/>
              <w:keepLines w:val="0"/>
              <w:widowControl/>
              <w:suppressLineNumbers w:val="0"/>
              <w:spacing w:before="0" w:beforeAutospacing="0" w:after="0" w:afterAutospacing="0" w:line="340" w:lineRule="exact"/>
              <w:ind w:left="0" w:right="0"/>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会  议</w:t>
            </w:r>
          </w:p>
          <w:p>
            <w:pPr>
              <w:keepNext w:val="0"/>
              <w:keepLines w:val="0"/>
              <w:widowControl/>
              <w:suppressLineNumbers w:val="0"/>
              <w:spacing w:before="0" w:beforeAutospacing="0" w:after="0" w:afterAutospacing="0" w:line="340" w:lineRule="exact"/>
              <w:ind w:left="0" w:right="0"/>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服  务</w:t>
            </w:r>
          </w:p>
          <w:p>
            <w:pPr>
              <w:keepNext w:val="0"/>
              <w:keepLines w:val="0"/>
              <w:widowControl w:val="0"/>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lang w:val="en-US" w:eastAsia="zh-CN"/>
              </w:rPr>
              <w:t>85</w:t>
            </w:r>
            <w:r>
              <w:rPr>
                <w:rFonts w:hint="eastAsia" w:ascii="宋体" w:hAnsi="宋体" w:cs="宋体"/>
                <w:color w:val="auto"/>
                <w:sz w:val="18"/>
                <w:szCs w:val="18"/>
                <w:highlight w:val="none"/>
              </w:rPr>
              <w:t>-</w:t>
            </w:r>
            <w:r>
              <w:rPr>
                <w:rFonts w:hint="eastAsia" w:ascii="宋体" w:hAnsi="宋体" w:cs="宋体"/>
                <w:color w:val="auto"/>
                <w:sz w:val="18"/>
                <w:szCs w:val="18"/>
                <w:highlight w:val="none"/>
                <w:lang w:val="en-US" w:eastAsia="zh-CN"/>
              </w:rPr>
              <w:t>96</w:t>
            </w:r>
            <w:r>
              <w:rPr>
                <w:rFonts w:hint="eastAsia" w:ascii="宋体" w:hAnsi="宋体" w:cs="宋体"/>
                <w:color w:val="auto"/>
                <w:sz w:val="18"/>
                <w:szCs w:val="18"/>
                <w:highlight w:val="none"/>
              </w:rPr>
              <w:t>分</w:t>
            </w:r>
          </w:p>
        </w:tc>
        <w:tc>
          <w:tcPr>
            <w:tcW w:w="762" w:type="dxa"/>
            <w:vMerge w:val="restart"/>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会前</w:t>
            </w:r>
          </w:p>
          <w:p>
            <w:pPr>
              <w:keepNext w:val="0"/>
              <w:keepLines w:val="0"/>
              <w:widowControl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服务</w:t>
            </w:r>
          </w:p>
        </w:tc>
        <w:tc>
          <w:tcPr>
            <w:tcW w:w="6018" w:type="dxa"/>
            <w:gridSpan w:val="4"/>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接到会议通知单后，</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及时了解会议名称、性质、开会时间、地点、与会人数及布置要求，</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根据要求</w:t>
            </w:r>
            <w:r>
              <w:rPr>
                <w:rFonts w:hint="eastAsia" w:ascii="宋体" w:hAnsi="宋体" w:cs="Times New Roman"/>
                <w:color w:val="auto"/>
                <w:kern w:val="2"/>
                <w:sz w:val="18"/>
                <w:szCs w:val="18"/>
                <w:highlight w:val="none"/>
                <w:lang w:eastAsia="zh-CN"/>
              </w:rPr>
              <w:t>确定是</w:t>
            </w:r>
            <w:r>
              <w:rPr>
                <w:rFonts w:hint="eastAsia" w:ascii="宋体" w:hAnsi="宋体" w:cs="Times New Roman"/>
                <w:color w:val="auto"/>
                <w:kern w:val="2"/>
                <w:sz w:val="18"/>
                <w:szCs w:val="18"/>
                <w:highlight w:val="none"/>
              </w:rPr>
              <w:t>否屏蔽通讯信号；</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400" w:lineRule="exact"/>
              <w:ind w:left="0" w:right="0"/>
              <w:jc w:val="both"/>
              <w:rPr>
                <w:rFonts w:hint="default" w:ascii="宋体" w:hAnsi="宋体" w:cs="Times New Roman"/>
                <w:color w:val="auto"/>
                <w:kern w:val="2"/>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会场布置</w:t>
            </w:r>
            <w:r>
              <w:rPr>
                <w:rFonts w:hint="eastAsia" w:ascii="宋体" w:hAnsi="宋体" w:cs="Times New Roman"/>
                <w:color w:val="auto"/>
                <w:kern w:val="2"/>
                <w:sz w:val="18"/>
                <w:szCs w:val="18"/>
                <w:highlight w:val="none"/>
                <w:lang w:eastAsia="zh-CN"/>
              </w:rPr>
              <w:t>情况未</w:t>
            </w:r>
            <w:r>
              <w:rPr>
                <w:rFonts w:hint="eastAsia" w:ascii="宋体" w:hAnsi="宋体" w:cs="Times New Roman"/>
                <w:color w:val="auto"/>
                <w:kern w:val="2"/>
                <w:sz w:val="18"/>
                <w:szCs w:val="18"/>
                <w:highlight w:val="none"/>
              </w:rPr>
              <w:t>到位</w:t>
            </w:r>
            <w:r>
              <w:rPr>
                <w:rFonts w:hint="eastAsia" w:ascii="宋体" w:hAnsi="宋体" w:cs="Times New Roman"/>
                <w:color w:val="auto"/>
                <w:kern w:val="2"/>
                <w:sz w:val="18"/>
                <w:szCs w:val="18"/>
                <w:highlight w:val="none"/>
                <w:lang w:eastAsia="zh-CN"/>
              </w:rPr>
              <w:t>，具体情况为</w:t>
            </w:r>
            <w:r>
              <w:rPr>
                <w:rFonts w:hint="eastAsia" w:ascii="宋体" w:hAnsi="宋体" w:cs="Times New Roman"/>
                <w:color w:val="auto"/>
                <w:kern w:val="2"/>
                <w:sz w:val="18"/>
                <w:szCs w:val="18"/>
                <w:highlight w:val="none"/>
              </w:rPr>
              <w:t>：搞好会场卫生，整理和打扫桌面、抽屉、座椅、座套、地面、卫生间、门窗、领导休息室等，检查服务用品是否齐全</w:t>
            </w:r>
            <w:r>
              <w:rPr>
                <w:rFonts w:hint="eastAsia" w:ascii="宋体" w:hAnsi="宋体" w:cs="Times New Roman"/>
                <w:color w:val="auto"/>
                <w:kern w:val="2"/>
                <w:sz w:val="18"/>
                <w:szCs w:val="18"/>
                <w:highlight w:val="none"/>
                <w:lang w:eastAsia="zh-CN"/>
              </w:rPr>
              <w:t>、</w:t>
            </w:r>
            <w:r>
              <w:rPr>
                <w:rFonts w:hint="eastAsia" w:ascii="宋体" w:hAnsi="宋体" w:cs="Times New Roman"/>
                <w:color w:val="auto"/>
                <w:kern w:val="2"/>
                <w:sz w:val="18"/>
                <w:szCs w:val="18"/>
                <w:highlight w:val="none"/>
              </w:rPr>
              <w:t>桌椅座套是否整齐</w:t>
            </w:r>
            <w:r>
              <w:rPr>
                <w:rFonts w:hint="eastAsia" w:ascii="宋体" w:hAnsi="宋体" w:cs="Times New Roman"/>
                <w:color w:val="auto"/>
                <w:kern w:val="2"/>
                <w:sz w:val="18"/>
                <w:szCs w:val="18"/>
                <w:highlight w:val="none"/>
                <w:lang w:eastAsia="zh-CN"/>
              </w:rPr>
              <w:t>、</w:t>
            </w:r>
            <w:r>
              <w:rPr>
                <w:rFonts w:hint="eastAsia" w:ascii="宋体" w:hAnsi="宋体" w:cs="Times New Roman"/>
                <w:color w:val="auto"/>
                <w:kern w:val="2"/>
                <w:sz w:val="18"/>
                <w:szCs w:val="18"/>
                <w:highlight w:val="none"/>
              </w:rPr>
              <w:t>横幅是否悬挂好，根据主办要求落实鲜花和花卉的摆放；会务人员</w:t>
            </w:r>
            <w:r>
              <w:rPr>
                <w:rFonts w:hint="eastAsia" w:ascii="宋体" w:hAnsi="宋体" w:cs="Times New Roman"/>
                <w:color w:val="auto"/>
                <w:kern w:val="2"/>
                <w:sz w:val="18"/>
                <w:szCs w:val="18"/>
                <w:highlight w:val="none"/>
                <w:lang w:eastAsia="zh-CN"/>
              </w:rPr>
              <w:t>按</w:t>
            </w:r>
            <w:r>
              <w:rPr>
                <w:rFonts w:hint="eastAsia" w:ascii="宋体" w:hAnsi="宋体" w:cs="Times New Roman"/>
                <w:color w:val="auto"/>
                <w:kern w:val="2"/>
                <w:sz w:val="18"/>
                <w:szCs w:val="18"/>
                <w:highlight w:val="none"/>
              </w:rPr>
              <w:t>要求盘发；</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400" w:lineRule="exact"/>
              <w:ind w:left="0" w:right="0"/>
              <w:jc w:val="both"/>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根据会议人数、要求，确定会议的台形与桌椅数量的摆放；</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400" w:lineRule="exact"/>
              <w:ind w:left="0" w:right="0"/>
              <w:jc w:val="both"/>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调试好音响、幻灯机、电视机、录相机、投影机、空调、灯光设备等，其中大礼堂、多功能厅中央空调</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提前1小时开放，其他会议室</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提前30分钟；</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400" w:lineRule="exact"/>
              <w:ind w:left="0" w:right="0"/>
              <w:jc w:val="both"/>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服务人员</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提前1小时到达会场，备好茶水，打开音响，播放轻音乐，同时</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打开安全门和照明灯及领导休息室和通道门。会前15分钟主席台的服务员</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负责放好台上的茶杯和小毛巾，台下服务员</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备好茶水，</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做好引导工作（在大礼堂、多功能厅召开的大型会议）；</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400" w:lineRule="exact"/>
              <w:ind w:left="0" w:right="0"/>
              <w:jc w:val="both"/>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20" w:lineRule="exact"/>
              <w:ind w:left="0" w:right="0"/>
              <w:jc w:val="both"/>
              <w:rPr>
                <w:rFonts w:hint="eastAsia"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会务主管</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在会前对会场的准备情况进行逐项检查</w:t>
            </w:r>
            <w:r>
              <w:rPr>
                <w:rFonts w:hint="eastAsia" w:ascii="宋体" w:hAnsi="宋体" w:cs="Times New Roman"/>
                <w:color w:val="auto"/>
                <w:kern w:val="2"/>
                <w:sz w:val="18"/>
                <w:szCs w:val="18"/>
                <w:highlight w:val="none"/>
                <w:lang w:eastAsia="zh-CN"/>
              </w:rPr>
              <w:t>：</w:t>
            </w:r>
            <w:r>
              <w:rPr>
                <w:rFonts w:hint="eastAsia" w:ascii="宋体" w:hAnsi="宋体" w:cs="Times New Roman"/>
                <w:color w:val="auto"/>
                <w:kern w:val="2"/>
                <w:sz w:val="18"/>
                <w:szCs w:val="18"/>
                <w:highlight w:val="none"/>
              </w:rPr>
              <w:t>主要检查台下茶水准备量是否符合规范。征求主办方的意见，如有要求，立即改进；</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restart"/>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会中</w:t>
            </w:r>
          </w:p>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Times New Roman"/>
                <w:color w:val="auto"/>
                <w:kern w:val="2"/>
                <w:sz w:val="18"/>
                <w:szCs w:val="18"/>
                <w:highlight w:val="none"/>
              </w:rPr>
              <w:t>服务</w:t>
            </w:r>
          </w:p>
        </w:tc>
        <w:tc>
          <w:tcPr>
            <w:tcW w:w="6018" w:type="dxa"/>
            <w:gridSpan w:val="4"/>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lang w:eastAsia="zh-CN"/>
              </w:rPr>
              <w:t>茶水、小毛巾服务未到位：</w:t>
            </w:r>
            <w:r>
              <w:rPr>
                <w:rFonts w:hint="eastAsia" w:ascii="宋体" w:hAnsi="宋体" w:cs="Times New Roman"/>
                <w:color w:val="auto"/>
                <w:kern w:val="2"/>
                <w:sz w:val="18"/>
                <w:szCs w:val="18"/>
                <w:highlight w:val="none"/>
              </w:rPr>
              <w:t>部分客人入座后，服务人员一一送上茶水，原则上每15－20分钟添加茶水一次，也可根据实际情况与客人的要求进行调整。会议时间较长或者天气较热，会间应更换1－2次小毛巾；</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400" w:lineRule="exact"/>
              <w:ind w:left="0" w:right="0"/>
              <w:jc w:val="both"/>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及时将会场门关闭，休息区、会场</w:t>
            </w:r>
            <w:r>
              <w:rPr>
                <w:rFonts w:hint="eastAsia" w:ascii="宋体" w:hAnsi="宋体" w:cs="Times New Roman"/>
                <w:color w:val="auto"/>
                <w:kern w:val="2"/>
                <w:sz w:val="18"/>
                <w:szCs w:val="18"/>
                <w:highlight w:val="none"/>
                <w:lang w:eastAsia="zh-CN"/>
              </w:rPr>
              <w:t>不</w:t>
            </w:r>
            <w:r>
              <w:rPr>
                <w:rFonts w:hint="eastAsia" w:ascii="宋体" w:hAnsi="宋体" w:cs="Times New Roman"/>
                <w:color w:val="auto"/>
                <w:kern w:val="2"/>
                <w:sz w:val="18"/>
                <w:szCs w:val="18"/>
                <w:highlight w:val="none"/>
              </w:rPr>
              <w:t>整洁、</w:t>
            </w:r>
            <w:r>
              <w:rPr>
                <w:rFonts w:hint="eastAsia" w:ascii="宋体" w:hAnsi="宋体" w:cs="Times New Roman"/>
                <w:color w:val="auto"/>
                <w:kern w:val="2"/>
                <w:sz w:val="18"/>
                <w:szCs w:val="18"/>
                <w:highlight w:val="none"/>
                <w:lang w:eastAsia="zh-CN"/>
              </w:rPr>
              <w:t>不</w:t>
            </w:r>
            <w:r>
              <w:rPr>
                <w:rFonts w:hint="eastAsia" w:ascii="宋体" w:hAnsi="宋体" w:cs="Times New Roman"/>
                <w:color w:val="auto"/>
                <w:kern w:val="2"/>
                <w:sz w:val="18"/>
                <w:szCs w:val="18"/>
                <w:highlight w:val="none"/>
              </w:rPr>
              <w:t>卫生、</w:t>
            </w:r>
            <w:r>
              <w:rPr>
                <w:rFonts w:hint="eastAsia" w:ascii="宋体" w:hAnsi="宋体" w:cs="Times New Roman"/>
                <w:color w:val="auto"/>
                <w:kern w:val="2"/>
                <w:sz w:val="18"/>
                <w:szCs w:val="18"/>
                <w:highlight w:val="none"/>
                <w:lang w:eastAsia="zh-CN"/>
              </w:rPr>
              <w:t>不</w:t>
            </w:r>
            <w:r>
              <w:rPr>
                <w:rFonts w:hint="eastAsia" w:ascii="宋体" w:hAnsi="宋体" w:cs="Times New Roman"/>
                <w:color w:val="auto"/>
                <w:kern w:val="2"/>
                <w:sz w:val="18"/>
                <w:szCs w:val="18"/>
                <w:highlight w:val="none"/>
              </w:rPr>
              <w:t>整齐，</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及时提供临时性服务；会场秩序</w:t>
            </w:r>
            <w:r>
              <w:rPr>
                <w:rFonts w:hint="eastAsia" w:ascii="宋体" w:hAnsi="宋体" w:cs="Times New Roman"/>
                <w:color w:val="auto"/>
                <w:kern w:val="2"/>
                <w:sz w:val="18"/>
                <w:szCs w:val="18"/>
                <w:highlight w:val="none"/>
                <w:lang w:eastAsia="zh-CN"/>
              </w:rPr>
              <w:t>混乱</w:t>
            </w:r>
            <w:r>
              <w:rPr>
                <w:rFonts w:hint="eastAsia" w:ascii="宋体" w:hAnsi="宋体" w:cs="Times New Roman"/>
                <w:color w:val="auto"/>
                <w:kern w:val="2"/>
                <w:sz w:val="18"/>
                <w:szCs w:val="18"/>
                <w:highlight w:val="none"/>
              </w:rPr>
              <w:t>，无关人员进入；</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400" w:lineRule="exact"/>
              <w:ind w:left="0" w:right="0"/>
              <w:jc w:val="both"/>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会议进行过程中脱岗，</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及时提供添加茶水、更换烟缸等，特殊情况按客人要求服务。在会议中间休息时间</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整理会场，</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及时补充和更换各种用品；</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400" w:lineRule="exact"/>
              <w:ind w:left="0" w:right="0"/>
              <w:jc w:val="both"/>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spacing w:val="-4"/>
                <w:kern w:val="2"/>
                <w:sz w:val="18"/>
                <w:szCs w:val="18"/>
                <w:highlight w:val="none"/>
              </w:rPr>
              <w:t>负责音控的人员</w:t>
            </w:r>
            <w:r>
              <w:rPr>
                <w:rFonts w:hint="eastAsia" w:ascii="宋体" w:hAnsi="宋体" w:cs="Times New Roman"/>
                <w:color w:val="auto"/>
                <w:spacing w:val="-4"/>
                <w:kern w:val="2"/>
                <w:sz w:val="18"/>
                <w:szCs w:val="18"/>
                <w:highlight w:val="none"/>
                <w:lang w:eastAsia="zh-CN"/>
              </w:rPr>
              <w:t>脱离</w:t>
            </w:r>
            <w:r>
              <w:rPr>
                <w:rFonts w:hint="eastAsia" w:ascii="宋体" w:hAnsi="宋体" w:cs="Times New Roman"/>
                <w:color w:val="auto"/>
                <w:spacing w:val="-4"/>
                <w:kern w:val="2"/>
                <w:sz w:val="18"/>
                <w:szCs w:val="18"/>
                <w:highlight w:val="none"/>
              </w:rPr>
              <w:t>岗位，</w:t>
            </w:r>
            <w:r>
              <w:rPr>
                <w:rFonts w:hint="eastAsia" w:ascii="宋体" w:hAnsi="宋体" w:cs="Times New Roman"/>
                <w:color w:val="auto"/>
                <w:spacing w:val="-4"/>
                <w:kern w:val="2"/>
                <w:sz w:val="18"/>
                <w:szCs w:val="18"/>
                <w:highlight w:val="none"/>
                <w:lang w:eastAsia="zh-CN"/>
              </w:rPr>
              <w:t>未</w:t>
            </w:r>
            <w:r>
              <w:rPr>
                <w:rFonts w:hint="eastAsia" w:ascii="宋体" w:hAnsi="宋体" w:cs="Times New Roman"/>
                <w:color w:val="auto"/>
                <w:spacing w:val="-4"/>
                <w:kern w:val="2"/>
                <w:sz w:val="18"/>
                <w:szCs w:val="18"/>
                <w:highlight w:val="none"/>
              </w:rPr>
              <w:t>注意观察和随听音响设备运行状况；</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400" w:lineRule="exact"/>
              <w:ind w:left="0" w:right="0"/>
              <w:jc w:val="both"/>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服务操作</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符合规范要求，</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积极配合会议主办方完成临时发生会议相关工作任务；</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400" w:lineRule="exact"/>
              <w:ind w:left="0" w:right="0"/>
              <w:jc w:val="both"/>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宋体" w:hAnsi="宋体" w:cs="Times New Roman"/>
                <w:color w:val="auto"/>
                <w:kern w:val="2"/>
                <w:sz w:val="18"/>
                <w:szCs w:val="18"/>
                <w:highlight w:val="none"/>
              </w:rPr>
            </w:pPr>
            <w:r>
              <w:rPr>
                <w:rFonts w:hint="eastAsia" w:ascii="宋体" w:hAnsi="宋体" w:eastAsia="宋体" w:cs="Times New Roman"/>
                <w:color w:val="auto"/>
                <w:kern w:val="2"/>
                <w:sz w:val="18"/>
                <w:szCs w:val="18"/>
                <w:highlight w:val="none"/>
              </w:rPr>
              <w:t>会议服务人员在上班时间穿高跟或硬底鞋，会议服务期间手机</w:t>
            </w:r>
            <w:r>
              <w:rPr>
                <w:rFonts w:hint="eastAsia" w:ascii="宋体" w:hAnsi="宋体" w:eastAsia="宋体" w:cs="Times New Roman"/>
                <w:color w:val="auto"/>
                <w:kern w:val="2"/>
                <w:sz w:val="18"/>
                <w:szCs w:val="18"/>
                <w:highlight w:val="none"/>
                <w:lang w:eastAsia="zh-CN"/>
              </w:rPr>
              <w:t>未</w:t>
            </w:r>
            <w:r>
              <w:rPr>
                <w:rFonts w:hint="eastAsia" w:ascii="宋体" w:hAnsi="宋体" w:eastAsia="宋体" w:cs="Times New Roman"/>
                <w:color w:val="auto"/>
                <w:kern w:val="2"/>
                <w:sz w:val="18"/>
                <w:szCs w:val="18"/>
                <w:highlight w:val="none"/>
              </w:rPr>
              <w:t>调整成震动或者关闭。</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restart"/>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会后</w:t>
            </w:r>
          </w:p>
          <w:p>
            <w:pPr>
              <w:keepNext w:val="0"/>
              <w:keepLines w:val="0"/>
              <w:widowControl w:val="0"/>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Times New Roman"/>
                <w:color w:val="auto"/>
                <w:kern w:val="2"/>
                <w:sz w:val="18"/>
                <w:szCs w:val="18"/>
                <w:highlight w:val="none"/>
              </w:rPr>
              <w:t>服务</w:t>
            </w:r>
          </w:p>
        </w:tc>
        <w:tc>
          <w:tcPr>
            <w:tcW w:w="6018" w:type="dxa"/>
            <w:gridSpan w:val="4"/>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会议结束后，服务人员</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及时打开通道门和做好会场清理工作。发现有客人遗留物品</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与有关单位联系</w:t>
            </w:r>
            <w:r>
              <w:rPr>
                <w:rFonts w:hint="eastAsia" w:ascii="宋体" w:hAnsi="宋体" w:cs="Times New Roman"/>
                <w:color w:val="auto"/>
                <w:kern w:val="2"/>
                <w:sz w:val="18"/>
                <w:szCs w:val="18"/>
                <w:highlight w:val="none"/>
                <w:lang w:eastAsia="zh-CN"/>
              </w:rPr>
              <w:t>、</w:t>
            </w:r>
            <w:r>
              <w:rPr>
                <w:rFonts w:hint="eastAsia" w:ascii="宋体" w:hAnsi="宋体" w:cs="Times New Roman"/>
                <w:color w:val="auto"/>
                <w:kern w:val="2"/>
                <w:sz w:val="18"/>
                <w:szCs w:val="18"/>
                <w:highlight w:val="none"/>
              </w:rPr>
              <w:t>及时归还或上交；</w:t>
            </w:r>
          </w:p>
        </w:tc>
        <w:tc>
          <w:tcPr>
            <w:tcW w:w="1382" w:type="dxa"/>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Times New Roman"/>
                <w:color w:val="auto"/>
                <w:spacing w:val="-8"/>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400" w:lineRule="exact"/>
              <w:ind w:left="0" w:right="0"/>
              <w:jc w:val="both"/>
              <w:rPr>
                <w:rFonts w:hint="eastAsia"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cs="Times New Roman"/>
                <w:color w:val="auto"/>
                <w:kern w:val="2"/>
                <w:sz w:val="18"/>
                <w:szCs w:val="18"/>
                <w:highlight w:val="none"/>
              </w:rPr>
            </w:pP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要求收拾茶杯、热水壶、毛巾、毛巾框及其他会议用品；</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将桌、椅、地面清理干净；</w:t>
            </w:r>
          </w:p>
        </w:tc>
        <w:tc>
          <w:tcPr>
            <w:tcW w:w="1382" w:type="dxa"/>
            <w:noWrap w:val="0"/>
            <w:vAlign w:val="center"/>
          </w:tcPr>
          <w:p>
            <w:pPr>
              <w:keepNext w:val="0"/>
              <w:keepLines w:val="0"/>
              <w:widowControl w:val="0"/>
              <w:suppressLineNumbers w:val="0"/>
              <w:spacing w:before="0" w:beforeAutospacing="0" w:after="0" w:afterAutospacing="0" w:line="340" w:lineRule="exact"/>
              <w:ind w:left="0" w:right="0"/>
              <w:jc w:val="center"/>
              <w:rPr>
                <w:rFonts w:hint="eastAsia" w:ascii="宋体" w:hAnsi="宋体" w:cs="宋体"/>
                <w:color w:val="auto"/>
                <w:sz w:val="18"/>
                <w:szCs w:val="18"/>
                <w:highlight w:val="none"/>
              </w:rPr>
            </w:pPr>
            <w:r>
              <w:rPr>
                <w:rFonts w:hint="eastAsia" w:ascii="宋体" w:hAnsi="宋体" w:cs="Times New Roman"/>
                <w:color w:val="auto"/>
                <w:spacing w:val="-8"/>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400" w:lineRule="exact"/>
              <w:ind w:left="0" w:right="0"/>
              <w:jc w:val="both"/>
              <w:rPr>
                <w:rFonts w:hint="eastAsia"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所有音响及相关设备</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关闭，话筒及话筒线、支架收拾</w:t>
            </w:r>
            <w:r>
              <w:rPr>
                <w:rFonts w:hint="eastAsia" w:ascii="宋体" w:hAnsi="宋体" w:cs="Times New Roman"/>
                <w:color w:val="auto"/>
                <w:kern w:val="2"/>
                <w:sz w:val="18"/>
                <w:szCs w:val="18"/>
                <w:highlight w:val="none"/>
                <w:lang w:eastAsia="zh-CN"/>
              </w:rPr>
              <w:t>不</w:t>
            </w:r>
            <w:r>
              <w:rPr>
                <w:rFonts w:hint="eastAsia" w:ascii="宋体" w:hAnsi="宋体" w:cs="Times New Roman"/>
                <w:color w:val="auto"/>
                <w:kern w:val="2"/>
                <w:sz w:val="18"/>
                <w:szCs w:val="18"/>
                <w:highlight w:val="none"/>
              </w:rPr>
              <w:t>整齐；</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关闭照明电源，</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关好门窗；</w:t>
            </w:r>
          </w:p>
        </w:tc>
        <w:tc>
          <w:tcPr>
            <w:tcW w:w="1382" w:type="dxa"/>
            <w:noWrap w:val="0"/>
            <w:vAlign w:val="center"/>
          </w:tcPr>
          <w:p>
            <w:pPr>
              <w:keepNext w:val="0"/>
              <w:keepLines w:val="0"/>
              <w:widowControl w:val="0"/>
              <w:suppressLineNumbers w:val="0"/>
              <w:spacing w:before="0" w:beforeAutospacing="0" w:after="0" w:afterAutospacing="0" w:line="340" w:lineRule="exact"/>
              <w:ind w:left="0" w:right="0"/>
              <w:jc w:val="center"/>
              <w:rPr>
                <w:rFonts w:hint="eastAsia" w:ascii="宋体" w:hAnsi="宋体" w:cs="宋体"/>
                <w:color w:val="auto"/>
                <w:sz w:val="18"/>
                <w:szCs w:val="18"/>
                <w:highlight w:val="none"/>
              </w:rPr>
            </w:pPr>
            <w:r>
              <w:rPr>
                <w:rFonts w:hint="eastAsia" w:ascii="宋体" w:hAnsi="宋体" w:cs="Times New Roman"/>
                <w:color w:val="auto"/>
                <w:spacing w:val="-8"/>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400" w:lineRule="exact"/>
              <w:ind w:left="0" w:right="0"/>
              <w:jc w:val="both"/>
              <w:rPr>
                <w:rFonts w:hint="eastAsia"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会议结束后，服务主管人员</w:t>
            </w:r>
            <w:r>
              <w:rPr>
                <w:rFonts w:hint="eastAsia" w:ascii="宋体" w:hAnsi="宋体" w:cs="Times New Roman"/>
                <w:color w:val="auto"/>
                <w:kern w:val="2"/>
                <w:sz w:val="18"/>
                <w:szCs w:val="18"/>
                <w:highlight w:val="none"/>
                <w:lang w:eastAsia="zh-CN"/>
              </w:rPr>
              <w:t>未主</w:t>
            </w:r>
            <w:r>
              <w:rPr>
                <w:rFonts w:hint="eastAsia" w:ascii="宋体" w:hAnsi="宋体" w:cs="Times New Roman"/>
                <w:color w:val="auto"/>
                <w:kern w:val="2"/>
                <w:sz w:val="18"/>
                <w:szCs w:val="18"/>
                <w:highlight w:val="none"/>
              </w:rPr>
              <w:t>动及时征求会议主办单位的意见，以总结工作，改进服务；</w:t>
            </w:r>
          </w:p>
        </w:tc>
        <w:tc>
          <w:tcPr>
            <w:tcW w:w="1382" w:type="dxa"/>
            <w:noWrap w:val="0"/>
            <w:vAlign w:val="center"/>
          </w:tcPr>
          <w:p>
            <w:pPr>
              <w:keepNext w:val="0"/>
              <w:keepLines w:val="0"/>
              <w:widowControl w:val="0"/>
              <w:suppressLineNumbers w:val="0"/>
              <w:spacing w:before="0" w:beforeAutospacing="0" w:after="0" w:afterAutospacing="0" w:line="340" w:lineRule="exact"/>
              <w:ind w:left="0" w:right="0"/>
              <w:jc w:val="center"/>
              <w:rPr>
                <w:rFonts w:hint="eastAsia" w:ascii="宋体" w:hAnsi="宋体" w:cs="宋体"/>
                <w:color w:val="auto"/>
                <w:sz w:val="18"/>
                <w:szCs w:val="18"/>
                <w:highlight w:val="none"/>
              </w:rPr>
            </w:pPr>
            <w:r>
              <w:rPr>
                <w:rFonts w:hint="eastAsia" w:ascii="宋体" w:hAnsi="宋体" w:cs="Times New Roman"/>
                <w:color w:val="auto"/>
                <w:spacing w:val="-8"/>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400" w:lineRule="exact"/>
              <w:ind w:left="0" w:right="0"/>
              <w:jc w:val="both"/>
              <w:rPr>
                <w:rFonts w:hint="eastAsia"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擅自向服务对象收取加班费、卫生清扫费等额外费用。故意不接电话，造成会议延误；</w:t>
            </w:r>
          </w:p>
        </w:tc>
        <w:tc>
          <w:tcPr>
            <w:tcW w:w="1382" w:type="dxa"/>
            <w:noWrap w:val="0"/>
            <w:vAlign w:val="center"/>
          </w:tcPr>
          <w:p>
            <w:pPr>
              <w:keepNext w:val="0"/>
              <w:keepLines w:val="0"/>
              <w:widowControl w:val="0"/>
              <w:suppressLineNumbers w:val="0"/>
              <w:spacing w:before="0" w:beforeAutospacing="0" w:after="0" w:afterAutospacing="0" w:line="340" w:lineRule="exact"/>
              <w:ind w:left="0" w:right="0"/>
              <w:jc w:val="center"/>
              <w:rPr>
                <w:rFonts w:hint="eastAsia" w:ascii="宋体" w:hAnsi="宋体" w:cs="宋体"/>
                <w:color w:val="auto"/>
                <w:sz w:val="18"/>
                <w:szCs w:val="18"/>
                <w:highlight w:val="none"/>
              </w:rPr>
            </w:pPr>
            <w:r>
              <w:rPr>
                <w:rFonts w:hint="eastAsia" w:ascii="宋体" w:hAnsi="宋体" w:cs="Times New Roman"/>
                <w:color w:val="auto"/>
                <w:spacing w:val="-8"/>
                <w:kern w:val="2"/>
                <w:sz w:val="18"/>
                <w:szCs w:val="1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restart"/>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会场</w:t>
            </w:r>
          </w:p>
          <w:p>
            <w:pPr>
              <w:keepNext w:val="0"/>
              <w:keepLines w:val="0"/>
              <w:widowControl w:val="0"/>
              <w:suppressLineNumbers w:val="0"/>
              <w:spacing w:before="0" w:beforeAutospacing="0" w:after="0" w:afterAutospacing="0" w:line="360" w:lineRule="auto"/>
              <w:ind w:left="0" w:right="0"/>
              <w:jc w:val="center"/>
              <w:rPr>
                <w:rFonts w:hint="eastAsia" w:ascii="宋体" w:hAnsi="宋体" w:cs="宋体"/>
                <w:color w:val="auto"/>
                <w:sz w:val="18"/>
                <w:szCs w:val="18"/>
                <w:highlight w:val="none"/>
              </w:rPr>
            </w:pPr>
            <w:r>
              <w:rPr>
                <w:rFonts w:hint="eastAsia" w:ascii="宋体" w:hAnsi="宋体" w:cs="Times New Roman"/>
                <w:color w:val="auto"/>
                <w:kern w:val="2"/>
                <w:sz w:val="18"/>
                <w:szCs w:val="18"/>
                <w:highlight w:val="none"/>
              </w:rPr>
              <w:t>管理</w:t>
            </w:r>
          </w:p>
        </w:tc>
        <w:tc>
          <w:tcPr>
            <w:tcW w:w="6018" w:type="dxa"/>
            <w:gridSpan w:val="4"/>
            <w:noWrap w:val="0"/>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会场</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保持整洁，</w:t>
            </w:r>
            <w:r>
              <w:rPr>
                <w:rFonts w:hint="eastAsia" w:ascii="宋体" w:hAnsi="宋体" w:cs="Times New Roman"/>
                <w:color w:val="auto"/>
                <w:kern w:val="2"/>
                <w:sz w:val="18"/>
                <w:szCs w:val="18"/>
                <w:highlight w:val="none"/>
                <w:lang w:eastAsia="zh-CN"/>
              </w:rPr>
              <w:t>存在</w:t>
            </w:r>
            <w:r>
              <w:rPr>
                <w:rFonts w:hint="eastAsia" w:ascii="宋体" w:hAnsi="宋体" w:cs="Times New Roman"/>
                <w:color w:val="auto"/>
                <w:kern w:val="2"/>
                <w:sz w:val="18"/>
                <w:szCs w:val="18"/>
                <w:highlight w:val="none"/>
              </w:rPr>
              <w:t>卫生死角。窗帘</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悬挂整齐，</w:t>
            </w:r>
            <w:r>
              <w:rPr>
                <w:rFonts w:hint="eastAsia" w:ascii="宋体" w:hAnsi="宋体" w:cs="Times New Roman"/>
                <w:color w:val="auto"/>
                <w:kern w:val="2"/>
                <w:sz w:val="18"/>
                <w:szCs w:val="18"/>
                <w:highlight w:val="none"/>
                <w:lang w:eastAsia="zh-CN"/>
              </w:rPr>
              <w:t>有</w:t>
            </w:r>
            <w:r>
              <w:rPr>
                <w:rFonts w:hint="eastAsia" w:ascii="宋体" w:hAnsi="宋体" w:cs="Times New Roman"/>
                <w:color w:val="auto"/>
                <w:kern w:val="2"/>
                <w:sz w:val="18"/>
                <w:szCs w:val="18"/>
                <w:highlight w:val="none"/>
              </w:rPr>
              <w:t>污渍；</w:t>
            </w:r>
          </w:p>
        </w:tc>
        <w:tc>
          <w:tcPr>
            <w:tcW w:w="1382" w:type="dxa"/>
            <w:noWrap w:val="0"/>
            <w:vAlign w:val="center"/>
          </w:tcPr>
          <w:p>
            <w:pPr>
              <w:keepNext w:val="0"/>
              <w:keepLines w:val="0"/>
              <w:widowControl w:val="0"/>
              <w:suppressLineNumbers w:val="0"/>
              <w:spacing w:before="0" w:beforeAutospacing="0" w:after="0" w:afterAutospacing="0" w:line="340" w:lineRule="exact"/>
              <w:ind w:left="0" w:right="0"/>
              <w:jc w:val="center"/>
              <w:rPr>
                <w:rFonts w:hint="eastAsia" w:ascii="宋体" w:hAnsi="宋体" w:cs="宋体"/>
                <w:color w:val="auto"/>
                <w:sz w:val="18"/>
                <w:szCs w:val="18"/>
                <w:highlight w:val="none"/>
              </w:rPr>
            </w:pPr>
            <w:r>
              <w:rPr>
                <w:rFonts w:hint="eastAsia" w:ascii="宋体" w:hAnsi="宋体" w:cs="Times New Roman"/>
                <w:color w:val="auto"/>
                <w:spacing w:val="-8"/>
                <w:kern w:val="2"/>
                <w:sz w:val="18"/>
                <w:szCs w:val="18"/>
                <w:highlight w:val="none"/>
              </w:rPr>
              <w:t>1</w:t>
            </w:r>
            <w:r>
              <w:rPr>
                <w:rFonts w:hint="eastAsia" w:ascii="宋体" w:hAnsi="宋体" w:cs="Times New Roman"/>
                <w:color w:val="auto"/>
                <w:spacing w:val="-8"/>
                <w:kern w:val="2"/>
                <w:sz w:val="18"/>
                <w:szCs w:val="18"/>
                <w:highlight w:val="none"/>
              </w:rPr>
              <w:softHyphen/>
            </w:r>
            <w:r>
              <w:rPr>
                <w:rFonts w:hint="eastAsia" w:ascii="宋体" w:hAnsi="宋体" w:cs="Times New Roman"/>
                <w:color w:val="auto"/>
                <w:spacing w:val="-8"/>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400" w:lineRule="exact"/>
              <w:ind w:left="0" w:right="0"/>
              <w:jc w:val="both"/>
              <w:rPr>
                <w:rFonts w:hint="eastAsia"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调光室、音控室</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保持整洁，</w:t>
            </w:r>
            <w:r>
              <w:rPr>
                <w:rFonts w:hint="eastAsia" w:ascii="宋体" w:hAnsi="宋体" w:cs="Times New Roman"/>
                <w:color w:val="auto"/>
                <w:kern w:val="2"/>
                <w:sz w:val="18"/>
                <w:szCs w:val="18"/>
                <w:highlight w:val="none"/>
                <w:lang w:eastAsia="zh-CN"/>
              </w:rPr>
              <w:t>有</w:t>
            </w:r>
            <w:r>
              <w:rPr>
                <w:rFonts w:hint="eastAsia" w:ascii="宋体" w:hAnsi="宋体" w:cs="Times New Roman"/>
                <w:color w:val="auto"/>
                <w:kern w:val="2"/>
                <w:sz w:val="18"/>
                <w:szCs w:val="18"/>
                <w:highlight w:val="none"/>
              </w:rPr>
              <w:t>杂物堆放；。</w:t>
            </w:r>
          </w:p>
        </w:tc>
        <w:tc>
          <w:tcPr>
            <w:tcW w:w="1382" w:type="dxa"/>
            <w:noWrap w:val="0"/>
            <w:vAlign w:val="center"/>
          </w:tcPr>
          <w:p>
            <w:pPr>
              <w:keepNext w:val="0"/>
              <w:keepLines w:val="0"/>
              <w:widowControl w:val="0"/>
              <w:suppressLineNumbers w:val="0"/>
              <w:spacing w:before="0" w:beforeAutospacing="0" w:after="0" w:afterAutospacing="0" w:line="340" w:lineRule="exact"/>
              <w:ind w:left="0" w:right="0"/>
              <w:jc w:val="center"/>
              <w:rPr>
                <w:rFonts w:hint="eastAsia" w:ascii="宋体" w:hAnsi="宋体" w:cs="宋体"/>
                <w:color w:val="auto"/>
                <w:sz w:val="18"/>
                <w:szCs w:val="18"/>
                <w:highlight w:val="none"/>
              </w:rPr>
            </w:pPr>
            <w:r>
              <w:rPr>
                <w:rFonts w:hint="eastAsia" w:ascii="宋体" w:hAnsi="宋体" w:cs="Times New Roman"/>
                <w:color w:val="auto"/>
                <w:spacing w:val="-8"/>
                <w:kern w:val="2"/>
                <w:sz w:val="18"/>
                <w:szCs w:val="18"/>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400" w:lineRule="exact"/>
              <w:ind w:left="0" w:right="0"/>
              <w:jc w:val="both"/>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调光台、调光柜、各音控设备</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保持清洁，表面</w:t>
            </w:r>
            <w:r>
              <w:rPr>
                <w:rFonts w:hint="eastAsia" w:ascii="宋体" w:hAnsi="宋体" w:cs="Times New Roman"/>
                <w:color w:val="auto"/>
                <w:kern w:val="2"/>
                <w:sz w:val="18"/>
                <w:szCs w:val="18"/>
                <w:highlight w:val="none"/>
                <w:lang w:eastAsia="zh-CN"/>
              </w:rPr>
              <w:t>有灰</w:t>
            </w:r>
            <w:r>
              <w:rPr>
                <w:rFonts w:hint="eastAsia" w:ascii="宋体" w:hAnsi="宋体" w:cs="Times New Roman"/>
                <w:color w:val="auto"/>
                <w:kern w:val="2"/>
                <w:sz w:val="18"/>
                <w:szCs w:val="18"/>
                <w:highlight w:val="none"/>
              </w:rPr>
              <w:t>尘；</w:t>
            </w:r>
          </w:p>
        </w:tc>
        <w:tc>
          <w:tcPr>
            <w:tcW w:w="1382" w:type="dxa"/>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Times New Roman"/>
                <w:color w:val="auto"/>
                <w:spacing w:val="-8"/>
                <w:kern w:val="2"/>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400" w:lineRule="exact"/>
              <w:ind w:left="0" w:right="0"/>
              <w:jc w:val="both"/>
              <w:rPr>
                <w:rFonts w:hint="default" w:ascii="宋体" w:hAnsi="宋体" w:cs="宋体"/>
                <w:color w:val="auto"/>
                <w:sz w:val="18"/>
                <w:szCs w:val="18"/>
                <w:highlight w:val="none"/>
              </w:rPr>
            </w:pPr>
          </w:p>
        </w:tc>
        <w:tc>
          <w:tcPr>
            <w:tcW w:w="6018" w:type="dxa"/>
            <w:gridSpan w:val="4"/>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制定会场设备保养规程，</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定期检查设备使用状况，</w:t>
            </w:r>
            <w:r>
              <w:rPr>
                <w:rFonts w:hint="eastAsia" w:ascii="宋体" w:hAnsi="宋体" w:cs="Times New Roman"/>
                <w:color w:val="auto"/>
                <w:kern w:val="2"/>
                <w:sz w:val="18"/>
                <w:szCs w:val="18"/>
                <w:highlight w:val="none"/>
                <w:lang w:eastAsia="zh-CN"/>
              </w:rPr>
              <w:t>未</w:t>
            </w:r>
            <w:r>
              <w:rPr>
                <w:rFonts w:hint="eastAsia" w:ascii="宋体" w:hAnsi="宋体" w:cs="Times New Roman"/>
                <w:color w:val="auto"/>
                <w:kern w:val="2"/>
                <w:sz w:val="18"/>
                <w:szCs w:val="18"/>
                <w:highlight w:val="none"/>
              </w:rPr>
              <w:t>保证设备正常运转。</w:t>
            </w:r>
          </w:p>
        </w:tc>
        <w:tc>
          <w:tcPr>
            <w:tcW w:w="1382" w:type="dxa"/>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spacing w:val="-8"/>
                <w:kern w:val="2"/>
                <w:sz w:val="18"/>
                <w:szCs w:val="18"/>
                <w:highlight w:val="none"/>
              </w:rPr>
            </w:pPr>
            <w:r>
              <w:rPr>
                <w:rFonts w:hint="eastAsia" w:ascii="宋体" w:hAnsi="宋体" w:cs="Times New Roman"/>
                <w:color w:val="auto"/>
                <w:spacing w:val="-8"/>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restart"/>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 xml:space="preserve">（五）            </w:t>
            </w:r>
          </w:p>
          <w:p>
            <w:pPr>
              <w:keepNext w:val="0"/>
              <w:keepLines w:val="0"/>
              <w:widowControl w:val="0"/>
              <w:suppressLineNumbers w:val="0"/>
              <w:spacing w:before="0" w:beforeAutospacing="0" w:after="0" w:afterAutospacing="0" w:line="340" w:lineRule="exact"/>
              <w:ind w:left="0" w:right="-13"/>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设备</w:t>
            </w:r>
          </w:p>
          <w:p>
            <w:pPr>
              <w:keepNext w:val="0"/>
              <w:keepLines w:val="0"/>
              <w:widowControl w:val="0"/>
              <w:suppressLineNumbers w:val="0"/>
              <w:spacing w:before="0" w:beforeAutospacing="0" w:after="0" w:afterAutospacing="0" w:line="340" w:lineRule="exact"/>
              <w:ind w:left="0" w:right="-13"/>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运行</w:t>
            </w:r>
          </w:p>
          <w:p>
            <w:pPr>
              <w:keepNext w:val="0"/>
              <w:keepLines w:val="0"/>
              <w:widowControl w:val="0"/>
              <w:suppressLineNumbers w:val="0"/>
              <w:spacing w:before="0" w:beforeAutospacing="0" w:after="0" w:afterAutospacing="0" w:line="340" w:lineRule="exact"/>
              <w:ind w:left="0" w:right="-13"/>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维护</w:t>
            </w:r>
          </w:p>
          <w:p>
            <w:pPr>
              <w:keepNext w:val="0"/>
              <w:keepLines w:val="0"/>
              <w:widowControl w:val="0"/>
              <w:suppressLineNumbers w:val="0"/>
              <w:spacing w:before="0" w:beforeAutospacing="0" w:after="0" w:afterAutospacing="0" w:line="340" w:lineRule="exact"/>
              <w:ind w:left="0" w:right="-13"/>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服务</w:t>
            </w:r>
          </w:p>
        </w:tc>
        <w:tc>
          <w:tcPr>
            <w:tcW w:w="762" w:type="dxa"/>
            <w:vMerge w:val="restart"/>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暖 通</w:t>
            </w:r>
          </w:p>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系 统</w:t>
            </w:r>
          </w:p>
          <w:p>
            <w:pPr>
              <w:keepNext w:val="0"/>
              <w:keepLines w:val="0"/>
              <w:widowControl w:val="0"/>
              <w:suppressLineNumbers w:val="0"/>
              <w:spacing w:before="0" w:beforeAutospacing="0" w:after="0" w:afterAutospacing="0" w:line="360" w:lineRule="auto"/>
              <w:ind w:left="0" w:right="-13"/>
              <w:jc w:val="center"/>
              <w:rPr>
                <w:rFonts w:hint="default" w:ascii="宋体" w:hAnsi="宋体" w:cs="Times New Roman"/>
                <w:color w:val="auto"/>
                <w:kern w:val="2"/>
                <w:sz w:val="18"/>
                <w:szCs w:val="18"/>
                <w:highlight w:val="none"/>
              </w:rPr>
            </w:pPr>
            <w:r>
              <w:rPr>
                <w:rFonts w:hint="eastAsia" w:ascii="宋体" w:hAnsi="宋体" w:cs="宋体"/>
                <w:color w:val="auto"/>
                <w:sz w:val="18"/>
                <w:szCs w:val="18"/>
                <w:highlight w:val="none"/>
              </w:rPr>
              <w:t>69分</w:t>
            </w:r>
          </w:p>
        </w:tc>
        <w:tc>
          <w:tcPr>
            <w:tcW w:w="763" w:type="dxa"/>
            <w:vMerge w:val="restart"/>
            <w:noWrap w:val="0"/>
            <w:vAlign w:val="center"/>
          </w:tcPr>
          <w:p>
            <w:pPr>
              <w:keepNext w:val="0"/>
              <w:keepLines w:val="0"/>
              <w:widowControl w:val="0"/>
              <w:suppressLineNumbers w:val="0"/>
              <w:spacing w:before="0" w:beforeAutospacing="0" w:after="0" w:afterAutospacing="0" w:line="480" w:lineRule="auto"/>
              <w:ind w:left="0" w:right="-11"/>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中央</w:t>
            </w:r>
          </w:p>
          <w:p>
            <w:pPr>
              <w:keepNext w:val="0"/>
              <w:keepLines w:val="0"/>
              <w:widowControl w:val="0"/>
              <w:suppressLineNumbers w:val="0"/>
              <w:spacing w:before="0" w:beforeAutospacing="0" w:after="0" w:afterAutospacing="0" w:line="480" w:lineRule="auto"/>
              <w:ind w:left="0" w:right="-11"/>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空调</w:t>
            </w:r>
          </w:p>
        </w:tc>
        <w:tc>
          <w:tcPr>
            <w:tcW w:w="5255" w:type="dxa"/>
            <w:gridSpan w:val="3"/>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未制定空调使用管理规定，未根据季节变换按规定开启冷暖空调或新风；</w:t>
            </w:r>
          </w:p>
        </w:tc>
        <w:tc>
          <w:tcPr>
            <w:tcW w:w="1382" w:type="dxa"/>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未按设备操作规程开启/关闭冷热空调主机和末端设备；</w:t>
            </w:r>
          </w:p>
        </w:tc>
        <w:tc>
          <w:tcPr>
            <w:tcW w:w="1382" w:type="dxa"/>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设备主机运行期间未落实专人值班、巡逻，未按时抄表，未作好记录，发现问题未及时解决或报告上级；</w:t>
            </w:r>
          </w:p>
        </w:tc>
        <w:tc>
          <w:tcPr>
            <w:tcW w:w="1382" w:type="dxa"/>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未按照中央空调机组和电机日常维护；</w:t>
            </w:r>
          </w:p>
        </w:tc>
        <w:tc>
          <w:tcPr>
            <w:tcW w:w="1382" w:type="dxa"/>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未制作专门的设备维保计划，除部分由专业厂家负责外，未做好整个暖通系统的维护保养，换季期间未做好过滤清洗；</w:t>
            </w:r>
          </w:p>
        </w:tc>
        <w:tc>
          <w:tcPr>
            <w:tcW w:w="1382" w:type="dxa"/>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Times New Roman"/>
                <w:color w:val="auto"/>
                <w:kern w:val="2"/>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Times New Roman"/>
                <w:color w:val="auto"/>
                <w:kern w:val="2"/>
                <w:sz w:val="18"/>
                <w:szCs w:val="18"/>
                <w:highlight w:val="none"/>
              </w:rPr>
            </w:pPr>
          </w:p>
        </w:tc>
        <w:tc>
          <w:tcPr>
            <w:tcW w:w="763" w:type="dxa"/>
            <w:vMerge w:val="restart"/>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通风</w:t>
            </w:r>
          </w:p>
        </w:tc>
        <w:tc>
          <w:tcPr>
            <w:tcW w:w="5255" w:type="dxa"/>
            <w:gridSpan w:val="3"/>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未制定会议室相应通风使用规定，未根据季节、气候及会议室内现场空气品质，做好会议前的通风准备，尤其要做好大型会议场所的空气品质保障；</w:t>
            </w:r>
          </w:p>
        </w:tc>
        <w:tc>
          <w:tcPr>
            <w:tcW w:w="1382" w:type="dxa"/>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在春、秋季节，未结合空调新风，尽量多使用通风设备来改善空气品质；</w:t>
            </w:r>
          </w:p>
        </w:tc>
        <w:tc>
          <w:tcPr>
            <w:tcW w:w="1382" w:type="dxa"/>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Times New Roman"/>
                <w:color w:val="auto"/>
                <w:kern w:val="2"/>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Times New Roman"/>
                <w:color w:val="auto"/>
                <w:kern w:val="2"/>
                <w:sz w:val="18"/>
                <w:szCs w:val="18"/>
                <w:highlight w:val="none"/>
              </w:rPr>
            </w:pPr>
          </w:p>
        </w:tc>
        <w:tc>
          <w:tcPr>
            <w:tcW w:w="763" w:type="dxa"/>
            <w:vMerge w:val="restart"/>
            <w:noWrap w:val="0"/>
            <w:vAlign w:val="center"/>
          </w:tcPr>
          <w:p>
            <w:pPr>
              <w:keepNext w:val="0"/>
              <w:keepLines w:val="0"/>
              <w:widowControl w:val="0"/>
              <w:suppressLineNumbers w:val="0"/>
              <w:spacing w:before="0" w:beforeAutospacing="0" w:after="0" w:afterAutospacing="0" w:line="360" w:lineRule="auto"/>
              <w:ind w:left="0" w:right="-11"/>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管理</w:t>
            </w:r>
          </w:p>
          <w:p>
            <w:pPr>
              <w:keepNext w:val="0"/>
              <w:keepLines w:val="0"/>
              <w:widowControl w:val="0"/>
              <w:suppressLineNumbers w:val="0"/>
              <w:spacing w:before="0" w:beforeAutospacing="0" w:after="0" w:afterAutospacing="0" w:line="360" w:lineRule="auto"/>
              <w:ind w:left="0" w:right="-11"/>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方面</w:t>
            </w:r>
          </w:p>
        </w:tc>
        <w:tc>
          <w:tcPr>
            <w:tcW w:w="5255" w:type="dxa"/>
            <w:gridSpan w:val="3"/>
            <w:tcBorders>
              <w:bottom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未制定各种操作规程、使用管理规定、岗位责任制、安全责任制及应急预案，未做到制度上墙、落实到人；</w:t>
            </w:r>
          </w:p>
        </w:tc>
        <w:tc>
          <w:tcPr>
            <w:tcW w:w="1382" w:type="dxa"/>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13"/>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p>
        </w:tc>
        <w:tc>
          <w:tcPr>
            <w:tcW w:w="5255" w:type="dxa"/>
            <w:gridSpan w:val="3"/>
            <w:tcBorders>
              <w:bottom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空调机房未做到整洁有序，存在它物占用，各种设备责任未到人，未挂牌明示，阀门开/闭状态未挂牌标明。设备使用情况无现场记录；</w:t>
            </w:r>
          </w:p>
        </w:tc>
        <w:tc>
          <w:tcPr>
            <w:tcW w:w="1382" w:type="dxa"/>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13"/>
              <w:rPr>
                <w:rFonts w:hint="default" w:ascii="宋体" w:hAnsi="宋体" w:cs="宋体"/>
                <w:color w:val="auto"/>
                <w:sz w:val="18"/>
                <w:szCs w:val="18"/>
                <w:highlight w:val="none"/>
              </w:rPr>
            </w:pPr>
          </w:p>
        </w:tc>
        <w:tc>
          <w:tcPr>
            <w:tcW w:w="762" w:type="dxa"/>
            <w:vMerge w:val="continue"/>
            <w:tcBorders>
              <w:bottom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p>
        </w:tc>
        <w:tc>
          <w:tcPr>
            <w:tcW w:w="763" w:type="dxa"/>
            <w:vMerge w:val="continue"/>
            <w:tcBorders>
              <w:bottom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p>
        </w:tc>
        <w:tc>
          <w:tcPr>
            <w:tcW w:w="5255" w:type="dxa"/>
            <w:gridSpan w:val="3"/>
            <w:tcBorders>
              <w:top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中央空调主机外壳、各类电气控制箱、电机、水泵外壳未保持清洁，存在脱漆、锈蚀。</w:t>
            </w:r>
          </w:p>
        </w:tc>
        <w:tc>
          <w:tcPr>
            <w:tcW w:w="1382" w:type="dxa"/>
            <w:noWrap w:val="0"/>
            <w:vAlign w:val="center"/>
          </w:tcPr>
          <w:p>
            <w:pPr>
              <w:keepNext w:val="0"/>
              <w:keepLines w:val="0"/>
              <w:widowControl w:val="0"/>
              <w:suppressLineNumbers w:val="0"/>
              <w:spacing w:before="0" w:beforeAutospacing="0" w:after="0" w:afterAutospacing="0" w:line="340" w:lineRule="exact"/>
              <w:ind w:left="0" w:right="-13"/>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restart"/>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（五）</w:t>
            </w:r>
          </w:p>
          <w:p>
            <w:pPr>
              <w:keepNext w:val="0"/>
              <w:keepLines w:val="0"/>
              <w:widowControl/>
              <w:suppressLineNumbers w:val="0"/>
              <w:spacing w:before="0" w:beforeAutospacing="0" w:after="0" w:afterAutospacing="0" w:line="340" w:lineRule="exact"/>
              <w:ind w:left="0" w:right="-27" w:rightChars="-13" w:firstLine="16" w:firstLineChars="9"/>
              <w:jc w:val="right"/>
              <w:rPr>
                <w:rFonts w:hint="default" w:ascii="宋体" w:hAnsi="宋体" w:cs="宋体"/>
                <w:color w:val="auto"/>
                <w:sz w:val="18"/>
                <w:szCs w:val="18"/>
                <w:highlight w:val="none"/>
              </w:rPr>
            </w:pPr>
          </w:p>
          <w:p>
            <w:pPr>
              <w:keepNext w:val="0"/>
              <w:keepLines w:val="0"/>
              <w:widowControl w:val="0"/>
              <w:suppressLineNumbers w:val="0"/>
              <w:spacing w:before="0" w:beforeAutospacing="0" w:after="0" w:afterAutospacing="0" w:line="340" w:lineRule="exact"/>
              <w:ind w:left="0" w:right="-13"/>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设备运行维护服务</w:t>
            </w:r>
          </w:p>
        </w:tc>
        <w:tc>
          <w:tcPr>
            <w:tcW w:w="762" w:type="dxa"/>
            <w:vMerge w:val="restart"/>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给 水</w:t>
            </w:r>
          </w:p>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系 统</w:t>
            </w:r>
          </w:p>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21分</w:t>
            </w:r>
          </w:p>
        </w:tc>
        <w:tc>
          <w:tcPr>
            <w:tcW w:w="763" w:type="dxa"/>
            <w:vMerge w:val="restart"/>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给</w:t>
            </w:r>
          </w:p>
          <w:p>
            <w:pPr>
              <w:keepNext w:val="0"/>
              <w:keepLines w:val="0"/>
              <w:widowControl w:val="0"/>
              <w:suppressLineNumbers w:val="0"/>
              <w:spacing w:before="0" w:beforeAutospacing="0" w:after="0" w:afterAutospacing="0" w:line="300" w:lineRule="exact"/>
              <w:ind w:left="0" w:right="0"/>
              <w:jc w:val="center"/>
              <w:rPr>
                <w:rFonts w:hint="default" w:ascii="宋体" w:hAnsi="宋体" w:cs="Times New Roman"/>
                <w:color w:val="auto"/>
                <w:spacing w:val="-20"/>
                <w:kern w:val="2"/>
                <w:sz w:val="18"/>
                <w:szCs w:val="18"/>
                <w:highlight w:val="none"/>
              </w:rPr>
            </w:pPr>
            <w:r>
              <w:rPr>
                <w:rFonts w:hint="eastAsia" w:ascii="宋体" w:hAnsi="宋体" w:cs="Times New Roman"/>
                <w:color w:val="auto"/>
                <w:kern w:val="2"/>
                <w:sz w:val="18"/>
                <w:szCs w:val="18"/>
                <w:highlight w:val="none"/>
              </w:rPr>
              <w:t>水</w:t>
            </w:r>
          </w:p>
        </w:tc>
        <w:tc>
          <w:tcPr>
            <w:tcW w:w="5255" w:type="dxa"/>
            <w:gridSpan w:val="3"/>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市政给水系统未按规定进行抄表，未定期检查生活水泵运行状况，保养不规范，管网系统存在漏水；生活水池未一年一次清洗；各点水龙头、阀门存在漏水；</w:t>
            </w:r>
          </w:p>
        </w:tc>
        <w:tc>
          <w:tcPr>
            <w:tcW w:w="1382" w:type="dxa"/>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宋体"/>
                <w:color w:val="auto"/>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宋体"/>
                <w:color w:val="auto"/>
                <w:sz w:val="18"/>
                <w:szCs w:val="18"/>
                <w:highlight w:val="none"/>
              </w:rPr>
            </w:pPr>
          </w:p>
        </w:tc>
        <w:tc>
          <w:tcPr>
            <w:tcW w:w="5255" w:type="dxa"/>
            <w:gridSpan w:val="3"/>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热水设备未定期检查、保养，水龙头存在漏水；</w:t>
            </w:r>
          </w:p>
        </w:tc>
        <w:tc>
          <w:tcPr>
            <w:tcW w:w="1382" w:type="dxa"/>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p>
        </w:tc>
        <w:tc>
          <w:tcPr>
            <w:tcW w:w="763" w:type="dxa"/>
            <w:vMerge w:val="restart"/>
            <w:noWrap w:val="0"/>
            <w:vAlign w:val="center"/>
          </w:tcPr>
          <w:p>
            <w:pPr>
              <w:keepNext w:val="0"/>
              <w:keepLines w:val="0"/>
              <w:widowControl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管理</w:t>
            </w:r>
          </w:p>
          <w:p>
            <w:pPr>
              <w:keepNext w:val="0"/>
              <w:keepLines w:val="0"/>
              <w:widowControl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方面</w:t>
            </w:r>
          </w:p>
        </w:tc>
        <w:tc>
          <w:tcPr>
            <w:tcW w:w="5255" w:type="dxa"/>
            <w:gridSpan w:val="3"/>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未制定各种操作规程、使用管理制度、岗位责任制、安全责任制，未做到制度上墙、落实到人；</w:t>
            </w:r>
          </w:p>
        </w:tc>
        <w:tc>
          <w:tcPr>
            <w:tcW w:w="1382" w:type="dxa"/>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宋体"/>
                <w:color w:val="auto"/>
                <w:spacing w:val="-20"/>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宋体"/>
                <w:color w:val="auto"/>
                <w:spacing w:val="-20"/>
                <w:sz w:val="18"/>
                <w:szCs w:val="18"/>
                <w:highlight w:val="none"/>
              </w:rPr>
            </w:pPr>
          </w:p>
        </w:tc>
        <w:tc>
          <w:tcPr>
            <w:tcW w:w="5255" w:type="dxa"/>
            <w:gridSpan w:val="3"/>
            <w:noWrap w:val="0"/>
            <w:vAlign w:val="center"/>
          </w:tcPr>
          <w:p>
            <w:pPr>
              <w:keepNext w:val="0"/>
              <w:keepLines w:val="0"/>
              <w:widowControl w:val="0"/>
              <w:suppressLineNumbers w:val="0"/>
              <w:spacing w:before="0" w:beforeAutospacing="0" w:after="0" w:afterAutospacing="0" w:line="340" w:lineRule="exact"/>
              <w:ind w:left="0" w:right="-13"/>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水泵房管理未做到整洁有序，存在有它物占用，各种设备责任未到人，设备的运行状态未挂牌明示；</w:t>
            </w:r>
          </w:p>
        </w:tc>
        <w:tc>
          <w:tcPr>
            <w:tcW w:w="1382" w:type="dxa"/>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宋体"/>
                <w:color w:val="auto"/>
                <w:sz w:val="18"/>
                <w:szCs w:val="18"/>
                <w:highlight w:val="none"/>
              </w:rPr>
            </w:pPr>
          </w:p>
        </w:tc>
        <w:tc>
          <w:tcPr>
            <w:tcW w:w="763" w:type="dxa"/>
            <w:vMerge w:val="continue"/>
            <w:tcBorders>
              <w:bottom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宋体"/>
                <w:color w:val="auto"/>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 xml:space="preserve">各控制箱、电机、水泵未保持清洁，存在脱漆、锈蚀。   </w:t>
            </w:r>
          </w:p>
        </w:tc>
        <w:tc>
          <w:tcPr>
            <w:tcW w:w="1382" w:type="dxa"/>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p>
        </w:tc>
        <w:tc>
          <w:tcPr>
            <w:tcW w:w="762" w:type="dxa"/>
            <w:vMerge w:val="restart"/>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电 气</w:t>
            </w:r>
          </w:p>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强 电</w:t>
            </w:r>
          </w:p>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53分</w:t>
            </w:r>
          </w:p>
          <w:p>
            <w:pPr>
              <w:keepNext w:val="0"/>
              <w:keepLines w:val="0"/>
              <w:widowControl w:val="0"/>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p>
        </w:tc>
        <w:tc>
          <w:tcPr>
            <w:tcW w:w="763" w:type="dxa"/>
            <w:vMerge w:val="restart"/>
            <w:noWrap w:val="0"/>
            <w:vAlign w:val="center"/>
          </w:tcPr>
          <w:p>
            <w:pPr>
              <w:keepNext w:val="0"/>
              <w:keepLines w:val="0"/>
              <w:widowControl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基础</w:t>
            </w:r>
          </w:p>
          <w:p>
            <w:pPr>
              <w:keepNext w:val="0"/>
              <w:keepLines w:val="0"/>
              <w:widowControl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管理</w:t>
            </w: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规程：应具备并执行的规程不完善，电业安全规程，电气设备现场一、二次运行规程和典型操作票，电气设备预防性试验规程，变压器运行规程，电气事故调查规程，电气事故处理规程，典型操作票正确完整，未在实际中使用；</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宋体"/>
                <w:color w:val="auto"/>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宋体"/>
                <w:color w:val="auto"/>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相关制度不齐全（岗位责任制度、交接班制度、巡回检查制度、设备定期试验和缺陷管理制度，现场培训制度）执行情况差；</w:t>
            </w:r>
          </w:p>
        </w:tc>
        <w:tc>
          <w:tcPr>
            <w:tcW w:w="1382" w:type="dxa"/>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Times New Roman"/>
                <w:color w:val="auto"/>
                <w:kern w:val="2"/>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宋体"/>
                <w:color w:val="auto"/>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宋体"/>
                <w:color w:val="auto"/>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图表不齐全（高、低压模拟图，巡视路线图，继电保护及整定值班配置表，设备定级表），或与现场运行不相符；</w:t>
            </w:r>
          </w:p>
        </w:tc>
        <w:tc>
          <w:tcPr>
            <w:tcW w:w="1382" w:type="dxa"/>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宋体"/>
                <w:color w:val="auto"/>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宋体"/>
                <w:color w:val="auto"/>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记录：九种记录簿不完备，值班（交接班）记录，运行记录，操作票和工作票记录，检修、试验记录，设备缺陷记录，开关、保护动作记录，电池测量记录，安全活动和培训记录，安全工器具试验和消防设备检查记录，不漏记、不撕页、字迹清楚；</w:t>
            </w:r>
          </w:p>
        </w:tc>
        <w:tc>
          <w:tcPr>
            <w:tcW w:w="1382" w:type="dxa"/>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宋体"/>
                <w:color w:val="auto"/>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宋体"/>
                <w:color w:val="auto"/>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技术资料：竣工图保存不完整或与实际不相符，设备台帐不齐全，各类电试报告不齐全，负荷记录不齐全，设备改造及大、小修竣工无记录，设备事故、障碍及运行分析无专题报告。</w:t>
            </w:r>
          </w:p>
        </w:tc>
        <w:tc>
          <w:tcPr>
            <w:tcW w:w="1382" w:type="dxa"/>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宋体"/>
                <w:color w:val="auto"/>
                <w:spacing w:val="-8"/>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宋体"/>
                <w:color w:val="auto"/>
                <w:spacing w:val="-8"/>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未建立24小时值班制度，设立服务电话，对用户报修、求助、建议、问询、质疑、投诉等各类信息的收集和反馈，未及时处理，无回访制度和记录；</w:t>
            </w:r>
          </w:p>
        </w:tc>
        <w:tc>
          <w:tcPr>
            <w:tcW w:w="1382" w:type="dxa"/>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Times New Roman"/>
                <w:color w:val="auto"/>
                <w:kern w:val="2"/>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宋体"/>
                <w:color w:val="auto"/>
                <w:spacing w:val="-20"/>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宋体"/>
                <w:color w:val="auto"/>
                <w:spacing w:val="-20"/>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未定期向用户发放物业管理服务工作征求意见单，或对合理的建议未及时整改；</w:t>
            </w:r>
          </w:p>
        </w:tc>
        <w:tc>
          <w:tcPr>
            <w:tcW w:w="1382" w:type="dxa"/>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cs="Times New Roman"/>
                <w:color w:val="auto"/>
                <w:spacing w:val="-20"/>
                <w:kern w:val="2"/>
                <w:sz w:val="18"/>
                <w:szCs w:val="18"/>
                <w:highlight w:val="none"/>
              </w:rPr>
            </w:pPr>
          </w:p>
        </w:tc>
        <w:tc>
          <w:tcPr>
            <w:tcW w:w="763" w:type="dxa"/>
            <w:vMerge w:val="continue"/>
            <w:tcBorders>
              <w:bottom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cs="Times New Roman"/>
                <w:color w:val="auto"/>
                <w:spacing w:val="-20"/>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未建立并落实维修服务承诺制，或无回访记录。</w:t>
            </w:r>
          </w:p>
        </w:tc>
        <w:tc>
          <w:tcPr>
            <w:tcW w:w="138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restart"/>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（五）        设备运行维护服务</w:t>
            </w:r>
          </w:p>
        </w:tc>
        <w:tc>
          <w:tcPr>
            <w:tcW w:w="762" w:type="dxa"/>
            <w:vMerge w:val="restart"/>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电气</w:t>
            </w:r>
          </w:p>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强电</w:t>
            </w:r>
          </w:p>
          <w:p>
            <w:pPr>
              <w:keepNext w:val="0"/>
              <w:keepLines w:val="0"/>
              <w:widowControl w:val="0"/>
              <w:suppressLineNumbers w:val="0"/>
              <w:tabs>
                <w:tab w:val="left" w:pos="711"/>
              </w:tabs>
              <w:spacing w:before="0" w:beforeAutospacing="0" w:after="0" w:afterAutospacing="0" w:line="360" w:lineRule="auto"/>
              <w:ind w:left="0" w:right="0"/>
              <w:jc w:val="center"/>
              <w:rPr>
                <w:rFonts w:hint="default" w:ascii="宋体" w:hAnsi="宋体" w:cs="Times New Roman"/>
                <w:color w:val="auto"/>
                <w:kern w:val="2"/>
                <w:sz w:val="18"/>
                <w:szCs w:val="18"/>
                <w:highlight w:val="none"/>
              </w:rPr>
            </w:pPr>
            <w:r>
              <w:rPr>
                <w:rFonts w:hint="eastAsia" w:ascii="宋体" w:hAnsi="宋体" w:cs="宋体"/>
                <w:color w:val="auto"/>
                <w:sz w:val="18"/>
                <w:szCs w:val="18"/>
                <w:highlight w:val="none"/>
              </w:rPr>
              <w:t>51分</w:t>
            </w:r>
          </w:p>
        </w:tc>
        <w:tc>
          <w:tcPr>
            <w:tcW w:w="763" w:type="dxa"/>
            <w:vMerge w:val="restart"/>
            <w:noWrap w:val="0"/>
            <w:vAlign w:val="center"/>
          </w:tcPr>
          <w:p>
            <w:pPr>
              <w:keepNext w:val="0"/>
              <w:keepLines w:val="0"/>
              <w:widowControl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安全</w:t>
            </w:r>
          </w:p>
          <w:p>
            <w:pPr>
              <w:keepNext w:val="0"/>
              <w:keepLines w:val="0"/>
              <w:widowControl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运行</w:t>
            </w: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设备情况差、运行不正常；</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操作票、工作票两票不齐全，或票面合格率未达90%以上；</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未保证正常供电、限电、停电、临时用电管理规定完善，或未按规定执行；</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未制订停电应急处理措施并严格执行；</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备用应急发电机未做到随时起用；</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电气设备标牌、标识不正确、不齐不全、清晰，遮栏及各种标志不符合要求；</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线路、设备巡视项目不全面；</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工作照明和事故照明未处于完好状态；</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安全工具不齐全，未按期试验合格；</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8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8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防小动物无措施，电缆沟未定期检查，盖板不齐全、有积水、室内食物剩渣，未设灭鼠器具和药物，户内外场地不清洁、环境脏乱；</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双电源联锁使用不正常；</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tcBorders>
              <w:bottom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未合理安排负荷，电容器投切不合理合理。</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restart"/>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 xml:space="preserve">（五）            </w:t>
            </w:r>
          </w:p>
          <w:p>
            <w:pPr>
              <w:keepNext w:val="0"/>
              <w:keepLines w:val="0"/>
              <w:widowControl w:val="0"/>
              <w:suppressLineNumbers w:val="0"/>
              <w:spacing w:before="0" w:beforeAutospacing="0" w:after="0" w:afterAutospacing="0" w:line="340" w:lineRule="exact"/>
              <w:ind w:left="0" w:right="-13"/>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设备</w:t>
            </w:r>
          </w:p>
          <w:p>
            <w:pPr>
              <w:keepNext w:val="0"/>
              <w:keepLines w:val="0"/>
              <w:widowControl w:val="0"/>
              <w:suppressLineNumbers w:val="0"/>
              <w:spacing w:before="0" w:beforeAutospacing="0" w:after="0" w:afterAutospacing="0" w:line="340" w:lineRule="exact"/>
              <w:ind w:left="0" w:right="-13"/>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运行</w:t>
            </w:r>
          </w:p>
          <w:p>
            <w:pPr>
              <w:keepNext w:val="0"/>
              <w:keepLines w:val="0"/>
              <w:widowControl w:val="0"/>
              <w:suppressLineNumbers w:val="0"/>
              <w:spacing w:before="0" w:beforeAutospacing="0" w:after="0" w:afterAutospacing="0" w:line="340" w:lineRule="exact"/>
              <w:ind w:left="0" w:right="-13"/>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维护</w:t>
            </w:r>
          </w:p>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服务</w:t>
            </w:r>
          </w:p>
        </w:tc>
        <w:tc>
          <w:tcPr>
            <w:tcW w:w="762" w:type="dxa"/>
            <w:vMerge w:val="restart"/>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电气</w:t>
            </w:r>
          </w:p>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强电</w:t>
            </w:r>
          </w:p>
          <w:p>
            <w:pPr>
              <w:keepNext w:val="0"/>
              <w:keepLines w:val="0"/>
              <w:widowControl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highlight w:val="none"/>
              </w:rPr>
            </w:pPr>
            <w:r>
              <w:rPr>
                <w:rFonts w:hint="eastAsia" w:ascii="宋体" w:hAnsi="宋体" w:cs="宋体"/>
                <w:color w:val="auto"/>
                <w:sz w:val="18"/>
                <w:szCs w:val="18"/>
                <w:highlight w:val="none"/>
              </w:rPr>
              <w:t>48分</w:t>
            </w:r>
          </w:p>
        </w:tc>
        <w:tc>
          <w:tcPr>
            <w:tcW w:w="763" w:type="dxa"/>
            <w:vMerge w:val="restart"/>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设备</w:t>
            </w:r>
          </w:p>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维护</w:t>
            </w: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未制订年度工作目标、电气设备维保计划及实施方案；</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未制订设备安全运行、岗位责任制、定期巡回检查、维护保养、运行记录管理、维修档案等管理制度及内容，或严格不执行；</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val="0"/>
              <w:suppressLineNumbers w:val="0"/>
              <w:spacing w:before="0" w:beforeAutospacing="0" w:after="0" w:afterAutospacing="0" w:line="40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设备及机房环境脏乱，存在杂物、灰尘，鼠、虫害时有发生，机房环境不符合设备要求；高、低配电房配电屏、各楼层配电房内配电箱未保持清洁、有灰尘；</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设备运行不正常，存在应淘汰设备，修试超周期，项目不齐全、不合格；</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保护和自动装置投切不符合要求，开关接触差，状态与模拟图不一致；</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各类表计指示计量不正确；</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接地装置不符合规定；</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熔丝配置不符合规定；</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无每年一次开关保护传动试验记录；</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设备未挂牌，管理落实到人；</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一、二次设备未保持清洁，未定期清扫，每年少于2次，或无记录；</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3" w:type="dxa"/>
            <w:vMerge w:val="continue"/>
            <w:tcBorders>
              <w:bottom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55" w:type="dxa"/>
            <w:gridSpan w:val="3"/>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设备未按季定级。</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restart"/>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 xml:space="preserve">（五）           </w:t>
            </w:r>
          </w:p>
          <w:p>
            <w:pPr>
              <w:keepNext w:val="0"/>
              <w:keepLines w:val="0"/>
              <w:widowControl w:val="0"/>
              <w:suppressLineNumbers w:val="0"/>
              <w:spacing w:before="0" w:beforeAutospacing="0" w:after="0" w:afterAutospacing="0" w:line="340" w:lineRule="exact"/>
              <w:ind w:left="0" w:right="-13"/>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设备</w:t>
            </w:r>
          </w:p>
          <w:p>
            <w:pPr>
              <w:keepNext w:val="0"/>
              <w:keepLines w:val="0"/>
              <w:widowControl w:val="0"/>
              <w:suppressLineNumbers w:val="0"/>
              <w:spacing w:before="0" w:beforeAutospacing="0" w:after="0" w:afterAutospacing="0" w:line="340" w:lineRule="exact"/>
              <w:ind w:left="0" w:right="-13"/>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运行</w:t>
            </w:r>
          </w:p>
          <w:p>
            <w:pPr>
              <w:keepNext w:val="0"/>
              <w:keepLines w:val="0"/>
              <w:widowControl w:val="0"/>
              <w:suppressLineNumbers w:val="0"/>
              <w:spacing w:before="0" w:beforeAutospacing="0" w:after="0" w:afterAutospacing="0" w:line="340" w:lineRule="exact"/>
              <w:ind w:left="0" w:right="-13"/>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维护</w:t>
            </w:r>
          </w:p>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服务</w:t>
            </w:r>
          </w:p>
        </w:tc>
        <w:tc>
          <w:tcPr>
            <w:tcW w:w="762" w:type="dxa"/>
            <w:vMerge w:val="restart"/>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电气</w:t>
            </w:r>
          </w:p>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强电</w:t>
            </w:r>
          </w:p>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34分</w:t>
            </w:r>
          </w:p>
        </w:tc>
        <w:tc>
          <w:tcPr>
            <w:tcW w:w="769" w:type="dxa"/>
            <w:gridSpan w:val="2"/>
            <w:vMerge w:val="restart"/>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工程人员配置及技术培训</w:t>
            </w:r>
          </w:p>
        </w:tc>
        <w:tc>
          <w:tcPr>
            <w:tcW w:w="5249" w:type="dxa"/>
            <w:gridSpan w:val="2"/>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值班台上无：值班人员及相关人员的名单，主要设备技术参数及其他必要数据，通讯设备良好；</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9"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49" w:type="dxa"/>
            <w:gridSpan w:val="2"/>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现场应知应会考问未通过：包括安规、两票、业务技术抽考；</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9" w:type="dxa"/>
            <w:gridSpan w:val="2"/>
            <w:vMerge w:val="restart"/>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发电</w:t>
            </w:r>
          </w:p>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机房</w:t>
            </w:r>
          </w:p>
        </w:tc>
        <w:tc>
          <w:tcPr>
            <w:tcW w:w="5249" w:type="dxa"/>
            <w:gridSpan w:val="2"/>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未保持环境整洁，发电机组外壳存在脱漆、锈蚀；</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9" w:type="dxa"/>
            <w:gridSpan w:val="2"/>
            <w:vMerge w:val="continue"/>
            <w:tcBorders>
              <w:bottom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49" w:type="dxa"/>
            <w:gridSpan w:val="2"/>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未严格执行相关保养制度，未定期对发电机进行空载试机，或未认真填写“发电机维修保养记录表”；</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9" w:type="dxa"/>
            <w:gridSpan w:val="2"/>
            <w:vMerge w:val="restart"/>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室内外公共照明</w:t>
            </w:r>
          </w:p>
        </w:tc>
        <w:tc>
          <w:tcPr>
            <w:tcW w:w="5249" w:type="dxa"/>
            <w:gridSpan w:val="2"/>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室外、道路、楼道、厅堂、会议室、大礼堂、卫生间等公共照明完好率未保持95%以上；</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762" w:type="dxa"/>
            <w:vMerge w:val="continue"/>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9" w:type="dxa"/>
            <w:gridSpan w:val="2"/>
            <w:vMerge w:val="continue"/>
            <w:tcBorders>
              <w:bottom w:val="single" w:color="auto" w:sz="4" w:space="0"/>
            </w:tcBorders>
            <w:noWrap w:val="0"/>
            <w:vAlign w:val="center"/>
          </w:tcPr>
          <w:p>
            <w:pPr>
              <w:keepNext w:val="0"/>
              <w:keepLines w:val="0"/>
              <w:widowControl/>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5249" w:type="dxa"/>
            <w:gridSpan w:val="2"/>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未根据时间、地点、气候等因素变化制定各种公共部位照明方案，或调整不及时、执行不严格；</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p>
        </w:tc>
        <w:tc>
          <w:tcPr>
            <w:tcW w:w="762" w:type="dxa"/>
            <w:vMerge w:val="continue"/>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宋体" w:hAnsi="宋体" w:cs="Times New Roman"/>
                <w:color w:val="auto"/>
                <w:kern w:val="2"/>
                <w:sz w:val="18"/>
                <w:szCs w:val="18"/>
                <w:highlight w:val="none"/>
              </w:rPr>
            </w:pPr>
          </w:p>
        </w:tc>
        <w:tc>
          <w:tcPr>
            <w:tcW w:w="769" w:type="dxa"/>
            <w:gridSpan w:val="2"/>
            <w:tcBorders>
              <w:top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节能</w:t>
            </w:r>
          </w:p>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方面</w:t>
            </w:r>
          </w:p>
        </w:tc>
        <w:tc>
          <w:tcPr>
            <w:tcW w:w="5249" w:type="dxa"/>
            <w:gridSpan w:val="2"/>
            <w:tcBorders>
              <w:lef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未结合大院实际，制订节能措施，使现有设备达不到最大限度节能效果。</w:t>
            </w:r>
          </w:p>
        </w:tc>
        <w:tc>
          <w:tcPr>
            <w:tcW w:w="1382"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w:t>
            </w:r>
          </w:p>
          <w:p>
            <w:pPr>
              <w:keepNext w:val="0"/>
              <w:keepLines w:val="0"/>
              <w:widowControl/>
              <w:suppressLineNumbers w:val="0"/>
              <w:spacing w:before="0" w:beforeAutospacing="0" w:after="0" w:afterAutospacing="0" w:line="30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除扣分外，还需赔偿浪费部分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restart"/>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（六）</w:t>
            </w:r>
          </w:p>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工作</w:t>
            </w:r>
          </w:p>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事故</w:t>
            </w:r>
          </w:p>
        </w:tc>
        <w:tc>
          <w:tcPr>
            <w:tcW w:w="6780" w:type="dxa"/>
            <w:gridSpan w:val="5"/>
            <w:noWrap w:val="0"/>
            <w:vAlign w:val="center"/>
          </w:tcPr>
          <w:p>
            <w:pPr>
              <w:keepNext w:val="0"/>
              <w:keepLines w:val="0"/>
              <w:widowControl w:val="0"/>
              <w:suppressLineNumbers w:val="0"/>
              <w:spacing w:before="0" w:beforeAutospacing="0" w:after="0" w:afterAutospacing="0" w:line="38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因违反操作规程、保养规程等人为原因，导致中央空调主机不能启动使用，造成恶劣工作影响的；</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780" w:type="dxa"/>
            <w:gridSpan w:val="5"/>
            <w:noWrap w:val="0"/>
            <w:vAlign w:val="center"/>
          </w:tcPr>
          <w:p>
            <w:pPr>
              <w:keepNext w:val="0"/>
              <w:keepLines w:val="0"/>
              <w:widowControl w:val="0"/>
              <w:suppressLineNumbers w:val="0"/>
              <w:spacing w:before="0" w:beforeAutospacing="0" w:after="0" w:afterAutospacing="0" w:line="38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因日常保养不当，导致在被停电状况下，自备发电机不能紧急启动，造成恶劣工作影响的；</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780" w:type="dxa"/>
            <w:gridSpan w:val="5"/>
            <w:noWrap w:val="0"/>
            <w:vAlign w:val="center"/>
          </w:tcPr>
          <w:p>
            <w:pPr>
              <w:keepNext w:val="0"/>
              <w:keepLines w:val="0"/>
              <w:widowControl w:val="0"/>
              <w:suppressLineNumbers w:val="0"/>
              <w:spacing w:before="0" w:beforeAutospacing="0" w:after="0" w:afterAutospacing="0" w:line="38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因违规操作或管理不力，导致高、低配电房出现工作事故的；</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p>
        </w:tc>
        <w:tc>
          <w:tcPr>
            <w:tcW w:w="6780" w:type="dxa"/>
            <w:gridSpan w:val="5"/>
            <w:noWrap w:val="0"/>
            <w:vAlign w:val="center"/>
          </w:tcPr>
          <w:p>
            <w:pPr>
              <w:keepNext w:val="0"/>
              <w:keepLines w:val="0"/>
              <w:widowControl w:val="0"/>
              <w:suppressLineNumbers w:val="0"/>
              <w:spacing w:before="0" w:beforeAutospacing="0" w:after="0" w:afterAutospacing="0" w:line="38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因准备不充分或日常保养不力，在重要会议期间，出现音响设备失灵、场内灯光熄灭等情况，造成重大影响的；</w:t>
            </w:r>
          </w:p>
        </w:tc>
        <w:tc>
          <w:tcPr>
            <w:tcW w:w="1382" w:type="dxa"/>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宋体"/>
                <w:color w:val="auto"/>
                <w:sz w:val="18"/>
                <w:szCs w:val="18"/>
                <w:highlight w:val="none"/>
              </w:rPr>
            </w:pPr>
          </w:p>
        </w:tc>
        <w:tc>
          <w:tcPr>
            <w:tcW w:w="6780" w:type="dxa"/>
            <w:gridSpan w:val="5"/>
            <w:noWrap w:val="0"/>
            <w:vAlign w:val="center"/>
          </w:tcPr>
          <w:p>
            <w:pPr>
              <w:keepNext w:val="0"/>
              <w:keepLines w:val="0"/>
              <w:widowControl/>
              <w:suppressLineNumbers w:val="0"/>
              <w:spacing w:before="0" w:beforeAutospacing="0" w:after="0" w:afterAutospacing="0" w:line="38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人为因素造成的文件、会议内容等泄密事件，造成不良影响的；</w:t>
            </w:r>
          </w:p>
        </w:tc>
        <w:tc>
          <w:tcPr>
            <w:tcW w:w="1382" w:type="dxa"/>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52" w:type="dxa"/>
            <w:gridSpan w:val="2"/>
            <w:vMerge w:val="continue"/>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p>
        </w:tc>
        <w:tc>
          <w:tcPr>
            <w:tcW w:w="6780" w:type="dxa"/>
            <w:gridSpan w:val="5"/>
            <w:noWrap w:val="0"/>
            <w:vAlign w:val="center"/>
          </w:tcPr>
          <w:p>
            <w:pPr>
              <w:keepNext w:val="0"/>
              <w:keepLines w:val="0"/>
              <w:widowControl w:val="0"/>
              <w:suppressLineNumbers w:val="0"/>
              <w:spacing w:before="0" w:beforeAutospacing="0" w:after="0" w:afterAutospacing="0" w:line="380" w:lineRule="exact"/>
              <w:ind w:left="0" w:right="0"/>
              <w:jc w:val="both"/>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发生盗窃、火灾案件等安全责任事故，由公安、消防部门定性为责任事故的。</w:t>
            </w:r>
          </w:p>
        </w:tc>
        <w:tc>
          <w:tcPr>
            <w:tcW w:w="1382" w:type="dxa"/>
            <w:noWrap w:val="0"/>
            <w:vAlign w:val="center"/>
          </w:tcPr>
          <w:p>
            <w:pPr>
              <w:keepNext w:val="0"/>
              <w:keepLines w:val="0"/>
              <w:widowControl/>
              <w:suppressLineNumbers w:val="0"/>
              <w:spacing w:before="0" w:beforeAutospacing="0" w:after="0" w:afterAutospacing="0" w:line="340" w:lineRule="exact"/>
              <w:ind w:left="0" w:right="0"/>
              <w:jc w:val="center"/>
              <w:rPr>
                <w:rFonts w:hint="default" w:ascii="宋体" w:hAnsi="宋体" w:cs="Times New Roman"/>
                <w:color w:val="auto"/>
                <w:kern w:val="2"/>
                <w:sz w:val="18"/>
                <w:szCs w:val="18"/>
                <w:highlight w:val="none"/>
              </w:rPr>
            </w:pPr>
            <w:r>
              <w:rPr>
                <w:rFonts w:hint="eastAsia" w:ascii="宋体" w:hAnsi="宋体" w:cs="Times New Roman"/>
                <w:color w:val="auto"/>
                <w:kern w:val="2"/>
                <w:sz w:val="18"/>
                <w:szCs w:val="18"/>
                <w:highlight w:val="none"/>
              </w:rPr>
              <w:t>50分以上</w:t>
            </w:r>
          </w:p>
        </w:tc>
      </w:tr>
      <w:bookmarkEnd w:id="717"/>
      <w:bookmarkEnd w:id="718"/>
      <w:bookmarkEnd w:id="719"/>
      <w:bookmarkEnd w:id="720"/>
      <w:bookmarkEnd w:id="721"/>
      <w:bookmarkEnd w:id="722"/>
      <w:bookmarkEnd w:id="723"/>
      <w:bookmarkEnd w:id="724"/>
      <w:bookmarkEnd w:id="725"/>
      <w:bookmarkEnd w:id="726"/>
    </w:tbl>
    <w:p>
      <w:pPr>
        <w:rPr>
          <w:color w:val="auto"/>
        </w:rPr>
      </w:pPr>
      <w:r>
        <w:rPr>
          <w:rFonts w:hint="eastAsia"/>
          <w:color w:val="auto"/>
        </w:rPr>
        <w:t>注：</w:t>
      </w:r>
    </w:p>
    <w:p>
      <w:pPr>
        <w:spacing w:line="380" w:lineRule="exact"/>
        <w:ind w:left="3" w:firstLine="399" w:firstLineChars="190"/>
        <w:rPr>
          <w:color w:val="auto"/>
          <w:szCs w:val="22"/>
        </w:rPr>
      </w:pPr>
      <w:r>
        <w:rPr>
          <w:rFonts w:hint="eastAsia"/>
          <w:color w:val="auto"/>
          <w:szCs w:val="22"/>
        </w:rPr>
        <w:t>考核小组采取每月定时或抽查形式进行考核。</w:t>
      </w:r>
    </w:p>
    <w:p>
      <w:pPr>
        <w:pStyle w:val="20"/>
        <w:ind w:left="0" w:leftChars="0" w:firstLine="0" w:firstLineChars="0"/>
        <w:rPr>
          <w:rFonts w:hint="eastAsia" w:hAnsi="宋体"/>
          <w:b/>
          <w:bCs/>
          <w:color w:val="auto"/>
          <w:sz w:val="28"/>
          <w:szCs w:val="36"/>
          <w:lang w:eastAsia="zh-CN"/>
        </w:rPr>
      </w:pPr>
    </w:p>
    <w:p>
      <w:pPr>
        <w:pStyle w:val="18"/>
        <w:numPr>
          <w:ilvl w:val="0"/>
          <w:numId w:val="0"/>
        </w:numPr>
        <w:jc w:val="center"/>
        <w:outlineLvl w:val="0"/>
        <w:rPr>
          <w:rFonts w:hint="eastAsia" w:hAnsi="宋体"/>
          <w:b/>
          <w:bCs/>
          <w:color w:val="auto"/>
          <w:sz w:val="28"/>
          <w:szCs w:val="36"/>
          <w:lang w:eastAsia="zh-CN"/>
        </w:rPr>
      </w:pPr>
    </w:p>
    <w:p>
      <w:pPr>
        <w:rPr>
          <w:rFonts w:hint="eastAsia" w:hAnsi="宋体"/>
          <w:b/>
          <w:bCs/>
          <w:color w:val="auto"/>
          <w:sz w:val="28"/>
          <w:szCs w:val="36"/>
          <w:lang w:eastAsia="zh-CN"/>
        </w:rPr>
      </w:pPr>
    </w:p>
    <w:p>
      <w:pPr>
        <w:pStyle w:val="20"/>
        <w:rPr>
          <w:rFonts w:hint="eastAsia" w:hAnsi="宋体"/>
          <w:b/>
          <w:bCs/>
          <w:color w:val="auto"/>
          <w:sz w:val="28"/>
          <w:szCs w:val="36"/>
          <w:lang w:eastAsia="zh-CN"/>
        </w:rPr>
      </w:pPr>
    </w:p>
    <w:p>
      <w:pPr>
        <w:pStyle w:val="20"/>
        <w:rPr>
          <w:rFonts w:hint="eastAsia" w:hAnsi="宋体"/>
          <w:b/>
          <w:bCs/>
          <w:color w:val="auto"/>
          <w:sz w:val="28"/>
          <w:szCs w:val="36"/>
          <w:lang w:eastAsia="zh-CN"/>
        </w:rPr>
      </w:pPr>
    </w:p>
    <w:p>
      <w:pPr>
        <w:pStyle w:val="20"/>
        <w:rPr>
          <w:rFonts w:hint="eastAsia" w:hAnsi="宋体"/>
          <w:b/>
          <w:bCs/>
          <w:color w:val="auto"/>
          <w:sz w:val="28"/>
          <w:szCs w:val="36"/>
          <w:lang w:eastAsia="zh-CN"/>
        </w:rPr>
      </w:pPr>
    </w:p>
    <w:p>
      <w:pPr>
        <w:pStyle w:val="20"/>
        <w:rPr>
          <w:rFonts w:hint="eastAsia" w:hAnsi="宋体"/>
          <w:b/>
          <w:bCs/>
          <w:color w:val="auto"/>
          <w:sz w:val="28"/>
          <w:szCs w:val="36"/>
          <w:lang w:eastAsia="zh-CN"/>
        </w:rPr>
      </w:pPr>
    </w:p>
    <w:p>
      <w:pPr>
        <w:pStyle w:val="20"/>
        <w:rPr>
          <w:rFonts w:hint="eastAsia" w:hAnsi="宋体"/>
          <w:b/>
          <w:bCs/>
          <w:color w:val="auto"/>
          <w:sz w:val="28"/>
          <w:szCs w:val="36"/>
          <w:lang w:eastAsia="zh-CN"/>
        </w:rPr>
      </w:pPr>
    </w:p>
    <w:p>
      <w:pPr>
        <w:pStyle w:val="20"/>
        <w:rPr>
          <w:rFonts w:hint="eastAsia" w:hAnsi="宋体"/>
          <w:b/>
          <w:bCs/>
          <w:color w:val="auto"/>
          <w:sz w:val="28"/>
          <w:szCs w:val="36"/>
          <w:lang w:eastAsia="zh-CN"/>
        </w:rPr>
      </w:pPr>
    </w:p>
    <w:p>
      <w:pPr>
        <w:pStyle w:val="20"/>
        <w:rPr>
          <w:rFonts w:hint="eastAsia" w:hAnsi="宋体"/>
          <w:b/>
          <w:bCs/>
          <w:color w:val="auto"/>
          <w:sz w:val="28"/>
          <w:szCs w:val="36"/>
          <w:lang w:eastAsia="zh-CN"/>
        </w:rPr>
      </w:pPr>
    </w:p>
    <w:p>
      <w:pPr>
        <w:pStyle w:val="20"/>
        <w:rPr>
          <w:rFonts w:hint="eastAsia" w:hAnsi="宋体"/>
          <w:b/>
          <w:bCs/>
          <w:color w:val="auto"/>
          <w:sz w:val="28"/>
          <w:szCs w:val="36"/>
          <w:lang w:eastAsia="zh-CN"/>
        </w:rPr>
      </w:pPr>
    </w:p>
    <w:p>
      <w:pPr>
        <w:pStyle w:val="20"/>
        <w:rPr>
          <w:rFonts w:hint="eastAsia" w:hAnsi="宋体"/>
          <w:b/>
          <w:bCs/>
          <w:color w:val="auto"/>
          <w:sz w:val="28"/>
          <w:szCs w:val="36"/>
          <w:lang w:eastAsia="zh-CN"/>
        </w:rPr>
      </w:pPr>
    </w:p>
    <w:p>
      <w:pPr>
        <w:pStyle w:val="20"/>
        <w:rPr>
          <w:rFonts w:hint="eastAsia" w:hAnsi="宋体"/>
          <w:b/>
          <w:bCs/>
          <w:color w:val="auto"/>
          <w:sz w:val="28"/>
          <w:szCs w:val="36"/>
          <w:lang w:eastAsia="zh-CN"/>
        </w:rPr>
      </w:pPr>
    </w:p>
    <w:p>
      <w:pPr>
        <w:pStyle w:val="20"/>
        <w:rPr>
          <w:rFonts w:hint="eastAsia" w:hAnsi="宋体"/>
          <w:b/>
          <w:bCs/>
          <w:color w:val="auto"/>
          <w:sz w:val="28"/>
          <w:szCs w:val="36"/>
          <w:lang w:eastAsia="zh-CN"/>
        </w:rPr>
      </w:pPr>
    </w:p>
    <w:p>
      <w:pPr>
        <w:pStyle w:val="20"/>
        <w:rPr>
          <w:rFonts w:hint="eastAsia" w:hAnsi="宋体"/>
          <w:b/>
          <w:bCs/>
          <w:color w:val="auto"/>
          <w:sz w:val="28"/>
          <w:szCs w:val="36"/>
          <w:lang w:eastAsia="zh-CN"/>
        </w:rPr>
      </w:pPr>
    </w:p>
    <w:p>
      <w:pPr>
        <w:pStyle w:val="20"/>
        <w:rPr>
          <w:rFonts w:hint="eastAsia" w:hAnsi="宋体"/>
          <w:b/>
          <w:bCs/>
          <w:color w:val="auto"/>
          <w:sz w:val="28"/>
          <w:szCs w:val="36"/>
          <w:lang w:eastAsia="zh-CN"/>
        </w:rPr>
      </w:pPr>
    </w:p>
    <w:p>
      <w:pPr>
        <w:pStyle w:val="20"/>
        <w:rPr>
          <w:rFonts w:hint="eastAsia" w:hAnsi="宋体"/>
          <w:b/>
          <w:bCs/>
          <w:color w:val="auto"/>
          <w:sz w:val="28"/>
          <w:szCs w:val="36"/>
          <w:lang w:eastAsia="zh-CN"/>
        </w:rPr>
      </w:pPr>
    </w:p>
    <w:p>
      <w:pPr>
        <w:pStyle w:val="20"/>
        <w:rPr>
          <w:rFonts w:hint="eastAsia" w:hAnsi="宋体"/>
          <w:b/>
          <w:bCs/>
          <w:color w:val="auto"/>
          <w:sz w:val="28"/>
          <w:szCs w:val="36"/>
          <w:lang w:eastAsia="zh-CN"/>
        </w:rPr>
      </w:pPr>
    </w:p>
    <w:p>
      <w:pPr>
        <w:pStyle w:val="20"/>
        <w:rPr>
          <w:rFonts w:hint="eastAsia" w:hAnsi="宋体"/>
          <w:b/>
          <w:bCs/>
          <w:color w:val="auto"/>
          <w:sz w:val="28"/>
          <w:szCs w:val="36"/>
          <w:lang w:eastAsia="zh-CN"/>
        </w:rPr>
      </w:pPr>
    </w:p>
    <w:p>
      <w:pPr>
        <w:pStyle w:val="18"/>
        <w:numPr>
          <w:ilvl w:val="0"/>
          <w:numId w:val="0"/>
        </w:numPr>
        <w:jc w:val="center"/>
        <w:outlineLvl w:val="0"/>
        <w:rPr>
          <w:rFonts w:hint="eastAsia" w:hAnsi="宋体"/>
          <w:b/>
          <w:bCs/>
          <w:color w:val="auto"/>
          <w:sz w:val="28"/>
          <w:szCs w:val="36"/>
        </w:rPr>
      </w:pPr>
      <w:bookmarkStart w:id="727" w:name="_Toc27268"/>
      <w:bookmarkStart w:id="728" w:name="_Toc2232"/>
      <w:bookmarkStart w:id="729" w:name="_Toc5599"/>
      <w:bookmarkStart w:id="730" w:name="_Toc15087"/>
      <w:bookmarkStart w:id="731" w:name="_Toc10932"/>
      <w:bookmarkStart w:id="732" w:name="_Toc6251"/>
      <w:bookmarkStart w:id="733" w:name="_Toc21447"/>
      <w:bookmarkStart w:id="734" w:name="_Toc24316"/>
      <w:bookmarkStart w:id="735" w:name="_Toc12684"/>
      <w:bookmarkStart w:id="736" w:name="_Toc21440"/>
      <w:bookmarkStart w:id="737" w:name="_Toc18135"/>
      <w:bookmarkStart w:id="738" w:name="_Toc2815"/>
      <w:bookmarkStart w:id="739" w:name="_Toc2299"/>
      <w:bookmarkStart w:id="740" w:name="_Toc7154"/>
      <w:r>
        <w:rPr>
          <w:rFonts w:hint="eastAsia" w:hAnsi="宋体"/>
          <w:b/>
          <w:bCs/>
          <w:color w:val="auto"/>
          <w:sz w:val="28"/>
          <w:szCs w:val="36"/>
          <w:lang w:eastAsia="zh-CN"/>
        </w:rPr>
        <w:t>第四部分</w:t>
      </w:r>
      <w:r>
        <w:rPr>
          <w:rFonts w:hint="eastAsia" w:hAnsi="宋体"/>
          <w:b/>
          <w:bCs/>
          <w:color w:val="auto"/>
          <w:sz w:val="28"/>
          <w:szCs w:val="36"/>
        </w:rPr>
        <w:t xml:space="preserve"> </w:t>
      </w:r>
      <w:bookmarkStart w:id="741" w:name="_Toc19896"/>
      <w:r>
        <w:rPr>
          <w:rFonts w:hint="eastAsia" w:hAnsi="宋体"/>
          <w:b/>
          <w:bCs/>
          <w:color w:val="auto"/>
          <w:sz w:val="28"/>
          <w:szCs w:val="36"/>
        </w:rPr>
        <w:t>评标办法</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20"/>
        <w:numPr>
          <w:ilvl w:val="0"/>
          <w:numId w:val="76"/>
        </w:numPr>
        <w:ind w:left="0" w:leftChars="0" w:firstLine="420" w:firstLineChars="0"/>
        <w:outlineLvl w:val="1"/>
        <w:rPr>
          <w:rFonts w:hint="eastAsia"/>
          <w:strike w:val="0"/>
          <w:color w:val="auto"/>
          <w:sz w:val="24"/>
          <w:szCs w:val="24"/>
        </w:rPr>
      </w:pPr>
      <w:bookmarkStart w:id="742" w:name="_Toc14264"/>
      <w:bookmarkStart w:id="743" w:name="_Toc2796"/>
      <w:bookmarkStart w:id="744" w:name="_Toc31408"/>
      <w:bookmarkStart w:id="745" w:name="_Toc12414"/>
      <w:bookmarkStart w:id="746" w:name="_Toc8524"/>
      <w:bookmarkStart w:id="747" w:name="_Toc6474"/>
      <w:bookmarkStart w:id="748" w:name="_Toc25049"/>
      <w:bookmarkStart w:id="749" w:name="_Toc14918"/>
      <w:bookmarkStart w:id="750" w:name="_Toc7005"/>
      <w:bookmarkStart w:id="751" w:name="_Toc31234"/>
      <w:bookmarkStart w:id="752" w:name="_Toc1155"/>
      <w:bookmarkStart w:id="753" w:name="_Toc4902"/>
      <w:bookmarkStart w:id="754" w:name="_Toc26026"/>
      <w:bookmarkStart w:id="755" w:name="_Toc2421"/>
      <w:bookmarkStart w:id="756" w:name="_Toc15216"/>
      <w:bookmarkStart w:id="757" w:name="_Toc25956"/>
      <w:bookmarkStart w:id="758" w:name="_Toc14806"/>
      <w:bookmarkStart w:id="759" w:name="_Toc3111"/>
      <w:bookmarkStart w:id="760" w:name="_Toc29685"/>
      <w:bookmarkStart w:id="761" w:name="_Toc24850"/>
      <w:bookmarkStart w:id="762" w:name="_Toc16422"/>
      <w:bookmarkStart w:id="763" w:name="_Toc24371"/>
      <w:bookmarkStart w:id="764" w:name="_Toc15894"/>
      <w:bookmarkStart w:id="765" w:name="_Toc31768"/>
      <w:bookmarkStart w:id="766" w:name="_Toc10088"/>
      <w:bookmarkStart w:id="767" w:name="_Toc13387"/>
      <w:bookmarkStart w:id="768" w:name="_Toc56"/>
      <w:r>
        <w:rPr>
          <w:rFonts w:hint="eastAsia" w:ascii="宋体" w:hAnsi="宋体" w:cs="宋体"/>
          <w:b/>
          <w:strike w:val="0"/>
          <w:dstrike w:val="0"/>
          <w:color w:val="auto"/>
          <w:sz w:val="24"/>
          <w:szCs w:val="24"/>
        </w:rPr>
        <w:t>评标方法</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color w:val="auto"/>
          <w:sz w:val="21"/>
          <w:szCs w:val="21"/>
          <w:highlight w:val="none"/>
        </w:rPr>
        <w:t>本</w:t>
      </w: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rPr>
        <w:t>采用综合评分法，即</w:t>
      </w:r>
      <w:r>
        <w:rPr>
          <w:rFonts w:hint="eastAsia" w:ascii="宋体" w:hAnsi="宋体" w:eastAsia="宋体" w:cs="宋体"/>
          <w:color w:val="auto"/>
          <w:sz w:val="21"/>
          <w:szCs w:val="21"/>
          <w:highlight w:val="none"/>
          <w:lang w:eastAsia="zh-CN"/>
        </w:rPr>
        <w:t>在投标文件</w:t>
      </w:r>
      <w:r>
        <w:rPr>
          <w:rFonts w:hint="eastAsia" w:ascii="宋体" w:hAnsi="宋体" w:eastAsia="宋体" w:cs="宋体"/>
          <w:color w:val="auto"/>
          <w:sz w:val="21"/>
          <w:szCs w:val="21"/>
          <w:highlight w:val="none"/>
        </w:rPr>
        <w:t>满足招标文件</w:t>
      </w:r>
      <w:r>
        <w:rPr>
          <w:rFonts w:hint="eastAsia" w:ascii="宋体" w:hAnsi="宋体" w:eastAsia="宋体" w:cs="宋体"/>
          <w:color w:val="auto"/>
          <w:sz w:val="21"/>
          <w:szCs w:val="21"/>
          <w:highlight w:val="none"/>
          <w:lang w:eastAsia="zh-CN"/>
        </w:rPr>
        <w:t>全部</w:t>
      </w:r>
      <w:r>
        <w:rPr>
          <w:rFonts w:hint="eastAsia" w:ascii="宋体" w:hAnsi="宋体" w:eastAsia="宋体" w:cs="宋体"/>
          <w:color w:val="auto"/>
          <w:sz w:val="21"/>
          <w:szCs w:val="21"/>
          <w:highlight w:val="none"/>
        </w:rPr>
        <w:t>实质性要求的基础上，</w:t>
      </w:r>
      <w:r>
        <w:rPr>
          <w:rFonts w:hint="eastAsia" w:ascii="宋体" w:hAnsi="宋体" w:eastAsia="宋体" w:cs="宋体"/>
          <w:color w:val="auto"/>
          <w:sz w:val="21"/>
          <w:szCs w:val="21"/>
          <w:highlight w:val="none"/>
          <w:lang w:eastAsia="zh-CN"/>
        </w:rPr>
        <w:t>按照评审因素的</w:t>
      </w:r>
      <w:r>
        <w:rPr>
          <w:rFonts w:hint="default" w:ascii="Times New Roman" w:hAnsi="Times New Roman" w:eastAsia="宋体" w:cs="Times New Roman"/>
          <w:color w:val="auto"/>
          <w:sz w:val="21"/>
          <w:szCs w:val="21"/>
          <w:highlight w:val="none"/>
          <w:lang w:eastAsia="zh-CN"/>
        </w:rPr>
        <w:t>量化指标评审得分最高的投标人作为中标候选人。本项目</w:t>
      </w:r>
      <w:r>
        <w:rPr>
          <w:rFonts w:hint="default" w:ascii="Times New Roman" w:hAnsi="Times New Roman" w:eastAsia="宋体" w:cs="Times New Roman"/>
          <w:b w:val="0"/>
          <w:bCs/>
          <w:color w:val="auto"/>
          <w:sz w:val="21"/>
          <w:szCs w:val="21"/>
          <w:highlight w:val="none"/>
        </w:rPr>
        <w:t>总分为</w:t>
      </w:r>
      <w:r>
        <w:rPr>
          <w:rFonts w:hint="default" w:ascii="Arial" w:hAnsi="Arial" w:eastAsia="宋体" w:cs="Arial"/>
          <w:b w:val="0"/>
          <w:bCs/>
          <w:color w:val="auto"/>
          <w:sz w:val="21"/>
          <w:szCs w:val="21"/>
          <w:highlight w:val="none"/>
        </w:rPr>
        <w:t>100</w:t>
      </w:r>
      <w:r>
        <w:rPr>
          <w:rFonts w:hint="default" w:ascii="Times New Roman" w:hAnsi="Times New Roman" w:eastAsia="宋体" w:cs="Times New Roman"/>
          <w:b w:val="0"/>
          <w:bCs/>
          <w:color w:val="auto"/>
          <w:sz w:val="21"/>
          <w:szCs w:val="21"/>
          <w:highlight w:val="none"/>
        </w:rPr>
        <w:t>分</w:t>
      </w:r>
      <w:r>
        <w:rPr>
          <w:rFonts w:hint="default" w:ascii="Times New Roman" w:hAnsi="Times New Roman" w:eastAsia="宋体" w:cs="Times New Roman"/>
          <w:b w:val="0"/>
          <w:bCs/>
          <w:color w:val="auto"/>
          <w:sz w:val="21"/>
          <w:szCs w:val="21"/>
          <w:highlight w:val="none"/>
          <w:lang w:eastAsia="zh-CN"/>
        </w:rPr>
        <w:t>，其中</w:t>
      </w:r>
      <w:r>
        <w:rPr>
          <w:rFonts w:hint="default" w:ascii="Times New Roman" w:hAnsi="Times New Roman" w:eastAsia="宋体" w:cs="Times New Roman"/>
          <w:b w:val="0"/>
          <w:bCs/>
          <w:color w:val="auto"/>
          <w:sz w:val="21"/>
          <w:szCs w:val="21"/>
          <w:highlight w:val="none"/>
        </w:rPr>
        <w:t>商务技术</w:t>
      </w:r>
      <w:r>
        <w:rPr>
          <w:rFonts w:hint="default" w:ascii="Times New Roman" w:hAnsi="Times New Roman" w:eastAsia="宋体" w:cs="Times New Roman"/>
          <w:b w:val="0"/>
          <w:bCs/>
          <w:color w:val="auto"/>
          <w:sz w:val="21"/>
          <w:szCs w:val="21"/>
          <w:highlight w:val="none"/>
          <w:lang w:eastAsia="zh-CN"/>
        </w:rPr>
        <w:t>部分</w:t>
      </w:r>
      <w:r>
        <w:rPr>
          <w:rFonts w:hint="eastAsia" w:ascii="Arial" w:hAnsi="Arial" w:eastAsia="宋体" w:cs="Arial"/>
          <w:b w:val="0"/>
          <w:bCs/>
          <w:color w:val="auto"/>
          <w:sz w:val="21"/>
          <w:szCs w:val="21"/>
          <w:highlight w:val="none"/>
          <w:u w:val="none"/>
          <w:lang w:val="en-US" w:eastAsia="zh-CN"/>
        </w:rPr>
        <w:t>90</w:t>
      </w:r>
      <w:r>
        <w:rPr>
          <w:rFonts w:hint="default" w:ascii="Arial" w:hAnsi="Arial" w:eastAsia="宋体" w:cs="Arial"/>
          <w:b w:val="0"/>
          <w:bCs/>
          <w:color w:val="auto"/>
          <w:sz w:val="21"/>
          <w:szCs w:val="21"/>
          <w:highlight w:val="none"/>
        </w:rPr>
        <w:t>分，报价</w:t>
      </w:r>
      <w:r>
        <w:rPr>
          <w:rFonts w:hint="default" w:ascii="Arial" w:hAnsi="Arial" w:eastAsia="宋体" w:cs="Arial"/>
          <w:b w:val="0"/>
          <w:bCs/>
          <w:color w:val="auto"/>
          <w:sz w:val="21"/>
          <w:szCs w:val="21"/>
          <w:highlight w:val="none"/>
          <w:lang w:eastAsia="zh-CN"/>
        </w:rPr>
        <w:t>部分</w:t>
      </w:r>
      <w:r>
        <w:rPr>
          <w:rFonts w:hint="eastAsia" w:ascii="Arial" w:hAnsi="Arial" w:eastAsia="宋体" w:cs="Arial"/>
          <w:b w:val="0"/>
          <w:bCs/>
          <w:color w:val="auto"/>
          <w:sz w:val="21"/>
          <w:szCs w:val="21"/>
          <w:highlight w:val="none"/>
          <w:u w:val="none"/>
          <w:lang w:val="en-US" w:eastAsia="zh-CN"/>
        </w:rPr>
        <w:t>10</w:t>
      </w:r>
      <w:r>
        <w:rPr>
          <w:rFonts w:hint="default" w:ascii="Times New Roman" w:hAnsi="Times New Roman" w:eastAsia="宋体" w:cs="Times New Roman"/>
          <w:b w:val="0"/>
          <w:bCs/>
          <w:color w:val="auto"/>
          <w:sz w:val="21"/>
          <w:szCs w:val="21"/>
          <w:highlight w:val="none"/>
        </w:rPr>
        <w:t>分。</w:t>
      </w:r>
    </w:p>
    <w:p>
      <w:pPr>
        <w:pStyle w:val="2"/>
        <w:pageBreakBefore w:val="0"/>
        <w:numPr>
          <w:ilvl w:val="0"/>
          <w:numId w:val="76"/>
        </w:numPr>
        <w:kinsoku/>
        <w:wordWrap/>
        <w:overflowPunct/>
        <w:topLinePunct w:val="0"/>
        <w:autoSpaceDE/>
        <w:autoSpaceDN/>
        <w:bidi w:val="0"/>
        <w:snapToGrid w:val="0"/>
        <w:spacing w:line="360" w:lineRule="auto"/>
        <w:ind w:left="0" w:leftChars="0" w:firstLine="420" w:firstLineChars="0"/>
        <w:textAlignment w:val="auto"/>
        <w:outlineLvl w:val="1"/>
        <w:rPr>
          <w:rFonts w:hint="eastAsia"/>
          <w:color w:val="auto"/>
          <w:lang w:eastAsia="zh-CN"/>
        </w:rPr>
      </w:pPr>
      <w:bookmarkStart w:id="769" w:name="_Toc19887"/>
      <w:bookmarkStart w:id="770" w:name="_Toc32072"/>
      <w:bookmarkStart w:id="771" w:name="_Toc10840"/>
      <w:bookmarkStart w:id="772" w:name="_Toc22640"/>
      <w:bookmarkStart w:id="773" w:name="_Toc11498"/>
      <w:bookmarkStart w:id="774" w:name="_Toc11855"/>
      <w:bookmarkStart w:id="775" w:name="_Toc23463"/>
      <w:bookmarkStart w:id="776" w:name="_Toc4424"/>
      <w:bookmarkStart w:id="777" w:name="_Toc10407"/>
      <w:bookmarkStart w:id="778" w:name="_Toc24126"/>
      <w:bookmarkStart w:id="779" w:name="_Toc28168"/>
      <w:bookmarkStart w:id="780" w:name="_Toc13884"/>
      <w:bookmarkStart w:id="781" w:name="_Toc9759"/>
      <w:bookmarkStart w:id="782" w:name="_Toc28278"/>
      <w:bookmarkStart w:id="783" w:name="_Toc29963"/>
      <w:bookmarkStart w:id="784" w:name="_Toc30891"/>
      <w:bookmarkStart w:id="785" w:name="_Toc19241"/>
      <w:bookmarkStart w:id="786" w:name="_Toc19071"/>
      <w:bookmarkStart w:id="787" w:name="_Toc5999"/>
      <w:bookmarkStart w:id="788" w:name="_Toc22745"/>
      <w:bookmarkStart w:id="789" w:name="_Toc26558"/>
      <w:bookmarkStart w:id="790" w:name="_Toc20860"/>
      <w:bookmarkStart w:id="791" w:name="_Toc10623"/>
      <w:bookmarkStart w:id="792" w:name="_Toc1410"/>
      <w:bookmarkStart w:id="793" w:name="_Toc2768"/>
      <w:bookmarkStart w:id="794" w:name="_Toc20507"/>
      <w:bookmarkStart w:id="795" w:name="_Toc13650"/>
      <w:bookmarkStart w:id="796" w:name="_Toc689"/>
      <w:bookmarkStart w:id="797" w:name="_Toc32251"/>
      <w:r>
        <w:rPr>
          <w:rFonts w:hint="eastAsia"/>
          <w:color w:val="auto"/>
          <w:lang w:eastAsia="zh-CN"/>
        </w:rPr>
        <w:t>评标程序</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keepNext w:val="0"/>
        <w:keepLines w:val="0"/>
        <w:pageBreakBefore w:val="0"/>
        <w:numPr>
          <w:ilvl w:val="0"/>
          <w:numId w:val="0"/>
        </w:numPr>
        <w:kinsoku/>
        <w:wordWrap/>
        <w:overflowPunct/>
        <w:topLinePunct w:val="0"/>
        <w:autoSpaceDE/>
        <w:autoSpaceDN/>
        <w:bidi w:val="0"/>
        <w:snapToGrid w:val="0"/>
        <w:spacing w:line="360" w:lineRule="auto"/>
        <w:ind w:leftChars="0" w:firstLine="420" w:firstLineChars="200"/>
        <w:jc w:val="both"/>
        <w:textAlignment w:val="auto"/>
        <w:outlineLvl w:val="9"/>
        <w:rPr>
          <w:rFonts w:hint="default" w:ascii="Times New Roman" w:hAnsi="Times New Roman" w:eastAsia="宋体" w:cs="Times New Roman"/>
          <w:b w:val="0"/>
          <w:bCs w:val="0"/>
          <w:color w:val="auto"/>
          <w:szCs w:val="21"/>
          <w:highlight w:val="none"/>
          <w:lang w:val="en-US" w:eastAsia="zh-CN"/>
        </w:rPr>
      </w:pPr>
      <w:r>
        <w:rPr>
          <w:rFonts w:hint="default" w:ascii="Times New Roman" w:hAnsi="Times New Roman" w:eastAsia="宋体" w:cs="Times New Roman"/>
          <w:b w:val="0"/>
          <w:bCs w:val="0"/>
          <w:color w:val="auto"/>
          <w:highlight w:val="none"/>
          <w:lang w:val="en-US" w:eastAsia="zh-CN"/>
        </w:rPr>
        <w:t xml:space="preserve">1. </w:t>
      </w:r>
      <w:r>
        <w:rPr>
          <w:rFonts w:hint="default" w:ascii="Times New Roman" w:hAnsi="Times New Roman" w:eastAsia="宋体" w:cs="Times New Roman"/>
          <w:b w:val="0"/>
          <w:bCs w:val="0"/>
          <w:color w:val="auto"/>
          <w:highlight w:val="none"/>
        </w:rPr>
        <w:t>资</w:t>
      </w:r>
      <w:r>
        <w:rPr>
          <w:rFonts w:hint="default" w:ascii="Times New Roman" w:hAnsi="Times New Roman" w:eastAsia="宋体" w:cs="Times New Roman"/>
          <w:b w:val="0"/>
          <w:bCs w:val="0"/>
          <w:color w:val="auto"/>
          <w:szCs w:val="21"/>
          <w:highlight w:val="none"/>
        </w:rPr>
        <w:t>格性审查</w:t>
      </w:r>
    </w:p>
    <w:p>
      <w:pPr>
        <w:keepNext w:val="0"/>
        <w:keepLines w:val="0"/>
        <w:pageBreakBefore w:val="0"/>
        <w:numPr>
          <w:ilvl w:val="0"/>
          <w:numId w:val="0"/>
        </w:numPr>
        <w:kinsoku/>
        <w:wordWrap/>
        <w:overflowPunct/>
        <w:topLinePunct w:val="0"/>
        <w:autoSpaceDE/>
        <w:autoSpaceDN/>
        <w:bidi w:val="0"/>
        <w:snapToGrid w:val="0"/>
        <w:spacing w:line="360" w:lineRule="auto"/>
        <w:ind w:firstLine="420" w:firstLineChars="200"/>
        <w:jc w:val="both"/>
        <w:textAlignment w:val="auto"/>
        <w:outlineLvl w:val="9"/>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开标结束后，采购人依法对投标人的资格进行审查。合格投标人不足</w:t>
      </w:r>
      <w:r>
        <w:rPr>
          <w:rFonts w:hint="default" w:ascii="Arial" w:hAnsi="Arial" w:eastAsia="宋体" w:cs="Arial"/>
          <w:color w:val="auto"/>
          <w:szCs w:val="21"/>
          <w:highlight w:val="none"/>
          <w:lang w:val="en-US" w:eastAsia="zh-CN"/>
        </w:rPr>
        <w:t>3</w:t>
      </w:r>
      <w:r>
        <w:rPr>
          <w:rFonts w:hint="default" w:ascii="Times New Roman" w:hAnsi="Times New Roman" w:eastAsia="宋体" w:cs="Times New Roman"/>
          <w:color w:val="auto"/>
          <w:szCs w:val="21"/>
          <w:highlight w:val="none"/>
          <w:lang w:val="en-US" w:eastAsia="zh-CN"/>
        </w:rPr>
        <w:t>家的，不得评标。具体审查内容如下：</w:t>
      </w:r>
    </w:p>
    <w:p>
      <w:pPr>
        <w:keepNext w:val="0"/>
        <w:keepLines w:val="0"/>
        <w:pageBreakBefore w:val="0"/>
        <w:numPr>
          <w:ilvl w:val="0"/>
          <w:numId w:val="0"/>
        </w:numPr>
        <w:kinsoku/>
        <w:wordWrap/>
        <w:overflowPunct/>
        <w:topLinePunct w:val="0"/>
        <w:autoSpaceDE/>
        <w:autoSpaceDN/>
        <w:bidi w:val="0"/>
        <w:snapToGrid w:val="0"/>
        <w:spacing w:line="360" w:lineRule="auto"/>
        <w:ind w:firstLine="420" w:firstLineChars="200"/>
        <w:jc w:val="both"/>
        <w:textAlignment w:val="auto"/>
        <w:outlineLvl w:val="9"/>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（1）满足《中华人民共和国政府采购法》第二十二条规定；</w:t>
      </w:r>
    </w:p>
    <w:p>
      <w:pPr>
        <w:keepNext w:val="0"/>
        <w:keepLines w:val="0"/>
        <w:pageBreakBefore w:val="0"/>
        <w:numPr>
          <w:ilvl w:val="0"/>
          <w:numId w:val="0"/>
        </w:numPr>
        <w:kinsoku/>
        <w:wordWrap/>
        <w:overflowPunct/>
        <w:topLinePunct w:val="0"/>
        <w:autoSpaceDE/>
        <w:autoSpaceDN/>
        <w:bidi w:val="0"/>
        <w:snapToGrid w:val="0"/>
        <w:spacing w:line="360" w:lineRule="auto"/>
        <w:ind w:firstLine="420" w:firstLineChars="200"/>
        <w:jc w:val="both"/>
        <w:textAlignment w:val="auto"/>
        <w:outlineLvl w:val="9"/>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（2）落实政府采购政策需满足的资格要求；</w:t>
      </w:r>
    </w:p>
    <w:p>
      <w:pPr>
        <w:keepNext w:val="0"/>
        <w:keepLines w:val="0"/>
        <w:pageBreakBefore w:val="0"/>
        <w:numPr>
          <w:ilvl w:val="0"/>
          <w:numId w:val="0"/>
        </w:numPr>
        <w:kinsoku/>
        <w:wordWrap/>
        <w:overflowPunct/>
        <w:topLinePunct w:val="0"/>
        <w:autoSpaceDE/>
        <w:autoSpaceDN/>
        <w:bidi w:val="0"/>
        <w:snapToGrid w:val="0"/>
        <w:spacing w:line="360" w:lineRule="auto"/>
        <w:ind w:firstLine="420" w:firstLineChars="200"/>
        <w:jc w:val="both"/>
        <w:textAlignment w:val="auto"/>
        <w:outlineLvl w:val="9"/>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（3）本项目的特定资格要求；</w:t>
      </w:r>
    </w:p>
    <w:p>
      <w:pPr>
        <w:pStyle w:val="18"/>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Cs w:val="21"/>
          <w:highlight w:val="none"/>
          <w:lang w:val="en-US" w:eastAsia="zh-CN"/>
        </w:rPr>
        <w:t>（1-3所需资格证明材料详见招标文件第二部分</w:t>
      </w:r>
      <w:r>
        <w:rPr>
          <w:rFonts w:hint="eastAsia" w:ascii="宋体" w:hAnsi="宋体" w:eastAsia="宋体" w:cs="宋体"/>
          <w:color w:val="auto"/>
          <w:szCs w:val="21"/>
          <w:highlight w:val="none"/>
          <w:lang w:val="en-US" w:eastAsia="zh-CN"/>
        </w:rPr>
        <w:t>“投标文件的构成”</w:t>
      </w:r>
      <w:r>
        <w:rPr>
          <w:rFonts w:hint="default" w:ascii="Times New Roman" w:hAnsi="Times New Roman" w:eastAsia="宋体" w:cs="Times New Roman"/>
          <w:color w:val="auto"/>
          <w:szCs w:val="21"/>
          <w:highlight w:val="none"/>
          <w:lang w:val="en-US" w:eastAsia="zh-CN"/>
        </w:rPr>
        <w:t>相关内容）</w:t>
      </w:r>
    </w:p>
    <w:p>
      <w:pPr>
        <w:keepNext w:val="0"/>
        <w:keepLines w:val="0"/>
        <w:pageBreakBefore w:val="0"/>
        <w:numPr>
          <w:ilvl w:val="0"/>
          <w:numId w:val="0"/>
        </w:numPr>
        <w:kinsoku/>
        <w:wordWrap/>
        <w:overflowPunct/>
        <w:topLinePunct w:val="0"/>
        <w:autoSpaceDE/>
        <w:autoSpaceDN/>
        <w:bidi w:val="0"/>
        <w:snapToGrid w:val="0"/>
        <w:spacing w:line="360" w:lineRule="auto"/>
        <w:ind w:firstLine="420" w:firstLineChars="200"/>
        <w:jc w:val="both"/>
        <w:textAlignment w:val="auto"/>
        <w:outlineLvl w:val="9"/>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snapToGrid w:val="0"/>
          <w:color w:val="auto"/>
          <w:kern w:val="0"/>
          <w:sz w:val="21"/>
          <w:szCs w:val="22"/>
          <w:highlight w:val="none"/>
          <w:lang w:val="en-US" w:eastAsia="zh-CN" w:bidi="ar-SA"/>
        </w:rPr>
        <w:t>（4）投标人是否存在以下不良信用记录</w:t>
      </w:r>
      <w:r>
        <w:rPr>
          <w:rFonts w:hint="default" w:ascii="Times New Roman" w:hAnsi="Times New Roman" w:eastAsia="宋体" w:cs="Times New Roman"/>
          <w:color w:val="auto"/>
          <w:lang w:val="en-US" w:eastAsia="zh-CN"/>
        </w:rPr>
        <w:t>（详见招标文件第二部分</w:t>
      </w:r>
      <w:r>
        <w:rPr>
          <w:rFonts w:hint="eastAsia" w:ascii="宋体" w:hAnsi="宋体" w:eastAsia="宋体" w:cs="宋体"/>
          <w:color w:val="auto"/>
          <w:lang w:val="en-US" w:eastAsia="zh-CN"/>
        </w:rPr>
        <w:t>“合格的投标人”</w:t>
      </w:r>
      <w:r>
        <w:rPr>
          <w:rFonts w:hint="default" w:ascii="Times New Roman" w:hAnsi="Times New Roman" w:eastAsia="宋体" w:cs="Times New Roman"/>
          <w:color w:val="auto"/>
          <w:lang w:val="en-US" w:eastAsia="zh-CN"/>
        </w:rPr>
        <w:t>相关内容）</w:t>
      </w:r>
      <w:r>
        <w:rPr>
          <w:rFonts w:hint="default" w:ascii="Times New Roman" w:hAnsi="Times New Roman" w:eastAsia="宋体" w:cs="Times New Roman"/>
          <w:b w:val="0"/>
          <w:bCs w:val="0"/>
          <w:color w:val="auto"/>
          <w:lang w:val="en-US" w:eastAsia="zh-CN"/>
        </w:rPr>
        <w:t>。</w:t>
      </w:r>
    </w:p>
    <w:p>
      <w:pPr>
        <w:keepNext w:val="0"/>
        <w:keepLines w:val="0"/>
        <w:pageBreakBefore w:val="0"/>
        <w:numPr>
          <w:ilvl w:val="0"/>
          <w:numId w:val="0"/>
        </w:numPr>
        <w:kinsoku/>
        <w:wordWrap/>
        <w:overflowPunct/>
        <w:topLinePunct w:val="0"/>
        <w:autoSpaceDE/>
        <w:autoSpaceDN/>
        <w:bidi w:val="0"/>
        <w:snapToGrid w:val="0"/>
        <w:spacing w:line="360" w:lineRule="auto"/>
        <w:ind w:leftChars="0" w:firstLine="420" w:firstLineChars="200"/>
        <w:jc w:val="both"/>
        <w:textAlignment w:val="auto"/>
        <w:outlineLvl w:val="9"/>
        <w:rPr>
          <w:rFonts w:hint="default" w:ascii="Times New Roman" w:hAnsi="Times New Roman" w:eastAsia="宋体" w:cs="Times New Roman"/>
          <w:b w:val="0"/>
          <w:bCs w:val="0"/>
          <w:color w:val="auto"/>
          <w:szCs w:val="21"/>
          <w:highlight w:val="none"/>
        </w:rPr>
      </w:pPr>
      <w:r>
        <w:rPr>
          <w:rFonts w:hint="default" w:ascii="Times New Roman" w:hAnsi="Times New Roman" w:eastAsia="宋体" w:cs="Times New Roman"/>
          <w:b w:val="0"/>
          <w:bCs w:val="0"/>
          <w:color w:val="auto"/>
          <w:szCs w:val="21"/>
          <w:highlight w:val="none"/>
          <w:lang w:val="en-US" w:eastAsia="zh-CN"/>
        </w:rPr>
        <w:t xml:space="preserve">2. </w:t>
      </w:r>
      <w:r>
        <w:rPr>
          <w:rFonts w:hint="default" w:ascii="Times New Roman" w:hAnsi="Times New Roman" w:eastAsia="宋体" w:cs="Times New Roman"/>
          <w:b w:val="0"/>
          <w:bCs w:val="0"/>
          <w:color w:val="auto"/>
          <w:szCs w:val="21"/>
          <w:highlight w:val="none"/>
        </w:rPr>
        <w:t>符合性审查</w:t>
      </w:r>
    </w:p>
    <w:p>
      <w:pPr>
        <w:keepNext w:val="0"/>
        <w:keepLines w:val="0"/>
        <w:pageBreakBefore w:val="0"/>
        <w:numPr>
          <w:ilvl w:val="0"/>
          <w:numId w:val="0"/>
        </w:numPr>
        <w:kinsoku/>
        <w:wordWrap/>
        <w:overflowPunct/>
        <w:topLinePunct w:val="0"/>
        <w:autoSpaceDE/>
        <w:autoSpaceDN/>
        <w:bidi w:val="0"/>
        <w:snapToGrid w:val="0"/>
        <w:spacing w:line="360" w:lineRule="auto"/>
        <w:ind w:firstLine="420" w:firstLineChars="200"/>
        <w:jc w:val="both"/>
        <w:textAlignment w:val="auto"/>
        <w:outlineLvl w:val="9"/>
        <w:rPr>
          <w:rFonts w:hint="default" w:ascii="Times New Roman" w:hAnsi="Times New Roman" w:eastAsia="宋体" w:cs="Times New Roman"/>
          <w:color w:val="auto"/>
          <w:highlight w:val="yellow"/>
          <w:lang w:val="en-US" w:eastAsia="zh-CN"/>
        </w:rPr>
      </w:pPr>
      <w:r>
        <w:rPr>
          <w:rFonts w:hint="default" w:ascii="Times New Roman" w:hAnsi="Times New Roman" w:eastAsia="宋体" w:cs="Times New Roman"/>
          <w:color w:val="auto"/>
          <w:szCs w:val="21"/>
          <w:highlight w:val="none"/>
          <w:lang w:val="en-US" w:eastAsia="zh-CN"/>
        </w:rPr>
        <w:t>评标委员会将依据法律法规和招标文件的规定，对通过资格性审查投标人的投标文件有效性、完整性和对招标文件的响应程度进行审查，以确定是否对招标文件的实质性要求作出响应。</w:t>
      </w:r>
    </w:p>
    <w:p>
      <w:pPr>
        <w:pStyle w:val="20"/>
        <w:keepNext w:val="0"/>
        <w:keepLines w:val="0"/>
        <w:pageBreakBefore w:val="0"/>
        <w:widowControl w:val="0"/>
        <w:numPr>
          <w:ilvl w:val="0"/>
          <w:numId w:val="0"/>
        </w:numPr>
        <w:kinsoku/>
        <w:wordWrap/>
        <w:overflowPunct/>
        <w:topLinePunct w:val="0"/>
        <w:autoSpaceDE/>
        <w:autoSpaceDN/>
        <w:bidi w:val="0"/>
        <w:adjustRightInd w:val="0"/>
        <w:spacing w:line="360" w:lineRule="auto"/>
        <w:ind w:leftChars="0" w:right="-252" w:rightChars="-120" w:firstLine="420" w:firstLineChars="200"/>
        <w:jc w:val="left"/>
        <w:textAlignment w:val="auto"/>
        <w:outlineLvl w:val="9"/>
        <w:rPr>
          <w:rFonts w:hint="default" w:ascii="Times New Roman" w:hAnsi="Times New Roman" w:eastAsia="宋体" w:cs="Times New Roman"/>
          <w:b w:val="0"/>
          <w:bCs w:val="0"/>
          <w:color w:val="auto"/>
          <w:sz w:val="21"/>
          <w:szCs w:val="22"/>
          <w:highlight w:val="none"/>
          <w:lang w:val="en-US" w:eastAsia="zh-CN" w:bidi="ar-SA"/>
        </w:rPr>
      </w:pPr>
      <w:r>
        <w:rPr>
          <w:rFonts w:hint="default" w:ascii="Times New Roman" w:hAnsi="Times New Roman" w:eastAsia="宋体" w:cs="Times New Roman"/>
          <w:b w:val="0"/>
          <w:bCs w:val="0"/>
          <w:color w:val="auto"/>
          <w:sz w:val="21"/>
          <w:szCs w:val="22"/>
          <w:highlight w:val="none"/>
          <w:lang w:val="en-US" w:eastAsia="zh-CN" w:bidi="ar-SA"/>
        </w:rPr>
        <w:t>（1）商务技术文件的评审</w:t>
      </w:r>
    </w:p>
    <w:p>
      <w:pPr>
        <w:keepNext w:val="0"/>
        <w:keepLines w:val="0"/>
        <w:pageBreakBefore w:val="0"/>
        <w:numPr>
          <w:ilvl w:val="0"/>
          <w:numId w:val="0"/>
        </w:numPr>
        <w:kinsoku/>
        <w:wordWrap/>
        <w:overflowPunct/>
        <w:topLinePunct w:val="0"/>
        <w:autoSpaceDE/>
        <w:autoSpaceDN/>
        <w:bidi w:val="0"/>
        <w:snapToGrid w:val="0"/>
        <w:spacing w:line="360" w:lineRule="auto"/>
        <w:ind w:firstLine="420" w:firstLineChars="200"/>
        <w:jc w:val="both"/>
        <w:textAlignment w:val="auto"/>
        <w:outlineLvl w:val="9"/>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评标委员会各成员独立对投标人的商务技术文件逐项进行审查、比较，对于实质性偏离或符合无效投标条款的，应当询问投标人，并允许投标人进行澄清，但不允许其对偏离条款进行补充、修正或撤回。</w:t>
      </w:r>
      <w:r>
        <w:rPr>
          <w:rFonts w:hint="default" w:ascii="Times New Roman" w:hAnsi="Times New Roman" w:eastAsia="宋体" w:cs="Times New Roman"/>
          <w:snapToGrid w:val="0"/>
          <w:color w:val="auto"/>
          <w:kern w:val="0"/>
          <w:szCs w:val="21"/>
          <w:highlight w:val="none"/>
        </w:rPr>
        <w:t>投标人</w:t>
      </w:r>
      <w:r>
        <w:rPr>
          <w:rFonts w:hint="default" w:ascii="Times New Roman" w:hAnsi="Times New Roman" w:eastAsia="宋体" w:cs="Times New Roman"/>
          <w:snapToGrid w:val="0"/>
          <w:color w:val="auto"/>
          <w:kern w:val="0"/>
          <w:szCs w:val="21"/>
          <w:highlight w:val="none"/>
          <w:lang w:eastAsia="zh-CN"/>
        </w:rPr>
        <w:t>所做的澄清</w:t>
      </w:r>
      <w:r>
        <w:rPr>
          <w:rFonts w:hint="default" w:ascii="Times New Roman" w:hAnsi="Times New Roman" w:eastAsia="宋体" w:cs="Times New Roman"/>
          <w:snapToGrid w:val="0"/>
          <w:color w:val="auto"/>
          <w:kern w:val="0"/>
          <w:szCs w:val="21"/>
          <w:highlight w:val="none"/>
        </w:rPr>
        <w:t>，不影响评标委员会对其投标文件所作的评价和评分结果。</w:t>
      </w:r>
    </w:p>
    <w:p>
      <w:pPr>
        <w:pStyle w:val="20"/>
        <w:keepNext w:val="0"/>
        <w:keepLines w:val="0"/>
        <w:pageBreakBefore w:val="0"/>
        <w:widowControl w:val="0"/>
        <w:numPr>
          <w:ilvl w:val="0"/>
          <w:numId w:val="0"/>
        </w:numPr>
        <w:kinsoku/>
        <w:wordWrap/>
        <w:overflowPunct/>
        <w:topLinePunct w:val="0"/>
        <w:autoSpaceDE/>
        <w:autoSpaceDN/>
        <w:bidi w:val="0"/>
        <w:adjustRightInd w:val="0"/>
        <w:spacing w:line="360" w:lineRule="auto"/>
        <w:ind w:leftChars="0" w:right="-252" w:rightChars="-120" w:firstLine="420" w:firstLineChars="200"/>
        <w:jc w:val="left"/>
        <w:textAlignment w:val="auto"/>
        <w:outlineLvl w:val="9"/>
        <w:rPr>
          <w:rFonts w:hint="default" w:ascii="Times New Roman" w:hAnsi="Times New Roman" w:eastAsia="宋体" w:cs="Times New Roman"/>
          <w:b w:val="0"/>
          <w:bCs w:val="0"/>
          <w:color w:val="auto"/>
          <w:sz w:val="21"/>
          <w:szCs w:val="22"/>
          <w:highlight w:val="none"/>
          <w:lang w:val="en-US" w:eastAsia="zh-CN" w:bidi="ar-SA"/>
        </w:rPr>
      </w:pPr>
      <w:r>
        <w:rPr>
          <w:rFonts w:hint="default" w:ascii="Times New Roman" w:hAnsi="Times New Roman" w:eastAsia="宋体" w:cs="Times New Roman"/>
          <w:b w:val="0"/>
          <w:bCs w:val="0"/>
          <w:color w:val="auto"/>
          <w:sz w:val="21"/>
          <w:szCs w:val="22"/>
          <w:highlight w:val="none"/>
          <w:lang w:val="en-US" w:eastAsia="zh-CN" w:bidi="ar-SA"/>
        </w:rPr>
        <w:t>（2）报价文件的评审</w:t>
      </w:r>
    </w:p>
    <w:p>
      <w:pPr>
        <w:adjustRightInd w:val="0"/>
        <w:snapToGrid w:val="0"/>
        <w:spacing w:line="360" w:lineRule="auto"/>
        <w:ind w:firstLine="420" w:firstLineChars="200"/>
        <w:rPr>
          <w:rFonts w:hint="default" w:ascii="Times New Roman" w:hAnsi="Times New Roman" w:eastAsia="宋体" w:cs="Times New Roman"/>
          <w:color w:val="auto"/>
          <w:szCs w:val="21"/>
          <w:highlight w:val="none"/>
          <w:lang w:val="zh-CN"/>
        </w:rPr>
      </w:pPr>
      <w:r>
        <w:rPr>
          <w:rFonts w:hint="default" w:ascii="Times New Roman" w:hAnsi="Times New Roman" w:eastAsia="宋体" w:cs="Times New Roman"/>
          <w:color w:val="auto"/>
          <w:sz w:val="21"/>
          <w:szCs w:val="22"/>
          <w:highlight w:val="none"/>
          <w:lang w:val="en-US" w:eastAsia="zh-CN" w:bidi="ar-SA"/>
        </w:rPr>
        <w:t>对通过商务技术文件评审的投标人的投标报价文件在电子交易平台上予以开启。评标委员会各成员独立对投标人的报价文件进行评审，</w:t>
      </w:r>
      <w:r>
        <w:rPr>
          <w:rFonts w:hint="default" w:ascii="Times New Roman" w:hAnsi="Times New Roman" w:eastAsia="宋体" w:cs="Times New Roman"/>
          <w:color w:val="auto"/>
          <w:szCs w:val="21"/>
          <w:highlight w:val="none"/>
          <w:lang w:val="zh-CN"/>
        </w:rPr>
        <w:t>分析总报价及各个分项报价是否合理，报价范围是否完整，有否重大错漏项，评标委员会认为投标报价出现异常时，有权要求投标人在评标期间对投标报价的详细组成作出解释和澄清，并确认其投标报价是否有效。</w:t>
      </w:r>
    </w:p>
    <w:p>
      <w:pPr>
        <w:pStyle w:val="20"/>
        <w:keepNext w:val="0"/>
        <w:keepLines w:val="0"/>
        <w:pageBreakBefore w:val="0"/>
        <w:widowControl w:val="0"/>
        <w:numPr>
          <w:ilvl w:val="0"/>
          <w:numId w:val="0"/>
        </w:numPr>
        <w:kinsoku/>
        <w:wordWrap/>
        <w:overflowPunct/>
        <w:topLinePunct w:val="0"/>
        <w:autoSpaceDE/>
        <w:autoSpaceDN/>
        <w:bidi w:val="0"/>
        <w:adjustRightInd w:val="0"/>
        <w:spacing w:line="360" w:lineRule="auto"/>
        <w:ind w:leftChars="0" w:right="-252" w:rightChars="-120" w:firstLine="420" w:firstLineChars="200"/>
        <w:jc w:val="left"/>
        <w:textAlignment w:val="auto"/>
        <w:outlineLvl w:val="9"/>
        <w:rPr>
          <w:rFonts w:hint="default" w:ascii="Times New Roman" w:hAnsi="Times New Roman" w:eastAsia="宋体" w:cs="Times New Roman"/>
          <w:color w:val="auto"/>
          <w:sz w:val="21"/>
          <w:szCs w:val="22"/>
          <w:highlight w:val="none"/>
          <w:lang w:val="en-US" w:eastAsia="zh-CN" w:bidi="ar-SA"/>
        </w:rPr>
      </w:pPr>
      <w:r>
        <w:rPr>
          <w:rFonts w:hint="default" w:ascii="Times New Roman" w:hAnsi="Times New Roman" w:eastAsia="宋体" w:cs="Times New Roman"/>
          <w:color w:val="auto"/>
          <w:sz w:val="21"/>
          <w:szCs w:val="22"/>
          <w:highlight w:val="none"/>
          <w:lang w:val="en-US" w:eastAsia="zh-CN" w:bidi="ar-SA"/>
        </w:rPr>
        <w:t>投标文件报价出现前后不一致的，按照下列规定修正：</w:t>
      </w:r>
    </w:p>
    <w:p>
      <w:pPr>
        <w:pStyle w:val="20"/>
        <w:keepNext w:val="0"/>
        <w:keepLines w:val="0"/>
        <w:pageBreakBefore w:val="0"/>
        <w:widowControl w:val="0"/>
        <w:numPr>
          <w:ilvl w:val="0"/>
          <w:numId w:val="0"/>
        </w:numPr>
        <w:kinsoku/>
        <w:wordWrap/>
        <w:overflowPunct/>
        <w:topLinePunct w:val="0"/>
        <w:autoSpaceDE/>
        <w:autoSpaceDN/>
        <w:bidi w:val="0"/>
        <w:adjustRightInd w:val="0"/>
        <w:spacing w:line="360" w:lineRule="auto"/>
        <w:ind w:right="-252" w:rightChars="-120" w:firstLine="420" w:firstLineChars="200"/>
        <w:jc w:val="left"/>
        <w:textAlignment w:val="auto"/>
        <w:outlineLvl w:val="9"/>
        <w:rPr>
          <w:rFonts w:hint="default" w:ascii="Times New Roman" w:hAnsi="Times New Roman" w:eastAsia="宋体" w:cs="Times New Roman"/>
          <w:color w:val="auto"/>
          <w:sz w:val="21"/>
          <w:szCs w:val="22"/>
          <w:highlight w:val="none"/>
          <w:lang w:val="en-US" w:eastAsia="zh-CN" w:bidi="ar-SA"/>
        </w:rPr>
      </w:pPr>
      <w:r>
        <w:rPr>
          <w:rFonts w:hint="default" w:ascii="Times New Roman" w:hAnsi="Times New Roman" w:eastAsia="宋体" w:cs="Times New Roman"/>
          <w:color w:val="auto"/>
          <w:sz w:val="21"/>
          <w:szCs w:val="22"/>
          <w:highlight w:val="none"/>
          <w:lang w:val="en-US" w:eastAsia="zh-CN" w:bidi="ar-SA"/>
        </w:rPr>
        <w:t>1）投标文件中开标一览表（报价表）内容与投标文件中相应内容不一致的，以开标一览表报价表）为准；</w:t>
      </w:r>
    </w:p>
    <w:p>
      <w:pPr>
        <w:pStyle w:val="20"/>
        <w:keepNext w:val="0"/>
        <w:keepLines w:val="0"/>
        <w:pageBreakBefore w:val="0"/>
        <w:widowControl w:val="0"/>
        <w:numPr>
          <w:ilvl w:val="0"/>
          <w:numId w:val="0"/>
        </w:numPr>
        <w:kinsoku/>
        <w:wordWrap/>
        <w:overflowPunct/>
        <w:topLinePunct w:val="0"/>
        <w:autoSpaceDE/>
        <w:autoSpaceDN/>
        <w:bidi w:val="0"/>
        <w:adjustRightInd w:val="0"/>
        <w:spacing w:line="360" w:lineRule="auto"/>
        <w:ind w:right="-252" w:rightChars="-120" w:firstLine="420" w:firstLineChars="200"/>
        <w:jc w:val="left"/>
        <w:textAlignment w:val="auto"/>
        <w:outlineLvl w:val="9"/>
        <w:rPr>
          <w:rFonts w:hint="default" w:ascii="Times New Roman" w:hAnsi="Times New Roman" w:eastAsia="宋体" w:cs="Times New Roman"/>
          <w:color w:val="auto"/>
          <w:sz w:val="21"/>
          <w:szCs w:val="22"/>
          <w:highlight w:val="none"/>
          <w:lang w:val="en-US" w:eastAsia="zh-CN" w:bidi="ar-SA"/>
        </w:rPr>
      </w:pPr>
      <w:r>
        <w:rPr>
          <w:rFonts w:hint="default" w:ascii="Times New Roman" w:hAnsi="Times New Roman" w:eastAsia="宋体" w:cs="Times New Roman"/>
          <w:color w:val="auto"/>
          <w:sz w:val="21"/>
          <w:szCs w:val="22"/>
          <w:highlight w:val="none"/>
          <w:lang w:val="en-US" w:eastAsia="zh-CN" w:bidi="ar-SA"/>
        </w:rPr>
        <w:t>2）大写金额和小写金额不一致的，以大写金额为准；</w:t>
      </w:r>
    </w:p>
    <w:p>
      <w:pPr>
        <w:pStyle w:val="20"/>
        <w:keepNext w:val="0"/>
        <w:keepLines w:val="0"/>
        <w:pageBreakBefore w:val="0"/>
        <w:widowControl w:val="0"/>
        <w:numPr>
          <w:ilvl w:val="0"/>
          <w:numId w:val="0"/>
        </w:numPr>
        <w:kinsoku/>
        <w:wordWrap/>
        <w:overflowPunct/>
        <w:topLinePunct w:val="0"/>
        <w:autoSpaceDE/>
        <w:autoSpaceDN/>
        <w:bidi w:val="0"/>
        <w:adjustRightInd w:val="0"/>
        <w:spacing w:line="360" w:lineRule="auto"/>
        <w:ind w:right="-252" w:rightChars="-120" w:firstLine="420" w:firstLineChars="200"/>
        <w:jc w:val="left"/>
        <w:textAlignment w:val="auto"/>
        <w:outlineLvl w:val="9"/>
        <w:rPr>
          <w:rFonts w:hint="default" w:ascii="Times New Roman" w:hAnsi="Times New Roman" w:eastAsia="宋体" w:cs="Times New Roman"/>
          <w:color w:val="auto"/>
          <w:sz w:val="21"/>
          <w:szCs w:val="22"/>
          <w:highlight w:val="none"/>
          <w:lang w:val="en-US" w:eastAsia="zh-CN" w:bidi="ar-SA"/>
        </w:rPr>
      </w:pPr>
      <w:r>
        <w:rPr>
          <w:rFonts w:hint="default" w:ascii="Times New Roman" w:hAnsi="Times New Roman" w:eastAsia="宋体" w:cs="Times New Roman"/>
          <w:color w:val="auto"/>
          <w:sz w:val="21"/>
          <w:szCs w:val="22"/>
          <w:highlight w:val="none"/>
          <w:lang w:val="en-US" w:eastAsia="zh-CN" w:bidi="ar-SA"/>
        </w:rPr>
        <w:t>3）单价金额小数点或者百分比有明显错位的，以开标一览表的总价为准，并修改单价；</w:t>
      </w:r>
    </w:p>
    <w:p>
      <w:pPr>
        <w:pStyle w:val="20"/>
        <w:keepNext w:val="0"/>
        <w:keepLines w:val="0"/>
        <w:pageBreakBefore w:val="0"/>
        <w:widowControl w:val="0"/>
        <w:numPr>
          <w:ilvl w:val="0"/>
          <w:numId w:val="0"/>
        </w:numPr>
        <w:kinsoku/>
        <w:wordWrap/>
        <w:overflowPunct/>
        <w:topLinePunct w:val="0"/>
        <w:autoSpaceDE/>
        <w:autoSpaceDN/>
        <w:bidi w:val="0"/>
        <w:adjustRightInd w:val="0"/>
        <w:spacing w:line="360" w:lineRule="auto"/>
        <w:ind w:right="-252" w:rightChars="-120" w:firstLine="420" w:firstLineChars="200"/>
        <w:jc w:val="left"/>
        <w:textAlignment w:val="auto"/>
        <w:outlineLvl w:val="9"/>
        <w:rPr>
          <w:rFonts w:hint="default" w:ascii="Times New Roman" w:hAnsi="Times New Roman" w:eastAsia="宋体" w:cs="Times New Roman"/>
          <w:color w:val="auto"/>
          <w:sz w:val="21"/>
          <w:szCs w:val="22"/>
          <w:highlight w:val="none"/>
          <w:lang w:val="en-US" w:eastAsia="zh-CN" w:bidi="ar-SA"/>
        </w:rPr>
      </w:pPr>
      <w:r>
        <w:rPr>
          <w:rFonts w:hint="default" w:ascii="Times New Roman" w:hAnsi="Times New Roman" w:eastAsia="宋体" w:cs="Times New Roman"/>
          <w:color w:val="auto"/>
          <w:sz w:val="21"/>
          <w:szCs w:val="22"/>
          <w:highlight w:val="none"/>
          <w:lang w:val="en-US" w:eastAsia="zh-CN" w:bidi="ar-SA"/>
        </w:rPr>
        <w:t>4）总价金额与按单价汇总金额不一致的，以单价金额计算结果为准。</w:t>
      </w:r>
    </w:p>
    <w:p>
      <w:pPr>
        <w:pStyle w:val="20"/>
        <w:keepNext w:val="0"/>
        <w:keepLines w:val="0"/>
        <w:pageBreakBefore w:val="0"/>
        <w:widowControl w:val="0"/>
        <w:numPr>
          <w:ilvl w:val="0"/>
          <w:numId w:val="0"/>
        </w:numPr>
        <w:kinsoku/>
        <w:wordWrap/>
        <w:overflowPunct/>
        <w:topLinePunct w:val="0"/>
        <w:autoSpaceDE/>
        <w:autoSpaceDN/>
        <w:bidi w:val="0"/>
        <w:adjustRightInd w:val="0"/>
        <w:spacing w:line="360" w:lineRule="auto"/>
        <w:ind w:left="0" w:leftChars="0" w:right="-252" w:rightChars="-120" w:firstLine="420" w:firstLineChars="200"/>
        <w:jc w:val="left"/>
        <w:textAlignment w:val="auto"/>
        <w:outlineLvl w:val="9"/>
        <w:rPr>
          <w:rFonts w:hint="default" w:ascii="Times New Roman" w:hAnsi="Times New Roman" w:eastAsia="宋体" w:cs="Times New Roman"/>
          <w:color w:val="auto"/>
          <w:sz w:val="21"/>
          <w:szCs w:val="22"/>
          <w:highlight w:val="none"/>
          <w:lang w:val="en-US" w:eastAsia="zh-CN" w:bidi="ar-SA"/>
        </w:rPr>
      </w:pPr>
      <w:r>
        <w:rPr>
          <w:rFonts w:hint="default" w:ascii="Times New Roman" w:hAnsi="Times New Roman" w:eastAsia="宋体" w:cs="Times New Roman"/>
          <w:color w:val="auto"/>
          <w:sz w:val="21"/>
          <w:szCs w:val="22"/>
          <w:highlight w:val="none"/>
          <w:lang w:val="en-US" w:eastAsia="zh-CN" w:bidi="ar-SA"/>
        </w:rPr>
        <w:t>同时出现两种以上不一致的，按照前款规定的顺序修正。投标人修正后的报价采用书面形式，并电子签章，或者由法定代表人或其授权的代表签字后扫描上传。投标人不确认的，其投标无效。</w:t>
      </w:r>
    </w:p>
    <w:p>
      <w:pPr>
        <w:pStyle w:val="20"/>
        <w:keepNext w:val="0"/>
        <w:keepLines w:val="0"/>
        <w:pageBreakBefore w:val="0"/>
        <w:widowControl w:val="0"/>
        <w:numPr>
          <w:ilvl w:val="0"/>
          <w:numId w:val="0"/>
        </w:numPr>
        <w:kinsoku/>
        <w:wordWrap/>
        <w:overflowPunct/>
        <w:topLinePunct w:val="0"/>
        <w:autoSpaceDE/>
        <w:autoSpaceDN/>
        <w:bidi w:val="0"/>
        <w:adjustRightInd w:val="0"/>
        <w:spacing w:line="360" w:lineRule="auto"/>
        <w:ind w:leftChars="0" w:right="-252" w:rightChars="-120" w:firstLine="420" w:firstLineChars="200"/>
        <w:jc w:val="left"/>
        <w:textAlignment w:val="auto"/>
        <w:outlineLvl w:val="9"/>
        <w:rPr>
          <w:rFonts w:hint="eastAsia" w:ascii="Times New Roman" w:hAnsi="Times New Roman" w:eastAsia="宋体" w:cs="Times New Roman"/>
          <w:b w:val="0"/>
          <w:bCs w:val="0"/>
          <w:color w:val="auto"/>
          <w:sz w:val="21"/>
          <w:szCs w:val="22"/>
          <w:highlight w:val="none"/>
          <w:lang w:val="en-US" w:eastAsia="zh-CN" w:bidi="ar-SA"/>
        </w:rPr>
      </w:pPr>
      <w:r>
        <w:rPr>
          <w:rFonts w:hint="default" w:ascii="Times New Roman" w:hAnsi="Times New Roman" w:eastAsia="宋体" w:cs="Times New Roman"/>
          <w:b w:val="0"/>
          <w:bCs w:val="0"/>
          <w:color w:val="auto"/>
          <w:sz w:val="21"/>
          <w:szCs w:val="22"/>
          <w:highlight w:val="none"/>
          <w:lang w:val="en-US" w:eastAsia="zh-CN" w:bidi="ar-SA"/>
        </w:rPr>
        <w:t>3. 澄清有关问题</w:t>
      </w:r>
      <w:r>
        <w:rPr>
          <w:rFonts w:hint="eastAsia" w:ascii="Times New Roman" w:hAnsi="Times New Roman" w:eastAsia="宋体" w:cs="Times New Roman"/>
          <w:b w:val="0"/>
          <w:bCs w:val="0"/>
          <w:color w:val="auto"/>
          <w:sz w:val="21"/>
          <w:szCs w:val="22"/>
          <w:highlight w:val="none"/>
          <w:lang w:val="en-US" w:eastAsia="zh-CN" w:bidi="ar-SA"/>
        </w:rPr>
        <w:t xml:space="preserve"> </w:t>
      </w:r>
    </w:p>
    <w:p>
      <w:pPr>
        <w:pStyle w:val="20"/>
        <w:keepNext w:val="0"/>
        <w:keepLines w:val="0"/>
        <w:pageBreakBefore w:val="0"/>
        <w:widowControl w:val="0"/>
        <w:numPr>
          <w:ilvl w:val="0"/>
          <w:numId w:val="0"/>
        </w:numPr>
        <w:kinsoku/>
        <w:wordWrap/>
        <w:overflowPunct/>
        <w:topLinePunct w:val="0"/>
        <w:autoSpaceDE/>
        <w:autoSpaceDN/>
        <w:bidi w:val="0"/>
        <w:adjustRightInd w:val="0"/>
        <w:spacing w:line="360" w:lineRule="auto"/>
        <w:ind w:leftChars="0" w:right="-252" w:rightChars="-120" w:firstLine="420" w:firstLineChars="200"/>
        <w:jc w:val="left"/>
        <w:textAlignment w:val="auto"/>
        <w:outlineLvl w:val="9"/>
        <w:rPr>
          <w:rFonts w:hint="default" w:ascii="Times New Roman" w:hAnsi="Times New Roman" w:eastAsia="宋体" w:cs="Times New Roman"/>
          <w:b/>
          <w:bCs/>
          <w:color w:val="auto"/>
          <w:sz w:val="21"/>
          <w:szCs w:val="22"/>
          <w:highlight w:val="none"/>
          <w:lang w:val="en-US" w:eastAsia="zh-CN" w:bidi="ar-SA"/>
        </w:rPr>
      </w:pPr>
      <w:r>
        <w:rPr>
          <w:rFonts w:hint="default" w:ascii="Times New Roman" w:hAnsi="Times New Roman" w:eastAsia="宋体" w:cs="Times New Roman"/>
          <w:b w:val="0"/>
          <w:bCs w:val="0"/>
          <w:color w:val="auto"/>
          <w:sz w:val="21"/>
          <w:szCs w:val="22"/>
          <w:highlight w:val="none"/>
          <w:lang w:val="en-US" w:eastAsia="zh-CN" w:bidi="ar-SA"/>
        </w:rPr>
        <w:t>评标委员会在对投标文件的有效性、完整性和响应程度进行审查时，可以要求投标人对投标文件中含义不明确、同类问题表述不一致或者有明显文字和计算错误的内容等作出必要的澄清、说明或者更正。评标委员会将通过电子交易平台发出询标函，要求投标人在规定的时间内作出必要的澄清、说明或者补正。投标人的澄清、说明或者补正应通过电子交易平台提交澄清函，并</w:t>
      </w:r>
      <w:r>
        <w:rPr>
          <w:rFonts w:hint="default" w:ascii="Times New Roman" w:hAnsi="Times New Roman" w:eastAsia="宋体" w:cs="Times New Roman"/>
          <w:color w:val="auto"/>
          <w:sz w:val="21"/>
          <w:szCs w:val="22"/>
          <w:highlight w:val="none"/>
          <w:lang w:val="en-US" w:eastAsia="zh-CN" w:bidi="ar-SA"/>
        </w:rPr>
        <w:t>电子签章，或者由法定代表人或其授权的代表签字后扫描上传</w:t>
      </w:r>
      <w:r>
        <w:rPr>
          <w:rFonts w:hint="default" w:ascii="Times New Roman" w:hAnsi="Times New Roman" w:eastAsia="宋体" w:cs="Times New Roman"/>
          <w:b w:val="0"/>
          <w:bCs w:val="0"/>
          <w:color w:val="auto"/>
          <w:sz w:val="21"/>
          <w:szCs w:val="22"/>
          <w:highlight w:val="none"/>
          <w:lang w:val="en-US" w:eastAsia="zh-CN" w:bidi="ar-SA"/>
        </w:rPr>
        <w:t>。投标人的澄清、说明或者补正不得超出投标文件的范围或者改变投标文件的实质性内容。</w:t>
      </w:r>
    </w:p>
    <w:p>
      <w:pPr>
        <w:pStyle w:val="20"/>
        <w:keepNext w:val="0"/>
        <w:keepLines w:val="0"/>
        <w:pageBreakBefore w:val="0"/>
        <w:widowControl w:val="0"/>
        <w:numPr>
          <w:ilvl w:val="0"/>
          <w:numId w:val="0"/>
        </w:numPr>
        <w:kinsoku/>
        <w:wordWrap/>
        <w:overflowPunct/>
        <w:topLinePunct w:val="0"/>
        <w:autoSpaceDE/>
        <w:autoSpaceDN/>
        <w:bidi w:val="0"/>
        <w:adjustRightInd w:val="0"/>
        <w:spacing w:line="360" w:lineRule="auto"/>
        <w:ind w:leftChars="0" w:right="-252" w:rightChars="-120" w:firstLine="420" w:firstLineChars="200"/>
        <w:jc w:val="left"/>
        <w:textAlignment w:val="auto"/>
        <w:outlineLvl w:val="9"/>
        <w:rPr>
          <w:rFonts w:hint="default" w:ascii="Times New Roman" w:hAnsi="Times New Roman" w:eastAsia="宋体" w:cs="Times New Roman"/>
          <w:b w:val="0"/>
          <w:bCs w:val="0"/>
          <w:color w:val="auto"/>
          <w:sz w:val="21"/>
          <w:szCs w:val="22"/>
          <w:highlight w:val="none"/>
          <w:lang w:val="en-US" w:eastAsia="zh-CN" w:bidi="ar-SA"/>
        </w:rPr>
      </w:pPr>
      <w:r>
        <w:rPr>
          <w:rFonts w:hint="default" w:ascii="Times New Roman" w:hAnsi="Times New Roman" w:eastAsia="宋体" w:cs="Times New Roman"/>
          <w:b w:val="0"/>
          <w:bCs w:val="0"/>
          <w:color w:val="auto"/>
          <w:sz w:val="21"/>
          <w:szCs w:val="22"/>
          <w:highlight w:val="none"/>
          <w:lang w:val="en-US" w:eastAsia="zh-CN" w:bidi="ar-SA"/>
        </w:rPr>
        <w:t>4. 比较与评价</w:t>
      </w:r>
    </w:p>
    <w:p>
      <w:pPr>
        <w:pStyle w:val="20"/>
        <w:keepNext w:val="0"/>
        <w:keepLines w:val="0"/>
        <w:pageBreakBefore w:val="0"/>
        <w:widowControl w:val="0"/>
        <w:numPr>
          <w:ilvl w:val="0"/>
          <w:numId w:val="0"/>
        </w:numPr>
        <w:kinsoku/>
        <w:wordWrap/>
        <w:overflowPunct/>
        <w:topLinePunct w:val="0"/>
        <w:autoSpaceDE/>
        <w:autoSpaceDN/>
        <w:bidi w:val="0"/>
        <w:adjustRightInd w:val="0"/>
        <w:spacing w:line="360" w:lineRule="auto"/>
        <w:ind w:leftChars="0" w:right="-252" w:rightChars="-120" w:firstLine="420" w:firstLineChars="200"/>
        <w:jc w:val="left"/>
        <w:textAlignment w:val="auto"/>
        <w:outlineLvl w:val="9"/>
        <w:rPr>
          <w:rFonts w:hint="default" w:ascii="Times New Roman" w:hAnsi="Times New Roman" w:eastAsia="宋体" w:cs="Times New Roman"/>
          <w:color w:val="auto"/>
          <w:sz w:val="21"/>
          <w:szCs w:val="22"/>
          <w:highlight w:val="none"/>
          <w:lang w:val="en-US" w:eastAsia="zh-CN" w:bidi="ar-SA"/>
        </w:rPr>
      </w:pPr>
      <w:r>
        <w:rPr>
          <w:rFonts w:hint="default" w:ascii="Times New Roman" w:hAnsi="Times New Roman" w:eastAsia="宋体" w:cs="Times New Roman"/>
          <w:color w:val="auto"/>
          <w:sz w:val="21"/>
          <w:szCs w:val="22"/>
          <w:highlight w:val="none"/>
          <w:lang w:val="en-US" w:eastAsia="zh-CN" w:bidi="ar-SA"/>
        </w:rPr>
        <w:t>评标委员会按招标文件中规定的评标方法和标准，对符合性审查合格的投标文件进行商务和技术评估。评标委员会对投标文件的判定，只依据投标文件内容本身，不依据任何外来证明。</w:t>
      </w:r>
    </w:p>
    <w:p>
      <w:pPr>
        <w:pStyle w:val="20"/>
        <w:keepNext w:val="0"/>
        <w:keepLines w:val="0"/>
        <w:pageBreakBefore w:val="0"/>
        <w:widowControl w:val="0"/>
        <w:numPr>
          <w:ilvl w:val="0"/>
          <w:numId w:val="0"/>
        </w:numPr>
        <w:kinsoku/>
        <w:wordWrap/>
        <w:overflowPunct/>
        <w:topLinePunct w:val="0"/>
        <w:autoSpaceDE/>
        <w:autoSpaceDN/>
        <w:bidi w:val="0"/>
        <w:adjustRightInd w:val="0"/>
        <w:spacing w:line="360" w:lineRule="auto"/>
        <w:ind w:leftChars="0" w:right="-252" w:rightChars="-120" w:firstLine="420" w:firstLineChars="200"/>
        <w:jc w:val="left"/>
        <w:textAlignment w:val="auto"/>
        <w:outlineLvl w:val="9"/>
        <w:rPr>
          <w:rFonts w:hint="default" w:ascii="Times New Roman" w:hAnsi="Times New Roman" w:eastAsia="宋体" w:cs="Times New Roman"/>
          <w:b w:val="0"/>
          <w:bCs w:val="0"/>
          <w:color w:val="auto"/>
          <w:sz w:val="21"/>
          <w:szCs w:val="22"/>
          <w:highlight w:val="none"/>
          <w:lang w:val="en-US" w:eastAsia="zh-CN" w:bidi="ar-SA"/>
        </w:rPr>
      </w:pPr>
      <w:r>
        <w:rPr>
          <w:rFonts w:hint="default" w:ascii="Times New Roman" w:hAnsi="Times New Roman" w:eastAsia="宋体" w:cs="Times New Roman"/>
          <w:b w:val="0"/>
          <w:bCs w:val="0"/>
          <w:color w:val="auto"/>
          <w:sz w:val="21"/>
          <w:szCs w:val="22"/>
          <w:highlight w:val="none"/>
          <w:lang w:val="en-US" w:eastAsia="zh-CN" w:bidi="ar-SA"/>
        </w:rPr>
        <w:t>5. 推荐中标候选人</w:t>
      </w:r>
    </w:p>
    <w:p>
      <w:pPr>
        <w:pStyle w:val="20"/>
        <w:keepNext w:val="0"/>
        <w:keepLines w:val="0"/>
        <w:pageBreakBefore w:val="0"/>
        <w:widowControl w:val="0"/>
        <w:numPr>
          <w:ilvl w:val="0"/>
          <w:numId w:val="0"/>
        </w:numPr>
        <w:kinsoku/>
        <w:wordWrap/>
        <w:overflowPunct/>
        <w:topLinePunct w:val="0"/>
        <w:autoSpaceDE/>
        <w:autoSpaceDN/>
        <w:bidi w:val="0"/>
        <w:adjustRightInd w:val="0"/>
        <w:spacing w:line="360" w:lineRule="auto"/>
        <w:ind w:leftChars="0" w:right="-252" w:rightChars="-120" w:firstLine="420" w:firstLineChars="200"/>
        <w:jc w:val="left"/>
        <w:textAlignment w:val="auto"/>
        <w:outlineLvl w:val="9"/>
        <w:rPr>
          <w:rFonts w:hint="default" w:ascii="Times New Roman" w:hAnsi="Times New Roman" w:eastAsia="宋体" w:cs="Times New Roman"/>
          <w:color w:val="auto"/>
          <w:sz w:val="21"/>
          <w:szCs w:val="22"/>
          <w:highlight w:val="none"/>
          <w:lang w:val="en-US" w:eastAsia="zh-CN" w:bidi="ar-SA"/>
        </w:rPr>
      </w:pPr>
      <w:r>
        <w:rPr>
          <w:rFonts w:hint="eastAsia" w:ascii="Times New Roman" w:hAnsi="Times New Roman" w:eastAsia="宋体" w:cs="Times New Roman"/>
          <w:color w:val="auto"/>
          <w:sz w:val="21"/>
          <w:szCs w:val="22"/>
          <w:highlight w:val="none"/>
          <w:lang w:val="en-US" w:eastAsia="zh-CN" w:bidi="ar-SA"/>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20"/>
        <w:keepNext w:val="0"/>
        <w:keepLines w:val="0"/>
        <w:pageBreakBefore w:val="0"/>
        <w:widowControl w:val="0"/>
        <w:numPr>
          <w:ilvl w:val="0"/>
          <w:numId w:val="0"/>
        </w:numPr>
        <w:kinsoku/>
        <w:wordWrap/>
        <w:overflowPunct/>
        <w:topLinePunct w:val="0"/>
        <w:autoSpaceDE/>
        <w:autoSpaceDN/>
        <w:bidi w:val="0"/>
        <w:adjustRightInd w:val="0"/>
        <w:spacing w:line="360" w:lineRule="auto"/>
        <w:ind w:leftChars="0" w:right="-252" w:rightChars="-120" w:firstLine="420" w:firstLineChars="200"/>
        <w:jc w:val="left"/>
        <w:textAlignment w:val="auto"/>
        <w:outlineLvl w:val="9"/>
        <w:rPr>
          <w:rFonts w:hint="default" w:ascii="Times New Roman" w:hAnsi="Times New Roman" w:eastAsia="宋体" w:cs="Times New Roman"/>
          <w:b/>
          <w:bCs/>
          <w:color w:val="auto"/>
          <w:sz w:val="21"/>
          <w:szCs w:val="22"/>
          <w:highlight w:val="none"/>
          <w:lang w:val="en-US" w:eastAsia="zh-CN" w:bidi="ar-SA"/>
        </w:rPr>
      </w:pPr>
      <w:r>
        <w:rPr>
          <w:rFonts w:hint="default" w:ascii="Times New Roman" w:hAnsi="Times New Roman" w:eastAsia="宋体" w:cs="Times New Roman"/>
          <w:b w:val="0"/>
          <w:bCs w:val="0"/>
          <w:color w:val="auto"/>
          <w:sz w:val="21"/>
          <w:szCs w:val="22"/>
          <w:highlight w:val="none"/>
          <w:lang w:val="en-US" w:eastAsia="zh-CN" w:bidi="ar-SA"/>
        </w:rPr>
        <w:t>6. 投标无效情形的认定</w:t>
      </w:r>
    </w:p>
    <w:p>
      <w:pPr>
        <w:pStyle w:val="20"/>
        <w:keepNext w:val="0"/>
        <w:keepLines w:val="0"/>
        <w:pageBreakBefore w:val="0"/>
        <w:widowControl w:val="0"/>
        <w:numPr>
          <w:ilvl w:val="0"/>
          <w:numId w:val="0"/>
        </w:numPr>
        <w:kinsoku/>
        <w:wordWrap/>
        <w:overflowPunct/>
        <w:topLinePunct w:val="0"/>
        <w:autoSpaceDE/>
        <w:autoSpaceDN/>
        <w:bidi w:val="0"/>
        <w:adjustRightInd w:val="0"/>
        <w:spacing w:line="360" w:lineRule="auto"/>
        <w:ind w:leftChars="0" w:right="-252" w:rightChars="-120" w:firstLine="420" w:firstLineChars="200"/>
        <w:jc w:val="left"/>
        <w:textAlignment w:val="auto"/>
        <w:outlineLvl w:val="9"/>
        <w:rPr>
          <w:rFonts w:hint="default" w:ascii="Times New Roman" w:hAnsi="Times New Roman" w:eastAsia="宋体" w:cs="Times New Roman"/>
          <w:b w:val="0"/>
          <w:bCs w:val="0"/>
          <w:color w:val="auto"/>
          <w:sz w:val="21"/>
          <w:szCs w:val="22"/>
          <w:highlight w:val="none"/>
          <w:lang w:val="en-US" w:eastAsia="zh-CN" w:bidi="ar-SA"/>
        </w:rPr>
      </w:pPr>
      <w:r>
        <w:rPr>
          <w:rFonts w:hint="default" w:ascii="Times New Roman" w:hAnsi="Times New Roman" w:eastAsia="宋体" w:cs="Times New Roman"/>
          <w:b w:val="0"/>
          <w:bCs w:val="0"/>
          <w:color w:val="auto"/>
          <w:sz w:val="21"/>
          <w:szCs w:val="22"/>
          <w:highlight w:val="none"/>
          <w:lang w:val="en-US" w:eastAsia="zh-CN" w:bidi="ar-SA"/>
        </w:rPr>
        <w:t>6.1 资格性审查阶段，不具备招标文件中规定的资格要求的，投标无效。</w:t>
      </w:r>
    </w:p>
    <w:p>
      <w:pPr>
        <w:pStyle w:val="20"/>
        <w:keepNext w:val="0"/>
        <w:keepLines w:val="0"/>
        <w:pageBreakBefore w:val="0"/>
        <w:widowControl w:val="0"/>
        <w:numPr>
          <w:ilvl w:val="0"/>
          <w:numId w:val="0"/>
        </w:numPr>
        <w:kinsoku/>
        <w:wordWrap/>
        <w:overflowPunct/>
        <w:topLinePunct w:val="0"/>
        <w:autoSpaceDE/>
        <w:autoSpaceDN/>
        <w:bidi w:val="0"/>
        <w:adjustRightInd w:val="0"/>
        <w:spacing w:line="360" w:lineRule="auto"/>
        <w:ind w:leftChars="0" w:right="-252" w:rightChars="-120" w:firstLine="420" w:firstLineChars="200"/>
        <w:jc w:val="left"/>
        <w:textAlignment w:val="auto"/>
        <w:outlineLvl w:val="9"/>
        <w:rPr>
          <w:rFonts w:hint="default" w:ascii="Times New Roman" w:hAnsi="Times New Roman" w:eastAsia="宋体" w:cs="Times New Roman"/>
          <w:b w:val="0"/>
          <w:bCs w:val="0"/>
          <w:color w:val="auto"/>
          <w:sz w:val="21"/>
          <w:szCs w:val="22"/>
          <w:highlight w:val="none"/>
          <w:lang w:val="en-US" w:eastAsia="zh-CN" w:bidi="ar-SA"/>
        </w:rPr>
      </w:pPr>
      <w:r>
        <w:rPr>
          <w:rFonts w:hint="default" w:ascii="Times New Roman" w:hAnsi="Times New Roman" w:eastAsia="宋体" w:cs="Times New Roman"/>
          <w:b w:val="0"/>
          <w:bCs w:val="0"/>
          <w:color w:val="auto"/>
          <w:sz w:val="21"/>
          <w:szCs w:val="22"/>
          <w:highlight w:val="none"/>
          <w:lang w:val="en-US" w:eastAsia="zh-CN" w:bidi="ar-SA"/>
        </w:rPr>
        <w:t>6.2 商务技术文件评审阶段，发现投标人存在下列情形之一的，投标无效：</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spacing w:line="360" w:lineRule="auto"/>
        <w:ind w:leftChars="-191" w:firstLine="840" w:firstLineChars="400"/>
        <w:jc w:val="both"/>
        <w:textAlignment w:val="auto"/>
        <w:outlineLvl w:val="9"/>
        <w:rPr>
          <w:rFonts w:hint="default" w:ascii="Times New Roman" w:hAnsi="Times New Roman" w:eastAsia="宋体" w:cs="Times New Roman"/>
          <w:color w:val="auto"/>
          <w:szCs w:val="22"/>
          <w:highlight w:val="none"/>
        </w:rPr>
      </w:pPr>
      <w:r>
        <w:rPr>
          <w:rFonts w:hint="default" w:ascii="Times New Roman" w:hAnsi="Times New Roman" w:eastAsia="宋体" w:cs="Times New Roman"/>
          <w:color w:val="auto"/>
          <w:szCs w:val="22"/>
          <w:highlight w:val="none"/>
          <w:lang w:eastAsia="zh-CN"/>
        </w:rPr>
        <w:t>（</w:t>
      </w:r>
      <w:r>
        <w:rPr>
          <w:rFonts w:hint="default" w:ascii="Times New Roman" w:hAnsi="Times New Roman" w:eastAsia="宋体" w:cs="Times New Roman"/>
          <w:color w:val="auto"/>
          <w:szCs w:val="22"/>
          <w:highlight w:val="none"/>
          <w:lang w:val="en-US" w:eastAsia="zh-CN"/>
        </w:rPr>
        <w:t>1</w:t>
      </w:r>
      <w:r>
        <w:rPr>
          <w:rFonts w:hint="default" w:ascii="Times New Roman" w:hAnsi="Times New Roman" w:eastAsia="宋体" w:cs="Times New Roman"/>
          <w:color w:val="auto"/>
          <w:szCs w:val="22"/>
          <w:highlight w:val="none"/>
          <w:lang w:eastAsia="zh-CN"/>
        </w:rPr>
        <w:t>）</w:t>
      </w:r>
      <w:r>
        <w:rPr>
          <w:rFonts w:hint="default" w:ascii="Times New Roman" w:hAnsi="Times New Roman" w:eastAsia="宋体" w:cs="Times New Roman"/>
          <w:color w:val="auto"/>
          <w:szCs w:val="22"/>
          <w:highlight w:val="none"/>
        </w:rPr>
        <w:t>投标有效期不足的；</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spacing w:line="360" w:lineRule="auto"/>
        <w:ind w:firstLine="420" w:firstLineChars="200"/>
        <w:jc w:val="both"/>
        <w:textAlignment w:val="auto"/>
        <w:outlineLvl w:val="9"/>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lang w:val="en-US" w:eastAsia="zh-CN"/>
        </w:rPr>
        <w:t>2</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投标文件未按招标文件要求签署、盖章的；</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spacing w:line="360" w:lineRule="auto"/>
        <w:ind w:leftChars="-191" w:firstLine="840" w:firstLineChars="400"/>
        <w:jc w:val="both"/>
        <w:textAlignment w:val="auto"/>
        <w:outlineLvl w:val="9"/>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lang w:val="en-US" w:eastAsia="zh-CN"/>
        </w:rPr>
        <w:t>3</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strike w:val="0"/>
          <w:dstrike w:val="0"/>
          <w:color w:val="auto"/>
          <w:szCs w:val="22"/>
          <w:highlight w:val="none"/>
        </w:rPr>
        <w:t>若投</w:t>
      </w:r>
      <w:r>
        <w:rPr>
          <w:rFonts w:hint="default" w:ascii="Times New Roman" w:hAnsi="Times New Roman" w:eastAsia="宋体" w:cs="Times New Roman"/>
          <w:strike w:val="0"/>
          <w:dstrike w:val="0"/>
          <w:color w:val="auto"/>
          <w:szCs w:val="21"/>
          <w:highlight w:val="none"/>
        </w:rPr>
        <w:t>标文件为授权代表签署的而未提供有效的法定代表人授权书的；</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spacing w:line="360" w:lineRule="auto"/>
        <w:ind w:leftChars="-191" w:firstLine="840" w:firstLineChars="400"/>
        <w:jc w:val="both"/>
        <w:textAlignment w:val="auto"/>
        <w:outlineLvl w:val="9"/>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lang w:val="en-US" w:eastAsia="zh-CN"/>
        </w:rPr>
        <w:t>4）</w:t>
      </w:r>
      <w:r>
        <w:rPr>
          <w:rFonts w:hint="default" w:ascii="Times New Roman" w:hAnsi="Times New Roman" w:eastAsia="宋体" w:cs="Times New Roman"/>
          <w:color w:val="auto"/>
          <w:szCs w:val="21"/>
          <w:highlight w:val="none"/>
        </w:rPr>
        <w:t>未实质性响应招标文件要求的；</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spacing w:line="360" w:lineRule="auto"/>
        <w:ind w:leftChars="-191" w:firstLine="840" w:firstLineChars="400"/>
        <w:jc w:val="both"/>
        <w:textAlignment w:val="auto"/>
        <w:outlineLvl w:val="9"/>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lang w:val="en-US" w:eastAsia="zh-CN"/>
        </w:rPr>
        <w:t>5</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rPr>
        <w:t>不满足规定技术要求或商务有重大偏离或保留的；</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spacing w:line="360" w:lineRule="auto"/>
        <w:ind w:leftChars="-191" w:firstLine="840" w:firstLineChars="400"/>
        <w:jc w:val="both"/>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lang w:val="en-US" w:eastAsia="zh-CN"/>
        </w:rPr>
        <w:t>6</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投标文件含有采购人不能接受的附加条件的；</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spacing w:line="360" w:lineRule="auto"/>
        <w:ind w:leftChars="-191" w:firstLine="840" w:firstLineChars="400"/>
        <w:jc w:val="both"/>
        <w:textAlignment w:val="auto"/>
        <w:outlineLvl w:val="9"/>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lang w:val="en-US" w:eastAsia="zh-CN"/>
        </w:rPr>
        <w:t>7</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kern w:val="2"/>
          <w:sz w:val="21"/>
          <w:szCs w:val="22"/>
          <w:highlight w:val="none"/>
          <w:lang w:val="en-US" w:eastAsia="zh-CN" w:bidi="ar-SA"/>
        </w:rPr>
        <w:t>提供虚假材料谋取中标的；</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spacing w:line="360" w:lineRule="auto"/>
        <w:ind w:leftChars="-191" w:firstLine="840" w:firstLineChars="400"/>
        <w:jc w:val="both"/>
        <w:textAlignment w:val="auto"/>
        <w:outlineLvl w:val="9"/>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lang w:val="en-US" w:eastAsia="zh-CN"/>
        </w:rPr>
        <w:t>8</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rPr>
        <w:t>法律、法规和招标文件规定的其他</w:t>
      </w:r>
      <w:r>
        <w:rPr>
          <w:rFonts w:hint="default" w:ascii="Times New Roman" w:hAnsi="Times New Roman" w:eastAsia="宋体" w:cs="Times New Roman"/>
          <w:color w:val="auto"/>
          <w:szCs w:val="21"/>
          <w:highlight w:val="none"/>
          <w:lang w:eastAsia="zh-CN"/>
        </w:rPr>
        <w:t>无效情形。</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spacing w:line="360" w:lineRule="auto"/>
        <w:ind w:leftChars="-191" w:firstLine="840" w:firstLineChars="400"/>
        <w:jc w:val="both"/>
        <w:textAlignment w:val="auto"/>
        <w:outlineLvl w:val="9"/>
        <w:rPr>
          <w:rFonts w:hint="default" w:ascii="Times New Roman" w:hAnsi="Times New Roman" w:eastAsia="宋体" w:cs="Times New Roman"/>
          <w:b/>
          <w:bCs/>
          <w:color w:val="auto"/>
          <w:sz w:val="21"/>
          <w:szCs w:val="22"/>
          <w:highlight w:val="none"/>
          <w:lang w:val="en-US" w:eastAsia="zh-CN" w:bidi="ar-SA"/>
        </w:rPr>
      </w:pPr>
      <w:r>
        <w:rPr>
          <w:rFonts w:hint="default" w:ascii="Times New Roman" w:hAnsi="Times New Roman" w:eastAsia="宋体" w:cs="Times New Roman"/>
          <w:color w:val="auto"/>
          <w:szCs w:val="21"/>
          <w:highlight w:val="none"/>
          <w:lang w:val="en-US" w:eastAsia="zh-CN"/>
        </w:rPr>
        <w:t xml:space="preserve">6.3 </w:t>
      </w:r>
      <w:r>
        <w:rPr>
          <w:rFonts w:hint="default" w:ascii="Times New Roman" w:hAnsi="Times New Roman" w:eastAsia="宋体" w:cs="Times New Roman"/>
          <w:b w:val="0"/>
          <w:bCs w:val="0"/>
          <w:color w:val="auto"/>
          <w:sz w:val="21"/>
          <w:szCs w:val="22"/>
          <w:highlight w:val="none"/>
          <w:lang w:val="en-US" w:eastAsia="zh-CN" w:bidi="ar-SA"/>
        </w:rPr>
        <w:t>在报价评审阶段，发现投标人存在下列情形之一的，投标无效：</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spacing w:line="360" w:lineRule="auto"/>
        <w:ind w:leftChars="-191" w:firstLine="840" w:firstLineChars="400"/>
        <w:jc w:val="both"/>
        <w:textAlignment w:val="auto"/>
        <w:outlineLvl w:val="9"/>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lang w:val="en-US" w:eastAsia="zh-CN"/>
        </w:rPr>
        <w:t>1</w:t>
      </w:r>
      <w:r>
        <w:rPr>
          <w:rFonts w:hint="default" w:ascii="Times New Roman" w:hAnsi="Times New Roman" w:eastAsia="宋体" w:cs="Times New Roman"/>
          <w:color w:val="auto"/>
          <w:szCs w:val="21"/>
          <w:highlight w:val="none"/>
          <w:lang w:eastAsia="zh-CN"/>
        </w:rPr>
        <w:t>）投标报价不是固定价的；</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spacing w:line="360" w:lineRule="auto"/>
        <w:ind w:leftChars="-191" w:firstLine="840" w:firstLineChars="400"/>
        <w:jc w:val="both"/>
        <w:textAlignment w:val="auto"/>
        <w:outlineLvl w:val="9"/>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lang w:val="en-US" w:eastAsia="zh-CN"/>
        </w:rPr>
        <w:t>2</w:t>
      </w:r>
      <w:r>
        <w:rPr>
          <w:rFonts w:hint="default" w:ascii="Times New Roman" w:hAnsi="Times New Roman" w:eastAsia="宋体" w:cs="Times New Roman"/>
          <w:color w:val="auto"/>
          <w:szCs w:val="21"/>
          <w:highlight w:val="none"/>
          <w:lang w:eastAsia="zh-CN"/>
        </w:rPr>
        <w:t>）报价超过招标文件中规定的预算金额或者最高限价的；</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spacing w:line="360" w:lineRule="auto"/>
        <w:ind w:leftChars="-191" w:firstLine="840" w:firstLineChars="400"/>
        <w:jc w:val="both"/>
        <w:textAlignment w:val="auto"/>
        <w:outlineLvl w:val="9"/>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lang w:val="en-US" w:eastAsia="zh-CN"/>
        </w:rPr>
        <w:t>3</w:t>
      </w:r>
      <w:r>
        <w:rPr>
          <w:rFonts w:hint="default" w:ascii="Times New Roman" w:hAnsi="Times New Roman" w:eastAsia="宋体" w:cs="Times New Roman"/>
          <w:color w:val="auto"/>
          <w:szCs w:val="21"/>
          <w:highlight w:val="none"/>
          <w:lang w:eastAsia="zh-CN"/>
        </w:rPr>
        <w:t>）投标文件报价出现前后不一致的，且不按照招标文件规定</w:t>
      </w:r>
      <w:r>
        <w:rPr>
          <w:rFonts w:hint="default" w:ascii="Times New Roman" w:hAnsi="Times New Roman" w:eastAsia="宋体" w:cs="Times New Roman"/>
          <w:color w:val="auto"/>
          <w:szCs w:val="21"/>
          <w:highlight w:val="none"/>
          <w:lang w:val="en-US" w:eastAsia="zh-CN"/>
        </w:rPr>
        <w:t>修正的；</w:t>
      </w:r>
    </w:p>
    <w:p>
      <w:pPr>
        <w:keepNext w:val="0"/>
        <w:keepLines w:val="0"/>
        <w:pageBreakBefore w:val="0"/>
        <w:widowControl w:val="0"/>
        <w:numPr>
          <w:ilvl w:val="0"/>
          <w:numId w:val="0"/>
        </w:numPr>
        <w:tabs>
          <w:tab w:val="left" w:pos="993"/>
        </w:tabs>
        <w:kinsoku/>
        <w:wordWrap/>
        <w:overflowPunct/>
        <w:topLinePunct w:val="0"/>
        <w:autoSpaceDE/>
        <w:autoSpaceDN/>
        <w:bidi w:val="0"/>
        <w:spacing w:line="360" w:lineRule="auto"/>
        <w:ind w:firstLine="420" w:firstLineChars="200"/>
        <w:jc w:val="both"/>
        <w:textAlignment w:val="auto"/>
        <w:outlineLvl w:val="9"/>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lang w:val="en-US" w:eastAsia="zh-CN"/>
        </w:rPr>
        <w:t>4</w:t>
      </w:r>
      <w:r>
        <w:rPr>
          <w:rFonts w:hint="default" w:ascii="Times New Roman" w:hAnsi="Times New Roman" w:eastAsia="宋体" w:cs="Times New Roman"/>
          <w:color w:val="auto"/>
          <w:szCs w:val="21"/>
          <w:highlight w:val="none"/>
          <w:lang w:eastAsia="zh-CN"/>
        </w:rPr>
        <w:t>）评标委员会认为投标人的报价明显低于其他通过符合性审查投标人的报价，有可能影响产品质量或者不能诚信履约的，要求其在评标现场合理的时间内提供书面说明，必要时提交相关证明材料，投标人不能证明其报价合理性的；</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adjustRightInd/>
        <w:snapToGrid/>
        <w:spacing w:line="360" w:lineRule="auto"/>
        <w:ind w:leftChars="-191" w:firstLine="840" w:firstLineChars="400"/>
        <w:jc w:val="both"/>
        <w:textAlignment w:val="auto"/>
        <w:outlineLvl w:val="9"/>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lang w:val="en-US" w:eastAsia="zh-CN"/>
        </w:rPr>
        <w:t>5</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rPr>
        <w:t>未实质性响应招标文件要求的</w:t>
      </w:r>
      <w:r>
        <w:rPr>
          <w:rFonts w:hint="default" w:ascii="Times New Roman" w:hAnsi="Times New Roman" w:eastAsia="宋体" w:cs="Times New Roman"/>
          <w:color w:val="auto"/>
          <w:szCs w:val="21"/>
          <w:highlight w:val="none"/>
          <w:lang w:eastAsia="zh-CN"/>
        </w:rPr>
        <w:t>；</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adjustRightInd/>
        <w:snapToGrid/>
        <w:spacing w:line="360" w:lineRule="auto"/>
        <w:ind w:leftChars="-191" w:firstLine="840" w:firstLineChars="400"/>
        <w:jc w:val="both"/>
        <w:textAlignment w:val="auto"/>
        <w:outlineLvl w:val="9"/>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lang w:val="en-US" w:eastAsia="zh-CN"/>
        </w:rPr>
        <w:t>6</w:t>
      </w:r>
      <w:r>
        <w:rPr>
          <w:rFonts w:hint="default" w:ascii="Times New Roman" w:hAnsi="Times New Roman" w:eastAsia="宋体" w:cs="Times New Roman"/>
          <w:color w:val="auto"/>
          <w:szCs w:val="21"/>
          <w:highlight w:val="none"/>
          <w:lang w:eastAsia="zh-CN"/>
        </w:rPr>
        <w:t>）投标文件未按招标文件要求签署、盖章的；</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adjustRightInd/>
        <w:snapToGrid/>
        <w:spacing w:line="360" w:lineRule="auto"/>
        <w:ind w:leftChars="-191" w:firstLine="840" w:firstLineChars="400"/>
        <w:jc w:val="both"/>
        <w:textAlignment w:val="auto"/>
        <w:outlineLvl w:val="9"/>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lang w:val="en-US" w:eastAsia="zh-CN"/>
        </w:rPr>
        <w:t>7</w:t>
      </w:r>
      <w:r>
        <w:rPr>
          <w:rFonts w:hint="default" w:ascii="Times New Roman" w:hAnsi="Times New Roman" w:eastAsia="宋体" w:cs="Times New Roman"/>
          <w:color w:val="auto"/>
          <w:szCs w:val="21"/>
          <w:highlight w:val="none"/>
          <w:lang w:eastAsia="zh-CN"/>
        </w:rPr>
        <w:t>）投标文件含有采购人不能接受的附加条件的；</w:t>
      </w:r>
    </w:p>
    <w:p>
      <w:pPr>
        <w:keepNext w:val="0"/>
        <w:keepLines w:val="0"/>
        <w:pageBreakBefore w:val="0"/>
        <w:kinsoku/>
        <w:wordWrap/>
        <w:overflowPunct/>
        <w:topLinePunct w:val="0"/>
        <w:autoSpaceDE/>
        <w:autoSpaceDN/>
        <w:bidi w:val="0"/>
        <w:adjustRightInd/>
        <w:snapToGrid/>
        <w:spacing w:line="360" w:lineRule="auto"/>
        <w:ind w:firstLine="420"/>
        <w:textAlignment w:val="auto"/>
        <w:outlineLvl w:val="9"/>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（8）</w:t>
      </w:r>
      <w:r>
        <w:rPr>
          <w:rFonts w:hint="default" w:ascii="Times New Roman" w:hAnsi="Times New Roman" w:eastAsia="宋体" w:cs="Times New Roman"/>
          <w:color w:val="auto"/>
          <w:kern w:val="2"/>
          <w:sz w:val="21"/>
          <w:szCs w:val="22"/>
          <w:highlight w:val="none"/>
          <w:lang w:val="en-US" w:eastAsia="zh-CN" w:bidi="ar-SA"/>
        </w:rPr>
        <w:t>提供虚假材料谋取中标的；</w:t>
      </w:r>
    </w:p>
    <w:p>
      <w:pPr>
        <w:keepNext w:val="0"/>
        <w:keepLines w:val="0"/>
        <w:pageBreakBefore w:val="0"/>
        <w:kinsoku/>
        <w:wordWrap/>
        <w:overflowPunct/>
        <w:topLinePunct w:val="0"/>
        <w:autoSpaceDE/>
        <w:autoSpaceDN/>
        <w:bidi w:val="0"/>
        <w:adjustRightInd/>
        <w:snapToGrid/>
        <w:spacing w:line="360" w:lineRule="auto"/>
        <w:ind w:firstLine="420"/>
        <w:textAlignment w:val="auto"/>
        <w:outlineLvl w:val="9"/>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lang w:val="en-US" w:eastAsia="zh-CN"/>
        </w:rPr>
        <w:t>9</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rPr>
        <w:t>法律、法规和招标文件规定的其他</w:t>
      </w:r>
      <w:r>
        <w:rPr>
          <w:rFonts w:hint="default" w:ascii="Times New Roman" w:hAnsi="Times New Roman" w:eastAsia="宋体" w:cs="Times New Roman"/>
          <w:color w:val="auto"/>
          <w:szCs w:val="21"/>
          <w:highlight w:val="none"/>
          <w:lang w:eastAsia="zh-CN"/>
        </w:rPr>
        <w:t>无效情形。</w:t>
      </w:r>
    </w:p>
    <w:p>
      <w:pPr>
        <w:keepNext w:val="0"/>
        <w:keepLines w:val="0"/>
        <w:pageBreakBefore w:val="0"/>
        <w:kinsoku/>
        <w:wordWrap/>
        <w:overflowPunct/>
        <w:topLinePunct w:val="0"/>
        <w:autoSpaceDE/>
        <w:autoSpaceDN/>
        <w:bidi w:val="0"/>
        <w:adjustRightInd/>
        <w:snapToGrid/>
        <w:spacing w:line="360" w:lineRule="auto"/>
        <w:ind w:firstLine="420"/>
        <w:textAlignment w:val="auto"/>
        <w:outlineLvl w:val="9"/>
        <w:rPr>
          <w:rFonts w:hint="default" w:ascii="Times New Roman" w:hAnsi="Times New Roman" w:eastAsia="宋体" w:cs="Times New Roman"/>
          <w:b w:val="0"/>
          <w:bCs w:val="0"/>
          <w:color w:val="auto"/>
          <w:sz w:val="21"/>
          <w:szCs w:val="22"/>
          <w:highlight w:val="none"/>
          <w:lang w:val="en-US" w:eastAsia="zh-CN" w:bidi="ar-SA"/>
        </w:rPr>
      </w:pPr>
      <w:r>
        <w:rPr>
          <w:rFonts w:hint="default" w:ascii="Times New Roman" w:hAnsi="Times New Roman" w:eastAsia="宋体" w:cs="Times New Roman"/>
          <w:b w:val="0"/>
          <w:bCs w:val="0"/>
          <w:color w:val="auto"/>
          <w:sz w:val="21"/>
          <w:szCs w:val="22"/>
          <w:highlight w:val="none"/>
          <w:lang w:val="en-US" w:eastAsia="zh-CN" w:bidi="ar-SA"/>
        </w:rPr>
        <w:t>7. 投标人有下列情形之一的，视为投标人串通投标，其投标无效：</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adjustRightInd/>
        <w:snapToGrid/>
        <w:spacing w:line="360" w:lineRule="auto"/>
        <w:ind w:leftChars="-191" w:firstLine="840" w:firstLineChars="400"/>
        <w:jc w:val="both"/>
        <w:textAlignment w:val="auto"/>
        <w:outlineLvl w:val="9"/>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 xml:space="preserve">（1）不同投标人的投标文件由同一单位或人员编制的； </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adjustRightInd/>
        <w:snapToGrid/>
        <w:spacing w:line="360" w:lineRule="auto"/>
        <w:ind w:leftChars="-191" w:firstLine="840" w:firstLineChars="400"/>
        <w:jc w:val="both"/>
        <w:textAlignment w:val="auto"/>
        <w:outlineLvl w:val="9"/>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（2）不同投标人委托同一单位或人员办理投标事宜的；</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adjustRightInd/>
        <w:snapToGrid/>
        <w:spacing w:line="360" w:lineRule="auto"/>
        <w:ind w:leftChars="-191" w:firstLine="840" w:firstLineChars="400"/>
        <w:jc w:val="both"/>
        <w:textAlignment w:val="auto"/>
        <w:outlineLvl w:val="9"/>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 xml:space="preserve">（3）不同投标人的投标文件载明的项目管理成员或者联系人员为同一人； </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adjustRightInd/>
        <w:snapToGrid/>
        <w:spacing w:line="360" w:lineRule="auto"/>
        <w:ind w:leftChars="-191" w:firstLine="840" w:firstLineChars="400"/>
        <w:jc w:val="both"/>
        <w:textAlignment w:val="auto"/>
        <w:outlineLvl w:val="9"/>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（4）不同投标人的投标文件异常一致或者投标报价呈规律性差异；</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adjustRightInd/>
        <w:snapToGrid/>
        <w:spacing w:line="360" w:lineRule="auto"/>
        <w:ind w:leftChars="-191" w:firstLine="840" w:firstLineChars="400"/>
        <w:jc w:val="both"/>
        <w:textAlignment w:val="auto"/>
        <w:outlineLvl w:val="9"/>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 xml:space="preserve">（5）不同投标人的投标文件相互混装； </w:t>
      </w:r>
    </w:p>
    <w:p>
      <w:pPr>
        <w:keepNext w:val="0"/>
        <w:keepLines w:val="0"/>
        <w:pageBreakBefore w:val="0"/>
        <w:widowControl w:val="0"/>
        <w:numPr>
          <w:ilvl w:val="0"/>
          <w:numId w:val="0"/>
        </w:numPr>
        <w:tabs>
          <w:tab w:val="left" w:pos="993"/>
          <w:tab w:val="left" w:pos="1260"/>
        </w:tabs>
        <w:kinsoku/>
        <w:wordWrap/>
        <w:overflowPunct/>
        <w:topLinePunct w:val="0"/>
        <w:autoSpaceDE/>
        <w:autoSpaceDN/>
        <w:bidi w:val="0"/>
        <w:adjustRightInd/>
        <w:snapToGrid/>
        <w:spacing w:line="360" w:lineRule="auto"/>
        <w:ind w:leftChars="-191" w:firstLine="840" w:firstLineChars="400"/>
        <w:jc w:val="both"/>
        <w:textAlignment w:val="auto"/>
        <w:outlineLvl w:val="9"/>
        <w:rPr>
          <w:rFonts w:hint="default" w:ascii="Times New Roman" w:hAnsi="Times New Roman" w:eastAsia="宋体" w:cs="Times New Roman"/>
          <w:color w:val="auto"/>
          <w:lang w:eastAsia="zh-CN"/>
        </w:rPr>
      </w:pPr>
      <w:r>
        <w:rPr>
          <w:rFonts w:hint="default" w:ascii="Times New Roman" w:hAnsi="Times New Roman" w:eastAsia="宋体" w:cs="Times New Roman"/>
          <w:color w:val="auto"/>
          <w:szCs w:val="21"/>
          <w:highlight w:val="none"/>
          <w:lang w:val="en-US" w:eastAsia="zh-CN"/>
        </w:rPr>
        <w:t>（6）法律、法规或规章规定的其他串通行为。</w:t>
      </w:r>
    </w:p>
    <w:p>
      <w:pPr>
        <w:keepNext w:val="0"/>
        <w:keepLines w:val="0"/>
        <w:pageBreakBefore w:val="0"/>
        <w:numPr>
          <w:ilvl w:val="0"/>
          <w:numId w:val="76"/>
        </w:numPr>
        <w:kinsoku/>
        <w:wordWrap/>
        <w:overflowPunct/>
        <w:topLinePunct w:val="0"/>
        <w:autoSpaceDE/>
        <w:autoSpaceDN/>
        <w:bidi w:val="0"/>
        <w:adjustRightInd/>
        <w:spacing w:line="360" w:lineRule="auto"/>
        <w:ind w:left="0" w:leftChars="0" w:firstLine="420" w:firstLineChars="0"/>
        <w:textAlignment w:val="auto"/>
        <w:outlineLvl w:val="1"/>
        <w:rPr>
          <w:rFonts w:hint="eastAsia" w:ascii="宋体" w:hAnsi="宋体" w:cs="宋体"/>
          <w:b/>
          <w:color w:val="auto"/>
          <w:sz w:val="24"/>
          <w:szCs w:val="24"/>
          <w:lang w:eastAsia="zh-CN"/>
        </w:rPr>
      </w:pPr>
      <w:bookmarkStart w:id="798" w:name="_Toc19342"/>
      <w:bookmarkStart w:id="799" w:name="_Toc20115"/>
      <w:bookmarkStart w:id="800" w:name="_Toc9640"/>
      <w:bookmarkStart w:id="801" w:name="_Toc18884"/>
      <w:bookmarkStart w:id="802" w:name="_Toc2258"/>
      <w:bookmarkStart w:id="803" w:name="_Toc26698"/>
      <w:bookmarkStart w:id="804" w:name="_Toc4589"/>
      <w:bookmarkStart w:id="805" w:name="_Toc7308"/>
      <w:bookmarkStart w:id="806" w:name="_Toc13303"/>
      <w:bookmarkStart w:id="807" w:name="_Toc2552"/>
      <w:bookmarkStart w:id="808" w:name="_Toc14578"/>
      <w:bookmarkStart w:id="809" w:name="_Toc6614"/>
      <w:bookmarkStart w:id="810" w:name="_Toc9804"/>
      <w:bookmarkStart w:id="811" w:name="_Toc3497"/>
      <w:bookmarkStart w:id="812" w:name="_Toc31492"/>
      <w:bookmarkStart w:id="813" w:name="_Toc29079"/>
      <w:bookmarkStart w:id="814" w:name="_Toc20916"/>
      <w:bookmarkStart w:id="815" w:name="_Toc23636"/>
      <w:bookmarkStart w:id="816" w:name="_Toc849"/>
      <w:bookmarkStart w:id="817" w:name="_Toc30457"/>
      <w:bookmarkStart w:id="818" w:name="_Toc28235"/>
      <w:bookmarkStart w:id="819" w:name="_Toc7206"/>
      <w:bookmarkStart w:id="820" w:name="_Toc20340"/>
      <w:bookmarkStart w:id="821" w:name="_Toc19624"/>
      <w:bookmarkStart w:id="822" w:name="_Toc12674"/>
      <w:bookmarkStart w:id="823" w:name="_Toc30407"/>
      <w:bookmarkStart w:id="824" w:name="_Toc26226"/>
      <w:bookmarkStart w:id="825" w:name="_Toc6948"/>
      <w:bookmarkStart w:id="826" w:name="_Toc3647"/>
      <w:bookmarkStart w:id="827" w:name="_Toc12682"/>
      <w:bookmarkStart w:id="828" w:name="_Toc12986"/>
      <w:r>
        <w:rPr>
          <w:rFonts w:hint="eastAsia" w:ascii="宋体" w:hAnsi="宋体" w:cs="宋体"/>
          <w:b/>
          <w:color w:val="auto"/>
          <w:sz w:val="24"/>
          <w:szCs w:val="24"/>
          <w:lang w:eastAsia="zh-CN"/>
        </w:rPr>
        <w:t>商务技术、价格评审</w:t>
      </w:r>
      <w:bookmarkEnd w:id="798"/>
      <w:bookmarkEnd w:id="799"/>
      <w:bookmarkEnd w:id="800"/>
      <w:bookmarkEnd w:id="801"/>
      <w:bookmarkEnd w:id="802"/>
      <w:r>
        <w:rPr>
          <w:rFonts w:hint="eastAsia" w:ascii="宋体" w:hAnsi="宋体" w:cs="宋体"/>
          <w:b/>
          <w:color w:val="auto"/>
          <w:sz w:val="24"/>
          <w:szCs w:val="24"/>
          <w:lang w:eastAsia="zh-CN"/>
        </w:rPr>
        <w:t>标准</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620"/>
        <w:gridCol w:w="825"/>
        <w:gridCol w:w="5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71" w:type="dxa"/>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3"/>
              <w:jc w:val="center"/>
              <w:rPr>
                <w:rFonts w:hint="eastAsia" w:ascii="宋体" w:hAnsi="宋体" w:eastAsia="宋体" w:cs="宋体"/>
                <w:b/>
                <w:color w:val="auto"/>
                <w:szCs w:val="21"/>
                <w:lang w:val="en-US" w:eastAsia="zh-CN"/>
              </w:rPr>
            </w:pPr>
          </w:p>
        </w:tc>
        <w:tc>
          <w:tcPr>
            <w:tcW w:w="2445" w:type="dxa"/>
            <w:gridSpan w:val="2"/>
            <w:tcBorders>
              <w:top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316" w:right="6" w:hanging="316" w:hangingChars="150"/>
              <w:jc w:val="center"/>
              <w:rPr>
                <w:rFonts w:hint="default" w:ascii="宋体" w:hAnsi="宋体" w:cs="宋体"/>
                <w:color w:val="auto"/>
                <w:szCs w:val="21"/>
              </w:rPr>
            </w:pPr>
            <w:r>
              <w:rPr>
                <w:rFonts w:hint="eastAsia" w:ascii="宋体" w:hAnsi="宋体" w:cs="宋体"/>
                <w:b/>
                <w:bCs/>
                <w:color w:val="auto"/>
                <w:kern w:val="28"/>
                <w:szCs w:val="21"/>
              </w:rPr>
              <w:t>商务、技术评分</w:t>
            </w:r>
          </w:p>
        </w:tc>
        <w:tc>
          <w:tcPr>
            <w:tcW w:w="5828" w:type="dxa"/>
            <w:tcBorders>
              <w:top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315" w:right="6" w:hanging="315" w:hangingChars="150"/>
              <w:jc w:val="center"/>
              <w:rPr>
                <w:rFonts w:hint="default" w:ascii="宋体" w:hAnsi="宋体" w:cs="宋体"/>
                <w:bCs/>
                <w:color w:val="auto"/>
                <w:kern w:val="28"/>
                <w:szCs w:val="21"/>
              </w:rPr>
            </w:pPr>
            <w:r>
              <w:rPr>
                <w:rFonts w:hint="eastAsia" w:ascii="宋体" w:hAnsi="宋体" w:cs="宋体"/>
                <w:bCs/>
                <w:color w:val="auto"/>
                <w:kern w:val="28"/>
                <w:szCs w:val="21"/>
              </w:rPr>
              <w:t>合计</w:t>
            </w:r>
            <w:r>
              <w:rPr>
                <w:rFonts w:hint="eastAsia" w:ascii="宋体" w:hAnsi="宋体" w:cs="宋体"/>
                <w:bCs/>
                <w:color w:val="auto"/>
                <w:kern w:val="28"/>
                <w:szCs w:val="21"/>
                <w:lang w:val="en-US" w:eastAsia="zh-CN"/>
              </w:rPr>
              <w:t>9</w:t>
            </w:r>
            <w:r>
              <w:rPr>
                <w:rFonts w:hint="eastAsia" w:ascii="宋体" w:hAnsi="宋体" w:cs="宋体"/>
                <w:bCs/>
                <w:color w:val="auto"/>
                <w:kern w:val="28"/>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71" w:type="dxa"/>
            <w:tcBorders>
              <w:top w:val="single" w:color="auto" w:sz="4" w:space="0"/>
              <w:left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宋体" w:hAnsi="宋体" w:cs="宋体"/>
                <w:color w:val="auto"/>
                <w:szCs w:val="21"/>
              </w:rPr>
            </w:pPr>
            <w:r>
              <w:rPr>
                <w:rFonts w:hint="eastAsia" w:ascii="宋体" w:hAnsi="宋体" w:cs="宋体"/>
                <w:color w:val="auto"/>
                <w:szCs w:val="21"/>
              </w:rPr>
              <w:t>序号</w:t>
            </w:r>
          </w:p>
        </w:tc>
        <w:tc>
          <w:tcPr>
            <w:tcW w:w="1620"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宋体" w:hAnsi="宋体" w:cs="宋体"/>
                <w:color w:val="auto"/>
                <w:szCs w:val="21"/>
              </w:rPr>
            </w:pPr>
            <w:r>
              <w:rPr>
                <w:rFonts w:hint="eastAsia" w:ascii="宋体" w:hAnsi="宋体" w:cs="宋体"/>
                <w:color w:val="auto"/>
                <w:szCs w:val="21"/>
              </w:rPr>
              <w:t>评分内容</w:t>
            </w:r>
          </w:p>
        </w:tc>
        <w:tc>
          <w:tcPr>
            <w:tcW w:w="825"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宋体" w:hAnsi="宋体" w:cs="宋体"/>
                <w:color w:val="auto"/>
                <w:szCs w:val="21"/>
              </w:rPr>
            </w:pPr>
            <w:r>
              <w:rPr>
                <w:rFonts w:hint="eastAsia" w:ascii="宋体" w:hAnsi="宋体" w:cs="宋体"/>
                <w:color w:val="auto"/>
                <w:szCs w:val="21"/>
              </w:rPr>
              <w:t>分值</w:t>
            </w:r>
          </w:p>
        </w:tc>
        <w:tc>
          <w:tcPr>
            <w:tcW w:w="5828" w:type="dxa"/>
            <w:tcBorders>
              <w:top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宋体" w:hAnsi="宋体" w:cs="宋体"/>
                <w:color w:val="auto"/>
                <w:szCs w:val="21"/>
              </w:rPr>
            </w:pPr>
            <w:r>
              <w:rPr>
                <w:rFonts w:hint="eastAsia" w:ascii="宋体" w:hAnsi="宋体" w:cs="宋体"/>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71" w:type="dxa"/>
            <w:tcBorders>
              <w:top w:val="single" w:color="auto" w:sz="4" w:space="0"/>
              <w:lef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eastAsia="宋体" w:cs="Times New Roman"/>
                <w:color w:val="auto"/>
                <w:szCs w:val="20"/>
                <w:lang w:eastAsia="zh-CN"/>
              </w:rPr>
            </w:pPr>
            <w:r>
              <w:rPr>
                <w:rFonts w:hint="eastAsia" w:ascii="Times New Roman" w:hAnsi="Times New Roman" w:cs="Times New Roman"/>
                <w:color w:val="auto"/>
                <w:szCs w:val="20"/>
                <w:lang w:val="en-US" w:eastAsia="zh-CN"/>
              </w:rPr>
              <w:t>1</w:t>
            </w:r>
          </w:p>
        </w:tc>
        <w:tc>
          <w:tcPr>
            <w:tcW w:w="1620" w:type="dxa"/>
            <w:tcBorders>
              <w:top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宋体" w:hAnsi="宋体" w:cs="宋体"/>
                <w:color w:val="auto"/>
                <w:szCs w:val="21"/>
              </w:rPr>
            </w:pPr>
            <w:r>
              <w:rPr>
                <w:rFonts w:hint="eastAsia" w:ascii="宋体" w:hAnsi="宋体" w:cs="Arial"/>
                <w:bCs/>
                <w:color w:val="auto"/>
                <w:kern w:val="28"/>
                <w:szCs w:val="21"/>
              </w:rPr>
              <w:t>投标人</w:t>
            </w:r>
            <w:r>
              <w:rPr>
                <w:rFonts w:hint="default" w:ascii="Calibri" w:hAnsi="Calibri" w:cs="Calibri"/>
                <w:color w:val="auto"/>
                <w:szCs w:val="21"/>
              </w:rPr>
              <w:t>管理体系认证</w:t>
            </w:r>
          </w:p>
        </w:tc>
        <w:tc>
          <w:tcPr>
            <w:tcW w:w="825" w:type="dxa"/>
            <w:tcBorders>
              <w:top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宋体" w:hAnsi="宋体" w:cs="宋体"/>
                <w:color w:val="auto"/>
                <w:szCs w:val="21"/>
              </w:rPr>
            </w:pPr>
            <w:r>
              <w:rPr>
                <w:rFonts w:hint="default" w:ascii="Arial" w:hAnsi="Arial" w:cs="Arial"/>
                <w:color w:val="auto"/>
                <w:szCs w:val="21"/>
              </w:rPr>
              <w:t>3</w:t>
            </w:r>
            <w:r>
              <w:rPr>
                <w:rFonts w:hint="eastAsia" w:ascii="宋体" w:hAnsi="宋体" w:cs="Times New Roman"/>
                <w:color w:val="auto"/>
                <w:szCs w:val="21"/>
              </w:rPr>
              <w:t>分</w:t>
            </w:r>
          </w:p>
        </w:tc>
        <w:tc>
          <w:tcPr>
            <w:tcW w:w="5828" w:type="dxa"/>
            <w:tcBorders>
              <w:top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rPr>
                <w:rFonts w:hint="default" w:ascii="宋体" w:hAnsi="宋体" w:cs="宋体"/>
                <w:color w:val="auto"/>
                <w:szCs w:val="21"/>
              </w:rPr>
            </w:pPr>
            <w:r>
              <w:rPr>
                <w:rFonts w:hint="eastAsia" w:ascii="宋体" w:hAnsi="宋体" w:cs="宋体"/>
                <w:color w:val="auto"/>
                <w:szCs w:val="21"/>
              </w:rPr>
              <w:t>投标人具有有效的质量管理体系认证证书、环境管理体系认证证书、职业健康安全管理体系认证证书，每项得</w:t>
            </w:r>
            <w:r>
              <w:rPr>
                <w:rFonts w:hint="eastAsia" w:ascii="Arial" w:hAnsi="Arial" w:cs="Arial"/>
                <w:color w:val="auto"/>
                <w:szCs w:val="21"/>
              </w:rPr>
              <w:t>1</w:t>
            </w:r>
            <w:r>
              <w:rPr>
                <w:rFonts w:hint="eastAsia" w:ascii="宋体" w:hAnsi="宋体" w:cs="宋体"/>
                <w:color w:val="auto"/>
                <w:szCs w:val="21"/>
              </w:rPr>
              <w:t>分，最高得</w:t>
            </w:r>
            <w:r>
              <w:rPr>
                <w:rFonts w:hint="eastAsia" w:ascii="Arial" w:hAnsi="Arial" w:cs="Arial"/>
                <w:color w:val="auto"/>
                <w:szCs w:val="21"/>
              </w:rPr>
              <w:t>3</w:t>
            </w:r>
            <w:r>
              <w:rPr>
                <w:rFonts w:hint="eastAsia" w:ascii="宋体" w:hAnsi="宋体" w:cs="宋体"/>
                <w:color w:val="auto"/>
                <w:szCs w:val="21"/>
              </w:rPr>
              <w:t>分。（</w:t>
            </w:r>
            <w:r>
              <w:rPr>
                <w:rFonts w:hint="default" w:ascii="Calibri" w:hAnsi="Calibri" w:cs="Calibri"/>
                <w:color w:val="auto"/>
                <w:szCs w:val="21"/>
              </w:rPr>
              <w:t>注：以上证书须由通过中国国家认证认可监督管理委员会备案通过的认证机构颁发，提供证书</w:t>
            </w:r>
            <w:r>
              <w:rPr>
                <w:rFonts w:hint="eastAsia" w:ascii="Calibri" w:hAnsi="Calibri" w:cs="Calibri"/>
                <w:color w:val="auto"/>
                <w:szCs w:val="21"/>
              </w:rPr>
              <w:t>复印件并进行</w:t>
            </w:r>
            <w:r>
              <w:rPr>
                <w:rFonts w:hint="eastAsia" w:ascii="Calibri" w:hAnsi="Calibri" w:cs="Calibri"/>
                <w:color w:val="auto"/>
                <w:szCs w:val="21"/>
                <w:lang w:val="en-US" w:eastAsia="zh-CN"/>
              </w:rPr>
              <w:t>电子</w:t>
            </w:r>
            <w:r>
              <w:rPr>
                <w:rFonts w:hint="eastAsia" w:ascii="Calibri" w:hAnsi="Calibri" w:cs="Calibri"/>
                <w:color w:val="auto"/>
                <w:szCs w:val="21"/>
              </w:rPr>
              <w:t>签章</w:t>
            </w:r>
            <w:r>
              <w:rPr>
                <w:rFonts w:hint="eastAsia" w:ascii="宋体" w:hAnsi="宋体" w:cs="宋体"/>
                <w:color w:val="auto"/>
                <w:szCs w:val="21"/>
              </w:rPr>
              <w:t>）</w:t>
            </w:r>
            <w:r>
              <w:rPr>
                <w:rFonts w:hint="eastAsia" w:ascii="宋体" w:hAnsi="宋体" w:cs="宋体"/>
                <w:color w:val="auto"/>
                <w:szCs w:val="20"/>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5" w:hRule="atLeast"/>
        </w:trPr>
        <w:tc>
          <w:tcPr>
            <w:tcW w:w="771" w:type="dxa"/>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3"/>
              <w:jc w:val="center"/>
              <w:rPr>
                <w:rFonts w:hint="eastAsia" w:ascii="Times New Roman" w:hAnsi="Times New Roman" w:eastAsia="宋体" w:cs="Times New Roman"/>
                <w:color w:val="auto"/>
                <w:szCs w:val="20"/>
                <w:lang w:eastAsia="zh-CN"/>
              </w:rPr>
            </w:pPr>
            <w:r>
              <w:rPr>
                <w:rFonts w:hint="eastAsia" w:ascii="Times New Roman" w:hAnsi="Times New Roman" w:cs="Times New Roman"/>
                <w:color w:val="auto"/>
                <w:szCs w:val="20"/>
                <w:lang w:val="en-US" w:eastAsia="zh-CN"/>
              </w:rPr>
              <w:t>2</w:t>
            </w:r>
          </w:p>
        </w:tc>
        <w:tc>
          <w:tcPr>
            <w:tcW w:w="162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bCs/>
                <w:color w:val="auto"/>
                <w:kern w:val="28"/>
                <w:szCs w:val="21"/>
              </w:rPr>
            </w:pPr>
            <w:r>
              <w:rPr>
                <w:rFonts w:hint="eastAsia" w:ascii="Calibri" w:hAnsi="Calibri" w:cs="Calibri"/>
                <w:color w:val="auto"/>
                <w:szCs w:val="21"/>
              </w:rPr>
              <w:t>投标人</w:t>
            </w:r>
            <w:r>
              <w:rPr>
                <w:rFonts w:hint="default" w:ascii="Calibri" w:hAnsi="Calibri" w:cs="Calibri"/>
                <w:color w:val="auto"/>
                <w:szCs w:val="21"/>
              </w:rPr>
              <w:t>业绩情况</w:t>
            </w:r>
          </w:p>
        </w:tc>
        <w:tc>
          <w:tcPr>
            <w:tcW w:w="82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Cs w:val="21"/>
              </w:rPr>
            </w:pPr>
            <w:r>
              <w:rPr>
                <w:rFonts w:hint="eastAsia" w:ascii="Arial" w:hAnsi="Arial" w:cs="Arial"/>
                <w:color w:val="auto"/>
                <w:szCs w:val="21"/>
                <w:lang w:val="en-US" w:eastAsia="zh-CN"/>
              </w:rPr>
              <w:t>1</w:t>
            </w:r>
            <w:r>
              <w:rPr>
                <w:rFonts w:hint="eastAsia" w:ascii="宋体" w:hAnsi="宋体" w:cs="Times New Roman"/>
                <w:color w:val="auto"/>
                <w:szCs w:val="21"/>
              </w:rPr>
              <w:t>分</w:t>
            </w:r>
          </w:p>
        </w:tc>
        <w:tc>
          <w:tcPr>
            <w:tcW w:w="5828"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rPr>
                <w:rFonts w:hint="default" w:ascii="宋体" w:hAnsi="宋体" w:cs="宋体"/>
                <w:color w:val="auto"/>
                <w:szCs w:val="21"/>
              </w:rPr>
            </w:pPr>
            <w:r>
              <w:rPr>
                <w:rFonts w:hint="eastAsia" w:ascii="宋体" w:hAnsi="宋体" w:cs="宋体"/>
                <w:color w:val="auto"/>
                <w:szCs w:val="21"/>
              </w:rPr>
              <w:t>提供</w:t>
            </w:r>
            <w:r>
              <w:rPr>
                <w:rFonts w:hint="default" w:ascii="Arial" w:hAnsi="Arial" w:cs="Arial"/>
                <w:color w:val="auto"/>
                <w:szCs w:val="21"/>
              </w:rPr>
              <w:t>20</w:t>
            </w:r>
            <w:r>
              <w:rPr>
                <w:rFonts w:hint="default" w:ascii="Arial" w:hAnsi="Arial" w:cs="Arial"/>
                <w:color w:val="auto"/>
                <w:szCs w:val="21"/>
                <w:lang w:val="en-US" w:eastAsia="zh-CN"/>
              </w:rPr>
              <w:t>20</w:t>
            </w:r>
            <w:r>
              <w:rPr>
                <w:rFonts w:hint="eastAsia" w:ascii="宋体" w:hAnsi="宋体" w:cs="宋体"/>
                <w:color w:val="auto"/>
                <w:szCs w:val="21"/>
              </w:rPr>
              <w:t>年</w:t>
            </w:r>
            <w:r>
              <w:rPr>
                <w:rFonts w:hint="default" w:ascii="Arial" w:hAnsi="Arial" w:cs="Arial"/>
                <w:color w:val="auto"/>
                <w:szCs w:val="21"/>
              </w:rPr>
              <w:t>1</w:t>
            </w:r>
            <w:r>
              <w:rPr>
                <w:rFonts w:hint="eastAsia" w:ascii="宋体" w:hAnsi="宋体" w:cs="宋体"/>
                <w:color w:val="auto"/>
                <w:szCs w:val="21"/>
              </w:rPr>
              <w:t>月</w:t>
            </w:r>
            <w:r>
              <w:rPr>
                <w:rFonts w:hint="default" w:ascii="Arial" w:hAnsi="Arial" w:cs="Arial"/>
                <w:color w:val="auto"/>
                <w:szCs w:val="21"/>
              </w:rPr>
              <w:t>1</w:t>
            </w:r>
            <w:r>
              <w:rPr>
                <w:rFonts w:hint="eastAsia" w:ascii="宋体" w:hAnsi="宋体" w:cs="宋体"/>
                <w:color w:val="auto"/>
                <w:szCs w:val="21"/>
              </w:rPr>
              <w:t>日以来</w:t>
            </w:r>
            <w:r>
              <w:rPr>
                <w:rFonts w:hint="eastAsia" w:ascii="宋体" w:hAnsi="宋体" w:cs="宋体"/>
                <w:color w:val="auto"/>
                <w:szCs w:val="21"/>
                <w:highlight w:val="none"/>
                <w:lang w:eastAsia="zh-CN"/>
              </w:rPr>
              <w:t>行政</w:t>
            </w:r>
            <w:r>
              <w:rPr>
                <w:rFonts w:hint="eastAsia" w:ascii="宋体" w:hAnsi="宋体" w:cs="宋体"/>
                <w:color w:val="auto"/>
                <w:szCs w:val="21"/>
                <w:highlight w:val="none"/>
                <w:lang w:val="en-US" w:eastAsia="zh-CN"/>
              </w:rPr>
              <w:t>办公楼</w:t>
            </w:r>
            <w:r>
              <w:rPr>
                <w:rFonts w:hint="eastAsia" w:ascii="宋体" w:hAnsi="宋体" w:cs="宋体"/>
                <w:color w:val="auto"/>
                <w:szCs w:val="21"/>
                <w:lang w:eastAsia="zh-CN"/>
              </w:rPr>
              <w:t>物业管理服务</w:t>
            </w:r>
            <w:r>
              <w:rPr>
                <w:rFonts w:hint="eastAsia" w:ascii="宋体" w:hAnsi="宋体" w:cs="宋体"/>
                <w:color w:val="auto"/>
                <w:szCs w:val="21"/>
              </w:rPr>
              <w:t>业绩，每提供一个得</w:t>
            </w:r>
            <w:r>
              <w:rPr>
                <w:rFonts w:hint="eastAsia" w:ascii="Arial" w:hAnsi="Arial" w:cs="Arial"/>
                <w:color w:val="auto"/>
                <w:szCs w:val="21"/>
                <w:lang w:val="en-US" w:eastAsia="zh-CN"/>
              </w:rPr>
              <w:t>0.5</w:t>
            </w:r>
            <w:r>
              <w:rPr>
                <w:rFonts w:hint="eastAsia" w:ascii="宋体" w:hAnsi="宋体" w:cs="宋体"/>
                <w:color w:val="auto"/>
                <w:szCs w:val="21"/>
              </w:rPr>
              <w:t>分</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相同物业管理服务地点的不同合同只算1个业绩。</w:t>
            </w:r>
            <w:r>
              <w:rPr>
                <w:rFonts w:hint="eastAsia" w:ascii="宋体" w:hAnsi="宋体" w:cs="宋体"/>
                <w:color w:val="auto"/>
                <w:szCs w:val="21"/>
              </w:rPr>
              <w:t>最高得分</w:t>
            </w:r>
            <w:r>
              <w:rPr>
                <w:rFonts w:hint="eastAsia" w:ascii="Arial" w:hAnsi="Arial" w:cs="Arial"/>
                <w:color w:val="auto"/>
                <w:szCs w:val="21"/>
                <w:lang w:val="en-US" w:eastAsia="zh-CN"/>
              </w:rPr>
              <w:t>1</w:t>
            </w:r>
            <w:r>
              <w:rPr>
                <w:rFonts w:hint="eastAsia" w:ascii="宋体" w:hAnsi="宋体" w:cs="宋体"/>
                <w:color w:val="auto"/>
                <w:szCs w:val="21"/>
              </w:rPr>
              <w:t>分，（业绩有效性认定：上传合同和发票（缺一不可）并</w:t>
            </w:r>
            <w:r>
              <w:rPr>
                <w:rFonts w:hint="eastAsia" w:ascii="宋体" w:hAnsi="宋体" w:cs="宋体"/>
                <w:color w:val="auto"/>
                <w:szCs w:val="21"/>
                <w:lang w:val="en-US" w:eastAsia="zh-CN"/>
              </w:rPr>
              <w:t>电子</w:t>
            </w:r>
            <w:r>
              <w:rPr>
                <w:rFonts w:hint="eastAsia" w:ascii="宋体" w:hAnsi="宋体" w:cs="宋体"/>
                <w:color w:val="auto"/>
                <w:szCs w:val="21"/>
              </w:rPr>
              <w:t>签章，业绩时间以合同签订日期为准，发票须为开票日期在</w:t>
            </w:r>
            <w:r>
              <w:rPr>
                <w:rFonts w:hint="eastAsia" w:ascii="宋体" w:hAnsi="宋体" w:cs="宋体"/>
                <w:color w:val="auto"/>
                <w:szCs w:val="21"/>
                <w:lang w:val="en-US" w:eastAsia="zh-CN"/>
              </w:rPr>
              <w:t>本项目公告发布之日</w:t>
            </w:r>
            <w:r>
              <w:rPr>
                <w:rFonts w:hint="eastAsia" w:ascii="宋体" w:hAnsi="宋体" w:cs="宋体"/>
                <w:color w:val="auto"/>
                <w:szCs w:val="21"/>
              </w:rPr>
              <w:t>前开具的合同期内任意一期资金支付对应的发票。）（客观）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trPr>
        <w:tc>
          <w:tcPr>
            <w:tcW w:w="771" w:type="dxa"/>
            <w:tcBorders>
              <w:lef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eastAsia="宋体" w:cs="Times New Roman"/>
                <w:color w:val="auto"/>
                <w:szCs w:val="20"/>
                <w:lang w:eastAsia="zh-CN"/>
              </w:rPr>
            </w:pPr>
            <w:r>
              <w:rPr>
                <w:rFonts w:hint="eastAsia" w:ascii="Times New Roman" w:hAnsi="Times New Roman" w:eastAsia="宋体" w:cs="Times New Roman"/>
                <w:color w:val="auto"/>
                <w:szCs w:val="20"/>
                <w:lang w:val="en-US" w:eastAsia="zh-CN"/>
              </w:rPr>
              <w:t>3</w:t>
            </w:r>
          </w:p>
        </w:tc>
        <w:tc>
          <w:tcPr>
            <w:tcW w:w="162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Arial" w:hAnsi="Arial" w:eastAsia="宋体" w:cs="Arial"/>
                <w:color w:val="auto"/>
                <w:szCs w:val="21"/>
                <w:lang w:val="en-US" w:eastAsia="zh-CN"/>
              </w:rPr>
            </w:pPr>
            <w:r>
              <w:rPr>
                <w:rFonts w:hint="eastAsia" w:ascii="Arial" w:hAnsi="Arial" w:eastAsia="宋体" w:cs="Arial"/>
                <w:color w:val="auto"/>
                <w:szCs w:val="21"/>
                <w:lang w:val="en-US" w:eastAsia="zh-CN"/>
              </w:rPr>
              <w:t>项目负责人</w:t>
            </w:r>
          </w:p>
        </w:tc>
        <w:tc>
          <w:tcPr>
            <w:tcW w:w="82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Arial" w:hAnsi="Arial" w:eastAsia="宋体" w:cs="Arial"/>
                <w:color w:val="auto"/>
                <w:szCs w:val="21"/>
                <w:lang w:val="en-US" w:eastAsia="zh-CN"/>
              </w:rPr>
            </w:pPr>
            <w:r>
              <w:rPr>
                <w:rFonts w:hint="eastAsia" w:ascii="Arial" w:hAnsi="Arial" w:eastAsia="宋体" w:cs="Arial"/>
                <w:color w:val="auto"/>
                <w:szCs w:val="21"/>
                <w:lang w:val="en-US" w:eastAsia="zh-CN"/>
              </w:rPr>
              <w:t>2分</w:t>
            </w:r>
          </w:p>
        </w:tc>
        <w:tc>
          <w:tcPr>
            <w:tcW w:w="5828"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84" w:rightChars="-40"/>
              <w:jc w:val="both"/>
              <w:rPr>
                <w:rFonts w:hint="eastAsia" w:ascii="Arial" w:hAnsi="Arial" w:eastAsia="宋体" w:cs="Arial"/>
                <w:b w:val="0"/>
                <w:bCs w:val="0"/>
                <w:color w:val="auto"/>
                <w:sz w:val="21"/>
                <w:szCs w:val="21"/>
                <w:lang w:val="en-US" w:eastAsia="zh-CN" w:bidi="ar-SA"/>
              </w:rPr>
            </w:pPr>
            <w:r>
              <w:rPr>
                <w:rFonts w:hint="eastAsia" w:ascii="Arial" w:hAnsi="Arial" w:eastAsia="宋体" w:cs="Arial"/>
                <w:b w:val="0"/>
                <w:bCs w:val="0"/>
                <w:color w:val="auto"/>
                <w:sz w:val="21"/>
                <w:szCs w:val="21"/>
                <w:lang w:val="en-US" w:eastAsia="zh-CN" w:bidi="ar-SA"/>
              </w:rPr>
              <w:t>拟派项目负责人2018年1月1日以来：具有连续4年（含）以上担任行政办公楼类物业项目负责人物业管理服务的工作经验，得1.0分；具有连续5年（含）以上担任</w:t>
            </w:r>
            <w:r>
              <w:rPr>
                <w:rFonts w:hint="eastAsia" w:ascii="宋体" w:hAnsi="宋体" w:cs="宋体"/>
                <w:color w:val="auto"/>
                <w:szCs w:val="21"/>
                <w:highlight w:val="none"/>
                <w:lang w:eastAsia="zh-CN"/>
              </w:rPr>
              <w:t>行政</w:t>
            </w:r>
            <w:r>
              <w:rPr>
                <w:rFonts w:hint="eastAsia" w:ascii="Arial" w:hAnsi="Arial" w:eastAsia="宋体" w:cs="Arial"/>
                <w:b w:val="0"/>
                <w:bCs w:val="0"/>
                <w:color w:val="auto"/>
                <w:sz w:val="21"/>
                <w:szCs w:val="21"/>
                <w:lang w:val="en-US" w:eastAsia="zh-CN" w:bidi="ar-SA"/>
              </w:rPr>
              <w:t>办公楼类物业项目负责人物业管理服务的工作经验，得2.0分。此项最高得2分。（客观）</w:t>
            </w:r>
          </w:p>
          <w:p>
            <w:pPr>
              <w:keepNext w:val="0"/>
              <w:keepLines w:val="0"/>
              <w:widowControl/>
              <w:suppressLineNumbers w:val="0"/>
              <w:snapToGrid w:val="0"/>
              <w:spacing w:before="0" w:beforeAutospacing="0" w:after="0" w:afterAutospacing="0" w:line="360" w:lineRule="auto"/>
              <w:ind w:left="0" w:right="0"/>
              <w:rPr>
                <w:rFonts w:hint="eastAsia" w:ascii="宋体" w:hAnsi="宋体" w:eastAsia="宋体" w:cs="宋体"/>
                <w:color w:val="auto"/>
                <w:szCs w:val="21"/>
              </w:rPr>
            </w:pPr>
            <w:r>
              <w:rPr>
                <w:rFonts w:hint="eastAsia" w:ascii="Arial" w:hAnsi="Arial" w:eastAsia="宋体" w:cs="Arial"/>
                <w:b w:val="0"/>
                <w:bCs w:val="0"/>
                <w:color w:val="auto"/>
                <w:sz w:val="21"/>
                <w:szCs w:val="21"/>
                <w:lang w:val="en-US" w:eastAsia="zh-CN" w:bidi="ar-SA"/>
              </w:rPr>
              <w:t>注：须提供劳动合同或业主方出具的证明材料或其他可以证明其管理经验的资料，须明确其就职岗位为项目负责人，以上提供复印件并进行电子签章。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6" w:hRule="atLeast"/>
        </w:trPr>
        <w:tc>
          <w:tcPr>
            <w:tcW w:w="771" w:type="dxa"/>
            <w:tcBorders>
              <w:lef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szCs w:val="22"/>
                <w:lang w:val="en-US" w:eastAsia="zh-CN"/>
              </w:rPr>
              <w:t>4</w:t>
            </w:r>
          </w:p>
        </w:tc>
        <w:tc>
          <w:tcPr>
            <w:tcW w:w="162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Cs w:val="21"/>
                <w:highlight w:val="none"/>
              </w:rPr>
            </w:pPr>
            <w:r>
              <w:rPr>
                <w:rFonts w:hint="eastAsia" w:ascii="宋体" w:hAnsi="宋体" w:cs="宋体"/>
                <w:bCs/>
                <w:color w:val="auto"/>
                <w:kern w:val="28"/>
                <w:szCs w:val="22"/>
                <w:highlight w:val="none"/>
              </w:rPr>
              <w:t>拟投入本项目设备工具</w:t>
            </w:r>
          </w:p>
        </w:tc>
        <w:tc>
          <w:tcPr>
            <w:tcW w:w="825"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szCs w:val="21"/>
                <w:highlight w:val="none"/>
              </w:rPr>
            </w:pPr>
            <w:r>
              <w:rPr>
                <w:rFonts w:hint="eastAsia" w:ascii="Arial" w:hAnsi="Arial" w:cs="Arial"/>
                <w:color w:val="auto"/>
                <w:szCs w:val="21"/>
                <w:highlight w:val="none"/>
                <w:lang w:val="en-US" w:eastAsia="zh-CN"/>
              </w:rPr>
              <w:t>3</w:t>
            </w:r>
            <w:r>
              <w:rPr>
                <w:rFonts w:hint="eastAsia" w:ascii="宋体" w:hAnsi="宋体" w:cs="宋体"/>
                <w:bCs/>
                <w:color w:val="auto"/>
                <w:kern w:val="28"/>
                <w:szCs w:val="22"/>
                <w:highlight w:val="none"/>
              </w:rPr>
              <w:t>分</w:t>
            </w:r>
          </w:p>
        </w:tc>
        <w:tc>
          <w:tcPr>
            <w:tcW w:w="5828"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rPr>
                <w:rFonts w:hint="eastAsia" w:ascii="宋体" w:hAnsi="宋体" w:cs="宋体"/>
                <w:color w:val="auto"/>
                <w:szCs w:val="22"/>
                <w:lang w:val="en-US" w:eastAsia="zh-CN"/>
              </w:rPr>
            </w:pPr>
            <w:r>
              <w:rPr>
                <w:rFonts w:hint="eastAsia" w:ascii="宋体" w:hAnsi="宋体" w:cs="宋体"/>
                <w:color w:val="auto"/>
                <w:szCs w:val="22"/>
                <w:lang w:val="en-US" w:eastAsia="zh-CN"/>
              </w:rPr>
              <w:t>拟投入本项目使用的打蜡机、吸尘吸水机、地坪/地毯吹干机、真空吸尘机、保洁专用车、巡逻棒、折叠梯、对讲机等</w:t>
            </w:r>
            <w:r>
              <w:rPr>
                <w:rFonts w:hint="eastAsia" w:ascii="宋体" w:hAnsi="宋体" w:cs="宋体"/>
                <w:b w:val="0"/>
                <w:bCs w:val="0"/>
                <w:i w:val="0"/>
                <w:iCs w:val="0"/>
                <w:color w:val="auto"/>
                <w:szCs w:val="20"/>
                <w:highlight w:val="none"/>
              </w:rPr>
              <w:t>常用</w:t>
            </w:r>
            <w:r>
              <w:rPr>
                <w:rFonts w:hint="eastAsia" w:ascii="宋体" w:hAnsi="宋体" w:cs="宋体"/>
                <w:b w:val="0"/>
                <w:bCs w:val="0"/>
                <w:i w:val="0"/>
                <w:iCs w:val="0"/>
                <w:color w:val="auto"/>
                <w:szCs w:val="20"/>
                <w:highlight w:val="none"/>
                <w:lang w:val="en-US" w:eastAsia="zh-CN"/>
              </w:rPr>
              <w:t>机械</w:t>
            </w:r>
            <w:r>
              <w:rPr>
                <w:rFonts w:hint="eastAsia" w:ascii="宋体" w:hAnsi="宋体" w:cs="宋体"/>
                <w:b w:val="0"/>
                <w:bCs w:val="0"/>
                <w:i w:val="0"/>
                <w:iCs w:val="0"/>
                <w:color w:val="auto"/>
                <w:szCs w:val="22"/>
                <w:highlight w:val="none"/>
              </w:rPr>
              <w:t>设备、工具配备</w:t>
            </w:r>
            <w:r>
              <w:rPr>
                <w:rFonts w:hint="eastAsia" w:ascii="宋体" w:hAnsi="宋体" w:cs="宋体"/>
                <w:b w:val="0"/>
                <w:bCs w:val="0"/>
                <w:i w:val="0"/>
                <w:iCs w:val="0"/>
                <w:color w:val="auto"/>
                <w:szCs w:val="22"/>
                <w:highlight w:val="none"/>
                <w:lang w:val="en-US" w:eastAsia="zh-CN"/>
              </w:rPr>
              <w:t>的</w:t>
            </w:r>
            <w:r>
              <w:rPr>
                <w:rFonts w:hint="eastAsia" w:ascii="宋体" w:hAnsi="宋体" w:cs="宋体"/>
                <w:b w:val="0"/>
                <w:bCs w:val="0"/>
                <w:i w:val="0"/>
                <w:iCs w:val="0"/>
                <w:color w:val="auto"/>
                <w:szCs w:val="22"/>
                <w:highlight w:val="none"/>
              </w:rPr>
              <w:t>全面性</w:t>
            </w:r>
            <w:r>
              <w:rPr>
                <w:rFonts w:hint="eastAsia" w:ascii="宋体" w:hAnsi="宋体" w:cs="宋体"/>
                <w:b w:val="0"/>
                <w:bCs w:val="0"/>
                <w:i w:val="0"/>
                <w:iCs w:val="0"/>
                <w:color w:val="auto"/>
                <w:szCs w:val="22"/>
                <w:highlight w:val="none"/>
                <w:lang w:eastAsia="zh-CN"/>
              </w:rPr>
              <w:t>、</w:t>
            </w:r>
            <w:r>
              <w:rPr>
                <w:rFonts w:hint="eastAsia" w:ascii="宋体" w:hAnsi="宋体" w:cs="宋体"/>
                <w:b w:val="0"/>
                <w:bCs w:val="0"/>
                <w:i w:val="0"/>
                <w:iCs w:val="0"/>
                <w:color w:val="auto"/>
                <w:szCs w:val="22"/>
                <w:highlight w:val="none"/>
                <w:lang w:val="en-US" w:eastAsia="zh-CN"/>
              </w:rPr>
              <w:t>合理性、先进性、</w:t>
            </w:r>
            <w:r>
              <w:rPr>
                <w:rFonts w:hint="eastAsia" w:ascii="宋体" w:hAnsi="宋体" w:cs="宋体"/>
                <w:b w:val="0"/>
                <w:bCs w:val="0"/>
                <w:i w:val="0"/>
                <w:iCs w:val="0"/>
                <w:color w:val="auto"/>
                <w:szCs w:val="22"/>
                <w:highlight w:val="none"/>
              </w:rPr>
              <w:t>进行打分</w:t>
            </w:r>
            <w:r>
              <w:rPr>
                <w:rFonts w:hint="eastAsia" w:ascii="宋体" w:hAnsi="宋体" w:cs="宋体"/>
                <w:b w:val="0"/>
                <w:bCs w:val="0"/>
                <w:i w:val="0"/>
                <w:iCs w:val="0"/>
                <w:color w:val="auto"/>
                <w:szCs w:val="22"/>
                <w:highlight w:val="none"/>
                <w:lang w:eastAsia="zh-CN"/>
              </w:rPr>
              <w:t>：</w:t>
            </w:r>
            <w:r>
              <w:rPr>
                <w:rFonts w:hint="eastAsia" w:ascii="宋体" w:hAnsi="宋体" w:cs="宋体"/>
                <w:color w:val="auto"/>
                <w:szCs w:val="22"/>
                <w:highlight w:val="none"/>
              </w:rPr>
              <w:t>0-</w:t>
            </w:r>
            <w:r>
              <w:rPr>
                <w:rFonts w:hint="eastAsia" w:ascii="宋体" w:hAnsi="宋体" w:cs="宋体"/>
                <w:color w:val="auto"/>
                <w:szCs w:val="22"/>
                <w:highlight w:val="none"/>
                <w:lang w:val="en-US" w:eastAsia="zh-CN"/>
              </w:rPr>
              <w:t>3</w:t>
            </w:r>
            <w:r>
              <w:rPr>
                <w:rFonts w:hint="eastAsia" w:ascii="宋体" w:hAnsi="宋体" w:cs="宋体"/>
                <w:color w:val="auto"/>
                <w:szCs w:val="22"/>
                <w:highlight w:val="none"/>
              </w:rPr>
              <w:t>分。未提供不得分。</w:t>
            </w:r>
            <w:r>
              <w:rPr>
                <w:rFonts w:hint="eastAsia" w:ascii="宋体" w:hAnsi="宋体" w:cs="宋体"/>
                <w:color w:val="auto"/>
                <w:kern w:val="28"/>
                <w:szCs w:val="21"/>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71" w:type="dxa"/>
            <w:tcBorders>
              <w:lef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cs="Times New Roman"/>
                <w:color w:val="auto"/>
                <w:szCs w:val="22"/>
                <w:lang w:val="en-US" w:eastAsia="zh-CN"/>
              </w:rPr>
              <w:t>5</w:t>
            </w:r>
          </w:p>
        </w:tc>
        <w:tc>
          <w:tcPr>
            <w:tcW w:w="1620"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rPr>
            </w:pPr>
            <w:r>
              <w:rPr>
                <w:rFonts w:hint="eastAsia" w:ascii="宋体" w:hAnsi="宋体" w:cs="宋体"/>
                <w:bCs/>
                <w:color w:val="auto"/>
                <w:kern w:val="28"/>
                <w:szCs w:val="22"/>
              </w:rPr>
              <w:t>拟投入消耗品</w:t>
            </w:r>
          </w:p>
        </w:tc>
        <w:tc>
          <w:tcPr>
            <w:tcW w:w="82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rPr>
            </w:pPr>
            <w:r>
              <w:rPr>
                <w:rFonts w:hint="eastAsia" w:ascii="Arial" w:hAnsi="Arial" w:cs="Arial"/>
                <w:color w:val="auto"/>
                <w:szCs w:val="21"/>
              </w:rPr>
              <w:t>3</w:t>
            </w:r>
            <w:r>
              <w:rPr>
                <w:rFonts w:hint="eastAsia" w:ascii="宋体" w:hAnsi="宋体" w:cs="宋体"/>
                <w:bCs/>
                <w:color w:val="auto"/>
                <w:kern w:val="28"/>
                <w:szCs w:val="22"/>
              </w:rPr>
              <w:t>分</w:t>
            </w:r>
          </w:p>
        </w:tc>
        <w:tc>
          <w:tcPr>
            <w:tcW w:w="5828"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rPr>
                <w:rFonts w:hint="default" w:ascii="宋体" w:hAnsi="宋体" w:cs="宋体"/>
                <w:color w:val="auto"/>
                <w:szCs w:val="20"/>
                <w:highlight w:val="none"/>
              </w:rPr>
            </w:pPr>
            <w:r>
              <w:rPr>
                <w:rFonts w:hint="eastAsia" w:ascii="宋体" w:hAnsi="宋体" w:cs="宋体"/>
                <w:color w:val="auto"/>
                <w:szCs w:val="22"/>
                <w:highlight w:val="none"/>
              </w:rPr>
              <w:t>根据投标人拟投入本项目使用的厕纸、擦手纸、卫生间洗手液、香薰、消毒液、拖布、垃圾袋、工具等日用消耗品，根据拟投入消耗品的配置全面性、环保性、数量和质量等方面进行打分：</w:t>
            </w:r>
            <w:r>
              <w:rPr>
                <w:rFonts w:hint="eastAsia" w:ascii="Arial" w:hAnsi="Arial" w:cs="Arial"/>
                <w:color w:val="auto"/>
                <w:szCs w:val="21"/>
              </w:rPr>
              <w:t>0-3</w:t>
            </w:r>
            <w:r>
              <w:rPr>
                <w:rFonts w:hint="eastAsia" w:ascii="宋体" w:hAnsi="宋体" w:cs="宋体"/>
                <w:color w:val="auto"/>
                <w:szCs w:val="22"/>
                <w:highlight w:val="none"/>
              </w:rPr>
              <w:t>分。未提供不得分。（主观）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71" w:type="dxa"/>
            <w:tcBorders>
              <w:lef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szCs w:val="22"/>
                <w:lang w:val="en-US" w:eastAsia="zh-CN"/>
              </w:rPr>
              <w:t>6</w:t>
            </w:r>
          </w:p>
        </w:tc>
        <w:tc>
          <w:tcPr>
            <w:tcW w:w="162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bCs/>
                <w:color w:val="auto"/>
                <w:kern w:val="28"/>
                <w:szCs w:val="22"/>
              </w:rPr>
            </w:pPr>
            <w:r>
              <w:rPr>
                <w:rFonts w:hint="eastAsia" w:ascii="Calibri" w:hAnsi="Calibri" w:cs="Calibri"/>
                <w:color w:val="auto"/>
                <w:szCs w:val="21"/>
                <w:lang w:val="en-US" w:eastAsia="zh-CN"/>
              </w:rPr>
              <w:t>项目实施方案</w:t>
            </w:r>
          </w:p>
        </w:tc>
        <w:tc>
          <w:tcPr>
            <w:tcW w:w="82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bCs/>
                <w:color w:val="auto"/>
                <w:kern w:val="28"/>
                <w:szCs w:val="22"/>
              </w:rPr>
            </w:pPr>
            <w:r>
              <w:rPr>
                <w:rFonts w:hint="eastAsia" w:ascii="Arial" w:hAnsi="Arial" w:cs="Arial"/>
                <w:color w:val="auto"/>
                <w:szCs w:val="21"/>
                <w:lang w:val="en-US" w:eastAsia="zh-CN"/>
              </w:rPr>
              <w:t>7.5</w:t>
            </w:r>
            <w:r>
              <w:rPr>
                <w:rFonts w:hint="eastAsia" w:ascii="宋体" w:hAnsi="宋体" w:cs="宋体"/>
                <w:color w:val="auto"/>
                <w:szCs w:val="21"/>
              </w:rPr>
              <w:t>分</w:t>
            </w:r>
          </w:p>
        </w:tc>
        <w:tc>
          <w:tcPr>
            <w:tcW w:w="5828"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rPr>
                <w:rFonts w:hint="eastAsia" w:ascii="宋体" w:hAnsi="宋体" w:cs="宋体"/>
                <w:color w:val="auto"/>
                <w:szCs w:val="22"/>
                <w:highlight w:val="none"/>
              </w:rPr>
            </w:pPr>
            <w:r>
              <w:rPr>
                <w:rFonts w:hint="eastAsia" w:ascii="Calibri" w:hAnsi="Calibri" w:cs="Calibri"/>
                <w:color w:val="auto"/>
                <w:szCs w:val="21"/>
              </w:rPr>
              <w:t>投标人提供的</w:t>
            </w:r>
            <w:r>
              <w:rPr>
                <w:rFonts w:hint="default" w:ascii="Calibri" w:hAnsi="Calibri" w:cs="Calibri"/>
                <w:color w:val="auto"/>
                <w:szCs w:val="21"/>
              </w:rPr>
              <w:t>本项目</w:t>
            </w:r>
            <w:r>
              <w:rPr>
                <w:rFonts w:hint="eastAsia" w:ascii="Calibri" w:hAnsi="Calibri" w:cs="Calibri"/>
                <w:color w:val="auto"/>
                <w:szCs w:val="21"/>
              </w:rPr>
              <w:t>的实施方案：包括运作流程图、</w:t>
            </w:r>
            <w:r>
              <w:rPr>
                <w:rFonts w:hint="eastAsia" w:ascii="Calibri" w:hAnsi="Calibri" w:cs="Calibri"/>
                <w:color w:val="auto"/>
                <w:szCs w:val="21"/>
                <w:lang w:val="en-US" w:eastAsia="zh-CN"/>
              </w:rPr>
              <w:t>监督</w:t>
            </w:r>
            <w:r>
              <w:rPr>
                <w:rFonts w:hint="eastAsia" w:ascii="Calibri" w:hAnsi="Calibri" w:cs="Calibri"/>
                <w:color w:val="auto"/>
                <w:szCs w:val="21"/>
              </w:rPr>
              <w:t>激励机制、自我约束机制、信息反馈渠道及处理机制</w:t>
            </w:r>
            <w:r>
              <w:rPr>
                <w:rFonts w:hint="eastAsia" w:ascii="宋体" w:hAnsi="宋体" w:cs="宋体"/>
                <w:color w:val="auto"/>
                <w:szCs w:val="21"/>
                <w:lang w:val="en-US" w:eastAsia="zh-CN"/>
              </w:rPr>
              <w:t>五</w:t>
            </w:r>
            <w:r>
              <w:rPr>
                <w:rFonts w:hint="eastAsia" w:ascii="宋体" w:hAnsi="宋体" w:cs="宋体"/>
                <w:color w:val="auto"/>
                <w:szCs w:val="21"/>
              </w:rPr>
              <w:t>项内容适应本项目需求</w:t>
            </w:r>
            <w:r>
              <w:rPr>
                <w:rFonts w:hint="eastAsia" w:ascii="Calibri" w:hAnsi="Calibri" w:cs="Calibri"/>
                <w:color w:val="auto"/>
                <w:szCs w:val="21"/>
              </w:rPr>
              <w:t>，措施有效性强的</w:t>
            </w:r>
            <w:r>
              <w:rPr>
                <w:rFonts w:hint="eastAsia" w:ascii="宋体" w:hAnsi="宋体" w:cs="宋体"/>
                <w:color w:val="auto"/>
                <w:szCs w:val="21"/>
                <w:lang w:val="en-US" w:eastAsia="zh-CN"/>
              </w:rPr>
              <w:t>一项内容得</w:t>
            </w:r>
            <w:r>
              <w:rPr>
                <w:rFonts w:hint="eastAsia" w:ascii="Arial" w:hAnsi="Arial" w:cs="Arial"/>
                <w:color w:val="auto"/>
                <w:szCs w:val="21"/>
                <w:lang w:val="en-US" w:eastAsia="zh-CN"/>
              </w:rPr>
              <w:t>1.0-1.5</w:t>
            </w:r>
            <w:r>
              <w:rPr>
                <w:rFonts w:hint="eastAsia" w:ascii="宋体" w:hAnsi="宋体" w:cs="宋体"/>
                <w:color w:val="auto"/>
                <w:szCs w:val="21"/>
              </w:rPr>
              <w:t>分；方案较为简单，基本符合采购需求，措施有效性一般的得</w:t>
            </w:r>
            <w:r>
              <w:rPr>
                <w:rFonts w:hint="eastAsia" w:ascii="Arial" w:hAnsi="Arial" w:cs="Arial"/>
                <w:color w:val="auto"/>
                <w:szCs w:val="21"/>
                <w:lang w:val="en-US" w:eastAsia="zh-CN"/>
              </w:rPr>
              <w:t>0.5-0.9</w:t>
            </w:r>
            <w:r>
              <w:rPr>
                <w:rFonts w:hint="eastAsia" w:ascii="宋体" w:hAnsi="宋体" w:cs="宋体"/>
                <w:color w:val="auto"/>
                <w:szCs w:val="21"/>
              </w:rPr>
              <w:t>分；</w:t>
            </w:r>
            <w:r>
              <w:rPr>
                <w:rFonts w:hint="eastAsia" w:ascii="宋体" w:hAnsi="宋体" w:cs="宋体"/>
                <w:color w:val="auto"/>
                <w:kern w:val="28"/>
                <w:szCs w:val="21"/>
              </w:rPr>
              <w:t>不合理</w:t>
            </w:r>
            <w:r>
              <w:rPr>
                <w:rFonts w:hint="eastAsia" w:ascii="宋体" w:hAnsi="宋体" w:cs="宋体"/>
                <w:color w:val="auto"/>
                <w:szCs w:val="21"/>
              </w:rPr>
              <w:t>或者未提供方案的不得分</w:t>
            </w:r>
            <w:r>
              <w:rPr>
                <w:rFonts w:hint="eastAsia" w:ascii="宋体" w:hAnsi="宋体" w:cs="宋体"/>
                <w:color w:val="auto"/>
                <w:kern w:val="28"/>
                <w:szCs w:val="21"/>
              </w:rPr>
              <w:t>。</w:t>
            </w:r>
            <w:r>
              <w:rPr>
                <w:rFonts w:hint="eastAsia" w:ascii="宋体" w:hAnsi="宋体" w:cs="宋体"/>
                <w:color w:val="auto"/>
                <w:kern w:val="28"/>
                <w:szCs w:val="21"/>
                <w:lang w:val="en-US" w:eastAsia="zh-CN"/>
              </w:rPr>
              <w:t>此项最高得</w:t>
            </w:r>
            <w:r>
              <w:rPr>
                <w:rFonts w:hint="eastAsia" w:ascii="Arial" w:hAnsi="Arial" w:cs="Arial"/>
                <w:color w:val="auto"/>
                <w:szCs w:val="21"/>
                <w:lang w:val="en-US" w:eastAsia="zh-CN"/>
              </w:rPr>
              <w:t>7.5</w:t>
            </w:r>
            <w:r>
              <w:rPr>
                <w:rFonts w:hint="eastAsia" w:ascii="宋体" w:hAnsi="宋体" w:cs="宋体"/>
                <w:color w:val="auto"/>
                <w:kern w:val="28"/>
                <w:szCs w:val="21"/>
                <w:lang w:val="en-US" w:eastAsia="zh-CN"/>
              </w:rPr>
              <w:t>分。</w:t>
            </w:r>
            <w:r>
              <w:rPr>
                <w:rFonts w:hint="eastAsia" w:ascii="宋体" w:hAnsi="宋体" w:cs="宋体"/>
                <w:color w:val="auto"/>
                <w:kern w:val="28"/>
                <w:szCs w:val="21"/>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71" w:type="dxa"/>
            <w:tcBorders>
              <w:lef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szCs w:val="22"/>
                <w:lang w:val="en-US" w:eastAsia="zh-CN"/>
              </w:rPr>
              <w:t>7</w:t>
            </w:r>
          </w:p>
        </w:tc>
        <w:tc>
          <w:tcPr>
            <w:tcW w:w="1620"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eastAsia" w:ascii="宋体" w:hAnsi="宋体" w:cs="宋体"/>
                <w:bCs/>
                <w:color w:val="auto"/>
                <w:kern w:val="28"/>
                <w:szCs w:val="22"/>
              </w:rPr>
            </w:pPr>
          </w:p>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rPr>
            </w:pPr>
            <w:r>
              <w:rPr>
                <w:rFonts w:hint="eastAsia" w:ascii="宋体" w:hAnsi="宋体" w:cs="宋体"/>
                <w:bCs/>
                <w:color w:val="auto"/>
                <w:kern w:val="28"/>
                <w:szCs w:val="22"/>
              </w:rPr>
              <w:t>管理服务方案</w:t>
            </w:r>
          </w:p>
        </w:tc>
        <w:tc>
          <w:tcPr>
            <w:tcW w:w="82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highlight w:val="none"/>
              </w:rPr>
            </w:pPr>
            <w:r>
              <w:rPr>
                <w:rFonts w:hint="eastAsia" w:ascii="Arial" w:hAnsi="Arial" w:cs="Arial"/>
                <w:color w:val="auto"/>
                <w:szCs w:val="21"/>
                <w:highlight w:val="none"/>
                <w:lang w:val="en-US" w:eastAsia="zh-CN"/>
              </w:rPr>
              <w:t>7</w:t>
            </w:r>
            <w:r>
              <w:rPr>
                <w:rFonts w:hint="eastAsia" w:ascii="宋体" w:hAnsi="宋体" w:cs="宋体"/>
                <w:bCs/>
                <w:color w:val="auto"/>
                <w:kern w:val="28"/>
                <w:szCs w:val="22"/>
                <w:highlight w:val="none"/>
              </w:rPr>
              <w:t>分</w:t>
            </w:r>
          </w:p>
        </w:tc>
        <w:tc>
          <w:tcPr>
            <w:tcW w:w="5828"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84" w:rightChars="-40"/>
              <w:jc w:val="both"/>
              <w:rPr>
                <w:rFonts w:hint="default" w:ascii="Calibri" w:hAnsi="Calibri" w:cs="Calibri"/>
                <w:color w:val="auto"/>
                <w:szCs w:val="21"/>
                <w:highlight w:val="none"/>
              </w:rPr>
            </w:pPr>
            <w:r>
              <w:rPr>
                <w:rFonts w:hint="eastAsia" w:ascii="宋体" w:hAnsi="宋体" w:cs="宋体"/>
                <w:b/>
                <w:bCs/>
                <w:color w:val="auto"/>
                <w:szCs w:val="21"/>
                <w:highlight w:val="none"/>
              </w:rPr>
              <w:t>1、秩序维护、消防监控管理方案：</w:t>
            </w:r>
            <w:r>
              <w:rPr>
                <w:rFonts w:hint="eastAsia" w:ascii="宋体" w:hAnsi="宋体" w:cs="宋体"/>
                <w:color w:val="auto"/>
                <w:szCs w:val="21"/>
                <w:highlight w:val="none"/>
              </w:rPr>
              <w:t>根据投标人提供的立岗值班计划</w:t>
            </w:r>
            <w:r>
              <w:rPr>
                <w:rFonts w:hint="eastAsia" w:ascii="宋体" w:hAnsi="宋体" w:cs="宋体"/>
                <w:color w:val="auto"/>
                <w:szCs w:val="21"/>
                <w:highlight w:val="none"/>
                <w:lang w:eastAsia="zh-CN"/>
              </w:rPr>
              <w:t>、</w:t>
            </w:r>
            <w:r>
              <w:rPr>
                <w:rFonts w:hint="eastAsia" w:ascii="宋体" w:hAnsi="宋体" w:cs="宋体"/>
                <w:color w:val="auto"/>
                <w:szCs w:val="21"/>
                <w:highlight w:val="none"/>
              </w:rPr>
              <w:t>治安巡逻检查</w:t>
            </w:r>
            <w:r>
              <w:rPr>
                <w:rFonts w:hint="eastAsia" w:ascii="宋体" w:hAnsi="宋体" w:cs="宋体"/>
                <w:color w:val="auto"/>
                <w:szCs w:val="21"/>
                <w:highlight w:val="none"/>
                <w:lang w:eastAsia="zh-CN"/>
              </w:rPr>
              <w:t>、</w:t>
            </w:r>
            <w:r>
              <w:rPr>
                <w:rFonts w:hint="eastAsia" w:ascii="宋体" w:hAnsi="宋体" w:cs="宋体"/>
                <w:color w:val="auto"/>
                <w:szCs w:val="21"/>
                <w:highlight w:val="none"/>
              </w:rPr>
              <w:t>停车管理</w:t>
            </w:r>
            <w:r>
              <w:rPr>
                <w:rFonts w:hint="eastAsia" w:ascii="宋体" w:hAnsi="宋体" w:cs="宋体"/>
                <w:color w:val="auto"/>
                <w:szCs w:val="21"/>
                <w:highlight w:val="none"/>
                <w:lang w:eastAsia="zh-CN"/>
              </w:rPr>
              <w:t>、</w:t>
            </w:r>
            <w:r>
              <w:rPr>
                <w:rFonts w:hint="eastAsia" w:ascii="宋体" w:hAnsi="宋体" w:cs="宋体"/>
                <w:color w:val="auto"/>
                <w:szCs w:val="21"/>
                <w:highlight w:val="none"/>
              </w:rPr>
              <w:t>消控室值班管理</w:t>
            </w:r>
            <w:r>
              <w:rPr>
                <w:rFonts w:hint="eastAsia" w:ascii="宋体" w:hAnsi="宋体" w:cs="宋体"/>
                <w:color w:val="auto"/>
                <w:szCs w:val="21"/>
                <w:highlight w:val="none"/>
                <w:lang w:eastAsia="zh-CN"/>
              </w:rPr>
              <w:t>、</w:t>
            </w:r>
            <w:r>
              <w:rPr>
                <w:rFonts w:hint="eastAsia" w:ascii="宋体" w:hAnsi="宋体" w:cs="宋体"/>
                <w:color w:val="auto"/>
                <w:szCs w:val="21"/>
                <w:highlight w:val="none"/>
              </w:rPr>
              <w:t>消防安全</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人民广场保安管理和安检工作七</w:t>
            </w:r>
            <w:r>
              <w:rPr>
                <w:rFonts w:hint="eastAsia" w:ascii="宋体" w:hAnsi="宋体" w:cs="宋体"/>
                <w:color w:val="auto"/>
                <w:szCs w:val="21"/>
                <w:highlight w:val="none"/>
              </w:rPr>
              <w:t>项内容，能根据项目实际情况设计，满足采购需求中的服务标准和要求的，一项内容得</w:t>
            </w:r>
            <w:r>
              <w:rPr>
                <w:rFonts w:hint="eastAsia" w:ascii="Arial" w:hAnsi="Arial" w:cs="Arial"/>
                <w:color w:val="auto"/>
                <w:szCs w:val="21"/>
                <w:highlight w:val="none"/>
                <w:lang w:val="en-US" w:eastAsia="zh-CN"/>
              </w:rPr>
              <w:t>0.6-1.0</w:t>
            </w:r>
            <w:r>
              <w:rPr>
                <w:rFonts w:hint="eastAsia" w:ascii="宋体" w:hAnsi="宋体" w:cs="宋体"/>
                <w:color w:val="auto"/>
                <w:szCs w:val="21"/>
                <w:highlight w:val="none"/>
              </w:rPr>
              <w:t>分；方案较为简单，基本符合采购需求的，一项内容得</w:t>
            </w:r>
            <w:r>
              <w:rPr>
                <w:rFonts w:hint="eastAsia" w:ascii="Arial" w:hAnsi="Arial" w:cs="Arial"/>
                <w:color w:val="auto"/>
                <w:szCs w:val="21"/>
                <w:highlight w:val="none"/>
                <w:lang w:val="en-US" w:eastAsia="zh-CN"/>
              </w:rPr>
              <w:t>0.2-0.5</w:t>
            </w:r>
            <w:r>
              <w:rPr>
                <w:rFonts w:hint="eastAsia" w:ascii="宋体" w:hAnsi="宋体" w:cs="宋体"/>
                <w:color w:val="auto"/>
                <w:szCs w:val="21"/>
                <w:highlight w:val="none"/>
              </w:rPr>
              <w:t>分；</w:t>
            </w:r>
            <w:r>
              <w:rPr>
                <w:rFonts w:hint="eastAsia" w:ascii="宋体" w:hAnsi="宋体" w:cs="宋体"/>
                <w:color w:val="auto"/>
                <w:kern w:val="28"/>
                <w:szCs w:val="21"/>
                <w:highlight w:val="none"/>
              </w:rPr>
              <w:t>不符合采购需求</w:t>
            </w:r>
            <w:r>
              <w:rPr>
                <w:rFonts w:hint="eastAsia" w:ascii="宋体" w:hAnsi="宋体" w:cs="宋体"/>
                <w:color w:val="auto"/>
                <w:szCs w:val="21"/>
                <w:highlight w:val="none"/>
              </w:rPr>
              <w:t>或者未提供相应内容的不得分</w:t>
            </w:r>
            <w:r>
              <w:rPr>
                <w:rFonts w:hint="eastAsia" w:ascii="宋体" w:hAnsi="宋体" w:cs="宋体"/>
                <w:color w:val="auto"/>
                <w:kern w:val="28"/>
                <w:szCs w:val="21"/>
                <w:highlight w:val="none"/>
              </w:rPr>
              <w:t>。此项最高得</w:t>
            </w:r>
            <w:r>
              <w:rPr>
                <w:rFonts w:hint="eastAsia" w:ascii="Arial" w:hAnsi="Arial" w:cs="Arial"/>
                <w:color w:val="auto"/>
                <w:szCs w:val="21"/>
                <w:highlight w:val="none"/>
                <w:lang w:val="en-US" w:eastAsia="zh-CN"/>
              </w:rPr>
              <w:t>7.0</w:t>
            </w:r>
            <w:r>
              <w:rPr>
                <w:rFonts w:hint="eastAsia" w:ascii="宋体" w:hAnsi="宋体" w:cs="宋体"/>
                <w:color w:val="auto"/>
                <w:kern w:val="28"/>
                <w:szCs w:val="21"/>
                <w:highlight w:val="none"/>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2" w:hRule="atLeast"/>
        </w:trPr>
        <w:tc>
          <w:tcPr>
            <w:tcW w:w="771" w:type="dxa"/>
            <w:tcBorders>
              <w:lef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szCs w:val="22"/>
                <w:lang w:val="en-US" w:eastAsia="zh-CN"/>
              </w:rPr>
              <w:t>8</w:t>
            </w:r>
          </w:p>
        </w:tc>
        <w:tc>
          <w:tcPr>
            <w:tcW w:w="162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rPr>
            </w:pPr>
          </w:p>
        </w:tc>
        <w:tc>
          <w:tcPr>
            <w:tcW w:w="82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highlight w:val="red"/>
              </w:rPr>
            </w:pPr>
            <w:r>
              <w:rPr>
                <w:rFonts w:hint="eastAsia" w:ascii="Arial" w:hAnsi="Arial" w:cs="Arial"/>
                <w:color w:val="auto"/>
                <w:szCs w:val="21"/>
                <w:highlight w:val="none"/>
                <w:lang w:val="en-US" w:eastAsia="zh-CN"/>
              </w:rPr>
              <w:t>9</w:t>
            </w:r>
            <w:r>
              <w:rPr>
                <w:rFonts w:hint="eastAsia" w:ascii="宋体" w:hAnsi="宋体" w:cs="宋体"/>
                <w:bCs/>
                <w:color w:val="auto"/>
                <w:kern w:val="28"/>
                <w:szCs w:val="22"/>
                <w:highlight w:val="none"/>
              </w:rPr>
              <w:t>分</w:t>
            </w:r>
          </w:p>
        </w:tc>
        <w:tc>
          <w:tcPr>
            <w:tcW w:w="5828" w:type="dxa"/>
            <w:tcBorders>
              <w:top w:val="single" w:color="auto" w:sz="4" w:space="0"/>
              <w:bottom w:val="single" w:color="auto" w:sz="4" w:space="0"/>
            </w:tcBorders>
            <w:noWrap w:val="0"/>
            <w:vAlign w:val="center"/>
          </w:tcPr>
          <w:p>
            <w:pPr>
              <w:keepNext w:val="0"/>
              <w:keepLines w:val="0"/>
              <w:widowControl/>
              <w:numPr>
                <w:ilvl w:val="0"/>
                <w:numId w:val="77"/>
              </w:numPr>
              <w:suppressLineNumbers w:val="0"/>
              <w:snapToGrid w:val="0"/>
              <w:spacing w:before="0" w:beforeAutospacing="0" w:after="0" w:afterAutospacing="0" w:line="360" w:lineRule="auto"/>
              <w:ind w:left="0" w:right="-84" w:rightChars="-40"/>
              <w:jc w:val="both"/>
              <w:rPr>
                <w:rFonts w:hint="eastAsia" w:ascii="Times New Roman" w:hAnsi="Times New Roman" w:cs="Times New Roman"/>
                <w:b/>
                <w:bCs/>
                <w:color w:val="auto"/>
                <w:szCs w:val="20"/>
              </w:rPr>
            </w:pPr>
            <w:r>
              <w:rPr>
                <w:rFonts w:hint="eastAsia" w:ascii="Times New Roman" w:hAnsi="Times New Roman" w:cs="Times New Roman"/>
                <w:b/>
                <w:bCs/>
                <w:color w:val="auto"/>
                <w:szCs w:val="20"/>
              </w:rPr>
              <w:t>环境卫生管理方案：</w:t>
            </w:r>
          </w:p>
          <w:p>
            <w:pPr>
              <w:keepNext w:val="0"/>
              <w:keepLines w:val="0"/>
              <w:widowControl/>
              <w:numPr>
                <w:ilvl w:val="0"/>
                <w:numId w:val="78"/>
              </w:numPr>
              <w:suppressLineNumbers w:val="0"/>
              <w:snapToGrid w:val="0"/>
              <w:spacing w:before="0" w:beforeAutospacing="0" w:after="0" w:afterAutospacing="0" w:line="360" w:lineRule="auto"/>
              <w:ind w:left="0" w:right="-84" w:rightChars="-40"/>
              <w:jc w:val="both"/>
              <w:rPr>
                <w:rFonts w:hint="eastAsia" w:ascii="Times New Roman" w:hAnsi="Times New Roman" w:cs="Times New Roman"/>
                <w:color w:val="auto"/>
                <w:szCs w:val="20"/>
                <w:highlight w:val="none"/>
                <w:lang w:val="en-US" w:eastAsia="zh-CN"/>
              </w:rPr>
            </w:pPr>
            <w:r>
              <w:rPr>
                <w:rFonts w:hint="eastAsia" w:ascii="Times New Roman" w:hAnsi="Times New Roman" w:cs="Times New Roman"/>
                <w:color w:val="auto"/>
                <w:szCs w:val="20"/>
                <w:highlight w:val="none"/>
                <w:lang w:val="en-US" w:eastAsia="zh-CN"/>
              </w:rPr>
              <w:t>根据投标人提供的垃圾分类管理的方案，包括垃圾分类的工作流程、垃圾收集方法、处理方式，</w:t>
            </w:r>
            <w:r>
              <w:rPr>
                <w:rFonts w:hint="eastAsia" w:ascii="Times New Roman" w:hAnsi="Times New Roman" w:cs="Times New Roman"/>
                <w:color w:val="auto"/>
                <w:szCs w:val="20"/>
                <w:highlight w:val="none"/>
              </w:rPr>
              <w:t>满足采购需求</w:t>
            </w:r>
            <w:r>
              <w:rPr>
                <w:rFonts w:hint="eastAsia" w:ascii="Times New Roman" w:hAnsi="Times New Roman" w:cs="Times New Roman"/>
                <w:color w:val="auto"/>
                <w:szCs w:val="20"/>
                <w:highlight w:val="none"/>
                <w:lang w:eastAsia="zh-CN"/>
              </w:rPr>
              <w:t>、</w:t>
            </w:r>
            <w:r>
              <w:rPr>
                <w:rFonts w:hint="eastAsia" w:ascii="Times New Roman" w:hAnsi="Times New Roman" w:cs="Times New Roman"/>
                <w:color w:val="auto"/>
                <w:szCs w:val="20"/>
                <w:highlight w:val="none"/>
                <w:lang w:val="en-US" w:eastAsia="zh-CN"/>
              </w:rPr>
              <w:t>科学操作性强的</w:t>
            </w:r>
            <w:r>
              <w:rPr>
                <w:rFonts w:hint="eastAsia" w:ascii="Times New Roman" w:hAnsi="Times New Roman" w:cs="Times New Roman"/>
                <w:color w:val="auto"/>
                <w:szCs w:val="20"/>
                <w:highlight w:val="none"/>
              </w:rPr>
              <w:t>，一项内容得</w:t>
            </w:r>
            <w:r>
              <w:rPr>
                <w:rFonts w:hint="eastAsia" w:ascii="Arial" w:hAnsi="Arial" w:cs="Arial"/>
                <w:color w:val="auto"/>
                <w:szCs w:val="21"/>
                <w:highlight w:val="none"/>
                <w:lang w:val="en-US" w:eastAsia="zh-CN"/>
              </w:rPr>
              <w:t>1.0-</w:t>
            </w:r>
            <w:r>
              <w:rPr>
                <w:rFonts w:hint="eastAsia" w:ascii="Arial" w:hAnsi="Arial" w:cs="Arial"/>
                <w:color w:val="auto"/>
                <w:szCs w:val="21"/>
                <w:highlight w:val="none"/>
              </w:rPr>
              <w:t>1</w:t>
            </w:r>
            <w:r>
              <w:rPr>
                <w:rFonts w:hint="eastAsia" w:ascii="Arial" w:hAnsi="Arial" w:cs="Arial"/>
                <w:color w:val="auto"/>
                <w:szCs w:val="21"/>
                <w:highlight w:val="none"/>
                <w:lang w:val="en-US" w:eastAsia="zh-CN"/>
              </w:rPr>
              <w:t>.5</w:t>
            </w:r>
            <w:r>
              <w:rPr>
                <w:rFonts w:hint="eastAsia" w:ascii="Times New Roman" w:hAnsi="Times New Roman" w:cs="Times New Roman"/>
                <w:color w:val="auto"/>
                <w:szCs w:val="20"/>
                <w:highlight w:val="none"/>
              </w:rPr>
              <w:t>分；方案较为简单，基本符合采购需求的，一项内容得</w:t>
            </w:r>
            <w:r>
              <w:rPr>
                <w:rFonts w:hint="eastAsia" w:ascii="Arial" w:hAnsi="Arial" w:cs="Arial"/>
                <w:color w:val="auto"/>
                <w:szCs w:val="21"/>
                <w:lang w:val="en-US" w:eastAsia="zh-CN"/>
              </w:rPr>
              <w:t>0.5-0.9</w:t>
            </w:r>
            <w:r>
              <w:rPr>
                <w:rFonts w:hint="eastAsia" w:ascii="Times New Roman" w:hAnsi="Times New Roman" w:cs="Times New Roman"/>
                <w:color w:val="auto"/>
                <w:szCs w:val="20"/>
                <w:highlight w:val="none"/>
              </w:rPr>
              <w:t>分；不符合采购需求或者未提供相应内容的不得分。此项最高得</w:t>
            </w:r>
            <w:r>
              <w:rPr>
                <w:rFonts w:hint="eastAsia" w:ascii="Arial" w:hAnsi="Arial" w:cs="Arial"/>
                <w:color w:val="auto"/>
                <w:szCs w:val="21"/>
                <w:lang w:val="en-US" w:eastAsia="zh-CN"/>
              </w:rPr>
              <w:t>4.5</w:t>
            </w:r>
            <w:r>
              <w:rPr>
                <w:rFonts w:hint="eastAsia" w:ascii="Times New Roman" w:hAnsi="Times New Roman" w:cs="Times New Roman"/>
                <w:color w:val="auto"/>
                <w:szCs w:val="20"/>
                <w:highlight w:val="none"/>
              </w:rPr>
              <w:t>分。</w:t>
            </w:r>
          </w:p>
          <w:p>
            <w:pPr>
              <w:keepNext w:val="0"/>
              <w:keepLines w:val="0"/>
              <w:widowControl/>
              <w:numPr>
                <w:ilvl w:val="0"/>
                <w:numId w:val="78"/>
              </w:numPr>
              <w:suppressLineNumbers w:val="0"/>
              <w:snapToGrid w:val="0"/>
              <w:spacing w:before="0" w:beforeAutospacing="0" w:after="0" w:afterAutospacing="0" w:line="360" w:lineRule="auto"/>
              <w:ind w:left="0" w:right="-84" w:rightChars="-40"/>
              <w:jc w:val="both"/>
              <w:rPr>
                <w:rFonts w:hint="default" w:ascii="Times New Roman" w:hAnsi="Times New Roman" w:cs="Times New Roman"/>
                <w:color w:val="auto"/>
                <w:szCs w:val="20"/>
              </w:rPr>
            </w:pPr>
            <w:r>
              <w:rPr>
                <w:rFonts w:hint="eastAsia" w:ascii="Times New Roman" w:hAnsi="Times New Roman" w:cs="Times New Roman"/>
                <w:color w:val="auto"/>
                <w:szCs w:val="20"/>
                <w:highlight w:val="none"/>
              </w:rPr>
              <w:t>根据投标人提供的公共场地及设施的日常保洁保养、垃圾清运、灭“四害”消杀</w:t>
            </w:r>
            <w:r>
              <w:rPr>
                <w:rFonts w:hint="eastAsia" w:ascii="Times New Roman" w:hAnsi="Times New Roman" w:cs="Times New Roman"/>
                <w:color w:val="auto"/>
                <w:szCs w:val="20"/>
                <w:highlight w:val="none"/>
                <w:lang w:val="en-US" w:eastAsia="zh-CN"/>
              </w:rPr>
              <w:t>三</w:t>
            </w:r>
            <w:r>
              <w:rPr>
                <w:rFonts w:hint="eastAsia" w:ascii="Times New Roman" w:hAnsi="Times New Roman" w:cs="Times New Roman"/>
                <w:color w:val="auto"/>
                <w:szCs w:val="20"/>
                <w:highlight w:val="none"/>
              </w:rPr>
              <w:t>项工作内容，能根据项目实际情况设计，满足采购需求中的服务标准和要求的，一项内容得</w:t>
            </w:r>
            <w:r>
              <w:rPr>
                <w:rFonts w:hint="eastAsia" w:ascii="Arial" w:hAnsi="Arial" w:cs="Arial"/>
                <w:color w:val="auto"/>
                <w:szCs w:val="21"/>
                <w:highlight w:val="none"/>
                <w:lang w:val="en-US" w:eastAsia="zh-CN"/>
              </w:rPr>
              <w:t>1.0-</w:t>
            </w:r>
            <w:r>
              <w:rPr>
                <w:rFonts w:hint="eastAsia" w:ascii="Arial" w:hAnsi="Arial" w:cs="Arial"/>
                <w:color w:val="auto"/>
                <w:szCs w:val="21"/>
                <w:highlight w:val="none"/>
              </w:rPr>
              <w:t>1</w:t>
            </w:r>
            <w:r>
              <w:rPr>
                <w:rFonts w:hint="eastAsia" w:ascii="Arial" w:hAnsi="Arial" w:cs="Arial"/>
                <w:color w:val="auto"/>
                <w:szCs w:val="21"/>
                <w:highlight w:val="none"/>
                <w:lang w:val="en-US" w:eastAsia="zh-CN"/>
              </w:rPr>
              <w:t>.5</w:t>
            </w:r>
            <w:r>
              <w:rPr>
                <w:rFonts w:hint="eastAsia" w:ascii="Times New Roman" w:hAnsi="Times New Roman" w:cs="Times New Roman"/>
                <w:color w:val="auto"/>
                <w:szCs w:val="20"/>
                <w:highlight w:val="none"/>
              </w:rPr>
              <w:t>分；方案较为简单，基本符合采购需求的，一项内容得</w:t>
            </w:r>
            <w:r>
              <w:rPr>
                <w:rFonts w:hint="eastAsia" w:ascii="Arial" w:hAnsi="Arial" w:cs="Arial"/>
                <w:color w:val="auto"/>
                <w:szCs w:val="21"/>
                <w:highlight w:val="none"/>
                <w:lang w:val="en-US" w:eastAsia="zh-CN"/>
              </w:rPr>
              <w:t>0.5-0.9</w:t>
            </w:r>
            <w:r>
              <w:rPr>
                <w:rFonts w:hint="eastAsia" w:ascii="Times New Roman" w:hAnsi="Times New Roman" w:cs="Times New Roman"/>
                <w:color w:val="auto"/>
                <w:szCs w:val="20"/>
                <w:highlight w:val="none"/>
              </w:rPr>
              <w:t>分；不符合采购需求或者未提供相应内容的不得分。此项最高得</w:t>
            </w:r>
            <w:r>
              <w:rPr>
                <w:rFonts w:hint="eastAsia" w:ascii="Arial" w:hAnsi="Arial" w:cs="Arial"/>
                <w:color w:val="auto"/>
                <w:szCs w:val="21"/>
                <w:lang w:val="en-US" w:eastAsia="zh-CN"/>
              </w:rPr>
              <w:t>4.5</w:t>
            </w:r>
            <w:r>
              <w:rPr>
                <w:rFonts w:hint="eastAsia" w:ascii="Times New Roman" w:hAnsi="Times New Roman" w:cs="Times New Roman"/>
                <w:color w:val="auto"/>
                <w:szCs w:val="20"/>
                <w:highlight w:val="none"/>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71" w:type="dxa"/>
            <w:tcBorders>
              <w:lef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szCs w:val="22"/>
                <w:lang w:val="en-US" w:eastAsia="zh-CN"/>
              </w:rPr>
              <w:t>9</w:t>
            </w:r>
          </w:p>
        </w:tc>
        <w:tc>
          <w:tcPr>
            <w:tcW w:w="162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rPr>
            </w:pPr>
          </w:p>
        </w:tc>
        <w:tc>
          <w:tcPr>
            <w:tcW w:w="82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rPr>
            </w:pPr>
            <w:r>
              <w:rPr>
                <w:rFonts w:hint="eastAsia" w:ascii="Arial" w:hAnsi="Arial" w:cs="Arial"/>
                <w:color w:val="auto"/>
                <w:szCs w:val="21"/>
                <w:lang w:val="en-US" w:eastAsia="zh-CN"/>
              </w:rPr>
              <w:t>4.5</w:t>
            </w:r>
            <w:r>
              <w:rPr>
                <w:rFonts w:hint="eastAsia" w:ascii="宋体" w:hAnsi="宋体" w:cs="宋体"/>
                <w:bCs/>
                <w:color w:val="auto"/>
                <w:kern w:val="28"/>
                <w:szCs w:val="22"/>
                <w:highlight w:val="none"/>
              </w:rPr>
              <w:t>分</w:t>
            </w:r>
          </w:p>
        </w:tc>
        <w:tc>
          <w:tcPr>
            <w:tcW w:w="5828"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84" w:rightChars="-40"/>
              <w:jc w:val="both"/>
              <w:rPr>
                <w:rFonts w:hint="default" w:ascii="宋体" w:hAnsi="宋体" w:cs="宋体"/>
                <w:b/>
                <w:bCs/>
                <w:color w:val="auto"/>
                <w:szCs w:val="21"/>
              </w:rPr>
            </w:pPr>
            <w:r>
              <w:rPr>
                <w:rFonts w:hint="eastAsia" w:ascii="宋体" w:hAnsi="宋体" w:cs="宋体"/>
                <w:b/>
                <w:bCs/>
                <w:color w:val="auto"/>
                <w:szCs w:val="21"/>
              </w:rPr>
              <w:t>3、</w:t>
            </w:r>
            <w:r>
              <w:rPr>
                <w:rFonts w:hint="eastAsia" w:ascii="宋体" w:hAnsi="宋体" w:cs="宋体"/>
                <w:b/>
                <w:bCs/>
                <w:color w:val="auto"/>
                <w:szCs w:val="21"/>
                <w:lang w:val="en-US" w:eastAsia="zh-CN"/>
              </w:rPr>
              <w:t>会务服务</w:t>
            </w:r>
            <w:r>
              <w:rPr>
                <w:rFonts w:hint="eastAsia" w:ascii="宋体" w:hAnsi="宋体" w:cs="宋体"/>
                <w:b/>
                <w:bCs/>
                <w:color w:val="auto"/>
                <w:szCs w:val="21"/>
              </w:rPr>
              <w:t>方案：</w:t>
            </w:r>
            <w:r>
              <w:rPr>
                <w:rFonts w:hint="eastAsia" w:ascii="宋体" w:hAnsi="宋体" w:cs="宋体"/>
                <w:color w:val="auto"/>
                <w:szCs w:val="21"/>
              </w:rPr>
              <w:t>根据投标人提供的</w:t>
            </w:r>
            <w:r>
              <w:rPr>
                <w:rFonts w:hint="eastAsia" w:ascii="宋体" w:hAnsi="宋体" w:cs="宋体"/>
                <w:color w:val="auto"/>
                <w:szCs w:val="21"/>
                <w:lang w:val="en-US" w:eastAsia="zh-CN"/>
              </w:rPr>
              <w:t>日常会务服务、应急会议服务、调音服务三</w:t>
            </w:r>
            <w:r>
              <w:rPr>
                <w:rFonts w:hint="eastAsia" w:ascii="宋体" w:hAnsi="宋体" w:cs="宋体"/>
                <w:color w:val="auto"/>
                <w:szCs w:val="21"/>
              </w:rPr>
              <w:t>项内容，能根据项目实际情况设计，满足采购需求中的服务标准和要求的，一项内容得</w:t>
            </w:r>
            <w:r>
              <w:rPr>
                <w:rFonts w:hint="eastAsia" w:ascii="Arial" w:hAnsi="Arial" w:cs="Arial"/>
                <w:color w:val="auto"/>
                <w:szCs w:val="21"/>
                <w:lang w:val="en-US" w:eastAsia="zh-CN"/>
              </w:rPr>
              <w:t>1.0-1.5</w:t>
            </w:r>
            <w:r>
              <w:rPr>
                <w:rFonts w:hint="eastAsia" w:ascii="宋体" w:hAnsi="宋体" w:cs="宋体"/>
                <w:color w:val="auto"/>
                <w:szCs w:val="21"/>
              </w:rPr>
              <w:t>分；方案较为简单，基本符合采购需求的，一项内容得</w:t>
            </w:r>
            <w:r>
              <w:rPr>
                <w:rFonts w:hint="eastAsia" w:ascii="Arial" w:hAnsi="Arial" w:cs="Arial"/>
                <w:color w:val="auto"/>
                <w:szCs w:val="21"/>
                <w:lang w:val="en-US" w:eastAsia="zh-CN"/>
              </w:rPr>
              <w:t>0.5-0.9</w:t>
            </w:r>
            <w:r>
              <w:rPr>
                <w:rFonts w:hint="eastAsia" w:ascii="宋体" w:hAnsi="宋体" w:cs="宋体"/>
                <w:color w:val="auto"/>
                <w:szCs w:val="21"/>
              </w:rPr>
              <w:t>分；</w:t>
            </w:r>
            <w:r>
              <w:rPr>
                <w:rFonts w:hint="eastAsia" w:ascii="宋体" w:hAnsi="宋体" w:cs="宋体"/>
                <w:color w:val="auto"/>
                <w:kern w:val="28"/>
                <w:szCs w:val="21"/>
              </w:rPr>
              <w:t>不符合采购需求</w:t>
            </w:r>
            <w:r>
              <w:rPr>
                <w:rFonts w:hint="eastAsia" w:ascii="宋体" w:hAnsi="宋体" w:cs="宋体"/>
                <w:color w:val="auto"/>
                <w:szCs w:val="21"/>
              </w:rPr>
              <w:t>或者未提供相应内容的不得分</w:t>
            </w:r>
            <w:r>
              <w:rPr>
                <w:rFonts w:hint="eastAsia" w:ascii="宋体" w:hAnsi="宋体" w:cs="宋体"/>
                <w:color w:val="auto"/>
                <w:kern w:val="28"/>
                <w:szCs w:val="21"/>
              </w:rPr>
              <w:t>。此项最高得</w:t>
            </w:r>
            <w:r>
              <w:rPr>
                <w:rFonts w:hint="eastAsia" w:ascii="Arial" w:hAnsi="Arial" w:cs="Arial"/>
                <w:color w:val="auto"/>
                <w:szCs w:val="21"/>
                <w:lang w:val="en-US" w:eastAsia="zh-CN"/>
              </w:rPr>
              <w:t>4.5</w:t>
            </w:r>
            <w:r>
              <w:rPr>
                <w:rFonts w:hint="eastAsia" w:ascii="宋体" w:hAnsi="宋体" w:cs="宋体"/>
                <w:color w:val="auto"/>
                <w:kern w:val="28"/>
                <w:szCs w:val="21"/>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71" w:type="dxa"/>
            <w:tcBorders>
              <w:lef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cs="Times New Roman"/>
                <w:color w:val="auto"/>
                <w:szCs w:val="22"/>
              </w:rPr>
              <w:t>1</w:t>
            </w:r>
            <w:r>
              <w:rPr>
                <w:rFonts w:hint="eastAsia" w:ascii="Times New Roman" w:hAnsi="Times New Roman" w:cs="Times New Roman"/>
                <w:color w:val="auto"/>
                <w:szCs w:val="22"/>
                <w:lang w:val="en-US" w:eastAsia="zh-CN"/>
              </w:rPr>
              <w:t>0</w:t>
            </w:r>
          </w:p>
        </w:tc>
        <w:tc>
          <w:tcPr>
            <w:tcW w:w="162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rPr>
            </w:pPr>
          </w:p>
        </w:tc>
        <w:tc>
          <w:tcPr>
            <w:tcW w:w="82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highlight w:val="none"/>
              </w:rPr>
            </w:pPr>
            <w:r>
              <w:rPr>
                <w:rFonts w:hint="eastAsia" w:ascii="Arial" w:hAnsi="Arial" w:cs="Arial"/>
                <w:color w:val="auto"/>
                <w:szCs w:val="21"/>
                <w:highlight w:val="none"/>
                <w:lang w:val="en-US" w:eastAsia="zh-CN"/>
              </w:rPr>
              <w:t>9</w:t>
            </w:r>
            <w:r>
              <w:rPr>
                <w:rFonts w:hint="eastAsia" w:ascii="宋体" w:hAnsi="宋体" w:cs="宋体"/>
                <w:bCs/>
                <w:color w:val="auto"/>
                <w:kern w:val="28"/>
                <w:szCs w:val="22"/>
                <w:highlight w:val="none"/>
              </w:rPr>
              <w:t>分</w:t>
            </w:r>
          </w:p>
        </w:tc>
        <w:tc>
          <w:tcPr>
            <w:tcW w:w="5828"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84" w:rightChars="-40"/>
              <w:jc w:val="both"/>
              <w:rPr>
                <w:rFonts w:hint="default" w:ascii="宋体" w:hAnsi="宋体" w:cs="宋体"/>
                <w:b/>
                <w:bCs/>
                <w:color w:val="auto"/>
                <w:szCs w:val="21"/>
                <w:highlight w:val="none"/>
              </w:rPr>
            </w:pPr>
            <w:r>
              <w:rPr>
                <w:rFonts w:hint="eastAsia" w:ascii="宋体" w:hAnsi="宋体" w:cs="宋体"/>
                <w:b/>
                <w:bCs/>
                <w:color w:val="auto"/>
                <w:szCs w:val="21"/>
                <w:highlight w:val="none"/>
              </w:rPr>
              <w:t>4、设备运维管理服务方案：</w:t>
            </w:r>
            <w:r>
              <w:rPr>
                <w:rFonts w:hint="eastAsia" w:ascii="宋体" w:hAnsi="宋体" w:cs="宋体"/>
                <w:color w:val="auto"/>
                <w:szCs w:val="21"/>
                <w:highlight w:val="none"/>
              </w:rPr>
              <w:t>根据投标人提供的照明系统、给排水系统、空调系统、消控系统、强电弱电系统、</w:t>
            </w:r>
            <w:r>
              <w:rPr>
                <w:rFonts w:hint="eastAsia" w:ascii="宋体" w:hAnsi="宋体" w:cs="宋体"/>
                <w:color w:val="auto"/>
                <w:szCs w:val="21"/>
                <w:highlight w:val="none"/>
                <w:lang w:val="en-US" w:eastAsia="zh-CN"/>
              </w:rPr>
              <w:t>特种</w:t>
            </w:r>
            <w:r>
              <w:rPr>
                <w:rFonts w:hint="eastAsia" w:ascii="宋体" w:hAnsi="宋体" w:cs="宋体"/>
                <w:color w:val="auto"/>
                <w:szCs w:val="21"/>
                <w:highlight w:val="none"/>
              </w:rPr>
              <w:t>设备、</w:t>
            </w:r>
            <w:r>
              <w:rPr>
                <w:rFonts w:hint="eastAsia" w:ascii="Times New Roman" w:hAnsi="Times New Roman" w:cs="Times New Roman"/>
                <w:color w:val="auto"/>
                <w:szCs w:val="20"/>
                <w:highlight w:val="none"/>
              </w:rPr>
              <w:t>音响设备、舞台机械设备</w:t>
            </w:r>
            <w:r>
              <w:rPr>
                <w:rFonts w:hint="eastAsia" w:ascii="Times New Roman" w:hAnsi="Times New Roman" w:cs="Times New Roman"/>
                <w:color w:val="auto"/>
                <w:szCs w:val="20"/>
                <w:highlight w:val="none"/>
                <w:lang w:eastAsia="zh-CN"/>
              </w:rPr>
              <w:t>、</w:t>
            </w:r>
            <w:r>
              <w:rPr>
                <w:rFonts w:hint="eastAsia" w:ascii="宋体" w:hAnsi="宋体" w:cs="宋体"/>
                <w:color w:val="auto"/>
                <w:szCs w:val="21"/>
                <w:highlight w:val="none"/>
              </w:rPr>
              <w:t>餐厅内厨房设备</w:t>
            </w:r>
            <w:r>
              <w:rPr>
                <w:rFonts w:hint="eastAsia" w:ascii="宋体" w:hAnsi="宋体" w:cs="宋体"/>
                <w:color w:val="auto"/>
                <w:szCs w:val="21"/>
                <w:highlight w:val="none"/>
                <w:lang w:eastAsia="zh-CN"/>
              </w:rPr>
              <w:t>日常维护等九</w:t>
            </w:r>
            <w:r>
              <w:rPr>
                <w:rFonts w:hint="eastAsia" w:ascii="宋体" w:hAnsi="宋体" w:cs="宋体"/>
                <w:color w:val="auto"/>
                <w:szCs w:val="21"/>
                <w:highlight w:val="none"/>
              </w:rPr>
              <w:t>项内容，能根据项目实际情况设计，满足采购需求中的服务标准和要求的，一项内容得</w:t>
            </w:r>
            <w:r>
              <w:rPr>
                <w:rFonts w:hint="eastAsia" w:ascii="Arial" w:hAnsi="Arial" w:cs="Arial"/>
                <w:color w:val="auto"/>
                <w:szCs w:val="21"/>
                <w:highlight w:val="none"/>
                <w:lang w:val="en-US" w:eastAsia="zh-CN"/>
              </w:rPr>
              <w:t>0.6-</w:t>
            </w:r>
            <w:r>
              <w:rPr>
                <w:rFonts w:hint="eastAsia" w:ascii="Arial" w:hAnsi="Arial" w:cs="Arial"/>
                <w:color w:val="auto"/>
                <w:szCs w:val="21"/>
                <w:highlight w:val="none"/>
              </w:rPr>
              <w:t>1</w:t>
            </w:r>
            <w:r>
              <w:rPr>
                <w:rFonts w:hint="eastAsia" w:ascii="Arial" w:hAnsi="Arial" w:cs="Arial"/>
                <w:color w:val="auto"/>
                <w:szCs w:val="21"/>
                <w:highlight w:val="none"/>
                <w:lang w:val="en-US" w:eastAsia="zh-CN"/>
              </w:rPr>
              <w:t>.0</w:t>
            </w:r>
            <w:r>
              <w:rPr>
                <w:rFonts w:hint="eastAsia" w:ascii="宋体" w:hAnsi="宋体" w:cs="宋体"/>
                <w:color w:val="auto"/>
                <w:szCs w:val="21"/>
                <w:highlight w:val="none"/>
              </w:rPr>
              <w:t>分；方案较为简单，基本符合采购需求的，一项内容得</w:t>
            </w:r>
            <w:r>
              <w:rPr>
                <w:rFonts w:hint="eastAsia" w:ascii="Arial" w:hAnsi="Arial" w:cs="Arial"/>
                <w:color w:val="auto"/>
                <w:szCs w:val="21"/>
                <w:highlight w:val="none"/>
                <w:lang w:val="en-US" w:eastAsia="zh-CN"/>
              </w:rPr>
              <w:t>0.2-0.5</w:t>
            </w:r>
            <w:r>
              <w:rPr>
                <w:rFonts w:hint="eastAsia" w:ascii="宋体" w:hAnsi="宋体" w:cs="宋体"/>
                <w:color w:val="auto"/>
                <w:szCs w:val="21"/>
                <w:highlight w:val="none"/>
              </w:rPr>
              <w:t>分；</w:t>
            </w:r>
            <w:r>
              <w:rPr>
                <w:rFonts w:hint="eastAsia" w:ascii="宋体" w:hAnsi="宋体" w:cs="宋体"/>
                <w:color w:val="auto"/>
                <w:kern w:val="28"/>
                <w:szCs w:val="21"/>
                <w:highlight w:val="none"/>
              </w:rPr>
              <w:t>不符合采购需求</w:t>
            </w:r>
            <w:r>
              <w:rPr>
                <w:rFonts w:hint="eastAsia" w:ascii="宋体" w:hAnsi="宋体" w:cs="宋体"/>
                <w:color w:val="auto"/>
                <w:szCs w:val="21"/>
                <w:highlight w:val="none"/>
              </w:rPr>
              <w:t>或者未提供相应内容的不得分</w:t>
            </w:r>
            <w:r>
              <w:rPr>
                <w:rFonts w:hint="eastAsia" w:ascii="宋体" w:hAnsi="宋体" w:cs="宋体"/>
                <w:color w:val="auto"/>
                <w:kern w:val="28"/>
                <w:szCs w:val="21"/>
                <w:highlight w:val="none"/>
              </w:rPr>
              <w:t>。此项最高得</w:t>
            </w:r>
            <w:r>
              <w:rPr>
                <w:rFonts w:hint="eastAsia" w:ascii="Arial" w:hAnsi="Arial" w:cs="Arial"/>
                <w:color w:val="auto"/>
                <w:szCs w:val="21"/>
                <w:highlight w:val="none"/>
                <w:lang w:val="en-US" w:eastAsia="zh-CN"/>
              </w:rPr>
              <w:t>9.0</w:t>
            </w:r>
            <w:r>
              <w:rPr>
                <w:rFonts w:hint="eastAsia" w:ascii="宋体" w:hAnsi="宋体" w:cs="宋体"/>
                <w:color w:val="auto"/>
                <w:kern w:val="28"/>
                <w:szCs w:val="21"/>
                <w:highlight w:val="none"/>
                <w:lang w:val="en-US" w:eastAsia="zh-CN"/>
              </w:rPr>
              <w:t>分</w:t>
            </w:r>
            <w:r>
              <w:rPr>
                <w:rFonts w:hint="eastAsia" w:ascii="宋体" w:hAnsi="宋体" w:cs="宋体"/>
                <w:color w:val="auto"/>
                <w:kern w:val="28"/>
                <w:szCs w:val="21"/>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71" w:type="dxa"/>
            <w:tcBorders>
              <w:lef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cs="Times New Roman"/>
                <w:color w:val="auto"/>
                <w:szCs w:val="22"/>
              </w:rPr>
              <w:t>1</w:t>
            </w:r>
            <w:r>
              <w:rPr>
                <w:rFonts w:hint="eastAsia" w:ascii="Times New Roman" w:hAnsi="Times New Roman" w:cs="Times New Roman"/>
                <w:color w:val="auto"/>
                <w:szCs w:val="22"/>
                <w:lang w:val="en-US" w:eastAsia="zh-CN"/>
              </w:rPr>
              <w:t>1</w:t>
            </w:r>
          </w:p>
        </w:tc>
        <w:tc>
          <w:tcPr>
            <w:tcW w:w="162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rPr>
            </w:pPr>
          </w:p>
        </w:tc>
        <w:tc>
          <w:tcPr>
            <w:tcW w:w="82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rPr>
            </w:pPr>
            <w:r>
              <w:rPr>
                <w:rFonts w:hint="eastAsia" w:ascii="Arial" w:hAnsi="Arial" w:cs="Arial"/>
                <w:color w:val="auto"/>
                <w:szCs w:val="21"/>
                <w:lang w:val="en-US" w:eastAsia="zh-CN"/>
              </w:rPr>
              <w:t>8</w:t>
            </w:r>
            <w:r>
              <w:rPr>
                <w:rFonts w:hint="eastAsia" w:ascii="宋体" w:hAnsi="宋体" w:cs="宋体"/>
                <w:bCs/>
                <w:color w:val="auto"/>
                <w:kern w:val="28"/>
                <w:szCs w:val="22"/>
              </w:rPr>
              <w:t>分</w:t>
            </w:r>
          </w:p>
        </w:tc>
        <w:tc>
          <w:tcPr>
            <w:tcW w:w="5828"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84" w:rightChars="-40"/>
              <w:jc w:val="both"/>
              <w:rPr>
                <w:rFonts w:hint="default" w:ascii="宋体" w:hAnsi="宋体" w:cs="宋体"/>
                <w:b/>
                <w:bCs/>
                <w:color w:val="auto"/>
                <w:szCs w:val="21"/>
              </w:rPr>
            </w:pPr>
            <w:r>
              <w:rPr>
                <w:rFonts w:hint="eastAsia" w:ascii="宋体" w:hAnsi="宋体" w:cs="宋体"/>
                <w:b/>
                <w:bCs/>
                <w:color w:val="auto"/>
                <w:szCs w:val="21"/>
              </w:rPr>
              <w:t>5、应急预案：</w:t>
            </w:r>
            <w:r>
              <w:rPr>
                <w:rFonts w:hint="eastAsia" w:ascii="宋体" w:hAnsi="宋体" w:cs="宋体"/>
                <w:color w:val="auto"/>
                <w:szCs w:val="21"/>
              </w:rPr>
              <w:t>根据投标人提供的应对及化解各类突发事件、消防、防疫、极端天气（台风、暴雨、冻雪）四项内容，能根据项目实际情况设计，满足采购需求中的服务标准和要求的，一项内容得</w:t>
            </w:r>
            <w:r>
              <w:rPr>
                <w:rFonts w:hint="eastAsia" w:ascii="Arial" w:hAnsi="Arial" w:cs="Arial"/>
                <w:color w:val="auto"/>
                <w:szCs w:val="21"/>
                <w:lang w:val="en-US" w:eastAsia="zh-CN"/>
              </w:rPr>
              <w:t>1.0-2.0</w:t>
            </w:r>
            <w:r>
              <w:rPr>
                <w:rFonts w:hint="eastAsia" w:ascii="宋体" w:hAnsi="宋体" w:cs="宋体"/>
                <w:color w:val="auto"/>
                <w:szCs w:val="21"/>
              </w:rPr>
              <w:t>分；方案较为简单，基本符合采购需求的，一项内容得</w:t>
            </w:r>
            <w:r>
              <w:rPr>
                <w:rFonts w:hint="eastAsia" w:ascii="Arial" w:hAnsi="Arial" w:cs="Arial"/>
                <w:color w:val="auto"/>
                <w:szCs w:val="21"/>
                <w:lang w:val="en-US" w:eastAsia="zh-CN"/>
              </w:rPr>
              <w:t>0.5-0.9</w:t>
            </w:r>
            <w:r>
              <w:rPr>
                <w:rFonts w:hint="eastAsia" w:ascii="宋体" w:hAnsi="宋体" w:cs="宋体"/>
                <w:color w:val="auto"/>
                <w:szCs w:val="21"/>
              </w:rPr>
              <w:t>分；</w:t>
            </w:r>
            <w:r>
              <w:rPr>
                <w:rFonts w:hint="eastAsia" w:ascii="宋体" w:hAnsi="宋体" w:cs="宋体"/>
                <w:color w:val="auto"/>
                <w:kern w:val="28"/>
                <w:szCs w:val="21"/>
              </w:rPr>
              <w:t>不符合采购需求</w:t>
            </w:r>
            <w:r>
              <w:rPr>
                <w:rFonts w:hint="eastAsia" w:ascii="宋体" w:hAnsi="宋体" w:cs="宋体"/>
                <w:color w:val="auto"/>
                <w:szCs w:val="21"/>
              </w:rPr>
              <w:t>或者未提供相应内容的不得分</w:t>
            </w:r>
            <w:r>
              <w:rPr>
                <w:rFonts w:hint="eastAsia" w:ascii="宋体" w:hAnsi="宋体" w:cs="宋体"/>
                <w:color w:val="auto"/>
                <w:kern w:val="28"/>
                <w:szCs w:val="21"/>
              </w:rPr>
              <w:t>。此项最高得</w:t>
            </w:r>
            <w:r>
              <w:rPr>
                <w:rFonts w:hint="eastAsia" w:ascii="Arial" w:hAnsi="Arial" w:cs="Arial"/>
                <w:color w:val="auto"/>
                <w:szCs w:val="21"/>
                <w:lang w:val="en-US" w:eastAsia="zh-CN"/>
              </w:rPr>
              <w:t>8</w:t>
            </w:r>
            <w:r>
              <w:rPr>
                <w:rFonts w:hint="eastAsia" w:ascii="宋体" w:hAnsi="宋体" w:cs="宋体"/>
                <w:color w:val="auto"/>
                <w:kern w:val="28"/>
                <w:szCs w:val="21"/>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71" w:type="dxa"/>
            <w:tcBorders>
              <w:lef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cs="Times New Roman"/>
                <w:color w:val="auto"/>
                <w:szCs w:val="22"/>
              </w:rPr>
              <w:t>1</w:t>
            </w:r>
            <w:r>
              <w:rPr>
                <w:rFonts w:hint="eastAsia" w:ascii="Times New Roman" w:hAnsi="Times New Roman" w:cs="Times New Roman"/>
                <w:color w:val="auto"/>
                <w:szCs w:val="22"/>
                <w:lang w:val="en-US" w:eastAsia="zh-CN"/>
              </w:rPr>
              <w:t>2</w:t>
            </w:r>
          </w:p>
        </w:tc>
        <w:tc>
          <w:tcPr>
            <w:tcW w:w="162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rPr>
            </w:pPr>
          </w:p>
        </w:tc>
        <w:tc>
          <w:tcPr>
            <w:tcW w:w="82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rPr>
            </w:pPr>
            <w:r>
              <w:rPr>
                <w:rFonts w:hint="eastAsia" w:ascii="Arial" w:hAnsi="Arial" w:cs="Arial"/>
                <w:color w:val="auto"/>
                <w:szCs w:val="21"/>
                <w:lang w:val="en-US" w:eastAsia="zh-CN"/>
              </w:rPr>
              <w:t>4</w:t>
            </w:r>
            <w:r>
              <w:rPr>
                <w:rFonts w:hint="eastAsia" w:ascii="宋体" w:hAnsi="宋体" w:cs="宋体"/>
                <w:bCs/>
                <w:color w:val="auto"/>
                <w:kern w:val="28"/>
                <w:szCs w:val="22"/>
              </w:rPr>
              <w:t>分</w:t>
            </w:r>
          </w:p>
        </w:tc>
        <w:tc>
          <w:tcPr>
            <w:tcW w:w="5828"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84" w:rightChars="-40"/>
              <w:jc w:val="both"/>
              <w:rPr>
                <w:rFonts w:hint="default" w:ascii="宋体" w:hAnsi="宋体" w:cs="宋体"/>
                <w:b/>
                <w:bCs/>
                <w:color w:val="auto"/>
                <w:szCs w:val="21"/>
              </w:rPr>
            </w:pPr>
            <w:r>
              <w:rPr>
                <w:rFonts w:hint="eastAsia" w:ascii="宋体" w:hAnsi="宋体" w:cs="宋体"/>
                <w:b/>
                <w:bCs/>
                <w:color w:val="auto"/>
                <w:szCs w:val="21"/>
              </w:rPr>
              <w:t>6、文明建设方案：</w:t>
            </w:r>
            <w:r>
              <w:rPr>
                <w:rFonts w:hint="eastAsia" w:ascii="宋体" w:hAnsi="宋体" w:cs="宋体"/>
                <w:color w:val="auto"/>
                <w:szCs w:val="21"/>
              </w:rPr>
              <w:t>根据投标人提供的</w:t>
            </w:r>
            <w:r>
              <w:rPr>
                <w:rFonts w:hint="eastAsia" w:ascii="宋体" w:hAnsi="宋体" w:cs="宋体"/>
                <w:color w:val="auto"/>
                <w:szCs w:val="21"/>
                <w:lang w:val="en-US" w:eastAsia="zh-CN"/>
              </w:rPr>
              <w:t>文明建设方案，</w:t>
            </w:r>
            <w:r>
              <w:rPr>
                <w:rFonts w:hint="eastAsia" w:ascii="宋体" w:hAnsi="宋体" w:cs="宋体"/>
                <w:color w:val="auto"/>
                <w:szCs w:val="21"/>
              </w:rPr>
              <w:t>能协助采购人建立良好形象，</w:t>
            </w:r>
            <w:r>
              <w:rPr>
                <w:rFonts w:hint="eastAsia" w:ascii="宋体" w:hAnsi="宋体" w:cs="宋体"/>
                <w:color w:val="auto"/>
                <w:szCs w:val="21"/>
                <w:lang w:val="en-US" w:eastAsia="zh-CN"/>
              </w:rPr>
              <w:t>方案内容全面</w:t>
            </w:r>
            <w:r>
              <w:rPr>
                <w:rFonts w:hint="eastAsia" w:ascii="Calibri" w:hAnsi="Calibri" w:cs="Calibri"/>
                <w:color w:val="auto"/>
                <w:szCs w:val="21"/>
              </w:rPr>
              <w:t>措施有效性强的得</w:t>
            </w:r>
            <w:r>
              <w:rPr>
                <w:rFonts w:hint="eastAsia" w:ascii="Arial" w:hAnsi="Arial" w:cs="Arial"/>
                <w:color w:val="auto"/>
                <w:szCs w:val="21"/>
                <w:lang w:val="en-US" w:eastAsia="zh-CN"/>
              </w:rPr>
              <w:t>2.5-4.0</w:t>
            </w:r>
            <w:r>
              <w:rPr>
                <w:rFonts w:hint="eastAsia" w:ascii="Calibri" w:hAnsi="Calibri" w:cs="Calibri"/>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方案较为全面，措施有效性较强</w:t>
            </w:r>
            <w:r>
              <w:rPr>
                <w:rFonts w:hint="eastAsia" w:ascii="宋体" w:hAnsi="宋体" w:cs="宋体"/>
                <w:color w:val="auto"/>
                <w:szCs w:val="21"/>
              </w:rPr>
              <w:t>的得</w:t>
            </w:r>
            <w:r>
              <w:rPr>
                <w:rFonts w:hint="eastAsia" w:ascii="Arial" w:hAnsi="Arial" w:cs="Arial"/>
                <w:color w:val="auto"/>
                <w:szCs w:val="21"/>
                <w:lang w:val="en-US" w:eastAsia="zh-CN"/>
              </w:rPr>
              <w:t>1.0-2.4</w:t>
            </w:r>
            <w:r>
              <w:rPr>
                <w:rFonts w:hint="eastAsia" w:ascii="宋体" w:hAnsi="宋体" w:cs="宋体"/>
                <w:color w:val="auto"/>
                <w:szCs w:val="21"/>
              </w:rPr>
              <w:t>分；方案阐述简单，</w:t>
            </w:r>
            <w:r>
              <w:rPr>
                <w:rFonts w:hint="eastAsia" w:ascii="宋体" w:hAnsi="宋体" w:cs="宋体"/>
                <w:color w:val="auto"/>
                <w:szCs w:val="21"/>
                <w:lang w:val="en-US" w:eastAsia="zh-CN"/>
              </w:rPr>
              <w:t>措施有效性一般</w:t>
            </w:r>
            <w:r>
              <w:rPr>
                <w:rFonts w:hint="eastAsia" w:ascii="宋体" w:hAnsi="宋体" w:cs="宋体"/>
                <w:color w:val="auto"/>
                <w:szCs w:val="21"/>
              </w:rPr>
              <w:t>得</w:t>
            </w:r>
            <w:r>
              <w:rPr>
                <w:rFonts w:hint="eastAsia" w:ascii="Arial" w:hAnsi="Arial" w:cs="Arial"/>
                <w:color w:val="auto"/>
                <w:szCs w:val="21"/>
                <w:lang w:val="en-US" w:eastAsia="zh-CN"/>
              </w:rPr>
              <w:t>0.5-0.9</w:t>
            </w:r>
            <w:r>
              <w:rPr>
                <w:rFonts w:hint="eastAsia" w:ascii="宋体" w:hAnsi="宋体" w:cs="宋体"/>
                <w:color w:val="auto"/>
                <w:szCs w:val="21"/>
              </w:rPr>
              <w:t>分；</w:t>
            </w:r>
            <w:r>
              <w:rPr>
                <w:rFonts w:hint="eastAsia" w:ascii="宋体" w:hAnsi="宋体" w:cs="宋体"/>
                <w:color w:val="auto"/>
                <w:kern w:val="28"/>
                <w:szCs w:val="21"/>
              </w:rPr>
              <w:t>不合理</w:t>
            </w:r>
            <w:r>
              <w:rPr>
                <w:rFonts w:hint="eastAsia" w:ascii="宋体" w:hAnsi="宋体" w:cs="宋体"/>
                <w:color w:val="auto"/>
                <w:szCs w:val="21"/>
              </w:rPr>
              <w:t>或者未提供相应内容的不得分</w:t>
            </w:r>
            <w:r>
              <w:rPr>
                <w:rFonts w:hint="eastAsia" w:ascii="宋体" w:hAnsi="宋体" w:cs="宋体"/>
                <w:color w:val="auto"/>
                <w:kern w:val="28"/>
                <w:szCs w:val="21"/>
              </w:rPr>
              <w:t>。此项最高得</w:t>
            </w:r>
            <w:r>
              <w:rPr>
                <w:rFonts w:hint="eastAsia" w:ascii="Arial" w:hAnsi="Arial" w:cs="Arial"/>
                <w:color w:val="auto"/>
                <w:szCs w:val="21"/>
                <w:lang w:val="en-US" w:eastAsia="zh-CN"/>
              </w:rPr>
              <w:t>4</w:t>
            </w:r>
            <w:r>
              <w:rPr>
                <w:rFonts w:hint="eastAsia" w:ascii="宋体" w:hAnsi="宋体" w:cs="宋体"/>
                <w:color w:val="auto"/>
                <w:kern w:val="28"/>
                <w:szCs w:val="21"/>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71" w:type="dxa"/>
            <w:tcBorders>
              <w:lef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cs="Times New Roman"/>
                <w:color w:val="auto"/>
                <w:szCs w:val="22"/>
              </w:rPr>
              <w:t>1</w:t>
            </w:r>
            <w:r>
              <w:rPr>
                <w:rFonts w:hint="eastAsia" w:ascii="Times New Roman" w:hAnsi="Times New Roman" w:cs="Times New Roman"/>
                <w:color w:val="auto"/>
                <w:szCs w:val="22"/>
                <w:lang w:val="en-US" w:eastAsia="zh-CN"/>
              </w:rPr>
              <w:t>3</w:t>
            </w:r>
          </w:p>
        </w:tc>
        <w:tc>
          <w:tcPr>
            <w:tcW w:w="162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rPr>
            </w:pPr>
          </w:p>
        </w:tc>
        <w:tc>
          <w:tcPr>
            <w:tcW w:w="82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rPr>
            </w:pPr>
            <w:r>
              <w:rPr>
                <w:rFonts w:hint="eastAsia" w:ascii="Arial" w:hAnsi="Arial" w:cs="Arial"/>
                <w:color w:val="auto"/>
                <w:szCs w:val="21"/>
                <w:lang w:val="en-US" w:eastAsia="zh-CN"/>
              </w:rPr>
              <w:t>4</w:t>
            </w:r>
            <w:r>
              <w:rPr>
                <w:rFonts w:hint="eastAsia" w:ascii="宋体" w:hAnsi="宋体" w:cs="宋体"/>
                <w:bCs/>
                <w:color w:val="auto"/>
                <w:kern w:val="28"/>
                <w:szCs w:val="22"/>
              </w:rPr>
              <w:t>分</w:t>
            </w:r>
          </w:p>
        </w:tc>
        <w:tc>
          <w:tcPr>
            <w:tcW w:w="5828"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84" w:rightChars="-40"/>
              <w:jc w:val="both"/>
              <w:rPr>
                <w:rFonts w:hint="default" w:ascii="宋体" w:hAnsi="宋体" w:cs="宋体"/>
                <w:b/>
                <w:bCs/>
                <w:color w:val="auto"/>
                <w:szCs w:val="21"/>
              </w:rPr>
            </w:pPr>
            <w:r>
              <w:rPr>
                <w:rFonts w:hint="eastAsia" w:ascii="宋体" w:hAnsi="宋体" w:cs="宋体"/>
                <w:b/>
                <w:bCs/>
                <w:color w:val="auto"/>
                <w:szCs w:val="21"/>
              </w:rPr>
              <w:t>7、节能降耗内容方案：</w:t>
            </w:r>
            <w:r>
              <w:rPr>
                <w:rFonts w:hint="eastAsia" w:ascii="宋体" w:hAnsi="宋体" w:cs="宋体"/>
                <w:color w:val="auto"/>
                <w:szCs w:val="21"/>
              </w:rPr>
              <w:t>根据投标人提供的</w:t>
            </w:r>
            <w:r>
              <w:rPr>
                <w:rFonts w:hint="eastAsia" w:ascii="宋体" w:hAnsi="宋体" w:cs="宋体"/>
                <w:color w:val="auto"/>
                <w:szCs w:val="21"/>
                <w:lang w:val="en-US" w:eastAsia="zh-CN"/>
              </w:rPr>
              <w:t>节能降耗方案</w:t>
            </w:r>
            <w:r>
              <w:rPr>
                <w:rFonts w:hint="eastAsia" w:ascii="宋体" w:hAnsi="宋体" w:cs="宋体"/>
                <w:color w:val="auto"/>
                <w:szCs w:val="21"/>
              </w:rPr>
              <w:t>，</w:t>
            </w:r>
            <w:r>
              <w:rPr>
                <w:rFonts w:hint="eastAsia" w:ascii="宋体" w:hAnsi="宋体" w:cs="宋体"/>
                <w:color w:val="auto"/>
                <w:szCs w:val="21"/>
                <w:lang w:val="en-US" w:eastAsia="zh-CN"/>
              </w:rPr>
              <w:t>方案内容全面科学且</w:t>
            </w:r>
            <w:r>
              <w:rPr>
                <w:rFonts w:hint="eastAsia" w:ascii="Calibri" w:hAnsi="Calibri" w:cs="Calibri"/>
                <w:color w:val="auto"/>
                <w:szCs w:val="21"/>
              </w:rPr>
              <w:t>措施有效性强的得</w:t>
            </w:r>
            <w:r>
              <w:rPr>
                <w:rFonts w:hint="eastAsia" w:ascii="Arial" w:hAnsi="Arial" w:cs="Arial"/>
                <w:color w:val="auto"/>
                <w:szCs w:val="21"/>
                <w:lang w:val="en-US" w:eastAsia="zh-CN"/>
              </w:rPr>
              <w:t>2.5-4.0</w:t>
            </w:r>
            <w:r>
              <w:rPr>
                <w:rFonts w:hint="eastAsia" w:ascii="Calibri" w:hAnsi="Calibri" w:cs="Calibri"/>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方案较为全面，措施有效性较强</w:t>
            </w:r>
            <w:r>
              <w:rPr>
                <w:rFonts w:hint="eastAsia" w:ascii="宋体" w:hAnsi="宋体" w:cs="宋体"/>
                <w:color w:val="auto"/>
                <w:szCs w:val="21"/>
              </w:rPr>
              <w:t>的得</w:t>
            </w:r>
            <w:r>
              <w:rPr>
                <w:rFonts w:hint="eastAsia" w:ascii="Arial" w:hAnsi="Arial" w:cs="Arial"/>
                <w:color w:val="auto"/>
                <w:szCs w:val="21"/>
                <w:lang w:val="en-US" w:eastAsia="zh-CN"/>
              </w:rPr>
              <w:t>1.0-2.4</w:t>
            </w:r>
            <w:r>
              <w:rPr>
                <w:rFonts w:hint="eastAsia" w:ascii="宋体" w:hAnsi="宋体" w:cs="宋体"/>
                <w:color w:val="auto"/>
                <w:szCs w:val="21"/>
              </w:rPr>
              <w:t>分；方案阐述简单，</w:t>
            </w:r>
            <w:r>
              <w:rPr>
                <w:rFonts w:hint="eastAsia" w:ascii="宋体" w:hAnsi="宋体" w:cs="宋体"/>
                <w:color w:val="auto"/>
                <w:szCs w:val="21"/>
                <w:lang w:val="en-US" w:eastAsia="zh-CN"/>
              </w:rPr>
              <w:t>措施有效性一般</w:t>
            </w:r>
            <w:r>
              <w:rPr>
                <w:rFonts w:hint="eastAsia" w:ascii="宋体" w:hAnsi="宋体" w:cs="宋体"/>
                <w:color w:val="auto"/>
                <w:szCs w:val="21"/>
              </w:rPr>
              <w:t>得</w:t>
            </w:r>
            <w:r>
              <w:rPr>
                <w:rFonts w:hint="eastAsia" w:ascii="Arial" w:hAnsi="Arial" w:cs="Arial"/>
                <w:color w:val="auto"/>
                <w:szCs w:val="21"/>
                <w:lang w:val="en-US" w:eastAsia="zh-CN"/>
              </w:rPr>
              <w:t>0.5-0.9</w:t>
            </w:r>
            <w:r>
              <w:rPr>
                <w:rFonts w:hint="eastAsia" w:ascii="宋体" w:hAnsi="宋体" w:cs="宋体"/>
                <w:color w:val="auto"/>
                <w:szCs w:val="21"/>
              </w:rPr>
              <w:t>分；</w:t>
            </w:r>
            <w:r>
              <w:rPr>
                <w:rFonts w:hint="eastAsia" w:ascii="宋体" w:hAnsi="宋体" w:cs="宋体"/>
                <w:color w:val="auto"/>
                <w:kern w:val="28"/>
                <w:szCs w:val="21"/>
              </w:rPr>
              <w:t>不合理</w:t>
            </w:r>
            <w:r>
              <w:rPr>
                <w:rFonts w:hint="eastAsia" w:ascii="宋体" w:hAnsi="宋体" w:cs="宋体"/>
                <w:color w:val="auto"/>
                <w:szCs w:val="21"/>
              </w:rPr>
              <w:t>或者未提供相应内容的不得分</w:t>
            </w:r>
            <w:r>
              <w:rPr>
                <w:rFonts w:hint="eastAsia" w:ascii="宋体" w:hAnsi="宋体" w:cs="宋体"/>
                <w:color w:val="auto"/>
                <w:kern w:val="28"/>
                <w:szCs w:val="21"/>
              </w:rPr>
              <w:t>。此项最高得</w:t>
            </w:r>
            <w:r>
              <w:rPr>
                <w:rFonts w:hint="eastAsia" w:ascii="Arial" w:hAnsi="Arial" w:cs="Arial"/>
                <w:color w:val="auto"/>
                <w:szCs w:val="21"/>
                <w:lang w:val="en-US" w:eastAsia="zh-CN"/>
              </w:rPr>
              <w:t>4</w:t>
            </w:r>
            <w:r>
              <w:rPr>
                <w:rFonts w:hint="eastAsia" w:ascii="宋体" w:hAnsi="宋体" w:cs="宋体"/>
                <w:color w:val="auto"/>
                <w:kern w:val="28"/>
                <w:szCs w:val="21"/>
              </w:rPr>
              <w:t>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71" w:type="dxa"/>
            <w:tcBorders>
              <w:lef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cs="Times New Roman"/>
                <w:color w:val="auto"/>
                <w:szCs w:val="22"/>
              </w:rPr>
              <w:t>1</w:t>
            </w:r>
            <w:r>
              <w:rPr>
                <w:rFonts w:hint="eastAsia" w:ascii="Times New Roman" w:hAnsi="Times New Roman" w:cs="Times New Roman"/>
                <w:color w:val="auto"/>
                <w:szCs w:val="22"/>
                <w:lang w:val="en-US" w:eastAsia="zh-CN"/>
              </w:rPr>
              <w:t>4</w:t>
            </w:r>
          </w:p>
        </w:tc>
        <w:tc>
          <w:tcPr>
            <w:tcW w:w="162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rPr>
            </w:pPr>
          </w:p>
        </w:tc>
        <w:tc>
          <w:tcPr>
            <w:tcW w:w="82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rPr>
            </w:pPr>
            <w:r>
              <w:rPr>
                <w:rFonts w:hint="eastAsia" w:ascii="Arial" w:hAnsi="Arial" w:cs="Arial"/>
                <w:color w:val="auto"/>
                <w:szCs w:val="21"/>
                <w:lang w:val="en-US" w:eastAsia="zh-CN"/>
              </w:rPr>
              <w:t>3</w:t>
            </w:r>
            <w:r>
              <w:rPr>
                <w:rFonts w:hint="eastAsia" w:ascii="宋体" w:hAnsi="宋体" w:cs="宋体"/>
                <w:bCs/>
                <w:color w:val="auto"/>
                <w:kern w:val="28"/>
                <w:szCs w:val="22"/>
              </w:rPr>
              <w:t>分</w:t>
            </w:r>
          </w:p>
        </w:tc>
        <w:tc>
          <w:tcPr>
            <w:tcW w:w="5828"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rPr>
                <w:rFonts w:hint="default" w:ascii="宋体" w:hAnsi="宋体" w:cs="宋体"/>
                <w:b/>
                <w:bCs/>
                <w:color w:val="auto"/>
                <w:szCs w:val="21"/>
              </w:rPr>
            </w:pPr>
            <w:r>
              <w:rPr>
                <w:rFonts w:hint="eastAsia" w:ascii="Calibri" w:hAnsi="Calibri" w:cs="Calibri"/>
                <w:b/>
                <w:bCs/>
                <w:color w:val="auto"/>
                <w:szCs w:val="21"/>
              </w:rPr>
              <w:t>8、客户</w:t>
            </w:r>
            <w:r>
              <w:rPr>
                <w:rFonts w:hint="default" w:ascii="Calibri" w:hAnsi="Calibri" w:cs="Calibri"/>
                <w:b/>
                <w:bCs/>
                <w:color w:val="auto"/>
                <w:szCs w:val="21"/>
              </w:rPr>
              <w:t>服务方案</w:t>
            </w:r>
            <w:r>
              <w:rPr>
                <w:rFonts w:hint="eastAsia" w:ascii="Calibri" w:hAnsi="Calibri" w:cs="Calibri"/>
                <w:b/>
                <w:bCs/>
                <w:color w:val="auto"/>
                <w:szCs w:val="21"/>
              </w:rPr>
              <w:t>：</w:t>
            </w:r>
            <w:r>
              <w:rPr>
                <w:rFonts w:hint="eastAsia" w:ascii="Calibri" w:hAnsi="Calibri" w:cs="Calibri"/>
                <w:color w:val="auto"/>
                <w:szCs w:val="21"/>
              </w:rPr>
              <w:t>根据投标人提供的</w:t>
            </w:r>
            <w:r>
              <w:rPr>
                <w:rFonts w:hint="default" w:ascii="Calibri" w:hAnsi="Calibri" w:cs="Calibri"/>
                <w:color w:val="auto"/>
                <w:szCs w:val="21"/>
              </w:rPr>
              <w:t>来人来访的通报</w:t>
            </w:r>
            <w:r>
              <w:rPr>
                <w:rFonts w:hint="eastAsia" w:ascii="Calibri" w:hAnsi="Calibri" w:cs="Calibri"/>
                <w:color w:val="auto"/>
                <w:szCs w:val="21"/>
              </w:rPr>
              <w:t>、</w:t>
            </w:r>
            <w:r>
              <w:rPr>
                <w:rFonts w:hint="default" w:ascii="Calibri" w:hAnsi="Calibri" w:cs="Calibri"/>
                <w:color w:val="auto"/>
                <w:szCs w:val="21"/>
              </w:rPr>
              <w:t>电话受理工作</w:t>
            </w:r>
            <w:r>
              <w:rPr>
                <w:rFonts w:hint="eastAsia" w:ascii="Calibri" w:hAnsi="Calibri" w:cs="Calibri"/>
                <w:color w:val="auto"/>
                <w:szCs w:val="21"/>
              </w:rPr>
              <w:t>、</w:t>
            </w:r>
            <w:r>
              <w:rPr>
                <w:rFonts w:hint="default" w:ascii="Calibri" w:hAnsi="Calibri" w:cs="Calibri"/>
                <w:color w:val="auto"/>
                <w:szCs w:val="21"/>
              </w:rPr>
              <w:t>维修维护电话反馈信息收集处理、信息咨询</w:t>
            </w:r>
            <w:r>
              <w:rPr>
                <w:rFonts w:hint="eastAsia" w:ascii="Calibri" w:hAnsi="Calibri" w:cs="Calibri"/>
                <w:color w:val="auto"/>
                <w:szCs w:val="21"/>
              </w:rPr>
              <w:t>、</w:t>
            </w:r>
            <w:r>
              <w:rPr>
                <w:rFonts w:hint="default" w:ascii="Calibri" w:hAnsi="Calibri" w:cs="Calibri"/>
                <w:color w:val="auto"/>
                <w:szCs w:val="21"/>
              </w:rPr>
              <w:t>外来残障人员服务等</w:t>
            </w:r>
            <w:r>
              <w:rPr>
                <w:rFonts w:hint="eastAsia" w:ascii="Calibri" w:hAnsi="Calibri" w:cs="Calibri"/>
                <w:color w:val="auto"/>
                <w:szCs w:val="21"/>
              </w:rPr>
              <w:t>内容适应本项目需求，措施有效性强的得</w:t>
            </w:r>
            <w:r>
              <w:rPr>
                <w:rFonts w:hint="eastAsia" w:ascii="Arial" w:hAnsi="Arial" w:cs="Arial"/>
                <w:color w:val="auto"/>
                <w:szCs w:val="21"/>
                <w:lang w:val="en-US" w:eastAsia="zh-CN"/>
              </w:rPr>
              <w:t>1.5-3.0</w:t>
            </w:r>
            <w:r>
              <w:rPr>
                <w:rFonts w:hint="eastAsia" w:ascii="Calibri" w:hAnsi="Calibri" w:cs="Calibri"/>
                <w:color w:val="auto"/>
                <w:szCs w:val="21"/>
              </w:rPr>
              <w:t>分；</w:t>
            </w:r>
            <w:r>
              <w:rPr>
                <w:rFonts w:hint="eastAsia" w:ascii="宋体" w:hAnsi="宋体" w:cs="宋体"/>
                <w:color w:val="auto"/>
                <w:szCs w:val="21"/>
              </w:rPr>
              <w:t>方案较为简单，基本符合采购需求，措施有效性一般的得</w:t>
            </w:r>
            <w:r>
              <w:rPr>
                <w:rFonts w:hint="eastAsia" w:ascii="Arial" w:hAnsi="Arial" w:cs="Arial"/>
                <w:color w:val="auto"/>
                <w:szCs w:val="21"/>
                <w:lang w:val="en-US" w:eastAsia="zh-CN"/>
              </w:rPr>
              <w:t>0.5-1.4</w:t>
            </w:r>
            <w:r>
              <w:rPr>
                <w:rFonts w:hint="eastAsia" w:ascii="宋体" w:hAnsi="宋体" w:cs="宋体"/>
                <w:color w:val="auto"/>
                <w:szCs w:val="21"/>
              </w:rPr>
              <w:t>分；</w:t>
            </w:r>
            <w:r>
              <w:rPr>
                <w:rFonts w:hint="eastAsia" w:ascii="宋体" w:hAnsi="宋体" w:cs="宋体"/>
                <w:color w:val="auto"/>
                <w:kern w:val="28"/>
                <w:szCs w:val="21"/>
              </w:rPr>
              <w:t>不合理</w:t>
            </w:r>
            <w:r>
              <w:rPr>
                <w:rFonts w:hint="eastAsia" w:ascii="宋体" w:hAnsi="宋体" w:cs="宋体"/>
                <w:color w:val="auto"/>
                <w:szCs w:val="21"/>
              </w:rPr>
              <w:t>或者未提供方案的不得分</w:t>
            </w:r>
            <w:r>
              <w:rPr>
                <w:rFonts w:hint="eastAsia" w:ascii="宋体" w:hAnsi="宋体" w:cs="宋体"/>
                <w:color w:val="auto"/>
                <w:kern w:val="28"/>
                <w:szCs w:val="21"/>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71" w:type="dxa"/>
            <w:tcBorders>
              <w:lef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1</w:t>
            </w:r>
            <w:r>
              <w:rPr>
                <w:rFonts w:hint="eastAsia" w:ascii="Times New Roman" w:hAnsi="Times New Roman" w:cs="Times New Roman"/>
                <w:color w:val="auto"/>
                <w:szCs w:val="21"/>
                <w:lang w:val="en-US" w:eastAsia="zh-CN"/>
              </w:rPr>
              <w:t>5</w:t>
            </w:r>
          </w:p>
        </w:tc>
        <w:tc>
          <w:tcPr>
            <w:tcW w:w="162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rPr>
            </w:pPr>
          </w:p>
        </w:tc>
        <w:tc>
          <w:tcPr>
            <w:tcW w:w="82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28"/>
                <w:szCs w:val="22"/>
              </w:rPr>
            </w:pPr>
            <w:r>
              <w:rPr>
                <w:rFonts w:hint="eastAsia" w:ascii="Arial" w:hAnsi="Arial" w:cs="Arial"/>
                <w:color w:val="auto"/>
                <w:szCs w:val="21"/>
                <w:lang w:val="en-US" w:eastAsia="zh-CN"/>
              </w:rPr>
              <w:t>3</w:t>
            </w:r>
            <w:r>
              <w:rPr>
                <w:rFonts w:hint="eastAsia" w:ascii="宋体" w:hAnsi="宋体" w:cs="宋体"/>
                <w:bCs/>
                <w:color w:val="auto"/>
                <w:kern w:val="28"/>
                <w:szCs w:val="22"/>
              </w:rPr>
              <w:t>分</w:t>
            </w:r>
          </w:p>
        </w:tc>
        <w:tc>
          <w:tcPr>
            <w:tcW w:w="5828"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rPr>
                <w:rFonts w:hint="default" w:ascii="宋体" w:hAnsi="宋体" w:cs="宋体"/>
                <w:b/>
                <w:bCs/>
                <w:color w:val="auto"/>
                <w:szCs w:val="21"/>
              </w:rPr>
            </w:pPr>
            <w:r>
              <w:rPr>
                <w:rFonts w:hint="eastAsia" w:ascii="Calibri" w:hAnsi="Calibri" w:cs="Calibri"/>
                <w:b/>
                <w:bCs/>
                <w:color w:val="auto"/>
                <w:szCs w:val="21"/>
              </w:rPr>
              <w:t>9、</w:t>
            </w:r>
            <w:r>
              <w:rPr>
                <w:rFonts w:hint="default" w:ascii="Calibri" w:hAnsi="Calibri" w:cs="Calibri"/>
                <w:b/>
                <w:bCs/>
                <w:color w:val="auto"/>
                <w:szCs w:val="21"/>
              </w:rPr>
              <w:t>新老物业交接方案：</w:t>
            </w:r>
            <w:r>
              <w:rPr>
                <w:rFonts w:hint="eastAsia" w:ascii="Calibri" w:hAnsi="Calibri" w:cs="Calibri"/>
                <w:color w:val="auto"/>
                <w:szCs w:val="21"/>
              </w:rPr>
              <w:t>根据投标人提供的进退场交接方案</w:t>
            </w:r>
            <w:r>
              <w:rPr>
                <w:rFonts w:hint="eastAsia" w:ascii="宋体" w:hAnsi="宋体" w:cs="宋体"/>
                <w:color w:val="auto"/>
                <w:szCs w:val="21"/>
              </w:rPr>
              <w:t>适应本项目需求</w:t>
            </w:r>
            <w:r>
              <w:rPr>
                <w:rFonts w:hint="eastAsia" w:ascii="Calibri" w:hAnsi="Calibri" w:cs="Calibri"/>
                <w:color w:val="auto"/>
                <w:szCs w:val="21"/>
              </w:rPr>
              <w:t>，措施有效性强的</w:t>
            </w:r>
            <w:r>
              <w:rPr>
                <w:rFonts w:hint="eastAsia" w:ascii="宋体" w:hAnsi="宋体" w:cs="宋体"/>
                <w:color w:val="auto"/>
                <w:szCs w:val="21"/>
              </w:rPr>
              <w:t>得</w:t>
            </w:r>
            <w:r>
              <w:rPr>
                <w:rFonts w:hint="eastAsia" w:ascii="Arial" w:hAnsi="Arial" w:cs="Arial"/>
                <w:color w:val="auto"/>
                <w:szCs w:val="21"/>
                <w:lang w:val="en-US" w:eastAsia="zh-CN"/>
              </w:rPr>
              <w:t>1.5-3.0</w:t>
            </w:r>
            <w:r>
              <w:rPr>
                <w:rFonts w:hint="eastAsia" w:ascii="宋体" w:hAnsi="宋体" w:cs="宋体"/>
                <w:color w:val="auto"/>
                <w:szCs w:val="21"/>
              </w:rPr>
              <w:t>分；方案较为简单，基本符合采购需求，措施有效性一般的得</w:t>
            </w:r>
            <w:r>
              <w:rPr>
                <w:rFonts w:hint="eastAsia" w:ascii="Arial" w:hAnsi="Arial" w:cs="Arial"/>
                <w:color w:val="auto"/>
                <w:szCs w:val="21"/>
                <w:lang w:val="en-US" w:eastAsia="zh-CN"/>
              </w:rPr>
              <w:t>0.5-1.4</w:t>
            </w:r>
            <w:r>
              <w:rPr>
                <w:rFonts w:hint="eastAsia" w:ascii="宋体" w:hAnsi="宋体" w:cs="宋体"/>
                <w:color w:val="auto"/>
                <w:szCs w:val="21"/>
              </w:rPr>
              <w:t>分；</w:t>
            </w:r>
            <w:r>
              <w:rPr>
                <w:rFonts w:hint="eastAsia" w:ascii="宋体" w:hAnsi="宋体" w:cs="宋体"/>
                <w:color w:val="auto"/>
                <w:kern w:val="28"/>
                <w:szCs w:val="21"/>
              </w:rPr>
              <w:t>不合理</w:t>
            </w:r>
            <w:r>
              <w:rPr>
                <w:rFonts w:hint="eastAsia" w:ascii="宋体" w:hAnsi="宋体" w:cs="宋体"/>
                <w:color w:val="auto"/>
                <w:szCs w:val="21"/>
              </w:rPr>
              <w:t>或者未提供方案的不得分</w:t>
            </w:r>
            <w:r>
              <w:rPr>
                <w:rFonts w:hint="eastAsia" w:ascii="宋体" w:hAnsi="宋体" w:cs="宋体"/>
                <w:color w:val="auto"/>
                <w:kern w:val="28"/>
                <w:szCs w:val="21"/>
              </w:rPr>
              <w:t>。（主观）</w:t>
            </w:r>
            <w:r>
              <w:rPr>
                <w:rFonts w:hint="eastAsia" w:ascii="Calibri" w:hAnsi="Calibri" w:cs="Calibri"/>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71" w:type="dxa"/>
            <w:tcBorders>
              <w:lef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84" w:rightChars="-4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1</w:t>
            </w:r>
            <w:r>
              <w:rPr>
                <w:rFonts w:hint="eastAsia" w:ascii="Times New Roman" w:hAnsi="Times New Roman" w:cs="Times New Roman"/>
                <w:color w:val="auto"/>
                <w:szCs w:val="21"/>
                <w:lang w:val="en-US" w:eastAsia="zh-CN"/>
              </w:rPr>
              <w:t>6</w:t>
            </w:r>
          </w:p>
        </w:tc>
        <w:tc>
          <w:tcPr>
            <w:tcW w:w="1620" w:type="dxa"/>
            <w:noWrap w:val="0"/>
            <w:vAlign w:val="center"/>
          </w:tcPr>
          <w:p>
            <w:pPr>
              <w:keepNext w:val="0"/>
              <w:keepLines w:val="0"/>
              <w:widowControl/>
              <w:suppressLineNumbers w:val="0"/>
              <w:snapToGrid w:val="0"/>
              <w:spacing w:before="0" w:beforeAutospacing="0" w:after="0" w:afterAutospacing="0" w:line="360" w:lineRule="auto"/>
              <w:ind w:left="0" w:right="0" w:firstLine="210" w:firstLineChars="100"/>
              <w:rPr>
                <w:rFonts w:hint="default" w:ascii="宋体" w:hAnsi="宋体" w:cs="Times New Roman"/>
                <w:color w:val="auto"/>
                <w:szCs w:val="21"/>
              </w:rPr>
            </w:pPr>
            <w:r>
              <w:rPr>
                <w:rFonts w:hint="eastAsia" w:ascii="宋体" w:hAnsi="宋体" w:cs="Times New Roman"/>
                <w:color w:val="auto"/>
                <w:szCs w:val="21"/>
              </w:rPr>
              <w:t>规章制度</w:t>
            </w:r>
          </w:p>
        </w:tc>
        <w:tc>
          <w:tcPr>
            <w:tcW w:w="825" w:type="dxa"/>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宋体" w:hAnsi="宋体" w:cs="宋体"/>
                <w:color w:val="auto"/>
                <w:szCs w:val="21"/>
              </w:rPr>
            </w:pPr>
            <w:r>
              <w:rPr>
                <w:rFonts w:hint="eastAsia" w:ascii="Arial" w:hAnsi="Arial" w:cs="Arial"/>
                <w:color w:val="auto"/>
                <w:szCs w:val="21"/>
              </w:rPr>
              <w:t>5</w:t>
            </w:r>
            <w:r>
              <w:rPr>
                <w:rFonts w:hint="eastAsia" w:ascii="宋体" w:hAnsi="宋体" w:cs="宋体"/>
                <w:color w:val="auto"/>
                <w:kern w:val="28"/>
                <w:szCs w:val="21"/>
              </w:rPr>
              <w:t>分</w:t>
            </w:r>
          </w:p>
        </w:tc>
        <w:tc>
          <w:tcPr>
            <w:tcW w:w="5828" w:type="dxa"/>
            <w:tcBorders>
              <w:top w:val="single" w:color="auto" w:sz="4" w:space="0"/>
              <w:bottom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rPr>
                <w:rFonts w:hint="default" w:ascii="宋体" w:hAnsi="宋体" w:cs="Times New Roman"/>
                <w:color w:val="auto"/>
                <w:szCs w:val="21"/>
              </w:rPr>
            </w:pPr>
            <w:r>
              <w:rPr>
                <w:rFonts w:hint="eastAsia" w:ascii="宋体" w:hAnsi="宋体" w:cs="宋体"/>
                <w:color w:val="auto"/>
                <w:szCs w:val="22"/>
              </w:rPr>
              <w:t>根据投标人提出的管理规章制度情况，包括财务管理制度、档案管理制度、后勤保障制度、</w:t>
            </w:r>
            <w:r>
              <w:rPr>
                <w:rFonts w:hint="eastAsia" w:ascii="新宋体" w:hAnsi="新宋体" w:eastAsia="新宋体" w:cs="Times New Roman"/>
                <w:color w:val="auto"/>
                <w:szCs w:val="21"/>
              </w:rPr>
              <w:t>员工激励方案（员工队伍稳定方案、女工特殊福利方案）、</w:t>
            </w:r>
            <w:r>
              <w:rPr>
                <w:rFonts w:hint="default" w:ascii="Calibri" w:hAnsi="Calibri" w:cs="Calibri"/>
                <w:color w:val="auto"/>
                <w:szCs w:val="21"/>
              </w:rPr>
              <w:t>质量考核办法及奖惩制度</w:t>
            </w:r>
            <w:r>
              <w:rPr>
                <w:rFonts w:hint="eastAsia" w:ascii="Calibri" w:hAnsi="Calibri" w:cs="Calibri"/>
                <w:color w:val="auto"/>
                <w:szCs w:val="21"/>
              </w:rPr>
              <w:t>五</w:t>
            </w:r>
            <w:r>
              <w:rPr>
                <w:rFonts w:hint="eastAsia" w:ascii="新宋体" w:hAnsi="新宋体" w:eastAsia="新宋体" w:cs="Times New Roman"/>
                <w:color w:val="auto"/>
                <w:szCs w:val="21"/>
              </w:rPr>
              <w:t>项内容</w:t>
            </w:r>
            <w:r>
              <w:rPr>
                <w:rFonts w:hint="eastAsia" w:ascii="宋体" w:hAnsi="宋体" w:cs="宋体"/>
                <w:color w:val="auto"/>
                <w:szCs w:val="22"/>
              </w:rPr>
              <w:t>，</w:t>
            </w:r>
            <w:r>
              <w:rPr>
                <w:rFonts w:hint="eastAsia" w:ascii="宋体" w:hAnsi="宋体" w:cs="宋体"/>
                <w:color w:val="auto"/>
                <w:szCs w:val="21"/>
              </w:rPr>
              <w:t>适应本项目需求</w:t>
            </w:r>
            <w:r>
              <w:rPr>
                <w:rFonts w:hint="eastAsia" w:ascii="Calibri" w:hAnsi="Calibri" w:cs="Calibri"/>
                <w:color w:val="auto"/>
                <w:szCs w:val="21"/>
              </w:rPr>
              <w:t>，</w:t>
            </w:r>
            <w:r>
              <w:rPr>
                <w:rFonts w:hint="eastAsia" w:ascii="Calibri" w:hAnsi="Calibri" w:cs="Calibri"/>
                <w:color w:val="auto"/>
                <w:szCs w:val="21"/>
                <w:lang w:val="en-US" w:eastAsia="zh-CN"/>
              </w:rPr>
              <w:t>可行性</w:t>
            </w:r>
            <w:r>
              <w:rPr>
                <w:rFonts w:hint="eastAsia" w:ascii="Calibri" w:hAnsi="Calibri" w:cs="Calibri"/>
                <w:color w:val="auto"/>
                <w:szCs w:val="21"/>
              </w:rPr>
              <w:t>强的</w:t>
            </w:r>
            <w:r>
              <w:rPr>
                <w:rFonts w:hint="eastAsia" w:ascii="宋体" w:hAnsi="宋体" w:cs="宋体"/>
                <w:color w:val="auto"/>
                <w:szCs w:val="20"/>
                <w:lang w:val="en-US" w:eastAsia="zh-CN"/>
              </w:rPr>
              <w:t>一项</w:t>
            </w:r>
            <w:r>
              <w:rPr>
                <w:rFonts w:hint="eastAsia" w:ascii="宋体" w:hAnsi="宋体" w:cs="宋体"/>
                <w:color w:val="auto"/>
                <w:szCs w:val="20"/>
              </w:rPr>
              <w:t>制度得</w:t>
            </w:r>
            <w:r>
              <w:rPr>
                <w:rFonts w:hint="eastAsia" w:ascii="Arial" w:hAnsi="Arial" w:cs="Arial"/>
                <w:color w:val="auto"/>
                <w:szCs w:val="21"/>
                <w:lang w:val="en-US" w:eastAsia="zh-CN"/>
              </w:rPr>
              <w:t>0.6-1.0</w:t>
            </w:r>
            <w:r>
              <w:rPr>
                <w:rFonts w:hint="eastAsia" w:ascii="宋体" w:hAnsi="宋体" w:cs="宋体"/>
                <w:color w:val="auto"/>
                <w:szCs w:val="20"/>
              </w:rPr>
              <w:t>分</w:t>
            </w:r>
            <w:r>
              <w:rPr>
                <w:rFonts w:hint="eastAsia" w:ascii="宋体" w:hAnsi="宋体" w:cs="宋体"/>
                <w:color w:val="auto"/>
                <w:szCs w:val="20"/>
                <w:lang w:eastAsia="zh-CN"/>
              </w:rPr>
              <w:t>；</w:t>
            </w:r>
            <w:r>
              <w:rPr>
                <w:rFonts w:hint="eastAsia" w:ascii="宋体" w:hAnsi="宋体" w:cs="宋体"/>
                <w:color w:val="auto"/>
                <w:szCs w:val="20"/>
                <w:lang w:val="en-US" w:eastAsia="zh-CN"/>
              </w:rPr>
              <w:t>制度</w:t>
            </w:r>
            <w:r>
              <w:rPr>
                <w:rFonts w:hint="eastAsia" w:ascii="宋体" w:hAnsi="宋体" w:cs="宋体"/>
                <w:color w:val="auto"/>
                <w:szCs w:val="21"/>
              </w:rPr>
              <w:t>较为简单，基本符合</w:t>
            </w:r>
            <w:r>
              <w:rPr>
                <w:rFonts w:hint="eastAsia" w:ascii="宋体" w:hAnsi="宋体" w:cs="宋体"/>
                <w:color w:val="auto"/>
                <w:szCs w:val="21"/>
                <w:lang w:val="en-US" w:eastAsia="zh-CN"/>
              </w:rPr>
              <w:t>项目</w:t>
            </w:r>
            <w:r>
              <w:rPr>
                <w:rFonts w:hint="eastAsia" w:ascii="宋体" w:hAnsi="宋体" w:cs="宋体"/>
                <w:color w:val="auto"/>
                <w:szCs w:val="21"/>
              </w:rPr>
              <w:t>需求，</w:t>
            </w:r>
            <w:r>
              <w:rPr>
                <w:rFonts w:hint="eastAsia" w:ascii="宋体" w:hAnsi="宋体" w:cs="宋体"/>
                <w:color w:val="auto"/>
                <w:szCs w:val="21"/>
                <w:lang w:val="en-US" w:eastAsia="zh-CN"/>
              </w:rPr>
              <w:t>可行性</w:t>
            </w:r>
            <w:r>
              <w:rPr>
                <w:rFonts w:hint="eastAsia" w:ascii="宋体" w:hAnsi="宋体" w:cs="宋体"/>
                <w:color w:val="auto"/>
                <w:szCs w:val="21"/>
              </w:rPr>
              <w:t>一般的得</w:t>
            </w:r>
            <w:r>
              <w:rPr>
                <w:rFonts w:hint="eastAsia" w:ascii="Arial" w:hAnsi="Arial" w:cs="Arial"/>
                <w:color w:val="auto"/>
                <w:szCs w:val="21"/>
                <w:lang w:val="en-US" w:eastAsia="zh-CN"/>
              </w:rPr>
              <w:t>0.2-0.5</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kern w:val="28"/>
                <w:szCs w:val="21"/>
              </w:rPr>
              <w:t>不</w:t>
            </w:r>
            <w:r>
              <w:rPr>
                <w:rFonts w:hint="eastAsia" w:ascii="宋体" w:hAnsi="宋体" w:cs="宋体"/>
                <w:color w:val="auto"/>
                <w:kern w:val="28"/>
                <w:szCs w:val="21"/>
                <w:lang w:val="en-US" w:eastAsia="zh-CN"/>
              </w:rPr>
              <w:t>适应本项目需求</w:t>
            </w:r>
            <w:r>
              <w:rPr>
                <w:rFonts w:hint="eastAsia" w:ascii="宋体" w:hAnsi="宋体" w:cs="宋体"/>
                <w:color w:val="auto"/>
                <w:szCs w:val="20"/>
              </w:rPr>
              <w:t>或者未</w:t>
            </w:r>
            <w:r>
              <w:rPr>
                <w:rFonts w:hint="eastAsia" w:ascii="宋体" w:hAnsi="宋体" w:cs="宋体"/>
                <w:color w:val="auto"/>
                <w:szCs w:val="20"/>
                <w:lang w:val="en-US" w:eastAsia="zh-CN"/>
              </w:rPr>
              <w:t>提供</w:t>
            </w:r>
            <w:r>
              <w:rPr>
                <w:rFonts w:hint="eastAsia" w:ascii="宋体" w:hAnsi="宋体" w:cs="宋体"/>
                <w:color w:val="auto"/>
                <w:szCs w:val="20"/>
              </w:rPr>
              <w:t>的不得分，此项最高得</w:t>
            </w:r>
            <w:r>
              <w:rPr>
                <w:rFonts w:hint="eastAsia" w:ascii="Arial" w:hAnsi="Arial" w:cs="Arial"/>
                <w:color w:val="auto"/>
                <w:szCs w:val="21"/>
              </w:rPr>
              <w:t>5</w:t>
            </w:r>
            <w:r>
              <w:rPr>
                <w:rFonts w:hint="eastAsia" w:ascii="宋体" w:hAnsi="宋体" w:cs="宋体"/>
                <w:color w:val="auto"/>
                <w:szCs w:val="20"/>
              </w:rPr>
              <w:t>分</w:t>
            </w:r>
            <w:r>
              <w:rPr>
                <w:rFonts w:hint="eastAsia" w:ascii="宋体" w:hAnsi="宋体" w:cs="宋体"/>
                <w:color w:val="auto"/>
                <w:kern w:val="28"/>
                <w:szCs w:val="21"/>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71" w:type="dxa"/>
            <w:tcBorders>
              <w:lef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84" w:rightChars="-4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1</w:t>
            </w:r>
            <w:r>
              <w:rPr>
                <w:rFonts w:hint="eastAsia" w:ascii="Times New Roman" w:hAnsi="Times New Roman" w:cs="Times New Roman"/>
                <w:color w:val="auto"/>
                <w:szCs w:val="21"/>
                <w:lang w:val="en-US" w:eastAsia="zh-CN"/>
              </w:rPr>
              <w:t>7</w:t>
            </w:r>
          </w:p>
        </w:tc>
        <w:tc>
          <w:tcPr>
            <w:tcW w:w="1620" w:type="dxa"/>
            <w:noWrap w:val="0"/>
            <w:vAlign w:val="center"/>
          </w:tcPr>
          <w:p>
            <w:pPr>
              <w:keepNext w:val="0"/>
              <w:keepLines w:val="0"/>
              <w:widowControl/>
              <w:suppressLineNumbers w:val="0"/>
              <w:snapToGrid w:val="0"/>
              <w:spacing w:before="0" w:beforeAutospacing="0" w:after="0" w:afterAutospacing="0" w:line="360" w:lineRule="auto"/>
              <w:ind w:left="0" w:right="-84" w:rightChars="-40"/>
              <w:jc w:val="center"/>
              <w:rPr>
                <w:rFonts w:hint="default" w:ascii="宋体" w:hAnsi="宋体" w:cs="Times New Roman"/>
                <w:color w:val="auto"/>
                <w:szCs w:val="21"/>
              </w:rPr>
            </w:pPr>
            <w:r>
              <w:rPr>
                <w:rFonts w:hint="eastAsia" w:ascii="Arial" w:hAnsi="宋体" w:cs="Arial"/>
                <w:bCs/>
                <w:color w:val="auto"/>
                <w:kern w:val="28"/>
                <w:szCs w:val="20"/>
              </w:rPr>
              <w:t>人员培训</w:t>
            </w:r>
          </w:p>
        </w:tc>
        <w:tc>
          <w:tcPr>
            <w:tcW w:w="825" w:type="dxa"/>
            <w:noWrap w:val="0"/>
            <w:vAlign w:val="center"/>
          </w:tcPr>
          <w:p>
            <w:pPr>
              <w:keepNext w:val="0"/>
              <w:keepLines w:val="0"/>
              <w:widowControl/>
              <w:suppressLineNumbers w:val="0"/>
              <w:snapToGrid w:val="0"/>
              <w:spacing w:before="0" w:beforeAutospacing="0" w:after="0" w:afterAutospacing="0" w:line="360" w:lineRule="auto"/>
              <w:ind w:left="0" w:right="-84" w:rightChars="-40"/>
              <w:jc w:val="center"/>
              <w:rPr>
                <w:rFonts w:hint="default" w:ascii="宋体" w:hAnsi="宋体" w:cs="宋体"/>
                <w:color w:val="auto"/>
                <w:szCs w:val="21"/>
              </w:rPr>
            </w:pPr>
            <w:r>
              <w:rPr>
                <w:rFonts w:hint="eastAsia" w:ascii="Arial" w:hAnsi="Arial" w:cs="Arial"/>
                <w:color w:val="auto"/>
                <w:szCs w:val="21"/>
                <w:lang w:val="en-US" w:eastAsia="zh-CN"/>
              </w:rPr>
              <w:t>2</w:t>
            </w:r>
            <w:r>
              <w:rPr>
                <w:rFonts w:hint="eastAsia" w:ascii="宋体" w:hAnsi="宋体" w:cs="宋体"/>
                <w:color w:val="auto"/>
                <w:szCs w:val="21"/>
              </w:rPr>
              <w:t>分</w:t>
            </w:r>
          </w:p>
        </w:tc>
        <w:tc>
          <w:tcPr>
            <w:tcW w:w="5828" w:type="dxa"/>
            <w:tcBorders>
              <w:top w:val="single" w:color="auto" w:sz="4" w:space="0"/>
              <w:bottom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rPr>
                <w:rFonts w:hint="default" w:ascii="宋体" w:hAnsi="宋体" w:cs="宋体"/>
                <w:color w:val="auto"/>
                <w:kern w:val="2"/>
                <w:szCs w:val="21"/>
              </w:rPr>
            </w:pPr>
            <w:r>
              <w:rPr>
                <w:rFonts w:hint="eastAsia" w:ascii="宋体" w:hAnsi="宋体" w:cs="宋体"/>
                <w:color w:val="auto"/>
                <w:szCs w:val="22"/>
              </w:rPr>
              <w:t>根据投标人提供的针对本项目的服务人员培训计划及内容，包括日常物业、应急预案培训、培训时长、讲师配置等各项内容，较为系统性、可操作性强的得</w:t>
            </w:r>
            <w:r>
              <w:rPr>
                <w:rFonts w:hint="eastAsia" w:ascii="Arial" w:hAnsi="Arial" w:cs="Arial"/>
                <w:color w:val="auto"/>
                <w:szCs w:val="21"/>
                <w:lang w:val="en-US" w:eastAsia="zh-CN"/>
              </w:rPr>
              <w:t>1.0-2.0</w:t>
            </w:r>
            <w:r>
              <w:rPr>
                <w:rFonts w:hint="eastAsia" w:ascii="宋体" w:hAnsi="宋体" w:cs="宋体"/>
                <w:color w:val="auto"/>
                <w:szCs w:val="22"/>
              </w:rPr>
              <w:t>分；培训计划及方案简单，可操作性一般的得</w:t>
            </w:r>
            <w:r>
              <w:rPr>
                <w:rFonts w:hint="eastAsia" w:ascii="Arial" w:hAnsi="Arial" w:cs="Arial"/>
                <w:color w:val="auto"/>
                <w:szCs w:val="21"/>
                <w:lang w:val="en-US" w:eastAsia="zh-CN"/>
              </w:rPr>
              <w:t>0.5-0.9</w:t>
            </w:r>
            <w:r>
              <w:rPr>
                <w:rFonts w:hint="eastAsia" w:ascii="宋体" w:hAnsi="宋体" w:cs="宋体"/>
                <w:color w:val="auto"/>
                <w:szCs w:val="22"/>
              </w:rPr>
              <w:t>分</w:t>
            </w:r>
            <w:r>
              <w:rPr>
                <w:rFonts w:hint="eastAsia" w:ascii="宋体" w:hAnsi="宋体" w:cs="宋体"/>
                <w:color w:val="auto"/>
                <w:szCs w:val="20"/>
              </w:rPr>
              <w:t>；</w:t>
            </w:r>
            <w:r>
              <w:rPr>
                <w:rFonts w:hint="eastAsia" w:ascii="宋体" w:hAnsi="宋体" w:cs="宋体"/>
                <w:color w:val="auto"/>
                <w:szCs w:val="22"/>
              </w:rPr>
              <w:t>不合理或者</w:t>
            </w:r>
            <w:r>
              <w:rPr>
                <w:rFonts w:hint="eastAsia" w:ascii="宋体" w:hAnsi="宋体" w:cs="宋体"/>
                <w:color w:val="auto"/>
                <w:szCs w:val="20"/>
              </w:rPr>
              <w:t>未说明的不得</w:t>
            </w:r>
            <w:r>
              <w:rPr>
                <w:rFonts w:hint="eastAsia" w:ascii="宋体" w:hAnsi="宋体" w:cs="宋体"/>
                <w:color w:val="auto"/>
                <w:szCs w:val="20"/>
                <w:lang w:val="en-US" w:eastAsia="zh-CN"/>
              </w:rPr>
              <w:t>分</w:t>
            </w:r>
            <w:r>
              <w:rPr>
                <w:rFonts w:hint="eastAsia" w:ascii="宋体" w:hAnsi="宋体" w:cs="宋体"/>
                <w:color w:val="auto"/>
                <w:kern w:val="28"/>
                <w:szCs w:val="21"/>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771" w:type="dxa"/>
            <w:vMerge w:val="restart"/>
            <w:tcBorders>
              <w:lef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84" w:rightChars="-4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18</w:t>
            </w:r>
          </w:p>
        </w:tc>
        <w:tc>
          <w:tcPr>
            <w:tcW w:w="1620" w:type="dxa"/>
            <w:vMerge w:val="restart"/>
            <w:noWrap w:val="0"/>
            <w:vAlign w:val="center"/>
          </w:tcPr>
          <w:p>
            <w:pPr>
              <w:keepNext w:val="0"/>
              <w:keepLines w:val="0"/>
              <w:widowControl/>
              <w:suppressLineNumbers w:val="0"/>
              <w:snapToGrid w:val="0"/>
              <w:spacing w:before="0" w:beforeAutospacing="0" w:after="0" w:afterAutospacing="0" w:line="360" w:lineRule="auto"/>
              <w:ind w:left="0" w:right="-84" w:rightChars="-40"/>
              <w:jc w:val="center"/>
              <w:rPr>
                <w:rFonts w:hint="default" w:ascii="Arial" w:hAnsi="宋体" w:cs="Arial"/>
                <w:bCs/>
                <w:color w:val="auto"/>
                <w:kern w:val="28"/>
                <w:szCs w:val="20"/>
              </w:rPr>
            </w:pPr>
            <w:r>
              <w:rPr>
                <w:rFonts w:hint="eastAsia" w:ascii="Arial" w:hAnsi="宋体" w:cs="Arial"/>
                <w:bCs/>
                <w:color w:val="auto"/>
                <w:kern w:val="28"/>
                <w:szCs w:val="20"/>
              </w:rPr>
              <w:t>特点难点分析及解决措施</w:t>
            </w:r>
          </w:p>
        </w:tc>
        <w:tc>
          <w:tcPr>
            <w:tcW w:w="825" w:type="dxa"/>
            <w:vMerge w:val="restart"/>
            <w:noWrap w:val="0"/>
            <w:vAlign w:val="center"/>
          </w:tcPr>
          <w:p>
            <w:pPr>
              <w:keepNext w:val="0"/>
              <w:keepLines w:val="0"/>
              <w:widowControl/>
              <w:suppressLineNumbers w:val="0"/>
              <w:snapToGrid w:val="0"/>
              <w:spacing w:before="0" w:beforeAutospacing="0" w:after="0" w:afterAutospacing="0" w:line="360" w:lineRule="auto"/>
              <w:ind w:left="0" w:right="-84" w:rightChars="-40"/>
              <w:jc w:val="center"/>
              <w:rPr>
                <w:rFonts w:hint="default" w:ascii="宋体" w:hAnsi="宋体" w:cs="宋体"/>
                <w:color w:val="auto"/>
                <w:szCs w:val="21"/>
                <w:highlight w:val="none"/>
              </w:rPr>
            </w:pPr>
            <w:r>
              <w:rPr>
                <w:rFonts w:hint="eastAsia" w:ascii="Arial" w:hAnsi="Arial" w:cs="Arial"/>
                <w:color w:val="auto"/>
                <w:szCs w:val="21"/>
                <w:highlight w:val="none"/>
                <w:lang w:val="en-US" w:eastAsia="zh-CN"/>
              </w:rPr>
              <w:t>12</w:t>
            </w:r>
            <w:r>
              <w:rPr>
                <w:rFonts w:hint="eastAsia" w:ascii="宋体" w:hAnsi="宋体" w:cs="宋体"/>
                <w:color w:val="auto"/>
                <w:szCs w:val="21"/>
                <w:highlight w:val="none"/>
              </w:rPr>
              <w:t>分</w:t>
            </w:r>
          </w:p>
        </w:tc>
        <w:tc>
          <w:tcPr>
            <w:tcW w:w="5828"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Calibri" w:hAnsi="Calibri" w:eastAsia="宋体" w:cs="Calibri"/>
                <w:color w:val="auto"/>
                <w:szCs w:val="21"/>
                <w:highlight w:val="none"/>
                <w:lang w:val="en-US" w:eastAsia="zh-CN"/>
              </w:rPr>
            </w:pPr>
            <w:r>
              <w:rPr>
                <w:rFonts w:hint="eastAsia" w:ascii="Calibri" w:hAnsi="Calibri" w:cs="Calibri"/>
                <w:color w:val="auto"/>
                <w:szCs w:val="21"/>
                <w:highlight w:val="none"/>
                <w:lang w:val="en-US" w:eastAsia="zh-CN"/>
              </w:rPr>
              <w:t>根据投标人对</w:t>
            </w:r>
            <w:r>
              <w:rPr>
                <w:rFonts w:hint="eastAsia" w:ascii="Times New Roman" w:hAnsi="Times New Roman" w:cs="Times New Roman"/>
                <w:color w:val="auto"/>
                <w:szCs w:val="20"/>
                <w:highlight w:val="none"/>
                <w:lang w:val="en-US" w:eastAsia="zh-CN"/>
              </w:rPr>
              <w:t>本项目</w:t>
            </w:r>
            <w:r>
              <w:rPr>
                <w:rFonts w:hint="eastAsia" w:ascii="Calibri" w:hAnsi="Calibri" w:cs="Calibri"/>
                <w:color w:val="auto"/>
                <w:szCs w:val="21"/>
                <w:highlight w:val="none"/>
                <w:lang w:val="en-US" w:eastAsia="zh-CN"/>
              </w:rPr>
              <w:t>日常服务管理的特点分析：</w:t>
            </w:r>
            <w:r>
              <w:rPr>
                <w:rFonts w:hint="eastAsia" w:ascii="Arial" w:hAnsi="Arial" w:cs="Arial"/>
                <w:color w:val="auto"/>
                <w:szCs w:val="21"/>
                <w:highlight w:val="none"/>
                <w:lang w:val="en-US" w:eastAsia="zh-CN"/>
              </w:rPr>
              <w:t>0-3</w:t>
            </w:r>
            <w:r>
              <w:rPr>
                <w:rFonts w:hint="eastAsia" w:ascii="Calibri" w:hAnsi="Calibri" w:cs="Calibri"/>
                <w:color w:val="auto"/>
                <w:szCs w:val="21"/>
                <w:highlight w:val="none"/>
                <w:lang w:val="en-US" w:eastAsia="zh-CN"/>
              </w:rPr>
              <w:t>分</w:t>
            </w:r>
            <w:r>
              <w:rPr>
                <w:rFonts w:hint="eastAsia" w:ascii="宋体" w:hAnsi="宋体" w:cs="宋体"/>
                <w:color w:val="auto"/>
                <w:kern w:val="28"/>
                <w:szCs w:val="21"/>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771" w:type="dxa"/>
            <w:vMerge w:val="continue"/>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Calibri" w:hAnsi="Calibri" w:cs="Calibri"/>
                <w:color w:val="auto"/>
                <w:szCs w:val="21"/>
              </w:rPr>
            </w:pPr>
          </w:p>
        </w:tc>
        <w:tc>
          <w:tcPr>
            <w:tcW w:w="1620" w:type="dxa"/>
            <w:vMerge w:val="continue"/>
            <w:noWrap w:val="0"/>
            <w:vAlign w:val="center"/>
          </w:tcPr>
          <w:p>
            <w:pPr>
              <w:keepNext w:val="0"/>
              <w:keepLines w:val="0"/>
              <w:widowControl/>
              <w:suppressLineNumbers w:val="0"/>
              <w:spacing w:before="0" w:beforeAutospacing="0" w:after="0" w:afterAutospacing="0" w:line="360" w:lineRule="auto"/>
              <w:ind w:left="0" w:right="0"/>
              <w:rPr>
                <w:rFonts w:hint="eastAsia" w:ascii="Calibri" w:hAnsi="Calibri" w:cs="Calibri"/>
                <w:color w:val="auto"/>
                <w:szCs w:val="21"/>
              </w:rPr>
            </w:pPr>
          </w:p>
        </w:tc>
        <w:tc>
          <w:tcPr>
            <w:tcW w:w="825" w:type="dxa"/>
            <w:vMerge w:val="continue"/>
            <w:noWrap w:val="0"/>
            <w:vAlign w:val="center"/>
          </w:tcPr>
          <w:p>
            <w:pPr>
              <w:keepNext w:val="0"/>
              <w:keepLines w:val="0"/>
              <w:widowControl/>
              <w:suppressLineNumbers w:val="0"/>
              <w:spacing w:before="0" w:beforeAutospacing="0" w:after="0" w:afterAutospacing="0" w:line="360" w:lineRule="auto"/>
              <w:ind w:left="0" w:right="0"/>
              <w:rPr>
                <w:rFonts w:hint="eastAsia" w:ascii="Calibri" w:hAnsi="Calibri" w:cs="Calibri"/>
                <w:color w:val="auto"/>
                <w:szCs w:val="21"/>
                <w:highlight w:val="none"/>
              </w:rPr>
            </w:pPr>
          </w:p>
        </w:tc>
        <w:tc>
          <w:tcPr>
            <w:tcW w:w="5828"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Calibri" w:hAnsi="Calibri" w:cs="Calibri"/>
                <w:color w:val="auto"/>
                <w:szCs w:val="21"/>
                <w:highlight w:val="none"/>
                <w:lang w:val="en-US" w:eastAsia="zh-CN"/>
              </w:rPr>
            </w:pPr>
            <w:r>
              <w:rPr>
                <w:rFonts w:hint="eastAsia" w:ascii="Calibri" w:hAnsi="Calibri" w:cs="Calibri"/>
                <w:color w:val="auto"/>
                <w:szCs w:val="21"/>
                <w:highlight w:val="none"/>
                <w:lang w:val="en-US" w:eastAsia="zh-CN"/>
              </w:rPr>
              <w:t>根据投标人提出的针对</w:t>
            </w:r>
            <w:r>
              <w:rPr>
                <w:rFonts w:hint="eastAsia" w:ascii="Times New Roman" w:hAnsi="Times New Roman" w:cs="Times New Roman"/>
                <w:color w:val="auto"/>
                <w:szCs w:val="20"/>
                <w:highlight w:val="none"/>
                <w:lang w:eastAsia="zh-CN"/>
              </w:rPr>
              <w:t>本项目</w:t>
            </w:r>
            <w:r>
              <w:rPr>
                <w:rFonts w:hint="eastAsia" w:ascii="Calibri" w:hAnsi="Calibri" w:cs="Calibri"/>
                <w:color w:val="auto"/>
                <w:szCs w:val="21"/>
                <w:highlight w:val="none"/>
                <w:lang w:val="en-US" w:eastAsia="zh-CN"/>
              </w:rPr>
              <w:t>日常服务管理难点问题：</w:t>
            </w:r>
            <w:r>
              <w:rPr>
                <w:rFonts w:hint="eastAsia" w:ascii="Arial" w:hAnsi="Arial" w:cs="Arial"/>
                <w:color w:val="auto"/>
                <w:szCs w:val="21"/>
                <w:highlight w:val="none"/>
                <w:lang w:val="en-US" w:eastAsia="zh-CN"/>
              </w:rPr>
              <w:t>0-3</w:t>
            </w:r>
            <w:r>
              <w:rPr>
                <w:rFonts w:hint="eastAsia" w:ascii="Calibri" w:hAnsi="Calibri" w:cs="Calibri"/>
                <w:color w:val="auto"/>
                <w:szCs w:val="21"/>
                <w:highlight w:val="none"/>
                <w:lang w:val="en-US" w:eastAsia="zh-CN"/>
              </w:rPr>
              <w:t>分</w:t>
            </w:r>
            <w:r>
              <w:rPr>
                <w:rFonts w:hint="eastAsia" w:ascii="宋体" w:hAnsi="宋体" w:cs="宋体"/>
                <w:color w:val="auto"/>
                <w:kern w:val="28"/>
                <w:szCs w:val="21"/>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771" w:type="dxa"/>
            <w:vMerge w:val="continue"/>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Calibri" w:hAnsi="Calibri" w:cs="Calibri"/>
                <w:color w:val="auto"/>
                <w:szCs w:val="21"/>
              </w:rPr>
            </w:pPr>
          </w:p>
        </w:tc>
        <w:tc>
          <w:tcPr>
            <w:tcW w:w="1620" w:type="dxa"/>
            <w:vMerge w:val="continue"/>
            <w:noWrap w:val="0"/>
            <w:vAlign w:val="center"/>
          </w:tcPr>
          <w:p>
            <w:pPr>
              <w:keepNext w:val="0"/>
              <w:keepLines w:val="0"/>
              <w:widowControl/>
              <w:suppressLineNumbers w:val="0"/>
              <w:spacing w:before="0" w:beforeAutospacing="0" w:after="0" w:afterAutospacing="0" w:line="360" w:lineRule="auto"/>
              <w:ind w:left="0" w:right="0"/>
              <w:rPr>
                <w:rFonts w:hint="eastAsia" w:ascii="Calibri" w:hAnsi="Calibri" w:cs="Calibri"/>
                <w:color w:val="auto"/>
                <w:szCs w:val="21"/>
              </w:rPr>
            </w:pPr>
          </w:p>
        </w:tc>
        <w:tc>
          <w:tcPr>
            <w:tcW w:w="825" w:type="dxa"/>
            <w:vMerge w:val="continue"/>
            <w:noWrap w:val="0"/>
            <w:vAlign w:val="center"/>
          </w:tcPr>
          <w:p>
            <w:pPr>
              <w:keepNext w:val="0"/>
              <w:keepLines w:val="0"/>
              <w:widowControl/>
              <w:suppressLineNumbers w:val="0"/>
              <w:spacing w:before="0" w:beforeAutospacing="0" w:after="0" w:afterAutospacing="0" w:line="360" w:lineRule="auto"/>
              <w:ind w:left="0" w:right="0"/>
              <w:rPr>
                <w:rFonts w:hint="eastAsia" w:ascii="Calibri" w:hAnsi="Calibri" w:cs="Calibri"/>
                <w:color w:val="auto"/>
                <w:szCs w:val="21"/>
                <w:highlight w:val="none"/>
              </w:rPr>
            </w:pPr>
          </w:p>
        </w:tc>
        <w:tc>
          <w:tcPr>
            <w:tcW w:w="5828"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Calibri" w:hAnsi="Calibri" w:cs="Calibri"/>
                <w:color w:val="auto"/>
                <w:szCs w:val="21"/>
                <w:highlight w:val="none"/>
                <w:lang w:val="en-US" w:eastAsia="zh-CN"/>
              </w:rPr>
            </w:pPr>
            <w:r>
              <w:rPr>
                <w:rFonts w:hint="eastAsia" w:ascii="Calibri" w:hAnsi="Calibri" w:cs="Calibri"/>
                <w:color w:val="auto"/>
                <w:szCs w:val="21"/>
                <w:highlight w:val="none"/>
                <w:lang w:val="en-US" w:eastAsia="zh-CN"/>
              </w:rPr>
              <w:t>根据投标人针对提出的</w:t>
            </w:r>
            <w:r>
              <w:rPr>
                <w:rFonts w:hint="eastAsia" w:ascii="Times New Roman" w:hAnsi="Times New Roman" w:cs="Times New Roman"/>
                <w:color w:val="auto"/>
                <w:szCs w:val="20"/>
                <w:highlight w:val="none"/>
                <w:lang w:val="en-US" w:eastAsia="zh-CN"/>
              </w:rPr>
              <w:t>本项目</w:t>
            </w:r>
            <w:r>
              <w:rPr>
                <w:rFonts w:hint="eastAsia" w:ascii="Calibri" w:hAnsi="Calibri" w:cs="Calibri"/>
                <w:color w:val="auto"/>
                <w:szCs w:val="21"/>
                <w:highlight w:val="none"/>
                <w:lang w:val="en-US" w:eastAsia="zh-CN"/>
              </w:rPr>
              <w:t>日常服务管理的难点而提出解决问题的措施的有效性：</w:t>
            </w:r>
            <w:r>
              <w:rPr>
                <w:rFonts w:hint="eastAsia" w:ascii="Arial" w:hAnsi="Arial" w:cs="Arial"/>
                <w:color w:val="auto"/>
                <w:szCs w:val="21"/>
                <w:highlight w:val="none"/>
                <w:lang w:val="en-US" w:eastAsia="zh-CN"/>
              </w:rPr>
              <w:t>0-3</w:t>
            </w:r>
            <w:r>
              <w:rPr>
                <w:rFonts w:hint="eastAsia" w:ascii="Calibri" w:hAnsi="Calibri" w:cs="Calibri"/>
                <w:color w:val="auto"/>
                <w:szCs w:val="21"/>
                <w:highlight w:val="none"/>
                <w:lang w:val="en-US" w:eastAsia="zh-CN"/>
              </w:rPr>
              <w:t>分</w:t>
            </w:r>
            <w:r>
              <w:rPr>
                <w:rFonts w:hint="eastAsia" w:ascii="宋体" w:hAnsi="宋体" w:cs="宋体"/>
                <w:color w:val="auto"/>
                <w:kern w:val="28"/>
                <w:szCs w:val="21"/>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771" w:type="dxa"/>
            <w:vMerge w:val="continue"/>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Calibri" w:hAnsi="Calibri" w:cs="Calibri"/>
                <w:color w:val="auto"/>
                <w:szCs w:val="21"/>
              </w:rPr>
            </w:pPr>
          </w:p>
        </w:tc>
        <w:tc>
          <w:tcPr>
            <w:tcW w:w="1620" w:type="dxa"/>
            <w:vMerge w:val="continue"/>
            <w:noWrap w:val="0"/>
            <w:vAlign w:val="center"/>
          </w:tcPr>
          <w:p>
            <w:pPr>
              <w:keepNext w:val="0"/>
              <w:keepLines w:val="0"/>
              <w:widowControl/>
              <w:suppressLineNumbers w:val="0"/>
              <w:spacing w:before="0" w:beforeAutospacing="0" w:after="0" w:afterAutospacing="0" w:line="360" w:lineRule="auto"/>
              <w:ind w:left="0" w:right="0"/>
              <w:rPr>
                <w:rFonts w:hint="eastAsia" w:ascii="Calibri" w:hAnsi="Calibri" w:cs="Calibri"/>
                <w:color w:val="auto"/>
                <w:szCs w:val="21"/>
              </w:rPr>
            </w:pPr>
          </w:p>
        </w:tc>
        <w:tc>
          <w:tcPr>
            <w:tcW w:w="825" w:type="dxa"/>
            <w:vMerge w:val="continue"/>
            <w:noWrap w:val="0"/>
            <w:vAlign w:val="center"/>
          </w:tcPr>
          <w:p>
            <w:pPr>
              <w:keepNext w:val="0"/>
              <w:keepLines w:val="0"/>
              <w:widowControl/>
              <w:suppressLineNumbers w:val="0"/>
              <w:spacing w:before="0" w:beforeAutospacing="0" w:after="0" w:afterAutospacing="0" w:line="360" w:lineRule="auto"/>
              <w:ind w:left="0" w:right="0"/>
              <w:rPr>
                <w:rFonts w:hint="eastAsia" w:ascii="Calibri" w:hAnsi="Calibri" w:cs="Calibri"/>
                <w:color w:val="auto"/>
                <w:szCs w:val="21"/>
                <w:highlight w:val="none"/>
              </w:rPr>
            </w:pPr>
          </w:p>
        </w:tc>
        <w:tc>
          <w:tcPr>
            <w:tcW w:w="5828"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default" w:ascii="Calibri" w:hAnsi="Calibri" w:cs="Calibri"/>
                <w:color w:val="auto"/>
                <w:szCs w:val="21"/>
                <w:highlight w:val="none"/>
                <w:lang w:val="en-US"/>
              </w:rPr>
            </w:pPr>
            <w:r>
              <w:rPr>
                <w:rFonts w:hint="eastAsia" w:ascii="Calibri" w:hAnsi="Calibri" w:cs="Calibri"/>
                <w:color w:val="auto"/>
                <w:szCs w:val="21"/>
                <w:highlight w:val="none"/>
                <w:lang w:val="en-US" w:eastAsia="zh-CN"/>
              </w:rPr>
              <w:t>根据投标人提出的市政大院</w:t>
            </w:r>
            <w:r>
              <w:rPr>
                <w:rFonts w:hint="eastAsia" w:ascii="Times New Roman" w:hAnsi="Times New Roman" w:cs="Times New Roman"/>
                <w:color w:val="auto"/>
                <w:szCs w:val="20"/>
                <w:highlight w:val="none"/>
                <w:lang w:eastAsia="zh-CN"/>
              </w:rPr>
              <w:t>群体性上访</w:t>
            </w:r>
            <w:r>
              <w:rPr>
                <w:rFonts w:hint="eastAsia" w:ascii="Times New Roman" w:hAnsi="Times New Roman" w:cs="Times New Roman"/>
                <w:color w:val="auto"/>
                <w:szCs w:val="20"/>
                <w:highlight w:val="none"/>
                <w:lang w:val="en-US" w:eastAsia="zh-CN"/>
              </w:rPr>
              <w:t>事件的</w:t>
            </w:r>
            <w:r>
              <w:rPr>
                <w:rFonts w:hint="eastAsia" w:ascii="Times New Roman" w:hAnsi="Times New Roman" w:cs="Times New Roman"/>
                <w:color w:val="auto"/>
                <w:szCs w:val="20"/>
                <w:highlight w:val="none"/>
                <w:lang w:eastAsia="zh-CN"/>
              </w:rPr>
              <w:t>预案：</w:t>
            </w:r>
            <w:r>
              <w:rPr>
                <w:rFonts w:hint="eastAsia" w:ascii="Times New Roman" w:hAnsi="Times New Roman" w:cs="Times New Roman"/>
                <w:color w:val="auto"/>
                <w:szCs w:val="20"/>
                <w:highlight w:val="none"/>
                <w:lang w:val="en-US" w:eastAsia="zh-CN"/>
              </w:rPr>
              <w:t>0-3分（主观）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trPr>
        <w:tc>
          <w:tcPr>
            <w:tcW w:w="771" w:type="dxa"/>
            <w:noWrap w:val="0"/>
            <w:vAlign w:val="center"/>
          </w:tcPr>
          <w:p>
            <w:pPr>
              <w:keepNext w:val="0"/>
              <w:keepLines w:val="0"/>
              <w:widowControl/>
              <w:suppressLineNumbers w:val="0"/>
              <w:spacing w:before="0" w:beforeAutospacing="0" w:after="0" w:afterAutospacing="0" w:line="360" w:lineRule="auto"/>
              <w:ind w:left="0" w:right="3"/>
              <w:jc w:val="center"/>
              <w:rPr>
                <w:rFonts w:hint="default" w:ascii="宋体" w:hAnsi="宋体" w:eastAsia="宋体" w:cs="宋体"/>
                <w:color w:val="auto"/>
                <w:szCs w:val="21"/>
                <w:lang w:val="en-US" w:eastAsia="zh-CN"/>
              </w:rPr>
            </w:pPr>
            <w:r>
              <w:rPr>
                <w:rFonts w:hint="eastAsia" w:ascii="Times New Roman" w:hAnsi="Times New Roman" w:cs="Times New Roman"/>
                <w:b/>
                <w:color w:val="auto"/>
                <w:szCs w:val="21"/>
                <w:lang w:val="en-US" w:eastAsia="zh-CN"/>
              </w:rPr>
              <w:t>5</w:t>
            </w:r>
          </w:p>
        </w:tc>
        <w:tc>
          <w:tcPr>
            <w:tcW w:w="162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color w:val="auto"/>
                <w:szCs w:val="21"/>
              </w:rPr>
            </w:pPr>
            <w:r>
              <w:rPr>
                <w:rFonts w:hint="eastAsia" w:ascii="宋体" w:hAnsi="宋体" w:cs="Arial"/>
                <w:b/>
                <w:bCs/>
                <w:color w:val="auto"/>
                <w:kern w:val="28"/>
                <w:szCs w:val="20"/>
              </w:rPr>
              <w:t>报价评标</w:t>
            </w:r>
          </w:p>
        </w:tc>
        <w:tc>
          <w:tcPr>
            <w:tcW w:w="82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Arial"/>
                <w:b/>
                <w:bCs/>
                <w:color w:val="auto"/>
                <w:kern w:val="28"/>
                <w:szCs w:val="20"/>
              </w:rPr>
            </w:pPr>
            <w:r>
              <w:rPr>
                <w:rFonts w:hint="eastAsia" w:ascii="宋体" w:hAnsi="宋体" w:cs="Arial"/>
                <w:b/>
                <w:bCs/>
                <w:color w:val="auto"/>
                <w:kern w:val="28"/>
                <w:szCs w:val="20"/>
                <w:lang w:val="en-US" w:eastAsia="zh-CN"/>
              </w:rPr>
              <w:t>1</w:t>
            </w:r>
            <w:r>
              <w:rPr>
                <w:rFonts w:hint="eastAsia" w:ascii="宋体" w:hAnsi="宋体" w:cs="Arial"/>
                <w:b/>
                <w:bCs/>
                <w:color w:val="auto"/>
                <w:kern w:val="28"/>
                <w:szCs w:val="20"/>
              </w:rPr>
              <w:t>0分</w:t>
            </w:r>
          </w:p>
        </w:tc>
        <w:tc>
          <w:tcPr>
            <w:tcW w:w="5828" w:type="dxa"/>
            <w:noWrap w:val="0"/>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cs="Arial"/>
                <w:b w:val="0"/>
                <w:bCs w:val="0"/>
                <w:color w:val="auto"/>
                <w:kern w:val="28"/>
                <w:szCs w:val="20"/>
              </w:rPr>
            </w:pPr>
            <w:r>
              <w:rPr>
                <w:rFonts w:hint="eastAsia" w:ascii="宋体" w:hAnsi="宋体" w:cs="Arial"/>
                <w:b w:val="0"/>
                <w:bCs w:val="0"/>
                <w:color w:val="auto"/>
                <w:kern w:val="28"/>
                <w:szCs w:val="20"/>
              </w:rPr>
              <w:t>价格分统一采用低价优先法计算，即满足招标文件要求且投标价格最低的投标报价为评标基准价，其价格分为满分。其他投标人的价格分统一按照下列公式计算：投标报价得分：（评标基准价/投标报价）*</w:t>
            </w:r>
            <w:r>
              <w:rPr>
                <w:rFonts w:hint="eastAsia" w:ascii="宋体" w:hAnsi="宋体" w:cs="Arial"/>
                <w:b w:val="0"/>
                <w:bCs w:val="0"/>
                <w:color w:val="auto"/>
                <w:kern w:val="28"/>
                <w:szCs w:val="20"/>
                <w:lang w:val="en-US" w:eastAsia="zh-CN"/>
              </w:rPr>
              <w:t>1</w:t>
            </w:r>
            <w:r>
              <w:rPr>
                <w:rFonts w:hint="eastAsia" w:ascii="宋体" w:hAnsi="宋体" w:cs="Arial"/>
                <w:b w:val="0"/>
                <w:bCs w:val="0"/>
                <w:color w:val="auto"/>
                <w:kern w:val="28"/>
                <w:szCs w:val="20"/>
              </w:rPr>
              <w:t>0.00。计算分数时四舍五入取小数点后两位。</w:t>
            </w:r>
          </w:p>
        </w:tc>
      </w:tr>
    </w:tbl>
    <w:p>
      <w:pPr>
        <w:pStyle w:val="2"/>
        <w:rPr>
          <w:rFonts w:hint="eastAsia"/>
          <w:color w:val="auto"/>
          <w:lang w:eastAsia="zh-CN"/>
        </w:rPr>
      </w:pPr>
    </w:p>
    <w:bookmarkEnd w:id="641"/>
    <w:p>
      <w:pPr>
        <w:pStyle w:val="2"/>
        <w:keepNext w:val="0"/>
        <w:keepLines w:val="0"/>
        <w:pageBreakBefore/>
        <w:spacing w:before="312" w:beforeLines="100" w:after="312" w:afterLines="100" w:line="320" w:lineRule="exact"/>
        <w:jc w:val="center"/>
        <w:rPr>
          <w:rFonts w:hint="eastAsia" w:ascii="Arial" w:hAnsi="Arial"/>
          <w:color w:val="auto"/>
        </w:rPr>
      </w:pPr>
      <w:bookmarkStart w:id="829" w:name="_Toc11451"/>
      <w:bookmarkStart w:id="830" w:name="_Toc19352"/>
      <w:bookmarkStart w:id="831" w:name="_Toc18224"/>
      <w:bookmarkStart w:id="832" w:name="_Toc12203"/>
      <w:bookmarkStart w:id="833" w:name="_Toc19093"/>
      <w:bookmarkStart w:id="834" w:name="_Toc6426"/>
      <w:bookmarkStart w:id="835" w:name="_Toc23114"/>
      <w:bookmarkStart w:id="836" w:name="_Toc3305"/>
      <w:bookmarkStart w:id="837" w:name="_Toc30607"/>
      <w:bookmarkStart w:id="838" w:name="_Toc18603"/>
      <w:bookmarkStart w:id="839" w:name="_Toc430"/>
      <w:bookmarkStart w:id="840" w:name="_Toc6071"/>
      <w:bookmarkStart w:id="841" w:name="_Toc26645"/>
      <w:bookmarkStart w:id="842" w:name="_Toc28910"/>
      <w:bookmarkStart w:id="843" w:name="_Toc16270"/>
      <w:bookmarkStart w:id="844" w:name="_Toc6161"/>
      <w:bookmarkStart w:id="845" w:name="_Toc3077"/>
      <w:bookmarkStart w:id="846" w:name="_Toc14063"/>
      <w:bookmarkStart w:id="847" w:name="_Toc12313"/>
      <w:bookmarkStart w:id="848" w:name="_Toc16349"/>
      <w:bookmarkStart w:id="849" w:name="_Toc31558"/>
      <w:bookmarkStart w:id="850" w:name="_Toc30985"/>
      <w:bookmarkStart w:id="851" w:name="_Toc28864"/>
      <w:bookmarkStart w:id="852" w:name="_Toc31500"/>
      <w:bookmarkStart w:id="853" w:name="_Toc26603"/>
      <w:bookmarkStart w:id="854" w:name="_Toc29756"/>
      <w:bookmarkStart w:id="855" w:name="_Toc10615"/>
      <w:bookmarkStart w:id="856" w:name="_Toc32164"/>
      <w:bookmarkStart w:id="857" w:name="_Toc26588"/>
      <w:bookmarkStart w:id="858" w:name="_Toc27315"/>
      <w:r>
        <w:rPr>
          <w:rFonts w:hint="eastAsia" w:hAnsi="宋体"/>
          <w:color w:val="auto"/>
          <w:sz w:val="28"/>
          <w:szCs w:val="36"/>
          <w:lang w:eastAsia="zh-CN"/>
        </w:rPr>
        <w:t>第五部分</w:t>
      </w:r>
      <w:r>
        <w:rPr>
          <w:rFonts w:hint="eastAsia" w:hAnsi="宋体"/>
          <w:color w:val="auto"/>
          <w:sz w:val="28"/>
          <w:szCs w:val="36"/>
        </w:rPr>
        <w:t xml:space="preserve">  合同条款</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Fonts w:hint="eastAsia" w:hAnsi="宋体"/>
          <w:color w:val="auto"/>
          <w:sz w:val="28"/>
          <w:szCs w:val="36"/>
          <w:lang w:eastAsia="zh-CN"/>
        </w:rPr>
        <w:t>（</w:t>
      </w:r>
      <w:r>
        <w:rPr>
          <w:rFonts w:hint="eastAsia" w:hAnsi="宋体"/>
          <w:color w:val="auto"/>
          <w:sz w:val="28"/>
          <w:szCs w:val="36"/>
          <w:lang w:val="en-US" w:eastAsia="zh-CN"/>
        </w:rPr>
        <w:t>服务</w:t>
      </w:r>
      <w:r>
        <w:rPr>
          <w:rFonts w:hint="eastAsia" w:hAnsi="宋体"/>
          <w:color w:val="auto"/>
          <w:sz w:val="28"/>
          <w:szCs w:val="36"/>
          <w:lang w:eastAsia="zh-CN"/>
        </w:rPr>
        <w:t>）</w:t>
      </w:r>
      <w:bookmarkEnd w:id="847"/>
      <w:bookmarkEnd w:id="848"/>
      <w:bookmarkEnd w:id="849"/>
      <w:bookmarkEnd w:id="850"/>
      <w:bookmarkEnd w:id="851"/>
      <w:bookmarkEnd w:id="852"/>
      <w:bookmarkEnd w:id="853"/>
      <w:bookmarkEnd w:id="854"/>
      <w:bookmarkEnd w:id="855"/>
      <w:bookmarkEnd w:id="856"/>
      <w:bookmarkEnd w:id="857"/>
      <w:bookmarkEnd w:id="858"/>
      <w:r>
        <w:rPr>
          <w:rFonts w:hint="eastAsia" w:ascii="Arial" w:hAnsi="Arial"/>
          <w:color w:val="auto"/>
        </w:rPr>
        <w:t xml:space="preserve">                                     </w:t>
      </w:r>
    </w:p>
    <w:p>
      <w:pPr>
        <w:snapToGrid w:val="0"/>
        <w:spacing w:line="360" w:lineRule="auto"/>
        <w:jc w:val="center"/>
        <w:outlineLvl w:val="1"/>
        <w:rPr>
          <w:rFonts w:hint="eastAsia" w:ascii="宋体" w:hAnsi="宋体" w:cs="宋体"/>
          <w:color w:val="auto"/>
          <w:szCs w:val="21"/>
          <w:lang w:val="en-US" w:eastAsia="zh-CN"/>
        </w:rPr>
      </w:pPr>
      <w:bookmarkStart w:id="859" w:name="_Toc1052"/>
      <w:bookmarkStart w:id="860" w:name="_Toc12337"/>
      <w:bookmarkStart w:id="861" w:name="_Toc21735"/>
      <w:bookmarkStart w:id="862" w:name="_Toc25645"/>
      <w:bookmarkStart w:id="863" w:name="_Toc23365"/>
      <w:bookmarkStart w:id="864" w:name="_Toc12889"/>
      <w:bookmarkStart w:id="865" w:name="_Toc17251"/>
      <w:bookmarkStart w:id="866" w:name="_Toc5430"/>
      <w:bookmarkStart w:id="867" w:name="_Toc17993"/>
      <w:bookmarkStart w:id="868" w:name="_Toc17015"/>
      <w:bookmarkStart w:id="869" w:name="_Toc10854"/>
      <w:bookmarkStart w:id="870" w:name="_Toc19434"/>
      <w:bookmarkStart w:id="871" w:name="_Toc32628"/>
      <w:bookmarkStart w:id="872" w:name="_Toc3661"/>
      <w:bookmarkStart w:id="873" w:name="_Toc2529"/>
      <w:bookmarkStart w:id="874" w:name="_Toc22714"/>
      <w:bookmarkStart w:id="875" w:name="_Toc26773"/>
      <w:bookmarkStart w:id="876" w:name="_Toc5050"/>
      <w:bookmarkStart w:id="877" w:name="_Toc16739"/>
      <w:bookmarkStart w:id="878" w:name="_Toc5423"/>
      <w:bookmarkStart w:id="879" w:name="_Toc19249"/>
      <w:bookmarkStart w:id="880" w:name="_Toc23505"/>
      <w:bookmarkStart w:id="881" w:name="_Toc16578"/>
      <w:bookmarkStart w:id="882" w:name="_Toc14827"/>
      <w:bookmarkStart w:id="883" w:name="_Toc31370"/>
      <w:bookmarkStart w:id="884" w:name="_Toc14351"/>
      <w:bookmarkStart w:id="885" w:name="_Toc1037"/>
      <w:bookmarkStart w:id="886" w:name="_Toc544"/>
      <w:bookmarkStart w:id="887" w:name="_Toc17378"/>
      <w:bookmarkStart w:id="888" w:name="_Toc17314"/>
      <w:bookmarkStart w:id="889" w:name="_Toc138"/>
      <w:bookmarkStart w:id="890" w:name="_Toc15121"/>
      <w:bookmarkStart w:id="891" w:name="_Toc23368"/>
      <w:bookmarkStart w:id="892" w:name="_Toc1719"/>
      <w:bookmarkStart w:id="893" w:name="_Toc31259"/>
      <w:bookmarkStart w:id="894" w:name="_Toc30430"/>
    </w:p>
    <w:p>
      <w:pPr>
        <w:snapToGrid w:val="0"/>
        <w:spacing w:line="360" w:lineRule="auto"/>
        <w:jc w:val="both"/>
        <w:rPr>
          <w:rFonts w:ascii="宋体" w:hAnsi="宋体" w:cs="宋体"/>
          <w:color w:val="auto"/>
          <w:szCs w:val="21"/>
        </w:rPr>
      </w:pPr>
      <w:r>
        <w:rPr>
          <w:rFonts w:hint="eastAsia" w:ascii="宋体" w:hAnsi="宋体" w:cs="宋体"/>
          <w:color w:val="auto"/>
          <w:szCs w:val="21"/>
        </w:rPr>
        <w:t xml:space="preserve">采购人：               （以下简称甲方） </w:t>
      </w:r>
    </w:p>
    <w:p>
      <w:pPr>
        <w:snapToGrid w:val="0"/>
        <w:spacing w:line="360" w:lineRule="auto"/>
        <w:jc w:val="both"/>
        <w:rPr>
          <w:rFonts w:hint="eastAsia" w:ascii="宋体" w:hAnsi="宋体" w:cs="宋体"/>
          <w:color w:val="auto"/>
          <w:szCs w:val="21"/>
        </w:rPr>
      </w:pPr>
      <w:r>
        <w:rPr>
          <w:rFonts w:hint="eastAsia" w:ascii="宋体" w:hAnsi="宋体" w:cs="宋体"/>
          <w:color w:val="auto"/>
          <w:szCs w:val="21"/>
        </w:rPr>
        <w:t>中标人：               （以下简称乙方）</w:t>
      </w:r>
    </w:p>
    <w:p>
      <w:pPr>
        <w:snapToGrid w:val="0"/>
        <w:spacing w:line="360" w:lineRule="auto"/>
        <w:ind w:left="0" w:leftChars="0" w:firstLine="0" w:firstLineChars="0"/>
        <w:rPr>
          <w:rFonts w:hint="eastAsia" w:ascii="宋体" w:hAnsi="宋体" w:cs="宋体"/>
          <w:color w:val="auto"/>
          <w:szCs w:val="21"/>
        </w:rPr>
      </w:pPr>
      <w:r>
        <w:rPr>
          <w:rFonts w:hint="eastAsia" w:ascii="宋体" w:hAnsi="宋体" w:cs="宋体"/>
          <w:color w:val="auto"/>
          <w:szCs w:val="21"/>
        </w:rPr>
        <w:t>本合同是否为中小企业预留合同：</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是</w:t>
      </w:r>
      <w:r>
        <w:rPr>
          <w:rFonts w:hint="eastAsia" w:ascii="宋体" w:hAnsi="宋体" w:cs="宋体"/>
          <w:color w:val="auto"/>
          <w:szCs w:val="21"/>
          <w:u w:val="single"/>
        </w:rPr>
        <w:t xml:space="preserve">   </w:t>
      </w:r>
      <w:r>
        <w:rPr>
          <w:rFonts w:hint="eastAsia" w:ascii="宋体" w:hAnsi="宋体" w:cs="宋体"/>
          <w:color w:val="auto"/>
          <w:szCs w:val="21"/>
        </w:rPr>
        <w:t>（是/否）</w:t>
      </w:r>
    </w:p>
    <w:p>
      <w:pPr>
        <w:numPr>
          <w:ilvl w:val="0"/>
          <w:numId w:val="79"/>
        </w:numPr>
        <w:spacing w:line="360" w:lineRule="auto"/>
        <w:ind w:firstLine="420" w:firstLineChars="200"/>
        <w:rPr>
          <w:rFonts w:ascii="宋体" w:hAnsi="宋体" w:cs="宋体"/>
          <w:color w:val="auto"/>
          <w:szCs w:val="21"/>
        </w:rPr>
      </w:pPr>
      <w:r>
        <w:rPr>
          <w:rFonts w:hint="eastAsia" w:ascii="宋体" w:hAnsi="宋体" w:cs="宋体"/>
          <w:color w:val="auto"/>
          <w:szCs w:val="21"/>
        </w:rPr>
        <w:t>乙双方根据《中华人民共和国民法典》等有关法律规定及招标文件、补充文件和乙方的投标文件、澄清文件内容及服务承诺，本着友好合作、协商一致的原则，就乙方承包甲方物业管理服务项目的有关事宜达成协议如下：</w:t>
      </w:r>
    </w:p>
    <w:p>
      <w:pPr>
        <w:spacing w:beforeLines="50" w:afterLines="50" w:line="360" w:lineRule="auto"/>
        <w:outlineLvl w:val="1"/>
        <w:rPr>
          <w:rFonts w:ascii="宋体" w:hAnsi="宋体" w:cs="宋体"/>
          <w:b/>
          <w:bCs/>
          <w:color w:val="auto"/>
          <w:szCs w:val="21"/>
        </w:rPr>
      </w:pPr>
      <w:bookmarkStart w:id="895" w:name="_Toc200785155"/>
      <w:bookmarkStart w:id="896" w:name="_Toc21158"/>
      <w:bookmarkStart w:id="897" w:name="_Toc16657"/>
      <w:bookmarkStart w:id="898" w:name="_Toc61254372"/>
      <w:bookmarkStart w:id="899" w:name="_Toc18345"/>
      <w:bookmarkStart w:id="900" w:name="_Toc11380"/>
      <w:bookmarkStart w:id="901" w:name="_Toc200784869"/>
      <w:bookmarkStart w:id="902" w:name="_Toc7377"/>
      <w:bookmarkStart w:id="903" w:name="_Toc5934"/>
      <w:bookmarkStart w:id="904" w:name="_Toc19864"/>
      <w:bookmarkStart w:id="905" w:name="_Toc20791"/>
      <w:bookmarkStart w:id="906" w:name="_Toc354663669"/>
      <w:bookmarkStart w:id="907" w:name="_Toc353942586"/>
      <w:bookmarkStart w:id="908" w:name="_Toc6130"/>
      <w:bookmarkStart w:id="909" w:name="_Toc17088"/>
      <w:bookmarkStart w:id="910" w:name="_Toc17551"/>
      <w:bookmarkStart w:id="911" w:name="_Toc26209481"/>
      <w:bookmarkStart w:id="912" w:name="_Toc16382"/>
      <w:bookmarkStart w:id="913" w:name="_Toc30083"/>
      <w:bookmarkStart w:id="914" w:name="_Toc30577"/>
      <w:bookmarkStart w:id="915" w:name="_Toc11112"/>
      <w:bookmarkStart w:id="916" w:name="_Toc206"/>
      <w:bookmarkStart w:id="917" w:name="_Toc1760"/>
      <w:bookmarkStart w:id="918" w:name="_Toc332195225"/>
      <w:bookmarkStart w:id="919" w:name="_Toc13607"/>
      <w:bookmarkStart w:id="920" w:name="_Toc24030159"/>
      <w:r>
        <w:rPr>
          <w:rFonts w:hint="eastAsia" w:ascii="宋体" w:hAnsi="宋体" w:cs="宋体"/>
          <w:b/>
          <w:bCs/>
          <w:color w:val="auto"/>
          <w:szCs w:val="21"/>
        </w:rPr>
        <w:t>第一条  物业基本情况：</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numPr>
          <w:ilvl w:val="0"/>
          <w:numId w:val="80"/>
        </w:numPr>
        <w:spacing w:line="360" w:lineRule="auto"/>
        <w:ind w:left="5" w:firstLine="415"/>
        <w:rPr>
          <w:rFonts w:ascii="宋体" w:hAnsi="宋体" w:cs="宋体"/>
          <w:color w:val="auto"/>
          <w:szCs w:val="21"/>
        </w:rPr>
      </w:pPr>
      <w:r>
        <w:rPr>
          <w:rFonts w:hint="eastAsia" w:ascii="宋体" w:hAnsi="宋体" w:cs="宋体"/>
          <w:color w:val="auto"/>
          <w:szCs w:val="21"/>
        </w:rPr>
        <w:t>物业名称：</w:t>
      </w:r>
      <w:r>
        <w:rPr>
          <w:rFonts w:hint="eastAsia" w:ascii="宋体" w:hAnsi="宋体" w:cs="宋体"/>
          <w:color w:val="auto"/>
          <w:szCs w:val="21"/>
          <w:lang w:val="en-US" w:eastAsia="zh-CN"/>
        </w:rPr>
        <w:t>瑞安市政大院及人民广场</w:t>
      </w:r>
    </w:p>
    <w:p>
      <w:pPr>
        <w:numPr>
          <w:ilvl w:val="0"/>
          <w:numId w:val="80"/>
        </w:numPr>
        <w:spacing w:line="360" w:lineRule="auto"/>
        <w:ind w:left="5" w:firstLine="415"/>
        <w:rPr>
          <w:rFonts w:ascii="宋体" w:hAnsi="宋体" w:cs="宋体"/>
          <w:color w:val="auto"/>
          <w:szCs w:val="21"/>
          <w:highlight w:val="none"/>
        </w:rPr>
      </w:pPr>
      <w:r>
        <w:rPr>
          <w:rFonts w:hint="eastAsia" w:ascii="宋体" w:hAnsi="宋体" w:cs="宋体"/>
          <w:color w:val="auto"/>
          <w:szCs w:val="21"/>
          <w:highlight w:val="none"/>
          <w:lang w:eastAsia="zh-CN"/>
        </w:rPr>
        <w:t>物业管理服务</w:t>
      </w:r>
      <w:r>
        <w:rPr>
          <w:rFonts w:hint="eastAsia" w:ascii="宋体" w:hAnsi="宋体" w:cs="宋体"/>
          <w:color w:val="auto"/>
          <w:szCs w:val="21"/>
          <w:highlight w:val="none"/>
        </w:rPr>
        <w:t>区域：</w:t>
      </w:r>
      <w:r>
        <w:rPr>
          <w:rFonts w:hint="eastAsia" w:ascii="宋体" w:hAnsi="宋体" w:cs="宋体"/>
          <w:color w:val="auto"/>
          <w:szCs w:val="21"/>
          <w:highlight w:val="none"/>
          <w:lang w:val="en-US" w:eastAsia="zh-CN"/>
        </w:rPr>
        <w:t>瑞安市政大院及人民广场</w:t>
      </w:r>
      <w:r>
        <w:rPr>
          <w:rFonts w:hint="eastAsia" w:ascii="宋体" w:hAnsi="宋体"/>
          <w:color w:val="auto"/>
          <w:highlight w:val="none"/>
        </w:rPr>
        <w:t>全区域</w:t>
      </w:r>
    </w:p>
    <w:p>
      <w:pPr>
        <w:spacing w:beforeLines="50" w:afterLines="50" w:line="360" w:lineRule="auto"/>
        <w:outlineLvl w:val="1"/>
        <w:rPr>
          <w:rFonts w:ascii="宋体" w:hAnsi="宋体" w:cs="宋体"/>
          <w:b/>
          <w:bCs/>
          <w:color w:val="auto"/>
          <w:szCs w:val="21"/>
          <w:highlight w:val="none"/>
        </w:rPr>
      </w:pPr>
      <w:bookmarkStart w:id="921" w:name="_Toc2118"/>
      <w:bookmarkStart w:id="922" w:name="_Toc31552"/>
      <w:bookmarkStart w:id="923" w:name="_Toc2612"/>
      <w:bookmarkStart w:id="924" w:name="_Toc30188"/>
      <w:bookmarkStart w:id="925" w:name="_Toc25676"/>
      <w:bookmarkStart w:id="926" w:name="_Toc29378"/>
      <w:r>
        <w:rPr>
          <w:rFonts w:hint="eastAsia" w:ascii="宋体" w:hAnsi="宋体" w:cs="宋体"/>
          <w:b/>
          <w:bCs/>
          <w:color w:val="auto"/>
          <w:szCs w:val="21"/>
          <w:highlight w:val="none"/>
        </w:rPr>
        <w:t xml:space="preserve">第二条  </w:t>
      </w:r>
      <w:r>
        <w:rPr>
          <w:rFonts w:hint="eastAsia" w:ascii="宋体" w:hAnsi="宋体" w:cs="宋体"/>
          <w:b/>
          <w:bCs/>
          <w:color w:val="auto"/>
          <w:szCs w:val="21"/>
          <w:highlight w:val="none"/>
          <w:lang w:eastAsia="zh-CN"/>
        </w:rPr>
        <w:t>物业管理服务</w:t>
      </w:r>
      <w:r>
        <w:rPr>
          <w:rFonts w:hint="eastAsia" w:ascii="宋体" w:hAnsi="宋体" w:cs="宋体"/>
          <w:b/>
          <w:bCs/>
          <w:color w:val="auto"/>
          <w:szCs w:val="21"/>
          <w:highlight w:val="none"/>
        </w:rPr>
        <w:t>期限：</w:t>
      </w:r>
      <w:bookmarkEnd w:id="921"/>
      <w:bookmarkEnd w:id="922"/>
      <w:bookmarkEnd w:id="923"/>
      <w:bookmarkEnd w:id="924"/>
      <w:bookmarkEnd w:id="925"/>
      <w:bookmarkEnd w:id="926"/>
    </w:p>
    <w:p>
      <w:pPr>
        <w:spacing w:line="360" w:lineRule="auto"/>
        <w:ind w:firstLine="440" w:firstLineChars="200"/>
        <w:rPr>
          <w:rFonts w:ascii="宋体" w:hAnsi="宋体" w:cs="宋体"/>
          <w:color w:val="auto"/>
          <w:szCs w:val="21"/>
          <w:highlight w:val="none"/>
        </w:rPr>
      </w:pPr>
      <w:r>
        <w:rPr>
          <w:rFonts w:hint="eastAsia" w:ascii="新宋体" w:hAnsi="新宋体" w:eastAsia="新宋体" w:cs="新宋体"/>
          <w:color w:val="auto"/>
          <w:sz w:val="22"/>
          <w:szCs w:val="22"/>
          <w:highlight w:val="none"/>
        </w:rPr>
        <w:t>服务承包期为三年</w:t>
      </w:r>
      <w:r>
        <w:rPr>
          <w:rFonts w:hint="eastAsia" w:ascii="宋体" w:hAnsi="宋体" w:cs="宋体"/>
          <w:color w:val="auto"/>
          <w:szCs w:val="21"/>
          <w:highlight w:val="none"/>
        </w:rPr>
        <w:t>。合同一年一签，一年服务期满</w:t>
      </w:r>
      <w:r>
        <w:rPr>
          <w:rFonts w:hint="eastAsia"/>
          <w:color w:val="auto"/>
          <w:szCs w:val="22"/>
          <w:highlight w:val="none"/>
        </w:rPr>
        <w:t>后，乙方的服务达到甲方的考核标准</w:t>
      </w:r>
      <w:r>
        <w:rPr>
          <w:rFonts w:hint="eastAsia"/>
          <w:color w:val="auto"/>
          <w:szCs w:val="22"/>
          <w:highlight w:val="none"/>
          <w:lang w:eastAsia="zh-CN"/>
        </w:rPr>
        <w:t>（</w:t>
      </w:r>
      <w:r>
        <w:rPr>
          <w:rFonts w:hint="eastAsia"/>
          <w:color w:val="auto"/>
          <w:szCs w:val="22"/>
          <w:highlight w:val="none"/>
        </w:rPr>
        <w:t>月考核平均得分达到</w:t>
      </w:r>
      <w:r>
        <w:rPr>
          <w:rFonts w:hint="eastAsia"/>
          <w:color w:val="auto"/>
          <w:szCs w:val="22"/>
          <w:highlight w:val="none"/>
          <w:lang w:val="en-US" w:eastAsia="zh-CN"/>
        </w:rPr>
        <w:t>85</w:t>
      </w:r>
      <w:r>
        <w:rPr>
          <w:rFonts w:hint="eastAsia"/>
          <w:color w:val="auto"/>
          <w:szCs w:val="22"/>
          <w:highlight w:val="none"/>
        </w:rPr>
        <w:t>分</w:t>
      </w:r>
      <w:r>
        <w:rPr>
          <w:rFonts w:hint="eastAsia"/>
          <w:color w:val="auto"/>
          <w:szCs w:val="22"/>
          <w:highlight w:val="none"/>
          <w:lang w:eastAsia="zh-CN"/>
        </w:rPr>
        <w:t>（</w:t>
      </w:r>
      <w:r>
        <w:rPr>
          <w:rFonts w:hint="eastAsia"/>
          <w:color w:val="auto"/>
          <w:szCs w:val="22"/>
          <w:highlight w:val="none"/>
          <w:lang w:val="en-US" w:eastAsia="zh-CN"/>
        </w:rPr>
        <w:t>含</w:t>
      </w:r>
      <w:r>
        <w:rPr>
          <w:rFonts w:hint="eastAsia"/>
          <w:color w:val="auto"/>
          <w:szCs w:val="22"/>
          <w:highlight w:val="none"/>
          <w:lang w:eastAsia="zh-CN"/>
        </w:rPr>
        <w:t>）</w:t>
      </w:r>
      <w:r>
        <w:rPr>
          <w:rFonts w:hint="eastAsia"/>
          <w:color w:val="auto"/>
          <w:szCs w:val="22"/>
          <w:highlight w:val="none"/>
          <w:lang w:val="en-US" w:eastAsia="zh-CN"/>
        </w:rPr>
        <w:t>以上</w:t>
      </w:r>
      <w:r>
        <w:rPr>
          <w:rFonts w:hint="eastAsia"/>
          <w:color w:val="auto"/>
          <w:szCs w:val="22"/>
          <w:highlight w:val="none"/>
          <w:lang w:eastAsia="zh-CN"/>
        </w:rPr>
        <w:t>）</w:t>
      </w:r>
      <w:r>
        <w:rPr>
          <w:rFonts w:hint="eastAsia"/>
          <w:color w:val="auto"/>
          <w:szCs w:val="22"/>
          <w:highlight w:val="none"/>
        </w:rPr>
        <w:t>，可再续签下一年合同，若乙方有违约行为，或服务质量未达到标准，甲方有权单方面解除合同或不续签下一年合同。</w:t>
      </w:r>
    </w:p>
    <w:p>
      <w:pPr>
        <w:spacing w:beforeLines="50" w:afterLines="50" w:line="360" w:lineRule="auto"/>
        <w:outlineLvl w:val="1"/>
        <w:rPr>
          <w:rFonts w:ascii="宋体" w:hAnsi="宋体" w:cs="宋体"/>
          <w:b/>
          <w:bCs/>
          <w:color w:val="auto"/>
          <w:szCs w:val="21"/>
        </w:rPr>
      </w:pPr>
      <w:bookmarkStart w:id="927" w:name="_Toc26456"/>
      <w:bookmarkStart w:id="928" w:name="_Toc200785156"/>
      <w:bookmarkStart w:id="929" w:name="_Toc2533"/>
      <w:bookmarkStart w:id="930" w:name="_Toc32032"/>
      <w:bookmarkStart w:id="931" w:name="_Toc28118"/>
      <w:bookmarkStart w:id="932" w:name="_Toc25473"/>
      <w:bookmarkStart w:id="933" w:name="_Toc6918"/>
      <w:bookmarkStart w:id="934" w:name="_Toc26209482"/>
      <w:bookmarkStart w:id="935" w:name="_Toc354663670"/>
      <w:bookmarkStart w:id="936" w:name="_Toc20454"/>
      <w:bookmarkStart w:id="937" w:name="_Toc16800"/>
      <w:bookmarkStart w:id="938" w:name="_Toc16668"/>
      <w:bookmarkStart w:id="939" w:name="_Toc24030160"/>
      <w:bookmarkStart w:id="940" w:name="_Toc2985"/>
      <w:bookmarkStart w:id="941" w:name="_Toc25177"/>
      <w:bookmarkStart w:id="942" w:name="_Toc31275"/>
      <w:bookmarkStart w:id="943" w:name="_Toc61254373"/>
      <w:bookmarkStart w:id="944" w:name="_Toc353942587"/>
      <w:bookmarkStart w:id="945" w:name="_Toc1640"/>
      <w:bookmarkStart w:id="946" w:name="_Toc3247"/>
      <w:bookmarkStart w:id="947" w:name="_Toc30306"/>
      <w:bookmarkStart w:id="948" w:name="_Toc1556"/>
      <w:bookmarkStart w:id="949" w:name="_Toc4194"/>
      <w:bookmarkStart w:id="950" w:name="_Toc200784870"/>
      <w:bookmarkStart w:id="951" w:name="_Toc20268"/>
      <w:bookmarkStart w:id="952" w:name="_Toc6331"/>
      <w:bookmarkStart w:id="953" w:name="_Toc332195226"/>
      <w:r>
        <w:rPr>
          <w:rFonts w:hint="eastAsia" w:ascii="宋体" w:hAnsi="宋体" w:cs="宋体"/>
          <w:b/>
          <w:bCs/>
          <w:color w:val="auto"/>
          <w:szCs w:val="21"/>
        </w:rPr>
        <w:t xml:space="preserve">第三条  </w:t>
      </w:r>
      <w:r>
        <w:rPr>
          <w:rFonts w:hint="eastAsia" w:ascii="宋体" w:hAnsi="宋体" w:cs="宋体"/>
          <w:b/>
          <w:bCs/>
          <w:color w:val="auto"/>
          <w:szCs w:val="21"/>
          <w:lang w:eastAsia="zh-CN"/>
        </w:rPr>
        <w:t>物业管理服务</w:t>
      </w:r>
      <w:r>
        <w:rPr>
          <w:rFonts w:hint="eastAsia" w:ascii="宋体" w:hAnsi="宋体" w:cs="宋体"/>
          <w:b/>
          <w:bCs/>
          <w:color w:val="auto"/>
          <w:szCs w:val="21"/>
        </w:rPr>
        <w:t>费用及支付：</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numPr>
          <w:ilvl w:val="0"/>
          <w:numId w:val="81"/>
        </w:numPr>
        <w:spacing w:line="360" w:lineRule="auto"/>
        <w:ind w:left="5" w:firstLine="415"/>
        <w:rPr>
          <w:rFonts w:ascii="宋体" w:hAnsi="宋体" w:cs="宋体"/>
          <w:color w:val="auto"/>
          <w:szCs w:val="21"/>
        </w:rPr>
      </w:pPr>
      <w:r>
        <w:rPr>
          <w:rFonts w:hint="eastAsia" w:ascii="宋体" w:hAnsi="宋体" w:cs="宋体"/>
          <w:color w:val="auto"/>
          <w:szCs w:val="21"/>
        </w:rPr>
        <w:t>一年承包合同价格：人民币</w:t>
      </w:r>
      <w:r>
        <w:rPr>
          <w:rFonts w:hint="eastAsia" w:ascii="宋体" w:hAnsi="宋体" w:cs="宋体"/>
          <w:color w:val="auto"/>
          <w:szCs w:val="21"/>
          <w:u w:val="single"/>
        </w:rPr>
        <w:t xml:space="preserve">       </w:t>
      </w:r>
      <w:r>
        <w:rPr>
          <w:rFonts w:hint="eastAsia" w:ascii="宋体" w:hAnsi="宋体" w:cs="宋体"/>
          <w:color w:val="auto"/>
          <w:szCs w:val="21"/>
        </w:rPr>
        <w:t>元（大写</w:t>
      </w:r>
      <w:r>
        <w:rPr>
          <w:rFonts w:hint="eastAsia" w:ascii="宋体" w:hAnsi="宋体" w:cs="宋体"/>
          <w:color w:val="auto"/>
          <w:szCs w:val="21"/>
          <w:lang w:eastAsia="zh-CN"/>
        </w:rPr>
        <w:t>：</w:t>
      </w:r>
      <w:r>
        <w:rPr>
          <w:rFonts w:hint="eastAsia" w:ascii="宋体" w:hAnsi="宋体" w:cs="宋体"/>
          <w:color w:val="auto"/>
          <w:szCs w:val="21"/>
          <w:u w:val="single"/>
          <w:lang w:val="en-US" w:eastAsia="zh-CN"/>
        </w:rPr>
        <w:t xml:space="preserve">           </w:t>
      </w:r>
      <w:r>
        <w:rPr>
          <w:rFonts w:hint="eastAsia" w:ascii="宋体" w:hAnsi="宋体" w:cs="宋体"/>
          <w:color w:val="auto"/>
          <w:szCs w:val="21"/>
        </w:rPr>
        <w:t>元）。本合同</w:t>
      </w:r>
      <w:r>
        <w:rPr>
          <w:rFonts w:hint="eastAsia" w:ascii="宋体" w:hAnsi="宋体" w:cs="宋体"/>
          <w:color w:val="auto"/>
          <w:szCs w:val="21"/>
          <w:lang w:eastAsia="zh-CN"/>
        </w:rPr>
        <w:t>物业管理服务</w:t>
      </w:r>
      <w:r>
        <w:rPr>
          <w:rFonts w:hint="eastAsia" w:ascii="宋体" w:hAnsi="宋体" w:cs="宋体"/>
          <w:color w:val="auto"/>
          <w:szCs w:val="21"/>
        </w:rPr>
        <w:t>费包括：承包区域内提供</w:t>
      </w:r>
      <w:r>
        <w:rPr>
          <w:rFonts w:hint="eastAsia" w:ascii="宋体" w:hAnsi="宋体" w:cs="宋体"/>
          <w:color w:val="auto"/>
          <w:szCs w:val="21"/>
          <w:lang w:eastAsia="zh-CN"/>
        </w:rPr>
        <w:t>物业管理服务</w:t>
      </w:r>
      <w:r>
        <w:rPr>
          <w:rFonts w:hint="eastAsia" w:ascii="宋体" w:hAnsi="宋体" w:cs="宋体"/>
          <w:color w:val="auto"/>
          <w:szCs w:val="21"/>
        </w:rPr>
        <w:t>所需的</w:t>
      </w:r>
      <w:r>
        <w:rPr>
          <w:rFonts w:hint="eastAsia" w:ascii="宋体" w:hAnsi="宋体" w:cs="宋体"/>
          <w:color w:val="auto"/>
          <w:szCs w:val="21"/>
          <w:highlight w:val="none"/>
        </w:rPr>
        <w:t>人工费（人员工资、双休日及法定节假日加班、奖金及社保费）、食宿与交通、服装、安全、仓储、专用设备及工具材料、器械、日常物业耗材费（如保洁用品、一次性用品等，要求卫生间用纸使用质量不得低于星级酒店标准）、</w:t>
      </w:r>
      <w:r>
        <w:rPr>
          <w:rFonts w:hint="eastAsia" w:ascii="宋体" w:hAnsi="宋体" w:cs="宋体"/>
          <w:color w:val="auto"/>
          <w:szCs w:val="21"/>
          <w:highlight w:val="none"/>
          <w:lang w:val="en-US" w:eastAsia="zh-CN"/>
        </w:rPr>
        <w:t>防疫物资</w:t>
      </w:r>
      <w:r>
        <w:rPr>
          <w:rFonts w:hint="eastAsia" w:ascii="宋体" w:hAnsi="宋体" w:cs="宋体"/>
          <w:color w:val="auto"/>
          <w:szCs w:val="21"/>
          <w:highlight w:val="none"/>
          <w:lang w:eastAsia="zh-CN"/>
        </w:rPr>
        <w:t>（保障范围的公共区域）</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垃圾清运、</w:t>
      </w:r>
      <w:r>
        <w:rPr>
          <w:rFonts w:hint="eastAsia" w:ascii="宋体" w:hAnsi="宋体" w:cs="宋体"/>
          <w:color w:val="auto"/>
          <w:szCs w:val="21"/>
          <w:highlight w:val="none"/>
          <w:lang w:val="en-US" w:eastAsia="zh-CN"/>
        </w:rPr>
        <w:t>所有室内壁挂式空调及立柜式空调深度清洗、</w:t>
      </w:r>
      <w:r>
        <w:rPr>
          <w:rFonts w:hint="eastAsia"/>
          <w:color w:val="auto"/>
          <w:highlight w:val="none"/>
        </w:rPr>
        <w:t>领导生活房</w:t>
      </w:r>
      <w:r>
        <w:rPr>
          <w:rFonts w:hint="eastAsia"/>
          <w:color w:val="auto"/>
          <w:highlight w:val="none"/>
          <w:lang w:val="en-US" w:eastAsia="zh-CN"/>
        </w:rPr>
        <w:t>设备（</w:t>
      </w:r>
      <w:r>
        <w:rPr>
          <w:rFonts w:hint="eastAsia"/>
          <w:color w:val="auto"/>
          <w:highlight w:val="none"/>
        </w:rPr>
        <w:t>水笼头、喷头、面巾架、开关、灯泡和门锁</w:t>
      </w:r>
      <w:r>
        <w:rPr>
          <w:rFonts w:hint="eastAsia"/>
          <w:color w:val="auto"/>
          <w:highlight w:val="none"/>
          <w:lang w:eastAsia="zh-CN"/>
        </w:rPr>
        <w:t>）</w:t>
      </w:r>
      <w:r>
        <w:rPr>
          <w:rFonts w:hint="eastAsia"/>
          <w:color w:val="auto"/>
          <w:highlight w:val="none"/>
        </w:rPr>
        <w:t>的维修和更换</w:t>
      </w:r>
      <w:r>
        <w:rPr>
          <w:rFonts w:hint="eastAsia"/>
          <w:color w:val="auto"/>
          <w:highlight w:val="none"/>
          <w:lang w:eastAsia="zh-CN"/>
        </w:rPr>
        <w:t>、</w:t>
      </w:r>
      <w:r>
        <w:rPr>
          <w:rFonts w:hint="eastAsia" w:ascii="宋体" w:hAnsi="宋体"/>
          <w:b/>
          <w:bCs/>
          <w:color w:val="auto"/>
          <w:szCs w:val="21"/>
          <w:highlight w:val="none"/>
        </w:rPr>
        <w:t>外墙（玻璃）清洗</w:t>
      </w:r>
      <w:r>
        <w:rPr>
          <w:rFonts w:hint="eastAsia" w:ascii="宋体" w:hAnsi="宋体" w:cs="宋体"/>
          <w:b/>
          <w:bCs/>
          <w:color w:val="auto"/>
          <w:szCs w:val="21"/>
          <w:highlight w:val="none"/>
        </w:rPr>
        <w:t>、地毯清洗、化粪池清理、下水道清理、</w:t>
      </w:r>
      <w:r>
        <w:rPr>
          <w:rFonts w:hint="eastAsia" w:ascii="宋体" w:hAnsi="宋体" w:cs="宋体"/>
          <w:b/>
          <w:bCs/>
          <w:color w:val="auto"/>
          <w:szCs w:val="21"/>
          <w:highlight w:val="none"/>
          <w:lang w:val="en-US" w:eastAsia="zh-CN"/>
        </w:rPr>
        <w:t>水池清洗、</w:t>
      </w:r>
      <w:r>
        <w:rPr>
          <w:rFonts w:hint="eastAsia" w:ascii="宋体" w:hAnsi="宋体" w:cs="宋体"/>
          <w:b/>
          <w:bCs/>
          <w:color w:val="auto"/>
          <w:szCs w:val="21"/>
          <w:highlight w:val="none"/>
        </w:rPr>
        <w:t>隔油池清理、大理石打蜡费用</w:t>
      </w:r>
      <w:r>
        <w:rPr>
          <w:rFonts w:hint="eastAsia"/>
          <w:color w:val="auto"/>
          <w:highlight w:val="none"/>
          <w:lang w:eastAsia="zh-CN"/>
        </w:rPr>
        <w:t>，</w:t>
      </w:r>
      <w:r>
        <w:rPr>
          <w:rFonts w:hint="eastAsia" w:ascii="宋体" w:hAnsi="宋体" w:cs="宋体"/>
          <w:b/>
          <w:bCs/>
          <w:color w:val="auto"/>
          <w:szCs w:val="21"/>
          <w:highlight w:val="none"/>
        </w:rPr>
        <w:t>聘请具备相应资质的公司进行专业服务的费用（</w:t>
      </w:r>
      <w:r>
        <w:rPr>
          <w:rFonts w:hint="eastAsia"/>
          <w:b/>
          <w:bCs/>
          <w:color w:val="auto"/>
          <w:szCs w:val="22"/>
          <w:highlight w:val="none"/>
        </w:rPr>
        <w:t>发电机维保、</w:t>
      </w:r>
      <w:r>
        <w:rPr>
          <w:rFonts w:hint="eastAsia"/>
          <w:b/>
          <w:bCs/>
          <w:color w:val="auto"/>
          <w:szCs w:val="22"/>
          <w:highlight w:val="none"/>
          <w:lang w:eastAsia="zh-CN"/>
        </w:rPr>
        <w:t>常压电热锅炉维护调试、</w:t>
      </w:r>
      <w:r>
        <w:rPr>
          <w:rFonts w:hint="eastAsia"/>
          <w:b/>
          <w:bCs/>
          <w:color w:val="auto"/>
          <w:szCs w:val="22"/>
          <w:highlight w:val="none"/>
        </w:rPr>
        <w:t>消防维保及检测、消防器材充装及更换、监控维保、会场音响系统和会议中心舞台灯光系统设备、防雷检测、高低压配维保及检测、</w:t>
      </w:r>
      <w:r>
        <w:rPr>
          <w:rFonts w:hint="eastAsia"/>
          <w:b/>
          <w:bCs/>
          <w:color w:val="auto"/>
          <w:szCs w:val="22"/>
          <w:highlight w:val="none"/>
          <w:lang w:eastAsia="zh-CN"/>
        </w:rPr>
        <w:t>中央空调维保及检测（</w:t>
      </w:r>
      <w:r>
        <w:rPr>
          <w:rFonts w:hint="eastAsia"/>
          <w:b/>
          <w:bCs/>
          <w:color w:val="auto"/>
          <w:szCs w:val="22"/>
          <w:highlight w:val="none"/>
          <w:lang w:val="en-US" w:eastAsia="zh-CN"/>
        </w:rPr>
        <w:t>不含深度清洗</w:t>
      </w:r>
      <w:r>
        <w:rPr>
          <w:rFonts w:hint="eastAsia"/>
          <w:b/>
          <w:bCs/>
          <w:color w:val="auto"/>
          <w:szCs w:val="22"/>
          <w:highlight w:val="none"/>
          <w:lang w:eastAsia="zh-CN"/>
        </w:rPr>
        <w:t>）、</w:t>
      </w:r>
      <w:r>
        <w:rPr>
          <w:rFonts w:hint="eastAsia"/>
          <w:b/>
          <w:bCs/>
          <w:color w:val="auto"/>
          <w:szCs w:val="22"/>
          <w:highlight w:val="none"/>
        </w:rPr>
        <w:t>电梯维保及检测、</w:t>
      </w:r>
      <w:r>
        <w:rPr>
          <w:rFonts w:hint="eastAsia" w:ascii="宋体" w:hAnsi="宋体"/>
          <w:b/>
          <w:bCs/>
          <w:color w:val="auto"/>
          <w:szCs w:val="21"/>
          <w:highlight w:val="none"/>
        </w:rPr>
        <w:t>生活水池水质检测及清洗、卫生消杀</w:t>
      </w:r>
      <w:r>
        <w:rPr>
          <w:rFonts w:hint="eastAsia" w:ascii="宋体" w:hAnsi="宋体" w:cs="宋体"/>
          <w:b/>
          <w:bCs/>
          <w:color w:val="auto"/>
          <w:szCs w:val="21"/>
          <w:highlight w:val="none"/>
        </w:rPr>
        <w:t>）、</w:t>
      </w:r>
      <w:r>
        <w:rPr>
          <w:rFonts w:hint="eastAsia" w:ascii="宋体" w:hAnsi="宋体" w:cs="宋体"/>
          <w:color w:val="auto"/>
          <w:szCs w:val="21"/>
          <w:highlight w:val="none"/>
        </w:rPr>
        <w:t>管理费用、培训、税费、利润、完成合同所需的一切本身和不可或缺的所有工作开支、政策性文件规定及合同包含的所有风险、责任等各项全部费用。</w:t>
      </w:r>
      <w:r>
        <w:rPr>
          <w:rFonts w:hint="eastAsia" w:ascii="宋体" w:hAnsi="宋体" w:cs="宋体"/>
          <w:color w:val="auto"/>
          <w:szCs w:val="21"/>
          <w:highlight w:val="none"/>
          <w:lang w:val="en-US" w:eastAsia="zh-CN"/>
        </w:rPr>
        <w:t>另，</w:t>
      </w:r>
      <w:r>
        <w:rPr>
          <w:rFonts w:hint="eastAsia"/>
          <w:color w:val="auto"/>
          <w:szCs w:val="22"/>
          <w:highlight w:val="none"/>
          <w:lang w:val="en-US" w:eastAsia="zh-CN"/>
        </w:rPr>
        <w:t>物业管理区域内的</w:t>
      </w:r>
      <w:r>
        <w:rPr>
          <w:rFonts w:hint="eastAsia"/>
          <w:color w:val="auto"/>
          <w:szCs w:val="22"/>
          <w:highlight w:val="none"/>
        </w:rPr>
        <w:t>照明灯泡、水暖设备设施、电器插座、消防设备设施（以进场管理时状况为基准）、</w:t>
      </w:r>
      <w:r>
        <w:rPr>
          <w:rFonts w:hint="eastAsia"/>
          <w:color w:val="auto"/>
          <w:highlight w:val="none"/>
        </w:rPr>
        <w:t>公共设施和指示牌</w:t>
      </w:r>
      <w:r>
        <w:rPr>
          <w:rFonts w:hint="eastAsia"/>
          <w:color w:val="auto"/>
          <w:highlight w:val="none"/>
          <w:lang w:val="en-US" w:eastAsia="zh-CN"/>
        </w:rPr>
        <w:t>、</w:t>
      </w:r>
      <w:r>
        <w:rPr>
          <w:rFonts w:hint="eastAsia"/>
          <w:color w:val="auto"/>
          <w:szCs w:val="22"/>
          <w:highlight w:val="none"/>
        </w:rPr>
        <w:t>会场音响系统和会议中心舞台灯光系统设备</w:t>
      </w:r>
      <w:r>
        <w:rPr>
          <w:rFonts w:hint="eastAsia"/>
          <w:color w:val="auto"/>
          <w:szCs w:val="22"/>
          <w:highlight w:val="none"/>
          <w:lang w:val="en-US" w:eastAsia="zh-CN"/>
        </w:rPr>
        <w:t>的</w:t>
      </w:r>
      <w:r>
        <w:rPr>
          <w:rFonts w:hint="eastAsia"/>
          <w:color w:val="auto"/>
          <w:highlight w:val="none"/>
        </w:rPr>
        <w:t>零星修理</w:t>
      </w:r>
      <w:r>
        <w:rPr>
          <w:rFonts w:hint="eastAsia"/>
          <w:color w:val="auto"/>
          <w:highlight w:val="none"/>
          <w:lang w:val="en-US" w:eastAsia="zh-CN"/>
        </w:rPr>
        <w:t>或</w:t>
      </w:r>
      <w:r>
        <w:rPr>
          <w:rFonts w:hint="eastAsia"/>
          <w:color w:val="auto"/>
          <w:highlight w:val="none"/>
        </w:rPr>
        <w:t>零配件</w:t>
      </w:r>
      <w:r>
        <w:rPr>
          <w:rFonts w:hint="eastAsia"/>
          <w:color w:val="auto"/>
          <w:highlight w:val="none"/>
          <w:lang w:val="en-US" w:eastAsia="zh-CN"/>
        </w:rPr>
        <w:t>更换单件单价</w:t>
      </w:r>
      <w:r>
        <w:rPr>
          <w:rFonts w:hint="eastAsia"/>
          <w:color w:val="auto"/>
          <w:szCs w:val="22"/>
          <w:highlight w:val="none"/>
        </w:rPr>
        <w:t>在1000元（含）以下的由</w:t>
      </w:r>
      <w:r>
        <w:rPr>
          <w:rFonts w:hint="eastAsia"/>
          <w:color w:val="auto"/>
          <w:szCs w:val="22"/>
          <w:highlight w:val="none"/>
          <w:lang w:val="en-US" w:eastAsia="zh-CN"/>
        </w:rPr>
        <w:t>乙方</w:t>
      </w:r>
      <w:r>
        <w:rPr>
          <w:rFonts w:hint="eastAsia"/>
          <w:color w:val="auto"/>
          <w:szCs w:val="22"/>
          <w:highlight w:val="none"/>
        </w:rPr>
        <w:t>负责支付</w:t>
      </w:r>
      <w:r>
        <w:rPr>
          <w:rFonts w:hint="eastAsia"/>
          <w:color w:val="auto"/>
          <w:szCs w:val="22"/>
          <w:highlight w:val="none"/>
          <w:lang w:eastAsia="zh-CN"/>
        </w:rPr>
        <w:t>，</w:t>
      </w:r>
      <w:r>
        <w:rPr>
          <w:rFonts w:hint="eastAsia"/>
          <w:color w:val="auto"/>
          <w:szCs w:val="22"/>
          <w:highlight w:val="none"/>
        </w:rPr>
        <w:t>质量不低于原标准要求</w:t>
      </w:r>
      <w:r>
        <w:rPr>
          <w:rFonts w:hint="eastAsia" w:ascii="宋体" w:hAnsi="宋体" w:cs="宋体"/>
          <w:color w:val="auto"/>
          <w:szCs w:val="21"/>
        </w:rPr>
        <w:t>。</w:t>
      </w:r>
    </w:p>
    <w:p>
      <w:pPr>
        <w:numPr>
          <w:ilvl w:val="0"/>
          <w:numId w:val="81"/>
        </w:numPr>
        <w:spacing w:line="360" w:lineRule="auto"/>
        <w:ind w:left="5" w:firstLine="415"/>
        <w:rPr>
          <w:rFonts w:ascii="宋体" w:hAnsi="宋体" w:cs="宋体"/>
          <w:color w:val="auto"/>
          <w:szCs w:val="21"/>
        </w:rPr>
      </w:pPr>
      <w:r>
        <w:rPr>
          <w:rFonts w:hint="eastAsia" w:ascii="宋体" w:hAnsi="宋体" w:cs="宋体"/>
          <w:color w:val="auto"/>
          <w:szCs w:val="21"/>
        </w:rPr>
        <w:t>以下费用由甲方承担：</w:t>
      </w:r>
    </w:p>
    <w:p>
      <w:pPr>
        <w:spacing w:line="360" w:lineRule="auto"/>
        <w:ind w:firstLine="420" w:firstLineChars="200"/>
        <w:rPr>
          <w:rFonts w:ascii="宋体" w:hAnsi="宋体" w:cs="宋体"/>
          <w:color w:val="auto"/>
          <w:szCs w:val="21"/>
        </w:rPr>
      </w:pPr>
      <w:r>
        <w:rPr>
          <w:rFonts w:hint="eastAsia" w:ascii="宋体" w:hAnsi="宋体" w:cs="宋体"/>
          <w:color w:val="auto"/>
          <w:szCs w:val="21"/>
        </w:rPr>
        <w:t>（1）中央空调系统的深度清洗；</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color w:val="auto"/>
          <w:szCs w:val="22"/>
          <w:highlight w:val="none"/>
          <w:lang w:val="en-US" w:eastAsia="zh-CN"/>
        </w:rPr>
        <w:t>物业管理区域内的</w:t>
      </w:r>
      <w:r>
        <w:rPr>
          <w:rFonts w:hint="eastAsia"/>
          <w:color w:val="auto"/>
          <w:szCs w:val="22"/>
          <w:highlight w:val="none"/>
        </w:rPr>
        <w:t>照明灯泡、水暖设备设施、电器插座、消防设备设施（以进场管理时状况为基准）、</w:t>
      </w:r>
      <w:r>
        <w:rPr>
          <w:rFonts w:hint="eastAsia"/>
          <w:color w:val="auto"/>
          <w:highlight w:val="none"/>
        </w:rPr>
        <w:t>公共设施和指示牌</w:t>
      </w:r>
      <w:r>
        <w:rPr>
          <w:rFonts w:hint="eastAsia"/>
          <w:color w:val="auto"/>
          <w:highlight w:val="none"/>
          <w:lang w:val="en-US" w:eastAsia="zh-CN"/>
        </w:rPr>
        <w:t>、</w:t>
      </w:r>
      <w:r>
        <w:rPr>
          <w:rFonts w:hint="eastAsia"/>
          <w:color w:val="auto"/>
          <w:szCs w:val="22"/>
          <w:highlight w:val="none"/>
        </w:rPr>
        <w:t>会场音响系统和会议中心舞台灯光系统设备</w:t>
      </w:r>
      <w:r>
        <w:rPr>
          <w:rFonts w:hint="eastAsia"/>
          <w:color w:val="auto"/>
          <w:szCs w:val="22"/>
          <w:highlight w:val="none"/>
          <w:lang w:val="en-US" w:eastAsia="zh-CN"/>
        </w:rPr>
        <w:t>的</w:t>
      </w:r>
      <w:r>
        <w:rPr>
          <w:rFonts w:hint="eastAsia"/>
          <w:color w:val="auto"/>
          <w:highlight w:val="none"/>
        </w:rPr>
        <w:t>零星修理</w:t>
      </w:r>
      <w:r>
        <w:rPr>
          <w:rFonts w:hint="eastAsia"/>
          <w:color w:val="auto"/>
          <w:highlight w:val="none"/>
          <w:lang w:val="en-US" w:eastAsia="zh-CN"/>
        </w:rPr>
        <w:t>或</w:t>
      </w:r>
      <w:r>
        <w:rPr>
          <w:rFonts w:hint="eastAsia"/>
          <w:color w:val="auto"/>
          <w:highlight w:val="none"/>
        </w:rPr>
        <w:t>零配件</w:t>
      </w:r>
      <w:r>
        <w:rPr>
          <w:rFonts w:hint="eastAsia"/>
          <w:color w:val="auto"/>
          <w:highlight w:val="none"/>
          <w:lang w:val="en-US" w:eastAsia="zh-CN"/>
        </w:rPr>
        <w:t>更换单件单价</w:t>
      </w:r>
      <w:r>
        <w:rPr>
          <w:rFonts w:hint="eastAsia"/>
          <w:color w:val="auto"/>
          <w:szCs w:val="22"/>
          <w:highlight w:val="none"/>
        </w:rPr>
        <w:t>超过1000元</w:t>
      </w:r>
      <w:r>
        <w:rPr>
          <w:rFonts w:hint="eastAsia" w:ascii="宋体" w:hAnsi="宋体" w:cs="宋体"/>
          <w:color w:val="auto"/>
          <w:szCs w:val="21"/>
          <w:highlight w:val="none"/>
        </w:rPr>
        <w:t>（但因乙方管理不到位造成的损失均由乙方承担，更换的零配件的质量不低于原标准要求）</w:t>
      </w:r>
      <w:r>
        <w:rPr>
          <w:rFonts w:hint="eastAsia" w:ascii="宋体" w:hAnsi="宋体" w:cs="宋体"/>
          <w:color w:val="auto"/>
          <w:szCs w:val="21"/>
          <w:highlight w:val="none"/>
          <w:lang w:eastAsia="zh-CN"/>
        </w:rPr>
        <w:t>，</w:t>
      </w:r>
      <w:r>
        <w:rPr>
          <w:rFonts w:hint="eastAsia"/>
          <w:color w:val="auto"/>
          <w:szCs w:val="22"/>
          <w:highlight w:val="none"/>
          <w:lang w:val="en-US" w:eastAsia="zh-CN"/>
        </w:rPr>
        <w:t>乙方</w:t>
      </w:r>
      <w:r>
        <w:rPr>
          <w:rFonts w:hint="eastAsia"/>
          <w:color w:val="auto"/>
          <w:szCs w:val="22"/>
          <w:highlight w:val="none"/>
        </w:rPr>
        <w:t>必须事先报</w:t>
      </w:r>
      <w:r>
        <w:rPr>
          <w:rFonts w:hint="eastAsia"/>
          <w:color w:val="auto"/>
          <w:szCs w:val="22"/>
          <w:highlight w:val="none"/>
          <w:lang w:val="en-US" w:eastAsia="zh-CN"/>
        </w:rPr>
        <w:t>甲方</w:t>
      </w:r>
      <w:r>
        <w:rPr>
          <w:rFonts w:hint="eastAsia"/>
          <w:color w:val="auto"/>
          <w:szCs w:val="22"/>
          <w:highlight w:val="none"/>
        </w:rPr>
        <w:t>审核</w:t>
      </w:r>
      <w:r>
        <w:rPr>
          <w:rFonts w:hint="eastAsia"/>
          <w:color w:val="auto"/>
          <w:szCs w:val="22"/>
          <w:highlight w:val="none"/>
          <w:lang w:eastAsia="zh-CN"/>
        </w:rPr>
        <w:t>，</w:t>
      </w:r>
      <w:r>
        <w:rPr>
          <w:rFonts w:hint="eastAsia"/>
          <w:color w:val="auto"/>
          <w:szCs w:val="22"/>
          <w:highlight w:val="none"/>
          <w:lang w:val="en-US" w:eastAsia="zh-CN"/>
        </w:rPr>
        <w:t>并由甲方</w:t>
      </w:r>
      <w:r>
        <w:rPr>
          <w:rFonts w:hint="eastAsia"/>
          <w:color w:val="auto"/>
          <w:szCs w:val="22"/>
          <w:highlight w:val="none"/>
        </w:rPr>
        <w:t>经办人员签字确认</w:t>
      </w:r>
      <w:r>
        <w:rPr>
          <w:rFonts w:hint="eastAsia" w:ascii="宋体" w:hAnsi="宋体" w:cs="宋体"/>
          <w:color w:val="auto"/>
          <w:szCs w:val="21"/>
          <w:highlight w:val="none"/>
        </w:rPr>
        <w:t>；</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w:t>
      </w:r>
      <w:r>
        <w:rPr>
          <w:rFonts w:hint="eastAsia" w:ascii="宋体" w:hAnsi="宋体" w:cs="宋体"/>
          <w:color w:val="auto"/>
          <w:szCs w:val="21"/>
          <w:highlight w:val="none"/>
          <w:lang w:eastAsia="zh-CN"/>
        </w:rPr>
        <w:t>理发用品、茶叶、特殊杯；</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w:t>
      </w:r>
      <w:r>
        <w:rPr>
          <w:rFonts w:hint="eastAsia"/>
          <w:color w:val="auto"/>
          <w:highlight w:val="none"/>
        </w:rPr>
        <w:t>地面道路（除广场）、办公座椅</w:t>
      </w:r>
      <w:r>
        <w:rPr>
          <w:rFonts w:hint="eastAsia"/>
          <w:color w:val="auto"/>
          <w:highlight w:val="none"/>
          <w:lang w:val="en-US" w:eastAsia="zh-CN"/>
        </w:rPr>
        <w:t>的</w:t>
      </w:r>
      <w:r>
        <w:rPr>
          <w:rFonts w:hint="eastAsia"/>
          <w:color w:val="auto"/>
          <w:highlight w:val="none"/>
        </w:rPr>
        <w:t>日常</w:t>
      </w:r>
      <w:r>
        <w:rPr>
          <w:color w:val="auto"/>
          <w:highlight w:val="none"/>
        </w:rPr>
        <w:t>维修</w:t>
      </w:r>
      <w:r>
        <w:rPr>
          <w:rFonts w:hint="eastAsia"/>
          <w:color w:val="auto"/>
          <w:highlight w:val="none"/>
          <w:lang w:val="en-US" w:eastAsia="zh-CN"/>
        </w:rPr>
        <w:t>或零配件更换费用达</w:t>
      </w:r>
      <w:r>
        <w:rPr>
          <w:rFonts w:hint="eastAsia"/>
          <w:color w:val="auto"/>
          <w:highlight w:val="none"/>
        </w:rPr>
        <w:t>300元以上</w:t>
      </w:r>
      <w:r>
        <w:rPr>
          <w:rFonts w:hint="eastAsia"/>
          <w:color w:val="auto"/>
          <w:highlight w:val="none"/>
          <w:lang w:val="en-US" w:eastAsia="zh-CN"/>
        </w:rPr>
        <w:t>的，</w:t>
      </w:r>
      <w:r>
        <w:rPr>
          <w:rFonts w:hint="eastAsia"/>
          <w:color w:val="auto"/>
          <w:szCs w:val="22"/>
          <w:highlight w:val="none"/>
          <w:lang w:val="en-US" w:eastAsia="zh-CN"/>
        </w:rPr>
        <w:t>由乙方</w:t>
      </w:r>
      <w:r>
        <w:rPr>
          <w:rFonts w:hint="eastAsia" w:ascii="宋体" w:hAnsi="宋体" w:cs="宋体"/>
          <w:b w:val="0"/>
          <w:bCs w:val="0"/>
          <w:color w:val="auto"/>
          <w:szCs w:val="21"/>
          <w:lang w:val="en-US" w:eastAsia="zh-CN"/>
        </w:rPr>
        <w:t>提出采购清单及要求，经甲方</w:t>
      </w:r>
      <w:r>
        <w:rPr>
          <w:rFonts w:hint="eastAsia"/>
          <w:color w:val="auto"/>
          <w:szCs w:val="22"/>
        </w:rPr>
        <w:t>经办人员签字确</w:t>
      </w:r>
      <w:r>
        <w:rPr>
          <w:rFonts w:hint="eastAsia"/>
          <w:color w:val="auto"/>
          <w:szCs w:val="22"/>
          <w:lang w:eastAsia="zh-CN"/>
        </w:rPr>
        <w:t>认</w:t>
      </w:r>
      <w:r>
        <w:rPr>
          <w:rFonts w:hint="eastAsia"/>
          <w:color w:val="auto"/>
          <w:szCs w:val="22"/>
          <w:lang w:val="en-US" w:eastAsia="zh-CN"/>
        </w:rPr>
        <w:t>后</w:t>
      </w:r>
      <w:r>
        <w:rPr>
          <w:rFonts w:hint="eastAsia" w:ascii="宋体" w:hAnsi="宋体" w:cs="宋体"/>
          <w:b w:val="0"/>
          <w:bCs w:val="0"/>
          <w:color w:val="auto"/>
          <w:szCs w:val="21"/>
          <w:lang w:val="en-US" w:eastAsia="zh-CN"/>
        </w:rPr>
        <w:t>提供</w:t>
      </w:r>
      <w:r>
        <w:rPr>
          <w:rFonts w:hint="eastAsia" w:ascii="宋体" w:hAnsi="宋体" w:cs="宋体"/>
          <w:color w:val="auto"/>
          <w:szCs w:val="21"/>
        </w:rPr>
        <w:t>。</w:t>
      </w:r>
    </w:p>
    <w:p>
      <w:pPr>
        <w:pStyle w:val="15"/>
        <w:ind w:firstLine="422" w:firstLineChars="200"/>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bidi="ar-SA"/>
        </w:rPr>
        <w:t>但如乙方违约在先导致前述情形的，不影响甲方要求乙方承担前述费用并其他损失。</w:t>
      </w:r>
    </w:p>
    <w:p>
      <w:pPr>
        <w:numPr>
          <w:ilvl w:val="0"/>
          <w:numId w:val="81"/>
        </w:numPr>
        <w:spacing w:line="360" w:lineRule="auto"/>
        <w:ind w:left="5" w:firstLine="415"/>
        <w:rPr>
          <w:rFonts w:ascii="宋体" w:hAnsi="宋体" w:cs="宋体"/>
          <w:color w:val="auto"/>
          <w:szCs w:val="21"/>
        </w:rPr>
      </w:pPr>
      <w:r>
        <w:rPr>
          <w:rFonts w:hint="eastAsia" w:ascii="宋体" w:hAnsi="宋体" w:cs="宋体"/>
          <w:color w:val="auto"/>
          <w:szCs w:val="21"/>
        </w:rPr>
        <w:t>付款方式</w:t>
      </w:r>
    </w:p>
    <w:p>
      <w:pPr>
        <w:keepNext w:val="0"/>
        <w:keepLines w:val="0"/>
        <w:pageBreakBefore w:val="0"/>
        <w:widowControl/>
        <w:numPr>
          <w:ilvl w:val="0"/>
          <w:numId w:val="82"/>
        </w:numPr>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cs="宋体"/>
          <w:color w:val="auto"/>
          <w:szCs w:val="21"/>
          <w:highlight w:val="none"/>
        </w:rPr>
      </w:pPr>
      <w:bookmarkStart w:id="954" w:name="_Toc8302"/>
      <w:bookmarkStart w:id="955" w:name="_Toc27987"/>
      <w:bookmarkStart w:id="956" w:name="_Toc18142"/>
      <w:bookmarkStart w:id="957" w:name="_Toc6149"/>
      <w:bookmarkStart w:id="958" w:name="_Toc891"/>
      <w:bookmarkStart w:id="959" w:name="_Toc589"/>
      <w:bookmarkStart w:id="960" w:name="_Toc19552"/>
      <w:r>
        <w:rPr>
          <w:rFonts w:hint="eastAsia" w:ascii="宋体" w:hAnsi="宋体" w:cs="宋体"/>
          <w:color w:val="auto"/>
          <w:szCs w:val="21"/>
        </w:rPr>
        <w:t>物业管理费实行按月定期结算支付（支付金额=年服务费用÷12-按合同约定的考核</w:t>
      </w:r>
      <w:r>
        <w:rPr>
          <w:rFonts w:hint="eastAsia" w:ascii="宋体" w:hAnsi="宋体" w:cs="宋体"/>
          <w:color w:val="auto"/>
          <w:szCs w:val="21"/>
          <w:highlight w:val="none"/>
        </w:rPr>
        <w:t>及处罚标准进行处罚的金额）。</w:t>
      </w:r>
    </w:p>
    <w:p>
      <w:pPr>
        <w:keepNext w:val="0"/>
        <w:keepLines w:val="0"/>
        <w:pageBreakBefore w:val="0"/>
        <w:widowControl/>
        <w:numPr>
          <w:ilvl w:val="0"/>
          <w:numId w:val="82"/>
        </w:numPr>
        <w:kinsoku/>
        <w:wordWrap/>
        <w:overflowPunct/>
        <w:topLinePunct w:val="0"/>
        <w:autoSpaceDE/>
        <w:autoSpaceDN/>
        <w:bidi w:val="0"/>
        <w:adjustRightInd/>
        <w:snapToGrid w:val="0"/>
        <w:spacing w:line="360" w:lineRule="auto"/>
        <w:ind w:firstLine="420" w:firstLineChars="200"/>
        <w:textAlignment w:val="auto"/>
        <w:rPr>
          <w:rFonts w:ascii="宋体" w:hAnsi="宋体" w:cs="宋体"/>
          <w:color w:val="auto"/>
          <w:szCs w:val="21"/>
        </w:rPr>
      </w:pPr>
      <w:r>
        <w:rPr>
          <w:rFonts w:hint="eastAsia"/>
          <w:color w:val="auto"/>
          <w:szCs w:val="21"/>
        </w:rPr>
        <w:t>采用先服务后支付方式，对于满足合同约定支付条件的，</w:t>
      </w:r>
      <w:r>
        <w:rPr>
          <w:rFonts w:hint="eastAsia"/>
          <w:color w:val="auto"/>
          <w:szCs w:val="21"/>
          <w:lang w:val="en-US" w:eastAsia="zh-CN"/>
        </w:rPr>
        <w:t>甲方</w:t>
      </w:r>
      <w:r>
        <w:rPr>
          <w:rFonts w:hint="eastAsia"/>
          <w:color w:val="auto"/>
          <w:szCs w:val="21"/>
        </w:rPr>
        <w:t>自收到发票后</w:t>
      </w:r>
      <w:r>
        <w:rPr>
          <w:rFonts w:ascii="Arial" w:hAnsi="Arial" w:cs="Arial"/>
          <w:color w:val="auto"/>
          <w:szCs w:val="21"/>
        </w:rPr>
        <w:t>7</w:t>
      </w:r>
      <w:r>
        <w:rPr>
          <w:rFonts w:hint="eastAsia"/>
          <w:color w:val="auto"/>
          <w:szCs w:val="21"/>
        </w:rPr>
        <w:t>个工作日内将上个月的物业管理费支付到合同约定的</w:t>
      </w:r>
      <w:r>
        <w:rPr>
          <w:rFonts w:hint="eastAsia" w:ascii="宋体" w:hAnsi="宋体" w:cs="宋体"/>
          <w:color w:val="auto"/>
          <w:szCs w:val="21"/>
          <w:lang w:val="en-US" w:eastAsia="zh-CN"/>
        </w:rPr>
        <w:t>乙方</w:t>
      </w:r>
      <w:r>
        <w:rPr>
          <w:rFonts w:hint="eastAsia"/>
          <w:color w:val="auto"/>
          <w:szCs w:val="21"/>
        </w:rPr>
        <w:t>账户</w:t>
      </w:r>
      <w:r>
        <w:rPr>
          <w:rFonts w:hint="eastAsia"/>
          <w:color w:val="auto"/>
          <w:szCs w:val="21"/>
          <w:lang w:eastAsia="zh-CN"/>
        </w:rPr>
        <w:t>。</w:t>
      </w:r>
      <w:r>
        <w:rPr>
          <w:rFonts w:hint="eastAsia"/>
          <w:color w:val="auto"/>
          <w:szCs w:val="21"/>
        </w:rPr>
        <w:t>（</w:t>
      </w:r>
      <w:r>
        <w:rPr>
          <w:rFonts w:hint="eastAsia" w:ascii="宋体" w:hAnsi="宋体" w:cs="宋体"/>
          <w:color w:val="auto"/>
          <w:szCs w:val="21"/>
        </w:rPr>
        <w:t>根据浙财采监[2022]3号文件规定，以人工投入为主且实行按月定期结算支付款项的项目，可不约定预付款。</w:t>
      </w:r>
      <w:r>
        <w:rPr>
          <w:rFonts w:hint="eastAsia"/>
          <w:color w:val="auto"/>
          <w:szCs w:val="21"/>
        </w:rPr>
        <w:t>）</w:t>
      </w:r>
    </w:p>
    <w:p>
      <w:pPr>
        <w:keepNext w:val="0"/>
        <w:keepLines w:val="0"/>
        <w:pageBreakBefore w:val="0"/>
        <w:widowControl/>
        <w:numPr>
          <w:ilvl w:val="0"/>
          <w:numId w:val="82"/>
        </w:numPr>
        <w:kinsoku/>
        <w:wordWrap/>
        <w:overflowPunct/>
        <w:topLinePunct w:val="0"/>
        <w:autoSpaceDE/>
        <w:autoSpaceDN/>
        <w:bidi w:val="0"/>
        <w:adjustRightInd/>
        <w:snapToGrid w:val="0"/>
        <w:spacing w:line="360" w:lineRule="auto"/>
        <w:ind w:firstLine="420" w:firstLineChars="200"/>
        <w:textAlignment w:val="auto"/>
        <w:rPr>
          <w:rFonts w:ascii="宋体" w:hAnsi="宋体" w:cs="宋体"/>
          <w:color w:val="auto"/>
          <w:szCs w:val="21"/>
        </w:rPr>
      </w:pPr>
      <w:r>
        <w:rPr>
          <w:rFonts w:hint="eastAsia" w:ascii="宋体" w:hAnsi="宋体" w:cs="宋体"/>
          <w:color w:val="auto"/>
          <w:szCs w:val="21"/>
          <w:lang w:val="en-US" w:eastAsia="zh-CN"/>
        </w:rPr>
        <w:t>甲方</w:t>
      </w:r>
      <w:r>
        <w:rPr>
          <w:rFonts w:hint="eastAsia" w:ascii="宋体" w:hAnsi="宋体" w:cs="宋体"/>
          <w:color w:val="auto"/>
          <w:szCs w:val="21"/>
        </w:rPr>
        <w:t>将按《</w:t>
      </w:r>
      <w:r>
        <w:rPr>
          <w:rFonts w:hint="eastAsia" w:ascii="宋体" w:hAnsi="宋体" w:cs="宋体"/>
          <w:color w:val="auto"/>
          <w:szCs w:val="21"/>
          <w:highlight w:val="none"/>
        </w:rPr>
        <w:t>机关后勤服务项目月度工作目标考核评分细则</w:t>
      </w:r>
      <w:r>
        <w:rPr>
          <w:rFonts w:hint="eastAsia" w:ascii="宋体" w:hAnsi="宋体" w:cs="宋体"/>
          <w:color w:val="auto"/>
          <w:szCs w:val="21"/>
        </w:rPr>
        <w:t>》（附后）作出的考核结果，将处罚金额按期直接在物业管理费付款额中扣除。</w:t>
      </w:r>
    </w:p>
    <w:p>
      <w:pPr>
        <w:spacing w:beforeLines="50" w:afterLines="50" w:line="360" w:lineRule="auto"/>
        <w:outlineLvl w:val="1"/>
        <w:rPr>
          <w:rFonts w:hint="eastAsia" w:ascii="宋体" w:hAnsi="宋体" w:cs="宋体"/>
          <w:b/>
          <w:bCs/>
          <w:color w:val="auto"/>
          <w:szCs w:val="21"/>
        </w:rPr>
      </w:pPr>
      <w:bookmarkStart w:id="961" w:name="_Toc32669"/>
      <w:r>
        <w:rPr>
          <w:rFonts w:hint="eastAsia" w:ascii="宋体" w:hAnsi="宋体" w:cs="宋体"/>
          <w:b/>
          <w:bCs/>
          <w:color w:val="auto"/>
          <w:szCs w:val="21"/>
          <w:lang w:val="en-US" w:eastAsia="zh-CN"/>
        </w:rPr>
        <w:t xml:space="preserve">第四条  </w:t>
      </w:r>
      <w:r>
        <w:rPr>
          <w:rFonts w:hint="eastAsia" w:ascii="宋体" w:hAnsi="宋体" w:cs="宋体"/>
          <w:b/>
          <w:bCs/>
          <w:color w:val="auto"/>
          <w:szCs w:val="21"/>
        </w:rPr>
        <w:t>考核及处罚标准</w:t>
      </w:r>
      <w:bookmarkEnd w:id="954"/>
      <w:bookmarkEnd w:id="955"/>
      <w:bookmarkEnd w:id="956"/>
      <w:bookmarkEnd w:id="957"/>
      <w:bookmarkEnd w:id="958"/>
      <w:bookmarkEnd w:id="959"/>
      <w:bookmarkEnd w:id="960"/>
      <w:bookmarkEnd w:id="961"/>
    </w:p>
    <w:p>
      <w:pPr>
        <w:numPr>
          <w:ilvl w:val="0"/>
          <w:numId w:val="83"/>
        </w:numPr>
        <w:spacing w:line="360" w:lineRule="auto"/>
        <w:ind w:left="0" w:leftChars="0" w:firstLine="400" w:firstLineChars="0"/>
        <w:rPr>
          <w:rFonts w:ascii="宋体" w:hAnsi="宋体" w:cs="宋体"/>
          <w:color w:val="auto"/>
          <w:szCs w:val="21"/>
        </w:rPr>
      </w:pPr>
      <w:r>
        <w:rPr>
          <w:rFonts w:hint="eastAsia" w:ascii="宋体" w:hAnsi="宋体" w:cs="宋体"/>
          <w:color w:val="auto"/>
          <w:szCs w:val="21"/>
        </w:rPr>
        <w:t>依照物业管理市场化运作考核评分细则对乙方的</w:t>
      </w:r>
      <w:r>
        <w:rPr>
          <w:rFonts w:hint="eastAsia" w:ascii="宋体" w:hAnsi="宋体" w:cs="宋体"/>
          <w:color w:val="auto"/>
          <w:szCs w:val="21"/>
          <w:lang w:eastAsia="zh-CN"/>
        </w:rPr>
        <w:t>物业管理服务</w:t>
      </w:r>
      <w:r>
        <w:rPr>
          <w:rFonts w:hint="eastAsia" w:ascii="宋体" w:hAnsi="宋体" w:cs="宋体"/>
          <w:color w:val="auto"/>
          <w:szCs w:val="21"/>
        </w:rPr>
        <w:t>进行考评，具体考核评分细则见《机关后勤服务项目月度工作目标考核评分细则》。合同期内甲方有权对考核评分细则进行修订完善，乙方必须无条件接受并承诺执行。</w:t>
      </w:r>
    </w:p>
    <w:p>
      <w:pPr>
        <w:numPr>
          <w:ilvl w:val="0"/>
          <w:numId w:val="83"/>
        </w:numPr>
        <w:spacing w:line="360" w:lineRule="auto"/>
        <w:ind w:left="0" w:leftChars="0" w:firstLine="400" w:firstLineChars="0"/>
        <w:rPr>
          <w:rFonts w:ascii="宋体" w:hAnsi="宋体" w:cs="宋体"/>
          <w:color w:val="auto"/>
          <w:szCs w:val="21"/>
          <w:highlight w:val="none"/>
        </w:rPr>
      </w:pPr>
      <w:r>
        <w:rPr>
          <w:rFonts w:hint="eastAsia" w:ascii="宋体" w:hAnsi="宋体" w:cs="宋体"/>
          <w:color w:val="auto"/>
          <w:szCs w:val="21"/>
          <w:highlight w:val="none"/>
        </w:rPr>
        <w:t>考核小组采取每月定时或不定时抽查形式进行考核。</w:t>
      </w:r>
    </w:p>
    <w:p>
      <w:pPr>
        <w:numPr>
          <w:ilvl w:val="0"/>
          <w:numId w:val="83"/>
        </w:numPr>
        <w:spacing w:line="360" w:lineRule="auto"/>
        <w:ind w:left="0" w:leftChars="0" w:firstLine="400" w:firstLineChars="0"/>
        <w:rPr>
          <w:rFonts w:ascii="宋体" w:hAnsi="宋体" w:cs="宋体"/>
          <w:color w:val="auto"/>
          <w:szCs w:val="21"/>
          <w:highlight w:val="none"/>
        </w:rPr>
      </w:pPr>
      <w:r>
        <w:rPr>
          <w:rFonts w:hint="eastAsia" w:ascii="宋体" w:hAnsi="宋体" w:cs="宋体"/>
          <w:color w:val="auto"/>
          <w:szCs w:val="21"/>
          <w:highlight w:val="none"/>
          <w:lang w:val="en-US" w:eastAsia="zh-CN"/>
        </w:rPr>
        <w:t>考核</w:t>
      </w:r>
      <w:r>
        <w:rPr>
          <w:rFonts w:hint="eastAsia" w:ascii="宋体" w:hAnsi="宋体" w:cs="宋体"/>
          <w:color w:val="auto"/>
          <w:szCs w:val="21"/>
          <w:highlight w:val="none"/>
        </w:rPr>
        <w:t>得分95分(含)以上全额支付当月</w:t>
      </w:r>
      <w:r>
        <w:rPr>
          <w:rFonts w:hint="eastAsia" w:ascii="宋体" w:hAnsi="宋体" w:cs="宋体"/>
          <w:color w:val="auto"/>
          <w:szCs w:val="21"/>
          <w:highlight w:val="none"/>
          <w:lang w:eastAsia="zh-CN"/>
        </w:rPr>
        <w:t>物业管理服务</w:t>
      </w:r>
      <w:r>
        <w:rPr>
          <w:rFonts w:hint="eastAsia" w:ascii="宋体" w:hAnsi="宋体" w:cs="宋体"/>
          <w:color w:val="auto"/>
          <w:szCs w:val="21"/>
          <w:highlight w:val="none"/>
        </w:rPr>
        <w:t>费；</w:t>
      </w:r>
      <w:r>
        <w:rPr>
          <w:rFonts w:hint="eastAsia" w:ascii="宋体" w:hAnsi="宋体" w:cs="宋体"/>
          <w:color w:val="auto"/>
          <w:szCs w:val="21"/>
          <w:highlight w:val="none"/>
          <w:lang w:val="en-US" w:eastAsia="zh-CN"/>
        </w:rPr>
        <w:t>考核</w:t>
      </w:r>
      <w:r>
        <w:rPr>
          <w:rFonts w:hint="eastAsia" w:ascii="宋体" w:hAnsi="宋体" w:cs="宋体"/>
          <w:color w:val="auto"/>
          <w:szCs w:val="21"/>
          <w:highlight w:val="none"/>
        </w:rPr>
        <w:t>得分90分（含）以上95分以下扣除当月</w:t>
      </w:r>
      <w:r>
        <w:rPr>
          <w:rFonts w:hint="eastAsia" w:ascii="宋体" w:hAnsi="宋体" w:cs="宋体"/>
          <w:color w:val="auto"/>
          <w:szCs w:val="21"/>
          <w:highlight w:val="none"/>
          <w:lang w:eastAsia="zh-CN"/>
        </w:rPr>
        <w:t>物业管理服务</w:t>
      </w:r>
      <w:r>
        <w:rPr>
          <w:rFonts w:hint="eastAsia" w:ascii="宋体" w:hAnsi="宋体" w:cs="宋体"/>
          <w:color w:val="auto"/>
          <w:szCs w:val="21"/>
          <w:highlight w:val="none"/>
        </w:rPr>
        <w:t>费1%；</w:t>
      </w:r>
      <w:r>
        <w:rPr>
          <w:rFonts w:hint="eastAsia" w:ascii="宋体" w:hAnsi="宋体" w:cs="宋体"/>
          <w:color w:val="auto"/>
          <w:szCs w:val="21"/>
          <w:highlight w:val="none"/>
          <w:lang w:val="en-US" w:eastAsia="zh-CN"/>
        </w:rPr>
        <w:t>考核</w:t>
      </w:r>
      <w:r>
        <w:rPr>
          <w:rFonts w:hint="eastAsia" w:ascii="宋体" w:hAnsi="宋体" w:cs="宋体"/>
          <w:color w:val="auto"/>
          <w:szCs w:val="21"/>
          <w:highlight w:val="none"/>
        </w:rPr>
        <w:t>得分85分（含）以上90分以下扣除当月</w:t>
      </w:r>
      <w:r>
        <w:rPr>
          <w:rFonts w:hint="eastAsia" w:ascii="宋体" w:hAnsi="宋体" w:cs="宋体"/>
          <w:color w:val="auto"/>
          <w:szCs w:val="21"/>
          <w:highlight w:val="none"/>
          <w:lang w:eastAsia="zh-CN"/>
        </w:rPr>
        <w:t>物业管理服务</w:t>
      </w:r>
      <w:r>
        <w:rPr>
          <w:rFonts w:hint="eastAsia" w:ascii="宋体" w:hAnsi="宋体" w:cs="宋体"/>
          <w:color w:val="auto"/>
          <w:szCs w:val="21"/>
          <w:highlight w:val="none"/>
        </w:rPr>
        <w:t>费3%；</w:t>
      </w:r>
      <w:r>
        <w:rPr>
          <w:rFonts w:hint="eastAsia" w:ascii="宋体" w:hAnsi="宋体" w:cs="宋体"/>
          <w:color w:val="auto"/>
          <w:szCs w:val="21"/>
          <w:highlight w:val="none"/>
          <w:lang w:val="en-US" w:eastAsia="zh-CN"/>
        </w:rPr>
        <w:t>考核</w:t>
      </w:r>
      <w:r>
        <w:rPr>
          <w:rFonts w:hint="eastAsia" w:ascii="宋体" w:hAnsi="宋体" w:cs="宋体"/>
          <w:color w:val="auto"/>
          <w:szCs w:val="21"/>
          <w:highlight w:val="none"/>
        </w:rPr>
        <w:t>得分75分（含）以上85分以下扣除当月</w:t>
      </w:r>
      <w:r>
        <w:rPr>
          <w:rFonts w:hint="eastAsia" w:ascii="宋体" w:hAnsi="宋体" w:cs="宋体"/>
          <w:color w:val="auto"/>
          <w:szCs w:val="21"/>
          <w:highlight w:val="none"/>
          <w:lang w:eastAsia="zh-CN"/>
        </w:rPr>
        <w:t>物业管理服务</w:t>
      </w:r>
      <w:r>
        <w:rPr>
          <w:rFonts w:hint="eastAsia" w:ascii="宋体" w:hAnsi="宋体" w:cs="宋体"/>
          <w:color w:val="auto"/>
          <w:szCs w:val="21"/>
          <w:highlight w:val="none"/>
        </w:rPr>
        <w:t>费5%；</w:t>
      </w:r>
      <w:r>
        <w:rPr>
          <w:rFonts w:hint="eastAsia" w:ascii="宋体" w:hAnsi="宋体" w:cs="宋体"/>
          <w:color w:val="auto"/>
          <w:szCs w:val="21"/>
          <w:highlight w:val="none"/>
          <w:lang w:val="en-US" w:eastAsia="zh-CN"/>
        </w:rPr>
        <w:t>考核</w:t>
      </w:r>
      <w:r>
        <w:rPr>
          <w:rFonts w:hint="eastAsia" w:ascii="宋体" w:hAnsi="宋体" w:cs="宋体"/>
          <w:color w:val="auto"/>
          <w:szCs w:val="21"/>
          <w:highlight w:val="none"/>
        </w:rPr>
        <w:t>得分75分以下为不合格，扣除当月</w:t>
      </w:r>
      <w:r>
        <w:rPr>
          <w:rFonts w:hint="eastAsia" w:ascii="宋体" w:hAnsi="宋体" w:cs="宋体"/>
          <w:color w:val="auto"/>
          <w:szCs w:val="21"/>
          <w:highlight w:val="none"/>
          <w:lang w:eastAsia="zh-CN"/>
        </w:rPr>
        <w:t>物业管理服务</w:t>
      </w:r>
      <w:r>
        <w:rPr>
          <w:rFonts w:hint="eastAsia" w:ascii="宋体" w:hAnsi="宋体" w:cs="宋体"/>
          <w:color w:val="auto"/>
          <w:szCs w:val="21"/>
          <w:highlight w:val="none"/>
        </w:rPr>
        <w:t>费20%。</w:t>
      </w:r>
    </w:p>
    <w:p>
      <w:pPr>
        <w:numPr>
          <w:ilvl w:val="0"/>
          <w:numId w:val="83"/>
        </w:numPr>
        <w:spacing w:line="360" w:lineRule="auto"/>
        <w:ind w:left="0" w:leftChars="0" w:firstLine="400" w:firstLineChars="0"/>
        <w:rPr>
          <w:rFonts w:ascii="宋体" w:hAnsi="宋体" w:cs="宋体"/>
          <w:color w:val="auto"/>
          <w:szCs w:val="21"/>
          <w:highlight w:val="none"/>
        </w:rPr>
      </w:pPr>
      <w:r>
        <w:rPr>
          <w:rFonts w:hint="eastAsia" w:ascii="宋体" w:hAnsi="宋体" w:cs="宋体"/>
          <w:color w:val="auto"/>
          <w:szCs w:val="21"/>
          <w:highlight w:val="none"/>
        </w:rPr>
        <w:t>因乙方管理不到位，造成投诉12345热线的，每次扣除</w:t>
      </w:r>
      <w:r>
        <w:rPr>
          <w:rFonts w:hint="eastAsia" w:ascii="宋体" w:hAnsi="宋体" w:cs="宋体"/>
          <w:color w:val="auto"/>
          <w:szCs w:val="21"/>
          <w:highlight w:val="none"/>
          <w:lang w:val="en-US" w:eastAsia="zh-CN"/>
        </w:rPr>
        <w:t>当月</w:t>
      </w:r>
      <w:r>
        <w:rPr>
          <w:rFonts w:hint="eastAsia" w:ascii="宋体" w:hAnsi="宋体" w:cs="宋体"/>
          <w:color w:val="auto"/>
          <w:szCs w:val="21"/>
          <w:highlight w:val="none"/>
          <w:lang w:eastAsia="zh-CN"/>
        </w:rPr>
        <w:t>物业管理服务</w:t>
      </w:r>
      <w:r>
        <w:rPr>
          <w:rFonts w:hint="eastAsia" w:ascii="宋体" w:hAnsi="宋体" w:cs="宋体"/>
          <w:color w:val="auto"/>
          <w:szCs w:val="21"/>
          <w:highlight w:val="none"/>
        </w:rPr>
        <w:t>费3000元；在文明指数测评中，由乙方原因造成扣分的，每扣一分扣除</w:t>
      </w:r>
      <w:r>
        <w:rPr>
          <w:rFonts w:hint="eastAsia" w:ascii="宋体" w:hAnsi="宋体" w:cs="宋体"/>
          <w:color w:val="auto"/>
          <w:szCs w:val="21"/>
          <w:highlight w:val="none"/>
          <w:lang w:val="en-US" w:eastAsia="zh-CN"/>
        </w:rPr>
        <w:t>当月</w:t>
      </w:r>
      <w:r>
        <w:rPr>
          <w:rFonts w:hint="eastAsia" w:ascii="宋体" w:hAnsi="宋体" w:cs="宋体"/>
          <w:color w:val="auto"/>
          <w:szCs w:val="21"/>
          <w:highlight w:val="none"/>
          <w:lang w:eastAsia="zh-CN"/>
        </w:rPr>
        <w:t>物业管理服务</w:t>
      </w:r>
      <w:r>
        <w:rPr>
          <w:rFonts w:hint="eastAsia" w:ascii="宋体" w:hAnsi="宋体" w:cs="宋体"/>
          <w:color w:val="auto"/>
          <w:szCs w:val="21"/>
          <w:highlight w:val="none"/>
        </w:rPr>
        <w:t>费1000元。</w:t>
      </w:r>
    </w:p>
    <w:p>
      <w:pPr>
        <w:numPr>
          <w:ilvl w:val="0"/>
          <w:numId w:val="83"/>
        </w:numPr>
        <w:spacing w:line="360" w:lineRule="auto"/>
        <w:ind w:left="0" w:leftChars="0" w:firstLine="400" w:firstLineChars="0"/>
        <w:rPr>
          <w:rFonts w:ascii="宋体" w:hAnsi="宋体" w:cs="宋体"/>
          <w:color w:val="auto"/>
          <w:szCs w:val="21"/>
          <w:highlight w:val="none"/>
        </w:rPr>
      </w:pPr>
      <w:r>
        <w:rPr>
          <w:rFonts w:hint="eastAsia" w:ascii="宋体" w:hAnsi="宋体" w:cs="宋体"/>
          <w:color w:val="auto"/>
          <w:szCs w:val="21"/>
          <w:highlight w:val="none"/>
        </w:rPr>
        <w:t>如考核连续2个月不合格，甲方有权无责单方解除本合同。</w:t>
      </w:r>
    </w:p>
    <w:p>
      <w:pPr>
        <w:numPr>
          <w:ilvl w:val="0"/>
          <w:numId w:val="83"/>
        </w:numPr>
        <w:spacing w:line="360" w:lineRule="auto"/>
        <w:ind w:left="0" w:leftChars="0" w:firstLine="400" w:firstLineChars="0"/>
        <w:rPr>
          <w:rFonts w:ascii="宋体" w:hAnsi="宋体" w:cs="宋体"/>
          <w:color w:val="auto"/>
          <w:szCs w:val="21"/>
        </w:rPr>
      </w:pPr>
      <w:r>
        <w:rPr>
          <w:rFonts w:hint="eastAsia" w:ascii="宋体" w:hAnsi="宋体" w:cs="宋体"/>
          <w:color w:val="auto"/>
          <w:szCs w:val="21"/>
          <w:highlight w:val="none"/>
          <w:lang w:val="en-US" w:eastAsia="zh-CN"/>
        </w:rPr>
        <w:t>乙方</w:t>
      </w:r>
      <w:r>
        <w:rPr>
          <w:rFonts w:hint="eastAsia" w:ascii="宋体" w:hAnsi="宋体" w:cs="宋体"/>
          <w:color w:val="auto"/>
          <w:szCs w:val="21"/>
          <w:highlight w:val="none"/>
        </w:rPr>
        <w:t>未经过</w:t>
      </w:r>
      <w:r>
        <w:rPr>
          <w:rFonts w:hint="eastAsia" w:ascii="宋体" w:hAnsi="宋体" w:cs="宋体"/>
          <w:color w:val="auto"/>
          <w:szCs w:val="21"/>
          <w:highlight w:val="none"/>
          <w:lang w:val="en-US" w:eastAsia="zh-CN"/>
        </w:rPr>
        <w:t>甲方</w:t>
      </w:r>
      <w:r>
        <w:rPr>
          <w:rFonts w:hint="eastAsia" w:ascii="宋体" w:hAnsi="宋体" w:cs="宋体"/>
          <w:color w:val="auto"/>
          <w:szCs w:val="21"/>
          <w:highlight w:val="none"/>
        </w:rPr>
        <w:t>同意擅自减少人员数量的，</w:t>
      </w:r>
      <w:r>
        <w:rPr>
          <w:rFonts w:hint="eastAsia" w:ascii="宋体" w:hAnsi="宋体" w:cs="宋体"/>
          <w:color w:val="auto"/>
          <w:szCs w:val="21"/>
          <w:highlight w:val="none"/>
          <w:lang w:val="en-US" w:eastAsia="zh-CN"/>
        </w:rPr>
        <w:t>甲方</w:t>
      </w:r>
      <w:r>
        <w:rPr>
          <w:rFonts w:hint="eastAsia" w:ascii="宋体" w:hAnsi="宋体" w:cs="宋体"/>
          <w:color w:val="auto"/>
          <w:szCs w:val="21"/>
          <w:highlight w:val="none"/>
        </w:rPr>
        <w:t>可以按缺少人数每人次扣双倍的岗位</w:t>
      </w:r>
      <w:r>
        <w:rPr>
          <w:rFonts w:hint="eastAsia" w:ascii="宋体" w:hAnsi="宋体" w:cs="宋体"/>
          <w:color w:val="auto"/>
          <w:szCs w:val="21"/>
          <w:highlight w:val="none"/>
          <w:lang w:eastAsia="zh-CN"/>
        </w:rPr>
        <w:t>月</w:t>
      </w:r>
      <w:r>
        <w:rPr>
          <w:rFonts w:hint="eastAsia" w:ascii="宋体" w:hAnsi="宋体" w:cs="宋体"/>
          <w:color w:val="auto"/>
          <w:szCs w:val="21"/>
          <w:highlight w:val="none"/>
        </w:rPr>
        <w:t>工资，</w:t>
      </w:r>
      <w:r>
        <w:rPr>
          <w:rFonts w:hint="eastAsia" w:ascii="宋体" w:hAnsi="宋体" w:cs="宋体"/>
          <w:color w:val="auto"/>
          <w:szCs w:val="21"/>
          <w:highlight w:val="none"/>
          <w:lang w:eastAsia="zh-CN"/>
        </w:rPr>
        <w:t>从</w:t>
      </w:r>
      <w:r>
        <w:rPr>
          <w:rFonts w:hint="eastAsia" w:ascii="宋体" w:hAnsi="宋体" w:cs="宋体"/>
          <w:color w:val="auto"/>
          <w:szCs w:val="21"/>
          <w:highlight w:val="none"/>
        </w:rPr>
        <w:t>当月</w:t>
      </w:r>
      <w:r>
        <w:rPr>
          <w:rFonts w:hint="eastAsia" w:ascii="宋体" w:hAnsi="宋体" w:cs="宋体"/>
          <w:color w:val="auto"/>
          <w:szCs w:val="21"/>
          <w:highlight w:val="none"/>
          <w:lang w:val="en-US" w:eastAsia="zh-CN"/>
        </w:rPr>
        <w:t>物业管理服务费</w:t>
      </w:r>
      <w:r>
        <w:rPr>
          <w:rFonts w:hint="eastAsia" w:ascii="宋体" w:hAnsi="宋体" w:cs="宋体"/>
          <w:color w:val="auto"/>
          <w:szCs w:val="21"/>
          <w:highlight w:val="none"/>
          <w:lang w:eastAsia="zh-CN"/>
        </w:rPr>
        <w:t>里累计</w:t>
      </w:r>
      <w:r>
        <w:rPr>
          <w:rFonts w:hint="eastAsia" w:ascii="宋体" w:hAnsi="宋体" w:cs="宋体"/>
          <w:color w:val="auto"/>
          <w:szCs w:val="21"/>
          <w:highlight w:val="none"/>
        </w:rPr>
        <w:t>扣除</w:t>
      </w:r>
      <w:r>
        <w:rPr>
          <w:rFonts w:hint="eastAsia" w:ascii="宋体" w:hAnsi="宋体" w:cs="宋体"/>
          <w:color w:val="auto"/>
          <w:szCs w:val="21"/>
        </w:rPr>
        <w:t>。</w:t>
      </w:r>
    </w:p>
    <w:p>
      <w:pPr>
        <w:numPr>
          <w:ilvl w:val="0"/>
          <w:numId w:val="83"/>
        </w:numPr>
        <w:spacing w:line="360" w:lineRule="auto"/>
        <w:ind w:left="0" w:leftChars="0" w:firstLine="400" w:firstLineChars="0"/>
        <w:rPr>
          <w:rFonts w:ascii="宋体" w:hAnsi="宋体" w:cs="宋体"/>
          <w:color w:val="auto"/>
          <w:szCs w:val="21"/>
        </w:rPr>
      </w:pPr>
      <w:r>
        <w:rPr>
          <w:rFonts w:hint="eastAsia" w:ascii="宋体" w:hAnsi="宋体" w:cs="宋体"/>
          <w:color w:val="auto"/>
          <w:szCs w:val="21"/>
        </w:rPr>
        <w:t>如重要设备、设施由于乙方日常维护保养不当，导致无法正常启动，则扣除当月</w:t>
      </w:r>
      <w:r>
        <w:rPr>
          <w:rFonts w:hint="eastAsia" w:ascii="宋体" w:hAnsi="宋体" w:cs="宋体"/>
          <w:color w:val="auto"/>
          <w:szCs w:val="21"/>
          <w:lang w:eastAsia="zh-CN"/>
        </w:rPr>
        <w:t>物业管理服务</w:t>
      </w:r>
      <w:r>
        <w:rPr>
          <w:rFonts w:hint="eastAsia" w:ascii="宋体" w:hAnsi="宋体" w:cs="宋体"/>
          <w:color w:val="auto"/>
          <w:szCs w:val="21"/>
        </w:rPr>
        <w:t>费的1-3%，造成甲方损失的费用全部由乙方承担。</w:t>
      </w:r>
    </w:p>
    <w:p>
      <w:pPr>
        <w:numPr>
          <w:ilvl w:val="0"/>
          <w:numId w:val="83"/>
        </w:numPr>
        <w:spacing w:line="360" w:lineRule="auto"/>
        <w:ind w:left="0" w:leftChars="0" w:firstLine="400" w:firstLineChars="0"/>
        <w:rPr>
          <w:rFonts w:hint="eastAsia" w:ascii="宋体" w:hAnsi="宋体" w:cs="宋体"/>
          <w:color w:val="auto"/>
          <w:szCs w:val="21"/>
        </w:rPr>
      </w:pPr>
      <w:r>
        <w:rPr>
          <w:rFonts w:hint="eastAsia"/>
          <w:color w:val="auto"/>
          <w:szCs w:val="22"/>
          <w:highlight w:val="none"/>
        </w:rPr>
        <w:t>如</w:t>
      </w:r>
      <w:r>
        <w:rPr>
          <w:rFonts w:hint="eastAsia"/>
          <w:color w:val="auto"/>
          <w:szCs w:val="22"/>
          <w:highlight w:val="none"/>
          <w:lang w:val="en-US" w:eastAsia="zh-CN"/>
        </w:rPr>
        <w:t>乙方</w:t>
      </w:r>
      <w:r>
        <w:rPr>
          <w:rFonts w:hint="eastAsia"/>
          <w:color w:val="auto"/>
          <w:szCs w:val="22"/>
          <w:highlight w:val="none"/>
        </w:rPr>
        <w:t>会务服务未达到物业管理合同要求标准，造成恶劣影响的，扣除当月</w:t>
      </w:r>
      <w:r>
        <w:rPr>
          <w:rFonts w:hint="eastAsia"/>
          <w:color w:val="auto"/>
          <w:szCs w:val="22"/>
          <w:highlight w:val="none"/>
          <w:lang w:eastAsia="zh-CN"/>
        </w:rPr>
        <w:t>物业管理服务</w:t>
      </w:r>
      <w:r>
        <w:rPr>
          <w:rFonts w:hint="eastAsia"/>
          <w:color w:val="auto"/>
          <w:szCs w:val="22"/>
          <w:highlight w:val="none"/>
        </w:rPr>
        <w:t>费的1-3%。</w:t>
      </w:r>
      <w:r>
        <w:rPr>
          <w:rFonts w:hint="eastAsia" w:ascii="宋体" w:hAnsi="宋体" w:cs="宋体"/>
          <w:color w:val="auto"/>
          <w:szCs w:val="21"/>
        </w:rPr>
        <w:t>重大会议保障出现会议事故（如播放音乐错误、音响、视频、灯光、舞台机械等设备出现重大故障等），扣除乙方当月</w:t>
      </w:r>
      <w:r>
        <w:rPr>
          <w:rFonts w:hint="eastAsia" w:ascii="宋体" w:hAnsi="宋体" w:cs="宋体"/>
          <w:color w:val="auto"/>
          <w:szCs w:val="21"/>
          <w:lang w:eastAsia="zh-CN"/>
        </w:rPr>
        <w:t>物业管理服务</w:t>
      </w:r>
      <w:r>
        <w:rPr>
          <w:rFonts w:hint="eastAsia" w:ascii="宋体" w:hAnsi="宋体" w:cs="宋体"/>
          <w:color w:val="auto"/>
          <w:szCs w:val="21"/>
        </w:rPr>
        <w:t>费的3-5%</w:t>
      </w:r>
      <w:r>
        <w:rPr>
          <w:rFonts w:hint="eastAsia" w:ascii="宋体" w:hAnsi="宋体" w:cs="宋体"/>
          <w:color w:val="auto"/>
          <w:szCs w:val="21"/>
          <w:lang w:eastAsia="zh-CN"/>
        </w:rPr>
        <w:t>。</w:t>
      </w:r>
    </w:p>
    <w:p>
      <w:pPr>
        <w:numPr>
          <w:ilvl w:val="0"/>
          <w:numId w:val="83"/>
        </w:numPr>
        <w:spacing w:line="360" w:lineRule="auto"/>
        <w:ind w:left="0" w:leftChars="0" w:firstLine="400" w:firstLineChars="0"/>
        <w:rPr>
          <w:rFonts w:hint="eastAsia" w:ascii="宋体" w:hAnsi="宋体" w:cs="宋体"/>
          <w:color w:val="auto"/>
          <w:szCs w:val="21"/>
          <w:lang w:val="en-US" w:eastAsia="zh-CN"/>
        </w:rPr>
      </w:pPr>
      <w:r>
        <w:rPr>
          <w:rFonts w:hint="eastAsia" w:ascii="宋体" w:hAnsi="宋体" w:cs="宋体"/>
          <w:color w:val="auto"/>
          <w:szCs w:val="21"/>
        </w:rPr>
        <w:t>如因乙方应急方案制订不完善、未定期演练、遭遇突发时间处置不当等情况，扣除乙方当月</w:t>
      </w:r>
      <w:r>
        <w:rPr>
          <w:rFonts w:hint="eastAsia" w:ascii="宋体" w:hAnsi="宋体" w:cs="宋体"/>
          <w:color w:val="auto"/>
          <w:szCs w:val="21"/>
          <w:lang w:eastAsia="zh-CN"/>
        </w:rPr>
        <w:t>物业管理服务</w:t>
      </w:r>
      <w:r>
        <w:rPr>
          <w:rFonts w:hint="eastAsia" w:ascii="宋体" w:hAnsi="宋体" w:cs="宋体"/>
          <w:color w:val="auto"/>
          <w:szCs w:val="21"/>
        </w:rPr>
        <w:t>费的1-3%，造成</w:t>
      </w:r>
      <w:r>
        <w:rPr>
          <w:rFonts w:hint="eastAsia" w:ascii="宋体" w:hAnsi="宋体" w:cs="宋体"/>
          <w:color w:val="auto"/>
          <w:szCs w:val="21"/>
          <w:highlight w:val="none"/>
          <w:lang w:val="en-US" w:eastAsia="zh-CN"/>
        </w:rPr>
        <w:t>甲方</w:t>
      </w:r>
      <w:r>
        <w:rPr>
          <w:rFonts w:hint="eastAsia" w:ascii="宋体" w:hAnsi="宋体" w:cs="宋体"/>
          <w:color w:val="auto"/>
          <w:szCs w:val="21"/>
        </w:rPr>
        <w:t>损失的费用全部由乙方承担。</w:t>
      </w:r>
    </w:p>
    <w:p>
      <w:pPr>
        <w:numPr>
          <w:ilvl w:val="0"/>
          <w:numId w:val="83"/>
        </w:numPr>
        <w:spacing w:line="360" w:lineRule="auto"/>
        <w:ind w:left="0" w:leftChars="0" w:firstLine="400" w:firstLineChars="0"/>
        <w:rPr>
          <w:rFonts w:hint="eastAsia" w:ascii="宋体" w:hAnsi="宋体" w:cs="宋体"/>
          <w:color w:val="auto"/>
          <w:szCs w:val="21"/>
          <w:lang w:val="en-US" w:eastAsia="zh-CN"/>
        </w:rPr>
      </w:pPr>
      <w:r>
        <w:rPr>
          <w:rFonts w:hint="eastAsia" w:ascii="宋体" w:hAnsi="宋体" w:cs="宋体"/>
          <w:color w:val="auto"/>
          <w:szCs w:val="21"/>
        </w:rPr>
        <w:t>乙方</w:t>
      </w:r>
      <w:r>
        <w:rPr>
          <w:rFonts w:hint="eastAsia" w:ascii="宋体" w:hAnsi="宋体" w:cs="宋体"/>
          <w:color w:val="auto"/>
          <w:szCs w:val="21"/>
          <w:lang w:eastAsia="zh-CN"/>
        </w:rPr>
        <w:t>未能完按时（每年</w:t>
      </w:r>
      <w:r>
        <w:rPr>
          <w:rFonts w:hint="eastAsia" w:ascii="宋体" w:hAnsi="宋体" w:cs="宋体"/>
          <w:color w:val="auto"/>
          <w:szCs w:val="21"/>
          <w:lang w:val="en-US" w:eastAsia="zh-CN"/>
        </w:rPr>
        <w:t>4月30日前</w:t>
      </w:r>
      <w:r>
        <w:rPr>
          <w:rFonts w:hint="eastAsia" w:ascii="宋体" w:hAnsi="宋体" w:cs="宋体"/>
          <w:color w:val="auto"/>
          <w:szCs w:val="21"/>
          <w:lang w:eastAsia="zh-CN"/>
        </w:rPr>
        <w:t>）</w:t>
      </w:r>
      <w:r>
        <w:rPr>
          <w:rFonts w:hint="eastAsia" w:ascii="宋体" w:hAnsi="宋体" w:cs="宋体"/>
          <w:color w:val="auto"/>
          <w:szCs w:val="21"/>
          <w:lang w:val="en-US" w:eastAsia="zh-CN"/>
        </w:rPr>
        <w:t>完</w:t>
      </w:r>
      <w:r>
        <w:rPr>
          <w:rFonts w:hint="eastAsia" w:ascii="宋体" w:hAnsi="宋体" w:cs="宋体"/>
          <w:color w:val="auto"/>
          <w:szCs w:val="21"/>
          <w:lang w:eastAsia="zh-CN"/>
        </w:rPr>
        <w:t>成市政大院内的高低压配电设备和发电设备年检的，</w:t>
      </w:r>
      <w:r>
        <w:rPr>
          <w:rFonts w:hint="eastAsia" w:ascii="宋体" w:hAnsi="宋体" w:cs="宋体"/>
          <w:color w:val="auto"/>
          <w:szCs w:val="21"/>
        </w:rPr>
        <w:t>扣除乙方</w:t>
      </w:r>
      <w:r>
        <w:rPr>
          <w:rFonts w:hint="eastAsia" w:ascii="宋体" w:hAnsi="宋体" w:cs="宋体"/>
          <w:color w:val="auto"/>
          <w:szCs w:val="21"/>
          <w:lang w:eastAsia="zh-CN"/>
        </w:rPr>
        <w:t>延期月份物业管理服务</w:t>
      </w:r>
      <w:r>
        <w:rPr>
          <w:rFonts w:hint="eastAsia" w:ascii="宋体" w:hAnsi="宋体" w:cs="宋体"/>
          <w:color w:val="auto"/>
          <w:szCs w:val="21"/>
        </w:rPr>
        <w:t>费的</w:t>
      </w:r>
      <w:r>
        <w:rPr>
          <w:rFonts w:hint="eastAsia" w:ascii="宋体" w:hAnsi="宋体" w:cs="宋体"/>
          <w:color w:val="auto"/>
          <w:szCs w:val="21"/>
          <w:lang w:val="en-US" w:eastAsia="zh-CN"/>
        </w:rPr>
        <w:t>2</w:t>
      </w:r>
      <w:r>
        <w:rPr>
          <w:rFonts w:hint="eastAsia" w:ascii="宋体" w:hAnsi="宋体" w:cs="宋体"/>
          <w:color w:val="auto"/>
          <w:szCs w:val="21"/>
        </w:rPr>
        <w:t>-3%，造成</w:t>
      </w:r>
      <w:r>
        <w:rPr>
          <w:rFonts w:hint="eastAsia" w:ascii="宋体" w:hAnsi="宋体" w:cs="宋体"/>
          <w:color w:val="auto"/>
          <w:szCs w:val="21"/>
          <w:highlight w:val="none"/>
          <w:lang w:val="en-US" w:eastAsia="zh-CN"/>
        </w:rPr>
        <w:t>甲方</w:t>
      </w:r>
      <w:r>
        <w:rPr>
          <w:rFonts w:hint="eastAsia" w:ascii="宋体" w:hAnsi="宋体" w:cs="宋体"/>
          <w:color w:val="auto"/>
          <w:szCs w:val="21"/>
        </w:rPr>
        <w:t>损失的费用全部由乙方承担。</w:t>
      </w:r>
    </w:p>
    <w:p>
      <w:pPr>
        <w:numPr>
          <w:ilvl w:val="0"/>
          <w:numId w:val="83"/>
        </w:numPr>
        <w:spacing w:line="360" w:lineRule="auto"/>
        <w:ind w:left="0" w:leftChars="0" w:firstLine="400" w:firstLineChars="0"/>
        <w:rPr>
          <w:rFonts w:hint="eastAsia" w:ascii="宋体" w:hAnsi="宋体" w:cs="宋体"/>
          <w:color w:val="auto"/>
          <w:szCs w:val="21"/>
          <w:lang w:val="en-US" w:eastAsia="zh-CN"/>
        </w:rPr>
      </w:pPr>
      <w:r>
        <w:rPr>
          <w:rFonts w:hint="eastAsia" w:ascii="宋体" w:hAnsi="宋体" w:cs="宋体"/>
          <w:color w:val="auto"/>
          <w:szCs w:val="21"/>
        </w:rPr>
        <w:t>乙方</w:t>
      </w:r>
      <w:r>
        <w:rPr>
          <w:rFonts w:hint="eastAsia" w:ascii="宋体" w:hAnsi="宋体" w:cs="宋体"/>
          <w:color w:val="auto"/>
          <w:szCs w:val="21"/>
          <w:lang w:eastAsia="zh-CN"/>
        </w:rPr>
        <w:t>未能按时（每年</w:t>
      </w:r>
      <w:r>
        <w:rPr>
          <w:rFonts w:hint="eastAsia" w:ascii="宋体" w:hAnsi="宋体" w:cs="宋体"/>
          <w:color w:val="auto"/>
          <w:szCs w:val="21"/>
          <w:lang w:val="en-US" w:eastAsia="zh-CN"/>
        </w:rPr>
        <w:t>5月10日前</w:t>
      </w:r>
      <w:r>
        <w:rPr>
          <w:rFonts w:hint="eastAsia" w:ascii="宋体" w:hAnsi="宋体" w:cs="宋体"/>
          <w:color w:val="auto"/>
          <w:szCs w:val="21"/>
          <w:lang w:eastAsia="zh-CN"/>
        </w:rPr>
        <w:t>）完成中央空调主机维护及调试</w:t>
      </w:r>
      <w:r>
        <w:rPr>
          <w:rFonts w:hint="eastAsia" w:ascii="宋体" w:hAnsi="宋体" w:cs="宋体"/>
          <w:color w:val="auto"/>
          <w:szCs w:val="21"/>
          <w:lang w:val="en-US" w:eastAsia="zh-CN"/>
        </w:rPr>
        <w:t>运行准备工作</w:t>
      </w:r>
      <w:r>
        <w:rPr>
          <w:rFonts w:hint="eastAsia" w:ascii="宋体" w:hAnsi="宋体" w:cs="宋体"/>
          <w:color w:val="auto"/>
          <w:szCs w:val="21"/>
          <w:lang w:eastAsia="zh-CN"/>
        </w:rPr>
        <w:t>的，</w:t>
      </w:r>
      <w:r>
        <w:rPr>
          <w:rFonts w:hint="eastAsia" w:ascii="宋体" w:hAnsi="宋体" w:cs="宋体"/>
          <w:color w:val="auto"/>
          <w:szCs w:val="21"/>
        </w:rPr>
        <w:t>扣除乙方</w:t>
      </w:r>
      <w:r>
        <w:rPr>
          <w:rFonts w:hint="eastAsia" w:ascii="宋体" w:hAnsi="宋体" w:cs="宋体"/>
          <w:color w:val="auto"/>
          <w:szCs w:val="21"/>
          <w:lang w:eastAsia="zh-CN"/>
        </w:rPr>
        <w:t>延期月份物业管理服务</w:t>
      </w:r>
      <w:r>
        <w:rPr>
          <w:rFonts w:hint="eastAsia" w:ascii="宋体" w:hAnsi="宋体" w:cs="宋体"/>
          <w:color w:val="auto"/>
          <w:szCs w:val="21"/>
        </w:rPr>
        <w:t>费的</w:t>
      </w:r>
      <w:r>
        <w:rPr>
          <w:rFonts w:hint="eastAsia" w:ascii="宋体" w:hAnsi="宋体" w:cs="宋体"/>
          <w:color w:val="auto"/>
          <w:szCs w:val="21"/>
          <w:lang w:val="en-US" w:eastAsia="zh-CN"/>
        </w:rPr>
        <w:t>1</w:t>
      </w:r>
      <w:r>
        <w:rPr>
          <w:rFonts w:hint="eastAsia" w:ascii="宋体" w:hAnsi="宋体" w:cs="宋体"/>
          <w:color w:val="auto"/>
          <w:szCs w:val="21"/>
        </w:rPr>
        <w:t>-3%</w:t>
      </w:r>
      <w:r>
        <w:rPr>
          <w:rFonts w:hint="eastAsia" w:ascii="宋体" w:hAnsi="宋体" w:cs="宋体"/>
          <w:color w:val="auto"/>
          <w:szCs w:val="21"/>
          <w:lang w:eastAsia="zh-CN"/>
        </w:rPr>
        <w:t>，</w:t>
      </w:r>
      <w:r>
        <w:rPr>
          <w:rFonts w:hint="eastAsia" w:ascii="宋体" w:hAnsi="宋体" w:cs="宋体"/>
          <w:color w:val="auto"/>
          <w:szCs w:val="21"/>
        </w:rPr>
        <w:t>造成</w:t>
      </w:r>
      <w:r>
        <w:rPr>
          <w:rFonts w:hint="eastAsia" w:ascii="宋体" w:hAnsi="宋体" w:cs="宋体"/>
          <w:color w:val="auto"/>
          <w:szCs w:val="21"/>
          <w:highlight w:val="none"/>
          <w:lang w:val="en-US" w:eastAsia="zh-CN"/>
        </w:rPr>
        <w:t>甲方</w:t>
      </w:r>
      <w:r>
        <w:rPr>
          <w:rFonts w:hint="eastAsia" w:ascii="宋体" w:hAnsi="宋体" w:cs="宋体"/>
          <w:color w:val="auto"/>
          <w:szCs w:val="21"/>
        </w:rPr>
        <w:t>损失的费用全部由乙方承担</w:t>
      </w:r>
      <w:r>
        <w:rPr>
          <w:rFonts w:hint="eastAsia" w:ascii="宋体" w:hAnsi="宋体" w:cs="宋体"/>
          <w:color w:val="auto"/>
          <w:szCs w:val="21"/>
          <w:lang w:eastAsia="zh-CN"/>
        </w:rPr>
        <w:t>。</w:t>
      </w:r>
    </w:p>
    <w:p>
      <w:pPr>
        <w:numPr>
          <w:ilvl w:val="0"/>
          <w:numId w:val="83"/>
        </w:numPr>
        <w:spacing w:line="360" w:lineRule="auto"/>
        <w:ind w:left="0" w:leftChars="0" w:firstLine="400" w:firstLineChars="0"/>
        <w:rPr>
          <w:rFonts w:hint="eastAsia" w:ascii="宋体" w:hAnsi="宋体" w:cs="宋体"/>
          <w:color w:val="auto"/>
          <w:szCs w:val="21"/>
          <w:lang w:val="en-US" w:eastAsia="zh-CN"/>
        </w:rPr>
      </w:pPr>
      <w:r>
        <w:rPr>
          <w:rFonts w:hint="eastAsia" w:ascii="宋体" w:hAnsi="宋体" w:cs="宋体"/>
          <w:color w:val="auto"/>
          <w:szCs w:val="21"/>
        </w:rPr>
        <w:t>乙方</w:t>
      </w:r>
      <w:r>
        <w:rPr>
          <w:rFonts w:hint="eastAsia" w:ascii="宋体" w:hAnsi="宋体" w:cs="宋体"/>
          <w:color w:val="auto"/>
          <w:szCs w:val="21"/>
          <w:lang w:eastAsia="zh-CN"/>
        </w:rPr>
        <w:t>未能按时（每年</w:t>
      </w:r>
      <w:r>
        <w:rPr>
          <w:rFonts w:hint="eastAsia" w:ascii="宋体" w:hAnsi="宋体" w:cs="宋体"/>
          <w:color w:val="auto"/>
          <w:szCs w:val="21"/>
          <w:lang w:val="en-US" w:eastAsia="zh-CN"/>
        </w:rPr>
        <w:t>4月30日前</w:t>
      </w:r>
      <w:r>
        <w:rPr>
          <w:rFonts w:hint="eastAsia" w:ascii="宋体" w:hAnsi="宋体" w:cs="宋体"/>
          <w:color w:val="auto"/>
          <w:szCs w:val="21"/>
          <w:lang w:eastAsia="zh-CN"/>
        </w:rPr>
        <w:t>）完成</w:t>
      </w:r>
      <w:r>
        <w:rPr>
          <w:rFonts w:hint="eastAsia" w:ascii="宋体" w:hAnsi="宋体" w:cs="宋体"/>
          <w:color w:val="auto"/>
          <w:szCs w:val="21"/>
          <w:lang w:val="en-US" w:eastAsia="zh-CN"/>
        </w:rPr>
        <w:t>发电机年检</w:t>
      </w:r>
      <w:r>
        <w:rPr>
          <w:rFonts w:hint="eastAsia" w:ascii="宋体" w:hAnsi="宋体" w:cs="宋体"/>
          <w:color w:val="auto"/>
          <w:szCs w:val="21"/>
          <w:lang w:eastAsia="zh-CN"/>
        </w:rPr>
        <w:t>的，</w:t>
      </w:r>
      <w:r>
        <w:rPr>
          <w:rFonts w:hint="eastAsia" w:ascii="宋体" w:hAnsi="宋体" w:cs="宋体"/>
          <w:color w:val="auto"/>
          <w:szCs w:val="21"/>
        </w:rPr>
        <w:t>扣除乙方</w:t>
      </w:r>
      <w:r>
        <w:rPr>
          <w:rFonts w:hint="eastAsia" w:ascii="宋体" w:hAnsi="宋体" w:cs="宋体"/>
          <w:color w:val="auto"/>
          <w:szCs w:val="21"/>
          <w:lang w:eastAsia="zh-CN"/>
        </w:rPr>
        <w:t>延期月份物业管理服务</w:t>
      </w:r>
      <w:r>
        <w:rPr>
          <w:rFonts w:hint="eastAsia" w:ascii="宋体" w:hAnsi="宋体" w:cs="宋体"/>
          <w:color w:val="auto"/>
          <w:szCs w:val="21"/>
        </w:rPr>
        <w:t>费的</w:t>
      </w:r>
      <w:r>
        <w:rPr>
          <w:rFonts w:hint="eastAsia" w:ascii="宋体" w:hAnsi="宋体" w:cs="宋体"/>
          <w:color w:val="auto"/>
          <w:szCs w:val="21"/>
          <w:lang w:val="en-US" w:eastAsia="zh-CN"/>
        </w:rPr>
        <w:t>1</w:t>
      </w:r>
      <w:r>
        <w:rPr>
          <w:rFonts w:hint="eastAsia" w:ascii="宋体" w:hAnsi="宋体" w:cs="宋体"/>
          <w:color w:val="auto"/>
          <w:szCs w:val="21"/>
        </w:rPr>
        <w:t>-3%</w:t>
      </w:r>
      <w:r>
        <w:rPr>
          <w:rFonts w:hint="eastAsia" w:ascii="宋体" w:hAnsi="宋体" w:cs="宋体"/>
          <w:color w:val="auto"/>
          <w:szCs w:val="21"/>
          <w:lang w:eastAsia="zh-CN"/>
        </w:rPr>
        <w:t>，</w:t>
      </w:r>
      <w:r>
        <w:rPr>
          <w:rFonts w:hint="eastAsia" w:ascii="宋体" w:hAnsi="宋体" w:cs="宋体"/>
          <w:color w:val="auto"/>
          <w:szCs w:val="21"/>
        </w:rPr>
        <w:t>造成</w:t>
      </w:r>
      <w:r>
        <w:rPr>
          <w:rFonts w:hint="eastAsia" w:ascii="宋体" w:hAnsi="宋体" w:cs="宋体"/>
          <w:color w:val="auto"/>
          <w:szCs w:val="21"/>
          <w:highlight w:val="none"/>
          <w:lang w:val="en-US" w:eastAsia="zh-CN"/>
        </w:rPr>
        <w:t>甲方</w:t>
      </w:r>
      <w:r>
        <w:rPr>
          <w:rFonts w:hint="eastAsia" w:ascii="宋体" w:hAnsi="宋体" w:cs="宋体"/>
          <w:color w:val="auto"/>
          <w:szCs w:val="21"/>
        </w:rPr>
        <w:t>损失的费用全部由乙方承担</w:t>
      </w:r>
      <w:r>
        <w:rPr>
          <w:rFonts w:hint="eastAsia" w:ascii="宋体" w:hAnsi="宋体" w:cs="宋体"/>
          <w:color w:val="auto"/>
          <w:szCs w:val="21"/>
          <w:lang w:eastAsia="zh-CN"/>
        </w:rPr>
        <w:t>。</w:t>
      </w:r>
    </w:p>
    <w:p>
      <w:pPr>
        <w:numPr>
          <w:ilvl w:val="0"/>
          <w:numId w:val="83"/>
        </w:numPr>
        <w:spacing w:line="360" w:lineRule="auto"/>
        <w:ind w:left="0" w:leftChars="0" w:firstLine="400" w:firstLineChars="0"/>
        <w:rPr>
          <w:rFonts w:hint="eastAsia" w:ascii="宋体" w:hAnsi="宋体" w:cs="宋体"/>
          <w:color w:val="auto"/>
          <w:szCs w:val="21"/>
          <w:lang w:val="en-US" w:eastAsia="zh-CN"/>
        </w:rPr>
      </w:pPr>
      <w:r>
        <w:rPr>
          <w:rFonts w:hint="eastAsia" w:ascii="宋体" w:hAnsi="宋体" w:cs="宋体"/>
          <w:color w:val="auto"/>
          <w:szCs w:val="21"/>
        </w:rPr>
        <w:t>乙方</w:t>
      </w:r>
      <w:r>
        <w:rPr>
          <w:rFonts w:hint="eastAsia" w:ascii="宋体" w:hAnsi="宋体" w:cs="宋体"/>
          <w:color w:val="auto"/>
          <w:szCs w:val="21"/>
          <w:lang w:eastAsia="zh-CN"/>
        </w:rPr>
        <w:t>未能按时（每年</w:t>
      </w:r>
      <w:r>
        <w:rPr>
          <w:rFonts w:hint="eastAsia" w:ascii="宋体" w:hAnsi="宋体" w:cs="宋体"/>
          <w:color w:val="auto"/>
          <w:szCs w:val="21"/>
          <w:lang w:val="en-US" w:eastAsia="zh-CN"/>
        </w:rPr>
        <w:t>10月10日前</w:t>
      </w:r>
      <w:r>
        <w:rPr>
          <w:rFonts w:hint="eastAsia" w:ascii="宋体" w:hAnsi="宋体" w:cs="宋体"/>
          <w:color w:val="auto"/>
          <w:szCs w:val="21"/>
          <w:lang w:eastAsia="zh-CN"/>
        </w:rPr>
        <w:t>）完成常压电热锅炉</w:t>
      </w:r>
      <w:r>
        <w:rPr>
          <w:rFonts w:hint="eastAsia" w:ascii="宋体" w:hAnsi="宋体" w:cs="宋体"/>
          <w:color w:val="auto"/>
          <w:szCs w:val="21"/>
          <w:lang w:val="en-US" w:eastAsia="zh-CN"/>
        </w:rPr>
        <w:t>年检</w:t>
      </w:r>
      <w:r>
        <w:rPr>
          <w:rFonts w:hint="eastAsia" w:ascii="宋体" w:hAnsi="宋体" w:cs="宋体"/>
          <w:color w:val="auto"/>
          <w:szCs w:val="21"/>
          <w:lang w:eastAsia="zh-CN"/>
        </w:rPr>
        <w:t>的，</w:t>
      </w:r>
      <w:r>
        <w:rPr>
          <w:rFonts w:hint="eastAsia" w:ascii="宋体" w:hAnsi="宋体" w:cs="宋体"/>
          <w:color w:val="auto"/>
          <w:szCs w:val="21"/>
        </w:rPr>
        <w:t>扣除乙方</w:t>
      </w:r>
      <w:r>
        <w:rPr>
          <w:rFonts w:hint="eastAsia" w:ascii="宋体" w:hAnsi="宋体" w:cs="宋体"/>
          <w:color w:val="auto"/>
          <w:szCs w:val="21"/>
          <w:lang w:eastAsia="zh-CN"/>
        </w:rPr>
        <w:t>延期月份</w:t>
      </w:r>
      <w:r>
        <w:rPr>
          <w:rFonts w:hint="eastAsia" w:ascii="宋体" w:hAnsi="宋体" w:cs="宋体"/>
          <w:color w:val="auto"/>
          <w:szCs w:val="21"/>
        </w:rPr>
        <w:t>物业管理服务费的</w:t>
      </w:r>
      <w:r>
        <w:rPr>
          <w:rFonts w:hint="eastAsia" w:ascii="宋体" w:hAnsi="宋体" w:cs="宋体"/>
          <w:color w:val="auto"/>
          <w:szCs w:val="21"/>
          <w:lang w:val="en-US" w:eastAsia="zh-CN"/>
        </w:rPr>
        <w:t>1</w:t>
      </w:r>
      <w:r>
        <w:rPr>
          <w:rFonts w:hint="eastAsia" w:ascii="宋体" w:hAnsi="宋体" w:cs="宋体"/>
          <w:color w:val="auto"/>
          <w:szCs w:val="21"/>
        </w:rPr>
        <w:t>-3%</w:t>
      </w:r>
      <w:r>
        <w:rPr>
          <w:rFonts w:hint="eastAsia" w:ascii="宋体" w:hAnsi="宋体" w:cs="宋体"/>
          <w:color w:val="auto"/>
          <w:szCs w:val="21"/>
          <w:lang w:eastAsia="zh-CN"/>
        </w:rPr>
        <w:t>，</w:t>
      </w:r>
      <w:r>
        <w:rPr>
          <w:rFonts w:hint="eastAsia" w:ascii="宋体" w:hAnsi="宋体" w:cs="宋体"/>
          <w:color w:val="auto"/>
          <w:szCs w:val="21"/>
        </w:rPr>
        <w:t>造成</w:t>
      </w:r>
      <w:r>
        <w:rPr>
          <w:rFonts w:hint="eastAsia" w:ascii="宋体" w:hAnsi="宋体" w:cs="宋体"/>
          <w:color w:val="auto"/>
          <w:szCs w:val="21"/>
          <w:highlight w:val="none"/>
          <w:lang w:val="en-US" w:eastAsia="zh-CN"/>
        </w:rPr>
        <w:t>甲方</w:t>
      </w:r>
      <w:r>
        <w:rPr>
          <w:rFonts w:hint="eastAsia" w:ascii="宋体" w:hAnsi="宋体" w:cs="宋体"/>
          <w:color w:val="auto"/>
          <w:szCs w:val="21"/>
        </w:rPr>
        <w:t>损失的费用全部由乙方承担</w:t>
      </w:r>
      <w:r>
        <w:rPr>
          <w:rFonts w:hint="eastAsia" w:ascii="宋体" w:hAnsi="宋体" w:cs="宋体"/>
          <w:color w:val="auto"/>
          <w:szCs w:val="21"/>
          <w:lang w:eastAsia="zh-CN"/>
        </w:rPr>
        <w:t>。</w:t>
      </w:r>
    </w:p>
    <w:p>
      <w:pPr>
        <w:pStyle w:val="15"/>
        <w:ind w:firstLine="422" w:firstLineChars="200"/>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bidi="ar-SA"/>
        </w:rPr>
        <w:t>以上扣费不影响甲方按合同约定向乙方另行要求乙方承担违约责任。</w:t>
      </w:r>
    </w:p>
    <w:p>
      <w:pPr>
        <w:spacing w:beforeLines="50" w:afterLines="50" w:line="360" w:lineRule="auto"/>
        <w:outlineLvl w:val="1"/>
        <w:rPr>
          <w:rFonts w:ascii="宋体" w:hAnsi="宋体" w:cs="宋体"/>
          <w:b/>
          <w:bCs/>
          <w:color w:val="auto"/>
          <w:szCs w:val="21"/>
        </w:rPr>
      </w:pPr>
      <w:bookmarkStart w:id="962" w:name="_Toc10578"/>
      <w:bookmarkStart w:id="963" w:name="_Toc23565"/>
      <w:bookmarkStart w:id="964" w:name="_Toc18155"/>
      <w:bookmarkStart w:id="965" w:name="_Toc30303"/>
      <w:bookmarkStart w:id="966" w:name="_Toc23541"/>
      <w:bookmarkStart w:id="967" w:name="_Toc30877"/>
      <w:bookmarkStart w:id="968" w:name="_Toc5691"/>
      <w:bookmarkStart w:id="969" w:name="_Toc23361"/>
      <w:r>
        <w:rPr>
          <w:rFonts w:hint="eastAsia" w:ascii="宋体" w:hAnsi="宋体" w:cs="宋体"/>
          <w:b/>
          <w:bCs/>
          <w:color w:val="auto"/>
          <w:szCs w:val="21"/>
        </w:rPr>
        <w:t>第</w:t>
      </w:r>
      <w:r>
        <w:rPr>
          <w:rFonts w:hint="eastAsia" w:ascii="宋体" w:hAnsi="宋体" w:cs="宋体"/>
          <w:b/>
          <w:bCs/>
          <w:color w:val="auto"/>
          <w:szCs w:val="21"/>
          <w:lang w:val="en-US" w:eastAsia="zh-CN"/>
        </w:rPr>
        <w:t>五条</w:t>
      </w:r>
      <w:r>
        <w:rPr>
          <w:rFonts w:hint="eastAsia" w:ascii="宋体" w:hAnsi="宋体" w:cs="宋体"/>
          <w:b/>
          <w:bCs/>
          <w:color w:val="auto"/>
          <w:szCs w:val="21"/>
        </w:rPr>
        <w:t xml:space="preserve">  甲方的权利义务</w:t>
      </w:r>
      <w:bookmarkEnd w:id="962"/>
      <w:bookmarkEnd w:id="963"/>
      <w:bookmarkEnd w:id="964"/>
      <w:bookmarkEnd w:id="965"/>
      <w:bookmarkEnd w:id="966"/>
      <w:bookmarkEnd w:id="967"/>
      <w:bookmarkEnd w:id="968"/>
      <w:bookmarkEnd w:id="969"/>
    </w:p>
    <w:p>
      <w:pPr>
        <w:numPr>
          <w:ilvl w:val="0"/>
          <w:numId w:val="84"/>
        </w:numPr>
        <w:spacing w:line="360" w:lineRule="auto"/>
        <w:ind w:left="5" w:firstLine="415"/>
        <w:rPr>
          <w:rFonts w:ascii="宋体" w:hAnsi="宋体" w:cs="宋体"/>
          <w:color w:val="auto"/>
          <w:szCs w:val="21"/>
        </w:rPr>
      </w:pPr>
      <w:r>
        <w:rPr>
          <w:rFonts w:hint="eastAsia" w:ascii="宋体" w:hAnsi="宋体" w:cs="宋体"/>
          <w:color w:val="auto"/>
          <w:szCs w:val="21"/>
        </w:rPr>
        <w:t>代表和维护产权人、使用人的合法权益。</w:t>
      </w:r>
    </w:p>
    <w:p>
      <w:pPr>
        <w:numPr>
          <w:ilvl w:val="0"/>
          <w:numId w:val="84"/>
        </w:numPr>
        <w:spacing w:line="360" w:lineRule="auto"/>
        <w:ind w:left="5" w:firstLine="415"/>
        <w:rPr>
          <w:rFonts w:ascii="宋体" w:hAnsi="宋体" w:cs="宋体"/>
          <w:color w:val="auto"/>
          <w:szCs w:val="21"/>
        </w:rPr>
      </w:pPr>
      <w:r>
        <w:rPr>
          <w:rFonts w:hint="eastAsia" w:ascii="宋体" w:hAnsi="宋体" w:cs="宋体"/>
          <w:color w:val="auto"/>
          <w:szCs w:val="21"/>
        </w:rPr>
        <w:t>审定乙方拟定的物业管理制度。</w:t>
      </w:r>
    </w:p>
    <w:p>
      <w:pPr>
        <w:numPr>
          <w:ilvl w:val="0"/>
          <w:numId w:val="84"/>
        </w:numPr>
        <w:spacing w:line="360" w:lineRule="auto"/>
        <w:ind w:left="5" w:firstLine="415"/>
        <w:rPr>
          <w:rFonts w:ascii="宋体" w:hAnsi="宋体" w:cs="宋体"/>
          <w:color w:val="auto"/>
          <w:szCs w:val="21"/>
        </w:rPr>
      </w:pPr>
      <w:r>
        <w:rPr>
          <w:rFonts w:hint="eastAsia" w:ascii="宋体" w:hAnsi="宋体" w:cs="宋体"/>
          <w:color w:val="auto"/>
          <w:szCs w:val="21"/>
        </w:rPr>
        <w:t>检查监督乙方管理工作的实施及制度的执行情况。</w:t>
      </w:r>
    </w:p>
    <w:p>
      <w:pPr>
        <w:numPr>
          <w:ilvl w:val="0"/>
          <w:numId w:val="84"/>
        </w:numPr>
        <w:spacing w:line="360" w:lineRule="auto"/>
        <w:ind w:left="5" w:firstLine="415"/>
        <w:rPr>
          <w:rFonts w:ascii="宋体" w:hAnsi="宋体" w:cs="宋体"/>
          <w:color w:val="auto"/>
          <w:szCs w:val="21"/>
        </w:rPr>
      </w:pPr>
      <w:r>
        <w:rPr>
          <w:rFonts w:hint="eastAsia" w:ascii="宋体" w:hAnsi="宋体" w:cs="宋体"/>
          <w:color w:val="auto"/>
          <w:szCs w:val="21"/>
        </w:rPr>
        <w:t>审定乙方提出的物业管理服务年度计划、财务预算及决算。</w:t>
      </w:r>
    </w:p>
    <w:p>
      <w:pPr>
        <w:numPr>
          <w:ilvl w:val="0"/>
          <w:numId w:val="84"/>
        </w:numPr>
        <w:spacing w:line="360" w:lineRule="auto"/>
        <w:ind w:left="5" w:firstLine="415"/>
        <w:rPr>
          <w:rFonts w:ascii="宋体" w:hAnsi="宋体" w:cs="宋体"/>
          <w:color w:val="auto"/>
          <w:szCs w:val="21"/>
        </w:rPr>
      </w:pPr>
      <w:r>
        <w:rPr>
          <w:rFonts w:hint="eastAsia" w:ascii="宋体" w:hAnsi="宋体" w:cs="宋体"/>
          <w:color w:val="auto"/>
          <w:szCs w:val="21"/>
        </w:rPr>
        <w:t>负责收集、整理物业管理所需全部图纸、档案、资料，根据管理需要向乙方提供房屋相关资料和设备、设施的安装、使用和维护保养技术资料。</w:t>
      </w:r>
    </w:p>
    <w:p>
      <w:pPr>
        <w:numPr>
          <w:ilvl w:val="0"/>
          <w:numId w:val="84"/>
        </w:numPr>
        <w:spacing w:line="360" w:lineRule="auto"/>
        <w:ind w:left="5" w:firstLine="415"/>
        <w:rPr>
          <w:rFonts w:ascii="宋体" w:hAnsi="宋体" w:cs="宋体"/>
          <w:color w:val="auto"/>
          <w:szCs w:val="21"/>
          <w:highlight w:val="none"/>
        </w:rPr>
      </w:pPr>
      <w:r>
        <w:rPr>
          <w:rFonts w:hint="eastAsia" w:ascii="宋体" w:hAnsi="宋体" w:cs="宋体"/>
          <w:color w:val="auto"/>
          <w:szCs w:val="21"/>
          <w:highlight w:val="none"/>
        </w:rPr>
        <w:t>按期支付物业管理费用，入驻单位无正当理由逾期未缴纳，甲方配合乙方收缴。</w:t>
      </w:r>
    </w:p>
    <w:p>
      <w:pPr>
        <w:numPr>
          <w:ilvl w:val="0"/>
          <w:numId w:val="84"/>
        </w:numPr>
        <w:spacing w:line="360" w:lineRule="auto"/>
        <w:ind w:left="5" w:firstLine="415"/>
        <w:rPr>
          <w:rFonts w:ascii="宋体" w:hAnsi="宋体" w:cs="宋体"/>
          <w:color w:val="auto"/>
          <w:szCs w:val="21"/>
        </w:rPr>
      </w:pPr>
      <w:r>
        <w:rPr>
          <w:rFonts w:hint="eastAsia" w:ascii="宋体" w:hAnsi="宋体" w:cs="宋体"/>
          <w:color w:val="auto"/>
          <w:szCs w:val="21"/>
        </w:rPr>
        <w:t>在不可预见的情况下，如发生煤气泄漏、漏电、火灾、救助人命、协助公安机关执行任务等突发事件的，甲方应积极配合乙方采取必要的紧急避险措施。</w:t>
      </w:r>
    </w:p>
    <w:p>
      <w:pPr>
        <w:numPr>
          <w:ilvl w:val="0"/>
          <w:numId w:val="84"/>
        </w:numPr>
        <w:spacing w:line="360" w:lineRule="auto"/>
        <w:ind w:left="5" w:firstLine="415"/>
        <w:rPr>
          <w:rFonts w:ascii="宋体" w:hAnsi="宋体" w:cs="宋体"/>
          <w:color w:val="auto"/>
          <w:szCs w:val="21"/>
        </w:rPr>
      </w:pPr>
      <w:r>
        <w:rPr>
          <w:rFonts w:hint="eastAsia" w:ascii="宋体" w:hAnsi="宋体" w:cs="宋体"/>
          <w:color w:val="auto"/>
          <w:szCs w:val="21"/>
        </w:rPr>
        <w:t>无偿提供乙方所需的办公用房。</w:t>
      </w:r>
    </w:p>
    <w:p>
      <w:pPr>
        <w:numPr>
          <w:ilvl w:val="0"/>
          <w:numId w:val="84"/>
        </w:numPr>
        <w:spacing w:line="360" w:lineRule="auto"/>
        <w:ind w:left="5" w:firstLine="415"/>
        <w:rPr>
          <w:rFonts w:ascii="宋体" w:hAnsi="宋体" w:cs="宋体"/>
          <w:color w:val="auto"/>
          <w:szCs w:val="21"/>
        </w:rPr>
      </w:pPr>
      <w:r>
        <w:rPr>
          <w:rFonts w:hint="eastAsia" w:ascii="宋体" w:hAnsi="宋体" w:cs="宋体"/>
          <w:color w:val="auto"/>
          <w:szCs w:val="21"/>
        </w:rPr>
        <w:t>甲方监督乙方依照本合同规定内容所进行的管理和服务活动，组织对乙方工作综合考评，如出现乙方管理不善造成甲方重大经济损失的情况，甲方有权终止合同并要求乙方给予赔偿。</w:t>
      </w:r>
    </w:p>
    <w:p>
      <w:pPr>
        <w:spacing w:beforeLines="50" w:afterLines="50" w:line="360" w:lineRule="auto"/>
        <w:outlineLvl w:val="1"/>
        <w:rPr>
          <w:rFonts w:ascii="宋体" w:hAnsi="宋体" w:cs="宋体"/>
          <w:b/>
          <w:bCs/>
          <w:color w:val="auto"/>
          <w:szCs w:val="21"/>
        </w:rPr>
      </w:pPr>
      <w:bookmarkStart w:id="970" w:name="_Toc28006"/>
      <w:bookmarkStart w:id="971" w:name="_Toc18630"/>
      <w:bookmarkStart w:id="972" w:name="_Toc14278"/>
      <w:bookmarkStart w:id="973" w:name="_Toc31242"/>
      <w:bookmarkStart w:id="974" w:name="_Toc24306"/>
      <w:bookmarkStart w:id="975" w:name="_Toc6410"/>
      <w:bookmarkStart w:id="976" w:name="_Toc29932"/>
      <w:bookmarkStart w:id="977" w:name="_Toc1497"/>
      <w:r>
        <w:rPr>
          <w:rFonts w:hint="eastAsia" w:ascii="宋体" w:hAnsi="宋体" w:cs="宋体"/>
          <w:b/>
          <w:bCs/>
          <w:color w:val="auto"/>
          <w:szCs w:val="21"/>
        </w:rPr>
        <w:t>第</w:t>
      </w:r>
      <w:r>
        <w:rPr>
          <w:rFonts w:hint="eastAsia" w:ascii="宋体" w:hAnsi="宋体" w:cs="宋体"/>
          <w:b/>
          <w:bCs/>
          <w:color w:val="auto"/>
          <w:szCs w:val="21"/>
          <w:lang w:val="en-US" w:eastAsia="zh-CN"/>
        </w:rPr>
        <w:t>六</w:t>
      </w:r>
      <w:r>
        <w:rPr>
          <w:rFonts w:hint="eastAsia" w:ascii="宋体" w:hAnsi="宋体" w:cs="宋体"/>
          <w:b/>
          <w:bCs/>
          <w:color w:val="auto"/>
          <w:szCs w:val="21"/>
        </w:rPr>
        <w:t>条  乙方权利义务</w:t>
      </w:r>
      <w:bookmarkEnd w:id="970"/>
      <w:bookmarkEnd w:id="971"/>
      <w:bookmarkEnd w:id="972"/>
      <w:bookmarkEnd w:id="973"/>
      <w:bookmarkEnd w:id="974"/>
      <w:bookmarkEnd w:id="975"/>
      <w:bookmarkEnd w:id="976"/>
      <w:bookmarkEnd w:id="977"/>
    </w:p>
    <w:p>
      <w:pPr>
        <w:numPr>
          <w:ilvl w:val="0"/>
          <w:numId w:val="85"/>
        </w:numPr>
        <w:spacing w:line="360" w:lineRule="auto"/>
        <w:ind w:left="5" w:firstLine="415"/>
        <w:rPr>
          <w:rFonts w:ascii="宋体" w:hAnsi="宋体" w:cs="宋体"/>
          <w:color w:val="auto"/>
          <w:szCs w:val="21"/>
        </w:rPr>
      </w:pPr>
      <w:r>
        <w:rPr>
          <w:rFonts w:ascii="宋体" w:hAnsi="宋体" w:cs="宋体"/>
          <w:color w:val="auto"/>
          <w:szCs w:val="21"/>
        </w:rPr>
        <w:t>根据有关法律法规及本合同的约定，制订物业管理制度、方案，根据甲方核定的物业管理制度、方案自主开展物业日常管理服务活动</w:t>
      </w:r>
      <w:r>
        <w:rPr>
          <w:rFonts w:hint="eastAsia" w:ascii="宋体" w:hAnsi="宋体" w:cs="宋体"/>
          <w:color w:val="auto"/>
          <w:szCs w:val="21"/>
        </w:rPr>
        <w:t>。</w:t>
      </w:r>
    </w:p>
    <w:p>
      <w:pPr>
        <w:numPr>
          <w:ilvl w:val="0"/>
          <w:numId w:val="85"/>
        </w:numPr>
        <w:spacing w:line="360" w:lineRule="auto"/>
        <w:ind w:left="5" w:firstLine="415"/>
        <w:rPr>
          <w:rFonts w:ascii="宋体" w:hAnsi="宋体" w:cs="宋体"/>
          <w:color w:val="auto"/>
          <w:szCs w:val="21"/>
        </w:rPr>
      </w:pPr>
      <w:r>
        <w:rPr>
          <w:rFonts w:ascii="宋体" w:hAnsi="宋体" w:cs="宋体"/>
          <w:color w:val="auto"/>
          <w:szCs w:val="21"/>
        </w:rPr>
        <w:t>按甲方要求及时如实向甲方报告物业管理服务实施情况</w:t>
      </w:r>
      <w:r>
        <w:rPr>
          <w:rFonts w:hint="eastAsia" w:ascii="宋体" w:hAnsi="宋体" w:cs="宋体"/>
          <w:color w:val="auto"/>
          <w:szCs w:val="21"/>
        </w:rPr>
        <w:t>。</w:t>
      </w:r>
    </w:p>
    <w:p>
      <w:pPr>
        <w:numPr>
          <w:ilvl w:val="0"/>
          <w:numId w:val="85"/>
        </w:numPr>
        <w:spacing w:line="360" w:lineRule="auto"/>
        <w:ind w:left="5" w:firstLine="415"/>
        <w:rPr>
          <w:rFonts w:ascii="宋体" w:hAnsi="宋体" w:cs="宋体"/>
          <w:color w:val="auto"/>
          <w:szCs w:val="21"/>
        </w:rPr>
      </w:pPr>
      <w:r>
        <w:rPr>
          <w:rFonts w:ascii="宋体" w:hAnsi="宋体" w:cs="宋体"/>
          <w:color w:val="auto"/>
          <w:szCs w:val="21"/>
        </w:rPr>
        <w:t>征得甲方同意可选聘专营公司承担本物业的专项管理业务，但不得将本物业的管理责任转让给第三方</w:t>
      </w:r>
      <w:r>
        <w:rPr>
          <w:rFonts w:hint="eastAsia" w:ascii="宋体" w:hAnsi="宋体" w:cs="宋体"/>
          <w:color w:val="auto"/>
          <w:szCs w:val="21"/>
        </w:rPr>
        <w:t>或增加甲方额外费用。</w:t>
      </w:r>
    </w:p>
    <w:p>
      <w:pPr>
        <w:numPr>
          <w:ilvl w:val="0"/>
          <w:numId w:val="85"/>
        </w:numPr>
        <w:spacing w:line="360" w:lineRule="auto"/>
        <w:ind w:left="5" w:firstLine="415"/>
        <w:rPr>
          <w:rFonts w:ascii="宋体" w:hAnsi="宋体" w:cs="宋体"/>
          <w:color w:val="auto"/>
          <w:szCs w:val="21"/>
        </w:rPr>
      </w:pPr>
      <w:r>
        <w:rPr>
          <w:rFonts w:ascii="宋体" w:hAnsi="宋体" w:cs="宋体"/>
          <w:color w:val="auto"/>
          <w:szCs w:val="21"/>
        </w:rPr>
        <w:t>负责编制房屋、附属建筑物、构筑物、设施、设备、绿化等的年度维修养护计划和大中修方案，经双方议定后由乙方组织实施</w:t>
      </w:r>
      <w:r>
        <w:rPr>
          <w:rFonts w:hint="eastAsia" w:ascii="宋体" w:hAnsi="宋体" w:cs="宋体"/>
          <w:color w:val="auto"/>
          <w:szCs w:val="21"/>
        </w:rPr>
        <w:t>。</w:t>
      </w:r>
    </w:p>
    <w:p>
      <w:pPr>
        <w:numPr>
          <w:ilvl w:val="0"/>
          <w:numId w:val="85"/>
        </w:numPr>
        <w:spacing w:line="360" w:lineRule="auto"/>
        <w:ind w:left="5" w:firstLine="415"/>
        <w:rPr>
          <w:rFonts w:ascii="宋体" w:hAnsi="宋体" w:cs="宋体"/>
          <w:color w:val="auto"/>
          <w:szCs w:val="21"/>
        </w:rPr>
      </w:pPr>
      <w:r>
        <w:rPr>
          <w:rFonts w:ascii="宋体" w:hAnsi="宋体" w:cs="宋体"/>
          <w:color w:val="auto"/>
          <w:szCs w:val="21"/>
        </w:rPr>
        <w:t>向甲方工作人员和其他使用人告知物业使用的有关规定，并负责监督</w:t>
      </w:r>
      <w:r>
        <w:rPr>
          <w:rFonts w:hint="eastAsia" w:ascii="宋体" w:hAnsi="宋体" w:cs="宋体"/>
          <w:color w:val="auto"/>
          <w:szCs w:val="21"/>
        </w:rPr>
        <w:t>。</w:t>
      </w:r>
    </w:p>
    <w:p>
      <w:pPr>
        <w:numPr>
          <w:ilvl w:val="0"/>
          <w:numId w:val="85"/>
        </w:numPr>
        <w:spacing w:line="360" w:lineRule="auto"/>
        <w:ind w:left="5" w:firstLine="415"/>
        <w:rPr>
          <w:rFonts w:ascii="宋体" w:hAnsi="宋体" w:cs="宋体"/>
          <w:color w:val="auto"/>
          <w:szCs w:val="21"/>
        </w:rPr>
      </w:pPr>
      <w:r>
        <w:rPr>
          <w:rFonts w:ascii="宋体" w:hAnsi="宋体" w:cs="宋体"/>
          <w:color w:val="auto"/>
          <w:szCs w:val="21"/>
        </w:rPr>
        <w:t>建立、妥善保管和正确使用本物业相关的管理档案，并负责及时记载有关变更情况</w:t>
      </w:r>
      <w:r>
        <w:rPr>
          <w:rFonts w:hint="eastAsia" w:ascii="宋体" w:hAnsi="宋体" w:cs="宋体"/>
          <w:color w:val="auto"/>
          <w:szCs w:val="21"/>
        </w:rPr>
        <w:t>。</w:t>
      </w:r>
    </w:p>
    <w:p>
      <w:pPr>
        <w:numPr>
          <w:ilvl w:val="0"/>
          <w:numId w:val="85"/>
        </w:numPr>
        <w:spacing w:line="360" w:lineRule="auto"/>
        <w:ind w:left="5" w:firstLine="415"/>
        <w:rPr>
          <w:rFonts w:ascii="宋体" w:hAnsi="宋体" w:cs="宋体"/>
          <w:color w:val="auto"/>
          <w:szCs w:val="21"/>
        </w:rPr>
      </w:pPr>
      <w:r>
        <w:rPr>
          <w:rFonts w:ascii="宋体" w:hAnsi="宋体" w:cs="宋体"/>
          <w:color w:val="auto"/>
          <w:szCs w:val="21"/>
        </w:rPr>
        <w:t>对本物业的公用设施不得擅自占用和改变使用功能</w:t>
      </w:r>
      <w:r>
        <w:rPr>
          <w:rFonts w:hint="eastAsia" w:ascii="宋体" w:hAnsi="宋体" w:cs="宋体"/>
          <w:color w:val="auto"/>
          <w:szCs w:val="21"/>
        </w:rPr>
        <w:t>。</w:t>
      </w:r>
    </w:p>
    <w:p>
      <w:pPr>
        <w:numPr>
          <w:ilvl w:val="0"/>
          <w:numId w:val="85"/>
        </w:numPr>
        <w:spacing w:line="360" w:lineRule="auto"/>
        <w:ind w:left="5" w:firstLine="415"/>
        <w:rPr>
          <w:rFonts w:ascii="宋体" w:hAnsi="宋体" w:cs="宋体"/>
          <w:color w:val="auto"/>
          <w:szCs w:val="21"/>
        </w:rPr>
      </w:pPr>
      <w:r>
        <w:rPr>
          <w:rFonts w:ascii="宋体" w:hAnsi="宋体" w:cs="宋体"/>
          <w:color w:val="auto"/>
          <w:szCs w:val="21"/>
        </w:rPr>
        <w:t>因乙方在管理中的过错或违反本合同的约定进行管理造成甲方或第三人损失的，乙方应依法承担赔偿责任</w:t>
      </w:r>
      <w:r>
        <w:rPr>
          <w:rFonts w:hint="eastAsia" w:ascii="宋体" w:hAnsi="宋体" w:cs="宋体"/>
          <w:color w:val="auto"/>
          <w:szCs w:val="21"/>
        </w:rPr>
        <w:t>。</w:t>
      </w:r>
    </w:p>
    <w:p>
      <w:pPr>
        <w:numPr>
          <w:ilvl w:val="0"/>
          <w:numId w:val="85"/>
        </w:numPr>
        <w:spacing w:line="360" w:lineRule="auto"/>
        <w:ind w:left="5" w:firstLine="415"/>
        <w:rPr>
          <w:rFonts w:ascii="宋体" w:hAnsi="宋体" w:cs="宋体"/>
          <w:color w:val="auto"/>
          <w:szCs w:val="21"/>
        </w:rPr>
      </w:pPr>
      <w:r>
        <w:rPr>
          <w:rFonts w:ascii="宋体" w:hAnsi="宋体" w:cs="宋体"/>
          <w:color w:val="auto"/>
          <w:szCs w:val="21"/>
        </w:rPr>
        <w:t>乙方</w:t>
      </w:r>
      <w:r>
        <w:rPr>
          <w:rFonts w:hint="eastAsia" w:ascii="宋体" w:hAnsi="宋体" w:cs="宋体"/>
          <w:color w:val="auto"/>
          <w:szCs w:val="21"/>
        </w:rPr>
        <w:t>自行承担办公桌、电脑、打印机、文件柜等自身使用的办公用品，自行承担所有人员服装费用，但服装样式需经过甲方认可。</w:t>
      </w:r>
    </w:p>
    <w:p>
      <w:pPr>
        <w:numPr>
          <w:ilvl w:val="0"/>
          <w:numId w:val="85"/>
        </w:numPr>
        <w:spacing w:line="360" w:lineRule="auto"/>
        <w:ind w:left="5" w:firstLine="415"/>
        <w:rPr>
          <w:rFonts w:ascii="宋体" w:hAnsi="宋体" w:cs="宋体"/>
          <w:color w:val="auto"/>
          <w:szCs w:val="21"/>
        </w:rPr>
      </w:pPr>
      <w:r>
        <w:rPr>
          <w:rFonts w:hint="eastAsia" w:ascii="宋体" w:hAnsi="宋体" w:cs="宋体"/>
          <w:color w:val="auto"/>
          <w:szCs w:val="21"/>
        </w:rPr>
        <w:t>乙方所需的各种设备、设施、五金件、维修材料、工具、低值易耗品、与一次性用品全部由乙方提供。</w:t>
      </w:r>
    </w:p>
    <w:p>
      <w:pPr>
        <w:numPr>
          <w:ilvl w:val="0"/>
          <w:numId w:val="85"/>
        </w:numPr>
        <w:spacing w:line="360" w:lineRule="auto"/>
        <w:ind w:left="5" w:firstLine="415"/>
        <w:rPr>
          <w:rFonts w:ascii="宋体" w:hAnsi="宋体" w:cs="宋体"/>
          <w:color w:val="auto"/>
          <w:szCs w:val="21"/>
        </w:rPr>
      </w:pPr>
      <w:r>
        <w:rPr>
          <w:rFonts w:hint="eastAsia" w:ascii="宋体" w:hAnsi="宋体" w:cs="宋体"/>
          <w:color w:val="auto"/>
          <w:szCs w:val="21"/>
        </w:rPr>
        <w:t>乙方执行本合同期间，如对甲方或产权人造成或可能造成任何影响的，应提前书面通知甲方，一次性完整告知具体施工内容、工期、需要配合事项以及注意事项等等，以便甲方及产权人安排，否则因此造成甲方或产权人的费用开支或损失均由乙方承担。</w:t>
      </w:r>
    </w:p>
    <w:p>
      <w:pPr>
        <w:numPr>
          <w:ilvl w:val="0"/>
          <w:numId w:val="85"/>
        </w:numPr>
        <w:spacing w:line="360" w:lineRule="auto"/>
        <w:ind w:left="5" w:firstLine="415"/>
        <w:rPr>
          <w:rFonts w:ascii="宋体" w:hAnsi="宋体" w:cs="宋体"/>
          <w:color w:val="auto"/>
          <w:szCs w:val="21"/>
        </w:rPr>
      </w:pPr>
      <w:r>
        <w:rPr>
          <w:rFonts w:ascii="宋体" w:hAnsi="宋体" w:cs="宋体"/>
          <w:color w:val="auto"/>
          <w:szCs w:val="21"/>
        </w:rPr>
        <w:t>本合同终止时，乙方必须向甲方移交全部管理用房及物业管理的全部档案资料，确保移交的资料和设备、设施完好无缺。</w:t>
      </w:r>
    </w:p>
    <w:p>
      <w:pPr>
        <w:spacing w:beforeLines="50" w:afterLines="50" w:line="360" w:lineRule="auto"/>
        <w:outlineLvl w:val="1"/>
        <w:rPr>
          <w:rFonts w:ascii="宋体" w:hAnsi="宋体" w:cs="宋体"/>
          <w:b/>
          <w:bCs/>
          <w:color w:val="auto"/>
          <w:szCs w:val="21"/>
        </w:rPr>
      </w:pPr>
      <w:r>
        <w:rPr>
          <w:rFonts w:hint="eastAsia" w:ascii="宋体" w:hAnsi="宋体" w:cs="宋体"/>
          <w:b/>
          <w:bCs/>
          <w:color w:val="auto"/>
          <w:szCs w:val="21"/>
        </w:rPr>
        <w:t xml:space="preserve"> </w:t>
      </w:r>
      <w:bookmarkStart w:id="978" w:name="_Toc21847"/>
      <w:bookmarkStart w:id="979" w:name="_Toc18185"/>
      <w:bookmarkStart w:id="980" w:name="_Toc5357"/>
      <w:bookmarkStart w:id="981" w:name="_Toc20934"/>
      <w:bookmarkStart w:id="982" w:name="_Toc19977"/>
      <w:bookmarkStart w:id="983" w:name="_Toc15317"/>
      <w:bookmarkStart w:id="984" w:name="_Toc12568"/>
      <w:bookmarkStart w:id="985" w:name="_Toc10525"/>
      <w:r>
        <w:rPr>
          <w:rFonts w:hint="eastAsia" w:ascii="宋体" w:hAnsi="宋体" w:cs="宋体"/>
          <w:b/>
          <w:bCs/>
          <w:color w:val="auto"/>
          <w:szCs w:val="21"/>
        </w:rPr>
        <w:t>第</w:t>
      </w:r>
      <w:r>
        <w:rPr>
          <w:rFonts w:hint="eastAsia" w:ascii="宋体" w:hAnsi="宋体" w:cs="宋体"/>
          <w:b/>
          <w:bCs/>
          <w:color w:val="auto"/>
          <w:szCs w:val="21"/>
          <w:lang w:val="en-US" w:eastAsia="zh-CN"/>
        </w:rPr>
        <w:t>七</w:t>
      </w:r>
      <w:r>
        <w:rPr>
          <w:rFonts w:hint="eastAsia" w:ascii="宋体" w:hAnsi="宋体" w:cs="宋体"/>
          <w:b/>
          <w:bCs/>
          <w:color w:val="auto"/>
          <w:szCs w:val="21"/>
        </w:rPr>
        <w:t>条  双方承诺</w:t>
      </w:r>
      <w:bookmarkEnd w:id="978"/>
      <w:bookmarkEnd w:id="979"/>
      <w:bookmarkEnd w:id="980"/>
      <w:bookmarkEnd w:id="981"/>
      <w:bookmarkEnd w:id="982"/>
      <w:bookmarkEnd w:id="983"/>
      <w:bookmarkEnd w:id="984"/>
      <w:bookmarkEnd w:id="985"/>
    </w:p>
    <w:p>
      <w:pPr>
        <w:pStyle w:val="92"/>
        <w:numPr>
          <w:ilvl w:val="0"/>
          <w:numId w:val="86"/>
        </w:numPr>
        <w:spacing w:line="460" w:lineRule="exact"/>
        <w:ind w:firstLineChars="0"/>
        <w:rPr>
          <w:rFonts w:ascii="宋体" w:hAnsi="宋体" w:cs="新宋体"/>
          <w:color w:val="auto"/>
          <w:szCs w:val="21"/>
        </w:rPr>
      </w:pPr>
      <w:r>
        <w:rPr>
          <w:rFonts w:hint="eastAsia" w:ascii="宋体" w:hAnsi="宋体" w:cs="新宋体"/>
          <w:color w:val="auto"/>
          <w:szCs w:val="21"/>
        </w:rPr>
        <w:t>乙方对甲方作出如下承诺：</w:t>
      </w:r>
    </w:p>
    <w:p>
      <w:pPr>
        <w:pStyle w:val="92"/>
        <w:numPr>
          <w:ilvl w:val="0"/>
          <w:numId w:val="87"/>
        </w:numPr>
        <w:tabs>
          <w:tab w:val="left" w:pos="426"/>
          <w:tab w:val="left" w:pos="851"/>
          <w:tab w:val="left" w:pos="993"/>
          <w:tab w:val="clear" w:pos="1560"/>
        </w:tabs>
        <w:spacing w:line="460" w:lineRule="exact"/>
        <w:ind w:left="0" w:firstLine="424" w:firstLineChars="202"/>
        <w:rPr>
          <w:rFonts w:ascii="宋体" w:hAnsi="宋体" w:cs="新宋体"/>
          <w:color w:val="auto"/>
          <w:szCs w:val="21"/>
        </w:rPr>
      </w:pPr>
      <w:r>
        <w:rPr>
          <w:rFonts w:hint="eastAsia" w:ascii="宋体" w:hAnsi="宋体" w:cs="新宋体"/>
          <w:color w:val="auto"/>
          <w:szCs w:val="21"/>
        </w:rPr>
        <w:t>不以任何形式转租、转让、抵押承包区域，在承包区域内只从事甲方认可的服务工作。在承包期间，乙方的任何股权配置变动应通知甲方。未经甲方书面批准，任何占有支配地位的股权转让都将视为乙方出租、转让的行为，甲方有权无责无条件解除本合同。</w:t>
      </w:r>
    </w:p>
    <w:p>
      <w:pPr>
        <w:pStyle w:val="92"/>
        <w:numPr>
          <w:ilvl w:val="0"/>
          <w:numId w:val="87"/>
        </w:numPr>
        <w:tabs>
          <w:tab w:val="left" w:pos="426"/>
          <w:tab w:val="left" w:pos="851"/>
          <w:tab w:val="left" w:pos="993"/>
          <w:tab w:val="clear" w:pos="1560"/>
        </w:tabs>
        <w:spacing w:line="460" w:lineRule="exact"/>
        <w:ind w:left="0" w:firstLine="424" w:firstLineChars="202"/>
        <w:rPr>
          <w:rFonts w:ascii="宋体" w:hAnsi="宋体" w:cs="新宋体"/>
          <w:color w:val="auto"/>
          <w:szCs w:val="21"/>
        </w:rPr>
      </w:pPr>
      <w:r>
        <w:rPr>
          <w:rFonts w:hint="eastAsia" w:ascii="宋体" w:hAnsi="宋体" w:cs="新宋体"/>
          <w:color w:val="auto"/>
          <w:szCs w:val="21"/>
        </w:rPr>
        <w:t>乙方应允许甲方或其授权的人员对承包区域各项服务质量进行检查，如产生费用应由乙方承担。</w:t>
      </w:r>
    </w:p>
    <w:p>
      <w:pPr>
        <w:pStyle w:val="92"/>
        <w:numPr>
          <w:ilvl w:val="0"/>
          <w:numId w:val="87"/>
        </w:numPr>
        <w:tabs>
          <w:tab w:val="left" w:pos="426"/>
          <w:tab w:val="left" w:pos="851"/>
          <w:tab w:val="left" w:pos="993"/>
          <w:tab w:val="clear" w:pos="1560"/>
        </w:tabs>
        <w:spacing w:line="460" w:lineRule="exact"/>
        <w:ind w:left="0" w:firstLine="424" w:firstLineChars="202"/>
        <w:rPr>
          <w:rFonts w:ascii="宋体" w:hAnsi="宋体" w:cs="新宋体"/>
          <w:color w:val="auto"/>
          <w:szCs w:val="21"/>
        </w:rPr>
      </w:pPr>
      <w:r>
        <w:rPr>
          <w:rFonts w:hint="eastAsia" w:ascii="宋体" w:hAnsi="宋体" w:cs="新宋体"/>
          <w:color w:val="auto"/>
          <w:szCs w:val="21"/>
        </w:rPr>
        <w:t>在承包区域内的各项服务，其工作时间必须满足甲方的工作要求，包括双休日及节假日，无论乙方有什么理由，都不许停止服务工作。必要时甲方可要求乙方调整工作时间直至全天二十四小时工作。</w:t>
      </w:r>
    </w:p>
    <w:p>
      <w:pPr>
        <w:pStyle w:val="92"/>
        <w:numPr>
          <w:ilvl w:val="0"/>
          <w:numId w:val="87"/>
        </w:numPr>
        <w:tabs>
          <w:tab w:val="left" w:pos="426"/>
          <w:tab w:val="left" w:pos="851"/>
          <w:tab w:val="left" w:pos="993"/>
          <w:tab w:val="clear" w:pos="1560"/>
        </w:tabs>
        <w:spacing w:line="460" w:lineRule="exact"/>
        <w:ind w:left="0" w:firstLine="424" w:firstLineChars="202"/>
        <w:rPr>
          <w:rFonts w:ascii="宋体" w:hAnsi="宋体" w:cs="新宋体"/>
          <w:color w:val="auto"/>
          <w:szCs w:val="21"/>
        </w:rPr>
      </w:pPr>
      <w:r>
        <w:rPr>
          <w:rFonts w:hint="eastAsia" w:ascii="宋体" w:hAnsi="宋体" w:cs="新宋体"/>
          <w:color w:val="auto"/>
          <w:szCs w:val="21"/>
        </w:rPr>
        <w:t>乙方必须聘请（或指定）1位项目负责人，全权代表乙方与甲方保持密切联系以保证承包区域内服务工作正常进行。</w:t>
      </w:r>
    </w:p>
    <w:p>
      <w:pPr>
        <w:pStyle w:val="92"/>
        <w:numPr>
          <w:ilvl w:val="0"/>
          <w:numId w:val="87"/>
        </w:numPr>
        <w:tabs>
          <w:tab w:val="left" w:pos="426"/>
          <w:tab w:val="left" w:pos="851"/>
          <w:tab w:val="left" w:pos="993"/>
          <w:tab w:val="clear" w:pos="1560"/>
        </w:tabs>
        <w:spacing w:line="460" w:lineRule="exact"/>
        <w:ind w:left="0" w:firstLine="424" w:firstLineChars="202"/>
        <w:rPr>
          <w:rFonts w:hint="eastAsia" w:ascii="宋体" w:hAnsi="宋体" w:cs="新宋体"/>
          <w:color w:val="auto"/>
          <w:szCs w:val="21"/>
        </w:rPr>
      </w:pPr>
      <w:r>
        <w:rPr>
          <w:rFonts w:hint="eastAsia" w:ascii="宋体" w:hAnsi="宋体" w:cs="新宋体"/>
          <w:color w:val="auto"/>
          <w:szCs w:val="21"/>
        </w:rPr>
        <w:t>为承包区域的服务工作正常开展，乙方必须配备足够的服务人员(不得少于</w:t>
      </w:r>
      <w:r>
        <w:rPr>
          <w:rFonts w:hint="eastAsia" w:ascii="宋体" w:hAnsi="宋体" w:cs="新宋体"/>
          <w:color w:val="auto"/>
          <w:szCs w:val="21"/>
          <w:lang w:val="en-US" w:eastAsia="zh-CN"/>
        </w:rPr>
        <w:t>142</w:t>
      </w:r>
      <w:r>
        <w:rPr>
          <w:rFonts w:hint="eastAsia" w:ascii="宋体" w:hAnsi="宋体" w:cs="新宋体"/>
          <w:color w:val="auto"/>
          <w:szCs w:val="21"/>
        </w:rPr>
        <w:t>人)，且聘用的服务人员必须符合劳动部门有关用工规定，并经乙方相关专业考核合格后持证上岗，甲方有权进行审核，该类费用开支由乙方负担。提供人员不得是已有项目操作的人员或中标（成交）项目中的人员。</w:t>
      </w:r>
    </w:p>
    <w:p>
      <w:pPr>
        <w:pStyle w:val="92"/>
        <w:numPr>
          <w:ilvl w:val="0"/>
          <w:numId w:val="87"/>
        </w:numPr>
        <w:tabs>
          <w:tab w:val="left" w:pos="426"/>
          <w:tab w:val="left" w:pos="851"/>
          <w:tab w:val="left" w:pos="993"/>
          <w:tab w:val="clear" w:pos="1560"/>
        </w:tabs>
        <w:spacing w:line="460" w:lineRule="exact"/>
        <w:ind w:left="0" w:firstLine="424" w:firstLineChars="202"/>
        <w:rPr>
          <w:rFonts w:ascii="宋体" w:hAnsi="宋体" w:cs="新宋体"/>
          <w:color w:val="auto"/>
          <w:szCs w:val="21"/>
        </w:rPr>
      </w:pPr>
      <w:r>
        <w:rPr>
          <w:rFonts w:hint="eastAsia" w:ascii="宋体" w:hAnsi="宋体" w:cs="新宋体"/>
          <w:color w:val="auto"/>
          <w:szCs w:val="21"/>
        </w:rPr>
        <w:t>服务人员上岗穿着由甲方确认的制服及采购人许可的装饰物品，费用和制作均由乙方负担。</w:t>
      </w:r>
    </w:p>
    <w:p>
      <w:pPr>
        <w:pStyle w:val="92"/>
        <w:numPr>
          <w:ilvl w:val="0"/>
          <w:numId w:val="87"/>
        </w:numPr>
        <w:tabs>
          <w:tab w:val="left" w:pos="426"/>
          <w:tab w:val="left" w:pos="851"/>
          <w:tab w:val="left" w:pos="993"/>
          <w:tab w:val="clear" w:pos="1560"/>
        </w:tabs>
        <w:spacing w:line="460" w:lineRule="exact"/>
        <w:ind w:left="0" w:firstLine="424" w:firstLineChars="202"/>
        <w:rPr>
          <w:rFonts w:ascii="宋体" w:hAnsi="宋体" w:cs="新宋体"/>
          <w:color w:val="auto"/>
          <w:szCs w:val="21"/>
        </w:rPr>
      </w:pPr>
      <w:r>
        <w:rPr>
          <w:rFonts w:hint="eastAsia" w:ascii="宋体" w:hAnsi="宋体" w:cs="新宋体"/>
          <w:color w:val="auto"/>
          <w:szCs w:val="21"/>
        </w:rPr>
        <w:t>乙方保证其员工最低月工资不少于当年瑞安市最低月工资。</w:t>
      </w:r>
    </w:p>
    <w:p>
      <w:pPr>
        <w:pStyle w:val="92"/>
        <w:numPr>
          <w:ilvl w:val="0"/>
          <w:numId w:val="87"/>
        </w:numPr>
        <w:tabs>
          <w:tab w:val="left" w:pos="426"/>
          <w:tab w:val="left" w:pos="851"/>
          <w:tab w:val="left" w:pos="993"/>
          <w:tab w:val="clear" w:pos="1560"/>
        </w:tabs>
        <w:spacing w:line="460" w:lineRule="exact"/>
        <w:ind w:left="0" w:firstLine="424" w:firstLineChars="202"/>
        <w:rPr>
          <w:rFonts w:ascii="宋体" w:hAnsi="宋体" w:cs="新宋体"/>
          <w:color w:val="auto"/>
          <w:szCs w:val="21"/>
        </w:rPr>
      </w:pPr>
      <w:r>
        <w:rPr>
          <w:rFonts w:hint="eastAsia" w:ascii="宋体" w:hAnsi="宋体" w:cs="新宋体"/>
          <w:color w:val="auto"/>
          <w:szCs w:val="21"/>
        </w:rPr>
        <w:t>乙方必须出具或办妥法律手续及甲方规定的与承包区域经营业务有关的执照和许可证，方可从事经营并在经营中遵守一切有关条例和规定。自行缴纳税费及工商部门的各项规费。</w:t>
      </w:r>
    </w:p>
    <w:p>
      <w:pPr>
        <w:pStyle w:val="92"/>
        <w:numPr>
          <w:ilvl w:val="0"/>
          <w:numId w:val="87"/>
        </w:numPr>
        <w:tabs>
          <w:tab w:val="left" w:pos="426"/>
          <w:tab w:val="left" w:pos="851"/>
          <w:tab w:val="left" w:pos="993"/>
          <w:tab w:val="clear" w:pos="1560"/>
        </w:tabs>
        <w:spacing w:line="460" w:lineRule="exact"/>
        <w:ind w:left="0" w:firstLine="424" w:firstLineChars="202"/>
        <w:rPr>
          <w:rFonts w:ascii="宋体" w:hAnsi="宋体" w:cs="新宋体"/>
          <w:color w:val="auto"/>
          <w:szCs w:val="21"/>
        </w:rPr>
      </w:pPr>
      <w:r>
        <w:rPr>
          <w:rFonts w:hint="eastAsia" w:ascii="宋体" w:hAnsi="宋体" w:cs="新宋体"/>
          <w:color w:val="auto"/>
          <w:szCs w:val="21"/>
        </w:rPr>
        <w:t>乙方必须确保为采购人提供优质、高效的服务，并根据甲方要求不断改进服务手段，自觉接受甲方相关部门的监督与检查。同时，自觉参加有助于提高甲方形象和美誉度的宣传活动。</w:t>
      </w:r>
    </w:p>
    <w:p>
      <w:pPr>
        <w:pStyle w:val="92"/>
        <w:numPr>
          <w:ilvl w:val="0"/>
          <w:numId w:val="87"/>
        </w:numPr>
        <w:tabs>
          <w:tab w:val="left" w:pos="426"/>
          <w:tab w:val="left" w:pos="851"/>
          <w:tab w:val="left" w:pos="993"/>
          <w:tab w:val="clear" w:pos="1560"/>
        </w:tabs>
        <w:spacing w:line="460" w:lineRule="exact"/>
        <w:ind w:left="0" w:firstLine="424" w:firstLineChars="202"/>
        <w:rPr>
          <w:rFonts w:ascii="宋体" w:hAnsi="宋体" w:cs="新宋体"/>
          <w:color w:val="auto"/>
          <w:szCs w:val="21"/>
        </w:rPr>
      </w:pPr>
      <w:r>
        <w:rPr>
          <w:rFonts w:hint="eastAsia" w:ascii="宋体" w:hAnsi="宋体" w:cs="新宋体"/>
          <w:color w:val="auto"/>
          <w:szCs w:val="21"/>
        </w:rPr>
        <w:t>在承包期内乙方应保证承包区域内的设施、设备始终处于良好的运营状况和保持承包区域内环境卫生整洁。对由乙方引起或造成设施、设备的损坏及环境卫生不理想状况，甲方将书面通知乙方进行整改，在书面通知下达一周后，仍未按要求整改的，甲方将负责完成这一工作，所需费用连同15%行政附加费全部由乙方承担。</w:t>
      </w:r>
    </w:p>
    <w:p>
      <w:pPr>
        <w:pStyle w:val="92"/>
        <w:numPr>
          <w:ilvl w:val="0"/>
          <w:numId w:val="87"/>
        </w:numPr>
        <w:tabs>
          <w:tab w:val="left" w:pos="426"/>
          <w:tab w:val="left" w:pos="851"/>
          <w:tab w:val="left" w:pos="993"/>
          <w:tab w:val="left" w:pos="1060"/>
          <w:tab w:val="clear" w:pos="1560"/>
        </w:tabs>
        <w:spacing w:line="460" w:lineRule="exact"/>
        <w:ind w:left="0" w:firstLine="424" w:firstLineChars="202"/>
        <w:rPr>
          <w:rFonts w:hint="eastAsia" w:ascii="宋体" w:hAnsi="宋体" w:cs="新宋体"/>
          <w:color w:val="auto"/>
          <w:szCs w:val="21"/>
        </w:rPr>
      </w:pPr>
      <w:r>
        <w:rPr>
          <w:rFonts w:hint="eastAsia" w:ascii="宋体" w:hAnsi="宋体" w:cs="新宋体"/>
          <w:color w:val="auto"/>
          <w:szCs w:val="21"/>
        </w:rPr>
        <w:t>乙方在承包区域内因服务需要而增加的机械、电力设备及设施等事先应征得甲方同意，并聘请有资格的承包商进行安装、保养，并将施工安装保养记录手册和图纸，交由甲方备案。</w:t>
      </w:r>
    </w:p>
    <w:p>
      <w:pPr>
        <w:pStyle w:val="92"/>
        <w:numPr>
          <w:ilvl w:val="0"/>
          <w:numId w:val="87"/>
        </w:numPr>
        <w:tabs>
          <w:tab w:val="left" w:pos="426"/>
          <w:tab w:val="left" w:pos="851"/>
          <w:tab w:val="left" w:pos="993"/>
          <w:tab w:val="left" w:pos="1060"/>
          <w:tab w:val="clear" w:pos="1560"/>
        </w:tabs>
        <w:spacing w:line="460" w:lineRule="exact"/>
        <w:ind w:left="0" w:firstLine="424" w:firstLineChars="202"/>
        <w:rPr>
          <w:rFonts w:hint="eastAsia" w:ascii="宋体" w:hAnsi="宋体" w:cs="新宋体"/>
          <w:color w:val="auto"/>
          <w:szCs w:val="21"/>
        </w:rPr>
      </w:pPr>
      <w:r>
        <w:rPr>
          <w:rFonts w:hint="eastAsia" w:ascii="宋体" w:hAnsi="宋体" w:cs="新宋体"/>
          <w:color w:val="auto"/>
          <w:szCs w:val="21"/>
        </w:rPr>
        <w:t>禁止事件</w:t>
      </w:r>
    </w:p>
    <w:p>
      <w:pPr>
        <w:pStyle w:val="92"/>
        <w:numPr>
          <w:ilvl w:val="0"/>
          <w:numId w:val="88"/>
        </w:numPr>
        <w:tabs>
          <w:tab w:val="left" w:pos="709"/>
          <w:tab w:val="left" w:pos="851"/>
        </w:tabs>
        <w:spacing w:line="460" w:lineRule="exact"/>
        <w:ind w:left="5" w:firstLine="635" w:firstLineChars="0"/>
        <w:rPr>
          <w:rFonts w:ascii="宋体" w:hAnsi="宋体" w:cs="新宋体"/>
          <w:color w:val="auto"/>
          <w:szCs w:val="21"/>
        </w:rPr>
      </w:pPr>
      <w:r>
        <w:rPr>
          <w:rFonts w:hint="eastAsia" w:ascii="宋体" w:hAnsi="宋体" w:cs="新宋体"/>
          <w:color w:val="auto"/>
          <w:szCs w:val="21"/>
        </w:rPr>
        <w:t>未经甲方同意，乙方不得在承包的区域中从事任何广告活动或类似宣传，甲方有权依照广告法和甲方相关的规定责令乙方限期改正，并接受处罚；但甲方在该区域发布的广告宣传保证不致影响乙方的正常工作。</w:t>
      </w:r>
    </w:p>
    <w:p>
      <w:pPr>
        <w:pStyle w:val="92"/>
        <w:numPr>
          <w:ilvl w:val="0"/>
          <w:numId w:val="88"/>
        </w:numPr>
        <w:tabs>
          <w:tab w:val="left" w:pos="709"/>
          <w:tab w:val="left" w:pos="851"/>
        </w:tabs>
        <w:spacing w:line="460" w:lineRule="exact"/>
        <w:ind w:left="5" w:firstLine="635" w:firstLineChars="0"/>
        <w:rPr>
          <w:rFonts w:ascii="宋体" w:hAnsi="宋体" w:cs="新宋体"/>
          <w:color w:val="auto"/>
          <w:szCs w:val="21"/>
        </w:rPr>
      </w:pPr>
      <w:r>
        <w:rPr>
          <w:rFonts w:hint="eastAsia" w:ascii="宋体" w:hAnsi="宋体" w:cs="新宋体"/>
          <w:color w:val="auto"/>
          <w:szCs w:val="21"/>
        </w:rPr>
        <w:t>乙方不得以甲方的名义从事任何经济活动，且由此发生的一切债权、债务与甲方无关。</w:t>
      </w:r>
    </w:p>
    <w:p>
      <w:pPr>
        <w:pStyle w:val="92"/>
        <w:numPr>
          <w:ilvl w:val="0"/>
          <w:numId w:val="88"/>
        </w:numPr>
        <w:tabs>
          <w:tab w:val="left" w:pos="709"/>
          <w:tab w:val="left" w:pos="851"/>
        </w:tabs>
        <w:spacing w:line="460" w:lineRule="exact"/>
        <w:ind w:left="5" w:firstLine="635" w:firstLineChars="0"/>
        <w:rPr>
          <w:rFonts w:ascii="宋体" w:hAnsi="宋体" w:cs="新宋体"/>
          <w:color w:val="auto"/>
          <w:szCs w:val="21"/>
        </w:rPr>
      </w:pPr>
      <w:r>
        <w:rPr>
          <w:rFonts w:hint="eastAsia" w:ascii="宋体" w:hAnsi="宋体" w:cs="新宋体"/>
          <w:color w:val="auto"/>
          <w:szCs w:val="21"/>
        </w:rPr>
        <w:t>乙方不得以任何理由向甲方工作人员支付小费或赠送实物，违者将受到处罚并终止合同。乙方也不得以任何形式向甲方相关人员索取小费或钱物等。</w:t>
      </w:r>
    </w:p>
    <w:p>
      <w:pPr>
        <w:pStyle w:val="92"/>
        <w:numPr>
          <w:ilvl w:val="0"/>
          <w:numId w:val="88"/>
        </w:numPr>
        <w:tabs>
          <w:tab w:val="left" w:pos="709"/>
          <w:tab w:val="left" w:pos="851"/>
        </w:tabs>
        <w:spacing w:line="460" w:lineRule="exact"/>
        <w:ind w:left="5" w:firstLine="635" w:firstLineChars="0"/>
        <w:rPr>
          <w:rFonts w:ascii="宋体" w:hAnsi="宋体" w:cs="新宋体"/>
          <w:color w:val="auto"/>
          <w:szCs w:val="21"/>
        </w:rPr>
      </w:pPr>
      <w:r>
        <w:rPr>
          <w:rFonts w:hint="eastAsia" w:ascii="宋体" w:hAnsi="宋体" w:cs="新宋体"/>
          <w:color w:val="auto"/>
          <w:szCs w:val="21"/>
        </w:rPr>
        <w:t>不得在承包区域内住宿或从事非法活动，也不得从事有损甲方利益的活动，同时不允许在承包区域内对甲方活动进行扰乱行为。</w:t>
      </w:r>
    </w:p>
    <w:p>
      <w:pPr>
        <w:pStyle w:val="92"/>
        <w:numPr>
          <w:ilvl w:val="0"/>
          <w:numId w:val="88"/>
        </w:numPr>
        <w:tabs>
          <w:tab w:val="left" w:pos="709"/>
          <w:tab w:val="left" w:pos="851"/>
        </w:tabs>
        <w:spacing w:line="460" w:lineRule="exact"/>
        <w:ind w:left="5" w:firstLine="635" w:firstLineChars="0"/>
        <w:rPr>
          <w:rFonts w:ascii="宋体" w:hAnsi="宋体" w:cs="新宋体"/>
          <w:color w:val="auto"/>
          <w:szCs w:val="21"/>
        </w:rPr>
      </w:pPr>
      <w:r>
        <w:rPr>
          <w:rFonts w:hint="eastAsia" w:ascii="宋体" w:hAnsi="宋体" w:cs="新宋体"/>
          <w:color w:val="auto"/>
          <w:szCs w:val="21"/>
        </w:rPr>
        <w:t>除经甲方批准进行必要的维护工程外，乙方不得损毁承包区域内原有的设施和装潢等，不得更改已铺设的电缆、电线等电力设施。同时，也不得安装任何可能造成电缆负载过大的电器设备，以免遭受干扰。</w:t>
      </w:r>
    </w:p>
    <w:p>
      <w:pPr>
        <w:pStyle w:val="92"/>
        <w:numPr>
          <w:ilvl w:val="0"/>
          <w:numId w:val="88"/>
        </w:numPr>
        <w:tabs>
          <w:tab w:val="left" w:pos="709"/>
          <w:tab w:val="left" w:pos="851"/>
        </w:tabs>
        <w:spacing w:line="460" w:lineRule="exact"/>
        <w:ind w:left="5" w:firstLine="635" w:firstLineChars="0"/>
        <w:rPr>
          <w:rFonts w:ascii="宋体" w:hAnsi="宋体" w:cs="新宋体"/>
          <w:color w:val="auto"/>
          <w:szCs w:val="21"/>
        </w:rPr>
      </w:pPr>
      <w:r>
        <w:rPr>
          <w:rFonts w:hint="eastAsia" w:ascii="宋体" w:hAnsi="宋体" w:cs="新宋体"/>
          <w:color w:val="auto"/>
          <w:szCs w:val="21"/>
        </w:rPr>
        <w:t>未获甲方书面同意，乙方任何时候都不能在承包区域内存放易燃易爆物品、挥发性大或气味浓烈的液体等。</w:t>
      </w:r>
    </w:p>
    <w:p>
      <w:pPr>
        <w:pStyle w:val="92"/>
        <w:numPr>
          <w:ilvl w:val="0"/>
          <w:numId w:val="87"/>
        </w:numPr>
        <w:tabs>
          <w:tab w:val="left" w:pos="426"/>
          <w:tab w:val="left" w:pos="851"/>
          <w:tab w:val="left" w:pos="993"/>
          <w:tab w:val="left" w:pos="1060"/>
          <w:tab w:val="clear" w:pos="1560"/>
        </w:tabs>
        <w:spacing w:line="460" w:lineRule="exact"/>
        <w:ind w:left="0" w:firstLine="424" w:firstLineChars="202"/>
        <w:rPr>
          <w:rFonts w:hint="eastAsia" w:ascii="宋体" w:hAnsi="宋体" w:cs="新宋体"/>
          <w:color w:val="auto"/>
          <w:szCs w:val="21"/>
        </w:rPr>
      </w:pPr>
      <w:r>
        <w:rPr>
          <w:rFonts w:hint="eastAsia" w:ascii="宋体" w:hAnsi="宋体" w:cs="新宋体"/>
          <w:color w:val="auto"/>
          <w:szCs w:val="21"/>
        </w:rPr>
        <w:t>人身安全责任</w:t>
      </w:r>
    </w:p>
    <w:p>
      <w:pPr>
        <w:pStyle w:val="92"/>
        <w:numPr>
          <w:ilvl w:val="0"/>
          <w:numId w:val="89"/>
        </w:numPr>
        <w:tabs>
          <w:tab w:val="left" w:pos="709"/>
          <w:tab w:val="left" w:pos="851"/>
        </w:tabs>
        <w:spacing w:line="460" w:lineRule="exact"/>
        <w:ind w:firstLine="215" w:firstLineChars="0"/>
        <w:rPr>
          <w:rFonts w:ascii="宋体" w:hAnsi="宋体" w:cs="新宋体"/>
          <w:color w:val="auto"/>
          <w:szCs w:val="21"/>
        </w:rPr>
      </w:pPr>
      <w:r>
        <w:rPr>
          <w:rFonts w:hint="eastAsia" w:ascii="宋体" w:hAnsi="宋体" w:cs="新宋体"/>
          <w:color w:val="auto"/>
          <w:szCs w:val="21"/>
        </w:rPr>
        <w:t>第三者责任保险</w:t>
      </w:r>
    </w:p>
    <w:p>
      <w:pPr>
        <w:pStyle w:val="92"/>
        <w:numPr>
          <w:ilvl w:val="0"/>
          <w:numId w:val="90"/>
        </w:numPr>
        <w:tabs>
          <w:tab w:val="left" w:pos="709"/>
        </w:tabs>
        <w:spacing w:line="460" w:lineRule="exact"/>
        <w:ind w:left="4" w:firstLine="420" w:firstLineChars="0"/>
        <w:rPr>
          <w:rFonts w:ascii="宋体" w:hAnsi="宋体" w:cs="新宋体"/>
          <w:color w:val="auto"/>
          <w:szCs w:val="21"/>
        </w:rPr>
      </w:pPr>
      <w:r>
        <w:rPr>
          <w:rFonts w:hint="eastAsia" w:ascii="宋体" w:hAnsi="宋体" w:cs="新宋体"/>
          <w:color w:val="auto"/>
          <w:szCs w:val="21"/>
        </w:rPr>
        <w:t>乙方应对甲方的后勤服务人员以及第三方全权负责（乙方应投保第三责任险），在乙方的责任区内由于乙方原因导致第三方的人身伤害事故由乙方负责，甲方不承担任何责任。</w:t>
      </w:r>
    </w:p>
    <w:p>
      <w:pPr>
        <w:pStyle w:val="92"/>
        <w:numPr>
          <w:ilvl w:val="0"/>
          <w:numId w:val="90"/>
        </w:numPr>
        <w:tabs>
          <w:tab w:val="left" w:pos="709"/>
          <w:tab w:val="left" w:pos="851"/>
        </w:tabs>
        <w:spacing w:line="460" w:lineRule="exact"/>
        <w:ind w:firstLineChars="0"/>
        <w:rPr>
          <w:rFonts w:ascii="宋体" w:hAnsi="宋体" w:cs="新宋体"/>
          <w:color w:val="auto"/>
          <w:szCs w:val="21"/>
        </w:rPr>
      </w:pPr>
      <w:r>
        <w:rPr>
          <w:rFonts w:hint="eastAsia" w:ascii="宋体" w:hAnsi="宋体" w:cs="新宋体"/>
          <w:color w:val="auto"/>
          <w:szCs w:val="21"/>
        </w:rPr>
        <w:t>乙方需在承包期内向甲方出示此保险单及已付清保险费的收据。</w:t>
      </w:r>
    </w:p>
    <w:p>
      <w:pPr>
        <w:pStyle w:val="92"/>
        <w:numPr>
          <w:ilvl w:val="0"/>
          <w:numId w:val="89"/>
        </w:numPr>
        <w:tabs>
          <w:tab w:val="left" w:pos="709"/>
          <w:tab w:val="left" w:pos="851"/>
        </w:tabs>
        <w:spacing w:line="460" w:lineRule="exact"/>
        <w:ind w:firstLine="215" w:firstLineChars="0"/>
        <w:rPr>
          <w:rFonts w:ascii="宋体" w:hAnsi="宋体" w:cs="新宋体"/>
          <w:color w:val="auto"/>
          <w:szCs w:val="21"/>
        </w:rPr>
      </w:pPr>
      <w:r>
        <w:rPr>
          <w:rFonts w:hint="eastAsia" w:ascii="宋体" w:hAnsi="宋体" w:cs="新宋体"/>
          <w:color w:val="auto"/>
          <w:szCs w:val="21"/>
        </w:rPr>
        <w:t>服务人员人身意外</w:t>
      </w:r>
    </w:p>
    <w:p>
      <w:pPr>
        <w:spacing w:line="460" w:lineRule="exact"/>
        <w:ind w:firstLine="420" w:firstLineChars="200"/>
        <w:rPr>
          <w:rFonts w:ascii="宋体" w:hAnsi="宋体" w:cs="新宋体"/>
          <w:color w:val="auto"/>
          <w:szCs w:val="21"/>
        </w:rPr>
      </w:pPr>
      <w:r>
        <w:rPr>
          <w:rFonts w:hint="eastAsia" w:ascii="宋体" w:hAnsi="宋体" w:cs="新宋体"/>
          <w:color w:val="auto"/>
          <w:szCs w:val="21"/>
        </w:rPr>
        <w:t>在承包期内，乙方所有人员的人身安全由乙方全权负责（乙方应对其员工投保人身意外险），以保证甲方在乙方工作人员进行索赔时不受任何责任的约束。</w:t>
      </w:r>
    </w:p>
    <w:p>
      <w:pPr>
        <w:pStyle w:val="92"/>
        <w:numPr>
          <w:ilvl w:val="0"/>
          <w:numId w:val="89"/>
        </w:numPr>
        <w:tabs>
          <w:tab w:val="left" w:pos="709"/>
          <w:tab w:val="left" w:pos="851"/>
        </w:tabs>
        <w:spacing w:line="460" w:lineRule="exact"/>
        <w:ind w:firstLine="215" w:firstLineChars="0"/>
        <w:rPr>
          <w:rFonts w:ascii="宋体" w:hAnsi="宋体" w:cs="新宋体"/>
          <w:color w:val="auto"/>
          <w:szCs w:val="21"/>
        </w:rPr>
      </w:pPr>
      <w:r>
        <w:rPr>
          <w:rFonts w:hint="eastAsia" w:ascii="宋体" w:hAnsi="宋体" w:cs="新宋体"/>
          <w:color w:val="auto"/>
          <w:szCs w:val="21"/>
        </w:rPr>
        <w:t>其他保险及费用</w:t>
      </w:r>
    </w:p>
    <w:p>
      <w:pPr>
        <w:spacing w:line="460" w:lineRule="exact"/>
        <w:ind w:firstLine="420" w:firstLineChars="200"/>
        <w:rPr>
          <w:rFonts w:ascii="宋体" w:hAnsi="宋体" w:cs="新宋体"/>
          <w:color w:val="auto"/>
          <w:szCs w:val="21"/>
          <w:highlight w:val="none"/>
        </w:rPr>
      </w:pPr>
      <w:r>
        <w:rPr>
          <w:rFonts w:hint="eastAsia" w:ascii="宋体" w:hAnsi="宋体" w:cs="新宋体"/>
          <w:color w:val="auto"/>
          <w:szCs w:val="21"/>
          <w:highlight w:val="none"/>
        </w:rPr>
        <w:t>乙方应按政府有关规定负责为全体服务人员办理社会保险（包括但不限于意外险等）并交纳相关费用。</w:t>
      </w:r>
    </w:p>
    <w:p>
      <w:pPr>
        <w:pStyle w:val="92"/>
        <w:numPr>
          <w:ilvl w:val="0"/>
          <w:numId w:val="87"/>
        </w:numPr>
        <w:tabs>
          <w:tab w:val="left" w:pos="426"/>
          <w:tab w:val="left" w:pos="851"/>
          <w:tab w:val="left" w:pos="993"/>
          <w:tab w:val="left" w:pos="1060"/>
          <w:tab w:val="clear" w:pos="1560"/>
        </w:tabs>
        <w:spacing w:line="460" w:lineRule="exact"/>
        <w:ind w:left="0" w:firstLine="424" w:firstLineChars="202"/>
        <w:rPr>
          <w:rFonts w:ascii="宋体" w:hAnsi="宋体" w:cs="新宋体"/>
          <w:color w:val="auto"/>
          <w:szCs w:val="21"/>
        </w:rPr>
      </w:pPr>
      <w:r>
        <w:rPr>
          <w:rFonts w:hint="eastAsia" w:ascii="宋体" w:hAnsi="宋体" w:cs="新宋体"/>
          <w:color w:val="auto"/>
          <w:szCs w:val="21"/>
        </w:rPr>
        <w:t>乙方服务人员应遵守甲方内部的一切行政管理、消防安全等规章制度，保证承包区域内的消防设施能正常使用，消防通道畅通，同时承担违规责任。</w:t>
      </w:r>
    </w:p>
    <w:p>
      <w:pPr>
        <w:pStyle w:val="92"/>
        <w:numPr>
          <w:ilvl w:val="0"/>
          <w:numId w:val="87"/>
        </w:numPr>
        <w:tabs>
          <w:tab w:val="left" w:pos="426"/>
          <w:tab w:val="left" w:pos="851"/>
          <w:tab w:val="left" w:pos="993"/>
          <w:tab w:val="left" w:pos="1060"/>
          <w:tab w:val="clear" w:pos="1560"/>
        </w:tabs>
        <w:spacing w:line="460" w:lineRule="exact"/>
        <w:ind w:left="0" w:firstLine="424" w:firstLineChars="202"/>
        <w:rPr>
          <w:rFonts w:ascii="宋体" w:hAnsi="宋体" w:cs="新宋体"/>
          <w:color w:val="auto"/>
          <w:szCs w:val="21"/>
        </w:rPr>
      </w:pPr>
      <w:r>
        <w:rPr>
          <w:rFonts w:hint="eastAsia" w:ascii="宋体" w:hAnsi="宋体" w:cs="新宋体"/>
          <w:color w:val="auto"/>
          <w:szCs w:val="21"/>
        </w:rPr>
        <w:t>遇突发事件或安全检查时，乙方必须配合有关部门执行任务，并指定专职人员协助工作，直至完成。</w:t>
      </w:r>
    </w:p>
    <w:p>
      <w:pPr>
        <w:pStyle w:val="92"/>
        <w:numPr>
          <w:ilvl w:val="0"/>
          <w:numId w:val="87"/>
        </w:numPr>
        <w:tabs>
          <w:tab w:val="left" w:pos="426"/>
          <w:tab w:val="left" w:pos="851"/>
          <w:tab w:val="left" w:pos="993"/>
          <w:tab w:val="left" w:pos="1060"/>
          <w:tab w:val="clear" w:pos="1560"/>
        </w:tabs>
        <w:spacing w:line="460" w:lineRule="exact"/>
        <w:ind w:left="0" w:firstLine="424" w:firstLineChars="202"/>
        <w:rPr>
          <w:rFonts w:ascii="宋体" w:hAnsi="宋体" w:cs="新宋体"/>
          <w:color w:val="auto"/>
          <w:szCs w:val="21"/>
        </w:rPr>
      </w:pPr>
      <w:r>
        <w:rPr>
          <w:rFonts w:hint="eastAsia" w:ascii="宋体" w:hAnsi="宋体" w:cs="新宋体"/>
          <w:color w:val="auto"/>
          <w:szCs w:val="21"/>
        </w:rPr>
        <w:t>乙方保证在承包期满日当天下午五时撤离现场，撤离现场前向甲方提交或移交所有资料。</w:t>
      </w:r>
    </w:p>
    <w:p>
      <w:pPr>
        <w:spacing w:line="460" w:lineRule="exact"/>
        <w:ind w:firstLine="420" w:firstLineChars="200"/>
        <w:rPr>
          <w:rFonts w:ascii="宋体" w:hAnsi="宋体" w:cs="新宋体"/>
          <w:color w:val="auto"/>
          <w:szCs w:val="21"/>
        </w:rPr>
      </w:pPr>
      <w:r>
        <w:rPr>
          <w:rFonts w:hint="eastAsia" w:ascii="宋体" w:hAnsi="宋体" w:cs="新宋体"/>
          <w:color w:val="auto"/>
          <w:szCs w:val="21"/>
        </w:rPr>
        <w:t>2．甲方对乙方作出如下承诺：</w:t>
      </w:r>
    </w:p>
    <w:p>
      <w:pPr>
        <w:pStyle w:val="92"/>
        <w:numPr>
          <w:ilvl w:val="0"/>
          <w:numId w:val="91"/>
        </w:numPr>
        <w:spacing w:line="460" w:lineRule="exact"/>
        <w:ind w:firstLineChars="0"/>
        <w:rPr>
          <w:rFonts w:ascii="宋体" w:hAnsi="宋体" w:cs="新宋体"/>
          <w:color w:val="auto"/>
          <w:szCs w:val="21"/>
        </w:rPr>
      </w:pPr>
      <w:r>
        <w:rPr>
          <w:rFonts w:hint="eastAsia" w:ascii="宋体" w:hAnsi="宋体" w:cs="新宋体"/>
          <w:color w:val="auto"/>
          <w:szCs w:val="21"/>
        </w:rPr>
        <w:t>甲方在职权范围内保证乙方的正常经营不受干扰。</w:t>
      </w:r>
    </w:p>
    <w:p>
      <w:pPr>
        <w:pStyle w:val="92"/>
        <w:numPr>
          <w:ilvl w:val="0"/>
          <w:numId w:val="91"/>
        </w:numPr>
        <w:spacing w:line="460" w:lineRule="exact"/>
        <w:ind w:firstLineChars="0"/>
        <w:rPr>
          <w:rFonts w:ascii="宋体" w:hAnsi="宋体" w:cs="新宋体"/>
          <w:color w:val="auto"/>
          <w:szCs w:val="21"/>
        </w:rPr>
      </w:pPr>
      <w:r>
        <w:rPr>
          <w:rFonts w:hint="eastAsia" w:ascii="宋体" w:hAnsi="宋体" w:cs="新宋体"/>
          <w:color w:val="auto"/>
          <w:szCs w:val="21"/>
        </w:rPr>
        <w:t>保证乙方服务所需的工具按规定正常进入承包区域内开展服务工作。</w:t>
      </w:r>
    </w:p>
    <w:p>
      <w:pPr>
        <w:spacing w:beforeLines="50" w:afterLines="50" w:line="360" w:lineRule="auto"/>
        <w:outlineLvl w:val="1"/>
        <w:rPr>
          <w:rFonts w:ascii="宋体" w:hAnsi="宋体" w:cs="宋体"/>
          <w:b/>
          <w:bCs/>
          <w:color w:val="auto"/>
          <w:szCs w:val="21"/>
        </w:rPr>
      </w:pPr>
      <w:bookmarkStart w:id="986" w:name="_Toc20361"/>
      <w:bookmarkStart w:id="987" w:name="_Toc3350"/>
      <w:bookmarkStart w:id="988" w:name="_Toc24894"/>
      <w:bookmarkStart w:id="989" w:name="_Toc26374"/>
      <w:bookmarkStart w:id="990" w:name="_Toc10315"/>
      <w:bookmarkStart w:id="991" w:name="_Toc6157"/>
      <w:bookmarkStart w:id="992" w:name="_Toc27769"/>
      <w:bookmarkStart w:id="993" w:name="_Toc481"/>
      <w:r>
        <w:rPr>
          <w:rFonts w:hint="eastAsia" w:ascii="宋体" w:hAnsi="宋体" w:cs="宋体"/>
          <w:b/>
          <w:bCs/>
          <w:color w:val="auto"/>
          <w:szCs w:val="21"/>
        </w:rPr>
        <w:t>第</w:t>
      </w:r>
      <w:r>
        <w:rPr>
          <w:rFonts w:hint="eastAsia" w:ascii="宋体" w:hAnsi="宋体" w:cs="宋体"/>
          <w:b/>
          <w:bCs/>
          <w:color w:val="auto"/>
          <w:szCs w:val="21"/>
          <w:lang w:val="en-US" w:eastAsia="zh-CN"/>
        </w:rPr>
        <w:t>八</w:t>
      </w:r>
      <w:r>
        <w:rPr>
          <w:rFonts w:hint="eastAsia" w:ascii="宋体" w:hAnsi="宋体" w:cs="宋体"/>
          <w:b/>
          <w:bCs/>
          <w:color w:val="auto"/>
          <w:szCs w:val="21"/>
        </w:rPr>
        <w:t>条  履约验收</w:t>
      </w:r>
      <w:bookmarkEnd w:id="986"/>
      <w:bookmarkEnd w:id="987"/>
      <w:bookmarkEnd w:id="988"/>
      <w:bookmarkEnd w:id="989"/>
      <w:bookmarkEnd w:id="990"/>
      <w:bookmarkEnd w:id="991"/>
      <w:bookmarkEnd w:id="992"/>
      <w:bookmarkEnd w:id="993"/>
    </w:p>
    <w:p>
      <w:pPr>
        <w:pStyle w:val="37"/>
        <w:spacing w:after="0" w:line="360" w:lineRule="auto"/>
        <w:ind w:left="0" w:leftChars="0" w:firstLine="420"/>
        <w:rPr>
          <w:rFonts w:hint="eastAsia" w:ascii="宋体" w:eastAsia="宋体"/>
          <w:b w:val="0"/>
          <w:bCs w:val="0"/>
          <w:color w:val="auto"/>
          <w:sz w:val="21"/>
        </w:rPr>
      </w:pPr>
      <w:bookmarkStart w:id="994" w:name="_Toc21076"/>
      <w:r>
        <w:rPr>
          <w:rFonts w:hint="eastAsia" w:ascii="宋体" w:eastAsia="宋体"/>
          <w:b w:val="0"/>
          <w:bCs w:val="0"/>
          <w:color w:val="auto"/>
          <w:sz w:val="21"/>
        </w:rPr>
        <w:t>依据</w:t>
      </w:r>
      <w:r>
        <w:rPr>
          <w:rFonts w:hint="eastAsia" w:ascii="宋体" w:hAnsi="宋体" w:eastAsia="宋体" w:cs="宋体"/>
          <w:b w:val="0"/>
          <w:bCs w:val="0"/>
          <w:color w:val="auto"/>
          <w:sz w:val="21"/>
          <w:szCs w:val="21"/>
        </w:rPr>
        <w:t>《财政部关于进一步加强政府采购需求和履约验收管理的指导意见》（财库</w:t>
      </w:r>
      <w:r>
        <w:rPr>
          <w:rFonts w:hint="default" w:ascii="Arial" w:hAnsi="Arial" w:eastAsia="宋体" w:cs="Arial"/>
          <w:b w:val="0"/>
          <w:bCs w:val="0"/>
          <w:color w:val="auto"/>
          <w:sz w:val="21"/>
          <w:szCs w:val="21"/>
        </w:rPr>
        <w:t>[2016]205</w:t>
      </w:r>
      <w:r>
        <w:rPr>
          <w:rFonts w:hint="eastAsia" w:ascii="宋体" w:hAnsi="宋体" w:eastAsia="宋体" w:cs="宋体"/>
          <w:b w:val="0"/>
          <w:bCs w:val="0"/>
          <w:color w:val="auto"/>
          <w:sz w:val="21"/>
          <w:szCs w:val="21"/>
        </w:rPr>
        <w:t>号）、《浙江省政府采购合同暂行办法》（浙财采监</w:t>
      </w:r>
      <w:r>
        <w:rPr>
          <w:rFonts w:hint="default" w:ascii="Arial" w:hAnsi="Arial" w:eastAsia="宋体" w:cs="Arial"/>
          <w:b w:val="0"/>
          <w:bCs w:val="0"/>
          <w:color w:val="auto"/>
          <w:sz w:val="21"/>
          <w:szCs w:val="21"/>
        </w:rPr>
        <w:t>[2017]11</w:t>
      </w:r>
      <w:r>
        <w:rPr>
          <w:rFonts w:hint="eastAsia" w:ascii="宋体" w:hAnsi="宋体" w:eastAsia="宋体" w:cs="宋体"/>
          <w:b w:val="0"/>
          <w:bCs w:val="0"/>
          <w:color w:val="auto"/>
          <w:sz w:val="21"/>
          <w:szCs w:val="21"/>
        </w:rPr>
        <w:t>号）</w:t>
      </w:r>
      <w:r>
        <w:rPr>
          <w:rFonts w:hint="eastAsia" w:ascii="宋体" w:eastAsia="宋体" w:cs="宋体"/>
          <w:b w:val="0"/>
          <w:bCs w:val="0"/>
          <w:color w:val="auto"/>
          <w:sz w:val="21"/>
          <w:szCs w:val="21"/>
          <w:lang w:eastAsia="zh-CN"/>
        </w:rPr>
        <w:t>、</w:t>
      </w:r>
      <w:r>
        <w:rPr>
          <w:rFonts w:hint="eastAsia" w:ascii="宋体" w:eastAsia="宋体"/>
          <w:b w:val="0"/>
          <w:bCs w:val="0"/>
          <w:color w:val="auto"/>
          <w:sz w:val="21"/>
        </w:rPr>
        <w:t>《温州市政府采购履约验收办法》（温财采</w:t>
      </w:r>
      <w:r>
        <w:rPr>
          <w:rFonts w:hint="default" w:ascii="Arial" w:hAnsi="Arial" w:eastAsia="宋体" w:cs="Arial"/>
          <w:b w:val="0"/>
          <w:bCs w:val="0"/>
          <w:color w:val="auto"/>
          <w:sz w:val="21"/>
        </w:rPr>
        <w:t>[2020]6</w:t>
      </w:r>
      <w:r>
        <w:rPr>
          <w:rFonts w:hint="eastAsia" w:ascii="宋体" w:eastAsia="宋体"/>
          <w:b w:val="0"/>
          <w:bCs w:val="0"/>
          <w:color w:val="auto"/>
          <w:sz w:val="21"/>
        </w:rPr>
        <w:t>号）规定，</w:t>
      </w:r>
      <w:r>
        <w:rPr>
          <w:rFonts w:hint="eastAsia" w:ascii="宋体" w:eastAsia="宋体"/>
          <w:b w:val="0"/>
          <w:bCs w:val="0"/>
          <w:color w:val="auto"/>
          <w:sz w:val="21"/>
          <w:szCs w:val="24"/>
        </w:rPr>
        <w:t>合同履约达到验收条件时，</w:t>
      </w:r>
      <w:r>
        <w:rPr>
          <w:rFonts w:hint="eastAsia" w:ascii="宋体" w:eastAsia="宋体"/>
          <w:b w:val="0"/>
          <w:bCs w:val="0"/>
          <w:color w:val="auto"/>
          <w:sz w:val="21"/>
          <w:szCs w:val="24"/>
          <w:lang w:eastAsia="zh-CN"/>
        </w:rPr>
        <w:t>乙方</w:t>
      </w:r>
      <w:r>
        <w:rPr>
          <w:rFonts w:hint="eastAsia" w:ascii="宋体" w:eastAsia="宋体"/>
          <w:b w:val="0"/>
          <w:bCs w:val="0"/>
          <w:color w:val="auto"/>
          <w:sz w:val="21"/>
          <w:szCs w:val="24"/>
        </w:rPr>
        <w:t>按照合同约定向</w:t>
      </w:r>
      <w:r>
        <w:rPr>
          <w:rFonts w:hint="eastAsia" w:ascii="宋体" w:eastAsia="宋体"/>
          <w:b w:val="0"/>
          <w:bCs w:val="0"/>
          <w:color w:val="auto"/>
          <w:sz w:val="21"/>
          <w:szCs w:val="24"/>
          <w:lang w:eastAsia="zh-CN"/>
        </w:rPr>
        <w:t>甲方</w:t>
      </w:r>
      <w:r>
        <w:rPr>
          <w:rFonts w:hint="eastAsia" w:ascii="宋体" w:eastAsia="宋体"/>
          <w:b w:val="0"/>
          <w:bCs w:val="0"/>
          <w:color w:val="auto"/>
          <w:sz w:val="21"/>
          <w:szCs w:val="24"/>
        </w:rPr>
        <w:t>书面发起验收申请。</w:t>
      </w:r>
      <w:r>
        <w:rPr>
          <w:rFonts w:hint="eastAsia" w:ascii="宋体" w:eastAsia="宋体"/>
          <w:b w:val="0"/>
          <w:bCs w:val="0"/>
          <w:color w:val="auto"/>
          <w:sz w:val="21"/>
          <w:lang w:eastAsia="zh-CN"/>
        </w:rPr>
        <w:t>甲方</w:t>
      </w:r>
      <w:r>
        <w:rPr>
          <w:rFonts w:hint="eastAsia" w:ascii="宋体" w:eastAsia="宋体"/>
          <w:b w:val="0"/>
          <w:bCs w:val="0"/>
          <w:color w:val="auto"/>
          <w:sz w:val="21"/>
        </w:rPr>
        <w:t>依法组织履约验收工作。制定验收方案，成立验收小组，按照验收方案开展验收，出具验收书，并按规定公告与存档。</w:t>
      </w:r>
      <w:r>
        <w:rPr>
          <w:rFonts w:ascii="宋体" w:eastAsia="宋体"/>
          <w:b w:val="0"/>
          <w:bCs w:val="0"/>
          <w:color w:val="auto"/>
          <w:sz w:val="21"/>
        </w:rPr>
        <w:t>履约验收产生的检验（监测）费、劳务报酬等费用支出，</w:t>
      </w:r>
      <w:r>
        <w:rPr>
          <w:rFonts w:hint="eastAsia" w:ascii="宋体" w:eastAsia="宋体"/>
          <w:b w:val="0"/>
          <w:bCs w:val="0"/>
          <w:color w:val="auto"/>
          <w:sz w:val="21"/>
        </w:rPr>
        <w:t>由</w:t>
      </w:r>
      <w:r>
        <w:rPr>
          <w:rFonts w:hint="eastAsia" w:ascii="宋体" w:eastAsia="宋体"/>
          <w:b w:val="0"/>
          <w:bCs w:val="0"/>
          <w:color w:val="auto"/>
          <w:sz w:val="21"/>
          <w:lang w:eastAsia="zh-CN"/>
        </w:rPr>
        <w:t>乙方</w:t>
      </w:r>
      <w:r>
        <w:rPr>
          <w:rFonts w:hint="eastAsia" w:ascii="宋体" w:eastAsia="宋体"/>
          <w:b w:val="0"/>
          <w:bCs w:val="0"/>
          <w:color w:val="auto"/>
          <w:sz w:val="21"/>
        </w:rPr>
        <w:t>支付。履约验收方案如下：</w:t>
      </w:r>
    </w:p>
    <w:p>
      <w:pPr>
        <w:pStyle w:val="20"/>
        <w:numPr>
          <w:ilvl w:val="0"/>
          <w:numId w:val="13"/>
        </w:numPr>
        <w:spacing w:line="360" w:lineRule="auto"/>
        <w:ind w:left="0" w:right="-252" w:firstLine="420"/>
        <w:rPr>
          <w:rFonts w:hint="eastAsia" w:cs="宋体"/>
          <w:bCs/>
          <w:color w:val="auto"/>
          <w:sz w:val="21"/>
          <w:szCs w:val="21"/>
        </w:rPr>
      </w:pPr>
      <w:r>
        <w:rPr>
          <w:rFonts w:hint="eastAsia" w:cs="宋体"/>
          <w:bCs/>
          <w:color w:val="auto"/>
          <w:sz w:val="21"/>
          <w:szCs w:val="21"/>
        </w:rPr>
        <w:t>项目基本情况</w:t>
      </w:r>
    </w:p>
    <w:p>
      <w:pPr>
        <w:pStyle w:val="20"/>
        <w:spacing w:line="360" w:lineRule="auto"/>
        <w:ind w:left="0" w:right="-252" w:firstLine="420" w:firstLineChars="200"/>
        <w:rPr>
          <w:rFonts w:hint="eastAsia" w:cs="宋体"/>
          <w:bCs/>
          <w:color w:val="auto"/>
          <w:sz w:val="21"/>
          <w:szCs w:val="21"/>
        </w:rPr>
      </w:pPr>
      <w:r>
        <w:rPr>
          <w:rFonts w:hint="eastAsia" w:cs="宋体"/>
          <w:bCs/>
          <w:color w:val="auto"/>
          <w:sz w:val="21"/>
          <w:szCs w:val="21"/>
        </w:rPr>
        <w:t>采购人名称：</w:t>
      </w:r>
    </w:p>
    <w:p>
      <w:pPr>
        <w:pStyle w:val="20"/>
        <w:spacing w:line="360" w:lineRule="auto"/>
        <w:ind w:left="0" w:right="-252" w:firstLine="420" w:firstLineChars="200"/>
        <w:rPr>
          <w:rFonts w:hint="eastAsia" w:cs="宋体"/>
          <w:bCs/>
          <w:color w:val="auto"/>
          <w:sz w:val="21"/>
          <w:szCs w:val="21"/>
        </w:rPr>
      </w:pPr>
      <w:r>
        <w:rPr>
          <w:rFonts w:hint="eastAsia" w:cs="宋体"/>
          <w:bCs/>
          <w:color w:val="auto"/>
          <w:sz w:val="21"/>
          <w:szCs w:val="21"/>
        </w:rPr>
        <w:t>供应商：</w:t>
      </w:r>
    </w:p>
    <w:p>
      <w:pPr>
        <w:pStyle w:val="20"/>
        <w:spacing w:line="360" w:lineRule="auto"/>
        <w:ind w:left="0" w:right="-252" w:firstLine="420" w:firstLineChars="200"/>
        <w:rPr>
          <w:rFonts w:hint="eastAsia" w:cs="宋体"/>
          <w:bCs/>
          <w:color w:val="auto"/>
          <w:sz w:val="21"/>
          <w:szCs w:val="21"/>
        </w:rPr>
      </w:pPr>
      <w:r>
        <w:rPr>
          <w:rFonts w:hint="eastAsia" w:cs="宋体"/>
          <w:bCs/>
          <w:color w:val="auto"/>
          <w:sz w:val="21"/>
          <w:szCs w:val="21"/>
        </w:rPr>
        <w:t>项目名称及主要内容：</w:t>
      </w:r>
    </w:p>
    <w:p>
      <w:pPr>
        <w:pStyle w:val="20"/>
        <w:spacing w:line="360" w:lineRule="auto"/>
        <w:ind w:left="0" w:right="-252" w:firstLine="420" w:firstLineChars="200"/>
        <w:rPr>
          <w:rFonts w:hint="eastAsia" w:eastAsia="宋体" w:cs="宋体"/>
          <w:bCs/>
          <w:color w:val="auto"/>
          <w:sz w:val="21"/>
          <w:szCs w:val="21"/>
          <w:lang w:eastAsia="zh-CN"/>
        </w:rPr>
      </w:pPr>
      <w:r>
        <w:rPr>
          <w:rFonts w:hint="eastAsia" w:cs="宋体"/>
          <w:bCs/>
          <w:color w:val="auto"/>
          <w:sz w:val="21"/>
          <w:szCs w:val="21"/>
          <w:lang w:eastAsia="zh-CN"/>
        </w:rPr>
        <w:t>项目类型：</w:t>
      </w:r>
    </w:p>
    <w:p>
      <w:pPr>
        <w:pStyle w:val="20"/>
        <w:spacing w:line="360" w:lineRule="auto"/>
        <w:ind w:left="0" w:right="-252" w:firstLine="420" w:firstLineChars="200"/>
        <w:rPr>
          <w:rFonts w:hint="eastAsia" w:eastAsia="宋体" w:cs="宋体"/>
          <w:bCs/>
          <w:color w:val="auto"/>
          <w:sz w:val="21"/>
          <w:szCs w:val="21"/>
          <w:lang w:eastAsia="zh-CN"/>
        </w:rPr>
      </w:pPr>
      <w:r>
        <w:rPr>
          <w:rFonts w:hint="eastAsia" w:cs="宋体"/>
          <w:bCs/>
          <w:color w:val="auto"/>
          <w:sz w:val="21"/>
          <w:szCs w:val="21"/>
          <w:lang w:eastAsia="zh-CN"/>
        </w:rPr>
        <w:t>验收时间及地点：</w:t>
      </w:r>
    </w:p>
    <w:p>
      <w:pPr>
        <w:pStyle w:val="20"/>
        <w:numPr>
          <w:ilvl w:val="0"/>
          <w:numId w:val="13"/>
        </w:numPr>
        <w:spacing w:line="360" w:lineRule="auto"/>
        <w:ind w:left="0" w:right="-252" w:firstLine="420"/>
        <w:rPr>
          <w:rFonts w:cs="宋体"/>
          <w:bCs/>
          <w:color w:val="auto"/>
          <w:sz w:val="21"/>
          <w:szCs w:val="21"/>
        </w:rPr>
      </w:pPr>
      <w:r>
        <w:rPr>
          <w:rFonts w:hint="eastAsia" w:cs="宋体"/>
          <w:bCs/>
          <w:color w:val="auto"/>
          <w:sz w:val="21"/>
          <w:szCs w:val="21"/>
        </w:rPr>
        <w:t>验收方式与方法</w:t>
      </w:r>
    </w:p>
    <w:p>
      <w:pPr>
        <w:pStyle w:val="20"/>
        <w:spacing w:line="360" w:lineRule="auto"/>
        <w:ind w:left="0" w:leftChars="0" w:right="-252" w:firstLine="420" w:firstLineChars="200"/>
        <w:rPr>
          <w:rFonts w:cs="宋体"/>
          <w:bCs/>
          <w:color w:val="auto"/>
          <w:sz w:val="21"/>
          <w:szCs w:val="21"/>
        </w:rPr>
      </w:pPr>
      <w:r>
        <w:rPr>
          <w:rFonts w:hint="default" w:ascii="Times New Roman" w:hAnsi="Times New Roman" w:cs="Times New Roman"/>
          <w:bCs/>
          <w:color w:val="auto"/>
          <w:sz w:val="21"/>
          <w:szCs w:val="21"/>
          <w:lang w:eastAsia="zh-CN"/>
        </w:rPr>
        <w:t>（</w:t>
      </w:r>
      <w:r>
        <w:rPr>
          <w:rFonts w:hint="default" w:ascii="Times New Roman" w:hAnsi="Times New Roman" w:cs="Times New Roman"/>
          <w:bCs/>
          <w:color w:val="auto"/>
          <w:sz w:val="21"/>
          <w:szCs w:val="21"/>
          <w:lang w:val="en-US" w:eastAsia="zh-CN"/>
        </w:rPr>
        <w:t>1</w:t>
      </w:r>
      <w:r>
        <w:rPr>
          <w:rFonts w:hint="default" w:ascii="Times New Roman" w:hAnsi="Times New Roman" w:cs="Times New Roman"/>
          <w:bCs/>
          <w:color w:val="auto"/>
          <w:sz w:val="21"/>
          <w:szCs w:val="21"/>
          <w:lang w:eastAsia="zh-CN"/>
        </w:rPr>
        <w:t>）</w:t>
      </w:r>
      <w:r>
        <w:rPr>
          <w:rFonts w:hint="eastAsia" w:cs="宋体"/>
          <w:bCs/>
          <w:color w:val="auto"/>
          <w:sz w:val="21"/>
          <w:szCs w:val="21"/>
        </w:rPr>
        <w:t>本项目采用</w:t>
      </w:r>
      <w:r>
        <w:rPr>
          <w:rFonts w:hint="eastAsia"/>
          <w:color w:val="auto"/>
          <w:sz w:val="21"/>
          <w:szCs w:val="21"/>
          <w:u w:val="single"/>
        </w:rPr>
        <w:t xml:space="preserve">一般程序验收方式 </w:t>
      </w:r>
      <w:r>
        <w:rPr>
          <w:rFonts w:hint="eastAsia"/>
          <w:b/>
          <w:bCs/>
          <w:i/>
          <w:iCs/>
          <w:color w:val="auto"/>
          <w:sz w:val="21"/>
          <w:szCs w:val="21"/>
        </w:rPr>
        <w:t>（一般程序验收/简易程序验收）</w:t>
      </w:r>
      <w:r>
        <w:rPr>
          <w:rFonts w:hint="eastAsia"/>
          <w:color w:val="auto"/>
          <w:sz w:val="21"/>
          <w:szCs w:val="21"/>
        </w:rPr>
        <w:t>，采取</w:t>
      </w:r>
      <w:r>
        <w:rPr>
          <w:rFonts w:hint="eastAsia"/>
          <w:color w:val="auto"/>
          <w:sz w:val="21"/>
          <w:szCs w:val="21"/>
          <w:u w:val="single"/>
        </w:rPr>
        <w:t>一次性验收方法</w:t>
      </w:r>
      <w:r>
        <w:rPr>
          <w:rFonts w:hint="eastAsia" w:cs="宋体"/>
          <w:bCs/>
          <w:color w:val="auto"/>
          <w:sz w:val="21"/>
          <w:szCs w:val="21"/>
          <w:u w:val="single"/>
        </w:rPr>
        <w:t xml:space="preserve"> </w:t>
      </w:r>
      <w:r>
        <w:rPr>
          <w:rFonts w:hint="eastAsia" w:cs="宋体"/>
          <w:b/>
          <w:i/>
          <w:iCs/>
          <w:color w:val="auto"/>
          <w:sz w:val="21"/>
          <w:szCs w:val="21"/>
        </w:rPr>
        <w:t>（</w:t>
      </w:r>
      <w:r>
        <w:rPr>
          <w:rFonts w:hint="eastAsia"/>
          <w:b/>
          <w:i/>
          <w:iCs/>
          <w:color w:val="auto"/>
          <w:sz w:val="21"/>
          <w:szCs w:val="21"/>
        </w:rPr>
        <w:t>一次性验收/分段验收/分期验收</w:t>
      </w:r>
      <w:r>
        <w:rPr>
          <w:rFonts w:hint="eastAsia" w:cs="宋体"/>
          <w:b/>
          <w:i/>
          <w:iCs/>
          <w:color w:val="auto"/>
          <w:sz w:val="21"/>
          <w:szCs w:val="21"/>
        </w:rPr>
        <w:t>），</w:t>
      </w:r>
      <w:r>
        <w:rPr>
          <w:rFonts w:hint="eastAsia" w:cs="宋体"/>
          <w:b w:val="0"/>
          <w:bCs/>
          <w:i w:val="0"/>
          <w:iCs w:val="0"/>
          <w:color w:val="auto"/>
          <w:sz w:val="21"/>
          <w:szCs w:val="21"/>
          <w:lang w:eastAsia="zh-CN"/>
        </w:rPr>
        <w:t>甲方</w:t>
      </w:r>
      <w:r>
        <w:rPr>
          <w:rFonts w:hint="eastAsia" w:cs="宋体"/>
          <w:b w:val="0"/>
          <w:bCs/>
          <w:i w:val="0"/>
          <w:iCs w:val="0"/>
          <w:color w:val="auto"/>
          <w:sz w:val="21"/>
          <w:szCs w:val="21"/>
          <w:u w:val="single"/>
        </w:rPr>
        <w:t xml:space="preserve"> </w:t>
      </w:r>
      <w:r>
        <w:rPr>
          <w:rFonts w:hint="eastAsia" w:cs="宋体"/>
          <w:bCs/>
          <w:color w:val="auto"/>
          <w:sz w:val="21"/>
          <w:szCs w:val="21"/>
          <w:u w:val="single"/>
        </w:rPr>
        <w:t xml:space="preserve">自行组织验收 </w:t>
      </w:r>
      <w:r>
        <w:rPr>
          <w:rFonts w:hint="eastAsia" w:cs="宋体"/>
          <w:b/>
          <w:i/>
          <w:iCs/>
          <w:color w:val="auto"/>
          <w:sz w:val="21"/>
          <w:szCs w:val="21"/>
        </w:rPr>
        <w:t>（自行组织/委托代理）</w:t>
      </w:r>
      <w:r>
        <w:rPr>
          <w:rFonts w:hint="eastAsia" w:cs="宋体"/>
          <w:bCs/>
          <w:color w:val="auto"/>
          <w:sz w:val="21"/>
          <w:szCs w:val="21"/>
        </w:rPr>
        <w:t>。</w:t>
      </w:r>
    </w:p>
    <w:p>
      <w:pPr>
        <w:pStyle w:val="20"/>
        <w:spacing w:line="360" w:lineRule="auto"/>
        <w:ind w:left="0" w:leftChars="0" w:right="-252" w:firstLine="420" w:firstLineChars="200"/>
        <w:rPr>
          <w:rFonts w:hint="default" w:ascii="仿宋_GB2312"/>
          <w:color w:val="auto"/>
          <w:sz w:val="21"/>
          <w:szCs w:val="21"/>
          <w:lang w:val="en-US" w:eastAsia="zh-CN"/>
        </w:rPr>
      </w:pP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lang w:eastAsia="zh-CN"/>
        </w:rPr>
        <w:t>）</w:t>
      </w:r>
      <w:r>
        <w:rPr>
          <w:rFonts w:hint="eastAsia" w:ascii="仿宋_GB2312"/>
          <w:color w:val="auto"/>
          <w:sz w:val="21"/>
          <w:szCs w:val="21"/>
          <w:lang w:eastAsia="zh-CN"/>
        </w:rPr>
        <w:t>甲方按项目实际情况需邀请第三方参与验收情形</w:t>
      </w:r>
      <w:r>
        <w:rPr>
          <w:rFonts w:hint="eastAsia" w:ascii="仿宋_GB2312"/>
          <w:color w:val="auto"/>
          <w:sz w:val="21"/>
          <w:szCs w:val="21"/>
          <w:lang w:val="en-US" w:eastAsia="zh-CN"/>
        </w:rPr>
        <w:t xml:space="preserve">   </w:t>
      </w:r>
      <w:r>
        <w:rPr>
          <w:rFonts w:hint="eastAsia" w:ascii="仿宋_GB2312" w:eastAsia="宋体" w:cs="Times New Roman"/>
          <w:color w:val="auto"/>
          <w:sz w:val="21"/>
          <w:szCs w:val="21"/>
          <w:lang w:val="en-US" w:eastAsia="zh-CN"/>
        </w:rPr>
        <w:t xml:space="preserve">                </w:t>
      </w:r>
      <w:r>
        <w:rPr>
          <w:rFonts w:hint="eastAsia" w:cs="宋体"/>
          <w:b/>
          <w:i/>
          <w:iCs/>
          <w:color w:val="auto"/>
          <w:sz w:val="21"/>
          <w:szCs w:val="21"/>
        </w:rPr>
        <w:t>（如有）</w:t>
      </w:r>
      <w:r>
        <w:rPr>
          <w:rFonts w:hint="eastAsia" w:ascii="仿宋_GB2312"/>
          <w:color w:val="auto"/>
          <w:sz w:val="21"/>
          <w:szCs w:val="21"/>
          <w:lang w:val="en-US" w:eastAsia="zh-CN"/>
        </w:rPr>
        <w:t xml:space="preserve">  </w:t>
      </w:r>
    </w:p>
    <w:p>
      <w:pPr>
        <w:pStyle w:val="20"/>
        <w:spacing w:line="360" w:lineRule="auto"/>
        <w:ind w:left="0" w:leftChars="0" w:right="-252" w:firstLine="630" w:firstLineChars="300"/>
        <w:rPr>
          <w:rFonts w:cs="宋体"/>
          <w:b/>
          <w:i/>
          <w:iCs/>
          <w:color w:val="auto"/>
          <w:sz w:val="21"/>
          <w:szCs w:val="21"/>
        </w:rPr>
      </w:pPr>
      <w:r>
        <w:rPr>
          <w:rFonts w:hint="default" w:ascii="Times New Roman" w:hAnsi="Times New Roman" w:cs="Times New Roman"/>
          <w:color w:val="auto"/>
          <w:sz w:val="21"/>
          <w:szCs w:val="21"/>
          <w:lang w:val="en-US" w:eastAsia="zh-CN"/>
        </w:rPr>
        <w:t>1）</w:t>
      </w:r>
      <w:r>
        <w:rPr>
          <w:rFonts w:hint="eastAsia" w:ascii="仿宋_GB2312"/>
          <w:color w:val="auto"/>
          <w:sz w:val="21"/>
          <w:szCs w:val="21"/>
        </w:rPr>
        <w:t>本项目属于大型或复杂项目，</w:t>
      </w:r>
      <w:r>
        <w:rPr>
          <w:rFonts w:hint="eastAsia" w:ascii="仿宋_GB2312"/>
          <w:color w:val="auto"/>
          <w:sz w:val="21"/>
          <w:szCs w:val="21"/>
          <w:lang w:eastAsia="zh-CN"/>
        </w:rPr>
        <w:t>甲方</w:t>
      </w:r>
      <w:r>
        <w:rPr>
          <w:rFonts w:hint="eastAsia" w:ascii="仿宋_GB2312"/>
          <w:color w:val="auto"/>
          <w:sz w:val="21"/>
          <w:szCs w:val="21"/>
        </w:rPr>
        <w:t>邀请</w:t>
      </w:r>
      <w:r>
        <w:rPr>
          <w:rFonts w:ascii="仿宋_GB2312"/>
          <w:color w:val="auto"/>
          <w:sz w:val="24"/>
          <w:szCs w:val="24"/>
          <w:u w:val="single"/>
        </w:rPr>
        <w:t xml:space="preserve">  </w:t>
      </w:r>
      <w:r>
        <w:rPr>
          <w:rFonts w:hint="eastAsia" w:ascii="仿宋_GB2312"/>
          <w:b/>
          <w:bCs/>
          <w:i/>
          <w:iCs/>
          <w:color w:val="auto"/>
          <w:sz w:val="21"/>
          <w:szCs w:val="21"/>
          <w:u w:val="single"/>
        </w:rPr>
        <w:t>（检测机构名称）</w:t>
      </w:r>
      <w:r>
        <w:rPr>
          <w:rFonts w:hint="eastAsia" w:ascii="仿宋_GB2312"/>
          <w:b/>
          <w:bCs/>
          <w:i/>
          <w:iCs/>
          <w:color w:val="auto"/>
          <w:sz w:val="21"/>
          <w:szCs w:val="21"/>
          <w:u w:val="single"/>
          <w:lang w:val="en-US" w:eastAsia="zh-CN"/>
        </w:rPr>
        <w:t xml:space="preserve"> </w:t>
      </w:r>
      <w:r>
        <w:rPr>
          <w:rFonts w:hint="eastAsia" w:cs="宋体"/>
          <w:bCs/>
          <w:color w:val="auto"/>
          <w:sz w:val="21"/>
          <w:szCs w:val="21"/>
        </w:rPr>
        <w:t>参与验收</w:t>
      </w:r>
      <w:r>
        <w:rPr>
          <w:rFonts w:hint="eastAsia" w:cs="宋体"/>
          <w:bCs/>
          <w:color w:val="auto"/>
          <w:sz w:val="21"/>
          <w:szCs w:val="21"/>
          <w:lang w:eastAsia="zh-CN"/>
        </w:rPr>
        <w:t>，</w:t>
      </w:r>
      <w:r>
        <w:rPr>
          <w:rFonts w:hint="eastAsia" w:ascii="仿宋_GB2312" w:eastAsia="宋体" w:cs="Times New Roman"/>
          <w:color w:val="auto"/>
          <w:sz w:val="21"/>
          <w:szCs w:val="21"/>
        </w:rPr>
        <w:t>邀请本项目其他供应商</w:t>
      </w:r>
      <w:r>
        <w:rPr>
          <w:rFonts w:hint="eastAsia" w:ascii="仿宋_GB2312" w:eastAsia="宋体" w:cs="Times New Roman"/>
          <w:color w:val="auto"/>
          <w:sz w:val="21"/>
          <w:szCs w:val="21"/>
          <w:u w:val="single"/>
          <w:lang w:val="en-US" w:eastAsia="zh-CN"/>
        </w:rPr>
        <w:t xml:space="preserve">     </w:t>
      </w:r>
      <w:r>
        <w:rPr>
          <w:rFonts w:hint="eastAsia" w:ascii="仿宋_GB2312" w:eastAsia="宋体" w:cs="Times New Roman"/>
          <w:b/>
          <w:bCs/>
          <w:i/>
          <w:iCs/>
          <w:color w:val="auto"/>
          <w:sz w:val="21"/>
          <w:szCs w:val="21"/>
          <w:u w:val="single"/>
          <w:lang w:val="en-US" w:eastAsia="zh-CN"/>
        </w:rPr>
        <w:t>（供应商名称）</w:t>
      </w:r>
      <w:r>
        <w:rPr>
          <w:rFonts w:hint="eastAsia" w:ascii="仿宋_GB2312" w:eastAsia="宋体" w:cs="Times New Roman"/>
          <w:color w:val="auto"/>
          <w:sz w:val="21"/>
          <w:szCs w:val="21"/>
          <w:u w:val="single"/>
          <w:lang w:val="en-US" w:eastAsia="zh-CN"/>
        </w:rPr>
        <w:t xml:space="preserve">   </w:t>
      </w:r>
      <w:r>
        <w:rPr>
          <w:rFonts w:hint="eastAsia" w:ascii="仿宋_GB2312" w:eastAsia="宋体" w:cs="Times New Roman"/>
          <w:color w:val="auto"/>
          <w:sz w:val="21"/>
          <w:szCs w:val="21"/>
          <w:lang w:val="en-US" w:eastAsia="zh-CN"/>
        </w:rPr>
        <w:t xml:space="preserve">参与验收。                        </w:t>
      </w:r>
      <w:r>
        <w:rPr>
          <w:rFonts w:hint="eastAsia" w:cs="宋体"/>
          <w:b/>
          <w:i/>
          <w:iCs/>
          <w:color w:val="auto"/>
          <w:sz w:val="21"/>
          <w:szCs w:val="21"/>
          <w:lang w:val="en-US" w:eastAsia="zh-CN"/>
        </w:rPr>
        <w:t xml:space="preserve">               </w:t>
      </w:r>
    </w:p>
    <w:p>
      <w:pPr>
        <w:pStyle w:val="20"/>
        <w:numPr>
          <w:ilvl w:val="0"/>
          <w:numId w:val="0"/>
        </w:numPr>
        <w:spacing w:line="360" w:lineRule="auto"/>
        <w:ind w:right="-252" w:rightChars="-120" w:firstLine="630" w:firstLineChars="300"/>
        <w:rPr>
          <w:rFonts w:hint="eastAsia" w:ascii="仿宋_GB2312"/>
          <w:b/>
          <w:bCs/>
          <w:i/>
          <w:iCs/>
          <w:color w:val="auto"/>
          <w:sz w:val="21"/>
          <w:szCs w:val="21"/>
        </w:rPr>
      </w:pPr>
      <w:r>
        <w:rPr>
          <w:rFonts w:hint="default" w:ascii="Times New Roman" w:hAnsi="Times New Roman" w:cs="Times New Roman"/>
          <w:bCs/>
          <w:color w:val="auto"/>
          <w:sz w:val="21"/>
          <w:szCs w:val="21"/>
          <w:lang w:val="en-US" w:eastAsia="zh-CN"/>
        </w:rPr>
        <w:t>2）</w:t>
      </w:r>
      <w:r>
        <w:rPr>
          <w:rFonts w:hint="eastAsia" w:cs="宋体"/>
          <w:bCs/>
          <w:color w:val="auto"/>
          <w:sz w:val="21"/>
          <w:szCs w:val="21"/>
        </w:rPr>
        <w:t>本项目属于采购人、使用人分离项目，</w:t>
      </w:r>
      <w:r>
        <w:rPr>
          <w:rFonts w:hint="eastAsia" w:ascii="仿宋_GB2312"/>
          <w:color w:val="auto"/>
          <w:sz w:val="21"/>
          <w:szCs w:val="21"/>
          <w:lang w:eastAsia="zh-CN"/>
        </w:rPr>
        <w:t>甲方</w:t>
      </w:r>
      <w:r>
        <w:rPr>
          <w:rFonts w:hint="eastAsia" w:ascii="仿宋_GB2312"/>
          <w:color w:val="auto"/>
          <w:sz w:val="21"/>
          <w:szCs w:val="21"/>
        </w:rPr>
        <w:t>邀请</w:t>
      </w:r>
      <w:r>
        <w:rPr>
          <w:rFonts w:ascii="仿宋_GB2312"/>
          <w:i/>
          <w:iCs/>
          <w:color w:val="auto"/>
          <w:sz w:val="21"/>
          <w:szCs w:val="21"/>
          <w:u w:val="single"/>
        </w:rPr>
        <w:t xml:space="preserve"> </w:t>
      </w:r>
      <w:r>
        <w:rPr>
          <w:rFonts w:hint="eastAsia" w:ascii="仿宋_GB2312"/>
          <w:i/>
          <w:iCs/>
          <w:color w:val="auto"/>
          <w:sz w:val="21"/>
          <w:szCs w:val="21"/>
          <w:u w:val="single"/>
          <w:lang w:val="en-US" w:eastAsia="zh-CN"/>
        </w:rPr>
        <w:t xml:space="preserve"> </w:t>
      </w:r>
      <w:r>
        <w:rPr>
          <w:rFonts w:hint="eastAsia" w:ascii="仿宋_GB2312"/>
          <w:b/>
          <w:bCs/>
          <w:i/>
          <w:iCs/>
          <w:color w:val="auto"/>
          <w:sz w:val="21"/>
          <w:szCs w:val="21"/>
          <w:u w:val="single"/>
        </w:rPr>
        <w:t>（使用单位</w:t>
      </w:r>
      <w:r>
        <w:rPr>
          <w:rFonts w:hint="eastAsia" w:ascii="仿宋_GB2312"/>
          <w:b/>
          <w:bCs/>
          <w:i/>
          <w:iCs/>
          <w:color w:val="auto"/>
          <w:sz w:val="21"/>
          <w:szCs w:val="21"/>
          <w:u w:val="single"/>
          <w:lang w:eastAsia="zh-CN"/>
        </w:rPr>
        <w:t>名称</w:t>
      </w:r>
      <w:r>
        <w:rPr>
          <w:rFonts w:hint="eastAsia" w:ascii="仿宋_GB2312"/>
          <w:b/>
          <w:bCs/>
          <w:i/>
          <w:iCs/>
          <w:color w:val="auto"/>
          <w:sz w:val="21"/>
          <w:szCs w:val="21"/>
          <w:u w:val="single"/>
        </w:rPr>
        <w:t>）</w:t>
      </w:r>
      <w:r>
        <w:rPr>
          <w:rFonts w:hint="eastAsia" w:ascii="仿宋_GB2312"/>
          <w:b/>
          <w:bCs/>
          <w:i/>
          <w:iCs/>
          <w:color w:val="auto"/>
          <w:sz w:val="21"/>
          <w:szCs w:val="21"/>
          <w:u w:val="single"/>
          <w:lang w:val="en-US" w:eastAsia="zh-CN"/>
        </w:rPr>
        <w:t xml:space="preserve"> </w:t>
      </w:r>
      <w:r>
        <w:rPr>
          <w:rFonts w:hint="eastAsia" w:ascii="仿宋_GB2312"/>
          <w:i/>
          <w:iCs/>
          <w:color w:val="auto"/>
          <w:sz w:val="21"/>
          <w:szCs w:val="21"/>
          <w:u w:val="single"/>
        </w:rPr>
        <w:t xml:space="preserve"> </w:t>
      </w:r>
      <w:r>
        <w:rPr>
          <w:rFonts w:hint="eastAsia" w:ascii="仿宋_GB2312"/>
          <w:color w:val="auto"/>
          <w:sz w:val="21"/>
          <w:szCs w:val="21"/>
        </w:rPr>
        <w:t>参与验收</w:t>
      </w:r>
      <w:r>
        <w:rPr>
          <w:rFonts w:hint="eastAsia" w:ascii="仿宋_GB2312"/>
          <w:color w:val="auto"/>
          <w:sz w:val="21"/>
          <w:szCs w:val="21"/>
          <w:lang w:eastAsia="zh-CN"/>
        </w:rPr>
        <w:t>。</w:t>
      </w:r>
      <w:r>
        <w:rPr>
          <w:rFonts w:hint="eastAsia" w:ascii="仿宋_GB2312"/>
          <w:color w:val="auto"/>
          <w:sz w:val="21"/>
          <w:szCs w:val="21"/>
          <w:lang w:val="en-US" w:eastAsia="zh-CN"/>
        </w:rPr>
        <w:t xml:space="preserve">                                                                </w:t>
      </w:r>
    </w:p>
    <w:p>
      <w:pPr>
        <w:pStyle w:val="20"/>
        <w:numPr>
          <w:ilvl w:val="0"/>
          <w:numId w:val="0"/>
        </w:numPr>
        <w:spacing w:line="360" w:lineRule="auto"/>
        <w:ind w:left="-10" w:leftChars="0" w:right="-252" w:rightChars="-120" w:firstLine="636" w:firstLineChars="303"/>
        <w:rPr>
          <w:rFonts w:hint="eastAsia" w:ascii="仿宋_GB2312"/>
          <w:b/>
          <w:bCs/>
          <w:i/>
          <w:iCs/>
          <w:color w:val="auto"/>
          <w:sz w:val="21"/>
          <w:szCs w:val="21"/>
        </w:rPr>
      </w:pPr>
      <w:r>
        <w:rPr>
          <w:rFonts w:hint="default" w:ascii="Times New Roman" w:hAnsi="Times New Roman" w:cs="Times New Roman"/>
          <w:color w:val="auto"/>
          <w:sz w:val="21"/>
          <w:szCs w:val="21"/>
          <w:lang w:val="en-US" w:eastAsia="zh-CN"/>
        </w:rPr>
        <w:t>3）</w:t>
      </w:r>
      <w:r>
        <w:rPr>
          <w:rFonts w:hint="eastAsia" w:ascii="仿宋_GB2312"/>
          <w:color w:val="auto"/>
          <w:sz w:val="21"/>
          <w:szCs w:val="21"/>
        </w:rPr>
        <w:t>本项目属于向社会公众提供的公共服务项目，</w:t>
      </w:r>
      <w:r>
        <w:rPr>
          <w:rFonts w:hint="eastAsia" w:ascii="仿宋_GB2312"/>
          <w:color w:val="auto"/>
          <w:sz w:val="21"/>
          <w:szCs w:val="21"/>
          <w:lang w:eastAsia="zh-CN"/>
        </w:rPr>
        <w:t>甲方</w:t>
      </w:r>
      <w:r>
        <w:rPr>
          <w:rFonts w:hint="eastAsia" w:ascii="仿宋_GB2312"/>
          <w:color w:val="auto"/>
          <w:sz w:val="21"/>
          <w:szCs w:val="21"/>
        </w:rPr>
        <w:t>邀请</w:t>
      </w:r>
      <w:r>
        <w:rPr>
          <w:rFonts w:ascii="仿宋_GB2312"/>
          <w:color w:val="auto"/>
          <w:sz w:val="24"/>
          <w:szCs w:val="24"/>
          <w:u w:val="single"/>
        </w:rPr>
        <w:t xml:space="preserve">  </w:t>
      </w:r>
      <w:r>
        <w:rPr>
          <w:rFonts w:hint="eastAsia" w:ascii="仿宋_GB2312"/>
          <w:b/>
          <w:bCs/>
          <w:i/>
          <w:iCs/>
          <w:color w:val="auto"/>
          <w:sz w:val="21"/>
          <w:szCs w:val="21"/>
          <w:u w:val="single"/>
        </w:rPr>
        <w:t>（服务对象）</w:t>
      </w:r>
      <w:r>
        <w:rPr>
          <w:rFonts w:hint="eastAsia" w:ascii="仿宋_GB2312"/>
          <w:b/>
          <w:bCs/>
          <w:i/>
          <w:iCs/>
          <w:color w:val="auto"/>
          <w:sz w:val="21"/>
          <w:szCs w:val="21"/>
          <w:u w:val="single"/>
          <w:lang w:val="en-US" w:eastAsia="zh-CN"/>
        </w:rPr>
        <w:t xml:space="preserve"> </w:t>
      </w:r>
      <w:r>
        <w:rPr>
          <w:rFonts w:hint="eastAsia" w:cs="宋体"/>
          <w:bCs/>
          <w:color w:val="auto"/>
          <w:sz w:val="21"/>
          <w:szCs w:val="21"/>
        </w:rPr>
        <w:t>参与验收。</w:t>
      </w:r>
      <w:r>
        <w:rPr>
          <w:rFonts w:hint="eastAsia" w:cs="宋体"/>
          <w:bCs/>
          <w:color w:val="auto"/>
          <w:sz w:val="21"/>
          <w:szCs w:val="21"/>
          <w:lang w:val="en-US" w:eastAsia="zh-CN"/>
        </w:rPr>
        <w:t xml:space="preserve">                                                   </w:t>
      </w:r>
      <w:r>
        <w:rPr>
          <w:rFonts w:hint="eastAsia" w:cs="宋体"/>
          <w:b/>
          <w:i/>
          <w:iCs/>
          <w:color w:val="auto"/>
          <w:sz w:val="21"/>
          <w:szCs w:val="21"/>
        </w:rPr>
        <w:t xml:space="preserve"> </w:t>
      </w:r>
      <w:r>
        <w:rPr>
          <w:rFonts w:hint="eastAsia" w:cs="宋体"/>
          <w:b/>
          <w:i/>
          <w:iCs/>
          <w:color w:val="auto"/>
          <w:sz w:val="21"/>
          <w:szCs w:val="21"/>
          <w:lang w:val="en-US" w:eastAsia="zh-CN"/>
        </w:rPr>
        <w:t xml:space="preserve">             </w:t>
      </w:r>
    </w:p>
    <w:p>
      <w:pPr>
        <w:pStyle w:val="20"/>
        <w:numPr>
          <w:ilvl w:val="0"/>
          <w:numId w:val="13"/>
        </w:numPr>
        <w:spacing w:line="360" w:lineRule="auto"/>
        <w:ind w:left="0" w:right="-252" w:firstLine="420"/>
        <w:rPr>
          <w:rFonts w:cs="宋体"/>
          <w:bCs/>
          <w:color w:val="auto"/>
          <w:sz w:val="21"/>
          <w:szCs w:val="21"/>
        </w:rPr>
      </w:pPr>
      <w:r>
        <w:rPr>
          <w:rFonts w:hint="eastAsia" w:cs="宋体"/>
          <w:bCs/>
          <w:color w:val="auto"/>
          <w:sz w:val="21"/>
          <w:szCs w:val="21"/>
        </w:rPr>
        <w:t>验收小组</w:t>
      </w:r>
    </w:p>
    <w:p>
      <w:pPr>
        <w:pStyle w:val="20"/>
        <w:spacing w:line="360" w:lineRule="auto"/>
        <w:ind w:left="0" w:leftChars="0" w:right="-252" w:firstLine="420" w:firstLineChars="200"/>
        <w:rPr>
          <w:rFonts w:hint="eastAsia" w:cs="宋体"/>
          <w:bCs/>
          <w:color w:val="auto"/>
          <w:sz w:val="21"/>
          <w:szCs w:val="21"/>
        </w:rPr>
      </w:pPr>
      <w:r>
        <w:rPr>
          <w:rFonts w:hint="eastAsia" w:cs="宋体"/>
          <w:bCs/>
          <w:color w:val="auto"/>
          <w:sz w:val="21"/>
          <w:szCs w:val="21"/>
        </w:rPr>
        <w:t>验收小组由</w:t>
      </w:r>
      <w:r>
        <w:rPr>
          <w:rFonts w:hint="eastAsia" w:cs="宋体"/>
          <w:bCs/>
          <w:color w:val="auto"/>
          <w:sz w:val="21"/>
          <w:szCs w:val="21"/>
          <w:u w:val="single"/>
          <w:lang w:val="en-US" w:eastAsia="zh-CN"/>
        </w:rPr>
        <w:t xml:space="preserve"> </w:t>
      </w:r>
      <w:r>
        <w:rPr>
          <w:rFonts w:hint="default" w:ascii="Arial" w:hAnsi="Arial" w:cs="Arial"/>
          <w:bCs/>
          <w:color w:val="auto"/>
          <w:sz w:val="21"/>
          <w:szCs w:val="21"/>
          <w:u w:val="single"/>
          <w:lang w:val="en-US" w:eastAsia="zh-CN"/>
        </w:rPr>
        <w:t>5</w:t>
      </w:r>
      <w:r>
        <w:rPr>
          <w:rFonts w:hint="eastAsia" w:ascii="Arial" w:hAnsi="Arial" w:cs="Arial"/>
          <w:bCs/>
          <w:color w:val="auto"/>
          <w:sz w:val="21"/>
          <w:szCs w:val="21"/>
          <w:u w:val="single"/>
          <w:lang w:val="en-US" w:eastAsia="zh-CN"/>
        </w:rPr>
        <w:t xml:space="preserve"> </w:t>
      </w:r>
      <w:r>
        <w:rPr>
          <w:rFonts w:hint="eastAsia" w:cs="宋体"/>
          <w:bCs/>
          <w:color w:val="auto"/>
          <w:sz w:val="21"/>
          <w:szCs w:val="21"/>
        </w:rPr>
        <w:t>人</w:t>
      </w:r>
      <w:r>
        <w:rPr>
          <w:rFonts w:hint="eastAsia" w:cs="宋体"/>
          <w:b/>
          <w:i/>
          <w:iCs/>
          <w:color w:val="auto"/>
          <w:sz w:val="21"/>
          <w:szCs w:val="21"/>
        </w:rPr>
        <w:t>（</w:t>
      </w:r>
      <w:r>
        <w:rPr>
          <w:rFonts w:cs="宋体"/>
          <w:b/>
          <w:i/>
          <w:iCs/>
          <w:color w:val="auto"/>
          <w:sz w:val="21"/>
          <w:szCs w:val="21"/>
        </w:rPr>
        <w:t>5</w:t>
      </w:r>
      <w:r>
        <w:rPr>
          <w:rFonts w:hint="eastAsia" w:cs="宋体"/>
          <w:b/>
          <w:i/>
          <w:iCs/>
          <w:color w:val="auto"/>
          <w:sz w:val="21"/>
          <w:szCs w:val="21"/>
        </w:rPr>
        <w:t>人以上单数）</w:t>
      </w:r>
      <w:r>
        <w:rPr>
          <w:rFonts w:hint="eastAsia" w:cs="宋体"/>
          <w:bCs/>
          <w:color w:val="auto"/>
          <w:sz w:val="21"/>
          <w:szCs w:val="21"/>
        </w:rPr>
        <w:t>熟悉项目需求与标的人员组成，专业技术人员有</w:t>
      </w:r>
      <w:r>
        <w:rPr>
          <w:rFonts w:hint="eastAsia" w:cs="宋体"/>
          <w:bCs/>
          <w:color w:val="auto"/>
          <w:sz w:val="21"/>
          <w:szCs w:val="21"/>
          <w:u w:val="single"/>
          <w:lang w:val="en-US" w:eastAsia="zh-CN"/>
        </w:rPr>
        <w:t xml:space="preserve"> </w:t>
      </w:r>
      <w:r>
        <w:rPr>
          <w:rFonts w:hint="default" w:ascii="Arial" w:hAnsi="Arial" w:cs="Arial"/>
          <w:bCs/>
          <w:color w:val="auto"/>
          <w:sz w:val="21"/>
          <w:szCs w:val="21"/>
          <w:u w:val="single"/>
          <w:lang w:val="en-US" w:eastAsia="zh-CN"/>
        </w:rPr>
        <w:t xml:space="preserve">3 </w:t>
      </w:r>
      <w:r>
        <w:rPr>
          <w:rFonts w:hint="eastAsia" w:cs="宋体"/>
          <w:bCs/>
          <w:color w:val="auto"/>
          <w:sz w:val="21"/>
          <w:szCs w:val="21"/>
        </w:rPr>
        <w:t>人，实际使用人员</w:t>
      </w:r>
      <w:r>
        <w:rPr>
          <w:rFonts w:cs="宋体"/>
          <w:bCs/>
          <w:color w:val="auto"/>
          <w:sz w:val="21"/>
          <w:szCs w:val="21"/>
          <w:u w:val="single"/>
        </w:rPr>
        <w:t xml:space="preserve">  </w:t>
      </w:r>
      <w:r>
        <w:rPr>
          <w:rFonts w:hint="eastAsia" w:cs="宋体"/>
          <w:bCs/>
          <w:color w:val="auto"/>
          <w:sz w:val="21"/>
          <w:szCs w:val="21"/>
          <w:u w:val="single"/>
          <w:lang w:val="en-US" w:eastAsia="zh-CN"/>
        </w:rPr>
        <w:t xml:space="preserve">  </w:t>
      </w:r>
      <w:r>
        <w:rPr>
          <w:rFonts w:cs="宋体"/>
          <w:bCs/>
          <w:color w:val="auto"/>
          <w:sz w:val="21"/>
          <w:szCs w:val="21"/>
          <w:u w:val="single"/>
        </w:rPr>
        <w:t xml:space="preserve"> </w:t>
      </w:r>
      <w:r>
        <w:rPr>
          <w:rFonts w:hint="eastAsia" w:cs="宋体"/>
          <w:bCs/>
          <w:color w:val="auto"/>
          <w:sz w:val="21"/>
          <w:szCs w:val="21"/>
        </w:rPr>
        <w:t>人</w:t>
      </w:r>
      <w:r>
        <w:rPr>
          <w:rFonts w:hint="eastAsia" w:cs="宋体"/>
          <w:b/>
          <w:i/>
          <w:iCs/>
          <w:color w:val="auto"/>
          <w:sz w:val="21"/>
          <w:szCs w:val="21"/>
        </w:rPr>
        <w:t>（如有），</w:t>
      </w:r>
      <w:r>
        <w:rPr>
          <w:rFonts w:hint="eastAsia" w:cs="宋体"/>
          <w:bCs/>
          <w:color w:val="auto"/>
          <w:sz w:val="21"/>
          <w:szCs w:val="21"/>
        </w:rPr>
        <w:t>其他验收人员</w:t>
      </w:r>
      <w:r>
        <w:rPr>
          <w:rFonts w:hint="eastAsia" w:cs="宋体"/>
          <w:bCs/>
          <w:color w:val="auto"/>
          <w:sz w:val="21"/>
          <w:szCs w:val="21"/>
          <w:u w:val="single"/>
        </w:rPr>
        <w:t xml:space="preserve"> </w:t>
      </w:r>
      <w:r>
        <w:rPr>
          <w:rFonts w:hint="eastAsia" w:cs="宋体"/>
          <w:bCs/>
          <w:color w:val="auto"/>
          <w:sz w:val="21"/>
          <w:szCs w:val="21"/>
          <w:u w:val="single"/>
          <w:lang w:val="en-US" w:eastAsia="zh-CN"/>
        </w:rPr>
        <w:t xml:space="preserve"> </w:t>
      </w:r>
      <w:r>
        <w:rPr>
          <w:rFonts w:cs="宋体"/>
          <w:bCs/>
          <w:color w:val="auto"/>
          <w:sz w:val="21"/>
          <w:szCs w:val="21"/>
          <w:u w:val="single"/>
        </w:rPr>
        <w:t xml:space="preserve"> </w:t>
      </w:r>
      <w:r>
        <w:rPr>
          <w:rFonts w:hint="eastAsia" w:cs="宋体"/>
          <w:bCs/>
          <w:color w:val="auto"/>
          <w:sz w:val="21"/>
          <w:szCs w:val="21"/>
        </w:rPr>
        <w:t>人</w:t>
      </w:r>
      <w:r>
        <w:rPr>
          <w:rFonts w:hint="eastAsia" w:cs="宋体"/>
          <w:b/>
          <w:i/>
          <w:iCs/>
          <w:color w:val="auto"/>
          <w:sz w:val="21"/>
          <w:szCs w:val="21"/>
        </w:rPr>
        <w:t>（如有）</w:t>
      </w:r>
      <w:r>
        <w:rPr>
          <w:rFonts w:hint="eastAsia" w:cs="宋体"/>
          <w:b w:val="0"/>
          <w:bCs/>
          <w:color w:val="auto"/>
          <w:sz w:val="21"/>
          <w:szCs w:val="21"/>
        </w:rPr>
        <w:t>。</w:t>
      </w:r>
    </w:p>
    <w:p>
      <w:pPr>
        <w:pStyle w:val="20"/>
        <w:numPr>
          <w:ilvl w:val="0"/>
          <w:numId w:val="13"/>
        </w:numPr>
        <w:spacing w:line="360" w:lineRule="auto"/>
        <w:ind w:left="0" w:leftChars="0" w:right="-252" w:firstLine="420" w:firstLineChars="0"/>
        <w:rPr>
          <w:rFonts w:hint="eastAsia" w:cs="宋体"/>
          <w:bCs/>
          <w:color w:val="auto"/>
          <w:sz w:val="21"/>
          <w:szCs w:val="21"/>
        </w:rPr>
      </w:pPr>
      <w:r>
        <w:rPr>
          <w:rFonts w:hint="eastAsia" w:cs="宋体"/>
          <w:bCs/>
          <w:color w:val="auto"/>
          <w:sz w:val="21"/>
          <w:szCs w:val="21"/>
        </w:rPr>
        <w:t>组织验收</w:t>
      </w:r>
    </w:p>
    <w:p>
      <w:pPr>
        <w:pStyle w:val="20"/>
        <w:spacing w:line="360" w:lineRule="auto"/>
        <w:ind w:left="0" w:right="-252" w:firstLine="420" w:firstLineChars="200"/>
        <w:rPr>
          <w:rFonts w:hint="eastAsia" w:cs="宋体"/>
          <w:bCs/>
          <w:color w:val="auto"/>
          <w:sz w:val="21"/>
          <w:szCs w:val="21"/>
          <w:lang w:eastAsia="zh-CN"/>
        </w:rPr>
      </w:pPr>
      <w:r>
        <w:rPr>
          <w:rFonts w:hint="eastAsia" w:cs="宋体"/>
          <w:bCs/>
          <w:color w:val="auto"/>
          <w:sz w:val="21"/>
          <w:szCs w:val="21"/>
          <w:lang w:eastAsia="zh-CN"/>
        </w:rPr>
        <w:t>乙方</w:t>
      </w:r>
      <w:r>
        <w:rPr>
          <w:rFonts w:hint="eastAsia" w:cs="宋体"/>
          <w:bCs/>
          <w:color w:val="auto"/>
          <w:sz w:val="21"/>
          <w:szCs w:val="21"/>
        </w:rPr>
        <w:t>提供项目验收相关技术资料、合格证明以及验收所必须具备的其他材料，并协助</w:t>
      </w:r>
      <w:r>
        <w:rPr>
          <w:rFonts w:hint="eastAsia" w:cs="宋体"/>
          <w:bCs/>
          <w:color w:val="auto"/>
          <w:sz w:val="21"/>
          <w:szCs w:val="21"/>
          <w:lang w:eastAsia="zh-CN"/>
        </w:rPr>
        <w:t>甲方</w:t>
      </w:r>
      <w:r>
        <w:rPr>
          <w:rFonts w:hint="eastAsia" w:cs="宋体"/>
          <w:bCs/>
          <w:color w:val="auto"/>
          <w:sz w:val="21"/>
          <w:szCs w:val="21"/>
        </w:rPr>
        <w:t>开展验收。</w:t>
      </w:r>
      <w:r>
        <w:rPr>
          <w:rFonts w:hint="eastAsia" w:cs="宋体"/>
          <w:bCs/>
          <w:color w:val="auto"/>
          <w:sz w:val="21"/>
          <w:szCs w:val="21"/>
          <w:lang w:eastAsia="zh-CN"/>
        </w:rPr>
        <w:t>甲方</w:t>
      </w:r>
      <w:r>
        <w:rPr>
          <w:rFonts w:hint="eastAsia" w:cs="宋体"/>
          <w:bCs/>
          <w:color w:val="auto"/>
          <w:sz w:val="21"/>
          <w:szCs w:val="21"/>
        </w:rPr>
        <w:t>准备采购文件、</w:t>
      </w:r>
      <w:r>
        <w:rPr>
          <w:rFonts w:hint="eastAsia" w:cs="宋体"/>
          <w:bCs/>
          <w:color w:val="auto"/>
          <w:sz w:val="21"/>
          <w:szCs w:val="21"/>
          <w:lang w:eastAsia="zh-CN"/>
        </w:rPr>
        <w:t>响应文件、采购合同、</w:t>
      </w:r>
      <w:r>
        <w:rPr>
          <w:rFonts w:hint="eastAsia" w:cs="宋体"/>
          <w:bCs/>
          <w:color w:val="auto"/>
          <w:sz w:val="21"/>
          <w:szCs w:val="21"/>
        </w:rPr>
        <w:t>封存样品</w:t>
      </w:r>
      <w:r>
        <w:rPr>
          <w:rFonts w:hint="eastAsia" w:cs="宋体"/>
          <w:b/>
          <w:bCs w:val="0"/>
          <w:i/>
          <w:iCs/>
          <w:color w:val="auto"/>
          <w:sz w:val="21"/>
          <w:szCs w:val="21"/>
          <w:u w:val="none"/>
          <w:lang w:eastAsia="zh-CN"/>
        </w:rPr>
        <w:t>（如有）</w:t>
      </w:r>
      <w:r>
        <w:rPr>
          <w:rFonts w:hint="eastAsia" w:cs="宋体"/>
          <w:bCs/>
          <w:color w:val="auto"/>
          <w:sz w:val="21"/>
          <w:szCs w:val="21"/>
        </w:rPr>
        <w:t>，</w:t>
      </w:r>
      <w:r>
        <w:rPr>
          <w:rFonts w:hint="eastAsia" w:cs="宋体"/>
          <w:bCs/>
          <w:color w:val="auto"/>
          <w:sz w:val="21"/>
          <w:szCs w:val="21"/>
          <w:lang w:eastAsia="zh-CN"/>
        </w:rPr>
        <w:t>根据验收方案</w:t>
      </w:r>
      <w:r>
        <w:rPr>
          <w:rFonts w:hint="eastAsia" w:cs="宋体"/>
          <w:bCs/>
          <w:color w:val="auto"/>
          <w:sz w:val="21"/>
          <w:szCs w:val="21"/>
        </w:rPr>
        <w:t>组织现场查验。</w:t>
      </w:r>
      <w:r>
        <w:rPr>
          <w:rFonts w:hint="eastAsia" w:cs="宋体"/>
          <w:bCs/>
          <w:color w:val="auto"/>
          <w:sz w:val="21"/>
          <w:szCs w:val="21"/>
          <w:lang w:eastAsia="zh-CN"/>
        </w:rPr>
        <w:t>验收小组根据验收资料、验收内容及标准开展验收工作。</w:t>
      </w:r>
    </w:p>
    <w:p>
      <w:pPr>
        <w:pStyle w:val="20"/>
        <w:spacing w:line="360" w:lineRule="auto"/>
        <w:ind w:left="0" w:right="-252" w:firstLine="420" w:firstLineChars="200"/>
        <w:rPr>
          <w:rFonts w:hint="eastAsia" w:ascii="Times New Roman" w:hAnsi="Times New Roman" w:cs="宋体"/>
          <w:b/>
          <w:i/>
          <w:iCs/>
          <w:color w:val="auto"/>
          <w:sz w:val="21"/>
          <w:szCs w:val="21"/>
        </w:rPr>
      </w:pPr>
      <w:r>
        <w:rPr>
          <w:rFonts w:hint="eastAsia" w:cs="宋体"/>
          <w:bCs/>
          <w:color w:val="auto"/>
          <w:sz w:val="21"/>
          <w:szCs w:val="21"/>
        </w:rPr>
        <w:t>验收内容：</w:t>
      </w:r>
      <w:r>
        <w:rPr>
          <w:rFonts w:hint="eastAsia" w:ascii="Times New Roman" w:hAnsi="Times New Roman" w:cs="宋体"/>
          <w:bCs/>
          <w:color w:val="auto"/>
          <w:sz w:val="21"/>
          <w:szCs w:val="21"/>
        </w:rPr>
        <w:t>(1)有关技术方面的验收内容：乙方的服务人员配置情况、提供的</w:t>
      </w:r>
      <w:r>
        <w:rPr>
          <w:rFonts w:hint="eastAsia" w:ascii="Times New Roman" w:hAnsi="Times New Roman" w:cs="宋体"/>
          <w:bCs/>
          <w:color w:val="auto"/>
          <w:sz w:val="21"/>
          <w:szCs w:val="21"/>
          <w:lang w:eastAsia="zh-CN"/>
        </w:rPr>
        <w:t>物业管理服务</w:t>
      </w:r>
      <w:r>
        <w:rPr>
          <w:rFonts w:hint="eastAsia" w:ascii="Times New Roman" w:hAnsi="Times New Roman" w:cs="宋体"/>
          <w:bCs/>
          <w:color w:val="auto"/>
          <w:sz w:val="21"/>
          <w:szCs w:val="21"/>
        </w:rPr>
        <w:t>事项及质量（包括卫生保洁服务、秩序维护服务</w:t>
      </w:r>
      <w:r>
        <w:rPr>
          <w:rFonts w:hint="eastAsia" w:ascii="Times New Roman" w:hAnsi="Times New Roman" w:cs="宋体"/>
          <w:bCs/>
          <w:color w:val="auto"/>
          <w:sz w:val="21"/>
          <w:szCs w:val="21"/>
          <w:lang w:eastAsia="zh-CN"/>
        </w:rPr>
        <w:t>、</w:t>
      </w:r>
      <w:r>
        <w:rPr>
          <w:rFonts w:hint="eastAsia" w:ascii="Times New Roman" w:hAnsi="Times New Roman" w:cs="宋体"/>
          <w:bCs/>
          <w:color w:val="auto"/>
          <w:sz w:val="21"/>
          <w:szCs w:val="21"/>
          <w:lang w:val="en-US" w:eastAsia="zh-CN"/>
        </w:rPr>
        <w:t>会务服务</w:t>
      </w:r>
      <w:r>
        <w:rPr>
          <w:rFonts w:hint="eastAsia" w:ascii="Times New Roman" w:hAnsi="Times New Roman" w:cs="宋体"/>
          <w:bCs/>
          <w:color w:val="auto"/>
          <w:sz w:val="21"/>
          <w:szCs w:val="21"/>
        </w:rPr>
        <w:t>等），详细内容见招标文件第三部分招标内容及要求“一、采购内容及标准”。(2)有关商务方面的验收内容：包括保险情况、付款条件满足情况，具体内容详见</w:t>
      </w:r>
      <w:r>
        <w:rPr>
          <w:rFonts w:hint="eastAsia" w:ascii="Times New Roman" w:hAnsi="Times New Roman" w:cs="宋体"/>
          <w:bCs/>
          <w:color w:val="auto"/>
          <w:sz w:val="21"/>
          <w:szCs w:val="21"/>
          <w:lang w:val="en-US" w:eastAsia="zh-CN"/>
        </w:rPr>
        <w:t>采购</w:t>
      </w:r>
      <w:r>
        <w:rPr>
          <w:rFonts w:hint="eastAsia" w:ascii="Times New Roman" w:hAnsi="Times New Roman" w:cs="宋体"/>
          <w:bCs/>
          <w:color w:val="auto"/>
          <w:sz w:val="21"/>
          <w:szCs w:val="21"/>
        </w:rPr>
        <w:t>文件第三部分</w:t>
      </w:r>
      <w:r>
        <w:rPr>
          <w:rFonts w:hint="eastAsia" w:ascii="Times New Roman" w:hAnsi="Times New Roman" w:cs="宋体"/>
          <w:bCs/>
          <w:color w:val="auto"/>
          <w:sz w:val="21"/>
          <w:szCs w:val="21"/>
          <w:lang w:val="en-US" w:eastAsia="zh-CN"/>
        </w:rPr>
        <w:t>采购</w:t>
      </w:r>
      <w:r>
        <w:rPr>
          <w:rFonts w:hint="eastAsia" w:ascii="Times New Roman" w:hAnsi="Times New Roman" w:cs="宋体"/>
          <w:bCs/>
          <w:color w:val="auto"/>
          <w:sz w:val="21"/>
          <w:szCs w:val="21"/>
        </w:rPr>
        <w:t>内容及要求“二、其他说明”和“三、商务要求”</w:t>
      </w:r>
    </w:p>
    <w:p>
      <w:pPr>
        <w:pStyle w:val="20"/>
        <w:spacing w:line="360" w:lineRule="auto"/>
        <w:ind w:left="0" w:right="-252" w:firstLine="420" w:firstLineChars="200"/>
        <w:rPr>
          <w:rFonts w:cs="宋体"/>
          <w:bCs/>
          <w:color w:val="auto"/>
          <w:sz w:val="21"/>
          <w:szCs w:val="21"/>
        </w:rPr>
      </w:pPr>
      <w:r>
        <w:rPr>
          <w:rFonts w:hint="eastAsia" w:cs="宋体"/>
          <w:bCs/>
          <w:color w:val="auto"/>
          <w:sz w:val="21"/>
          <w:szCs w:val="21"/>
        </w:rPr>
        <w:t>验收标准：</w:t>
      </w:r>
      <w:r>
        <w:rPr>
          <w:rFonts w:hint="eastAsia" w:cs="宋体"/>
          <w:bCs/>
          <w:color w:val="auto"/>
          <w:sz w:val="21"/>
          <w:szCs w:val="21"/>
          <w:lang w:eastAsia="zh-CN"/>
        </w:rPr>
        <w:t>甲方</w:t>
      </w:r>
      <w:r>
        <w:rPr>
          <w:rFonts w:hint="eastAsia" w:cs="宋体"/>
          <w:bCs/>
          <w:color w:val="auto"/>
          <w:sz w:val="21"/>
          <w:szCs w:val="21"/>
        </w:rPr>
        <w:t>按照磋商文件、响应文件、采购合同等约定的服务要求设置验收指标及其标准进行验收。</w:t>
      </w:r>
      <w:r>
        <w:rPr>
          <w:rFonts w:hint="eastAsia" w:cs="宋体"/>
          <w:b/>
          <w:i/>
          <w:iCs/>
          <w:color w:val="auto"/>
          <w:sz w:val="21"/>
          <w:szCs w:val="21"/>
        </w:rPr>
        <w:t>（具体验收内容详见磋商文件、响应文件、采购合同等相关资料。）</w:t>
      </w:r>
    </w:p>
    <w:p>
      <w:pPr>
        <w:pStyle w:val="20"/>
        <w:numPr>
          <w:ilvl w:val="0"/>
          <w:numId w:val="13"/>
        </w:numPr>
        <w:spacing w:line="360" w:lineRule="auto"/>
        <w:ind w:left="0" w:leftChars="0" w:right="-252" w:firstLine="420" w:firstLineChars="0"/>
        <w:rPr>
          <w:rFonts w:hint="eastAsia" w:cs="宋体"/>
          <w:b/>
          <w:color w:val="auto"/>
          <w:sz w:val="21"/>
          <w:szCs w:val="21"/>
        </w:rPr>
      </w:pPr>
      <w:r>
        <w:rPr>
          <w:rFonts w:hint="eastAsia" w:cs="宋体"/>
          <w:bCs/>
          <w:color w:val="auto"/>
          <w:sz w:val="21"/>
          <w:szCs w:val="21"/>
        </w:rPr>
        <w:t>出具验收书：验收小组完成验收后，出具验收书</w:t>
      </w:r>
      <w:r>
        <w:rPr>
          <w:rFonts w:hint="eastAsia" w:cs="宋体"/>
          <w:bCs/>
          <w:color w:val="auto"/>
          <w:sz w:val="21"/>
          <w:szCs w:val="21"/>
          <w:lang w:eastAsia="zh-CN"/>
        </w:rPr>
        <w:t>，</w:t>
      </w:r>
      <w:r>
        <w:rPr>
          <w:rFonts w:hint="eastAsia" w:eastAsia="宋体" w:cs="宋体"/>
          <w:bCs/>
          <w:color w:val="auto"/>
          <w:sz w:val="21"/>
          <w:szCs w:val="21"/>
        </w:rPr>
        <w:t>列明各项</w:t>
      </w:r>
      <w:r>
        <w:rPr>
          <w:rFonts w:hint="eastAsia" w:eastAsia="宋体" w:cs="宋体"/>
          <w:bCs/>
          <w:color w:val="auto"/>
          <w:sz w:val="21"/>
          <w:szCs w:val="21"/>
          <w:lang w:eastAsia="zh-CN"/>
        </w:rPr>
        <w:t>验收内容情况，明确验收结论，</w:t>
      </w:r>
      <w:r>
        <w:rPr>
          <w:rFonts w:hint="eastAsia" w:cs="宋体"/>
          <w:bCs/>
          <w:color w:val="auto"/>
          <w:sz w:val="21"/>
          <w:szCs w:val="21"/>
        </w:rPr>
        <w:t>并在验收书签字确认。</w:t>
      </w:r>
      <w:r>
        <w:rPr>
          <w:rFonts w:hint="eastAsia" w:cs="宋体"/>
          <w:b/>
          <w:bCs w:val="0"/>
          <w:color w:val="auto"/>
          <w:sz w:val="21"/>
          <w:szCs w:val="21"/>
        </w:rPr>
        <w:t>（验收书参考附件）</w:t>
      </w:r>
    </w:p>
    <w:p>
      <w:pPr>
        <w:pStyle w:val="20"/>
        <w:spacing w:line="360" w:lineRule="auto"/>
        <w:ind w:left="0" w:right="-252" w:firstLine="420" w:firstLineChars="200"/>
        <w:rPr>
          <w:rFonts w:cs="宋体"/>
          <w:bCs/>
          <w:color w:val="auto"/>
          <w:sz w:val="21"/>
          <w:szCs w:val="21"/>
        </w:rPr>
      </w:pPr>
      <w:r>
        <w:rPr>
          <w:rFonts w:hint="eastAsia" w:cs="宋体"/>
          <w:bCs/>
          <w:color w:val="auto"/>
          <w:sz w:val="21"/>
          <w:szCs w:val="21"/>
        </w:rPr>
        <w:t>文件、采购合同等约定服务要求设置验收指标及其标准进行验收。</w:t>
      </w:r>
      <w:r>
        <w:rPr>
          <w:rFonts w:hint="eastAsia" w:cs="宋体"/>
          <w:b/>
          <w:i/>
          <w:iCs/>
          <w:color w:val="auto"/>
          <w:sz w:val="21"/>
          <w:szCs w:val="21"/>
        </w:rPr>
        <w:t>（具体验收内容详见磋商文件、响应文件、采购合同等相关资料。）</w:t>
      </w:r>
    </w:p>
    <w:p>
      <w:pPr>
        <w:pStyle w:val="20"/>
        <w:numPr>
          <w:ilvl w:val="0"/>
          <w:numId w:val="13"/>
        </w:numPr>
        <w:spacing w:line="360" w:lineRule="auto"/>
        <w:ind w:left="0" w:leftChars="0" w:right="-252" w:firstLine="420" w:firstLineChars="0"/>
        <w:rPr>
          <w:rFonts w:hint="eastAsia" w:cs="宋体"/>
          <w:bCs/>
          <w:color w:val="auto"/>
          <w:sz w:val="21"/>
          <w:szCs w:val="21"/>
        </w:rPr>
      </w:pPr>
      <w:r>
        <w:rPr>
          <w:rFonts w:hint="eastAsia" w:cs="宋体"/>
          <w:bCs/>
          <w:color w:val="auto"/>
          <w:sz w:val="21"/>
          <w:szCs w:val="21"/>
        </w:rPr>
        <w:t>验收结果公告：</w:t>
      </w:r>
      <w:r>
        <w:rPr>
          <w:rFonts w:hint="eastAsia" w:cs="宋体"/>
          <w:bCs/>
          <w:color w:val="auto"/>
          <w:sz w:val="21"/>
          <w:szCs w:val="21"/>
          <w:lang w:eastAsia="zh-CN"/>
        </w:rPr>
        <w:t>甲方依据验收书</w:t>
      </w:r>
      <w:r>
        <w:rPr>
          <w:rFonts w:hint="eastAsia" w:cs="宋体"/>
          <w:bCs/>
          <w:color w:val="auto"/>
          <w:sz w:val="21"/>
          <w:szCs w:val="21"/>
          <w:highlight w:val="none"/>
          <w:lang w:eastAsia="zh-CN"/>
        </w:rPr>
        <w:t>和乙方其他履约情况</w:t>
      </w:r>
      <w:r>
        <w:rPr>
          <w:rFonts w:hint="eastAsia" w:cs="宋体"/>
          <w:bCs/>
          <w:color w:val="auto"/>
          <w:sz w:val="21"/>
          <w:szCs w:val="21"/>
          <w:lang w:eastAsia="zh-CN"/>
        </w:rPr>
        <w:t>，对验收项目作出整体评价和分类评价，形成验收结果。甲方</w:t>
      </w:r>
      <w:r>
        <w:rPr>
          <w:rFonts w:hint="eastAsia" w:cs="宋体"/>
          <w:bCs/>
          <w:color w:val="auto"/>
          <w:sz w:val="21"/>
          <w:szCs w:val="21"/>
        </w:rPr>
        <w:t>在评价后</w:t>
      </w:r>
      <w:r>
        <w:rPr>
          <w:rFonts w:hint="default" w:ascii="Arial" w:hAnsi="Arial" w:cs="Arial"/>
          <w:bCs/>
          <w:color w:val="auto"/>
          <w:sz w:val="21"/>
          <w:szCs w:val="21"/>
        </w:rPr>
        <w:t xml:space="preserve"> 2</w:t>
      </w:r>
      <w:r>
        <w:rPr>
          <w:rFonts w:hint="eastAsia" w:cs="宋体"/>
          <w:bCs/>
          <w:color w:val="auto"/>
          <w:sz w:val="21"/>
          <w:szCs w:val="21"/>
        </w:rPr>
        <w:t>个工作日内在浙江</w:t>
      </w:r>
      <w:r>
        <w:rPr>
          <w:rFonts w:hint="eastAsia" w:eastAsia="宋体" w:cs="宋体"/>
          <w:bCs/>
          <w:color w:val="auto"/>
          <w:sz w:val="21"/>
          <w:szCs w:val="21"/>
        </w:rPr>
        <w:t>政府采购</w:t>
      </w:r>
      <w:r>
        <w:rPr>
          <w:rFonts w:hint="eastAsia" w:cs="宋体"/>
          <w:bCs/>
          <w:color w:val="auto"/>
          <w:sz w:val="21"/>
          <w:szCs w:val="21"/>
        </w:rPr>
        <w:t>网发布验收结果。</w:t>
      </w:r>
    </w:p>
    <w:p>
      <w:pPr>
        <w:pStyle w:val="20"/>
        <w:numPr>
          <w:ilvl w:val="0"/>
          <w:numId w:val="13"/>
        </w:numPr>
        <w:spacing w:line="360" w:lineRule="auto"/>
        <w:ind w:left="0" w:leftChars="0" w:right="-252" w:firstLine="420" w:firstLineChars="0"/>
        <w:rPr>
          <w:rFonts w:hint="eastAsia"/>
          <w:color w:val="auto"/>
        </w:rPr>
      </w:pPr>
      <w:r>
        <w:rPr>
          <w:rFonts w:hint="eastAsia" w:cs="宋体"/>
          <w:bCs/>
          <w:color w:val="auto"/>
          <w:sz w:val="21"/>
          <w:szCs w:val="21"/>
        </w:rPr>
        <w:t>验收资料归档：采购项目完成验收后，</w:t>
      </w:r>
      <w:r>
        <w:rPr>
          <w:rFonts w:hint="eastAsia" w:cs="宋体"/>
          <w:bCs/>
          <w:color w:val="auto"/>
          <w:sz w:val="21"/>
          <w:szCs w:val="21"/>
          <w:lang w:eastAsia="zh-CN"/>
        </w:rPr>
        <w:t>甲方</w:t>
      </w:r>
      <w:r>
        <w:rPr>
          <w:rFonts w:hint="eastAsia" w:cs="宋体"/>
          <w:bCs/>
          <w:color w:val="auto"/>
          <w:sz w:val="21"/>
          <w:szCs w:val="21"/>
        </w:rPr>
        <w:t>将验收原始记录、验收报告等验收资料作为该采购项目档案封存并妥善保管。</w:t>
      </w:r>
    </w:p>
    <w:p>
      <w:pPr>
        <w:pStyle w:val="20"/>
        <w:numPr>
          <w:ilvl w:val="0"/>
          <w:numId w:val="13"/>
        </w:numPr>
        <w:spacing w:line="360" w:lineRule="auto"/>
        <w:ind w:left="0" w:leftChars="0" w:right="-252" w:firstLine="420" w:firstLineChars="0"/>
        <w:rPr>
          <w:rFonts w:hint="eastAsia" w:cs="宋体"/>
          <w:bCs/>
          <w:color w:val="auto"/>
          <w:sz w:val="21"/>
          <w:szCs w:val="21"/>
          <w:lang w:val="en-US" w:eastAsia="zh-CN"/>
        </w:rPr>
      </w:pPr>
      <w:r>
        <w:rPr>
          <w:rFonts w:hint="eastAsia" w:cs="宋体"/>
          <w:bCs/>
          <w:color w:val="auto"/>
          <w:sz w:val="21"/>
          <w:szCs w:val="21"/>
          <w:lang w:val="en-US" w:eastAsia="zh-CN"/>
        </w:rPr>
        <w:t>验收不合格的，甲方应责令乙方采取补救措施，向乙方发出整改通知书，并依法及时处理。乙方收到整改通知书后</w:t>
      </w:r>
      <w:r>
        <w:rPr>
          <w:rFonts w:hint="eastAsia" w:cs="宋体"/>
          <w:bCs/>
          <w:color w:val="auto"/>
          <w:sz w:val="21"/>
          <w:szCs w:val="21"/>
          <w:u w:val="single"/>
          <w:lang w:val="en-US" w:eastAsia="zh-CN"/>
        </w:rPr>
        <w:t xml:space="preserve">    </w:t>
      </w:r>
      <w:r>
        <w:rPr>
          <w:rFonts w:hint="eastAsia" w:cs="宋体"/>
          <w:bCs/>
          <w:color w:val="auto"/>
          <w:sz w:val="21"/>
          <w:szCs w:val="21"/>
          <w:lang w:val="en-US" w:eastAsia="zh-CN"/>
        </w:rPr>
        <w:t xml:space="preserve">天内按要求进行整改，整改结束后，由乙方通知甲方重新验收。 </w:t>
      </w:r>
    </w:p>
    <w:p>
      <w:pPr>
        <w:spacing w:beforeLines="50" w:afterLines="50" w:line="360" w:lineRule="auto"/>
        <w:outlineLvl w:val="1"/>
        <w:rPr>
          <w:rFonts w:hint="eastAsia" w:ascii="宋体" w:hAnsi="宋体" w:cs="宋体"/>
          <w:b/>
          <w:bCs/>
          <w:color w:val="auto"/>
          <w:szCs w:val="21"/>
        </w:rPr>
      </w:pPr>
      <w:r>
        <w:rPr>
          <w:rFonts w:hint="eastAsia" w:ascii="宋体" w:hAnsi="宋体" w:cs="宋体"/>
          <w:b/>
          <w:bCs/>
          <w:color w:val="auto"/>
          <w:szCs w:val="21"/>
        </w:rPr>
        <w:t xml:space="preserve"> </w:t>
      </w:r>
      <w:bookmarkStart w:id="995" w:name="_Toc23735"/>
      <w:bookmarkStart w:id="996" w:name="_Toc16706"/>
      <w:bookmarkStart w:id="997" w:name="_Toc3624"/>
      <w:bookmarkStart w:id="998" w:name="_Toc21700"/>
      <w:bookmarkStart w:id="999" w:name="_Toc27597"/>
      <w:bookmarkStart w:id="1000" w:name="_Toc946"/>
      <w:bookmarkStart w:id="1001" w:name="_Toc12958"/>
      <w:bookmarkStart w:id="1002" w:name="_Toc11015"/>
      <w:r>
        <w:rPr>
          <w:rFonts w:hint="eastAsia" w:ascii="宋体" w:hAnsi="宋体" w:cs="宋体"/>
          <w:b/>
          <w:bCs/>
          <w:color w:val="auto"/>
          <w:szCs w:val="21"/>
          <w:lang w:val="en-US" w:eastAsia="zh-CN"/>
        </w:rPr>
        <w:t xml:space="preserve">第九条 </w:t>
      </w:r>
      <w:r>
        <w:rPr>
          <w:rFonts w:hint="eastAsia" w:ascii="宋体" w:hAnsi="宋体" w:cs="宋体"/>
          <w:b/>
          <w:bCs/>
          <w:color w:val="auto"/>
          <w:szCs w:val="21"/>
        </w:rPr>
        <w:t>违约责任</w:t>
      </w:r>
      <w:bookmarkEnd w:id="994"/>
      <w:bookmarkEnd w:id="995"/>
      <w:bookmarkEnd w:id="996"/>
      <w:bookmarkEnd w:id="997"/>
      <w:bookmarkEnd w:id="998"/>
      <w:bookmarkEnd w:id="999"/>
      <w:bookmarkEnd w:id="1000"/>
      <w:bookmarkEnd w:id="1001"/>
      <w:bookmarkEnd w:id="1002"/>
    </w:p>
    <w:p>
      <w:pPr>
        <w:pStyle w:val="34"/>
        <w:numPr>
          <w:ilvl w:val="0"/>
          <w:numId w:val="92"/>
        </w:numPr>
        <w:spacing w:beforeAutospacing="0" w:afterAutospacing="0" w:line="360" w:lineRule="auto"/>
        <w:ind w:left="5" w:firstLine="415"/>
        <w:jc w:val="both"/>
        <w:rPr>
          <w:rFonts w:ascii="宋体" w:hAnsi="宋体" w:eastAsia="宋体" w:cs="宋体"/>
          <w:bCs/>
          <w:color w:val="auto"/>
          <w:sz w:val="21"/>
          <w:szCs w:val="21"/>
        </w:rPr>
      </w:pPr>
      <w:r>
        <w:rPr>
          <w:rFonts w:hint="eastAsia" w:ascii="宋体" w:hAnsi="宋体" w:eastAsia="宋体" w:cs="宋体"/>
          <w:bCs/>
          <w:color w:val="auto"/>
          <w:sz w:val="21"/>
          <w:szCs w:val="21"/>
        </w:rPr>
        <w:t>如乙方未按照合同规定的要求完成服务事项和质量，或乙方未能履行合同规定的任何其他义务时，甲方有权直接向乙方发出违约通知书，乙方应按照甲方选择的下列一种或多种方式承担赔偿责任：</w:t>
      </w:r>
    </w:p>
    <w:p>
      <w:pPr>
        <w:pStyle w:val="34"/>
        <w:numPr>
          <w:ilvl w:val="0"/>
          <w:numId w:val="93"/>
        </w:numPr>
        <w:spacing w:beforeAutospacing="0" w:afterAutospacing="0" w:line="360" w:lineRule="auto"/>
        <w:ind w:left="5" w:firstLine="415"/>
        <w:jc w:val="both"/>
        <w:rPr>
          <w:rFonts w:ascii="宋体" w:hAnsi="宋体" w:eastAsia="宋体" w:cs="宋体"/>
          <w:bCs/>
          <w:color w:val="auto"/>
          <w:sz w:val="21"/>
          <w:szCs w:val="21"/>
        </w:rPr>
      </w:pPr>
      <w:r>
        <w:rPr>
          <w:rFonts w:hint="eastAsia" w:ascii="宋体" w:hAnsi="宋体" w:eastAsia="宋体" w:cs="宋体"/>
          <w:bCs/>
          <w:color w:val="auto"/>
          <w:sz w:val="21"/>
          <w:szCs w:val="21"/>
        </w:rPr>
        <w:t>在甲方同意延长的期限内提供服务并承担由此给甲方造成的一切损失。</w:t>
      </w:r>
    </w:p>
    <w:p>
      <w:pPr>
        <w:pStyle w:val="34"/>
        <w:numPr>
          <w:ilvl w:val="0"/>
          <w:numId w:val="93"/>
        </w:numPr>
        <w:spacing w:beforeAutospacing="0" w:afterAutospacing="0" w:line="360" w:lineRule="auto"/>
        <w:ind w:left="5" w:firstLine="415"/>
        <w:jc w:val="both"/>
        <w:rPr>
          <w:rFonts w:ascii="宋体" w:hAnsi="宋体" w:eastAsia="宋体" w:cs="宋体"/>
          <w:bCs/>
          <w:color w:val="auto"/>
          <w:sz w:val="21"/>
          <w:szCs w:val="21"/>
        </w:rPr>
      </w:pPr>
      <w:r>
        <w:rPr>
          <w:rFonts w:hint="eastAsia" w:ascii="宋体" w:hAnsi="宋体" w:eastAsia="宋体" w:cs="宋体"/>
          <w:bCs/>
          <w:color w:val="auto"/>
          <w:sz w:val="21"/>
          <w:szCs w:val="21"/>
        </w:rPr>
        <w:t>甲方有权部分或全部解除合同并要求乙方赔偿由此造成的损失。此时甲方可采取必要的补救措施，相关费用由乙方承担。</w:t>
      </w:r>
    </w:p>
    <w:p>
      <w:pPr>
        <w:pStyle w:val="34"/>
        <w:numPr>
          <w:ilvl w:val="0"/>
          <w:numId w:val="92"/>
        </w:numPr>
        <w:spacing w:beforeAutospacing="0" w:afterAutospacing="0" w:line="360" w:lineRule="auto"/>
        <w:ind w:left="5" w:firstLine="415"/>
        <w:jc w:val="both"/>
        <w:rPr>
          <w:rFonts w:ascii="宋体" w:hAnsi="宋体" w:eastAsia="宋体" w:cs="宋体"/>
          <w:bCs/>
          <w:color w:val="auto"/>
          <w:sz w:val="21"/>
          <w:szCs w:val="21"/>
        </w:rPr>
      </w:pPr>
      <w:r>
        <w:rPr>
          <w:rFonts w:hint="eastAsia" w:ascii="宋体" w:hAnsi="宋体" w:eastAsia="宋体" w:cs="宋体"/>
          <w:bCs/>
          <w:color w:val="auto"/>
          <w:sz w:val="21"/>
          <w:szCs w:val="21"/>
        </w:rPr>
        <w:t>如果乙方在收到甲方的违约通知书后七日内未作答复也没有按照甲方选择的方式承担违约责任，则甲方有权从尚未支付的合同价款中扣回索赔金额。如果这些金额不足以补偿，甲方有权向乙方提出不足部分的赔偿要求。</w:t>
      </w:r>
    </w:p>
    <w:p>
      <w:pPr>
        <w:pStyle w:val="34"/>
        <w:numPr>
          <w:ilvl w:val="0"/>
          <w:numId w:val="92"/>
        </w:numPr>
        <w:spacing w:beforeAutospacing="0" w:afterAutospacing="0" w:line="360" w:lineRule="auto"/>
        <w:ind w:left="5" w:firstLine="415"/>
        <w:jc w:val="both"/>
        <w:rPr>
          <w:rFonts w:ascii="宋体" w:hAnsi="宋体" w:eastAsia="宋体" w:cs="宋体"/>
          <w:bCs/>
          <w:color w:val="auto"/>
          <w:sz w:val="21"/>
          <w:szCs w:val="21"/>
        </w:rPr>
      </w:pPr>
      <w:r>
        <w:rPr>
          <w:rFonts w:hint="eastAsia" w:ascii="宋体" w:hAnsi="宋体" w:eastAsia="宋体" w:cs="宋体"/>
          <w:bCs/>
          <w:color w:val="auto"/>
          <w:sz w:val="21"/>
          <w:szCs w:val="21"/>
        </w:rPr>
        <w:t>如乙方延期提供服务（最迟不超过甲方要求之日起7日内完成，未完成的视为未提供服务），乙方需每天按合同总金额的1%交纳违约金，违约金最多不超过合同总金额的30%，如果延期超过10个日历天未能进场，甲方有权终止合同，乙方承担一切风险责任。</w:t>
      </w:r>
    </w:p>
    <w:p>
      <w:pPr>
        <w:pStyle w:val="34"/>
        <w:numPr>
          <w:ilvl w:val="0"/>
          <w:numId w:val="92"/>
        </w:numPr>
        <w:spacing w:beforeAutospacing="0" w:afterAutospacing="0" w:line="360" w:lineRule="auto"/>
        <w:ind w:left="5" w:firstLine="415"/>
        <w:jc w:val="both"/>
        <w:rPr>
          <w:rFonts w:ascii="宋体" w:hAnsi="宋体" w:eastAsia="宋体" w:cs="宋体"/>
          <w:bCs/>
          <w:color w:val="auto"/>
          <w:sz w:val="21"/>
          <w:szCs w:val="21"/>
        </w:rPr>
      </w:pPr>
      <w:r>
        <w:rPr>
          <w:rFonts w:hint="eastAsia" w:ascii="宋体" w:hAnsi="宋体" w:eastAsia="宋体" w:cs="宋体"/>
          <w:bCs/>
          <w:color w:val="auto"/>
          <w:sz w:val="21"/>
          <w:szCs w:val="21"/>
        </w:rPr>
        <w:t>乙方无正当理由拒绝进场或擅自退场的，应向甲方偿付合同金额的5%违约金。前述违约金承担不影响甲方按本合同其他约定要求乙方承担违约责任。</w:t>
      </w:r>
    </w:p>
    <w:p>
      <w:pPr>
        <w:pStyle w:val="34"/>
        <w:numPr>
          <w:ilvl w:val="0"/>
          <w:numId w:val="92"/>
        </w:numPr>
        <w:spacing w:beforeAutospacing="0" w:afterAutospacing="0" w:line="360" w:lineRule="auto"/>
        <w:ind w:left="5" w:firstLine="415"/>
        <w:jc w:val="both"/>
        <w:rPr>
          <w:rFonts w:ascii="宋体" w:hAnsi="宋体" w:eastAsia="宋体" w:cs="宋体"/>
          <w:bCs/>
          <w:color w:val="auto"/>
          <w:sz w:val="21"/>
          <w:szCs w:val="21"/>
        </w:rPr>
      </w:pPr>
      <w:r>
        <w:rPr>
          <w:rFonts w:hint="eastAsia" w:ascii="宋体" w:hAnsi="宋体" w:eastAsia="宋体" w:cs="宋体"/>
          <w:bCs/>
          <w:color w:val="auto"/>
          <w:sz w:val="21"/>
          <w:szCs w:val="21"/>
        </w:rPr>
        <w:t>甲方无合理理由逾期验收和办理合同款项支付手续的,甲方应按逾期付款总额每日万分之五向乙方支付违约金。</w:t>
      </w:r>
    </w:p>
    <w:p>
      <w:pPr>
        <w:pStyle w:val="34"/>
        <w:numPr>
          <w:ilvl w:val="0"/>
          <w:numId w:val="92"/>
        </w:numPr>
        <w:spacing w:beforeAutospacing="0" w:afterAutospacing="0" w:line="360" w:lineRule="auto"/>
        <w:ind w:left="5" w:firstLine="415"/>
        <w:jc w:val="both"/>
        <w:rPr>
          <w:rFonts w:ascii="宋体" w:hAnsi="宋体" w:eastAsia="宋体" w:cs="宋体"/>
          <w:bCs/>
          <w:color w:val="auto"/>
          <w:sz w:val="21"/>
          <w:szCs w:val="21"/>
        </w:rPr>
      </w:pPr>
      <w:r>
        <w:rPr>
          <w:rFonts w:hint="eastAsia" w:ascii="宋体" w:hAnsi="宋体" w:eastAsia="宋体" w:cs="宋体"/>
          <w:bCs/>
          <w:color w:val="auto"/>
          <w:sz w:val="21"/>
          <w:szCs w:val="21"/>
        </w:rPr>
        <w:t>如任何一方无故解除合同或有其他违约行为，应向对方支付合同金额5%的违约金。</w:t>
      </w:r>
    </w:p>
    <w:p>
      <w:pPr>
        <w:pStyle w:val="34"/>
        <w:numPr>
          <w:ilvl w:val="0"/>
          <w:numId w:val="92"/>
        </w:numPr>
        <w:spacing w:beforeAutospacing="0" w:afterAutospacing="0" w:line="360" w:lineRule="auto"/>
        <w:ind w:left="5" w:firstLine="415"/>
        <w:jc w:val="both"/>
        <w:rPr>
          <w:rFonts w:ascii="宋体" w:hAnsi="宋体" w:eastAsia="宋体" w:cs="宋体"/>
          <w:bCs/>
          <w:color w:val="auto"/>
          <w:sz w:val="21"/>
          <w:szCs w:val="21"/>
        </w:rPr>
      </w:pPr>
      <w:r>
        <w:rPr>
          <w:rFonts w:hint="eastAsia" w:ascii="宋体" w:hAnsi="宋体" w:eastAsia="宋体" w:cs="宋体"/>
          <w:bCs/>
          <w:color w:val="auto"/>
          <w:sz w:val="21"/>
          <w:szCs w:val="21"/>
        </w:rPr>
        <w:t>因本合同而引起的纠纷采用以下方式解决：</w:t>
      </w:r>
    </w:p>
    <w:p>
      <w:pPr>
        <w:numPr>
          <w:ilvl w:val="0"/>
          <w:numId w:val="94"/>
        </w:numPr>
        <w:snapToGrid w:val="0"/>
        <w:spacing w:line="360" w:lineRule="auto"/>
        <w:ind w:hanging="5"/>
        <w:jc w:val="both"/>
        <w:rPr>
          <w:rFonts w:ascii="宋体" w:hAnsi="宋体" w:cs="宋体"/>
          <w:bCs/>
          <w:color w:val="auto"/>
          <w:szCs w:val="21"/>
        </w:rPr>
      </w:pPr>
      <w:r>
        <w:rPr>
          <w:rFonts w:hint="eastAsia" w:ascii="宋体" w:hAnsi="宋体" w:cs="宋体"/>
          <w:bCs/>
          <w:color w:val="auto"/>
          <w:szCs w:val="21"/>
        </w:rPr>
        <w:t>双方协商解决（√）；</w:t>
      </w:r>
    </w:p>
    <w:p>
      <w:pPr>
        <w:numPr>
          <w:ilvl w:val="0"/>
          <w:numId w:val="94"/>
        </w:numPr>
        <w:snapToGrid w:val="0"/>
        <w:spacing w:line="360" w:lineRule="auto"/>
        <w:ind w:hanging="5"/>
        <w:jc w:val="both"/>
        <w:rPr>
          <w:rFonts w:ascii="宋体" w:hAnsi="宋体" w:cs="宋体"/>
          <w:bCs/>
          <w:color w:val="auto"/>
          <w:szCs w:val="21"/>
        </w:rPr>
      </w:pPr>
      <w:r>
        <w:rPr>
          <w:rFonts w:hint="eastAsia" w:ascii="宋体" w:hAnsi="宋体" w:cs="宋体"/>
          <w:bCs/>
          <w:color w:val="auto"/>
          <w:szCs w:val="21"/>
        </w:rPr>
        <w:t>向采购机构反映（/）；</w:t>
      </w:r>
    </w:p>
    <w:p>
      <w:pPr>
        <w:numPr>
          <w:ilvl w:val="0"/>
          <w:numId w:val="94"/>
        </w:numPr>
        <w:snapToGrid w:val="0"/>
        <w:spacing w:line="360" w:lineRule="auto"/>
        <w:ind w:hanging="5"/>
        <w:jc w:val="both"/>
        <w:rPr>
          <w:rFonts w:ascii="宋体" w:hAnsi="宋体" w:cs="宋体"/>
          <w:bCs/>
          <w:color w:val="auto"/>
          <w:szCs w:val="21"/>
        </w:rPr>
      </w:pPr>
      <w:r>
        <w:rPr>
          <w:rFonts w:hint="eastAsia" w:ascii="宋体" w:hAnsi="宋体" w:cs="宋体"/>
          <w:bCs/>
          <w:color w:val="auto"/>
          <w:szCs w:val="21"/>
        </w:rPr>
        <w:t>提请仲裁委员会仲裁（/）；</w:t>
      </w:r>
    </w:p>
    <w:p>
      <w:pPr>
        <w:numPr>
          <w:ilvl w:val="0"/>
          <w:numId w:val="94"/>
        </w:numPr>
        <w:snapToGrid w:val="0"/>
        <w:spacing w:line="360" w:lineRule="auto"/>
        <w:ind w:hanging="5"/>
        <w:jc w:val="both"/>
        <w:rPr>
          <w:rFonts w:ascii="宋体" w:hAnsi="宋体" w:cs="宋体"/>
          <w:bCs/>
          <w:color w:val="auto"/>
          <w:szCs w:val="21"/>
        </w:rPr>
      </w:pPr>
      <w:r>
        <w:rPr>
          <w:rFonts w:hint="eastAsia" w:ascii="宋体" w:hAnsi="宋体" w:cs="宋体"/>
          <w:bCs/>
          <w:color w:val="auto"/>
          <w:szCs w:val="21"/>
        </w:rPr>
        <w:t>向瑞安市人民法院提起诉讼（√）。</w:t>
      </w:r>
    </w:p>
    <w:p>
      <w:pPr>
        <w:spacing w:beforeLines="50" w:afterLines="50" w:line="360" w:lineRule="auto"/>
        <w:outlineLvl w:val="1"/>
        <w:rPr>
          <w:rFonts w:ascii="宋体" w:hAnsi="宋体" w:cs="宋体"/>
          <w:b/>
          <w:bCs/>
          <w:color w:val="auto"/>
          <w:szCs w:val="21"/>
        </w:rPr>
      </w:pPr>
      <w:bookmarkStart w:id="1003" w:name="_Toc15391"/>
      <w:bookmarkStart w:id="1004" w:name="_Toc7208"/>
      <w:bookmarkStart w:id="1005" w:name="_Toc10505"/>
      <w:bookmarkStart w:id="1006" w:name="_Toc27823"/>
      <w:bookmarkStart w:id="1007" w:name="_Toc18819"/>
      <w:bookmarkStart w:id="1008" w:name="_Toc9530"/>
      <w:bookmarkStart w:id="1009" w:name="_Toc25616"/>
      <w:bookmarkStart w:id="1010" w:name="_Toc19497"/>
      <w:r>
        <w:rPr>
          <w:rFonts w:hint="eastAsia" w:ascii="宋体" w:hAnsi="宋体" w:cs="宋体"/>
          <w:b/>
          <w:bCs/>
          <w:color w:val="auto"/>
          <w:szCs w:val="21"/>
        </w:rPr>
        <w:t>第十条  不可抗力</w:t>
      </w:r>
      <w:bookmarkEnd w:id="1003"/>
      <w:bookmarkEnd w:id="1004"/>
      <w:bookmarkEnd w:id="1005"/>
      <w:bookmarkEnd w:id="1006"/>
      <w:bookmarkEnd w:id="1007"/>
      <w:bookmarkEnd w:id="1008"/>
      <w:bookmarkEnd w:id="1009"/>
      <w:bookmarkEnd w:id="1010"/>
    </w:p>
    <w:p>
      <w:pPr>
        <w:pStyle w:val="92"/>
        <w:numPr>
          <w:ilvl w:val="0"/>
          <w:numId w:val="95"/>
        </w:numPr>
        <w:spacing w:line="460" w:lineRule="exact"/>
        <w:ind w:left="0" w:firstLine="420" w:firstLineChars="0"/>
        <w:rPr>
          <w:rFonts w:ascii="宋体" w:hAnsi="宋体" w:cs="新宋体"/>
          <w:color w:val="auto"/>
          <w:szCs w:val="21"/>
        </w:rPr>
      </w:pPr>
      <w:r>
        <w:rPr>
          <w:rFonts w:hint="eastAsia" w:ascii="宋体" w:hAnsi="宋体" w:cs="新宋体"/>
          <w:color w:val="auto"/>
          <w:szCs w:val="21"/>
        </w:rPr>
        <w:t>在承包期间发生地震等双方不能预料和不可抗力的自然灾害导致承包区不能正常经营，合同不能或不能全部履行。双方可以按以下内容执行：</w:t>
      </w:r>
    </w:p>
    <w:p>
      <w:pPr>
        <w:pStyle w:val="92"/>
        <w:numPr>
          <w:ilvl w:val="0"/>
          <w:numId w:val="96"/>
        </w:numPr>
        <w:spacing w:line="460" w:lineRule="exact"/>
        <w:ind w:left="5" w:firstLine="415" w:firstLineChars="0"/>
        <w:rPr>
          <w:rFonts w:ascii="宋体" w:hAnsi="宋体" w:cs="新宋体"/>
          <w:color w:val="auto"/>
          <w:szCs w:val="21"/>
        </w:rPr>
      </w:pPr>
      <w:r>
        <w:rPr>
          <w:rFonts w:hint="eastAsia" w:ascii="宋体" w:hAnsi="宋体" w:cs="新宋体"/>
          <w:color w:val="auto"/>
          <w:szCs w:val="21"/>
        </w:rPr>
        <w:t>任何一方可以书面形式终止合同无需作出任何赔偿。</w:t>
      </w:r>
    </w:p>
    <w:p>
      <w:pPr>
        <w:pStyle w:val="92"/>
        <w:numPr>
          <w:ilvl w:val="0"/>
          <w:numId w:val="96"/>
        </w:numPr>
        <w:spacing w:line="460" w:lineRule="exact"/>
        <w:ind w:left="5" w:firstLine="415" w:firstLineChars="0"/>
        <w:rPr>
          <w:rFonts w:ascii="宋体" w:hAnsi="宋体" w:cs="新宋体"/>
          <w:color w:val="auto"/>
          <w:szCs w:val="21"/>
        </w:rPr>
      </w:pPr>
      <w:r>
        <w:rPr>
          <w:rFonts w:hint="eastAsia" w:ascii="宋体" w:hAnsi="宋体" w:cs="新宋体"/>
          <w:color w:val="auto"/>
          <w:szCs w:val="21"/>
        </w:rPr>
        <w:t>因不可抗力导致合同终止，并不影响任何一方对不可抗力先前发生的违约行为合法追偿。</w:t>
      </w:r>
    </w:p>
    <w:p>
      <w:pPr>
        <w:pStyle w:val="92"/>
        <w:numPr>
          <w:ilvl w:val="0"/>
          <w:numId w:val="96"/>
        </w:numPr>
        <w:spacing w:line="460" w:lineRule="exact"/>
        <w:ind w:left="5" w:firstLine="415" w:firstLineChars="0"/>
        <w:rPr>
          <w:rFonts w:ascii="宋体" w:hAnsi="宋体" w:cs="新宋体"/>
          <w:color w:val="auto"/>
          <w:szCs w:val="21"/>
        </w:rPr>
      </w:pPr>
      <w:r>
        <w:rPr>
          <w:rFonts w:hint="eastAsia" w:ascii="宋体" w:hAnsi="宋体" w:cs="新宋体"/>
          <w:color w:val="auto"/>
          <w:szCs w:val="21"/>
        </w:rPr>
        <w:t>甲方不负责因不可抗力造成合同不能正常履行的责任。</w:t>
      </w:r>
    </w:p>
    <w:p>
      <w:pPr>
        <w:pStyle w:val="92"/>
        <w:numPr>
          <w:ilvl w:val="0"/>
          <w:numId w:val="96"/>
        </w:numPr>
        <w:spacing w:line="460" w:lineRule="exact"/>
        <w:ind w:left="5" w:firstLine="415" w:firstLineChars="0"/>
        <w:rPr>
          <w:rFonts w:ascii="宋体" w:hAnsi="宋体" w:cs="新宋体"/>
          <w:color w:val="auto"/>
          <w:szCs w:val="21"/>
        </w:rPr>
      </w:pPr>
      <w:r>
        <w:rPr>
          <w:rFonts w:hint="eastAsia" w:ascii="宋体" w:hAnsi="宋体" w:cs="新宋体"/>
          <w:color w:val="auto"/>
          <w:szCs w:val="21"/>
        </w:rPr>
        <w:t>因不可抗力造成甲方的损害，甲方的保险赔偿不受影响。对恢复承包合同期的价格及其它费用双方可以协商解决。</w:t>
      </w:r>
    </w:p>
    <w:p>
      <w:pPr>
        <w:pStyle w:val="92"/>
        <w:numPr>
          <w:ilvl w:val="0"/>
          <w:numId w:val="95"/>
        </w:numPr>
        <w:spacing w:line="460" w:lineRule="exact"/>
        <w:ind w:left="0" w:firstLine="420" w:firstLineChars="0"/>
        <w:rPr>
          <w:rFonts w:ascii="宋体" w:hAnsi="宋体" w:cs="新宋体"/>
          <w:color w:val="auto"/>
          <w:szCs w:val="21"/>
        </w:rPr>
      </w:pPr>
      <w:r>
        <w:rPr>
          <w:rFonts w:hint="eastAsia" w:ascii="宋体" w:hAnsi="宋体" w:cs="新宋体"/>
          <w:color w:val="auto"/>
          <w:szCs w:val="21"/>
        </w:rPr>
        <w:t>遇国家政策性调整，影响合同履行，双方协商解决。</w:t>
      </w:r>
    </w:p>
    <w:p>
      <w:pPr>
        <w:spacing w:beforeLines="50" w:afterLines="50" w:line="360" w:lineRule="auto"/>
        <w:outlineLvl w:val="1"/>
        <w:rPr>
          <w:rFonts w:ascii="宋体" w:hAnsi="宋体" w:cs="宋体"/>
          <w:b/>
          <w:bCs/>
          <w:color w:val="auto"/>
          <w:szCs w:val="21"/>
        </w:rPr>
      </w:pPr>
      <w:bookmarkStart w:id="1011" w:name="_Toc32613"/>
      <w:bookmarkStart w:id="1012" w:name="_Toc13904"/>
      <w:bookmarkStart w:id="1013" w:name="_Toc30821"/>
      <w:bookmarkStart w:id="1014" w:name="_Toc11711"/>
      <w:bookmarkStart w:id="1015" w:name="_Toc6021"/>
      <w:bookmarkStart w:id="1016" w:name="_Toc11863"/>
      <w:bookmarkStart w:id="1017" w:name="_Toc5362"/>
      <w:bookmarkStart w:id="1018" w:name="_Toc26181"/>
      <w:bookmarkStart w:id="1019" w:name="_Toc26337"/>
      <w:bookmarkStart w:id="1020" w:name="_Toc8128"/>
      <w:bookmarkStart w:id="1021" w:name="_Toc10363"/>
      <w:bookmarkStart w:id="1022" w:name="_Toc5618"/>
      <w:bookmarkStart w:id="1023" w:name="_Toc9668"/>
      <w:bookmarkStart w:id="1024" w:name="_Toc19714"/>
      <w:bookmarkStart w:id="1025" w:name="_Toc24129"/>
      <w:r>
        <w:rPr>
          <w:rFonts w:hint="eastAsia" w:ascii="宋体" w:hAnsi="宋体" w:cs="宋体"/>
          <w:b/>
          <w:bCs/>
          <w:color w:val="auto"/>
          <w:szCs w:val="21"/>
        </w:rPr>
        <w:t>第十</w:t>
      </w:r>
      <w:r>
        <w:rPr>
          <w:rFonts w:hint="eastAsia" w:ascii="宋体" w:hAnsi="宋体" w:cs="宋体"/>
          <w:b/>
          <w:bCs/>
          <w:color w:val="auto"/>
          <w:szCs w:val="21"/>
          <w:lang w:val="en-US" w:eastAsia="zh-CN"/>
        </w:rPr>
        <w:t>一</w:t>
      </w:r>
      <w:r>
        <w:rPr>
          <w:rFonts w:hint="eastAsia" w:ascii="宋体" w:hAnsi="宋体" w:cs="宋体"/>
          <w:b/>
          <w:bCs/>
          <w:color w:val="auto"/>
          <w:szCs w:val="21"/>
        </w:rPr>
        <w:t>条  合同生效和终止</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widowControl w:val="0"/>
        <w:numPr>
          <w:ilvl w:val="0"/>
          <w:numId w:val="97"/>
        </w:numPr>
        <w:adjustRightInd w:val="0"/>
        <w:snapToGrid w:val="0"/>
        <w:spacing w:line="430" w:lineRule="exact"/>
        <w:ind w:firstLine="66"/>
        <w:jc w:val="both"/>
        <w:rPr>
          <w:rFonts w:ascii="宋体" w:cs="Arial"/>
          <w:snapToGrid w:val="0"/>
          <w:color w:val="auto"/>
          <w:szCs w:val="21"/>
        </w:rPr>
      </w:pPr>
      <w:r>
        <w:rPr>
          <w:rFonts w:hint="eastAsia" w:ascii="宋体" w:cs="Arial"/>
          <w:snapToGrid w:val="0"/>
          <w:color w:val="auto"/>
          <w:szCs w:val="21"/>
        </w:rPr>
        <w:t>生效</w:t>
      </w:r>
    </w:p>
    <w:p>
      <w:pPr>
        <w:widowControl w:val="0"/>
        <w:adjustRightInd w:val="0"/>
        <w:snapToGrid w:val="0"/>
        <w:spacing w:line="430" w:lineRule="exact"/>
        <w:ind w:left="426" w:firstLine="420" w:firstLineChars="200"/>
        <w:jc w:val="both"/>
        <w:rPr>
          <w:rFonts w:ascii="宋体" w:cs="Arial"/>
          <w:snapToGrid w:val="0"/>
          <w:color w:val="auto"/>
          <w:szCs w:val="21"/>
        </w:rPr>
      </w:pPr>
      <w:r>
        <w:rPr>
          <w:rFonts w:hint="eastAsia" w:ascii="宋体" w:cs="Arial"/>
          <w:snapToGrid w:val="0"/>
          <w:color w:val="auto"/>
          <w:szCs w:val="21"/>
        </w:rPr>
        <w:t>本合同经双方授权代表签字盖章后生效。</w:t>
      </w:r>
    </w:p>
    <w:p>
      <w:pPr>
        <w:widowControl w:val="0"/>
        <w:numPr>
          <w:ilvl w:val="0"/>
          <w:numId w:val="97"/>
        </w:numPr>
        <w:adjustRightInd w:val="0"/>
        <w:snapToGrid w:val="0"/>
        <w:spacing w:line="430" w:lineRule="exact"/>
        <w:ind w:firstLine="66"/>
        <w:jc w:val="both"/>
        <w:rPr>
          <w:rFonts w:ascii="宋体" w:cs="Arial"/>
          <w:snapToGrid w:val="0"/>
          <w:color w:val="auto"/>
          <w:szCs w:val="21"/>
        </w:rPr>
      </w:pPr>
      <w:r>
        <w:rPr>
          <w:rFonts w:hint="eastAsia" w:ascii="宋体" w:cs="Arial"/>
          <w:snapToGrid w:val="0"/>
          <w:color w:val="auto"/>
          <w:szCs w:val="21"/>
        </w:rPr>
        <w:t>终止</w:t>
      </w:r>
    </w:p>
    <w:p>
      <w:pPr>
        <w:numPr>
          <w:ilvl w:val="0"/>
          <w:numId w:val="98"/>
        </w:numPr>
        <w:tabs>
          <w:tab w:val="left" w:pos="0"/>
          <w:tab w:val="clear" w:pos="840"/>
        </w:tabs>
        <w:spacing w:line="430" w:lineRule="exact"/>
        <w:ind w:left="360" w:firstLine="66"/>
        <w:rPr>
          <w:rFonts w:ascii="宋体" w:cs="Arial"/>
          <w:snapToGrid w:val="0"/>
          <w:color w:val="auto"/>
          <w:szCs w:val="21"/>
        </w:rPr>
      </w:pPr>
      <w:r>
        <w:rPr>
          <w:rFonts w:hint="eastAsia" w:ascii="宋体" w:cs="Arial"/>
          <w:snapToGrid w:val="0"/>
          <w:color w:val="auto"/>
          <w:szCs w:val="21"/>
        </w:rPr>
        <w:t>提前终止</w:t>
      </w:r>
    </w:p>
    <w:p>
      <w:pPr>
        <w:pStyle w:val="92"/>
        <w:numPr>
          <w:ilvl w:val="0"/>
          <w:numId w:val="99"/>
        </w:numPr>
        <w:tabs>
          <w:tab w:val="left" w:pos="426"/>
          <w:tab w:val="left" w:pos="851"/>
        </w:tabs>
        <w:spacing w:line="430" w:lineRule="exact"/>
        <w:ind w:left="0" w:firstLine="426" w:firstLineChars="0"/>
        <w:rPr>
          <w:rFonts w:ascii="宋体" w:cs="Arial"/>
          <w:snapToGrid w:val="0"/>
          <w:color w:val="auto"/>
          <w:szCs w:val="21"/>
        </w:rPr>
      </w:pPr>
      <w:r>
        <w:rPr>
          <w:rFonts w:hint="eastAsia" w:ascii="宋体" w:cs="Arial"/>
          <w:snapToGrid w:val="0"/>
          <w:color w:val="auto"/>
          <w:szCs w:val="21"/>
        </w:rPr>
        <w:t>如果甲方在服务期内无理由终止合同，甲方须提前一个月向乙方发出书面通知终止承包，甲方支付给乙方月度承包服务款二倍金额的赔偿金。</w:t>
      </w:r>
    </w:p>
    <w:p>
      <w:pPr>
        <w:pStyle w:val="92"/>
        <w:numPr>
          <w:ilvl w:val="0"/>
          <w:numId w:val="99"/>
        </w:numPr>
        <w:tabs>
          <w:tab w:val="left" w:pos="426"/>
          <w:tab w:val="left" w:pos="851"/>
        </w:tabs>
        <w:spacing w:line="430" w:lineRule="exact"/>
        <w:ind w:left="0" w:firstLine="426" w:firstLineChars="0"/>
        <w:rPr>
          <w:rFonts w:ascii="宋体" w:cs="Arial"/>
          <w:snapToGrid w:val="0"/>
          <w:color w:val="auto"/>
          <w:szCs w:val="21"/>
        </w:rPr>
      </w:pPr>
      <w:r>
        <w:rPr>
          <w:rFonts w:hint="eastAsia" w:ascii="宋体" w:cs="Arial"/>
          <w:snapToGrid w:val="0"/>
          <w:color w:val="auto"/>
          <w:szCs w:val="21"/>
        </w:rPr>
        <w:t>因乙方在服务期内</w:t>
      </w:r>
      <w:r>
        <w:rPr>
          <w:rFonts w:hint="eastAsia" w:ascii="宋体" w:cs="Arial"/>
          <w:snapToGrid w:val="0"/>
          <w:color w:val="auto"/>
          <w:szCs w:val="21"/>
          <w:lang w:val="en-US" w:eastAsia="zh-CN"/>
        </w:rPr>
        <w:t>连续</w:t>
      </w:r>
      <w:r>
        <w:rPr>
          <w:rFonts w:hint="eastAsia" w:ascii="宋体" w:cs="Arial"/>
          <w:snapToGrid w:val="0"/>
          <w:color w:val="auto"/>
          <w:szCs w:val="21"/>
        </w:rPr>
        <w:t>两次</w:t>
      </w:r>
      <w:r>
        <w:rPr>
          <w:rFonts w:hint="eastAsia" w:ascii="宋体" w:cs="Arial"/>
          <w:snapToGrid w:val="0"/>
          <w:color w:val="auto"/>
          <w:szCs w:val="21"/>
          <w:lang w:eastAsia="zh-CN"/>
        </w:rPr>
        <w:t>物业管理服务</w:t>
      </w:r>
      <w:r>
        <w:rPr>
          <w:rFonts w:hint="eastAsia" w:ascii="宋体" w:cs="Arial"/>
          <w:snapToGrid w:val="0"/>
          <w:color w:val="auto"/>
          <w:szCs w:val="21"/>
        </w:rPr>
        <w:t>综合考评未达标，甲方可以单方面终止承包，且乙方须支付给甲方月度承包服务款三倍金额的赔偿金。</w:t>
      </w:r>
    </w:p>
    <w:p>
      <w:pPr>
        <w:pStyle w:val="92"/>
        <w:numPr>
          <w:ilvl w:val="0"/>
          <w:numId w:val="99"/>
        </w:numPr>
        <w:tabs>
          <w:tab w:val="left" w:pos="426"/>
          <w:tab w:val="left" w:pos="851"/>
        </w:tabs>
        <w:spacing w:line="430" w:lineRule="exact"/>
        <w:ind w:left="0" w:firstLine="426" w:firstLineChars="0"/>
        <w:rPr>
          <w:rFonts w:ascii="宋体" w:cs="Arial"/>
          <w:snapToGrid w:val="0"/>
          <w:color w:val="auto"/>
          <w:szCs w:val="21"/>
        </w:rPr>
      </w:pPr>
      <w:r>
        <w:rPr>
          <w:rFonts w:hint="eastAsia" w:ascii="宋体" w:cs="Arial"/>
          <w:snapToGrid w:val="0"/>
          <w:color w:val="auto"/>
          <w:szCs w:val="21"/>
        </w:rPr>
        <w:t>如甲方发现乙方出现转租、转让、抵押承包等情况，甲方可以单方面终止承包，且乙方须支付给甲方月度承包服务款三倍金额的赔偿金。</w:t>
      </w:r>
    </w:p>
    <w:p>
      <w:pPr>
        <w:pStyle w:val="92"/>
        <w:numPr>
          <w:ilvl w:val="0"/>
          <w:numId w:val="99"/>
        </w:numPr>
        <w:tabs>
          <w:tab w:val="left" w:pos="426"/>
          <w:tab w:val="left" w:pos="851"/>
        </w:tabs>
        <w:spacing w:line="430" w:lineRule="exact"/>
        <w:ind w:left="0" w:firstLine="426" w:firstLineChars="0"/>
        <w:rPr>
          <w:rFonts w:ascii="宋体" w:cs="Arial"/>
          <w:snapToGrid w:val="0"/>
          <w:color w:val="auto"/>
          <w:szCs w:val="21"/>
        </w:rPr>
      </w:pPr>
      <w:r>
        <w:rPr>
          <w:rFonts w:hint="eastAsia" w:ascii="宋体" w:cs="Arial"/>
          <w:snapToGrid w:val="0"/>
          <w:color w:val="auto"/>
          <w:szCs w:val="21"/>
        </w:rPr>
        <w:t>如果乙方在服务期内无理由终止合同，乙方须提前三个月向甲方发出书面通知终止承包，并支付给甲方月度承包服务款三倍金额的赔偿金；如果乙方在服务期内突然无理由终止合同，未提前三个月向甲方发出书面通知终止承包，并须支付给甲方月度承包服务款五倍金额的赔偿金。</w:t>
      </w:r>
    </w:p>
    <w:p>
      <w:pPr>
        <w:pStyle w:val="92"/>
        <w:numPr>
          <w:ilvl w:val="0"/>
          <w:numId w:val="99"/>
        </w:numPr>
        <w:tabs>
          <w:tab w:val="left" w:pos="426"/>
          <w:tab w:val="left" w:pos="851"/>
        </w:tabs>
        <w:spacing w:line="430" w:lineRule="exact"/>
        <w:ind w:left="0" w:firstLine="426" w:firstLineChars="0"/>
        <w:rPr>
          <w:rFonts w:ascii="宋体" w:cs="Arial"/>
          <w:snapToGrid w:val="0"/>
          <w:color w:val="auto"/>
          <w:szCs w:val="21"/>
        </w:rPr>
      </w:pPr>
      <w:r>
        <w:rPr>
          <w:rFonts w:hint="eastAsia" w:ascii="宋体" w:cs="Arial"/>
          <w:snapToGrid w:val="0"/>
          <w:color w:val="auto"/>
          <w:szCs w:val="21"/>
        </w:rPr>
        <w:t>如果乙方在服务期内由于乙方原因造成重大责任事故或安全事故，甲方可以单方面终止承包，且乙方须赔偿给甲方造成的经济损失，并须支付给甲方月度承包服务款五倍金额的赔偿金。</w:t>
      </w:r>
    </w:p>
    <w:p>
      <w:pPr>
        <w:pStyle w:val="92"/>
        <w:numPr>
          <w:ilvl w:val="0"/>
          <w:numId w:val="99"/>
        </w:numPr>
        <w:tabs>
          <w:tab w:val="left" w:pos="426"/>
          <w:tab w:val="left" w:pos="851"/>
        </w:tabs>
        <w:spacing w:line="430" w:lineRule="exact"/>
        <w:ind w:left="0" w:firstLine="426" w:firstLineChars="0"/>
        <w:rPr>
          <w:rFonts w:ascii="宋体" w:cs="Arial"/>
          <w:snapToGrid w:val="0"/>
          <w:color w:val="auto"/>
          <w:szCs w:val="21"/>
        </w:rPr>
      </w:pPr>
      <w:r>
        <w:rPr>
          <w:rFonts w:hint="eastAsia" w:ascii="宋体" w:cs="Arial"/>
          <w:snapToGrid w:val="0"/>
          <w:color w:val="auto"/>
          <w:szCs w:val="21"/>
        </w:rPr>
        <w:t>乙方未能履行合同和遵守有关规定，在甲方发出书面警告后一周内乙方仍无采取补救措施，甲方可立即终止承包。</w:t>
      </w:r>
    </w:p>
    <w:p>
      <w:pPr>
        <w:pStyle w:val="92"/>
        <w:numPr>
          <w:ilvl w:val="0"/>
          <w:numId w:val="99"/>
        </w:numPr>
        <w:tabs>
          <w:tab w:val="left" w:pos="426"/>
          <w:tab w:val="left" w:pos="851"/>
        </w:tabs>
        <w:spacing w:line="430" w:lineRule="exact"/>
        <w:ind w:left="0" w:firstLine="426" w:firstLineChars="0"/>
        <w:rPr>
          <w:rFonts w:ascii="宋体" w:cs="Arial"/>
          <w:snapToGrid w:val="0"/>
          <w:color w:val="auto"/>
          <w:szCs w:val="21"/>
        </w:rPr>
      </w:pPr>
      <w:r>
        <w:rPr>
          <w:rFonts w:hint="eastAsia" w:ascii="宋体" w:cs="Arial"/>
          <w:snapToGrid w:val="0"/>
          <w:color w:val="auto"/>
          <w:szCs w:val="21"/>
        </w:rPr>
        <w:t>乙方破产清处、重组及兼并等事实发生，或被债权人接管经营，甲方不必通知乙方即可终止承包。</w:t>
      </w:r>
    </w:p>
    <w:p>
      <w:pPr>
        <w:numPr>
          <w:ilvl w:val="0"/>
          <w:numId w:val="98"/>
        </w:numPr>
        <w:tabs>
          <w:tab w:val="left" w:pos="0"/>
          <w:tab w:val="clear" w:pos="840"/>
        </w:tabs>
        <w:spacing w:line="430" w:lineRule="exact"/>
        <w:ind w:left="360" w:firstLine="66"/>
        <w:rPr>
          <w:rFonts w:ascii="宋体" w:cs="Arial"/>
          <w:snapToGrid w:val="0"/>
          <w:color w:val="auto"/>
          <w:szCs w:val="21"/>
        </w:rPr>
      </w:pPr>
      <w:r>
        <w:rPr>
          <w:rFonts w:hint="eastAsia" w:ascii="宋体" w:cs="Arial"/>
          <w:snapToGrid w:val="0"/>
          <w:color w:val="auto"/>
          <w:szCs w:val="21"/>
        </w:rPr>
        <w:t xml:space="preserve">协议终止  </w:t>
      </w:r>
    </w:p>
    <w:p>
      <w:pPr>
        <w:spacing w:line="430" w:lineRule="exact"/>
        <w:ind w:left="420"/>
        <w:rPr>
          <w:rFonts w:ascii="宋体" w:cs="Arial"/>
          <w:snapToGrid w:val="0"/>
          <w:color w:val="auto"/>
          <w:szCs w:val="21"/>
        </w:rPr>
      </w:pPr>
      <w:r>
        <w:rPr>
          <w:rFonts w:hint="eastAsia" w:ascii="宋体" w:cs="Arial"/>
          <w:snapToGrid w:val="0"/>
          <w:color w:val="auto"/>
          <w:szCs w:val="21"/>
        </w:rPr>
        <w:t>经双方协商同意，可在任何时候终止承包</w:t>
      </w:r>
      <w:r>
        <w:rPr>
          <w:rFonts w:hint="eastAsia" w:ascii="宋体" w:cs="Arial"/>
          <w:bCs/>
          <w:snapToGrid w:val="0"/>
          <w:color w:val="auto"/>
          <w:szCs w:val="21"/>
        </w:rPr>
        <w:t>。</w:t>
      </w:r>
    </w:p>
    <w:p>
      <w:pPr>
        <w:numPr>
          <w:ilvl w:val="0"/>
          <w:numId w:val="98"/>
        </w:numPr>
        <w:tabs>
          <w:tab w:val="left" w:pos="0"/>
          <w:tab w:val="clear" w:pos="840"/>
        </w:tabs>
        <w:spacing w:line="430" w:lineRule="exact"/>
        <w:ind w:left="360" w:firstLine="66"/>
        <w:rPr>
          <w:rFonts w:ascii="宋体" w:cs="Arial"/>
          <w:snapToGrid w:val="0"/>
          <w:color w:val="auto"/>
          <w:szCs w:val="21"/>
        </w:rPr>
      </w:pPr>
      <w:r>
        <w:rPr>
          <w:rFonts w:hint="eastAsia" w:ascii="宋体" w:cs="Arial"/>
          <w:snapToGrid w:val="0"/>
          <w:color w:val="auto"/>
          <w:szCs w:val="21"/>
        </w:rPr>
        <w:t>自然终止</w:t>
      </w:r>
    </w:p>
    <w:p>
      <w:pPr>
        <w:spacing w:line="430" w:lineRule="exact"/>
        <w:ind w:left="420"/>
        <w:rPr>
          <w:rFonts w:ascii="宋体" w:cs="Arial"/>
          <w:snapToGrid w:val="0"/>
          <w:color w:val="auto"/>
          <w:szCs w:val="21"/>
        </w:rPr>
      </w:pPr>
      <w:r>
        <w:rPr>
          <w:rFonts w:hint="eastAsia" w:ascii="宋体" w:cs="Arial"/>
          <w:snapToGrid w:val="0"/>
          <w:color w:val="auto"/>
          <w:szCs w:val="21"/>
        </w:rPr>
        <w:t>合同规定的承包期满。</w:t>
      </w:r>
    </w:p>
    <w:p>
      <w:pPr>
        <w:widowControl w:val="0"/>
        <w:numPr>
          <w:ilvl w:val="0"/>
          <w:numId w:val="97"/>
        </w:numPr>
        <w:adjustRightInd w:val="0"/>
        <w:snapToGrid w:val="0"/>
        <w:spacing w:line="430" w:lineRule="exact"/>
        <w:ind w:firstLine="66"/>
        <w:jc w:val="both"/>
        <w:rPr>
          <w:rFonts w:ascii="宋体" w:cs="Arial"/>
          <w:snapToGrid w:val="0"/>
          <w:color w:val="auto"/>
          <w:szCs w:val="21"/>
        </w:rPr>
      </w:pPr>
      <w:r>
        <w:rPr>
          <w:rFonts w:hint="eastAsia" w:ascii="宋体" w:cs="Arial"/>
          <w:snapToGrid w:val="0"/>
          <w:color w:val="auto"/>
          <w:szCs w:val="21"/>
        </w:rPr>
        <w:t>承包终止后果</w:t>
      </w:r>
    </w:p>
    <w:p>
      <w:pPr>
        <w:numPr>
          <w:ilvl w:val="0"/>
          <w:numId w:val="100"/>
        </w:numPr>
        <w:spacing w:line="430" w:lineRule="exact"/>
        <w:rPr>
          <w:rFonts w:ascii="宋体" w:cs="Arial"/>
          <w:snapToGrid w:val="0"/>
          <w:color w:val="auto"/>
          <w:szCs w:val="21"/>
        </w:rPr>
      </w:pPr>
      <w:r>
        <w:rPr>
          <w:rFonts w:hint="eastAsia" w:ascii="宋体" w:cs="Arial"/>
          <w:snapToGrid w:val="0"/>
          <w:color w:val="auto"/>
          <w:szCs w:val="21"/>
        </w:rPr>
        <w:t>终止承包，不影响根据合同规定进行的赔偿、补偿。</w:t>
      </w:r>
    </w:p>
    <w:p>
      <w:pPr>
        <w:numPr>
          <w:ilvl w:val="0"/>
          <w:numId w:val="100"/>
        </w:numPr>
        <w:tabs>
          <w:tab w:val="left" w:pos="0"/>
          <w:tab w:val="clear" w:pos="840"/>
        </w:tabs>
        <w:spacing w:line="430" w:lineRule="exact"/>
        <w:ind w:left="0" w:firstLine="420"/>
        <w:rPr>
          <w:rFonts w:ascii="宋体" w:cs="Arial"/>
          <w:snapToGrid w:val="0"/>
          <w:color w:val="auto"/>
          <w:szCs w:val="21"/>
        </w:rPr>
      </w:pPr>
      <w:r>
        <w:rPr>
          <w:rFonts w:hint="eastAsia" w:ascii="宋体" w:cs="Arial"/>
          <w:snapToGrid w:val="0"/>
          <w:color w:val="auto"/>
          <w:szCs w:val="21"/>
        </w:rPr>
        <w:t>承包终止时，双方应进行结算，甲方同时进行乙方承包区域设施、设备状况检查并要求乙方三天内将乙方物品撤离承包区域，否则甲方将代理处理，乙方支付甲方代理费及15%的手续费。</w:t>
      </w:r>
    </w:p>
    <w:p>
      <w:pPr>
        <w:widowControl w:val="0"/>
        <w:numPr>
          <w:ilvl w:val="0"/>
          <w:numId w:val="97"/>
        </w:numPr>
        <w:adjustRightInd w:val="0"/>
        <w:snapToGrid w:val="0"/>
        <w:spacing w:line="430" w:lineRule="exact"/>
        <w:ind w:firstLine="66"/>
        <w:jc w:val="both"/>
        <w:rPr>
          <w:rFonts w:ascii="宋体" w:cs="Arial"/>
          <w:snapToGrid w:val="0"/>
          <w:color w:val="auto"/>
          <w:szCs w:val="21"/>
        </w:rPr>
      </w:pPr>
      <w:r>
        <w:rPr>
          <w:rFonts w:hint="eastAsia" w:ascii="宋体" w:cs="Arial"/>
          <w:snapToGrid w:val="0"/>
          <w:color w:val="auto"/>
          <w:szCs w:val="21"/>
        </w:rPr>
        <w:t>不放弃权利</w:t>
      </w:r>
    </w:p>
    <w:p>
      <w:pPr>
        <w:spacing w:line="430" w:lineRule="exact"/>
        <w:ind w:firstLine="420" w:firstLineChars="200"/>
        <w:rPr>
          <w:rFonts w:ascii="宋体" w:cs="Arial"/>
          <w:snapToGrid w:val="0"/>
          <w:color w:val="auto"/>
          <w:szCs w:val="21"/>
        </w:rPr>
      </w:pPr>
      <w:r>
        <w:rPr>
          <w:rFonts w:hint="eastAsia" w:ascii="宋体" w:cs="Arial"/>
          <w:snapToGrid w:val="0"/>
          <w:color w:val="auto"/>
          <w:szCs w:val="21"/>
        </w:rPr>
        <w:t>甲方接受乙方的服务，但不放弃对乙方违约行为进行追究的权利；同时，若甲方对乙方某一违约行为放弃进行追究的权利，但不放弃对乙方其他违约行为进行追究的权利。</w:t>
      </w:r>
    </w:p>
    <w:p>
      <w:pPr>
        <w:spacing w:beforeLines="50" w:afterLines="50" w:line="360" w:lineRule="auto"/>
        <w:outlineLvl w:val="1"/>
        <w:rPr>
          <w:rFonts w:ascii="宋体" w:hAnsi="宋体" w:cs="宋体"/>
          <w:b/>
          <w:bCs/>
          <w:color w:val="auto"/>
          <w:szCs w:val="21"/>
        </w:rPr>
      </w:pPr>
      <w:bookmarkStart w:id="1026" w:name="_Toc3524"/>
      <w:bookmarkStart w:id="1027" w:name="_Toc10062"/>
      <w:bookmarkStart w:id="1028" w:name="_Toc12106"/>
      <w:bookmarkStart w:id="1029" w:name="_Toc5912"/>
      <w:bookmarkStart w:id="1030" w:name="_Toc17222"/>
      <w:bookmarkStart w:id="1031" w:name="_Toc15335"/>
      <w:bookmarkStart w:id="1032" w:name="_Toc3954"/>
      <w:bookmarkStart w:id="1033" w:name="_Toc19557"/>
      <w:r>
        <w:rPr>
          <w:rFonts w:hint="eastAsia" w:ascii="宋体" w:hAnsi="宋体" w:cs="宋体"/>
          <w:b/>
          <w:bCs/>
          <w:color w:val="auto"/>
          <w:szCs w:val="21"/>
        </w:rPr>
        <w:t>第十</w:t>
      </w:r>
      <w:r>
        <w:rPr>
          <w:rFonts w:hint="eastAsia" w:ascii="宋体" w:hAnsi="宋体" w:cs="宋体"/>
          <w:b/>
          <w:bCs/>
          <w:color w:val="auto"/>
          <w:szCs w:val="21"/>
          <w:u w:val="dotted"/>
          <w:lang w:eastAsia="zh-CN"/>
        </w:rPr>
        <w:t>二</w:t>
      </w:r>
      <w:r>
        <w:rPr>
          <w:rFonts w:hint="eastAsia" w:ascii="宋体" w:hAnsi="宋体" w:cs="宋体"/>
          <w:b/>
          <w:bCs/>
          <w:color w:val="auto"/>
          <w:szCs w:val="21"/>
          <w:lang w:val="en-US" w:eastAsia="zh-CN"/>
        </w:rPr>
        <w:t xml:space="preserve"> </w:t>
      </w:r>
      <w:r>
        <w:rPr>
          <w:rFonts w:hint="eastAsia" w:ascii="宋体" w:hAnsi="宋体" w:cs="宋体"/>
          <w:b/>
          <w:bCs/>
          <w:color w:val="auto"/>
          <w:szCs w:val="21"/>
        </w:rPr>
        <w:t>条  其他说明</w:t>
      </w:r>
      <w:bookmarkEnd w:id="1026"/>
      <w:bookmarkEnd w:id="1027"/>
      <w:bookmarkEnd w:id="1028"/>
      <w:bookmarkEnd w:id="1029"/>
      <w:bookmarkEnd w:id="1030"/>
      <w:bookmarkEnd w:id="1031"/>
      <w:bookmarkEnd w:id="1032"/>
      <w:bookmarkEnd w:id="1033"/>
    </w:p>
    <w:p>
      <w:pPr>
        <w:numPr>
          <w:ilvl w:val="0"/>
          <w:numId w:val="101"/>
        </w:numPr>
        <w:spacing w:line="360" w:lineRule="auto"/>
        <w:ind w:left="6" w:firstLine="414"/>
        <w:rPr>
          <w:rFonts w:ascii="宋体" w:hAnsi="宋体" w:cs="宋体"/>
          <w:color w:val="auto"/>
          <w:szCs w:val="21"/>
        </w:rPr>
      </w:pPr>
      <w:r>
        <w:rPr>
          <w:rFonts w:hint="eastAsia" w:ascii="宋体" w:hAnsi="宋体" w:cs="宋体"/>
          <w:color w:val="auto"/>
          <w:szCs w:val="21"/>
        </w:rPr>
        <w:t>本合同中所述通知，必须为书面形式，并有送达签收。</w:t>
      </w:r>
    </w:p>
    <w:p>
      <w:pPr>
        <w:numPr>
          <w:ilvl w:val="0"/>
          <w:numId w:val="101"/>
        </w:numPr>
        <w:spacing w:line="360" w:lineRule="auto"/>
        <w:ind w:left="6" w:firstLine="414"/>
        <w:rPr>
          <w:rFonts w:ascii="宋体" w:hAnsi="宋体" w:cs="宋体"/>
          <w:color w:val="auto"/>
          <w:szCs w:val="21"/>
        </w:rPr>
      </w:pPr>
      <w:r>
        <w:rPr>
          <w:rFonts w:hint="eastAsia" w:ascii="宋体" w:hAnsi="宋体" w:cs="宋体"/>
          <w:color w:val="auto"/>
          <w:szCs w:val="21"/>
        </w:rPr>
        <w:t>关于本合同争议，应双方友好协调解决，协商不一致，任何一方均可提起仲裁或诉讼，仲裁或诉讼按合同履行地原则。</w:t>
      </w:r>
    </w:p>
    <w:p>
      <w:pPr>
        <w:numPr>
          <w:ilvl w:val="0"/>
          <w:numId w:val="101"/>
        </w:numPr>
        <w:spacing w:line="360" w:lineRule="auto"/>
        <w:ind w:left="6" w:firstLine="414"/>
        <w:rPr>
          <w:rFonts w:ascii="宋体" w:hAnsi="宋体" w:cs="宋体"/>
          <w:color w:val="auto"/>
          <w:szCs w:val="21"/>
        </w:rPr>
      </w:pPr>
      <w:r>
        <w:rPr>
          <w:rFonts w:hint="eastAsia" w:ascii="宋体" w:hAnsi="宋体" w:cs="宋体"/>
          <w:color w:val="auto"/>
          <w:szCs w:val="21"/>
        </w:rPr>
        <w:t>如双方同意，可以书面修改或补充本合同条款，合同的附件、修改（补充）件均与本合同同效。</w:t>
      </w:r>
    </w:p>
    <w:p>
      <w:pPr>
        <w:numPr>
          <w:ilvl w:val="0"/>
          <w:numId w:val="101"/>
        </w:numPr>
        <w:spacing w:line="360" w:lineRule="auto"/>
        <w:ind w:left="6" w:firstLine="414"/>
        <w:rPr>
          <w:rFonts w:ascii="宋体" w:hAnsi="宋体" w:cs="宋体"/>
          <w:color w:val="auto"/>
          <w:szCs w:val="21"/>
        </w:rPr>
      </w:pPr>
      <w:r>
        <w:rPr>
          <w:rFonts w:hint="eastAsia" w:ascii="宋体" w:hAnsi="宋体" w:cs="宋体"/>
          <w:color w:val="auto"/>
          <w:szCs w:val="21"/>
        </w:rPr>
        <w:t>本合同为政府采购合同，招标文件、补充文件、中标通知书、中标人的投标文件及澄清文件均为本合同不可分割的组成部分。</w:t>
      </w:r>
    </w:p>
    <w:p>
      <w:pPr>
        <w:spacing w:beforeLines="50" w:afterLines="50" w:line="360" w:lineRule="auto"/>
        <w:outlineLvl w:val="1"/>
        <w:rPr>
          <w:rFonts w:ascii="宋体" w:hAnsi="宋体" w:cs="宋体"/>
          <w:b/>
          <w:bCs/>
          <w:color w:val="auto"/>
          <w:szCs w:val="21"/>
        </w:rPr>
      </w:pPr>
      <w:bookmarkStart w:id="1034" w:name="_Toc21904"/>
      <w:bookmarkStart w:id="1035" w:name="_Toc15978"/>
      <w:bookmarkStart w:id="1036" w:name="_Toc28021"/>
      <w:bookmarkStart w:id="1037" w:name="_Toc31048"/>
      <w:bookmarkStart w:id="1038" w:name="_Toc18017"/>
      <w:bookmarkStart w:id="1039" w:name="_Toc213"/>
      <w:bookmarkStart w:id="1040" w:name="_Toc23650"/>
      <w:bookmarkStart w:id="1041" w:name="_Toc25151"/>
      <w:r>
        <w:rPr>
          <w:rFonts w:hint="eastAsia" w:ascii="宋体" w:hAnsi="宋体" w:cs="宋体"/>
          <w:b/>
          <w:bCs/>
          <w:color w:val="auto"/>
          <w:szCs w:val="21"/>
        </w:rPr>
        <w:t>第十</w:t>
      </w:r>
      <w:r>
        <w:rPr>
          <w:rFonts w:hint="eastAsia" w:ascii="宋体" w:hAnsi="宋体" w:cs="宋体"/>
          <w:b/>
          <w:bCs/>
          <w:color w:val="auto"/>
          <w:szCs w:val="21"/>
          <w:lang w:val="en-US" w:eastAsia="zh-CN"/>
        </w:rPr>
        <w:t>四</w:t>
      </w:r>
      <w:r>
        <w:rPr>
          <w:rFonts w:hint="eastAsia" w:ascii="宋体" w:hAnsi="宋体" w:cs="宋体"/>
          <w:b/>
          <w:bCs/>
          <w:color w:val="auto"/>
          <w:szCs w:val="21"/>
        </w:rPr>
        <w:t>条  合同有效时间</w:t>
      </w:r>
      <w:bookmarkEnd w:id="1034"/>
      <w:bookmarkEnd w:id="1035"/>
      <w:bookmarkEnd w:id="1036"/>
      <w:bookmarkEnd w:id="1037"/>
      <w:bookmarkEnd w:id="1038"/>
      <w:bookmarkEnd w:id="1039"/>
      <w:bookmarkEnd w:id="1040"/>
      <w:bookmarkEnd w:id="1041"/>
    </w:p>
    <w:p>
      <w:pPr>
        <w:spacing w:line="400" w:lineRule="exact"/>
        <w:ind w:firstLine="418" w:firstLineChars="190"/>
        <w:rPr>
          <w:rFonts w:ascii="新宋体" w:hAnsi="新宋体" w:eastAsia="新宋体" w:cs="新宋体"/>
          <w:color w:val="auto"/>
          <w:sz w:val="22"/>
          <w:szCs w:val="22"/>
        </w:rPr>
      </w:pPr>
      <w:r>
        <w:rPr>
          <w:rFonts w:hint="eastAsia" w:ascii="新宋体" w:hAnsi="新宋体" w:eastAsia="新宋体" w:cs="新宋体"/>
          <w:color w:val="auto"/>
          <w:sz w:val="22"/>
          <w:szCs w:val="22"/>
          <w:u w:val="single"/>
          <w:lang w:val="en-US" w:eastAsia="zh-CN"/>
        </w:rPr>
        <w:t xml:space="preserve">    </w:t>
      </w:r>
      <w:r>
        <w:rPr>
          <w:rFonts w:ascii="新宋体" w:hAnsi="新宋体" w:eastAsia="新宋体" w:cs="新宋体"/>
          <w:color w:val="auto"/>
          <w:sz w:val="22"/>
          <w:szCs w:val="22"/>
        </w:rPr>
        <w:t>年</w:t>
      </w:r>
      <w:r>
        <w:rPr>
          <w:rFonts w:hint="eastAsia" w:ascii="新宋体" w:hAnsi="新宋体" w:eastAsia="新宋体" w:cs="新宋体"/>
          <w:color w:val="auto"/>
          <w:sz w:val="22"/>
          <w:szCs w:val="22"/>
          <w:u w:val="single"/>
          <w:lang w:val="en-US" w:eastAsia="zh-CN"/>
        </w:rPr>
        <w:t xml:space="preserve">    </w:t>
      </w:r>
      <w:r>
        <w:rPr>
          <w:rFonts w:ascii="新宋体" w:hAnsi="新宋体" w:eastAsia="新宋体" w:cs="新宋体"/>
          <w:color w:val="auto"/>
          <w:sz w:val="22"/>
          <w:szCs w:val="22"/>
        </w:rPr>
        <w:t>月</w:t>
      </w:r>
      <w:r>
        <w:rPr>
          <w:rFonts w:hint="eastAsia" w:ascii="新宋体" w:hAnsi="新宋体" w:eastAsia="新宋体" w:cs="新宋体"/>
          <w:color w:val="auto"/>
          <w:sz w:val="22"/>
          <w:szCs w:val="22"/>
          <w:u w:val="single"/>
          <w:lang w:val="en-US" w:eastAsia="zh-CN"/>
        </w:rPr>
        <w:t xml:space="preserve">   </w:t>
      </w:r>
      <w:r>
        <w:rPr>
          <w:rFonts w:ascii="新宋体" w:hAnsi="新宋体" w:eastAsia="新宋体" w:cs="新宋体"/>
          <w:color w:val="auto"/>
          <w:sz w:val="22"/>
          <w:szCs w:val="22"/>
        </w:rPr>
        <w:t>日至</w:t>
      </w:r>
      <w:r>
        <w:rPr>
          <w:rFonts w:hint="eastAsia" w:ascii="新宋体" w:hAnsi="新宋体" w:eastAsia="新宋体" w:cs="新宋体"/>
          <w:color w:val="auto"/>
          <w:sz w:val="22"/>
          <w:szCs w:val="22"/>
          <w:u w:val="single"/>
          <w:lang w:val="en-US" w:eastAsia="zh-CN"/>
        </w:rPr>
        <w:t xml:space="preserve">    </w:t>
      </w:r>
      <w:r>
        <w:rPr>
          <w:rFonts w:ascii="新宋体" w:hAnsi="新宋体" w:eastAsia="新宋体" w:cs="新宋体"/>
          <w:color w:val="auto"/>
          <w:sz w:val="22"/>
          <w:szCs w:val="22"/>
        </w:rPr>
        <w:t>年</w:t>
      </w:r>
      <w:r>
        <w:rPr>
          <w:rFonts w:hint="eastAsia" w:ascii="新宋体" w:hAnsi="新宋体" w:eastAsia="新宋体" w:cs="新宋体"/>
          <w:color w:val="auto"/>
          <w:sz w:val="22"/>
          <w:szCs w:val="22"/>
          <w:u w:val="single"/>
          <w:lang w:val="en-US" w:eastAsia="zh-CN"/>
        </w:rPr>
        <w:t xml:space="preserve">    </w:t>
      </w:r>
      <w:r>
        <w:rPr>
          <w:rFonts w:ascii="新宋体" w:hAnsi="新宋体" w:eastAsia="新宋体" w:cs="新宋体"/>
          <w:color w:val="auto"/>
          <w:sz w:val="22"/>
          <w:szCs w:val="22"/>
        </w:rPr>
        <w:t>月</w:t>
      </w:r>
      <w:r>
        <w:rPr>
          <w:rFonts w:hint="eastAsia" w:ascii="新宋体" w:hAnsi="新宋体" w:eastAsia="新宋体" w:cs="新宋体"/>
          <w:color w:val="auto"/>
          <w:sz w:val="22"/>
          <w:szCs w:val="22"/>
          <w:u w:val="single"/>
          <w:lang w:val="en-US" w:eastAsia="zh-CN"/>
        </w:rPr>
        <w:t xml:space="preserve">    </w:t>
      </w:r>
      <w:r>
        <w:rPr>
          <w:rFonts w:ascii="新宋体" w:hAnsi="新宋体" w:eastAsia="新宋体" w:cs="新宋体"/>
          <w:color w:val="auto"/>
          <w:sz w:val="22"/>
          <w:szCs w:val="22"/>
        </w:rPr>
        <w:t>日</w:t>
      </w:r>
      <w:r>
        <w:rPr>
          <w:rFonts w:hint="eastAsia" w:ascii="新宋体" w:hAnsi="新宋体" w:eastAsia="新宋体" w:cs="新宋体"/>
          <w:color w:val="auto"/>
          <w:sz w:val="22"/>
          <w:szCs w:val="22"/>
        </w:rPr>
        <w:t>，本合同为第一年服务期。</w:t>
      </w:r>
    </w:p>
    <w:p>
      <w:pPr>
        <w:spacing w:line="480" w:lineRule="auto"/>
        <w:ind w:firstLine="941" w:firstLineChars="428"/>
        <w:rPr>
          <w:rFonts w:ascii="新宋体" w:hAnsi="新宋体" w:eastAsia="新宋体" w:cs="新宋体"/>
          <w:color w:val="auto"/>
          <w:sz w:val="22"/>
          <w:szCs w:val="22"/>
        </w:rPr>
      </w:pPr>
    </w:p>
    <w:p>
      <w:pPr>
        <w:spacing w:line="480" w:lineRule="auto"/>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甲方：（盖章）                       乙方：（盖章）</w:t>
      </w:r>
    </w:p>
    <w:p>
      <w:pPr>
        <w:spacing w:line="480" w:lineRule="auto"/>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全权代表:（签字）                    全权代表:（签字）</w:t>
      </w:r>
    </w:p>
    <w:p>
      <w:pPr>
        <w:spacing w:line="480" w:lineRule="auto"/>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地址：                               地址：</w:t>
      </w:r>
    </w:p>
    <w:p>
      <w:pPr>
        <w:spacing w:line="480" w:lineRule="auto"/>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电话：                               电话：</w:t>
      </w:r>
    </w:p>
    <w:p>
      <w:pPr>
        <w:spacing w:line="480" w:lineRule="auto"/>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开户银行：                           开户银行：</w:t>
      </w:r>
    </w:p>
    <w:p>
      <w:pPr>
        <w:spacing w:line="480" w:lineRule="auto"/>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帐号：                               帐号：</w:t>
      </w:r>
    </w:p>
    <w:p>
      <w:pPr>
        <w:spacing w:line="480" w:lineRule="auto"/>
        <w:ind w:firstLine="220" w:firstLineChars="100"/>
        <w:rPr>
          <w:rFonts w:ascii="新宋体" w:hAnsi="新宋体" w:eastAsia="新宋体" w:cs="新宋体"/>
          <w:color w:val="auto"/>
          <w:sz w:val="22"/>
          <w:szCs w:val="22"/>
        </w:rPr>
      </w:pPr>
      <w:r>
        <w:rPr>
          <w:rFonts w:hint="eastAsia" w:ascii="新宋体" w:hAnsi="新宋体" w:eastAsia="新宋体" w:cs="新宋体"/>
          <w:color w:val="auto"/>
          <w:sz w:val="22"/>
          <w:szCs w:val="22"/>
        </w:rPr>
        <w:t>日期：                               日期：</w:t>
      </w:r>
    </w:p>
    <w:p>
      <w:pPr>
        <w:pStyle w:val="18"/>
        <w:rPr>
          <w:color w:val="auto"/>
        </w:rPr>
      </w:pPr>
    </w:p>
    <w:p>
      <w:pPr>
        <w:snapToGrid w:val="0"/>
        <w:spacing w:beforeLines="50" w:line="360" w:lineRule="auto"/>
        <w:rPr>
          <w:rFonts w:ascii="宋体" w:hAnsi="宋体" w:cs="宋体"/>
          <w:b/>
          <w:color w:val="auto"/>
          <w:kern w:val="2"/>
          <w:szCs w:val="21"/>
        </w:rPr>
      </w:pPr>
      <w:r>
        <w:rPr>
          <w:rFonts w:hint="eastAsia" w:ascii="宋体" w:hAnsi="宋体" w:cs="宋体"/>
          <w:b/>
          <w:color w:val="auto"/>
          <w:szCs w:val="21"/>
        </w:rPr>
        <w:t>注：</w:t>
      </w:r>
      <w:r>
        <w:rPr>
          <w:rFonts w:hint="eastAsia" w:ascii="宋体" w:hAnsi="宋体" w:cs="宋体"/>
          <w:b/>
          <w:color w:val="auto"/>
          <w:kern w:val="2"/>
          <w:szCs w:val="21"/>
        </w:rPr>
        <w:t>1、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snapToGrid w:val="0"/>
        <w:spacing w:line="360" w:lineRule="auto"/>
        <w:ind w:firstLine="422" w:firstLineChars="200"/>
        <w:jc w:val="both"/>
        <w:rPr>
          <w:rFonts w:ascii="宋体" w:hAnsi="宋体" w:cs="宋体"/>
          <w:b/>
          <w:color w:val="auto"/>
          <w:kern w:val="2"/>
          <w:szCs w:val="21"/>
        </w:rPr>
      </w:pPr>
      <w:r>
        <w:rPr>
          <w:rFonts w:hint="eastAsia" w:ascii="宋体" w:hAnsi="宋体" w:cs="宋体"/>
          <w:b/>
          <w:color w:val="auto"/>
          <w:kern w:val="2"/>
          <w:szCs w:val="21"/>
        </w:rPr>
        <w:t>2、本合同作为示范文本，具体以中标人与采购人所签定正式合同为准。</w:t>
      </w:r>
    </w:p>
    <w:p>
      <w:pPr>
        <w:pStyle w:val="2"/>
        <w:keepNext w:val="0"/>
        <w:keepLines w:val="0"/>
        <w:pageBreakBefore/>
        <w:spacing w:before="156" w:beforeLines="50" w:after="312" w:afterLines="100" w:line="240" w:lineRule="auto"/>
        <w:ind w:firstLine="2530" w:firstLineChars="900"/>
        <w:rPr>
          <w:rFonts w:hAnsi="宋体"/>
          <w:color w:val="auto"/>
          <w:sz w:val="28"/>
          <w:szCs w:val="36"/>
        </w:rPr>
      </w:pPr>
      <w:bookmarkStart w:id="1042" w:name="_Toc17399"/>
      <w:r>
        <w:rPr>
          <w:rFonts w:hint="eastAsia" w:hAnsi="宋体"/>
          <w:color w:val="auto"/>
          <w:sz w:val="28"/>
          <w:szCs w:val="36"/>
          <w:lang w:eastAsia="zh-CN"/>
        </w:rPr>
        <w:t>第六部分</w:t>
      </w:r>
      <w:r>
        <w:rPr>
          <w:rFonts w:hint="eastAsia" w:hAnsi="宋体"/>
          <w:color w:val="auto"/>
          <w:sz w:val="28"/>
          <w:szCs w:val="36"/>
        </w:rPr>
        <w:t xml:space="preserve"> 投标文件格式</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1042"/>
    </w:p>
    <w:p>
      <w:pPr>
        <w:snapToGrid w:val="0"/>
        <w:jc w:val="center"/>
        <w:rPr>
          <w:rFonts w:ascii="宋体" w:hAnsi="宋体" w:cs="宋体"/>
          <w:color w:val="auto"/>
          <w:szCs w:val="21"/>
        </w:rPr>
      </w:pPr>
    </w:p>
    <w:p>
      <w:pPr>
        <w:pStyle w:val="22"/>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说明：</w:t>
      </w:r>
    </w:p>
    <w:p>
      <w:pPr>
        <w:pStyle w:val="22"/>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1．投标文件由投标人根据</w:t>
      </w:r>
      <w:r>
        <w:rPr>
          <w:rFonts w:hint="eastAsia" w:hAnsi="宋体" w:eastAsia="宋体" w:cs="宋体"/>
          <w:color w:val="auto"/>
          <w:highlight w:val="none"/>
          <w:lang w:eastAsia="zh-CN"/>
        </w:rPr>
        <w:t>招标</w:t>
      </w:r>
      <w:r>
        <w:rPr>
          <w:rFonts w:hint="eastAsia" w:ascii="宋体" w:hAnsi="宋体" w:eastAsia="宋体" w:cs="宋体"/>
          <w:color w:val="auto"/>
          <w:highlight w:val="none"/>
        </w:rPr>
        <w:t>文件要求</w:t>
      </w:r>
      <w:r>
        <w:rPr>
          <w:rFonts w:hint="eastAsia" w:hAnsi="宋体" w:eastAsia="宋体" w:cs="宋体"/>
          <w:color w:val="auto"/>
          <w:highlight w:val="none"/>
          <w:lang w:eastAsia="zh-CN"/>
        </w:rPr>
        <w:t>按</w:t>
      </w:r>
      <w:r>
        <w:rPr>
          <w:rFonts w:hint="eastAsia" w:ascii="宋体" w:hAnsi="宋体" w:eastAsia="宋体" w:cs="宋体"/>
          <w:color w:val="auto"/>
          <w:highlight w:val="none"/>
        </w:rPr>
        <w:t>附件格式编制。</w:t>
      </w:r>
    </w:p>
    <w:p>
      <w:pPr>
        <w:pStyle w:val="22"/>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2．投标人根据实际情况填写。</w:t>
      </w:r>
    </w:p>
    <w:p>
      <w:pPr>
        <w:pStyle w:val="22"/>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hAnsi="宋体" w:eastAsia="宋体" w:cs="宋体"/>
          <w:color w:val="auto"/>
          <w:highlight w:val="none"/>
          <w:lang w:eastAsia="zh-CN"/>
        </w:rPr>
        <w:t>招标</w:t>
      </w:r>
      <w:r>
        <w:rPr>
          <w:rFonts w:hint="eastAsia" w:ascii="宋体" w:hAnsi="宋体" w:eastAsia="宋体" w:cs="宋体"/>
          <w:color w:val="auto"/>
          <w:highlight w:val="none"/>
        </w:rPr>
        <w:t>文件中没有参考格式的，投标人自行编制。</w:t>
      </w:r>
    </w:p>
    <w:p>
      <w:pPr>
        <w:pStyle w:val="22"/>
        <w:spacing w:line="360" w:lineRule="auto"/>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4.</w:t>
      </w:r>
      <w:r>
        <w:rPr>
          <w:rFonts w:hint="eastAsia" w:ascii="宋体" w:hAnsi="宋体" w:eastAsia="宋体" w:cs="宋体"/>
          <w:b/>
          <w:bCs/>
          <w:color w:val="auto"/>
          <w:highlight w:val="none"/>
        </w:rPr>
        <w:t>盖</w:t>
      </w:r>
      <w:r>
        <w:rPr>
          <w:rFonts w:hint="eastAsia" w:ascii="宋体" w:hAnsi="宋体" w:eastAsia="宋体" w:cs="宋体"/>
          <w:b/>
          <w:bCs/>
          <w:color w:val="auto"/>
          <w:highlight w:val="none"/>
          <w:lang w:eastAsia="zh-CN"/>
        </w:rPr>
        <w:t>公</w:t>
      </w:r>
      <w:r>
        <w:rPr>
          <w:rFonts w:hint="eastAsia" w:ascii="宋体" w:hAnsi="宋体" w:eastAsia="宋体" w:cs="宋体"/>
          <w:b/>
          <w:bCs/>
          <w:color w:val="auto"/>
          <w:highlight w:val="none"/>
        </w:rPr>
        <w:t>章部分</w:t>
      </w:r>
      <w:r>
        <w:rPr>
          <w:rFonts w:hint="eastAsia" w:hAnsi="宋体" w:eastAsia="宋体" w:cs="宋体"/>
          <w:b/>
          <w:bCs/>
          <w:color w:val="auto"/>
          <w:highlight w:val="none"/>
          <w:lang w:eastAsia="zh-CN"/>
        </w:rPr>
        <w:t>均</w:t>
      </w:r>
      <w:r>
        <w:rPr>
          <w:rFonts w:hint="eastAsia" w:ascii="宋体" w:hAnsi="宋体" w:eastAsia="宋体" w:cs="宋体"/>
          <w:b/>
          <w:bCs/>
          <w:color w:val="auto"/>
          <w:highlight w:val="none"/>
        </w:rPr>
        <w:t>采用</w:t>
      </w:r>
      <w:r>
        <w:rPr>
          <w:rFonts w:hint="eastAsia" w:ascii="宋体" w:hAnsi="宋体" w:eastAsia="宋体" w:cs="宋体"/>
          <w:b/>
          <w:bCs/>
          <w:color w:val="auto"/>
          <w:highlight w:val="none"/>
          <w:lang w:eastAsia="zh-CN"/>
        </w:rPr>
        <w:t>电子</w:t>
      </w:r>
      <w:r>
        <w:rPr>
          <w:rFonts w:hint="eastAsia" w:ascii="宋体" w:hAnsi="宋体" w:eastAsia="宋体" w:cs="宋体"/>
          <w:b/>
          <w:bCs/>
          <w:color w:val="auto"/>
          <w:highlight w:val="none"/>
        </w:rPr>
        <w:t>签章。</w:t>
      </w:r>
    </w:p>
    <w:p>
      <w:pPr>
        <w:rPr>
          <w:rFonts w:hint="eastAsia" w:eastAsia="宋体"/>
          <w:color w:val="auto"/>
          <w:lang w:val="en-US" w:eastAsia="zh-CN"/>
        </w:rPr>
      </w:pPr>
    </w:p>
    <w:p>
      <w:pPr>
        <w:pStyle w:val="20"/>
        <w:rPr>
          <w:rFonts w:hint="eastAsia" w:ascii="宋体" w:hAnsi="宋体" w:cs="宋体"/>
          <w:color w:val="auto"/>
          <w:szCs w:val="21"/>
        </w:rPr>
      </w:pPr>
    </w:p>
    <w:p>
      <w:pPr>
        <w:pStyle w:val="20"/>
        <w:rPr>
          <w:rFonts w:hint="eastAsia" w:ascii="宋体" w:hAnsi="宋体" w:cs="宋体"/>
          <w:color w:val="auto"/>
          <w:szCs w:val="21"/>
        </w:rPr>
      </w:pPr>
    </w:p>
    <w:p>
      <w:pPr>
        <w:pStyle w:val="20"/>
        <w:rPr>
          <w:rFonts w:hint="eastAsia" w:ascii="宋体" w:hAnsi="宋体" w:cs="宋体"/>
          <w:color w:val="auto"/>
          <w:szCs w:val="21"/>
        </w:rPr>
      </w:pPr>
    </w:p>
    <w:p>
      <w:pPr>
        <w:pStyle w:val="20"/>
        <w:rPr>
          <w:rFonts w:hint="eastAsia" w:ascii="宋体" w:hAnsi="宋体" w:cs="宋体"/>
          <w:color w:val="auto"/>
          <w:szCs w:val="21"/>
        </w:rPr>
      </w:pPr>
    </w:p>
    <w:p>
      <w:pPr>
        <w:pStyle w:val="20"/>
        <w:rPr>
          <w:rFonts w:hint="eastAsia" w:ascii="宋体" w:hAnsi="宋体" w:cs="宋体"/>
          <w:color w:val="auto"/>
          <w:szCs w:val="21"/>
        </w:rPr>
      </w:pPr>
    </w:p>
    <w:p>
      <w:pPr>
        <w:pStyle w:val="20"/>
        <w:rPr>
          <w:rFonts w:hint="eastAsia" w:ascii="宋体" w:hAnsi="宋体" w:cs="宋体"/>
          <w:color w:val="auto"/>
          <w:szCs w:val="21"/>
        </w:rPr>
      </w:pPr>
    </w:p>
    <w:p>
      <w:pPr>
        <w:pStyle w:val="20"/>
        <w:rPr>
          <w:rFonts w:hint="eastAsia" w:ascii="宋体" w:hAnsi="宋体" w:cs="宋体"/>
          <w:color w:val="auto"/>
          <w:szCs w:val="21"/>
        </w:rPr>
      </w:pPr>
    </w:p>
    <w:p>
      <w:pPr>
        <w:pStyle w:val="20"/>
        <w:rPr>
          <w:rFonts w:hint="eastAsia" w:ascii="宋体" w:hAnsi="宋体" w:cs="宋体"/>
          <w:color w:val="auto"/>
          <w:szCs w:val="21"/>
        </w:rPr>
      </w:pPr>
    </w:p>
    <w:p>
      <w:pPr>
        <w:pStyle w:val="20"/>
        <w:rPr>
          <w:rFonts w:hint="eastAsia" w:ascii="宋体" w:hAnsi="宋体" w:cs="宋体"/>
          <w:color w:val="auto"/>
          <w:szCs w:val="21"/>
        </w:rPr>
      </w:pPr>
    </w:p>
    <w:p>
      <w:pPr>
        <w:pStyle w:val="20"/>
        <w:rPr>
          <w:rFonts w:hint="eastAsia" w:ascii="宋体" w:hAnsi="宋体" w:cs="宋体"/>
          <w:color w:val="auto"/>
          <w:szCs w:val="21"/>
        </w:rPr>
      </w:pPr>
    </w:p>
    <w:p>
      <w:pPr>
        <w:pStyle w:val="20"/>
        <w:rPr>
          <w:rFonts w:hint="eastAsia" w:ascii="宋体" w:hAnsi="宋体" w:cs="宋体"/>
          <w:color w:val="auto"/>
          <w:szCs w:val="21"/>
        </w:rPr>
      </w:pPr>
    </w:p>
    <w:p>
      <w:pPr>
        <w:pStyle w:val="20"/>
        <w:rPr>
          <w:rFonts w:hint="eastAsia" w:ascii="宋体" w:hAnsi="宋体" w:cs="宋体"/>
          <w:color w:val="auto"/>
          <w:szCs w:val="21"/>
        </w:rPr>
      </w:pPr>
    </w:p>
    <w:p>
      <w:pPr>
        <w:pStyle w:val="20"/>
        <w:rPr>
          <w:rFonts w:hint="eastAsia" w:ascii="宋体" w:hAnsi="宋体" w:cs="宋体"/>
          <w:color w:val="auto"/>
          <w:szCs w:val="21"/>
        </w:rPr>
      </w:pPr>
    </w:p>
    <w:p>
      <w:pPr>
        <w:pStyle w:val="20"/>
        <w:ind w:left="0" w:leftChars="0" w:firstLine="0" w:firstLineChars="0"/>
        <w:rPr>
          <w:rFonts w:hint="eastAsia" w:ascii="宋体" w:hAnsi="宋体" w:cs="宋体"/>
          <w:color w:val="auto"/>
          <w:szCs w:val="21"/>
        </w:rPr>
      </w:pPr>
    </w:p>
    <w:p>
      <w:pPr>
        <w:pStyle w:val="3"/>
        <w:keepNext w:val="0"/>
        <w:keepLines w:val="0"/>
        <w:pageBreakBefore/>
        <w:widowControl w:val="0"/>
        <w:tabs>
          <w:tab w:val="left" w:pos="840"/>
        </w:tabs>
        <w:adjustRightInd w:val="0"/>
        <w:snapToGrid w:val="0"/>
        <w:spacing w:before="312" w:beforeLines="100" w:after="312" w:afterLines="100" w:line="240" w:lineRule="auto"/>
        <w:jc w:val="center"/>
        <w:outlineLvl w:val="0"/>
        <w:rPr>
          <w:rFonts w:hint="eastAsia" w:hAnsi="宋体" w:eastAsia="宋体" w:cs="Times New Roman"/>
          <w:b/>
          <w:bCs/>
          <w:color w:val="auto"/>
          <w:sz w:val="28"/>
          <w:szCs w:val="28"/>
          <w:highlight w:val="none"/>
          <w:lang w:val="en-US" w:eastAsia="zh-CN"/>
        </w:rPr>
      </w:pPr>
      <w:bookmarkStart w:id="1043" w:name="_Toc10492"/>
      <w:bookmarkStart w:id="1044" w:name="_Toc7230"/>
      <w:bookmarkStart w:id="1045" w:name="_Toc22064"/>
      <w:bookmarkStart w:id="1046" w:name="_Toc25377"/>
      <w:bookmarkStart w:id="1047" w:name="_Toc10899"/>
      <w:bookmarkStart w:id="1048" w:name="_Toc21525"/>
      <w:bookmarkStart w:id="1049" w:name="_Toc15760"/>
      <w:bookmarkStart w:id="1050" w:name="_Toc11402"/>
      <w:bookmarkStart w:id="1051" w:name="_Toc11594"/>
      <w:bookmarkStart w:id="1052" w:name="_Toc15490"/>
      <w:bookmarkStart w:id="1053" w:name="_Toc3099"/>
      <w:bookmarkStart w:id="1054" w:name="_Toc10361"/>
      <w:bookmarkStart w:id="1055" w:name="_Toc2240"/>
      <w:bookmarkStart w:id="1056" w:name="_Toc16662"/>
      <w:bookmarkStart w:id="1057" w:name="_Toc3180"/>
      <w:bookmarkStart w:id="1058" w:name="_Toc17183"/>
      <w:bookmarkStart w:id="1059" w:name="_Toc13751"/>
      <w:bookmarkStart w:id="1060" w:name="_Toc1987"/>
      <w:bookmarkStart w:id="1061" w:name="_Toc5572"/>
      <w:bookmarkStart w:id="1062" w:name="_Toc13099"/>
      <w:bookmarkStart w:id="1063" w:name="_Toc20216"/>
      <w:bookmarkStart w:id="1064" w:name="_Toc32310"/>
      <w:bookmarkStart w:id="1065" w:name="_Toc22365"/>
      <w:bookmarkStart w:id="1066" w:name="_Toc29255"/>
      <w:bookmarkStart w:id="1067" w:name="_Toc2712"/>
      <w:bookmarkStart w:id="1068" w:name="_Toc31387"/>
      <w:bookmarkStart w:id="1069" w:name="_Toc3447"/>
      <w:bookmarkStart w:id="1070" w:name="_Toc15123"/>
      <w:bookmarkStart w:id="1071" w:name="_Toc3441"/>
      <w:bookmarkStart w:id="1072" w:name="_Toc3627"/>
      <w:r>
        <w:rPr>
          <w:rFonts w:hint="eastAsia" w:hAnsi="宋体" w:eastAsia="宋体" w:cs="Times New Roman"/>
          <w:b/>
          <w:bCs/>
          <w:color w:val="auto"/>
          <w:sz w:val="28"/>
          <w:szCs w:val="28"/>
          <w:highlight w:val="none"/>
        </w:rPr>
        <w:t>附件</w:t>
      </w:r>
      <w:r>
        <w:rPr>
          <w:rFonts w:hint="eastAsia" w:hAnsi="宋体" w:eastAsia="宋体" w:cs="Times New Roman"/>
          <w:b/>
          <w:bCs/>
          <w:color w:val="auto"/>
          <w:sz w:val="28"/>
          <w:szCs w:val="28"/>
          <w:highlight w:val="none"/>
          <w:lang w:eastAsia="zh-CN"/>
        </w:rPr>
        <w:t>一</w:t>
      </w:r>
      <w:r>
        <w:rPr>
          <w:rFonts w:hint="eastAsia" w:hAnsi="宋体" w:eastAsia="宋体" w:cs="Times New Roman"/>
          <w:b/>
          <w:bCs/>
          <w:color w:val="auto"/>
          <w:sz w:val="28"/>
          <w:szCs w:val="28"/>
          <w:highlight w:val="none"/>
        </w:rPr>
        <w:t xml:space="preserve">  关于符合《中华人民共和国政府采购法》第二十二条规定条件的承诺函</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widowControl w:val="0"/>
        <w:spacing w:line="360" w:lineRule="auto"/>
        <w:rPr>
          <w:rFonts w:hint="eastAsia" w:ascii="宋体" w:hAnsi="宋体" w:cs="宋体"/>
          <w:b/>
          <w:color w:val="auto"/>
          <w:szCs w:val="21"/>
          <w:highlight w:val="none"/>
          <w:lang w:bidi="ar"/>
        </w:rPr>
      </w:pPr>
    </w:p>
    <w:p>
      <w:pPr>
        <w:widowControl w:val="0"/>
        <w:spacing w:line="360" w:lineRule="auto"/>
        <w:rPr>
          <w:rStyle w:val="95"/>
          <w:rFonts w:ascii="Arial" w:hAnsi="Arial" w:cs="Arial"/>
          <w:b w:val="0"/>
          <w:bCs/>
          <w:color w:val="auto"/>
          <w:highlight w:val="none"/>
        </w:rPr>
      </w:pPr>
      <w:r>
        <w:rPr>
          <w:rFonts w:hint="eastAsia" w:ascii="宋体" w:hAnsi="宋体" w:cs="宋体"/>
          <w:b w:val="0"/>
          <w:bCs/>
          <w:color w:val="auto"/>
          <w:szCs w:val="21"/>
          <w:highlight w:val="none"/>
          <w:lang w:bidi="ar"/>
        </w:rPr>
        <w:t>瑞安市机关事务管理中心、瑞安市公共资源交易中心：</w:t>
      </w:r>
    </w:p>
    <w:p>
      <w:pPr>
        <w:spacing w:line="360" w:lineRule="auto"/>
        <w:ind w:firstLine="420" w:firstLineChars="200"/>
        <w:rPr>
          <w:rStyle w:val="95"/>
          <w:rFonts w:ascii="Arial" w:hAnsi="Arial" w:cs="Arial"/>
          <w:color w:val="auto"/>
          <w:highlight w:val="none"/>
        </w:rPr>
      </w:pPr>
      <w:r>
        <w:rPr>
          <w:rStyle w:val="95"/>
          <w:rFonts w:ascii="Arial" w:hAnsi="Arial" w:cs="Arial"/>
          <w:color w:val="auto"/>
          <w:highlight w:val="none"/>
        </w:rPr>
        <w:t>我公司参与</w:t>
      </w:r>
      <w:r>
        <w:rPr>
          <w:rStyle w:val="95"/>
          <w:rFonts w:ascii="Arial" w:hAnsi="Arial" w:cs="Arial"/>
          <w:color w:val="auto"/>
          <w:highlight w:val="none"/>
          <w:u w:val="none"/>
        </w:rPr>
        <w:t>项目名称</w:t>
      </w:r>
      <w:r>
        <w:rPr>
          <w:rFonts w:hint="eastAsia" w:ascii="宋体" w:hAnsi="宋体" w:eastAsia="宋体" w:cs="宋体"/>
          <w:color w:val="auto"/>
          <w:sz w:val="21"/>
          <w:szCs w:val="21"/>
          <w:u w:val="single"/>
          <w:lang w:eastAsia="zh-CN"/>
        </w:rPr>
        <w:t>2023-2026年瑞安市市政大院物业管理服务</w:t>
      </w:r>
      <w:r>
        <w:rPr>
          <w:rStyle w:val="95"/>
          <w:rFonts w:ascii="Arial" w:hAnsi="Arial" w:cs="Arial"/>
          <w:color w:val="auto"/>
          <w:highlight w:val="none"/>
        </w:rPr>
        <w:t>（项目编号：</w:t>
      </w:r>
      <w:r>
        <w:rPr>
          <w:rFonts w:hint="eastAsia" w:ascii="Arial" w:hAnsi="Arial" w:eastAsia="宋体" w:cs="Arial"/>
          <w:sz w:val="21"/>
          <w:szCs w:val="21"/>
          <w:u w:val="none"/>
          <w:lang w:val="en-US" w:eastAsia="zh-CN"/>
        </w:rPr>
        <w:t>RAJC20230712</w:t>
      </w:r>
      <w:r>
        <w:rPr>
          <w:rStyle w:val="95"/>
          <w:rFonts w:ascii="Arial" w:hAnsi="Arial" w:cs="Arial"/>
          <w:color w:val="auto"/>
          <w:highlight w:val="none"/>
        </w:rPr>
        <w:t>）投标，郑重承诺具备以下条件：</w:t>
      </w:r>
    </w:p>
    <w:p>
      <w:pPr>
        <w:numPr>
          <w:ilvl w:val="0"/>
          <w:numId w:val="102"/>
        </w:numPr>
        <w:spacing w:line="360" w:lineRule="auto"/>
        <w:rPr>
          <w:rStyle w:val="95"/>
          <w:rFonts w:ascii="Arial" w:hAnsi="Arial" w:cs="Arial"/>
          <w:color w:val="auto"/>
          <w:highlight w:val="none"/>
        </w:rPr>
      </w:pPr>
      <w:r>
        <w:rPr>
          <w:rStyle w:val="95"/>
          <w:rFonts w:ascii="Arial" w:hAnsi="Arial" w:cs="Arial"/>
          <w:color w:val="auto"/>
          <w:highlight w:val="none"/>
        </w:rPr>
        <w:t>具有独立承担民事责任的能力；</w:t>
      </w:r>
    </w:p>
    <w:p>
      <w:pPr>
        <w:numPr>
          <w:ilvl w:val="0"/>
          <w:numId w:val="102"/>
        </w:numPr>
        <w:spacing w:line="360" w:lineRule="auto"/>
        <w:rPr>
          <w:rStyle w:val="95"/>
          <w:rFonts w:ascii="Arial" w:hAnsi="Arial" w:cs="Arial"/>
          <w:color w:val="auto"/>
          <w:highlight w:val="none"/>
        </w:rPr>
      </w:pPr>
      <w:r>
        <w:rPr>
          <w:rStyle w:val="95"/>
          <w:rFonts w:ascii="Arial" w:hAnsi="Arial" w:cs="Arial"/>
          <w:color w:val="auto"/>
          <w:highlight w:val="none"/>
        </w:rPr>
        <w:t>具有良好的商业信誉和健全的财务会计制度；</w:t>
      </w:r>
    </w:p>
    <w:p>
      <w:pPr>
        <w:numPr>
          <w:ilvl w:val="0"/>
          <w:numId w:val="102"/>
        </w:numPr>
        <w:spacing w:line="360" w:lineRule="auto"/>
        <w:rPr>
          <w:rStyle w:val="95"/>
          <w:rFonts w:ascii="Arial" w:hAnsi="Arial" w:cs="Arial"/>
          <w:color w:val="auto"/>
          <w:highlight w:val="none"/>
        </w:rPr>
      </w:pPr>
      <w:r>
        <w:rPr>
          <w:rStyle w:val="95"/>
          <w:rFonts w:ascii="Arial" w:hAnsi="Arial" w:cs="Arial"/>
          <w:color w:val="auto"/>
          <w:highlight w:val="none"/>
        </w:rPr>
        <w:t>具有履行合同所必需的设备和专业技术能力；</w:t>
      </w:r>
    </w:p>
    <w:p>
      <w:pPr>
        <w:numPr>
          <w:ilvl w:val="0"/>
          <w:numId w:val="102"/>
        </w:numPr>
        <w:spacing w:line="360" w:lineRule="auto"/>
        <w:rPr>
          <w:rStyle w:val="95"/>
          <w:rFonts w:ascii="Arial" w:hAnsi="Arial" w:cs="Arial"/>
          <w:color w:val="auto"/>
          <w:highlight w:val="none"/>
        </w:rPr>
      </w:pPr>
      <w:r>
        <w:rPr>
          <w:rStyle w:val="95"/>
          <w:rFonts w:ascii="Arial" w:hAnsi="Arial" w:cs="Arial"/>
          <w:color w:val="auto"/>
          <w:highlight w:val="none"/>
        </w:rPr>
        <w:t>有依法缴纳税收和社会保障资金的良好记录；</w:t>
      </w:r>
    </w:p>
    <w:p>
      <w:pPr>
        <w:numPr>
          <w:ilvl w:val="0"/>
          <w:numId w:val="102"/>
        </w:numPr>
        <w:spacing w:line="360" w:lineRule="auto"/>
        <w:rPr>
          <w:rStyle w:val="95"/>
          <w:rFonts w:ascii="Arial" w:hAnsi="Arial" w:cs="Arial"/>
          <w:color w:val="auto"/>
          <w:highlight w:val="none"/>
        </w:rPr>
      </w:pPr>
      <w:r>
        <w:rPr>
          <w:rStyle w:val="95"/>
          <w:rFonts w:ascii="Arial" w:hAnsi="Arial" w:cs="Arial"/>
          <w:color w:val="auto"/>
          <w:highlight w:val="none"/>
        </w:rPr>
        <w:t>参加政府采购活动前三年内，在经营活动中没有重大违法记录；</w:t>
      </w:r>
    </w:p>
    <w:p>
      <w:pPr>
        <w:numPr>
          <w:ilvl w:val="0"/>
          <w:numId w:val="102"/>
        </w:numPr>
        <w:spacing w:line="360" w:lineRule="auto"/>
        <w:rPr>
          <w:rStyle w:val="95"/>
          <w:rFonts w:ascii="Arial" w:hAnsi="Arial" w:cs="Arial"/>
          <w:color w:val="auto"/>
          <w:highlight w:val="none"/>
        </w:rPr>
      </w:pPr>
      <w:r>
        <w:rPr>
          <w:rStyle w:val="95"/>
          <w:rFonts w:ascii="Arial" w:hAnsi="Arial" w:cs="Arial"/>
          <w:color w:val="auto"/>
          <w:highlight w:val="none"/>
        </w:rPr>
        <w:t>法律、行政法规规定的其他条件。</w:t>
      </w:r>
    </w:p>
    <w:p>
      <w:pPr>
        <w:spacing w:line="360" w:lineRule="auto"/>
        <w:ind w:firstLine="422" w:firstLineChars="200"/>
        <w:jc w:val="both"/>
        <w:rPr>
          <w:rStyle w:val="95"/>
          <w:rFonts w:hint="eastAsia" w:ascii="Arial" w:hAnsi="Arial" w:cs="Arial"/>
          <w:color w:val="auto"/>
          <w:highlight w:val="none"/>
        </w:rPr>
      </w:pPr>
      <w:r>
        <w:rPr>
          <w:rStyle w:val="95"/>
          <w:rFonts w:ascii="Arial" w:hAnsi="Arial" w:cs="Arial"/>
          <w:b/>
          <w:bCs/>
          <w:color w:val="auto"/>
          <w:highlight w:val="none"/>
        </w:rPr>
        <w:t>本公司对上述承诺的真实性负责。</w:t>
      </w:r>
      <w:r>
        <w:rPr>
          <w:rStyle w:val="95"/>
          <w:rFonts w:hint="eastAsia" w:ascii="Arial" w:hAnsi="Arial" w:cs="Arial"/>
          <w:b/>
          <w:bCs/>
          <w:color w:val="auto"/>
          <w:highlight w:val="none"/>
        </w:rPr>
        <w:t>上述承诺如有虚假，将按“提供虚假材料谋取中标、成交”情形，由采购人取消我</w:t>
      </w:r>
      <w:r>
        <w:rPr>
          <w:rStyle w:val="95"/>
          <w:rFonts w:hint="eastAsia" w:ascii="Arial" w:hAnsi="Arial" w:cs="Arial"/>
          <w:b/>
          <w:bCs/>
          <w:color w:val="auto"/>
          <w:highlight w:val="none"/>
          <w:lang w:eastAsia="zh-CN"/>
        </w:rPr>
        <w:t>公司</w:t>
      </w:r>
      <w:r>
        <w:rPr>
          <w:rStyle w:val="95"/>
          <w:rFonts w:hint="eastAsia" w:ascii="Arial" w:hAnsi="Arial" w:cs="Arial"/>
          <w:b/>
          <w:bCs/>
          <w:color w:val="auto"/>
          <w:highlight w:val="none"/>
        </w:rPr>
        <w:t>任何资格（投标/中标/签订合同），且由采购单位/采购代理机构报告至政府采购监管部门。</w:t>
      </w:r>
      <w:r>
        <w:rPr>
          <w:rStyle w:val="95"/>
          <w:rFonts w:hint="eastAsia" w:ascii="Arial" w:hAnsi="Arial" w:cs="Arial"/>
          <w:color w:val="auto"/>
          <w:highlight w:val="none"/>
        </w:rPr>
        <w:t>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规定予以处理。</w:t>
      </w:r>
    </w:p>
    <w:p>
      <w:pPr>
        <w:spacing w:line="360" w:lineRule="auto"/>
        <w:ind w:firstLine="420" w:firstLineChars="200"/>
        <w:jc w:val="both"/>
        <w:rPr>
          <w:rStyle w:val="95"/>
          <w:rFonts w:ascii="Arial" w:hAnsi="Arial" w:cs="Arial"/>
          <w:color w:val="auto"/>
          <w:highlight w:val="none"/>
        </w:rPr>
      </w:pPr>
      <w:r>
        <w:rPr>
          <w:rStyle w:val="95"/>
          <w:rFonts w:hint="eastAsia" w:ascii="Arial" w:hAnsi="Arial" w:cs="Arial"/>
          <w:color w:val="auto"/>
          <w:highlight w:val="none"/>
        </w:rPr>
        <w:t>我单位已知晓</w:t>
      </w:r>
      <w:r>
        <w:rPr>
          <w:rStyle w:val="95"/>
          <w:rFonts w:hint="eastAsia" w:ascii="Arial" w:hAnsi="Arial" w:cs="Arial"/>
          <w:color w:val="auto"/>
          <w:highlight w:val="none"/>
          <w:lang w:eastAsia="zh-CN"/>
        </w:rPr>
        <w:t>前述</w:t>
      </w:r>
      <w:r>
        <w:rPr>
          <w:rStyle w:val="95"/>
          <w:rFonts w:hint="eastAsia" w:ascii="Arial" w:hAnsi="Arial" w:cs="Arial"/>
          <w:color w:val="auto"/>
          <w:highlight w:val="none"/>
        </w:rPr>
        <w:t>法律规定，对此无任何异议。</w:t>
      </w:r>
    </w:p>
    <w:p>
      <w:pPr>
        <w:ind w:firstLine="420" w:firstLineChars="200"/>
        <w:rPr>
          <w:rStyle w:val="95"/>
          <w:rFonts w:ascii="Arial" w:hAnsi="Arial" w:cs="Arial"/>
          <w:color w:val="auto"/>
          <w:highlight w:val="none"/>
        </w:rPr>
      </w:pPr>
    </w:p>
    <w:p>
      <w:pPr>
        <w:ind w:firstLine="420" w:firstLineChars="200"/>
        <w:rPr>
          <w:rStyle w:val="95"/>
          <w:rFonts w:ascii="Arial" w:hAnsi="Arial" w:cs="Arial"/>
          <w:color w:val="auto"/>
          <w:highlight w:val="none"/>
        </w:rPr>
      </w:pPr>
    </w:p>
    <w:p>
      <w:pPr>
        <w:spacing w:line="480" w:lineRule="auto"/>
        <w:jc w:val="right"/>
        <w:rPr>
          <w:rFonts w:hint="eastAsia" w:ascii="宋体" w:hAnsi="宋体" w:cs="宋体"/>
          <w:bCs/>
          <w:color w:val="auto"/>
          <w:szCs w:val="21"/>
          <w:highlight w:val="none"/>
          <w:lang w:bidi="ar"/>
        </w:rPr>
      </w:pPr>
      <w:r>
        <w:rPr>
          <w:rFonts w:hint="eastAsia" w:ascii="宋体" w:hAnsi="宋体" w:cs="宋体"/>
          <w:bCs/>
          <w:color w:val="auto"/>
          <w:szCs w:val="21"/>
          <w:highlight w:val="none"/>
          <w:lang w:eastAsia="zh-CN" w:bidi="ar"/>
        </w:rPr>
        <w:t>投标人</w:t>
      </w:r>
      <w:r>
        <w:rPr>
          <w:rFonts w:hint="eastAsia" w:ascii="宋体" w:hAnsi="宋体" w:cs="宋体"/>
          <w:bCs/>
          <w:color w:val="auto"/>
          <w:szCs w:val="21"/>
          <w:highlight w:val="none"/>
          <w:lang w:bidi="ar"/>
        </w:rPr>
        <w:t>全称：</w:t>
      </w:r>
      <w:r>
        <w:rPr>
          <w:rFonts w:hint="eastAsia" w:cs="宋体"/>
          <w:color w:val="auto"/>
          <w:sz w:val="21"/>
          <w:szCs w:val="21"/>
          <w:u w:val="single"/>
          <w:lang w:bidi="ar"/>
        </w:rPr>
        <w:t xml:space="preserve">                    （盖公章）</w:t>
      </w:r>
    </w:p>
    <w:p>
      <w:pPr>
        <w:spacing w:line="480" w:lineRule="auto"/>
        <w:ind w:firstLine="4830" w:firstLineChars="2300"/>
        <w:rPr>
          <w:rFonts w:hint="eastAsia" w:cs="宋体"/>
          <w:bCs/>
          <w:color w:val="auto"/>
          <w:szCs w:val="21"/>
          <w:highlight w:val="none"/>
        </w:rPr>
      </w:pPr>
      <w:r>
        <w:rPr>
          <w:rFonts w:hint="eastAsia" w:ascii="宋体" w:hAnsi="宋体" w:cs="宋体"/>
          <w:bCs/>
          <w:color w:val="auto"/>
          <w:szCs w:val="21"/>
          <w:highlight w:val="none"/>
        </w:rPr>
        <w:t>日期：</w:t>
      </w:r>
      <w:r>
        <w:rPr>
          <w:rFonts w:hint="eastAsia" w:cs="宋体"/>
          <w:color w:val="auto"/>
          <w:sz w:val="21"/>
          <w:szCs w:val="21"/>
          <w:u w:val="single"/>
          <w:lang w:bidi="ar"/>
        </w:rPr>
        <w:t xml:space="preserve">        </w:t>
      </w:r>
      <w:r>
        <w:rPr>
          <w:rFonts w:hint="eastAsia" w:cs="宋体"/>
          <w:color w:val="auto"/>
          <w:sz w:val="21"/>
          <w:szCs w:val="21"/>
          <w:lang w:bidi="ar"/>
        </w:rPr>
        <w:t xml:space="preserve">年 </w:t>
      </w:r>
      <w:r>
        <w:rPr>
          <w:rFonts w:hint="eastAsia" w:cs="宋体"/>
          <w:color w:val="auto"/>
          <w:sz w:val="21"/>
          <w:szCs w:val="21"/>
          <w:u w:val="single"/>
          <w:lang w:bidi="ar"/>
        </w:rPr>
        <w:t xml:space="preserve">  </w:t>
      </w:r>
      <w:r>
        <w:rPr>
          <w:rFonts w:hint="eastAsia" w:cs="宋体"/>
          <w:color w:val="auto"/>
          <w:sz w:val="21"/>
          <w:szCs w:val="21"/>
          <w:u w:val="single"/>
          <w:lang w:val="en-US" w:eastAsia="zh-CN" w:bidi="ar"/>
        </w:rPr>
        <w:t xml:space="preserve">   </w:t>
      </w:r>
      <w:r>
        <w:rPr>
          <w:rFonts w:hint="eastAsia" w:cs="宋体"/>
          <w:color w:val="auto"/>
          <w:sz w:val="21"/>
          <w:szCs w:val="21"/>
          <w:u w:val="single"/>
          <w:lang w:bidi="ar"/>
        </w:rPr>
        <w:t xml:space="preserve"> </w:t>
      </w:r>
      <w:r>
        <w:rPr>
          <w:rFonts w:hint="eastAsia" w:cs="宋体"/>
          <w:color w:val="auto"/>
          <w:sz w:val="21"/>
          <w:szCs w:val="21"/>
          <w:lang w:bidi="ar"/>
        </w:rPr>
        <w:t>月</w:t>
      </w:r>
      <w:r>
        <w:rPr>
          <w:rFonts w:hint="eastAsia" w:cs="宋体"/>
          <w:color w:val="auto"/>
          <w:sz w:val="21"/>
          <w:szCs w:val="21"/>
          <w:u w:val="single"/>
          <w:lang w:bidi="ar"/>
        </w:rPr>
        <w:t xml:space="preserve">   </w:t>
      </w:r>
      <w:r>
        <w:rPr>
          <w:rFonts w:hint="eastAsia" w:cs="宋体"/>
          <w:color w:val="auto"/>
          <w:sz w:val="21"/>
          <w:szCs w:val="21"/>
          <w:u w:val="single"/>
          <w:lang w:val="en-US" w:eastAsia="zh-CN" w:bidi="ar"/>
        </w:rPr>
        <w:t xml:space="preserve">  </w:t>
      </w:r>
      <w:r>
        <w:rPr>
          <w:rFonts w:hint="eastAsia" w:cs="宋体"/>
          <w:color w:val="auto"/>
          <w:sz w:val="21"/>
          <w:szCs w:val="21"/>
          <w:u w:val="single"/>
          <w:lang w:bidi="ar"/>
        </w:rPr>
        <w:t xml:space="preserve"> </w:t>
      </w:r>
      <w:r>
        <w:rPr>
          <w:rFonts w:hint="eastAsia" w:cs="宋体"/>
          <w:color w:val="auto"/>
          <w:sz w:val="21"/>
          <w:szCs w:val="21"/>
          <w:lang w:bidi="ar"/>
        </w:rPr>
        <w:t>日</w:t>
      </w:r>
    </w:p>
    <w:p>
      <w:pPr>
        <w:rPr>
          <w:rStyle w:val="95"/>
          <w:rFonts w:ascii="Arial" w:hAnsi="Arial" w:cs="Arial"/>
          <w:b/>
          <w:bCs/>
          <w:color w:val="auto"/>
          <w:highlight w:val="none"/>
        </w:rPr>
      </w:pPr>
    </w:p>
    <w:p>
      <w:pPr>
        <w:rPr>
          <w:rStyle w:val="95"/>
          <w:rFonts w:ascii="Arial" w:hAnsi="Arial" w:cs="Arial"/>
          <w:b/>
          <w:bCs/>
          <w:color w:val="auto"/>
          <w:highlight w:val="none"/>
        </w:rPr>
      </w:pPr>
    </w:p>
    <w:p>
      <w:pPr>
        <w:pStyle w:val="20"/>
        <w:rPr>
          <w:color w:val="auto"/>
        </w:rPr>
      </w:pPr>
    </w:p>
    <w:p>
      <w:pPr>
        <w:spacing w:line="360" w:lineRule="auto"/>
        <w:rPr>
          <w:rFonts w:hint="eastAsia"/>
          <w:b w:val="0"/>
          <w:bCs/>
          <w:color w:val="auto"/>
        </w:rPr>
      </w:pPr>
      <w:r>
        <w:rPr>
          <w:rFonts w:hint="eastAsia"/>
          <w:b w:val="0"/>
          <w:bCs/>
          <w:color w:val="auto"/>
        </w:rPr>
        <w:t>注：</w:t>
      </w:r>
    </w:p>
    <w:p>
      <w:pPr>
        <w:spacing w:line="360" w:lineRule="auto"/>
        <w:rPr>
          <w:b w:val="0"/>
          <w:bCs/>
          <w:color w:val="auto"/>
          <w:highlight w:val="none"/>
        </w:rPr>
      </w:pPr>
      <w:r>
        <w:rPr>
          <w:rFonts w:hint="eastAsia"/>
          <w:b w:val="0"/>
          <w:bCs/>
          <w:color w:val="auto"/>
          <w:highlight w:val="none"/>
        </w:rPr>
        <w:t>1.</w:t>
      </w:r>
      <w:r>
        <w:rPr>
          <w:rFonts w:hint="eastAsia" w:ascii="宋体" w:hAnsi="宋体" w:cs="宋体"/>
          <w:b w:val="0"/>
          <w:bCs/>
          <w:color w:val="auto"/>
          <w:szCs w:val="21"/>
          <w:highlight w:val="none"/>
        </w:rPr>
        <w:t>本</w:t>
      </w:r>
      <w:r>
        <w:rPr>
          <w:rFonts w:hint="eastAsia" w:ascii="宋体" w:hAnsi="宋体" w:cs="宋体"/>
          <w:b w:val="0"/>
          <w:bCs/>
          <w:color w:val="auto"/>
          <w:szCs w:val="21"/>
          <w:highlight w:val="none"/>
          <w:lang w:eastAsia="zh-CN"/>
        </w:rPr>
        <w:t>附件必须提供，</w:t>
      </w:r>
      <w:r>
        <w:rPr>
          <w:rFonts w:hint="eastAsia" w:ascii="宋体" w:hAnsi="宋体" w:cs="宋体"/>
          <w:b w:val="0"/>
          <w:bCs/>
          <w:color w:val="auto"/>
          <w:szCs w:val="21"/>
          <w:highlight w:val="none"/>
        </w:rPr>
        <w:t>不得自行增减内容</w:t>
      </w:r>
      <w:r>
        <w:rPr>
          <w:rFonts w:hint="eastAsia" w:ascii="宋体" w:hAnsi="宋体" w:eastAsia="宋体" w:cs="宋体"/>
          <w:b w:val="0"/>
          <w:bCs/>
          <w:color w:val="auto"/>
          <w:sz w:val="21"/>
          <w:szCs w:val="21"/>
          <w:highlight w:val="none"/>
          <w:lang w:val="en-US" w:eastAsia="zh-CN"/>
        </w:rPr>
        <w:t>。</w:t>
      </w:r>
    </w:p>
    <w:p>
      <w:pPr>
        <w:pStyle w:val="20"/>
        <w:ind w:left="0" w:leftChars="0" w:firstLine="0" w:firstLineChars="0"/>
        <w:rPr>
          <w:rFonts w:hint="eastAsia" w:ascii="宋体" w:hAnsi="宋体" w:cs="宋体"/>
          <w:color w:val="auto"/>
          <w:szCs w:val="21"/>
        </w:rPr>
      </w:pPr>
    </w:p>
    <w:p>
      <w:pPr>
        <w:pStyle w:val="2"/>
        <w:keepNext w:val="0"/>
        <w:keepLines w:val="0"/>
        <w:pageBreakBefore/>
        <w:spacing w:before="156" w:beforeLines="50" w:after="156" w:afterLines="50" w:line="400" w:lineRule="atLeast"/>
        <w:ind w:firstLine="2168" w:firstLineChars="900"/>
        <w:jc w:val="both"/>
        <w:rPr>
          <w:rFonts w:hint="eastAsia" w:ascii="Times New Roman" w:hAnsi="Times New Roman" w:eastAsia="宋体" w:cs="宋体"/>
          <w:bCs/>
          <w:caps w:val="0"/>
          <w:color w:val="auto"/>
          <w:kern w:val="0"/>
          <w:szCs w:val="24"/>
        </w:rPr>
      </w:pPr>
      <w:bookmarkStart w:id="1073" w:name="_Toc6111"/>
      <w:bookmarkStart w:id="1074" w:name="_Toc23067"/>
      <w:bookmarkStart w:id="1075" w:name="_Toc30970"/>
      <w:bookmarkStart w:id="1076" w:name="_Toc25162"/>
      <w:bookmarkStart w:id="1077" w:name="_Toc22757"/>
      <w:bookmarkStart w:id="1078" w:name="_Toc14931"/>
      <w:bookmarkStart w:id="1079" w:name="_Toc27234"/>
      <w:bookmarkStart w:id="1080" w:name="_Toc10434"/>
      <w:bookmarkStart w:id="1081" w:name="_Toc29917"/>
      <w:bookmarkStart w:id="1082" w:name="_Toc6073"/>
      <w:bookmarkStart w:id="1083" w:name="_Toc5103"/>
      <w:bookmarkStart w:id="1084" w:name="_Toc12076"/>
      <w:bookmarkStart w:id="1085" w:name="_Toc19120"/>
      <w:bookmarkStart w:id="1086" w:name="_Toc18642"/>
      <w:bookmarkStart w:id="1087" w:name="_Toc31101"/>
      <w:bookmarkStart w:id="1088" w:name="_Toc19179"/>
      <w:bookmarkStart w:id="1089" w:name="_Toc7466"/>
      <w:bookmarkStart w:id="1090" w:name="_Toc22912"/>
      <w:bookmarkStart w:id="1091" w:name="_Toc3386"/>
      <w:bookmarkStart w:id="1092" w:name="_Toc17123"/>
      <w:bookmarkStart w:id="1093" w:name="_Toc21821"/>
      <w:r>
        <w:rPr>
          <w:rFonts w:hint="eastAsia" w:ascii="Times New Roman" w:hAnsi="Times New Roman" w:eastAsia="宋体" w:cs="宋体"/>
          <w:bCs/>
          <w:caps w:val="0"/>
          <w:color w:val="auto"/>
          <w:kern w:val="0"/>
          <w:szCs w:val="24"/>
        </w:rPr>
        <w:t>附件</w:t>
      </w:r>
      <w:r>
        <w:rPr>
          <w:rFonts w:hint="eastAsia" w:ascii="Times New Roman" w:hAnsi="Times New Roman" w:eastAsia="宋体" w:cs="宋体"/>
          <w:bCs/>
          <w:caps w:val="0"/>
          <w:color w:val="auto"/>
          <w:kern w:val="0"/>
          <w:szCs w:val="24"/>
          <w:lang w:val="en-US" w:eastAsia="zh-CN"/>
        </w:rPr>
        <w:t>二</w:t>
      </w:r>
      <w:r>
        <w:rPr>
          <w:rFonts w:hint="eastAsia" w:ascii="Times New Roman" w:hAnsi="Times New Roman" w:eastAsia="宋体" w:cs="宋体"/>
          <w:bCs/>
          <w:caps w:val="0"/>
          <w:color w:val="auto"/>
          <w:kern w:val="0"/>
          <w:szCs w:val="24"/>
        </w:rPr>
        <w:t xml:space="preserve">  中小企业声明函（服务）</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18"/>
        <w:widowControl/>
        <w:spacing w:line="432" w:lineRule="auto"/>
        <w:ind w:left="0" w:leftChars="0" w:firstLine="420" w:firstLineChars="200"/>
        <w:rPr>
          <w:rFonts w:hint="eastAsia" w:ascii="Times New Roman" w:hAnsi="Times New Roman" w:eastAsia="宋体" w:cs="宋体"/>
          <w:caps w:val="0"/>
          <w:color w:val="auto"/>
          <w:szCs w:val="21"/>
        </w:rPr>
      </w:pPr>
      <w:r>
        <w:rPr>
          <w:rFonts w:hint="eastAsia" w:ascii="Times New Roman" w:hAnsi="Times New Roman" w:eastAsia="宋体" w:cs="宋体"/>
          <w:caps w:val="0"/>
          <w:color w:val="auto"/>
          <w:szCs w:val="21"/>
        </w:rPr>
        <w:t>本公司（联合体）郑重声明，根据《政府采购促进中小企业发展管理办法》（财库﹝2020﹞46号）的规定，本公司（联合体）参加</w:t>
      </w:r>
      <w:r>
        <w:rPr>
          <w:rFonts w:hint="eastAsia" w:ascii="Times New Roman" w:hAnsi="Times New Roman" w:eastAsia="宋体" w:cs="宋体"/>
          <w:i/>
          <w:iCs/>
          <w:caps w:val="0"/>
          <w:color w:val="auto"/>
          <w:szCs w:val="21"/>
          <w:u w:val="single"/>
        </w:rPr>
        <w:t>（单位名称）</w:t>
      </w:r>
      <w:r>
        <w:rPr>
          <w:rFonts w:hint="eastAsia" w:ascii="Times New Roman" w:hAnsi="Times New Roman" w:eastAsia="宋体" w:cs="宋体"/>
          <w:caps w:val="0"/>
          <w:color w:val="auto"/>
          <w:szCs w:val="21"/>
        </w:rPr>
        <w:t>的</w:t>
      </w:r>
      <w:r>
        <w:rPr>
          <w:rFonts w:hint="eastAsia" w:ascii="Times New Roman" w:hAnsi="Times New Roman" w:eastAsia="宋体" w:cs="宋体"/>
          <w:i/>
          <w:iCs/>
          <w:caps w:val="0"/>
          <w:color w:val="auto"/>
          <w:szCs w:val="21"/>
          <w:u w:val="single"/>
        </w:rPr>
        <w:t>（项目名称）</w:t>
      </w:r>
      <w:r>
        <w:rPr>
          <w:rFonts w:hint="eastAsia" w:ascii="Times New Roman" w:hAnsi="Times New Roman" w:eastAsia="宋体" w:cs="宋体"/>
          <w:caps w:val="0"/>
          <w:color w:val="auto"/>
          <w:szCs w:val="21"/>
        </w:rPr>
        <w:t xml:space="preserve">采购活动，服务全部由符合政策要求的中小企业承接。相关企业（含联合体中的中小企业、签订分包意向协议的中小企业） 的具体情况如下： </w:t>
      </w:r>
    </w:p>
    <w:p>
      <w:pPr>
        <w:pStyle w:val="18"/>
        <w:widowControl/>
        <w:spacing w:line="432" w:lineRule="auto"/>
        <w:ind w:left="0" w:leftChars="0" w:firstLine="420" w:firstLineChars="200"/>
        <w:rPr>
          <w:rFonts w:hint="eastAsia" w:ascii="Times New Roman" w:hAnsi="Times New Roman" w:eastAsia="宋体" w:cs="宋体"/>
          <w:caps w:val="0"/>
          <w:color w:val="auto"/>
          <w:szCs w:val="21"/>
        </w:rPr>
      </w:pPr>
      <w:r>
        <w:rPr>
          <w:rFonts w:hint="eastAsia" w:ascii="Times New Roman" w:hAnsi="Times New Roman" w:eastAsia="宋体" w:cs="宋体"/>
          <w:caps w:val="0"/>
          <w:color w:val="auto"/>
          <w:szCs w:val="21"/>
        </w:rPr>
        <w:t>1.</w:t>
      </w:r>
      <w:r>
        <w:rPr>
          <w:rFonts w:hint="eastAsia" w:ascii="Times New Roman" w:hAnsi="Times New Roman" w:eastAsia="宋体" w:cs="宋体"/>
          <w:i/>
          <w:iCs/>
          <w:caps w:val="0"/>
          <w:color w:val="auto"/>
          <w:szCs w:val="21"/>
          <w:u w:val="single"/>
        </w:rPr>
        <w:t>（标的名称）</w:t>
      </w:r>
      <w:r>
        <w:rPr>
          <w:rFonts w:hint="eastAsia" w:ascii="Times New Roman" w:hAnsi="Times New Roman" w:eastAsia="宋体" w:cs="宋体"/>
          <w:caps w:val="0"/>
          <w:color w:val="auto"/>
          <w:szCs w:val="21"/>
        </w:rPr>
        <w:t xml:space="preserve"> ，属于</w:t>
      </w:r>
      <w:r>
        <w:rPr>
          <w:rFonts w:hint="eastAsia" w:ascii="Times New Roman" w:hAnsi="Times New Roman" w:eastAsia="宋体" w:cs="宋体"/>
          <w:i/>
          <w:iCs/>
          <w:caps w:val="0"/>
          <w:color w:val="auto"/>
          <w:szCs w:val="21"/>
          <w:u w:val="single"/>
        </w:rPr>
        <w:t>（</w:t>
      </w:r>
      <w:r>
        <w:rPr>
          <w:rFonts w:hint="eastAsia" w:cs="宋体"/>
          <w:i/>
          <w:iCs/>
          <w:caps w:val="0"/>
          <w:color w:val="auto"/>
          <w:szCs w:val="21"/>
          <w:u w:val="single"/>
          <w:lang w:val="en-US" w:eastAsia="zh-CN"/>
        </w:rPr>
        <w:t>采购</w:t>
      </w:r>
      <w:r>
        <w:rPr>
          <w:rFonts w:hint="eastAsia" w:ascii="Times New Roman" w:hAnsi="Times New Roman" w:eastAsia="宋体" w:cs="宋体"/>
          <w:i/>
          <w:iCs/>
          <w:caps w:val="0"/>
          <w:color w:val="auto"/>
          <w:szCs w:val="21"/>
          <w:u w:val="single"/>
        </w:rPr>
        <w:t>文件中明确的所属行业）</w:t>
      </w:r>
      <w:r>
        <w:rPr>
          <w:rFonts w:hint="eastAsia" w:ascii="Times New Roman" w:hAnsi="Times New Roman" w:eastAsia="宋体" w:cs="宋体"/>
          <w:caps w:val="0"/>
          <w:color w:val="auto"/>
          <w:szCs w:val="21"/>
          <w:u w:val="single"/>
        </w:rPr>
        <w:t xml:space="preserve"> </w:t>
      </w:r>
      <w:r>
        <w:rPr>
          <w:rFonts w:hint="eastAsia" w:ascii="Times New Roman" w:hAnsi="Times New Roman" w:eastAsia="宋体" w:cs="宋体"/>
          <w:caps w:val="0"/>
          <w:color w:val="auto"/>
          <w:szCs w:val="21"/>
        </w:rPr>
        <w:t>行业；承接企业为</w:t>
      </w:r>
      <w:r>
        <w:rPr>
          <w:rFonts w:hint="eastAsia" w:ascii="Times New Roman" w:hAnsi="Times New Roman" w:eastAsia="宋体" w:cs="宋体"/>
          <w:i/>
          <w:iCs/>
          <w:caps w:val="0"/>
          <w:color w:val="auto"/>
          <w:szCs w:val="21"/>
          <w:u w:val="single"/>
        </w:rPr>
        <w:t>（企业名称）</w:t>
      </w:r>
      <w:r>
        <w:rPr>
          <w:rFonts w:hint="eastAsia" w:ascii="Times New Roman" w:hAnsi="Times New Roman" w:eastAsia="宋体" w:cs="宋体"/>
          <w:caps w:val="0"/>
          <w:color w:val="auto"/>
          <w:szCs w:val="21"/>
        </w:rPr>
        <w:t>，从业人员</w:t>
      </w:r>
      <w:r>
        <w:rPr>
          <w:rFonts w:hint="eastAsia" w:ascii="Times New Roman" w:hAnsi="Times New Roman" w:eastAsia="宋体" w:cs="宋体"/>
          <w:caps w:val="0"/>
          <w:color w:val="auto"/>
          <w:szCs w:val="21"/>
          <w:u w:val="single"/>
        </w:rPr>
        <w:t xml:space="preserve">    </w:t>
      </w:r>
      <w:r>
        <w:rPr>
          <w:rFonts w:hint="eastAsia" w:ascii="Times New Roman" w:hAnsi="Times New Roman" w:eastAsia="宋体" w:cs="宋体"/>
          <w:caps w:val="0"/>
          <w:color w:val="auto"/>
          <w:szCs w:val="21"/>
        </w:rPr>
        <w:t>人，营业收入为</w:t>
      </w:r>
      <w:r>
        <w:rPr>
          <w:rFonts w:hint="eastAsia" w:ascii="Times New Roman" w:hAnsi="Times New Roman" w:eastAsia="宋体" w:cs="宋体"/>
          <w:caps w:val="0"/>
          <w:color w:val="auto"/>
          <w:szCs w:val="21"/>
          <w:u w:val="single"/>
        </w:rPr>
        <w:t xml:space="preserve">    </w:t>
      </w:r>
      <w:r>
        <w:rPr>
          <w:rFonts w:hint="eastAsia" w:ascii="Times New Roman" w:hAnsi="Times New Roman" w:eastAsia="宋体" w:cs="宋体"/>
          <w:caps w:val="0"/>
          <w:color w:val="auto"/>
          <w:szCs w:val="21"/>
        </w:rPr>
        <w:t>万元，资产总额为</w:t>
      </w:r>
      <w:r>
        <w:rPr>
          <w:rFonts w:hint="eastAsia" w:ascii="Times New Roman" w:hAnsi="Times New Roman" w:eastAsia="宋体" w:cs="宋体"/>
          <w:caps w:val="0"/>
          <w:color w:val="auto"/>
          <w:szCs w:val="21"/>
          <w:u w:val="single"/>
        </w:rPr>
        <w:t xml:space="preserve">      </w:t>
      </w:r>
      <w:r>
        <w:rPr>
          <w:rFonts w:hint="eastAsia" w:ascii="Times New Roman" w:hAnsi="Times New Roman" w:eastAsia="宋体" w:cs="宋体"/>
          <w:caps w:val="0"/>
          <w:color w:val="auto"/>
          <w:szCs w:val="21"/>
        </w:rPr>
        <w:t>万元</w:t>
      </w:r>
      <w:r>
        <w:rPr>
          <w:rFonts w:hint="eastAsia" w:ascii="Times New Roman" w:hAnsi="Times New Roman" w:eastAsia="宋体" w:cs="宋体"/>
          <w:caps w:val="0"/>
          <w:color w:val="auto"/>
          <w:szCs w:val="21"/>
          <w:vertAlign w:val="superscript"/>
        </w:rPr>
        <w:t>1</w:t>
      </w:r>
      <w:r>
        <w:rPr>
          <w:rFonts w:hint="eastAsia" w:ascii="Times New Roman" w:hAnsi="Times New Roman" w:eastAsia="宋体" w:cs="宋体"/>
          <w:caps w:val="0"/>
          <w:color w:val="auto"/>
          <w:szCs w:val="21"/>
        </w:rPr>
        <w:t>，属于</w:t>
      </w:r>
      <w:r>
        <w:rPr>
          <w:rFonts w:hint="eastAsia" w:ascii="Times New Roman" w:hAnsi="Times New Roman" w:eastAsia="宋体" w:cs="宋体"/>
          <w:i/>
          <w:iCs/>
          <w:caps w:val="0"/>
          <w:color w:val="auto"/>
          <w:szCs w:val="21"/>
          <w:u w:val="single"/>
        </w:rPr>
        <w:t>（中型企业、小型企业、微型企业</w:t>
      </w:r>
      <w:r>
        <w:rPr>
          <w:rFonts w:hint="eastAsia" w:ascii="Times New Roman" w:hAnsi="Times New Roman" w:eastAsia="宋体" w:cs="宋体"/>
          <w:caps w:val="0"/>
          <w:color w:val="auto"/>
          <w:szCs w:val="21"/>
        </w:rPr>
        <w:t xml:space="preserve">）； </w:t>
      </w:r>
    </w:p>
    <w:p>
      <w:pPr>
        <w:pStyle w:val="18"/>
        <w:widowControl/>
        <w:spacing w:line="432" w:lineRule="auto"/>
        <w:ind w:left="0" w:leftChars="0" w:firstLine="420" w:firstLineChars="200"/>
        <w:rPr>
          <w:rFonts w:hint="eastAsia" w:ascii="Times New Roman" w:hAnsi="Times New Roman" w:eastAsia="宋体" w:cs="宋体"/>
          <w:caps w:val="0"/>
          <w:szCs w:val="21"/>
        </w:rPr>
      </w:pPr>
      <w:r>
        <w:rPr>
          <w:rFonts w:hint="eastAsia" w:ascii="Times New Roman" w:hAnsi="Times New Roman" w:eastAsia="宋体" w:cs="宋体"/>
          <w:caps w:val="0"/>
          <w:color w:val="auto"/>
          <w:szCs w:val="21"/>
        </w:rPr>
        <w:t>2.</w:t>
      </w:r>
      <w:r>
        <w:rPr>
          <w:rFonts w:hint="eastAsia" w:ascii="Times New Roman" w:hAnsi="Times New Roman" w:eastAsia="宋体" w:cs="宋体"/>
          <w:i/>
          <w:iCs/>
          <w:caps w:val="0"/>
          <w:color w:val="auto"/>
          <w:szCs w:val="21"/>
          <w:u w:val="single"/>
        </w:rPr>
        <w:t>（标的名称）</w:t>
      </w:r>
      <w:r>
        <w:rPr>
          <w:rFonts w:hint="eastAsia" w:ascii="Times New Roman" w:hAnsi="Times New Roman" w:eastAsia="宋体" w:cs="宋体"/>
          <w:caps w:val="0"/>
          <w:color w:val="auto"/>
          <w:szCs w:val="21"/>
        </w:rPr>
        <w:t xml:space="preserve"> ，属于</w:t>
      </w:r>
      <w:r>
        <w:rPr>
          <w:rFonts w:hint="eastAsia" w:ascii="Times New Roman" w:hAnsi="Times New Roman" w:eastAsia="宋体" w:cs="宋体"/>
          <w:i/>
          <w:iCs/>
          <w:caps w:val="0"/>
          <w:color w:val="auto"/>
          <w:szCs w:val="21"/>
          <w:u w:val="single"/>
        </w:rPr>
        <w:t>（</w:t>
      </w:r>
      <w:r>
        <w:rPr>
          <w:rFonts w:hint="eastAsia" w:cs="宋体"/>
          <w:i/>
          <w:iCs/>
          <w:caps w:val="0"/>
          <w:color w:val="auto"/>
          <w:szCs w:val="21"/>
          <w:u w:val="single"/>
          <w:lang w:val="en-US" w:eastAsia="zh-CN"/>
        </w:rPr>
        <w:t>采购</w:t>
      </w:r>
      <w:r>
        <w:rPr>
          <w:rFonts w:hint="eastAsia" w:ascii="Times New Roman" w:hAnsi="Times New Roman" w:eastAsia="宋体" w:cs="宋体"/>
          <w:i/>
          <w:iCs/>
          <w:caps w:val="0"/>
          <w:color w:val="auto"/>
          <w:szCs w:val="21"/>
          <w:u w:val="single"/>
        </w:rPr>
        <w:t>文件中明确的所属行业）</w:t>
      </w:r>
      <w:r>
        <w:rPr>
          <w:rFonts w:hint="eastAsia" w:ascii="Times New Roman" w:hAnsi="Times New Roman" w:eastAsia="宋体" w:cs="宋体"/>
          <w:caps w:val="0"/>
          <w:color w:val="auto"/>
          <w:szCs w:val="21"/>
          <w:u w:val="single"/>
        </w:rPr>
        <w:t xml:space="preserve"> </w:t>
      </w:r>
      <w:r>
        <w:rPr>
          <w:rFonts w:hint="eastAsia" w:ascii="Times New Roman" w:hAnsi="Times New Roman" w:eastAsia="宋体" w:cs="宋体"/>
          <w:caps w:val="0"/>
          <w:color w:val="auto"/>
          <w:szCs w:val="21"/>
        </w:rPr>
        <w:t>行业；承接企业为</w:t>
      </w:r>
      <w:r>
        <w:rPr>
          <w:rFonts w:hint="eastAsia" w:ascii="Times New Roman" w:hAnsi="Times New Roman" w:eastAsia="宋体" w:cs="宋体"/>
          <w:i/>
          <w:iCs/>
          <w:caps w:val="0"/>
          <w:color w:val="auto"/>
          <w:szCs w:val="21"/>
          <w:u w:val="single"/>
        </w:rPr>
        <w:t>（企业名称）</w:t>
      </w:r>
      <w:r>
        <w:rPr>
          <w:rFonts w:hint="eastAsia" w:ascii="Times New Roman" w:hAnsi="Times New Roman" w:eastAsia="宋体" w:cs="宋体"/>
          <w:caps w:val="0"/>
          <w:color w:val="auto"/>
          <w:szCs w:val="21"/>
        </w:rPr>
        <w:t>，</w:t>
      </w:r>
      <w:r>
        <w:rPr>
          <w:rFonts w:hint="eastAsia" w:ascii="Times New Roman" w:hAnsi="Times New Roman" w:eastAsia="宋体" w:cs="宋体"/>
          <w:caps w:val="0"/>
          <w:szCs w:val="21"/>
        </w:rPr>
        <w:t>从业人员</w:t>
      </w:r>
      <w:r>
        <w:rPr>
          <w:rFonts w:hint="eastAsia" w:ascii="Times New Roman" w:hAnsi="Times New Roman" w:eastAsia="宋体" w:cs="宋体"/>
          <w:caps w:val="0"/>
          <w:szCs w:val="21"/>
          <w:u w:val="single"/>
        </w:rPr>
        <w:t xml:space="preserve">    </w:t>
      </w:r>
      <w:r>
        <w:rPr>
          <w:rFonts w:hint="eastAsia" w:ascii="Times New Roman" w:hAnsi="Times New Roman" w:eastAsia="宋体" w:cs="宋体"/>
          <w:caps w:val="0"/>
          <w:szCs w:val="21"/>
        </w:rPr>
        <w:t>人，营业收入为</w:t>
      </w:r>
      <w:r>
        <w:rPr>
          <w:rFonts w:hint="eastAsia" w:ascii="Times New Roman" w:hAnsi="Times New Roman" w:eastAsia="宋体" w:cs="宋体"/>
          <w:caps w:val="0"/>
          <w:szCs w:val="21"/>
          <w:u w:val="single"/>
        </w:rPr>
        <w:t xml:space="preserve">    </w:t>
      </w:r>
      <w:r>
        <w:rPr>
          <w:rFonts w:hint="eastAsia" w:ascii="Times New Roman" w:hAnsi="Times New Roman" w:eastAsia="宋体" w:cs="宋体"/>
          <w:caps w:val="0"/>
          <w:szCs w:val="21"/>
        </w:rPr>
        <w:t>万元，资产总额为</w:t>
      </w:r>
      <w:r>
        <w:rPr>
          <w:rFonts w:hint="eastAsia" w:ascii="Times New Roman" w:hAnsi="Times New Roman" w:eastAsia="宋体" w:cs="宋体"/>
          <w:caps w:val="0"/>
          <w:szCs w:val="21"/>
          <w:u w:val="single"/>
        </w:rPr>
        <w:t xml:space="preserve">      </w:t>
      </w:r>
      <w:r>
        <w:rPr>
          <w:rFonts w:hint="eastAsia" w:ascii="Times New Roman" w:hAnsi="Times New Roman" w:eastAsia="宋体" w:cs="宋体"/>
          <w:caps w:val="0"/>
          <w:szCs w:val="21"/>
        </w:rPr>
        <w:t>万元</w:t>
      </w:r>
      <w:r>
        <w:rPr>
          <w:rFonts w:hint="eastAsia" w:ascii="Times New Roman" w:hAnsi="Times New Roman" w:eastAsia="宋体" w:cs="宋体"/>
          <w:caps w:val="0"/>
          <w:szCs w:val="21"/>
          <w:vertAlign w:val="superscript"/>
        </w:rPr>
        <w:t>1</w:t>
      </w:r>
      <w:r>
        <w:rPr>
          <w:rFonts w:hint="eastAsia" w:ascii="Times New Roman" w:hAnsi="Times New Roman" w:eastAsia="宋体" w:cs="宋体"/>
          <w:caps w:val="0"/>
          <w:szCs w:val="21"/>
        </w:rPr>
        <w:t>，属于</w:t>
      </w:r>
      <w:r>
        <w:rPr>
          <w:rFonts w:hint="eastAsia" w:ascii="Times New Roman" w:hAnsi="Times New Roman" w:eastAsia="宋体" w:cs="宋体"/>
          <w:i/>
          <w:iCs/>
          <w:caps w:val="0"/>
          <w:szCs w:val="21"/>
          <w:u w:val="single"/>
        </w:rPr>
        <w:t>（中型企业、小型企业、微型企业</w:t>
      </w:r>
      <w:r>
        <w:rPr>
          <w:rFonts w:hint="eastAsia" w:ascii="Times New Roman" w:hAnsi="Times New Roman" w:eastAsia="宋体" w:cs="宋体"/>
          <w:caps w:val="0"/>
          <w:szCs w:val="21"/>
        </w:rPr>
        <w:t>）；</w:t>
      </w:r>
    </w:p>
    <w:p>
      <w:pPr>
        <w:pStyle w:val="18"/>
        <w:widowControl/>
        <w:spacing w:line="432" w:lineRule="auto"/>
        <w:ind w:left="0" w:leftChars="0" w:firstLine="420" w:firstLineChars="200"/>
        <w:rPr>
          <w:rFonts w:hint="eastAsia" w:ascii="Times New Roman" w:hAnsi="Times New Roman" w:eastAsia="宋体" w:cs="宋体"/>
          <w:caps w:val="0"/>
          <w:szCs w:val="21"/>
        </w:rPr>
      </w:pPr>
      <w:r>
        <w:rPr>
          <w:rFonts w:hint="eastAsia" w:ascii="Times New Roman" w:hAnsi="Times New Roman" w:eastAsia="宋体" w:cs="宋体"/>
          <w:caps w:val="0"/>
          <w:szCs w:val="21"/>
        </w:rPr>
        <w:t xml:space="preserve"> …… </w:t>
      </w:r>
    </w:p>
    <w:p>
      <w:pPr>
        <w:pStyle w:val="18"/>
        <w:widowControl/>
        <w:spacing w:line="432" w:lineRule="auto"/>
        <w:ind w:left="0" w:leftChars="0" w:firstLine="420" w:firstLineChars="200"/>
        <w:rPr>
          <w:rFonts w:hint="eastAsia" w:ascii="Times New Roman" w:hAnsi="Times New Roman" w:eastAsia="宋体" w:cs="宋体"/>
          <w:caps w:val="0"/>
          <w:szCs w:val="21"/>
        </w:rPr>
      </w:pPr>
      <w:r>
        <w:rPr>
          <w:rFonts w:hint="eastAsia" w:ascii="Times New Roman" w:hAnsi="Times New Roman" w:eastAsia="宋体" w:cs="宋体"/>
          <w:caps w:val="0"/>
          <w:szCs w:val="21"/>
        </w:rPr>
        <w:t>以上企业，不属于大企业的分支机构，不存在控股股东为大企业的情形，也不存在与大企业的负责人为同一人的情形。</w:t>
      </w:r>
    </w:p>
    <w:p>
      <w:pPr>
        <w:pStyle w:val="18"/>
        <w:widowControl/>
        <w:spacing w:line="432" w:lineRule="auto"/>
        <w:ind w:left="0" w:leftChars="0" w:firstLine="420" w:firstLineChars="200"/>
        <w:rPr>
          <w:rFonts w:hint="eastAsia" w:ascii="Times New Roman" w:hAnsi="Times New Roman" w:eastAsia="宋体" w:cs="宋体"/>
          <w:caps w:val="0"/>
          <w:szCs w:val="21"/>
        </w:rPr>
      </w:pPr>
      <w:r>
        <w:rPr>
          <w:rFonts w:hint="eastAsia" w:ascii="Times New Roman" w:hAnsi="Times New Roman" w:eastAsia="宋体" w:cs="宋体"/>
          <w:caps w:val="0"/>
          <w:szCs w:val="21"/>
        </w:rPr>
        <w:t xml:space="preserve">本企业对上述声明内容的真实性负责。如有虚假，将依法承担相应责任。 </w:t>
      </w:r>
    </w:p>
    <w:p>
      <w:pPr>
        <w:pStyle w:val="18"/>
        <w:widowControl/>
        <w:spacing w:line="480" w:lineRule="auto"/>
        <w:ind w:left="0" w:leftChars="0" w:firstLine="4410" w:firstLineChars="2100"/>
        <w:rPr>
          <w:rFonts w:hint="eastAsia" w:ascii="Times New Roman" w:hAnsi="Times New Roman" w:eastAsia="宋体" w:cs="宋体"/>
          <w:caps w:val="0"/>
          <w:szCs w:val="21"/>
        </w:rPr>
      </w:pPr>
      <w:r>
        <w:rPr>
          <w:rFonts w:hint="eastAsia" w:ascii="Times New Roman" w:hAnsi="Times New Roman" w:eastAsia="宋体" w:cs="宋体"/>
          <w:caps w:val="0"/>
          <w:szCs w:val="21"/>
        </w:rPr>
        <w:t xml:space="preserve">企业名称（盖公章）： </w:t>
      </w:r>
    </w:p>
    <w:p>
      <w:pPr>
        <w:pStyle w:val="20"/>
        <w:ind w:right="-252" w:firstLine="4200" w:firstLineChars="2000"/>
        <w:rPr>
          <w:rFonts w:hint="eastAsia" w:ascii="Times New Roman" w:hAnsi="Times New Roman" w:eastAsia="宋体" w:cs="宋体"/>
          <w:caps w:val="0"/>
          <w:sz w:val="24"/>
          <w:szCs w:val="24"/>
        </w:rPr>
      </w:pPr>
      <w:r>
        <w:rPr>
          <w:rFonts w:hint="eastAsia" w:ascii="Times New Roman" w:hAnsi="Times New Roman" w:eastAsia="宋体" w:cs="宋体"/>
          <w:caps w:val="0"/>
          <w:sz w:val="21"/>
          <w:szCs w:val="21"/>
        </w:rPr>
        <w:t>日 期：</w:t>
      </w:r>
    </w:p>
    <w:p>
      <w:pPr>
        <w:spacing w:line="400" w:lineRule="exact"/>
        <w:rPr>
          <w:rFonts w:hint="eastAsia" w:ascii="Times New Roman" w:hAnsi="Times New Roman" w:eastAsia="宋体" w:cs="宋体"/>
          <w:caps w:val="0"/>
          <w:szCs w:val="21"/>
        </w:rPr>
      </w:pPr>
      <w:r>
        <w:rPr>
          <w:rFonts w:hint="eastAsia" w:ascii="Times New Roman" w:hAnsi="Times New Roman" w:eastAsia="宋体" w:cs="宋体"/>
          <w:caps w:val="0"/>
          <w:szCs w:val="21"/>
        </w:rPr>
        <w:t>注：</w:t>
      </w:r>
    </w:p>
    <w:p>
      <w:pPr>
        <w:spacing w:line="400" w:lineRule="exact"/>
        <w:rPr>
          <w:rFonts w:hint="eastAsia" w:ascii="Times New Roman" w:hAnsi="Times New Roman" w:eastAsia="宋体" w:cs="宋体"/>
          <w:caps w:val="0"/>
          <w:szCs w:val="21"/>
        </w:rPr>
      </w:pPr>
      <w:r>
        <w:rPr>
          <w:rFonts w:hint="eastAsia" w:ascii="Times New Roman" w:hAnsi="Times New Roman" w:eastAsia="宋体" w:cs="宋体"/>
          <w:caps w:val="0"/>
          <w:szCs w:val="21"/>
        </w:rPr>
        <w:t>1.从业人员、营业收入、资产总额填报上一年度数据，无上一年度数据的新成立企业可不填报。</w:t>
      </w:r>
    </w:p>
    <w:p>
      <w:pPr>
        <w:spacing w:line="400" w:lineRule="exact"/>
        <w:rPr>
          <w:rFonts w:hint="eastAsia" w:ascii="Times New Roman" w:hAnsi="Times New Roman" w:eastAsia="宋体" w:cs="宋体"/>
          <w:caps w:val="0"/>
          <w:szCs w:val="21"/>
        </w:rPr>
      </w:pPr>
      <w:r>
        <w:rPr>
          <w:rFonts w:hint="eastAsia" w:ascii="Times New Roman" w:hAnsi="Times New Roman" w:eastAsia="宋体" w:cs="宋体"/>
          <w:caps w:val="0"/>
          <w:szCs w:val="21"/>
        </w:rPr>
        <w:t>2.本项目属于服务类项目，</w:t>
      </w:r>
      <w:r>
        <w:rPr>
          <w:rFonts w:hint="eastAsia" w:ascii="Times New Roman" w:hAnsi="Times New Roman" w:eastAsia="宋体" w:cs="宋体"/>
          <w:caps w:val="0"/>
          <w:szCs w:val="21"/>
          <w:lang w:val="en-US" w:eastAsia="zh-CN"/>
        </w:rPr>
        <w:t>供应商</w:t>
      </w:r>
      <w:r>
        <w:rPr>
          <w:rFonts w:hint="eastAsia" w:ascii="Times New Roman" w:hAnsi="Times New Roman" w:eastAsia="宋体" w:cs="宋体"/>
          <w:caps w:val="0"/>
          <w:szCs w:val="21"/>
        </w:rPr>
        <w:t>按要求提供《中小企业声明函》，不需要对其中涉及的货物制造商作出声明。</w:t>
      </w:r>
    </w:p>
    <w:p>
      <w:pPr>
        <w:spacing w:line="400" w:lineRule="exact"/>
        <w:rPr>
          <w:rFonts w:hint="eastAsia" w:ascii="Times New Roman" w:hAnsi="Times New Roman" w:eastAsia="宋体" w:cs="宋体"/>
          <w:caps w:val="0"/>
          <w:szCs w:val="21"/>
        </w:rPr>
      </w:pPr>
      <w:r>
        <w:rPr>
          <w:rFonts w:hint="eastAsia" w:ascii="Times New Roman" w:hAnsi="Times New Roman" w:eastAsia="宋体" w:cs="宋体"/>
          <w:caps w:val="0"/>
          <w:szCs w:val="21"/>
        </w:rPr>
        <w:t>3.如</w:t>
      </w:r>
      <w:r>
        <w:rPr>
          <w:rFonts w:hint="eastAsia" w:ascii="Times New Roman" w:hAnsi="Times New Roman" w:eastAsia="宋体" w:cs="宋体"/>
          <w:caps w:val="0"/>
          <w:szCs w:val="21"/>
          <w:lang w:val="en-US" w:eastAsia="zh-CN"/>
        </w:rPr>
        <w:t>成交供应商</w:t>
      </w:r>
      <w:r>
        <w:rPr>
          <w:rFonts w:hint="eastAsia" w:ascii="Times New Roman" w:hAnsi="Times New Roman" w:eastAsia="宋体" w:cs="宋体"/>
          <w:caps w:val="0"/>
          <w:szCs w:val="21"/>
        </w:rPr>
        <w:t>声明为小微企业，本声明函将随中标结果同时公告，接受社会监督。</w:t>
      </w:r>
    </w:p>
    <w:p>
      <w:pPr>
        <w:spacing w:line="400" w:lineRule="exact"/>
        <w:rPr>
          <w:rFonts w:hint="eastAsia" w:ascii="Times New Roman" w:hAnsi="Times New Roman" w:eastAsia="宋体" w:cs="宋体"/>
          <w:caps w:val="0"/>
          <w:szCs w:val="21"/>
        </w:rPr>
      </w:pPr>
      <w:r>
        <w:rPr>
          <w:rFonts w:hint="eastAsia" w:ascii="Times New Roman" w:hAnsi="Times New Roman" w:eastAsia="宋体" w:cs="宋体"/>
          <w:caps w:val="0"/>
          <w:szCs w:val="21"/>
        </w:rPr>
        <w:t>4.中小企业的划分标准依据《中小企业划型标准规定》（工信部联企业〔2011〕300号）文件执行。</w:t>
      </w:r>
    </w:p>
    <w:p>
      <w:pPr>
        <w:pStyle w:val="20"/>
        <w:ind w:left="0" w:right="-252"/>
        <w:rPr>
          <w:rFonts w:hint="eastAsia" w:ascii="Times New Roman" w:hAnsi="Times New Roman" w:eastAsia="宋体" w:cs="宋体"/>
          <w:caps w:val="0"/>
        </w:rPr>
      </w:pPr>
      <w:r>
        <w:rPr>
          <w:rFonts w:hint="eastAsia" w:ascii="Times New Roman" w:hAnsi="Times New Roman" w:eastAsia="宋体" w:cs="宋体"/>
          <w:caps w:val="0"/>
        </w:rPr>
        <w:drawing>
          <wp:anchor distT="0" distB="0" distL="114300" distR="114300" simplePos="0" relativeHeight="251659264" behindDoc="1" locked="0" layoutInCell="1" allowOverlap="1">
            <wp:simplePos x="0" y="0"/>
            <wp:positionH relativeFrom="column">
              <wp:posOffset>19685</wp:posOffset>
            </wp:positionH>
            <wp:positionV relativeFrom="page">
              <wp:posOffset>856615</wp:posOffset>
            </wp:positionV>
            <wp:extent cx="5498465" cy="9091295"/>
            <wp:effectExtent l="0" t="0" r="3175" b="6985"/>
            <wp:wrapTight wrapText="bothSides">
              <wp:wrapPolygon>
                <wp:start x="21592" y="-2"/>
                <wp:lineTo x="0" y="0"/>
                <wp:lineTo x="0" y="21600"/>
                <wp:lineTo x="21592" y="21602"/>
                <wp:lineTo x="8" y="21602"/>
                <wp:lineTo x="21600" y="21600"/>
                <wp:lineTo x="21600" y="0"/>
                <wp:lineTo x="8" y="-2"/>
                <wp:lineTo x="21592" y="-2"/>
              </wp:wrapPolygon>
            </wp:wrapTight>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pic:cNvPicPr>
                  </pic:nvPicPr>
                  <pic:blipFill>
                    <a:blip r:embed="rId11"/>
                    <a:stretch>
                      <a:fillRect/>
                    </a:stretch>
                  </pic:blipFill>
                  <pic:spPr>
                    <a:xfrm>
                      <a:off x="0" y="0"/>
                      <a:ext cx="5498465" cy="9091295"/>
                    </a:xfrm>
                    <a:prstGeom prst="rect">
                      <a:avLst/>
                    </a:prstGeom>
                    <a:noFill/>
                    <a:ln>
                      <a:noFill/>
                    </a:ln>
                  </pic:spPr>
                </pic:pic>
              </a:graphicData>
            </a:graphic>
          </wp:anchor>
        </w:drawing>
      </w:r>
    </w:p>
    <w:p>
      <w:pPr>
        <w:pStyle w:val="3"/>
        <w:pageBreakBefore/>
        <w:spacing w:before="78" w:beforeLines="25" w:after="0" w:line="360" w:lineRule="auto"/>
        <w:jc w:val="center"/>
        <w:rPr>
          <w:rFonts w:hint="eastAsia" w:ascii="Times New Roman" w:hAnsi="Times New Roman" w:eastAsia="宋体" w:cs="宋体"/>
          <w:caps w:val="0"/>
        </w:rPr>
      </w:pPr>
      <w:bookmarkStart w:id="1094" w:name="_Toc20072"/>
      <w:bookmarkStart w:id="1095" w:name="_Toc9550"/>
      <w:bookmarkStart w:id="1096" w:name="_Toc23646"/>
      <w:bookmarkStart w:id="1097" w:name="_Toc1249"/>
      <w:bookmarkStart w:id="1098" w:name="_Toc13788"/>
      <w:bookmarkStart w:id="1099" w:name="_Toc13596"/>
      <w:bookmarkStart w:id="1100" w:name="_Toc7287"/>
      <w:bookmarkStart w:id="1101" w:name="_Toc32731"/>
      <w:bookmarkStart w:id="1102" w:name="_Toc16839"/>
      <w:bookmarkStart w:id="1103" w:name="_Toc16660"/>
      <w:bookmarkStart w:id="1104" w:name="_Toc24434"/>
      <w:bookmarkStart w:id="1105" w:name="_Toc6813"/>
      <w:bookmarkStart w:id="1106" w:name="_Toc21686"/>
      <w:bookmarkStart w:id="1107" w:name="_Toc16100"/>
      <w:bookmarkStart w:id="1108" w:name="_Toc17012"/>
      <w:bookmarkStart w:id="1109" w:name="_Toc10388"/>
      <w:bookmarkStart w:id="1110" w:name="_Toc6409"/>
      <w:bookmarkStart w:id="1111" w:name="_Toc17093"/>
      <w:bookmarkStart w:id="1112" w:name="_Toc27684"/>
      <w:bookmarkStart w:id="1113" w:name="_Toc29525"/>
      <w:r>
        <w:rPr>
          <w:rFonts w:hint="eastAsia" w:ascii="Times New Roman" w:hAnsi="Times New Roman" w:eastAsia="宋体" w:cs="宋体"/>
          <w:caps w:val="0"/>
        </w:rPr>
        <w:t>附件</w:t>
      </w:r>
      <w:r>
        <w:rPr>
          <w:rFonts w:hint="eastAsia" w:ascii="Times New Roman" w:hAnsi="Times New Roman" w:eastAsia="宋体" w:cs="宋体"/>
          <w:caps w:val="0"/>
          <w:lang w:val="en-US" w:eastAsia="zh-CN"/>
        </w:rPr>
        <w:t>三</w:t>
      </w:r>
      <w:r>
        <w:rPr>
          <w:rFonts w:hint="eastAsia" w:ascii="Times New Roman" w:hAnsi="Times New Roman" w:eastAsia="宋体" w:cs="宋体"/>
          <w:caps w:val="0"/>
        </w:rPr>
        <w:t xml:space="preserve">  残疾人福利性单位声明函</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spacing w:line="588" w:lineRule="exact"/>
        <w:rPr>
          <w:rFonts w:hint="eastAsia" w:ascii="Times New Roman" w:hAnsi="Times New Roman" w:eastAsia="宋体" w:cs="宋体"/>
          <w:b/>
          <w:caps w:val="0"/>
          <w:spacing w:val="6"/>
          <w:sz w:val="30"/>
          <w:szCs w:val="30"/>
        </w:rPr>
      </w:pPr>
    </w:p>
    <w:p>
      <w:pPr>
        <w:spacing w:line="588" w:lineRule="exact"/>
        <w:ind w:firstLine="420" w:firstLineChars="200"/>
        <w:rPr>
          <w:rFonts w:hint="eastAsia" w:ascii="Times New Roman" w:hAnsi="Times New Roman" w:eastAsia="宋体" w:cs="宋体"/>
          <w:caps w:val="0"/>
        </w:rPr>
      </w:pPr>
      <w:r>
        <w:rPr>
          <w:rFonts w:hint="eastAsia" w:ascii="Times New Roman" w:hAnsi="Times New Roman" w:eastAsia="宋体" w:cs="宋体"/>
          <w:caps w:val="0"/>
        </w:rPr>
        <w:t>本单位郑重声明，根据《财政部 民政部 中国残疾人联合会关于促进残疾人就业政府采购政策的通知》（财库〔2017〕 141号）的规定，本单位为符合条件的残疾人福利性单位，且本单位参加</w:t>
      </w:r>
      <w:r>
        <w:rPr>
          <w:rFonts w:hint="eastAsia" w:ascii="Times New Roman" w:hAnsi="Times New Roman" w:eastAsia="宋体" w:cs="宋体"/>
          <w:caps w:val="0"/>
          <w:u w:val="single"/>
        </w:rPr>
        <w:t xml:space="preserve">           </w:t>
      </w:r>
      <w:r>
        <w:rPr>
          <w:rFonts w:hint="eastAsia" w:ascii="Times New Roman" w:hAnsi="Times New Roman" w:eastAsia="宋体" w:cs="宋体"/>
          <w:caps w:val="0"/>
          <w:color w:val="000000"/>
        </w:rPr>
        <w:t>单位的</w:t>
      </w:r>
      <w:r>
        <w:rPr>
          <w:rFonts w:hint="eastAsia" w:ascii="Times New Roman" w:hAnsi="Times New Roman" w:eastAsia="宋体" w:cs="宋体"/>
          <w:caps w:val="0"/>
          <w:color w:val="000000"/>
          <w:u w:val="single"/>
        </w:rPr>
        <w:t xml:space="preserve">         </w:t>
      </w:r>
      <w:r>
        <w:rPr>
          <w:rFonts w:hint="eastAsia" w:ascii="Times New Roman" w:hAnsi="Times New Roman" w:eastAsia="宋体" w:cs="宋体"/>
          <w:caps w:val="0"/>
          <w:color w:val="000000"/>
        </w:rPr>
        <w:t>项目</w:t>
      </w:r>
      <w:r>
        <w:rPr>
          <w:rFonts w:hint="eastAsia" w:ascii="Times New Roman" w:hAnsi="Times New Roman" w:eastAsia="宋体" w:cs="宋体"/>
          <w:caps w:val="0"/>
          <w:szCs w:val="21"/>
        </w:rPr>
        <w:t>[项目编号：</w:t>
      </w:r>
      <w:r>
        <w:rPr>
          <w:rFonts w:hint="eastAsia" w:ascii="Times New Roman" w:hAnsi="Times New Roman" w:eastAsia="宋体" w:cs="宋体"/>
          <w:caps w:val="0"/>
          <w:szCs w:val="21"/>
          <w:u w:val="single"/>
        </w:rPr>
        <w:t xml:space="preserve">        </w:t>
      </w:r>
      <w:r>
        <w:rPr>
          <w:rFonts w:hint="eastAsia" w:ascii="Times New Roman" w:hAnsi="Times New Roman" w:eastAsia="宋体" w:cs="宋体"/>
          <w:caps w:val="0"/>
          <w:szCs w:val="21"/>
        </w:rPr>
        <w:t>]</w:t>
      </w:r>
      <w:r>
        <w:rPr>
          <w:rFonts w:hint="eastAsia" w:ascii="Times New Roman" w:hAnsi="Times New Roman" w:eastAsia="宋体" w:cs="宋体"/>
          <w:caps w:val="0"/>
        </w:rPr>
        <w:t>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hint="eastAsia" w:ascii="Times New Roman" w:hAnsi="Times New Roman" w:eastAsia="宋体" w:cs="宋体"/>
          <w:caps w:val="0"/>
        </w:rPr>
      </w:pPr>
      <w:r>
        <w:rPr>
          <w:rFonts w:hint="eastAsia" w:ascii="Times New Roman" w:hAnsi="Times New Roman" w:eastAsia="宋体" w:cs="宋体"/>
          <w:caps w:val="0"/>
        </w:rPr>
        <w:t>本单位对上述声明的真实性负责。如有虚假，将依法承担相应责任。</w:t>
      </w:r>
    </w:p>
    <w:p>
      <w:pPr>
        <w:spacing w:line="588" w:lineRule="exact"/>
        <w:ind w:firstLine="624" w:firstLineChars="200"/>
        <w:rPr>
          <w:rFonts w:hint="eastAsia" w:ascii="Times New Roman" w:hAnsi="Times New Roman" w:eastAsia="宋体" w:cs="宋体"/>
          <w:caps w:val="0"/>
          <w:spacing w:val="6"/>
          <w:sz w:val="30"/>
          <w:szCs w:val="30"/>
        </w:rPr>
      </w:pPr>
    </w:p>
    <w:p>
      <w:pPr>
        <w:spacing w:line="588" w:lineRule="exact"/>
        <w:ind w:firstLine="624" w:firstLineChars="200"/>
        <w:rPr>
          <w:rFonts w:hint="eastAsia" w:ascii="Times New Roman" w:hAnsi="Times New Roman" w:eastAsia="宋体" w:cs="宋体"/>
          <w:caps w:val="0"/>
          <w:spacing w:val="6"/>
          <w:sz w:val="30"/>
          <w:szCs w:val="30"/>
        </w:rPr>
      </w:pPr>
    </w:p>
    <w:p>
      <w:pPr>
        <w:spacing w:line="480" w:lineRule="auto"/>
        <w:jc w:val="right"/>
        <w:rPr>
          <w:rFonts w:hint="eastAsia" w:ascii="Times New Roman" w:hAnsi="Times New Roman" w:eastAsia="宋体" w:cs="宋体"/>
          <w:bCs/>
          <w:caps w:val="0"/>
          <w:szCs w:val="21"/>
          <w:lang w:bidi="ar"/>
        </w:rPr>
      </w:pPr>
      <w:r>
        <w:rPr>
          <w:rFonts w:hint="eastAsia" w:ascii="Times New Roman" w:hAnsi="Times New Roman" w:eastAsia="宋体" w:cs="宋体"/>
          <w:caps w:val="0"/>
          <w:spacing w:val="6"/>
          <w:sz w:val="30"/>
          <w:szCs w:val="30"/>
        </w:rPr>
        <w:t xml:space="preserve">                        </w:t>
      </w:r>
      <w:r>
        <w:rPr>
          <w:rFonts w:hint="eastAsia" w:ascii="Times New Roman" w:hAnsi="Times New Roman" w:eastAsia="宋体" w:cs="宋体"/>
          <w:bCs/>
          <w:caps w:val="0"/>
          <w:szCs w:val="21"/>
          <w:lang w:bidi="ar"/>
        </w:rPr>
        <w:t>投标人全称：</w:t>
      </w:r>
      <w:r>
        <w:rPr>
          <w:rFonts w:hint="eastAsia" w:ascii="Times New Roman" w:hAnsi="Times New Roman" w:eastAsia="宋体" w:cs="宋体"/>
          <w:caps w:val="0"/>
          <w:szCs w:val="21"/>
          <w:u w:val="single"/>
          <w:lang w:bidi="ar"/>
        </w:rPr>
        <w:t xml:space="preserve">                    （盖公章）</w:t>
      </w:r>
    </w:p>
    <w:p>
      <w:pPr>
        <w:spacing w:line="480" w:lineRule="auto"/>
        <w:ind w:firstLine="4830" w:firstLineChars="2300"/>
        <w:rPr>
          <w:rFonts w:hint="eastAsia" w:ascii="Times New Roman" w:hAnsi="Times New Roman" w:eastAsia="宋体" w:cs="宋体"/>
          <w:bCs/>
          <w:caps w:val="0"/>
          <w:szCs w:val="21"/>
        </w:rPr>
      </w:pPr>
      <w:r>
        <w:rPr>
          <w:rFonts w:hint="eastAsia" w:ascii="Times New Roman" w:hAnsi="Times New Roman" w:eastAsia="宋体" w:cs="宋体"/>
          <w:bCs/>
          <w:caps w:val="0"/>
          <w:szCs w:val="21"/>
        </w:rPr>
        <w:t>日期：</w:t>
      </w:r>
      <w:r>
        <w:rPr>
          <w:rFonts w:hint="eastAsia" w:ascii="Times New Roman" w:hAnsi="Times New Roman" w:eastAsia="宋体" w:cs="宋体"/>
          <w:caps w:val="0"/>
          <w:szCs w:val="21"/>
          <w:u w:val="single"/>
          <w:lang w:bidi="ar"/>
        </w:rPr>
        <w:t xml:space="preserve">        </w:t>
      </w:r>
      <w:r>
        <w:rPr>
          <w:rFonts w:hint="eastAsia" w:ascii="Times New Roman" w:hAnsi="Times New Roman" w:eastAsia="宋体" w:cs="宋体"/>
          <w:caps w:val="0"/>
          <w:szCs w:val="21"/>
          <w:lang w:bidi="ar"/>
        </w:rPr>
        <w:t xml:space="preserve">年 </w:t>
      </w:r>
      <w:r>
        <w:rPr>
          <w:rFonts w:hint="eastAsia" w:ascii="Times New Roman" w:hAnsi="Times New Roman" w:eastAsia="宋体" w:cs="宋体"/>
          <w:caps w:val="0"/>
          <w:szCs w:val="21"/>
          <w:u w:val="single"/>
          <w:lang w:bidi="ar"/>
        </w:rPr>
        <w:t xml:space="preserve">      </w:t>
      </w:r>
      <w:r>
        <w:rPr>
          <w:rFonts w:hint="eastAsia" w:ascii="Times New Roman" w:hAnsi="Times New Roman" w:eastAsia="宋体" w:cs="宋体"/>
          <w:caps w:val="0"/>
          <w:szCs w:val="21"/>
          <w:lang w:bidi="ar"/>
        </w:rPr>
        <w:t>月</w:t>
      </w:r>
      <w:r>
        <w:rPr>
          <w:rFonts w:hint="eastAsia" w:ascii="Times New Roman" w:hAnsi="Times New Roman" w:eastAsia="宋体" w:cs="宋体"/>
          <w:caps w:val="0"/>
          <w:szCs w:val="21"/>
          <w:u w:val="single"/>
          <w:lang w:bidi="ar"/>
        </w:rPr>
        <w:t xml:space="preserve">      </w:t>
      </w:r>
      <w:r>
        <w:rPr>
          <w:rFonts w:hint="eastAsia" w:ascii="Times New Roman" w:hAnsi="Times New Roman" w:eastAsia="宋体" w:cs="宋体"/>
          <w:caps w:val="0"/>
          <w:szCs w:val="21"/>
          <w:lang w:bidi="ar"/>
        </w:rPr>
        <w:t>日</w:t>
      </w:r>
    </w:p>
    <w:p>
      <w:pPr>
        <w:rPr>
          <w:rFonts w:hint="eastAsia" w:ascii="Times New Roman" w:hAnsi="Times New Roman" w:eastAsia="宋体" w:cs="宋体"/>
          <w:caps w:val="0"/>
        </w:rPr>
      </w:pPr>
    </w:p>
    <w:p>
      <w:pPr>
        <w:rPr>
          <w:rFonts w:hint="eastAsia" w:ascii="Times New Roman" w:hAnsi="Times New Roman" w:eastAsia="宋体" w:cs="宋体"/>
          <w:caps w:val="0"/>
        </w:rPr>
      </w:pPr>
    </w:p>
    <w:p>
      <w:pPr>
        <w:rPr>
          <w:rFonts w:hint="eastAsia" w:ascii="Times New Roman" w:hAnsi="Times New Roman" w:eastAsia="宋体" w:cs="宋体"/>
          <w:caps w:val="0"/>
        </w:rPr>
      </w:pPr>
    </w:p>
    <w:p>
      <w:pPr>
        <w:rPr>
          <w:rFonts w:hint="eastAsia" w:ascii="Times New Roman" w:hAnsi="Times New Roman" w:eastAsia="宋体" w:cs="宋体"/>
          <w:caps w:val="0"/>
        </w:rPr>
      </w:pPr>
    </w:p>
    <w:p>
      <w:pPr>
        <w:pStyle w:val="20"/>
        <w:ind w:right="-252"/>
        <w:rPr>
          <w:rFonts w:hint="eastAsia" w:ascii="Times New Roman" w:hAnsi="Times New Roman" w:eastAsia="宋体" w:cs="宋体"/>
          <w:caps w:val="0"/>
        </w:rPr>
      </w:pPr>
    </w:p>
    <w:p>
      <w:pPr>
        <w:pStyle w:val="20"/>
        <w:ind w:right="-252"/>
        <w:rPr>
          <w:rFonts w:hint="eastAsia" w:ascii="Times New Roman" w:hAnsi="Times New Roman" w:eastAsia="宋体" w:cs="宋体"/>
          <w:caps w:val="0"/>
        </w:rPr>
      </w:pPr>
    </w:p>
    <w:p>
      <w:pPr>
        <w:rPr>
          <w:rFonts w:hint="eastAsia" w:ascii="Times New Roman" w:hAnsi="Times New Roman" w:eastAsia="宋体" w:cs="宋体"/>
          <w:bCs/>
          <w:caps w:val="0"/>
          <w:szCs w:val="21"/>
        </w:rPr>
      </w:pPr>
      <w:r>
        <w:rPr>
          <w:rFonts w:hint="eastAsia" w:ascii="Times New Roman" w:hAnsi="Times New Roman" w:eastAsia="宋体" w:cs="宋体"/>
          <w:bCs/>
          <w:caps w:val="0"/>
          <w:szCs w:val="21"/>
        </w:rPr>
        <w:t>注：</w:t>
      </w:r>
    </w:p>
    <w:p>
      <w:pPr>
        <w:rPr>
          <w:rFonts w:hint="eastAsia" w:ascii="Times New Roman" w:hAnsi="Times New Roman" w:eastAsia="宋体" w:cs="宋体"/>
          <w:bCs/>
          <w:caps w:val="0"/>
          <w:szCs w:val="21"/>
        </w:rPr>
      </w:pPr>
      <w:r>
        <w:rPr>
          <w:rFonts w:hint="eastAsia" w:ascii="Times New Roman" w:hAnsi="Times New Roman" w:eastAsia="宋体" w:cs="宋体"/>
          <w:bCs/>
          <w:caps w:val="0"/>
          <w:szCs w:val="21"/>
        </w:rPr>
        <w:t>1.残疾人福利性单位视同小型、微型企业，享受价格扣除。</w:t>
      </w:r>
    </w:p>
    <w:p>
      <w:pPr>
        <w:rPr>
          <w:rFonts w:hint="eastAsia" w:ascii="Times New Roman" w:hAnsi="Times New Roman" w:eastAsia="宋体" w:cs="宋体"/>
          <w:bCs/>
          <w:caps w:val="0"/>
          <w:szCs w:val="21"/>
        </w:rPr>
      </w:pPr>
      <w:r>
        <w:rPr>
          <w:rFonts w:hint="eastAsia" w:ascii="Times New Roman" w:hAnsi="Times New Roman" w:eastAsia="宋体" w:cs="宋体"/>
          <w:bCs/>
          <w:caps w:val="0"/>
          <w:szCs w:val="21"/>
        </w:rPr>
        <w:t>2.残疾人福利性单位属于小型、微型企业的，不重复享受政策。</w:t>
      </w:r>
    </w:p>
    <w:p>
      <w:pPr>
        <w:rPr>
          <w:rFonts w:hint="eastAsia" w:ascii="Times New Roman" w:hAnsi="Times New Roman" w:eastAsia="宋体" w:cs="宋体"/>
          <w:caps w:val="0"/>
          <w:sz w:val="24"/>
          <w:szCs w:val="24"/>
        </w:rPr>
      </w:pPr>
      <w:r>
        <w:rPr>
          <w:rFonts w:hint="eastAsia" w:ascii="Times New Roman" w:hAnsi="Times New Roman" w:eastAsia="宋体" w:cs="宋体"/>
          <w:bCs/>
          <w:caps w:val="0"/>
          <w:szCs w:val="21"/>
        </w:rPr>
        <w:t>3.如中标人声明为残疾人福利性单位，本声明函将随中标结果同时公告，接受社会监督。</w:t>
      </w:r>
    </w:p>
    <w:p>
      <w:pPr>
        <w:pStyle w:val="20"/>
        <w:ind w:right="-252"/>
        <w:rPr>
          <w:rFonts w:hint="eastAsia" w:ascii="Times New Roman" w:hAnsi="Times New Roman" w:eastAsia="宋体" w:cs="宋体"/>
          <w:caps w:val="0"/>
          <w:sz w:val="24"/>
          <w:szCs w:val="24"/>
        </w:rPr>
      </w:pPr>
    </w:p>
    <w:p>
      <w:pPr>
        <w:pStyle w:val="3"/>
        <w:keepNext w:val="0"/>
        <w:keepLines w:val="0"/>
        <w:pageBreakBefore/>
        <w:widowControl w:val="0"/>
        <w:tabs>
          <w:tab w:val="left" w:pos="840"/>
        </w:tabs>
        <w:adjustRightInd w:val="0"/>
        <w:snapToGrid w:val="0"/>
        <w:spacing w:before="312" w:beforeLines="100" w:after="312" w:afterLines="100" w:line="240" w:lineRule="auto"/>
        <w:jc w:val="center"/>
        <w:outlineLvl w:val="0"/>
        <w:rPr>
          <w:rFonts w:hint="eastAsia" w:hAnsi="宋体" w:eastAsia="宋体" w:cs="Times New Roman"/>
          <w:b/>
          <w:bCs/>
          <w:color w:val="auto"/>
          <w:sz w:val="28"/>
          <w:szCs w:val="28"/>
          <w:highlight w:val="none"/>
          <w:lang w:eastAsia="zh-CN"/>
        </w:rPr>
      </w:pPr>
      <w:bookmarkStart w:id="1114" w:name="_Toc23169"/>
      <w:bookmarkStart w:id="1115" w:name="_Toc7846"/>
      <w:bookmarkStart w:id="1116" w:name="_Toc26851"/>
      <w:bookmarkStart w:id="1117" w:name="_Toc30272"/>
      <w:bookmarkStart w:id="1118" w:name="_Toc26064"/>
      <w:bookmarkStart w:id="1119" w:name="_Toc29118"/>
      <w:bookmarkStart w:id="1120" w:name="_Toc10195"/>
      <w:bookmarkStart w:id="1121" w:name="_Toc32518"/>
      <w:bookmarkStart w:id="1122" w:name="_Toc17637"/>
      <w:bookmarkStart w:id="1123" w:name="_Toc25149"/>
      <w:bookmarkStart w:id="1124" w:name="_Toc8791"/>
      <w:bookmarkStart w:id="1125" w:name="_Toc14419"/>
      <w:bookmarkStart w:id="1126" w:name="_Toc5368"/>
      <w:r>
        <w:rPr>
          <w:rFonts w:hint="eastAsia" w:hAnsi="宋体" w:eastAsia="宋体" w:cs="Times New Roman"/>
          <w:b/>
          <w:bCs/>
          <w:color w:val="auto"/>
          <w:sz w:val="28"/>
          <w:szCs w:val="28"/>
          <w:highlight w:val="none"/>
        </w:rPr>
        <w:t>附件</w:t>
      </w:r>
      <w:r>
        <w:rPr>
          <w:rFonts w:hint="eastAsia" w:hAnsi="宋体" w:eastAsia="宋体" w:cs="Times New Roman"/>
          <w:b/>
          <w:bCs/>
          <w:color w:val="auto"/>
          <w:sz w:val="28"/>
          <w:szCs w:val="28"/>
          <w:highlight w:val="none"/>
          <w:lang w:val="en-US" w:eastAsia="zh-CN"/>
        </w:rPr>
        <w:t>四</w:t>
      </w:r>
      <w:r>
        <w:rPr>
          <w:rFonts w:hint="eastAsia" w:hAnsi="宋体" w:eastAsia="宋体" w:cs="Times New Roman"/>
          <w:b/>
          <w:bCs/>
          <w:color w:val="auto"/>
          <w:sz w:val="28"/>
          <w:szCs w:val="28"/>
          <w:highlight w:val="none"/>
        </w:rPr>
        <w:t xml:space="preserve">  </w:t>
      </w:r>
      <w:r>
        <w:rPr>
          <w:rFonts w:hint="eastAsia" w:hAnsi="宋体" w:eastAsia="宋体" w:cs="Times New Roman"/>
          <w:b/>
          <w:bCs/>
          <w:color w:val="auto"/>
          <w:sz w:val="28"/>
          <w:szCs w:val="28"/>
          <w:highlight w:val="none"/>
          <w:lang w:eastAsia="zh-CN"/>
        </w:rPr>
        <w:t>法定代表人身份证明</w:t>
      </w:r>
      <w:bookmarkEnd w:id="109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widowControl w:val="0"/>
        <w:spacing w:line="360" w:lineRule="auto"/>
        <w:rPr>
          <w:rStyle w:val="95"/>
          <w:rFonts w:ascii="Arial" w:hAnsi="Arial" w:cs="Arial"/>
          <w:color w:val="auto"/>
          <w:highlight w:val="none"/>
        </w:rPr>
      </w:pPr>
      <w:r>
        <w:rPr>
          <w:rFonts w:hint="eastAsia" w:ascii="宋体" w:hAnsi="宋体" w:cs="宋体"/>
          <w:b w:val="0"/>
          <w:bCs/>
          <w:szCs w:val="21"/>
        </w:rPr>
        <w:t>瑞安市机关事务管理中心</w:t>
      </w:r>
      <w:r>
        <w:rPr>
          <w:rFonts w:hint="eastAsia" w:ascii="宋体" w:hAnsi="宋体" w:cs="宋体"/>
          <w:b w:val="0"/>
          <w:bCs/>
          <w:color w:val="auto"/>
          <w:szCs w:val="21"/>
          <w:highlight w:val="none"/>
          <w:lang w:bidi="ar"/>
        </w:rPr>
        <w:t>、瑞安市公共资源交易中心：</w:t>
      </w:r>
    </w:p>
    <w:p>
      <w:pPr>
        <w:rPr>
          <w:rFonts w:hint="eastAsia"/>
          <w:lang w:val="en-US" w:eastAsia="zh-CN"/>
        </w:rPr>
      </w:pPr>
    </w:p>
    <w:p>
      <w:pPr>
        <w:pStyle w:val="20"/>
        <w:ind w:left="0" w:leftChars="0" w:firstLine="420" w:firstLineChars="200"/>
        <w:rPr>
          <w:rFonts w:hint="eastAsia" w:ascii="宋体" w:hAnsi="宋体" w:cs="宋体"/>
          <w:b w:val="0"/>
          <w:bCs/>
          <w:color w:val="auto"/>
          <w:szCs w:val="21"/>
          <w:highlight w:val="none"/>
          <w:u w:val="single"/>
          <w:lang w:val="en-US" w:eastAsia="zh-CN" w:bidi="ar"/>
        </w:rPr>
      </w:pPr>
      <w:r>
        <w:rPr>
          <w:rStyle w:val="95"/>
          <w:rFonts w:hint="eastAsia" w:ascii="Arial" w:hAnsi="Arial" w:cs="Arial"/>
          <w:color w:val="auto"/>
          <w:sz w:val="21"/>
          <w:szCs w:val="22"/>
          <w:highlight w:val="none"/>
          <w:lang w:val="en-US" w:eastAsia="zh-CN" w:bidi="ar-SA"/>
        </w:rPr>
        <w:t>姓名：</w:t>
      </w:r>
      <w:r>
        <w:rPr>
          <w:rFonts w:hint="eastAsia" w:ascii="宋体" w:hAnsi="宋体" w:cs="宋体"/>
          <w:b w:val="0"/>
          <w:bCs/>
          <w:color w:val="auto"/>
          <w:szCs w:val="21"/>
          <w:highlight w:val="none"/>
          <w:u w:val="single"/>
          <w:lang w:val="en-US" w:eastAsia="zh-CN" w:bidi="ar"/>
        </w:rPr>
        <w:t xml:space="preserve">          </w:t>
      </w:r>
      <w:r>
        <w:rPr>
          <w:rStyle w:val="95"/>
          <w:rFonts w:hint="eastAsia" w:ascii="Arial" w:hAnsi="Arial" w:cs="Arial"/>
          <w:color w:val="auto"/>
          <w:sz w:val="21"/>
          <w:szCs w:val="22"/>
          <w:highlight w:val="none"/>
          <w:lang w:val="en-US" w:eastAsia="zh-CN" w:bidi="ar-SA"/>
        </w:rPr>
        <w:t>性别：</w:t>
      </w:r>
      <w:r>
        <w:rPr>
          <w:rFonts w:hint="eastAsia" w:ascii="宋体" w:hAnsi="宋体" w:cs="宋体"/>
          <w:b w:val="0"/>
          <w:bCs/>
          <w:color w:val="auto"/>
          <w:szCs w:val="21"/>
          <w:highlight w:val="none"/>
          <w:u w:val="single"/>
          <w:lang w:val="en-US" w:eastAsia="zh-CN" w:bidi="ar"/>
        </w:rPr>
        <w:t xml:space="preserve">          </w:t>
      </w:r>
      <w:r>
        <w:rPr>
          <w:rStyle w:val="95"/>
          <w:rFonts w:hint="eastAsia" w:ascii="Arial" w:hAnsi="Arial" w:cs="Arial"/>
          <w:color w:val="auto"/>
          <w:sz w:val="21"/>
          <w:szCs w:val="22"/>
          <w:highlight w:val="none"/>
          <w:lang w:val="en-US" w:eastAsia="zh-CN" w:bidi="ar-SA"/>
        </w:rPr>
        <w:t>职务：</w:t>
      </w:r>
      <w:r>
        <w:rPr>
          <w:rFonts w:hint="eastAsia" w:ascii="宋体" w:hAnsi="宋体" w:cs="宋体"/>
          <w:b w:val="0"/>
          <w:bCs/>
          <w:color w:val="auto"/>
          <w:szCs w:val="21"/>
          <w:highlight w:val="none"/>
          <w:u w:val="single"/>
          <w:lang w:val="en-US" w:eastAsia="zh-CN" w:bidi="ar"/>
        </w:rPr>
        <w:t xml:space="preserve">          </w:t>
      </w:r>
    </w:p>
    <w:p>
      <w:pPr>
        <w:pStyle w:val="20"/>
        <w:ind w:left="0" w:leftChars="0" w:firstLine="420" w:firstLineChars="200"/>
        <w:rPr>
          <w:rFonts w:hint="eastAsia" w:cs="宋体"/>
          <w:b w:val="0"/>
          <w:bCs/>
          <w:color w:val="auto"/>
          <w:sz w:val="21"/>
          <w:szCs w:val="16"/>
          <w:highlight w:val="none"/>
          <w:u w:val="none"/>
          <w:lang w:val="en-US" w:eastAsia="zh-CN" w:bidi="ar"/>
        </w:rPr>
      </w:pPr>
      <w:r>
        <w:rPr>
          <w:rStyle w:val="95"/>
          <w:rFonts w:hint="eastAsia" w:ascii="Arial" w:hAnsi="Arial" w:cs="Arial"/>
          <w:color w:val="auto"/>
          <w:sz w:val="21"/>
          <w:szCs w:val="22"/>
          <w:highlight w:val="none"/>
          <w:lang w:val="en-US" w:eastAsia="zh-CN" w:bidi="ar-SA"/>
        </w:rPr>
        <w:t>联系方式：</w:t>
      </w:r>
      <w:r>
        <w:rPr>
          <w:rFonts w:hint="eastAsia" w:ascii="宋体" w:hAnsi="宋体" w:cs="宋体"/>
          <w:b w:val="0"/>
          <w:bCs/>
          <w:color w:val="auto"/>
          <w:szCs w:val="21"/>
          <w:highlight w:val="none"/>
          <w:u w:val="single"/>
          <w:lang w:val="en-US" w:eastAsia="zh-CN" w:bidi="ar"/>
        </w:rPr>
        <w:t xml:space="preserve">          </w:t>
      </w:r>
      <w:r>
        <w:rPr>
          <w:rFonts w:hint="eastAsia" w:cs="宋体"/>
          <w:b w:val="0"/>
          <w:bCs/>
          <w:color w:val="auto"/>
          <w:szCs w:val="21"/>
          <w:highlight w:val="none"/>
          <w:u w:val="none"/>
          <w:lang w:val="en-US" w:eastAsia="zh-CN" w:bidi="ar"/>
        </w:rPr>
        <w:t>，</w:t>
      </w:r>
      <w:r>
        <w:rPr>
          <w:rStyle w:val="95"/>
          <w:rFonts w:hint="eastAsia" w:ascii="Arial" w:hAnsi="Arial" w:cs="Arial"/>
          <w:color w:val="auto"/>
          <w:sz w:val="21"/>
          <w:szCs w:val="22"/>
          <w:highlight w:val="none"/>
          <w:lang w:val="en-US" w:eastAsia="zh-CN" w:bidi="ar-SA"/>
        </w:rPr>
        <w:t>系</w:t>
      </w:r>
      <w:r>
        <w:rPr>
          <w:rFonts w:hint="eastAsia" w:ascii="宋体" w:hAnsi="宋体" w:cs="宋体"/>
          <w:b w:val="0"/>
          <w:bCs/>
          <w:color w:val="auto"/>
          <w:szCs w:val="21"/>
          <w:highlight w:val="none"/>
          <w:u w:val="single"/>
          <w:lang w:val="en-US" w:eastAsia="zh-CN" w:bidi="ar"/>
        </w:rPr>
        <w:t xml:space="preserve">   </w:t>
      </w:r>
      <w:r>
        <w:rPr>
          <w:rStyle w:val="95"/>
          <w:rFonts w:hint="eastAsia" w:ascii="Arial" w:hAnsi="Arial" w:cs="Arial"/>
          <w:i/>
          <w:iCs/>
          <w:color w:val="auto"/>
          <w:sz w:val="21"/>
          <w:szCs w:val="22"/>
          <w:highlight w:val="none"/>
          <w:u w:val="single"/>
          <w:lang w:val="en-US" w:eastAsia="zh-CN" w:bidi="ar-SA"/>
        </w:rPr>
        <w:t>（投标人名称）</w:t>
      </w:r>
      <w:r>
        <w:rPr>
          <w:rFonts w:hint="eastAsia" w:ascii="宋体" w:hAnsi="宋体" w:cs="宋体"/>
          <w:b w:val="0"/>
          <w:bCs/>
          <w:color w:val="auto"/>
          <w:szCs w:val="21"/>
          <w:highlight w:val="none"/>
          <w:u w:val="single"/>
          <w:lang w:val="en-US" w:eastAsia="zh-CN" w:bidi="ar"/>
        </w:rPr>
        <w:t xml:space="preserve">       </w:t>
      </w:r>
      <w:r>
        <w:rPr>
          <w:rFonts w:hint="eastAsia" w:cs="宋体"/>
          <w:b w:val="0"/>
          <w:bCs/>
          <w:color w:val="auto"/>
          <w:sz w:val="21"/>
          <w:szCs w:val="16"/>
          <w:highlight w:val="none"/>
          <w:u w:val="none"/>
          <w:lang w:val="en-US" w:eastAsia="zh-CN" w:bidi="ar"/>
        </w:rPr>
        <w:t>的法定代表人，特此证明。</w:t>
      </w:r>
    </w:p>
    <w:p>
      <w:pPr>
        <w:pStyle w:val="20"/>
        <w:ind w:left="0" w:leftChars="0" w:firstLine="420" w:firstLineChars="200"/>
        <w:rPr>
          <w:rFonts w:hint="eastAsia" w:cs="宋体"/>
          <w:b w:val="0"/>
          <w:bCs/>
          <w:color w:val="auto"/>
          <w:sz w:val="21"/>
          <w:szCs w:val="16"/>
          <w:highlight w:val="none"/>
          <w:u w:val="none"/>
          <w:lang w:val="en-US" w:eastAsia="zh-CN" w:bidi="ar"/>
        </w:rPr>
      </w:pPr>
    </w:p>
    <w:p>
      <w:pPr>
        <w:pStyle w:val="20"/>
        <w:ind w:left="0" w:leftChars="0" w:firstLine="420" w:firstLineChars="200"/>
        <w:rPr>
          <w:rFonts w:hint="eastAsia" w:cs="宋体"/>
          <w:b w:val="0"/>
          <w:bCs/>
          <w:color w:val="auto"/>
          <w:sz w:val="21"/>
          <w:szCs w:val="16"/>
          <w:highlight w:val="none"/>
          <w:u w:val="none"/>
          <w:lang w:val="en-US" w:eastAsia="zh-CN" w:bidi="ar"/>
        </w:rPr>
      </w:pPr>
    </w:p>
    <w:p>
      <w:pPr>
        <w:pStyle w:val="20"/>
        <w:ind w:left="0" w:leftChars="0" w:firstLine="420" w:firstLineChars="200"/>
        <w:jc w:val="right"/>
        <w:rPr>
          <w:rFonts w:hint="eastAsia" w:cs="宋体"/>
          <w:b w:val="0"/>
          <w:bCs/>
          <w:color w:val="auto"/>
          <w:sz w:val="21"/>
          <w:szCs w:val="16"/>
          <w:highlight w:val="none"/>
          <w:u w:val="none"/>
          <w:lang w:val="en-US" w:eastAsia="zh-CN" w:bidi="ar"/>
        </w:rPr>
      </w:pPr>
    </w:p>
    <w:p>
      <w:pPr>
        <w:pStyle w:val="20"/>
        <w:ind w:left="0" w:leftChars="0" w:firstLine="420" w:firstLineChars="200"/>
        <w:jc w:val="left"/>
        <w:rPr>
          <w:rFonts w:hint="eastAsia" w:cs="宋体"/>
          <w:b w:val="0"/>
          <w:bCs/>
          <w:color w:val="auto"/>
          <w:sz w:val="21"/>
          <w:szCs w:val="16"/>
          <w:highlight w:val="none"/>
          <w:u w:val="none"/>
          <w:lang w:val="en-US" w:eastAsia="zh-CN" w:bidi="ar"/>
        </w:rPr>
      </w:pPr>
    </w:p>
    <w:p>
      <w:pPr>
        <w:spacing w:line="360" w:lineRule="auto"/>
        <w:jc w:val="left"/>
        <w:outlineLvl w:val="9"/>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rPr>
        <w:t>附：</w:t>
      </w:r>
      <w:r>
        <w:rPr>
          <w:rFonts w:hint="eastAsia" w:ascii="宋体" w:hAnsi="宋体" w:cs="宋体"/>
          <w:b/>
          <w:bCs/>
          <w:color w:val="auto"/>
          <w:szCs w:val="21"/>
          <w:highlight w:val="none"/>
          <w:lang w:eastAsia="zh-CN"/>
        </w:rPr>
        <w:t>法定代表人</w:t>
      </w:r>
      <w:r>
        <w:rPr>
          <w:rFonts w:hint="eastAsia" w:ascii="宋体" w:hAnsi="宋体" w:cs="宋体"/>
          <w:b/>
          <w:bCs/>
          <w:color w:val="auto"/>
          <w:szCs w:val="21"/>
          <w:highlight w:val="none"/>
        </w:rPr>
        <w:t>身份证复印件。</w:t>
      </w:r>
      <w:r>
        <w:rPr>
          <w:rFonts w:hint="eastAsia" w:ascii="宋体" w:hAnsi="宋体" w:cs="宋体"/>
          <w:b/>
          <w:bCs/>
          <w:color w:val="auto"/>
          <w:szCs w:val="21"/>
          <w:highlight w:val="none"/>
          <w:lang w:eastAsia="zh-CN"/>
        </w:rPr>
        <w:t>（正反面）</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0"/>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trPr>
        <w:tc>
          <w:tcPr>
            <w:tcW w:w="4520" w:type="dxa"/>
            <w:noWrap w:val="0"/>
            <w:vAlign w:val="top"/>
          </w:tcPr>
          <w:p>
            <w:pPr>
              <w:pStyle w:val="18"/>
              <w:keepNext w:val="0"/>
              <w:keepLines w:val="0"/>
              <w:suppressLineNumbers w:val="0"/>
              <w:spacing w:before="0" w:beforeAutospacing="0" w:afterAutospacing="0"/>
              <w:ind w:right="0"/>
              <w:jc w:val="left"/>
              <w:outlineLvl w:val="9"/>
              <w:rPr>
                <w:rFonts w:hint="eastAsia" w:ascii="宋体" w:hAnsi="宋体" w:cs="宋体"/>
                <w:b/>
                <w:bCs/>
                <w:color w:val="auto"/>
                <w:szCs w:val="21"/>
                <w:highlight w:val="none"/>
                <w:vertAlign w:val="baseline"/>
              </w:rPr>
            </w:pPr>
          </w:p>
        </w:tc>
        <w:tc>
          <w:tcPr>
            <w:tcW w:w="4520" w:type="dxa"/>
            <w:noWrap w:val="0"/>
            <w:vAlign w:val="top"/>
          </w:tcPr>
          <w:p>
            <w:pPr>
              <w:pStyle w:val="18"/>
              <w:keepNext w:val="0"/>
              <w:keepLines w:val="0"/>
              <w:suppressLineNumbers w:val="0"/>
              <w:spacing w:before="0" w:beforeAutospacing="0" w:afterAutospacing="0"/>
              <w:ind w:right="0"/>
              <w:jc w:val="left"/>
              <w:outlineLvl w:val="9"/>
              <w:rPr>
                <w:rFonts w:hint="eastAsia" w:ascii="宋体" w:hAnsi="宋体" w:cs="宋体"/>
                <w:b/>
                <w:bCs/>
                <w:color w:val="auto"/>
                <w:szCs w:val="21"/>
                <w:highlight w:val="none"/>
                <w:vertAlign w:val="baseline"/>
              </w:rPr>
            </w:pPr>
          </w:p>
        </w:tc>
      </w:tr>
    </w:tbl>
    <w:p>
      <w:pPr>
        <w:pStyle w:val="20"/>
        <w:ind w:left="0" w:leftChars="0" w:firstLine="420" w:firstLineChars="200"/>
        <w:jc w:val="right"/>
        <w:rPr>
          <w:rFonts w:hint="eastAsia" w:cs="宋体"/>
          <w:b w:val="0"/>
          <w:bCs/>
          <w:color w:val="auto"/>
          <w:sz w:val="21"/>
          <w:szCs w:val="16"/>
          <w:highlight w:val="none"/>
          <w:u w:val="none"/>
          <w:lang w:val="en-US" w:eastAsia="zh-CN" w:bidi="ar"/>
        </w:rPr>
      </w:pPr>
    </w:p>
    <w:p>
      <w:pPr>
        <w:pStyle w:val="20"/>
        <w:ind w:left="0" w:leftChars="0" w:firstLine="420" w:firstLineChars="200"/>
        <w:jc w:val="right"/>
        <w:rPr>
          <w:rFonts w:hint="eastAsia" w:cs="宋体"/>
          <w:b w:val="0"/>
          <w:bCs/>
          <w:color w:val="auto"/>
          <w:sz w:val="21"/>
          <w:szCs w:val="16"/>
          <w:highlight w:val="none"/>
          <w:u w:val="none"/>
          <w:lang w:val="en-US" w:eastAsia="zh-CN" w:bidi="ar"/>
        </w:rPr>
      </w:pPr>
    </w:p>
    <w:p>
      <w:pPr>
        <w:pStyle w:val="20"/>
        <w:ind w:left="0" w:leftChars="0" w:firstLine="420" w:firstLineChars="200"/>
        <w:jc w:val="right"/>
        <w:rPr>
          <w:rFonts w:hint="eastAsia" w:cs="宋体"/>
          <w:b w:val="0"/>
          <w:bCs/>
          <w:color w:val="auto"/>
          <w:sz w:val="21"/>
          <w:szCs w:val="16"/>
          <w:highlight w:val="none"/>
          <w:u w:val="none"/>
          <w:lang w:val="en-US" w:eastAsia="zh-CN" w:bidi="ar"/>
        </w:rPr>
      </w:pPr>
    </w:p>
    <w:p>
      <w:pPr>
        <w:pStyle w:val="20"/>
        <w:ind w:left="0" w:leftChars="0" w:firstLine="420" w:firstLineChars="200"/>
        <w:jc w:val="right"/>
        <w:rPr>
          <w:rFonts w:hint="eastAsia" w:cs="宋体"/>
          <w:b w:val="0"/>
          <w:bCs/>
          <w:color w:val="auto"/>
          <w:sz w:val="21"/>
          <w:szCs w:val="16"/>
          <w:highlight w:val="none"/>
          <w:u w:val="none"/>
          <w:lang w:val="en-US" w:eastAsia="zh-CN" w:bidi="ar"/>
        </w:rPr>
      </w:pPr>
    </w:p>
    <w:p>
      <w:pPr>
        <w:spacing w:line="480" w:lineRule="auto"/>
        <w:jc w:val="right"/>
        <w:rPr>
          <w:rFonts w:hint="eastAsia" w:ascii="宋体" w:hAnsi="宋体" w:cs="宋体"/>
          <w:bCs/>
          <w:color w:val="auto"/>
          <w:szCs w:val="21"/>
          <w:highlight w:val="none"/>
          <w:lang w:bidi="ar"/>
        </w:rPr>
      </w:pPr>
      <w:r>
        <w:rPr>
          <w:rFonts w:hint="eastAsia" w:ascii="宋体" w:hAnsi="宋体" w:cs="宋体"/>
          <w:bCs/>
          <w:color w:val="auto"/>
          <w:szCs w:val="21"/>
          <w:highlight w:val="none"/>
          <w:lang w:eastAsia="zh-CN" w:bidi="ar"/>
        </w:rPr>
        <w:t>投标人</w:t>
      </w:r>
      <w:r>
        <w:rPr>
          <w:rFonts w:hint="eastAsia" w:ascii="宋体" w:hAnsi="宋体" w:cs="宋体"/>
          <w:bCs/>
          <w:color w:val="auto"/>
          <w:szCs w:val="21"/>
          <w:highlight w:val="none"/>
          <w:lang w:bidi="ar"/>
        </w:rPr>
        <w:t>全称：</w:t>
      </w:r>
      <w:r>
        <w:rPr>
          <w:rFonts w:hint="eastAsia" w:cs="宋体"/>
          <w:sz w:val="21"/>
          <w:szCs w:val="21"/>
          <w:u w:val="single"/>
          <w:lang w:bidi="ar"/>
        </w:rPr>
        <w:t xml:space="preserve">                    （盖公章）</w:t>
      </w:r>
    </w:p>
    <w:p>
      <w:pPr>
        <w:spacing w:line="480" w:lineRule="auto"/>
        <w:ind w:firstLine="4830" w:firstLineChars="2300"/>
        <w:rPr>
          <w:rFonts w:hint="eastAsia" w:cs="宋体"/>
          <w:bCs/>
          <w:color w:val="auto"/>
          <w:szCs w:val="21"/>
          <w:highlight w:val="none"/>
        </w:rPr>
      </w:pPr>
      <w:r>
        <w:rPr>
          <w:rFonts w:hint="eastAsia" w:ascii="宋体" w:hAnsi="宋体" w:cs="宋体"/>
          <w:bCs/>
          <w:color w:val="auto"/>
          <w:szCs w:val="21"/>
          <w:highlight w:val="none"/>
        </w:rPr>
        <w:t>日期：</w:t>
      </w:r>
      <w:r>
        <w:rPr>
          <w:rFonts w:hint="eastAsia" w:cs="宋体"/>
          <w:sz w:val="21"/>
          <w:szCs w:val="21"/>
          <w:u w:val="single"/>
          <w:lang w:bidi="ar"/>
        </w:rPr>
        <w:t xml:space="preserve">        </w:t>
      </w:r>
      <w:r>
        <w:rPr>
          <w:rFonts w:hint="eastAsia" w:cs="宋体"/>
          <w:sz w:val="21"/>
          <w:szCs w:val="21"/>
          <w:lang w:bidi="ar"/>
        </w:rPr>
        <w:t xml:space="preserve">年 </w:t>
      </w:r>
      <w:r>
        <w:rPr>
          <w:rFonts w:hint="eastAsia" w:cs="宋体"/>
          <w:sz w:val="21"/>
          <w:szCs w:val="21"/>
          <w:u w:val="single"/>
          <w:lang w:bidi="ar"/>
        </w:rPr>
        <w:t xml:space="preserve">  </w:t>
      </w:r>
      <w:r>
        <w:rPr>
          <w:rFonts w:hint="eastAsia" w:cs="宋体"/>
          <w:sz w:val="21"/>
          <w:szCs w:val="21"/>
          <w:u w:val="single"/>
          <w:lang w:val="en-US" w:eastAsia="zh-CN" w:bidi="ar"/>
        </w:rPr>
        <w:t xml:space="preserve">   </w:t>
      </w:r>
      <w:r>
        <w:rPr>
          <w:rFonts w:hint="eastAsia" w:cs="宋体"/>
          <w:sz w:val="21"/>
          <w:szCs w:val="21"/>
          <w:u w:val="single"/>
          <w:lang w:bidi="ar"/>
        </w:rPr>
        <w:t xml:space="preserve"> </w:t>
      </w:r>
      <w:r>
        <w:rPr>
          <w:rFonts w:hint="eastAsia" w:cs="宋体"/>
          <w:sz w:val="21"/>
          <w:szCs w:val="21"/>
          <w:lang w:bidi="ar"/>
        </w:rPr>
        <w:t>月</w:t>
      </w:r>
      <w:r>
        <w:rPr>
          <w:rFonts w:hint="eastAsia" w:cs="宋体"/>
          <w:sz w:val="21"/>
          <w:szCs w:val="21"/>
          <w:u w:val="single"/>
          <w:lang w:bidi="ar"/>
        </w:rPr>
        <w:t xml:space="preserve">   </w:t>
      </w:r>
      <w:r>
        <w:rPr>
          <w:rFonts w:hint="eastAsia" w:cs="宋体"/>
          <w:sz w:val="21"/>
          <w:szCs w:val="21"/>
          <w:u w:val="single"/>
          <w:lang w:val="en-US" w:eastAsia="zh-CN" w:bidi="ar"/>
        </w:rPr>
        <w:t xml:space="preserve">  </w:t>
      </w:r>
      <w:r>
        <w:rPr>
          <w:rFonts w:hint="eastAsia" w:cs="宋体"/>
          <w:sz w:val="21"/>
          <w:szCs w:val="21"/>
          <w:u w:val="single"/>
          <w:lang w:bidi="ar"/>
        </w:rPr>
        <w:t xml:space="preserve"> </w:t>
      </w:r>
      <w:r>
        <w:rPr>
          <w:rFonts w:hint="eastAsia" w:cs="宋体"/>
          <w:sz w:val="21"/>
          <w:szCs w:val="21"/>
          <w:lang w:bidi="ar"/>
        </w:rPr>
        <w:t>日</w:t>
      </w:r>
    </w:p>
    <w:p>
      <w:pPr>
        <w:pStyle w:val="15"/>
        <w:spacing w:line="240" w:lineRule="auto"/>
        <w:jc w:val="left"/>
        <w:outlineLvl w:val="9"/>
        <w:rPr>
          <w:rFonts w:hint="eastAsia" w:ascii="宋体" w:hAnsi="宋体" w:eastAsia="宋体" w:cs="宋体"/>
          <w:b/>
          <w:color w:val="auto"/>
          <w:sz w:val="21"/>
          <w:szCs w:val="21"/>
          <w:highlight w:val="none"/>
          <w:lang w:val="en-US" w:eastAsia="zh-CN"/>
        </w:rPr>
      </w:pPr>
    </w:p>
    <w:p>
      <w:pPr>
        <w:pStyle w:val="15"/>
        <w:spacing w:line="240" w:lineRule="auto"/>
        <w:jc w:val="left"/>
        <w:outlineLvl w:val="9"/>
        <w:rPr>
          <w:rFonts w:hint="eastAsia" w:ascii="宋体" w:hAnsi="宋体" w:eastAsia="宋体" w:cs="宋体"/>
          <w:b/>
          <w:color w:val="auto"/>
          <w:sz w:val="21"/>
          <w:szCs w:val="21"/>
          <w:highlight w:val="none"/>
          <w:lang w:val="en-US" w:eastAsia="zh-CN"/>
        </w:rPr>
      </w:pPr>
    </w:p>
    <w:p>
      <w:pPr>
        <w:pStyle w:val="20"/>
        <w:ind w:left="0" w:leftChars="0" w:right="-252" w:firstLine="0" w:firstLineChars="0"/>
        <w:rPr>
          <w:rFonts w:hint="eastAsia" w:eastAsia="宋体" w:cs="宋体"/>
          <w:b w:val="0"/>
          <w:bCs w:val="0"/>
          <w:sz w:val="21"/>
          <w:szCs w:val="21"/>
          <w:lang w:eastAsia="zh-CN" w:bidi="ar"/>
        </w:rPr>
      </w:pPr>
      <w:r>
        <w:rPr>
          <w:rFonts w:hint="eastAsia" w:cs="宋体"/>
          <w:b w:val="0"/>
          <w:bCs w:val="0"/>
          <w:sz w:val="21"/>
          <w:szCs w:val="21"/>
          <w:lang w:eastAsia="zh-CN" w:bidi="ar"/>
        </w:rPr>
        <w:t>注：</w:t>
      </w:r>
    </w:p>
    <w:p>
      <w:pPr>
        <w:pStyle w:val="15"/>
        <w:spacing w:line="240" w:lineRule="auto"/>
        <w:jc w:val="left"/>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1.本附件必须提供。</w:t>
      </w:r>
    </w:p>
    <w:p>
      <w:pPr>
        <w:pStyle w:val="20"/>
        <w:ind w:left="0" w:leftChars="0" w:firstLine="0" w:firstLineChars="0"/>
        <w:rPr>
          <w:rFonts w:hint="eastAsia" w:ascii="宋体" w:hAnsi="宋体" w:cs="宋体"/>
          <w:szCs w:val="21"/>
        </w:rPr>
      </w:pPr>
    </w:p>
    <w:p>
      <w:pPr>
        <w:pStyle w:val="3"/>
        <w:pageBreakBefore/>
        <w:spacing w:before="78" w:beforeLines="25" w:after="0" w:line="360" w:lineRule="auto"/>
        <w:jc w:val="center"/>
        <w:outlineLvl w:val="0"/>
      </w:pPr>
      <w:bookmarkStart w:id="1127" w:name="_Toc27116"/>
      <w:bookmarkStart w:id="1128" w:name="_Toc12292"/>
      <w:bookmarkStart w:id="1129" w:name="_Toc4743"/>
      <w:bookmarkStart w:id="1130" w:name="_Toc23103"/>
      <w:bookmarkStart w:id="1131" w:name="_Toc25656"/>
      <w:bookmarkStart w:id="1132" w:name="_Toc5123"/>
      <w:bookmarkStart w:id="1133" w:name="_Toc21852"/>
      <w:bookmarkStart w:id="1134" w:name="_Toc26362"/>
      <w:bookmarkStart w:id="1135" w:name="_Toc15710"/>
      <w:bookmarkStart w:id="1136" w:name="_Toc3578"/>
      <w:bookmarkStart w:id="1137" w:name="_Toc11654"/>
      <w:bookmarkStart w:id="1138" w:name="_Toc4435"/>
      <w:bookmarkStart w:id="1139" w:name="_Toc135"/>
      <w:bookmarkStart w:id="1140" w:name="_Toc30479"/>
      <w:bookmarkStart w:id="1141" w:name="_Toc4818"/>
      <w:bookmarkStart w:id="1142" w:name="_Toc31436"/>
      <w:bookmarkStart w:id="1143" w:name="_Toc3239"/>
      <w:bookmarkStart w:id="1144" w:name="_Toc25610"/>
      <w:bookmarkStart w:id="1145" w:name="_Toc516216310"/>
      <w:bookmarkStart w:id="1146" w:name="_Toc13682"/>
      <w:bookmarkStart w:id="1147" w:name="_Toc9079"/>
      <w:bookmarkStart w:id="1148" w:name="_Toc20994"/>
      <w:bookmarkStart w:id="1149" w:name="_Toc28529"/>
      <w:bookmarkStart w:id="1150" w:name="_Toc6812"/>
      <w:bookmarkStart w:id="1151" w:name="_Toc28250"/>
      <w:bookmarkStart w:id="1152" w:name="_Toc15084"/>
      <w:bookmarkStart w:id="1153" w:name="_Toc23210"/>
      <w:bookmarkStart w:id="1154" w:name="_Toc13094"/>
      <w:bookmarkStart w:id="1155" w:name="_Toc11866"/>
      <w:bookmarkStart w:id="1156" w:name="_Toc7361"/>
      <w:bookmarkStart w:id="1157" w:name="_Toc28542"/>
      <w:bookmarkStart w:id="1158" w:name="_Toc26891"/>
      <w:bookmarkStart w:id="1159" w:name="_Toc18395"/>
      <w:bookmarkStart w:id="1160" w:name="_Toc12607"/>
      <w:bookmarkStart w:id="1161" w:name="_Toc4356"/>
      <w:bookmarkStart w:id="1162" w:name="_Toc31953"/>
      <w:bookmarkStart w:id="1163" w:name="_Toc30722"/>
      <w:bookmarkStart w:id="1164" w:name="_Toc28540"/>
      <w:bookmarkStart w:id="1165" w:name="_Toc16292"/>
      <w:bookmarkStart w:id="1166" w:name="_Toc6639"/>
      <w:bookmarkStart w:id="1167" w:name="_Toc11910"/>
      <w:bookmarkStart w:id="1168" w:name="_Toc14792"/>
      <w:bookmarkStart w:id="1169" w:name="_Toc17049"/>
      <w:bookmarkStart w:id="1170" w:name="_Toc32548"/>
      <w:bookmarkStart w:id="1171" w:name="_Toc18417"/>
      <w:bookmarkStart w:id="1172" w:name="_Toc2740"/>
      <w:bookmarkStart w:id="1173" w:name="_Toc25331"/>
      <w:bookmarkStart w:id="1174" w:name="_Toc27918"/>
      <w:bookmarkStart w:id="1175" w:name="_Toc6170"/>
      <w:bookmarkStart w:id="1176" w:name="_Toc15856"/>
      <w:bookmarkStart w:id="1177" w:name="_Toc24751"/>
      <w:bookmarkStart w:id="1178" w:name="_Toc8349"/>
      <w:bookmarkStart w:id="1179" w:name="_Toc12901"/>
      <w:bookmarkStart w:id="1180" w:name="_Toc2837"/>
      <w:bookmarkStart w:id="1181" w:name="_Toc20362"/>
      <w:bookmarkStart w:id="1182" w:name="_Toc28890"/>
      <w:bookmarkStart w:id="1183" w:name="_Toc453571456"/>
      <w:r>
        <w:rPr>
          <w:rFonts w:hint="eastAsia" w:cs="宋体"/>
        </w:rPr>
        <w:t>附件</w:t>
      </w:r>
      <w:r>
        <w:rPr>
          <w:rFonts w:hint="eastAsia" w:cs="宋体"/>
          <w:lang w:val="en-US" w:eastAsia="zh-CN"/>
        </w:rPr>
        <w:t>五</w:t>
      </w:r>
      <w:r>
        <w:t xml:space="preserve">  </w:t>
      </w:r>
      <w:r>
        <w:rPr>
          <w:rFonts w:hint="eastAsia" w:cs="宋体"/>
        </w:rPr>
        <w:t>法定代表人授权书</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34"/>
        <w:spacing w:before="0" w:beforeAutospacing="0" w:after="0" w:afterAutospacing="0"/>
        <w:ind w:firstLine="420"/>
        <w:rPr>
          <w:rFonts w:hint="eastAsia" w:ascii="宋体" w:hAnsi="宋体" w:eastAsia="宋体" w:cs="宋体"/>
          <w:szCs w:val="21"/>
        </w:rPr>
      </w:pPr>
    </w:p>
    <w:p>
      <w:pPr>
        <w:widowControl w:val="0"/>
        <w:spacing w:line="360" w:lineRule="auto"/>
        <w:rPr>
          <w:rStyle w:val="95"/>
          <w:rFonts w:ascii="Arial" w:hAnsi="Arial" w:cs="Arial"/>
          <w:color w:val="auto"/>
          <w:highlight w:val="none"/>
        </w:rPr>
      </w:pPr>
      <w:r>
        <w:rPr>
          <w:rFonts w:hint="eastAsia" w:ascii="宋体" w:hAnsi="宋体" w:cs="宋体"/>
          <w:b w:val="0"/>
          <w:bCs/>
          <w:szCs w:val="21"/>
        </w:rPr>
        <w:t>瑞安市机关事务管理中心</w:t>
      </w:r>
      <w:r>
        <w:rPr>
          <w:rFonts w:hint="eastAsia" w:ascii="宋体" w:hAnsi="宋体" w:cs="宋体"/>
          <w:b w:val="0"/>
          <w:bCs/>
          <w:color w:val="auto"/>
          <w:szCs w:val="21"/>
          <w:highlight w:val="none"/>
          <w:lang w:bidi="ar"/>
        </w:rPr>
        <w:t>、瑞安市公共资源交易中心：</w:t>
      </w:r>
    </w:p>
    <w:p>
      <w:pPr>
        <w:spacing w:line="360" w:lineRule="auto"/>
        <w:ind w:firstLine="612"/>
        <w:jc w:val="left"/>
        <w:outlineLvl w:val="9"/>
        <w:rPr>
          <w:rFonts w:hint="eastAsia" w:ascii="宋体" w:hAnsi="宋体" w:cs="宋体"/>
          <w:color w:val="auto"/>
          <w:szCs w:val="21"/>
          <w:highlight w:val="none"/>
        </w:rPr>
      </w:pPr>
      <w:r>
        <w:rPr>
          <w:rFonts w:hint="eastAsia" w:ascii="宋体" w:hAnsi="宋体" w:cs="宋体"/>
          <w:color w:val="auto"/>
          <w:szCs w:val="21"/>
          <w:highlight w:val="none"/>
          <w:lang w:bidi="ar"/>
        </w:rPr>
        <w:t>本授权委托书声明：我</w:t>
      </w:r>
      <w:r>
        <w:rPr>
          <w:rFonts w:hint="eastAsia" w:ascii="宋体" w:hAnsi="宋体" w:cs="宋体"/>
          <w:i/>
          <w:iCs/>
          <w:color w:val="auto"/>
          <w:szCs w:val="21"/>
          <w:highlight w:val="none"/>
          <w:u w:val="single"/>
          <w:lang w:bidi="ar"/>
        </w:rPr>
        <w:t>（法人代表姓名）</w:t>
      </w:r>
      <w:r>
        <w:rPr>
          <w:rFonts w:hint="eastAsia" w:ascii="宋体" w:hAnsi="宋体" w:cs="宋体"/>
          <w:color w:val="auto"/>
          <w:szCs w:val="21"/>
          <w:highlight w:val="none"/>
          <w:lang w:bidi="ar"/>
        </w:rPr>
        <w:t>系</w:t>
      </w:r>
      <w:r>
        <w:rPr>
          <w:rFonts w:hint="eastAsia" w:ascii="宋体" w:hAnsi="宋体" w:cs="宋体"/>
          <w:i/>
          <w:iCs/>
          <w:color w:val="auto"/>
          <w:szCs w:val="21"/>
          <w:highlight w:val="none"/>
          <w:u w:val="single"/>
          <w:lang w:bidi="ar"/>
        </w:rPr>
        <w:t>（投标人名称）</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的法定代表人，现授权委托本单位正式职工：</w:t>
      </w:r>
      <w:r>
        <w:rPr>
          <w:rFonts w:hint="eastAsia" w:ascii="宋体" w:hAnsi="宋体" w:cs="宋体"/>
          <w:i/>
          <w:iCs/>
          <w:color w:val="auto"/>
          <w:szCs w:val="21"/>
          <w:highlight w:val="none"/>
          <w:u w:val="single"/>
          <w:lang w:bidi="ar"/>
        </w:rPr>
        <w:t>（授权代表姓名）</w:t>
      </w:r>
      <w:r>
        <w:rPr>
          <w:rFonts w:hint="eastAsia" w:ascii="宋体" w:hAnsi="宋体" w:cs="宋体"/>
          <w:color w:val="auto"/>
          <w:szCs w:val="21"/>
          <w:highlight w:val="none"/>
          <w:lang w:bidi="ar"/>
        </w:rPr>
        <w:t>为我公司法定代表人授权代表，参加贵处组织的</w:t>
      </w:r>
      <w:r>
        <w:rPr>
          <w:rStyle w:val="95"/>
          <w:rFonts w:ascii="Arial" w:hAnsi="Arial" w:cs="Arial"/>
          <w:color w:val="auto"/>
          <w:highlight w:val="none"/>
          <w:u w:val="single"/>
        </w:rPr>
        <w:t xml:space="preserve">项目名称                </w:t>
      </w:r>
      <w:r>
        <w:rPr>
          <w:rStyle w:val="95"/>
          <w:rFonts w:ascii="Arial" w:hAnsi="Arial" w:cs="Arial"/>
          <w:color w:val="auto"/>
          <w:highlight w:val="none"/>
        </w:rPr>
        <w:t>（项目编号：    ）</w:t>
      </w:r>
      <w:r>
        <w:rPr>
          <w:rFonts w:hint="eastAsia" w:ascii="宋体" w:hAnsi="宋体" w:cs="宋体"/>
          <w:color w:val="auto"/>
          <w:szCs w:val="21"/>
          <w:highlight w:val="none"/>
          <w:lang w:bidi="ar"/>
        </w:rPr>
        <w:t>投标，全权处理本次招投标活动中的一切事宜，我承认授权代表全权代表我所签署的本项目的投标文件的内容。</w:t>
      </w:r>
    </w:p>
    <w:p>
      <w:pPr>
        <w:spacing w:line="360" w:lineRule="auto"/>
        <w:ind w:firstLine="697"/>
        <w:jc w:val="left"/>
        <w:outlineLvl w:val="9"/>
        <w:rPr>
          <w:rFonts w:hint="eastAsia" w:ascii="宋体" w:hAnsi="宋体" w:cs="宋体"/>
          <w:color w:val="auto"/>
          <w:szCs w:val="21"/>
          <w:highlight w:val="none"/>
        </w:rPr>
      </w:pPr>
      <w:r>
        <w:rPr>
          <w:rFonts w:hint="eastAsia" w:ascii="宋体" w:hAnsi="宋体" w:cs="宋体"/>
          <w:color w:val="auto"/>
          <w:szCs w:val="21"/>
          <w:highlight w:val="none"/>
          <w:lang w:bidi="ar"/>
        </w:rPr>
        <w:t>授权代表无转授权，特此授权。</w:t>
      </w:r>
    </w:p>
    <w:p>
      <w:pPr>
        <w:spacing w:line="240" w:lineRule="auto"/>
        <w:jc w:val="left"/>
        <w:outlineLvl w:val="9"/>
        <w:rPr>
          <w:rFonts w:hint="eastAsia" w:ascii="宋体" w:hAnsi="宋体" w:cs="宋体"/>
          <w:color w:val="auto"/>
          <w:szCs w:val="21"/>
          <w:highlight w:val="none"/>
        </w:rPr>
      </w:pPr>
    </w:p>
    <w:p>
      <w:pPr>
        <w:spacing w:line="240" w:lineRule="auto"/>
        <w:jc w:val="left"/>
        <w:outlineLvl w:val="9"/>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bidi="ar"/>
        </w:rPr>
        <w:t>授权代表</w:t>
      </w:r>
      <w:r>
        <w:rPr>
          <w:rFonts w:hint="eastAsia" w:ascii="宋体" w:hAnsi="宋体" w:cs="宋体"/>
          <w:color w:val="auto"/>
          <w:szCs w:val="21"/>
          <w:highlight w:val="none"/>
          <w:lang w:val="en-US" w:eastAsia="zh-CN" w:bidi="ar"/>
        </w:rPr>
        <w:t>签字：</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lang w:val="en-US" w:eastAsia="zh-CN" w:bidi="ar"/>
        </w:rPr>
        <w:t xml:space="preserve"> </w:t>
      </w:r>
      <w:r>
        <w:rPr>
          <w:rFonts w:hint="eastAsia" w:ascii="宋体" w:hAnsi="宋体" w:cs="宋体"/>
          <w:color w:val="auto"/>
          <w:szCs w:val="21"/>
          <w:highlight w:val="none"/>
          <w:lang w:bidi="ar"/>
        </w:rPr>
        <w:t>职务：</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lang w:bidi="ar"/>
        </w:rPr>
        <w:t>电</w:t>
      </w:r>
      <w:r>
        <w:rPr>
          <w:rFonts w:hint="eastAsia" w:ascii="宋体" w:hAnsi="宋体" w:cs="宋体"/>
          <w:color w:val="auto"/>
          <w:szCs w:val="21"/>
          <w:highlight w:val="none"/>
          <w:lang w:val="en-US" w:eastAsia="zh-CN" w:bidi="ar"/>
        </w:rPr>
        <w:t>联系方式</w:t>
      </w:r>
      <w:r>
        <w:rPr>
          <w:rFonts w:hint="eastAsia" w:ascii="宋体" w:hAnsi="宋体" w:cs="宋体"/>
          <w:color w:val="auto"/>
          <w:szCs w:val="21"/>
          <w:highlight w:val="none"/>
          <w:lang w:bidi="ar"/>
        </w:rPr>
        <w:t>：</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p>
    <w:p>
      <w:pPr>
        <w:spacing w:line="240" w:lineRule="auto"/>
        <w:ind w:firstLine="2940" w:firstLineChars="1400"/>
        <w:jc w:val="left"/>
        <w:outlineLvl w:val="9"/>
        <w:rPr>
          <w:rFonts w:hint="eastAsia" w:ascii="宋体" w:hAnsi="宋体" w:cs="宋体"/>
          <w:color w:val="auto"/>
          <w:szCs w:val="21"/>
          <w:highlight w:val="none"/>
        </w:rPr>
      </w:pPr>
    </w:p>
    <w:p>
      <w:pPr>
        <w:spacing w:line="360" w:lineRule="auto"/>
        <w:jc w:val="left"/>
        <w:outlineLvl w:val="9"/>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rPr>
        <w:t>附：投标人授权代表身份证复印件。</w:t>
      </w:r>
      <w:r>
        <w:rPr>
          <w:rFonts w:hint="eastAsia" w:ascii="宋体" w:hAnsi="宋体" w:cs="宋体"/>
          <w:b/>
          <w:bCs/>
          <w:color w:val="auto"/>
          <w:szCs w:val="21"/>
          <w:highlight w:val="none"/>
          <w:lang w:eastAsia="zh-CN"/>
        </w:rPr>
        <w:t>（正反面）</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0"/>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trPr>
        <w:tc>
          <w:tcPr>
            <w:tcW w:w="4520" w:type="dxa"/>
            <w:noWrap w:val="0"/>
            <w:vAlign w:val="top"/>
          </w:tcPr>
          <w:p>
            <w:pPr>
              <w:pStyle w:val="18"/>
              <w:keepNext w:val="0"/>
              <w:keepLines w:val="0"/>
              <w:suppressLineNumbers w:val="0"/>
              <w:spacing w:before="0" w:beforeAutospacing="0" w:afterAutospacing="0"/>
              <w:ind w:right="0"/>
              <w:jc w:val="left"/>
              <w:outlineLvl w:val="9"/>
              <w:rPr>
                <w:rFonts w:hint="eastAsia" w:ascii="宋体" w:hAnsi="宋体" w:cs="宋体"/>
                <w:b/>
                <w:bCs/>
                <w:color w:val="auto"/>
                <w:szCs w:val="21"/>
                <w:highlight w:val="none"/>
                <w:vertAlign w:val="baseline"/>
              </w:rPr>
            </w:pPr>
          </w:p>
        </w:tc>
        <w:tc>
          <w:tcPr>
            <w:tcW w:w="4520" w:type="dxa"/>
            <w:noWrap w:val="0"/>
            <w:vAlign w:val="top"/>
          </w:tcPr>
          <w:p>
            <w:pPr>
              <w:pStyle w:val="18"/>
              <w:keepNext w:val="0"/>
              <w:keepLines w:val="0"/>
              <w:suppressLineNumbers w:val="0"/>
              <w:spacing w:before="0" w:beforeAutospacing="0" w:afterAutospacing="0"/>
              <w:ind w:right="0"/>
              <w:jc w:val="left"/>
              <w:outlineLvl w:val="9"/>
              <w:rPr>
                <w:rFonts w:hint="eastAsia" w:ascii="宋体" w:hAnsi="宋体" w:cs="宋体"/>
                <w:b/>
                <w:bCs/>
                <w:color w:val="auto"/>
                <w:szCs w:val="21"/>
                <w:highlight w:val="none"/>
                <w:vertAlign w:val="baseline"/>
              </w:rPr>
            </w:pPr>
          </w:p>
        </w:tc>
      </w:tr>
    </w:tbl>
    <w:p>
      <w:pPr>
        <w:spacing w:line="240" w:lineRule="auto"/>
        <w:ind w:firstLine="2730" w:firstLineChars="1300"/>
        <w:jc w:val="left"/>
        <w:outlineLvl w:val="9"/>
        <w:rPr>
          <w:rFonts w:hint="eastAsia" w:ascii="宋体" w:hAnsi="宋体" w:cs="宋体"/>
          <w:color w:val="auto"/>
          <w:szCs w:val="21"/>
          <w:highlight w:val="none"/>
          <w:lang w:bidi="ar"/>
        </w:rPr>
      </w:pPr>
    </w:p>
    <w:p>
      <w:pPr>
        <w:spacing w:line="240" w:lineRule="auto"/>
        <w:ind w:firstLine="2730" w:firstLineChars="1300"/>
        <w:jc w:val="left"/>
        <w:outlineLvl w:val="9"/>
        <w:rPr>
          <w:rFonts w:hint="eastAsia" w:ascii="宋体" w:hAnsi="宋体" w:cs="宋体"/>
          <w:color w:val="auto"/>
          <w:szCs w:val="21"/>
          <w:highlight w:val="none"/>
        </w:rPr>
      </w:pPr>
      <w:r>
        <w:rPr>
          <w:rFonts w:hint="eastAsia" w:ascii="宋体" w:hAnsi="宋体" w:cs="宋体"/>
          <w:color w:val="auto"/>
          <w:szCs w:val="21"/>
          <w:highlight w:val="none"/>
          <w:lang w:bidi="ar"/>
        </w:rPr>
        <w:t>投标人全称：</w:t>
      </w:r>
      <w:r>
        <w:rPr>
          <w:rFonts w:hint="eastAsia" w:ascii="宋体" w:hAnsi="宋体" w:cs="宋体"/>
          <w:color w:val="auto"/>
          <w:szCs w:val="21"/>
          <w:highlight w:val="none"/>
          <w:u w:val="single"/>
          <w:lang w:bidi="ar"/>
        </w:rPr>
        <w:t xml:space="preserve">                             （盖</w:t>
      </w:r>
      <w:r>
        <w:rPr>
          <w:rFonts w:hint="eastAsia" w:ascii="宋体" w:hAnsi="宋体" w:cs="宋体"/>
          <w:color w:val="auto"/>
          <w:szCs w:val="21"/>
          <w:highlight w:val="none"/>
          <w:u w:val="single"/>
          <w:lang w:eastAsia="zh-CN" w:bidi="ar"/>
        </w:rPr>
        <w:t>公</w:t>
      </w:r>
      <w:r>
        <w:rPr>
          <w:rFonts w:hint="eastAsia" w:ascii="宋体" w:hAnsi="宋体" w:cs="宋体"/>
          <w:color w:val="auto"/>
          <w:szCs w:val="21"/>
          <w:highlight w:val="none"/>
          <w:u w:val="single"/>
          <w:lang w:bidi="ar"/>
        </w:rPr>
        <w:t>章）</w:t>
      </w:r>
    </w:p>
    <w:p>
      <w:pPr>
        <w:spacing w:line="240" w:lineRule="auto"/>
        <w:ind w:left="2100" w:leftChars="1000" w:firstLine="840" w:firstLineChars="400"/>
        <w:jc w:val="left"/>
        <w:outlineLvl w:val="9"/>
        <w:rPr>
          <w:rFonts w:hint="eastAsia" w:ascii="宋体" w:hAnsi="宋体" w:cs="宋体"/>
          <w:color w:val="auto"/>
          <w:szCs w:val="21"/>
          <w:highlight w:val="none"/>
        </w:rPr>
      </w:pPr>
    </w:p>
    <w:p>
      <w:pPr>
        <w:spacing w:line="240" w:lineRule="auto"/>
        <w:ind w:firstLine="2730" w:firstLineChars="1300"/>
        <w:jc w:val="left"/>
        <w:outlineLvl w:val="9"/>
        <w:rPr>
          <w:rFonts w:hint="eastAsia" w:ascii="宋体" w:hAnsi="宋体" w:cs="宋体"/>
          <w:color w:val="auto"/>
          <w:szCs w:val="21"/>
          <w:highlight w:val="none"/>
          <w:u w:val="single"/>
        </w:rPr>
      </w:pPr>
      <w:r>
        <w:rPr>
          <w:rFonts w:hint="eastAsia" w:ascii="宋体" w:hAnsi="宋体" w:cs="宋体"/>
          <w:color w:val="auto"/>
          <w:szCs w:val="21"/>
          <w:highlight w:val="none"/>
          <w:lang w:bidi="ar"/>
        </w:rPr>
        <w:t>法定代表人：</w:t>
      </w:r>
      <w:r>
        <w:rPr>
          <w:rFonts w:hint="eastAsia" w:ascii="宋体" w:hAnsi="宋体" w:cs="宋体"/>
          <w:color w:val="auto"/>
          <w:szCs w:val="21"/>
          <w:highlight w:val="none"/>
          <w:u w:val="single"/>
          <w:lang w:bidi="ar"/>
        </w:rPr>
        <w:t xml:space="preserve">                              （签字或盖章）</w:t>
      </w:r>
    </w:p>
    <w:p>
      <w:pPr>
        <w:spacing w:line="240" w:lineRule="auto"/>
        <w:ind w:left="2100" w:leftChars="1000" w:firstLine="840" w:firstLineChars="400"/>
        <w:jc w:val="left"/>
        <w:outlineLvl w:val="9"/>
        <w:rPr>
          <w:rFonts w:hint="eastAsia" w:ascii="宋体" w:hAnsi="宋体" w:cs="宋体"/>
          <w:color w:val="auto"/>
          <w:szCs w:val="21"/>
          <w:highlight w:val="none"/>
          <w:u w:val="single"/>
        </w:rPr>
      </w:pPr>
    </w:p>
    <w:p>
      <w:pPr>
        <w:spacing w:line="240" w:lineRule="auto"/>
        <w:ind w:firstLine="4200" w:firstLineChars="2000"/>
        <w:jc w:val="left"/>
        <w:outlineLvl w:val="9"/>
        <w:rPr>
          <w:rFonts w:hint="eastAsia" w:ascii="宋体" w:hAnsi="宋体" w:cs="宋体"/>
          <w:color w:val="auto"/>
          <w:szCs w:val="21"/>
          <w:highlight w:val="none"/>
        </w:rPr>
      </w:pPr>
      <w:r>
        <w:rPr>
          <w:rFonts w:hint="eastAsia" w:ascii="宋体" w:hAnsi="宋体" w:cs="宋体"/>
          <w:color w:val="auto"/>
          <w:szCs w:val="21"/>
          <w:highlight w:val="none"/>
          <w:lang w:bidi="ar"/>
        </w:rPr>
        <w:t>授权委托日期：</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年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spacing w:line="360" w:lineRule="auto"/>
        <w:ind w:left="2833" w:leftChars="1349" w:firstLine="2100" w:firstLineChars="1000"/>
        <w:jc w:val="left"/>
        <w:outlineLvl w:val="9"/>
        <w:rPr>
          <w:rFonts w:hint="eastAsia" w:ascii="宋体" w:hAnsi="宋体" w:cs="宋体"/>
          <w:color w:val="auto"/>
          <w:szCs w:val="21"/>
          <w:highlight w:val="none"/>
        </w:rPr>
      </w:pPr>
    </w:p>
    <w:p>
      <w:pPr>
        <w:pStyle w:val="15"/>
        <w:spacing w:line="240" w:lineRule="auto"/>
        <w:jc w:val="left"/>
        <w:outlineLvl w:val="9"/>
        <w:rPr>
          <w:rFonts w:hint="eastAsia" w:ascii="宋体" w:hAnsi="宋体" w:eastAsia="宋体" w:cs="宋体"/>
          <w:b/>
          <w:color w:val="auto"/>
          <w:sz w:val="21"/>
          <w:szCs w:val="21"/>
          <w:highlight w:val="none"/>
          <w:lang w:val="en-US" w:eastAsia="zh-CN"/>
        </w:rPr>
      </w:pPr>
    </w:p>
    <w:p>
      <w:pPr>
        <w:pStyle w:val="15"/>
        <w:spacing w:line="240" w:lineRule="auto"/>
        <w:jc w:val="left"/>
        <w:outlineLvl w:val="9"/>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注：</w:t>
      </w:r>
    </w:p>
    <w:p>
      <w:pPr>
        <w:pStyle w:val="15"/>
        <w:numPr>
          <w:ilvl w:val="0"/>
          <w:numId w:val="103"/>
        </w:numPr>
        <w:spacing w:line="240" w:lineRule="auto"/>
        <w:ind w:left="-422" w:leftChars="0" w:firstLine="422" w:firstLineChars="0"/>
        <w:jc w:val="left"/>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如</w:t>
      </w:r>
      <w:r>
        <w:rPr>
          <w:rFonts w:hint="eastAsia" w:ascii="宋体" w:hAnsi="宋体" w:eastAsia="宋体" w:cs="宋体"/>
          <w:b w:val="0"/>
          <w:bCs/>
          <w:color w:val="auto"/>
          <w:sz w:val="21"/>
          <w:szCs w:val="21"/>
          <w:highlight w:val="none"/>
          <w:lang w:eastAsia="zh-CN"/>
        </w:rPr>
        <w:t>授权代表参与投标的，</w:t>
      </w:r>
      <w:r>
        <w:rPr>
          <w:rFonts w:hint="eastAsia" w:ascii="宋体" w:hAnsi="宋体" w:eastAsia="宋体" w:cs="宋体"/>
          <w:b w:val="0"/>
          <w:bCs/>
          <w:color w:val="auto"/>
          <w:sz w:val="21"/>
          <w:szCs w:val="21"/>
          <w:highlight w:val="none"/>
          <w:lang w:val="en-US" w:eastAsia="zh-CN"/>
        </w:rPr>
        <w:t>则</w:t>
      </w:r>
      <w:r>
        <w:rPr>
          <w:rFonts w:hint="eastAsia" w:ascii="宋体" w:hAnsi="宋体" w:eastAsia="宋体" w:cs="宋体"/>
          <w:b w:val="0"/>
          <w:bCs/>
          <w:color w:val="auto"/>
          <w:sz w:val="21"/>
          <w:szCs w:val="21"/>
          <w:highlight w:val="none"/>
        </w:rPr>
        <w:t>须提供</w:t>
      </w:r>
      <w:r>
        <w:rPr>
          <w:rFonts w:hint="eastAsia" w:ascii="宋体" w:hAnsi="宋体" w:eastAsia="宋体" w:cs="宋体"/>
          <w:b w:val="0"/>
          <w:bCs/>
          <w:color w:val="auto"/>
          <w:sz w:val="21"/>
          <w:szCs w:val="21"/>
          <w:highlight w:val="none"/>
          <w:lang w:val="en-US" w:eastAsia="zh-CN"/>
        </w:rPr>
        <w:t>本</w:t>
      </w:r>
      <w:r>
        <w:rPr>
          <w:rFonts w:hint="eastAsia" w:ascii="宋体" w:hAnsi="宋体" w:eastAsia="宋体" w:cs="宋体"/>
          <w:b w:val="0"/>
          <w:bCs/>
          <w:color w:val="auto"/>
          <w:sz w:val="21"/>
          <w:szCs w:val="21"/>
          <w:highlight w:val="none"/>
        </w:rPr>
        <w:t>《法定代表人授权书》。</w:t>
      </w:r>
    </w:p>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Pr>
        <w:pStyle w:val="3"/>
        <w:pageBreakBefore/>
        <w:spacing w:before="78" w:beforeLines="25" w:after="0" w:line="360" w:lineRule="auto"/>
        <w:jc w:val="center"/>
        <w:outlineLvl w:val="0"/>
      </w:pPr>
      <w:bookmarkStart w:id="1184" w:name="_Toc785"/>
      <w:bookmarkStart w:id="1185" w:name="_Toc18426"/>
      <w:bookmarkStart w:id="1186" w:name="_Toc24696"/>
      <w:bookmarkStart w:id="1187" w:name="_Toc24946"/>
      <w:bookmarkStart w:id="1188" w:name="_Toc10923"/>
      <w:bookmarkStart w:id="1189" w:name="_Toc3665"/>
      <w:bookmarkStart w:id="1190" w:name="_Toc9660"/>
      <w:bookmarkStart w:id="1191" w:name="_Toc26386"/>
      <w:bookmarkStart w:id="1192" w:name="_Toc22958"/>
      <w:bookmarkStart w:id="1193" w:name="_Toc12574"/>
      <w:bookmarkStart w:id="1194" w:name="_Toc2385"/>
      <w:bookmarkStart w:id="1195" w:name="_Toc21818"/>
      <w:bookmarkStart w:id="1196" w:name="_Toc21419"/>
      <w:bookmarkStart w:id="1197" w:name="_Toc14004"/>
      <w:bookmarkStart w:id="1198" w:name="_Toc6683"/>
      <w:bookmarkStart w:id="1199" w:name="_Toc21424"/>
      <w:bookmarkStart w:id="1200" w:name="_Toc30729"/>
      <w:bookmarkStart w:id="1201" w:name="_Toc23941"/>
      <w:bookmarkStart w:id="1202" w:name="_Toc9994"/>
      <w:bookmarkStart w:id="1203" w:name="_Toc21378"/>
      <w:bookmarkStart w:id="1204" w:name="_Toc5987"/>
      <w:bookmarkStart w:id="1205" w:name="_Toc21567"/>
      <w:bookmarkStart w:id="1206" w:name="_Toc28548"/>
      <w:bookmarkStart w:id="1207" w:name="_Toc18613"/>
      <w:bookmarkStart w:id="1208" w:name="_Toc13826"/>
      <w:bookmarkStart w:id="1209" w:name="_Toc19271"/>
      <w:bookmarkStart w:id="1210" w:name="_Toc32755"/>
      <w:bookmarkStart w:id="1211" w:name="_Toc26381"/>
      <w:bookmarkStart w:id="1212" w:name="_Toc19311"/>
      <w:bookmarkStart w:id="1213" w:name="_Toc14603"/>
      <w:bookmarkStart w:id="1214" w:name="_Toc14639"/>
      <w:bookmarkStart w:id="1215" w:name="_Toc31910"/>
      <w:bookmarkStart w:id="1216" w:name="_Toc496"/>
      <w:bookmarkStart w:id="1217" w:name="_Toc26553"/>
      <w:bookmarkStart w:id="1218" w:name="_Toc18797"/>
      <w:bookmarkStart w:id="1219" w:name="_Toc18213"/>
      <w:bookmarkStart w:id="1220" w:name="_Toc32337"/>
      <w:bookmarkStart w:id="1221" w:name="_Toc5434"/>
      <w:bookmarkStart w:id="1222" w:name="_Toc7313"/>
      <w:bookmarkStart w:id="1223" w:name="_Toc7115"/>
      <w:bookmarkStart w:id="1224" w:name="_Toc31721"/>
      <w:r>
        <w:rPr>
          <w:rFonts w:hint="eastAsia"/>
        </w:rPr>
        <w:t>附件</w:t>
      </w:r>
      <w:r>
        <w:rPr>
          <w:rFonts w:hint="eastAsia"/>
          <w:lang w:val="en-US" w:eastAsia="zh-CN"/>
        </w:rPr>
        <w:t>六</w:t>
      </w:r>
      <w:r>
        <w:rPr>
          <w:rFonts w:hint="eastAsia"/>
        </w:rPr>
        <w:t xml:space="preserve">  投 标 函</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widowControl w:val="0"/>
        <w:spacing w:line="360" w:lineRule="auto"/>
        <w:rPr>
          <w:rStyle w:val="95"/>
          <w:rFonts w:ascii="Arial" w:hAnsi="Arial" w:cs="Arial"/>
          <w:color w:val="auto"/>
          <w:highlight w:val="none"/>
        </w:rPr>
      </w:pPr>
      <w:r>
        <w:rPr>
          <w:rFonts w:hint="eastAsia" w:ascii="宋体" w:hAnsi="宋体" w:cs="宋体"/>
          <w:b w:val="0"/>
          <w:bCs/>
          <w:szCs w:val="21"/>
        </w:rPr>
        <w:t>瑞安市机关事务管理中心</w:t>
      </w:r>
      <w:r>
        <w:rPr>
          <w:rFonts w:hint="eastAsia" w:ascii="宋体" w:hAnsi="宋体" w:cs="宋体"/>
          <w:b w:val="0"/>
          <w:bCs/>
          <w:color w:val="auto"/>
          <w:szCs w:val="21"/>
          <w:highlight w:val="none"/>
          <w:lang w:bidi="ar"/>
        </w:rPr>
        <w:t>、瑞安市公共资源交易中心：</w:t>
      </w:r>
    </w:p>
    <w:p>
      <w:pPr>
        <w:keepNext w:val="0"/>
        <w:keepLines w:val="0"/>
        <w:pageBreakBefore w:val="0"/>
        <w:widowControl/>
        <w:kinsoku/>
        <w:wordWrap/>
        <w:overflowPunct/>
        <w:topLinePunct w:val="0"/>
        <w:autoSpaceDE/>
        <w:autoSpaceDN/>
        <w:bidi w:val="0"/>
        <w:adjustRightInd/>
        <w:snapToGrid/>
        <w:spacing w:line="360" w:lineRule="auto"/>
        <w:ind w:right="6" w:firstLine="420" w:firstLineChars="200"/>
        <w:textAlignment w:val="auto"/>
        <w:outlineLvl w:val="9"/>
        <w:rPr>
          <w:rFonts w:ascii="宋体" w:hAnsi="宋体" w:cs="宋体"/>
          <w:szCs w:val="21"/>
          <w:highlight w:val="none"/>
        </w:rPr>
      </w:pPr>
      <w:r>
        <w:rPr>
          <w:rFonts w:hint="eastAsia" w:ascii="宋体" w:hAnsi="宋体" w:cs="宋体"/>
          <w:szCs w:val="21"/>
          <w:highlight w:val="none"/>
        </w:rPr>
        <w:t>我方</w:t>
      </w:r>
      <w:r>
        <w:rPr>
          <w:rFonts w:hint="eastAsia" w:ascii="宋体" w:hAnsi="宋体" w:cs="宋体"/>
          <w:szCs w:val="21"/>
          <w:highlight w:val="none"/>
          <w:lang w:val="en-US" w:eastAsia="zh-CN"/>
        </w:rPr>
        <w:t>已</w:t>
      </w:r>
      <w:r>
        <w:rPr>
          <w:rFonts w:hint="eastAsia" w:ascii="宋体" w:hAnsi="宋体" w:cs="宋体"/>
          <w:szCs w:val="21"/>
          <w:highlight w:val="none"/>
        </w:rPr>
        <w:t>研究</w:t>
      </w:r>
      <w:r>
        <w:rPr>
          <w:rFonts w:hint="eastAsia" w:ascii="宋体" w:hAnsi="宋体" w:cs="宋体"/>
          <w:szCs w:val="21"/>
          <w:highlight w:val="none"/>
          <w:lang w:val="en-US" w:eastAsia="zh-CN"/>
        </w:rPr>
        <w:t>了</w:t>
      </w:r>
      <w:r>
        <w:rPr>
          <w:rFonts w:hint="eastAsia" w:ascii="宋体" w:hAnsi="宋体" w:cs="宋体"/>
          <w:szCs w:val="21"/>
          <w:highlight w:val="none"/>
          <w:u w:val="single"/>
          <w:lang w:val="en-US" w:eastAsia="zh-CN"/>
        </w:rPr>
        <w:t xml:space="preserve">                </w:t>
      </w:r>
      <w:r>
        <w:rPr>
          <w:rFonts w:ascii="宋体" w:hAnsi="宋体" w:cs="宋体"/>
          <w:szCs w:val="21"/>
          <w:highlight w:val="none"/>
        </w:rPr>
        <w:t>[</w:t>
      </w:r>
      <w:r>
        <w:rPr>
          <w:rFonts w:hint="eastAsia" w:ascii="宋体" w:hAnsi="宋体" w:cs="宋体"/>
          <w:szCs w:val="21"/>
          <w:highlight w:val="none"/>
        </w:rPr>
        <w:t>项目编号：</w:t>
      </w:r>
      <w:r>
        <w:rPr>
          <w:rFonts w:hint="eastAsia" w:ascii="宋体" w:hAnsi="宋体" w:cs="宋体"/>
          <w:szCs w:val="21"/>
          <w:highlight w:val="none"/>
          <w:u w:val="single"/>
          <w:lang w:val="en-US" w:eastAsia="zh-CN"/>
        </w:rPr>
        <w:t xml:space="preserve">              </w:t>
      </w:r>
      <w:r>
        <w:rPr>
          <w:rFonts w:ascii="宋体" w:hAnsi="宋体" w:cs="宋体"/>
          <w:szCs w:val="21"/>
          <w:highlight w:val="none"/>
        </w:rPr>
        <w:t>]</w:t>
      </w:r>
      <w:r>
        <w:rPr>
          <w:rFonts w:hint="eastAsia" w:ascii="宋体" w:hAnsi="宋体" w:cs="宋体"/>
          <w:szCs w:val="21"/>
          <w:highlight w:val="none"/>
        </w:rPr>
        <w:t>的招标文件</w:t>
      </w:r>
      <w:r>
        <w:rPr>
          <w:rFonts w:hint="eastAsia" w:ascii="宋体" w:hAnsi="宋体" w:cs="宋体"/>
          <w:szCs w:val="21"/>
          <w:highlight w:val="none"/>
          <w:lang w:val="en-US" w:eastAsia="zh-CN"/>
        </w:rPr>
        <w:t>的全部内容</w:t>
      </w:r>
      <w:r>
        <w:rPr>
          <w:rFonts w:hint="eastAsia" w:ascii="宋体" w:hAnsi="宋体" w:cs="宋体"/>
          <w:szCs w:val="21"/>
          <w:highlight w:val="none"/>
        </w:rPr>
        <w:t>，决定作为投标</w:t>
      </w:r>
      <w:r>
        <w:rPr>
          <w:rFonts w:hint="eastAsia" w:ascii="宋体" w:hAnsi="宋体" w:cs="宋体"/>
          <w:szCs w:val="21"/>
          <w:highlight w:val="none"/>
          <w:lang w:val="en-US" w:eastAsia="zh-CN"/>
        </w:rPr>
        <w:t>人</w:t>
      </w:r>
      <w:r>
        <w:rPr>
          <w:rFonts w:hint="eastAsia" w:ascii="宋体" w:hAnsi="宋体" w:cs="宋体"/>
          <w:szCs w:val="21"/>
          <w:highlight w:val="none"/>
        </w:rPr>
        <w:t>参与投标</w:t>
      </w:r>
      <w:r>
        <w:rPr>
          <w:rFonts w:hint="eastAsia" w:ascii="宋体" w:hAnsi="宋体" w:cs="宋体"/>
          <w:szCs w:val="21"/>
          <w:highlight w:val="none"/>
          <w:lang w:eastAsia="zh-CN"/>
        </w:rPr>
        <w:t>，</w:t>
      </w:r>
      <w:r>
        <w:rPr>
          <w:rFonts w:hint="eastAsia" w:ascii="宋体" w:hAnsi="宋体" w:cs="宋体"/>
          <w:szCs w:val="21"/>
          <w:highlight w:val="none"/>
          <w:lang w:val="en-US" w:eastAsia="zh-CN"/>
        </w:rPr>
        <w:t>并</w:t>
      </w:r>
      <w:r>
        <w:rPr>
          <w:rFonts w:hint="eastAsia" w:ascii="宋体" w:hAnsi="宋体" w:cs="宋体"/>
          <w:szCs w:val="21"/>
          <w:highlight w:val="none"/>
        </w:rPr>
        <w:t>正式授权</w:t>
      </w:r>
      <w:r>
        <w:rPr>
          <w:rFonts w:hint="eastAsia" w:ascii="宋体" w:hAnsi="宋体" w:cs="宋体"/>
          <w:i/>
          <w:iCs/>
          <w:szCs w:val="21"/>
          <w:highlight w:val="none"/>
          <w:u w:val="single"/>
        </w:rPr>
        <w:t>（授权代表</w:t>
      </w:r>
      <w:r>
        <w:rPr>
          <w:rFonts w:hint="eastAsia" w:ascii="宋体" w:hAnsi="宋体" w:cs="宋体"/>
          <w:i/>
          <w:iCs/>
          <w:szCs w:val="21"/>
          <w:highlight w:val="none"/>
          <w:u w:val="single"/>
          <w:lang w:val="en-US" w:eastAsia="zh-CN"/>
        </w:rPr>
        <w:t>姓名，</w:t>
      </w:r>
      <w:r>
        <w:rPr>
          <w:rFonts w:hint="eastAsia" w:ascii="宋体" w:hAnsi="宋体" w:cs="宋体"/>
          <w:i/>
          <w:iCs/>
          <w:szCs w:val="21"/>
          <w:highlight w:val="none"/>
          <w:u w:val="single"/>
        </w:rPr>
        <w:t>职务）</w:t>
      </w:r>
      <w:r>
        <w:rPr>
          <w:rFonts w:hint="eastAsia" w:ascii="宋体" w:hAnsi="宋体" w:cs="宋体"/>
          <w:szCs w:val="21"/>
          <w:highlight w:val="none"/>
        </w:rPr>
        <w:t>代表我方进行有关</w:t>
      </w:r>
      <w:r>
        <w:rPr>
          <w:rFonts w:hint="eastAsia" w:ascii="宋体" w:hAnsi="宋体" w:cs="宋体"/>
          <w:szCs w:val="21"/>
          <w:highlight w:val="none"/>
          <w:lang w:val="en-US" w:eastAsia="zh-CN"/>
        </w:rPr>
        <w:t>该项目</w:t>
      </w:r>
      <w:r>
        <w:rPr>
          <w:rFonts w:hint="eastAsia" w:ascii="宋体" w:hAnsi="宋体" w:cs="宋体"/>
          <w:szCs w:val="21"/>
          <w:highlight w:val="none"/>
        </w:rPr>
        <w:t>投标的一切事宜。</w:t>
      </w:r>
      <w:bookmarkStart w:id="1225" w:name="_Toc334"/>
      <w:bookmarkStart w:id="1226" w:name="_Toc11334"/>
      <w:bookmarkStart w:id="1227" w:name="_Toc6306"/>
      <w:bookmarkStart w:id="1228" w:name="_Toc26372"/>
      <w:bookmarkStart w:id="1229" w:name="_Toc11898"/>
      <w:r>
        <w:rPr>
          <w:rFonts w:ascii="宋体" w:hAnsi="宋体" w:cs="宋体"/>
          <w:szCs w:val="21"/>
          <w:highlight w:val="none"/>
        </w:rPr>
        <w:t>我方已完全明白招标文件的所有条款要求，并重申以下几点：</w:t>
      </w:r>
      <w:bookmarkEnd w:id="1225"/>
      <w:bookmarkEnd w:id="1226"/>
      <w:bookmarkEnd w:id="1227"/>
      <w:bookmarkEnd w:id="1228"/>
      <w:bookmarkEnd w:id="1229"/>
    </w:p>
    <w:p>
      <w:pPr>
        <w:keepNext w:val="0"/>
        <w:keepLines w:val="0"/>
        <w:pageBreakBefore w:val="0"/>
        <w:widowControl/>
        <w:numPr>
          <w:ilvl w:val="0"/>
          <w:numId w:val="104"/>
        </w:numPr>
        <w:kinsoku/>
        <w:wordWrap/>
        <w:overflowPunct/>
        <w:topLinePunct w:val="0"/>
        <w:autoSpaceDE/>
        <w:autoSpaceDN/>
        <w:bidi w:val="0"/>
        <w:adjustRightInd/>
        <w:snapToGrid/>
        <w:spacing w:line="360" w:lineRule="auto"/>
        <w:ind w:left="0" w:leftChars="0" w:firstLine="400" w:firstLineChars="0"/>
        <w:textAlignment w:val="auto"/>
        <w:outlineLvl w:val="9"/>
        <w:rPr>
          <w:rFonts w:hint="eastAsia" w:ascii="宋体" w:hAnsi="宋体"/>
          <w:szCs w:val="21"/>
          <w:highlight w:val="none"/>
        </w:rPr>
      </w:pPr>
      <w:r>
        <w:rPr>
          <w:rFonts w:hint="eastAsia" w:ascii="宋体" w:hAnsi="宋体"/>
          <w:szCs w:val="21"/>
          <w:highlight w:val="none"/>
          <w:lang w:val="en-US" w:eastAsia="zh-CN"/>
        </w:rPr>
        <w:t>我方将按照招标文件要求提交电子投标文件。</w:t>
      </w:r>
    </w:p>
    <w:p>
      <w:pPr>
        <w:keepNext w:val="0"/>
        <w:keepLines w:val="0"/>
        <w:pageBreakBefore w:val="0"/>
        <w:widowControl/>
        <w:numPr>
          <w:ilvl w:val="0"/>
          <w:numId w:val="104"/>
        </w:numPr>
        <w:kinsoku/>
        <w:wordWrap/>
        <w:overflowPunct/>
        <w:topLinePunct w:val="0"/>
        <w:autoSpaceDE/>
        <w:autoSpaceDN/>
        <w:bidi w:val="0"/>
        <w:adjustRightInd/>
        <w:snapToGrid/>
        <w:spacing w:line="360" w:lineRule="auto"/>
        <w:ind w:left="0" w:leftChars="0" w:firstLine="400" w:firstLineChars="0"/>
        <w:textAlignment w:val="auto"/>
        <w:outlineLvl w:val="9"/>
        <w:rPr>
          <w:rFonts w:hint="eastAsia" w:ascii="宋体" w:hAnsi="宋体"/>
          <w:szCs w:val="21"/>
          <w:highlight w:val="none"/>
          <w:lang w:val="en-US" w:eastAsia="zh-CN"/>
        </w:rPr>
      </w:pPr>
      <w:r>
        <w:rPr>
          <w:rFonts w:hint="eastAsia" w:ascii="宋体" w:hAnsi="宋体"/>
          <w:szCs w:val="21"/>
          <w:highlight w:val="none"/>
          <w:lang w:val="en-US" w:eastAsia="zh-CN"/>
        </w:rPr>
        <w:t>若中标，我方将按招标文件规定履行合同责任和义务。</w:t>
      </w:r>
    </w:p>
    <w:p>
      <w:pPr>
        <w:keepNext w:val="0"/>
        <w:keepLines w:val="0"/>
        <w:pageBreakBefore w:val="0"/>
        <w:widowControl/>
        <w:numPr>
          <w:ilvl w:val="0"/>
          <w:numId w:val="104"/>
        </w:numPr>
        <w:kinsoku/>
        <w:wordWrap/>
        <w:overflowPunct/>
        <w:topLinePunct w:val="0"/>
        <w:autoSpaceDE/>
        <w:autoSpaceDN/>
        <w:bidi w:val="0"/>
        <w:adjustRightInd/>
        <w:snapToGrid/>
        <w:spacing w:line="360" w:lineRule="auto"/>
        <w:ind w:left="0" w:leftChars="0" w:firstLine="400" w:firstLineChars="0"/>
        <w:textAlignment w:val="auto"/>
        <w:outlineLvl w:val="9"/>
        <w:rPr>
          <w:rFonts w:hint="eastAsia" w:ascii="宋体" w:hAnsi="宋体"/>
          <w:szCs w:val="21"/>
          <w:highlight w:val="none"/>
          <w:lang w:val="en-US" w:eastAsia="zh-CN"/>
        </w:rPr>
      </w:pPr>
      <w:r>
        <w:rPr>
          <w:rFonts w:hint="eastAsia" w:ascii="宋体" w:hAnsi="宋体"/>
          <w:szCs w:val="21"/>
          <w:highlight w:val="none"/>
          <w:lang w:val="en-US" w:eastAsia="zh-CN"/>
        </w:rPr>
        <w:t>我方不是采购人的附属机构；在获知本项目采购信息后，与采购人聘请的为此项目提供咨询服务的公司及其附属机构没有任何联系。</w:t>
      </w:r>
    </w:p>
    <w:p>
      <w:pPr>
        <w:keepNext w:val="0"/>
        <w:keepLines w:val="0"/>
        <w:pageBreakBefore w:val="0"/>
        <w:widowControl/>
        <w:numPr>
          <w:ilvl w:val="0"/>
          <w:numId w:val="104"/>
        </w:numPr>
        <w:kinsoku/>
        <w:wordWrap/>
        <w:overflowPunct/>
        <w:topLinePunct w:val="0"/>
        <w:autoSpaceDE/>
        <w:autoSpaceDN/>
        <w:bidi w:val="0"/>
        <w:adjustRightInd/>
        <w:snapToGrid/>
        <w:spacing w:line="360" w:lineRule="auto"/>
        <w:ind w:left="0" w:leftChars="0" w:firstLine="400" w:firstLineChars="0"/>
        <w:textAlignment w:val="auto"/>
        <w:outlineLvl w:val="9"/>
        <w:rPr>
          <w:rFonts w:hint="eastAsia" w:ascii="宋体" w:hAnsi="宋体"/>
          <w:strike w:val="0"/>
          <w:szCs w:val="21"/>
          <w:highlight w:val="none"/>
        </w:rPr>
      </w:pPr>
      <w:r>
        <w:rPr>
          <w:rFonts w:hint="eastAsia" w:ascii="宋体" w:hAnsi="宋体"/>
          <w:strike w:val="0"/>
          <w:dstrike w:val="0"/>
          <w:szCs w:val="21"/>
          <w:highlight w:val="none"/>
          <w:lang w:val="en-US" w:eastAsia="zh-CN"/>
        </w:rPr>
        <w:t>我方</w:t>
      </w:r>
      <w:r>
        <w:rPr>
          <w:rFonts w:hint="eastAsia" w:ascii="宋体" w:hAnsi="宋体" w:cs="宋体"/>
          <w:strike w:val="0"/>
          <w:dstrike w:val="0"/>
          <w:szCs w:val="21"/>
          <w:highlight w:val="none"/>
        </w:rPr>
        <w:t>投标文件有效期</w:t>
      </w:r>
      <w:r>
        <w:rPr>
          <w:rFonts w:hint="eastAsia" w:ascii="宋体" w:hAnsi="宋体" w:cs="宋体"/>
          <w:strike w:val="0"/>
          <w:dstrike w:val="0"/>
          <w:szCs w:val="21"/>
          <w:highlight w:val="none"/>
          <w:lang w:val="en-US" w:eastAsia="zh-CN"/>
        </w:rPr>
        <w:t>为</w:t>
      </w:r>
      <w:r>
        <w:rPr>
          <w:rFonts w:hint="eastAsia" w:ascii="宋体" w:hAnsi="宋体" w:cs="宋体"/>
          <w:strike w:val="0"/>
          <w:dstrike w:val="0"/>
          <w:szCs w:val="21"/>
          <w:highlight w:val="none"/>
        </w:rPr>
        <w:t>提交投标文件截止</w:t>
      </w:r>
      <w:r>
        <w:rPr>
          <w:rFonts w:hint="eastAsia" w:ascii="宋体" w:hAnsi="宋体" w:cs="宋体"/>
          <w:strike w:val="0"/>
          <w:dstrike w:val="0"/>
          <w:szCs w:val="21"/>
          <w:highlight w:val="none"/>
          <w:lang w:val="en-US" w:eastAsia="zh-CN"/>
        </w:rPr>
        <w:t>之</w:t>
      </w:r>
      <w:r>
        <w:rPr>
          <w:rFonts w:hint="eastAsia" w:ascii="宋体" w:hAnsi="宋体" w:cs="宋体"/>
          <w:strike w:val="0"/>
          <w:dstrike w:val="0"/>
          <w:szCs w:val="21"/>
          <w:highlight w:val="none"/>
        </w:rPr>
        <w:t>日起 90天</w:t>
      </w:r>
      <w:r>
        <w:rPr>
          <w:rFonts w:hint="eastAsia" w:ascii="宋体" w:hAnsi="宋体"/>
          <w:strike w:val="0"/>
          <w:szCs w:val="21"/>
          <w:highlight w:val="none"/>
        </w:rPr>
        <w:t>。</w:t>
      </w:r>
      <w:r>
        <w:rPr>
          <w:rFonts w:hint="eastAsia" w:ascii="宋体" w:hAnsi="宋体" w:cs="宋体"/>
          <w:szCs w:val="21"/>
          <w:highlight w:val="none"/>
        </w:rPr>
        <w:t>如中标，有效期将延至合同终止日为止</w:t>
      </w:r>
      <w:r>
        <w:rPr>
          <w:rFonts w:hint="eastAsia" w:ascii="宋体" w:hAnsi="宋体" w:cs="宋体"/>
          <w:szCs w:val="21"/>
          <w:highlight w:val="none"/>
          <w:lang w:eastAsia="zh-CN"/>
        </w:rPr>
        <w:t>。</w:t>
      </w:r>
    </w:p>
    <w:p>
      <w:pPr>
        <w:keepNext w:val="0"/>
        <w:keepLines w:val="0"/>
        <w:pageBreakBefore w:val="0"/>
        <w:widowControl/>
        <w:numPr>
          <w:ilvl w:val="0"/>
          <w:numId w:val="104"/>
        </w:numPr>
        <w:kinsoku/>
        <w:wordWrap/>
        <w:overflowPunct/>
        <w:topLinePunct w:val="0"/>
        <w:autoSpaceDE/>
        <w:autoSpaceDN/>
        <w:bidi w:val="0"/>
        <w:adjustRightInd/>
        <w:snapToGrid/>
        <w:spacing w:line="360" w:lineRule="auto"/>
        <w:ind w:left="0" w:leftChars="0" w:firstLine="400" w:firstLineChars="0"/>
        <w:textAlignment w:val="auto"/>
        <w:outlineLvl w:val="9"/>
        <w:rPr>
          <w:rFonts w:hint="eastAsia" w:ascii="宋体" w:hAnsi="宋体"/>
          <w:szCs w:val="21"/>
          <w:highlight w:val="none"/>
          <w:lang w:val="en-US" w:eastAsia="zh-CN"/>
        </w:rPr>
      </w:pPr>
      <w:r>
        <w:rPr>
          <w:rFonts w:hint="eastAsia" w:ascii="宋体" w:hAnsi="宋体"/>
          <w:szCs w:val="21"/>
          <w:highlight w:val="none"/>
          <w:lang w:val="en-US" w:eastAsia="zh-CN"/>
        </w:rPr>
        <w:t>我方愿意按照贵方要求提供任何与该项投标有关的数据或资料并承诺提交的数据和资料都是准确的和真实的。</w:t>
      </w:r>
    </w:p>
    <w:p>
      <w:pPr>
        <w:keepNext w:val="0"/>
        <w:keepLines w:val="0"/>
        <w:pageBreakBefore w:val="0"/>
        <w:widowControl/>
        <w:numPr>
          <w:ilvl w:val="0"/>
          <w:numId w:val="104"/>
        </w:numPr>
        <w:kinsoku/>
        <w:wordWrap/>
        <w:overflowPunct/>
        <w:topLinePunct w:val="0"/>
        <w:autoSpaceDE/>
        <w:autoSpaceDN/>
        <w:bidi w:val="0"/>
        <w:adjustRightInd/>
        <w:snapToGrid/>
        <w:spacing w:line="360" w:lineRule="auto"/>
        <w:ind w:left="0" w:leftChars="0" w:firstLine="400" w:firstLineChars="0"/>
        <w:textAlignment w:val="auto"/>
        <w:outlineLvl w:val="9"/>
        <w:rPr>
          <w:rFonts w:hint="default" w:ascii="宋体" w:hAnsi="宋体"/>
          <w:szCs w:val="21"/>
          <w:highlight w:val="none"/>
          <w:lang w:val="en-US" w:eastAsia="zh-CN"/>
        </w:rPr>
      </w:pPr>
      <w:r>
        <w:rPr>
          <w:rFonts w:hint="eastAsia" w:ascii="宋体" w:hAnsi="宋体"/>
          <w:szCs w:val="21"/>
          <w:highlight w:val="none"/>
          <w:lang w:val="en-US" w:eastAsia="zh-CN"/>
        </w:rPr>
        <w:t>以上事项如有虚假或隐瞒，我方愿意承担一切后果，并不再寻求任何旨在减轻或免除法律责任的辩解。</w:t>
      </w:r>
    </w:p>
    <w:p>
      <w:pPr>
        <w:tabs>
          <w:tab w:val="left" w:pos="4635"/>
        </w:tabs>
        <w:spacing w:line="340" w:lineRule="exact"/>
        <w:ind w:firstLine="630" w:firstLineChars="300"/>
        <w:jc w:val="left"/>
        <w:outlineLvl w:val="9"/>
        <w:rPr>
          <w:rFonts w:ascii="宋体" w:hAnsi="宋体" w:cs="宋体"/>
          <w:szCs w:val="21"/>
          <w:highlight w:val="none"/>
        </w:rPr>
      </w:pPr>
    </w:p>
    <w:p>
      <w:pPr>
        <w:tabs>
          <w:tab w:val="left" w:pos="4635"/>
        </w:tabs>
        <w:spacing w:line="360" w:lineRule="auto"/>
        <w:ind w:left="3826" w:leftChars="1822" w:right="840"/>
        <w:jc w:val="left"/>
        <w:outlineLvl w:val="9"/>
        <w:rPr>
          <w:rFonts w:hint="eastAsia" w:ascii="宋体" w:hAnsi="宋体" w:cs="宋体"/>
          <w:szCs w:val="21"/>
          <w:highlight w:val="none"/>
        </w:rPr>
      </w:pPr>
    </w:p>
    <w:p>
      <w:pPr>
        <w:tabs>
          <w:tab w:val="left" w:pos="4635"/>
        </w:tabs>
        <w:spacing w:line="360" w:lineRule="auto"/>
        <w:ind w:left="3826" w:leftChars="1822" w:right="840"/>
        <w:jc w:val="left"/>
        <w:outlineLvl w:val="9"/>
        <w:rPr>
          <w:rFonts w:hint="eastAsia" w:ascii="宋体" w:hAnsi="宋体" w:cs="宋体"/>
          <w:szCs w:val="21"/>
          <w:highlight w:val="none"/>
        </w:rPr>
      </w:pPr>
    </w:p>
    <w:p>
      <w:pPr>
        <w:spacing w:line="480" w:lineRule="auto"/>
        <w:jc w:val="right"/>
        <w:rPr>
          <w:rFonts w:hint="eastAsia" w:ascii="宋体" w:hAnsi="宋体" w:cs="宋体"/>
          <w:bCs/>
          <w:color w:val="auto"/>
          <w:szCs w:val="21"/>
          <w:highlight w:val="none"/>
          <w:lang w:bidi="ar"/>
        </w:rPr>
      </w:pPr>
      <w:r>
        <w:rPr>
          <w:rFonts w:hint="eastAsia" w:ascii="宋体" w:hAnsi="宋体" w:cs="宋体"/>
          <w:bCs/>
          <w:color w:val="auto"/>
          <w:szCs w:val="21"/>
          <w:highlight w:val="none"/>
          <w:lang w:eastAsia="zh-CN" w:bidi="ar"/>
        </w:rPr>
        <w:t>投标人</w:t>
      </w:r>
      <w:r>
        <w:rPr>
          <w:rFonts w:hint="eastAsia" w:ascii="宋体" w:hAnsi="宋体" w:cs="宋体"/>
          <w:bCs/>
          <w:color w:val="auto"/>
          <w:szCs w:val="21"/>
          <w:highlight w:val="none"/>
          <w:lang w:bidi="ar"/>
        </w:rPr>
        <w:t>全称：</w:t>
      </w:r>
      <w:r>
        <w:rPr>
          <w:rFonts w:hint="eastAsia" w:cs="宋体"/>
          <w:sz w:val="21"/>
          <w:szCs w:val="21"/>
          <w:u w:val="single"/>
          <w:lang w:bidi="ar"/>
        </w:rPr>
        <w:t xml:space="preserve">                    （盖公章）</w:t>
      </w:r>
    </w:p>
    <w:p>
      <w:pPr>
        <w:spacing w:line="480" w:lineRule="auto"/>
        <w:ind w:firstLine="4830" w:firstLineChars="2300"/>
        <w:rPr>
          <w:rFonts w:hint="eastAsia" w:cs="宋体"/>
          <w:bCs/>
          <w:color w:val="auto"/>
          <w:szCs w:val="21"/>
          <w:highlight w:val="none"/>
        </w:rPr>
      </w:pPr>
      <w:r>
        <w:rPr>
          <w:rFonts w:hint="eastAsia" w:ascii="宋体" w:hAnsi="宋体" w:cs="宋体"/>
          <w:bCs/>
          <w:color w:val="auto"/>
          <w:szCs w:val="21"/>
          <w:highlight w:val="none"/>
        </w:rPr>
        <w:t>日期：</w:t>
      </w:r>
      <w:r>
        <w:rPr>
          <w:rFonts w:hint="eastAsia" w:cs="宋体"/>
          <w:sz w:val="21"/>
          <w:szCs w:val="21"/>
          <w:u w:val="single"/>
          <w:lang w:bidi="ar"/>
        </w:rPr>
        <w:t xml:space="preserve">        </w:t>
      </w:r>
      <w:r>
        <w:rPr>
          <w:rFonts w:hint="eastAsia" w:cs="宋体"/>
          <w:sz w:val="21"/>
          <w:szCs w:val="21"/>
          <w:lang w:bidi="ar"/>
        </w:rPr>
        <w:t xml:space="preserve">年 </w:t>
      </w:r>
      <w:r>
        <w:rPr>
          <w:rFonts w:hint="eastAsia" w:cs="宋体"/>
          <w:sz w:val="21"/>
          <w:szCs w:val="21"/>
          <w:u w:val="single"/>
          <w:lang w:bidi="ar"/>
        </w:rPr>
        <w:t xml:space="preserve">  </w:t>
      </w:r>
      <w:r>
        <w:rPr>
          <w:rFonts w:hint="eastAsia" w:cs="宋体"/>
          <w:sz w:val="21"/>
          <w:szCs w:val="21"/>
          <w:u w:val="single"/>
          <w:lang w:val="en-US" w:eastAsia="zh-CN" w:bidi="ar"/>
        </w:rPr>
        <w:t xml:space="preserve">   </w:t>
      </w:r>
      <w:r>
        <w:rPr>
          <w:rFonts w:hint="eastAsia" w:cs="宋体"/>
          <w:sz w:val="21"/>
          <w:szCs w:val="21"/>
          <w:u w:val="single"/>
          <w:lang w:bidi="ar"/>
        </w:rPr>
        <w:t xml:space="preserve"> </w:t>
      </w:r>
      <w:r>
        <w:rPr>
          <w:rFonts w:hint="eastAsia" w:cs="宋体"/>
          <w:sz w:val="21"/>
          <w:szCs w:val="21"/>
          <w:lang w:bidi="ar"/>
        </w:rPr>
        <w:t>月</w:t>
      </w:r>
      <w:r>
        <w:rPr>
          <w:rFonts w:hint="eastAsia" w:cs="宋体"/>
          <w:sz w:val="21"/>
          <w:szCs w:val="21"/>
          <w:u w:val="single"/>
          <w:lang w:bidi="ar"/>
        </w:rPr>
        <w:t xml:space="preserve">   </w:t>
      </w:r>
      <w:r>
        <w:rPr>
          <w:rFonts w:hint="eastAsia" w:cs="宋体"/>
          <w:sz w:val="21"/>
          <w:szCs w:val="21"/>
          <w:u w:val="single"/>
          <w:lang w:val="en-US" w:eastAsia="zh-CN" w:bidi="ar"/>
        </w:rPr>
        <w:t xml:space="preserve">  </w:t>
      </w:r>
      <w:r>
        <w:rPr>
          <w:rFonts w:hint="eastAsia" w:cs="宋体"/>
          <w:sz w:val="21"/>
          <w:szCs w:val="21"/>
          <w:u w:val="single"/>
          <w:lang w:bidi="ar"/>
        </w:rPr>
        <w:t xml:space="preserve"> </w:t>
      </w:r>
      <w:r>
        <w:rPr>
          <w:rFonts w:hint="eastAsia" w:cs="宋体"/>
          <w:sz w:val="21"/>
          <w:szCs w:val="21"/>
          <w:lang w:bidi="ar"/>
        </w:rPr>
        <w:t>日</w:t>
      </w:r>
    </w:p>
    <w:p>
      <w:pPr>
        <w:pStyle w:val="20"/>
        <w:outlineLvl w:val="9"/>
        <w:rPr>
          <w:rFonts w:hint="eastAsia" w:ascii="宋体" w:hAnsi="宋体" w:cs="宋体"/>
          <w:szCs w:val="21"/>
          <w:highlight w:val="none"/>
        </w:rPr>
      </w:pPr>
    </w:p>
    <w:p>
      <w:pPr>
        <w:pStyle w:val="20"/>
        <w:ind w:left="0" w:leftChars="0" w:firstLine="0" w:firstLineChars="0"/>
        <w:outlineLvl w:val="9"/>
        <w:rPr>
          <w:rFonts w:hint="eastAsia" w:cs="宋体"/>
          <w:b/>
          <w:bCs/>
          <w:sz w:val="21"/>
          <w:szCs w:val="21"/>
          <w:highlight w:val="none"/>
          <w:lang w:val="en-US" w:eastAsia="zh-CN"/>
        </w:rPr>
      </w:pPr>
    </w:p>
    <w:p>
      <w:pPr>
        <w:pStyle w:val="20"/>
        <w:ind w:left="0" w:leftChars="0" w:firstLine="0" w:firstLineChars="0"/>
        <w:outlineLvl w:val="9"/>
        <w:rPr>
          <w:rFonts w:hint="eastAsia" w:cs="宋体"/>
          <w:b/>
          <w:bCs/>
          <w:sz w:val="21"/>
          <w:szCs w:val="21"/>
          <w:highlight w:val="none"/>
          <w:lang w:val="en-US" w:eastAsia="zh-CN"/>
        </w:rPr>
      </w:pPr>
    </w:p>
    <w:p>
      <w:pPr>
        <w:pStyle w:val="20"/>
        <w:ind w:left="0" w:leftChars="0" w:firstLine="0" w:firstLineChars="0"/>
        <w:outlineLvl w:val="9"/>
        <w:rPr>
          <w:rFonts w:hint="eastAsia" w:cs="宋体"/>
          <w:b w:val="0"/>
          <w:bCs w:val="0"/>
          <w:sz w:val="21"/>
          <w:szCs w:val="21"/>
          <w:highlight w:val="none"/>
          <w:lang w:val="en-US" w:eastAsia="zh-CN"/>
        </w:rPr>
      </w:pPr>
      <w:r>
        <w:rPr>
          <w:rFonts w:hint="eastAsia" w:cs="宋体"/>
          <w:b w:val="0"/>
          <w:bCs w:val="0"/>
          <w:sz w:val="21"/>
          <w:szCs w:val="21"/>
          <w:highlight w:val="none"/>
          <w:lang w:val="en-US" w:eastAsia="zh-CN"/>
        </w:rPr>
        <w:t>注：</w:t>
      </w:r>
    </w:p>
    <w:p>
      <w:pPr>
        <w:rPr>
          <w:b w:val="0"/>
          <w:bCs w:val="0"/>
          <w:color w:val="auto"/>
          <w:highlight w:val="none"/>
        </w:rPr>
      </w:pPr>
      <w:r>
        <w:rPr>
          <w:rFonts w:hint="eastAsia" w:cs="宋体"/>
          <w:b w:val="0"/>
          <w:bCs w:val="0"/>
          <w:sz w:val="21"/>
          <w:szCs w:val="21"/>
          <w:highlight w:val="none"/>
          <w:lang w:val="en-US" w:eastAsia="zh-CN"/>
        </w:rPr>
        <w:t>1.本附件必须提供，不得自行增减内容</w:t>
      </w:r>
      <w:r>
        <w:rPr>
          <w:rFonts w:hint="eastAsia" w:ascii="宋体" w:hAnsi="宋体" w:eastAsia="宋体" w:cs="宋体"/>
          <w:b w:val="0"/>
          <w:bCs w:val="0"/>
          <w:color w:val="auto"/>
          <w:sz w:val="21"/>
          <w:szCs w:val="21"/>
          <w:highlight w:val="none"/>
          <w:lang w:val="en-US" w:eastAsia="zh-CN"/>
        </w:rPr>
        <w:t>。</w:t>
      </w:r>
    </w:p>
    <w:p>
      <w:pPr>
        <w:pStyle w:val="20"/>
        <w:numPr>
          <w:ilvl w:val="0"/>
          <w:numId w:val="0"/>
        </w:numPr>
        <w:ind w:leftChars="0" w:right="-252" w:rightChars="-120"/>
        <w:outlineLvl w:val="9"/>
        <w:rPr>
          <w:rFonts w:hint="eastAsia" w:cs="宋体"/>
          <w:b/>
          <w:bCs/>
          <w:sz w:val="21"/>
          <w:szCs w:val="21"/>
          <w:highlight w:val="none"/>
          <w:lang w:val="en-US" w:eastAsia="zh-CN"/>
        </w:rPr>
      </w:pPr>
    </w:p>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Pr>
        <w:pStyle w:val="3"/>
        <w:pageBreakBefore/>
        <w:spacing w:before="78" w:beforeLines="25" w:after="0" w:line="360" w:lineRule="auto"/>
        <w:jc w:val="center"/>
        <w:outlineLvl w:val="0"/>
        <w:rPr>
          <w:rFonts w:hint="eastAsia"/>
          <w:sz w:val="28"/>
          <w:szCs w:val="28"/>
          <w:highlight w:val="none"/>
          <w:lang w:val="en-US" w:eastAsia="zh-CN"/>
        </w:rPr>
      </w:pPr>
      <w:bookmarkStart w:id="1230" w:name="_Toc28664"/>
      <w:bookmarkStart w:id="1231" w:name="_Toc11953"/>
      <w:bookmarkStart w:id="1232" w:name="_Toc30825"/>
      <w:bookmarkStart w:id="1233" w:name="_Toc4609"/>
      <w:bookmarkStart w:id="1234" w:name="_Toc8700"/>
      <w:bookmarkStart w:id="1235" w:name="_Toc8470"/>
      <w:bookmarkStart w:id="1236" w:name="_Toc8412"/>
      <w:bookmarkStart w:id="1237" w:name="_Toc13307"/>
      <w:bookmarkStart w:id="1238" w:name="_Toc32263"/>
      <w:bookmarkStart w:id="1239" w:name="_Toc5823"/>
      <w:bookmarkStart w:id="1240" w:name="_Toc8986"/>
      <w:bookmarkStart w:id="1241" w:name="_Toc5684"/>
      <w:bookmarkStart w:id="1242" w:name="_Toc4075"/>
      <w:bookmarkStart w:id="1243" w:name="_Toc22753"/>
      <w:bookmarkStart w:id="1244" w:name="_Toc30576"/>
      <w:bookmarkStart w:id="1245" w:name="_Toc509911147"/>
      <w:bookmarkStart w:id="1246" w:name="_Toc27587"/>
      <w:bookmarkStart w:id="1247" w:name="_Toc14248229"/>
      <w:bookmarkStart w:id="1248" w:name="_Toc14930"/>
      <w:bookmarkStart w:id="1249" w:name="_Toc525894362"/>
      <w:bookmarkStart w:id="1250" w:name="_Toc9344"/>
      <w:r>
        <w:rPr>
          <w:rFonts w:hint="eastAsia" w:cs="宋体"/>
          <w:b/>
          <w:bCs/>
          <w:lang w:val="en-US" w:eastAsia="zh-CN"/>
        </w:rPr>
        <w:t>附件七  商务与技术偏离表</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tbl>
      <w:tblPr>
        <w:tblStyle w:val="38"/>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44"/>
        <w:gridCol w:w="948"/>
        <w:gridCol w:w="2931"/>
        <w:gridCol w:w="2240"/>
        <w:gridCol w:w="133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90" w:hRule="atLeast"/>
          <w:jc w:val="center"/>
        </w:trPr>
        <w:tc>
          <w:tcPr>
            <w:tcW w:w="944" w:type="dxa"/>
            <w:noWrap w:val="0"/>
            <w:vAlign w:val="top"/>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948"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r>
              <w:rPr>
                <w:rFonts w:hint="eastAsia" w:ascii="新宋体" w:hAnsi="新宋体" w:eastAsia="新宋体" w:cs="Times New Roman"/>
                <w:color w:val="auto"/>
                <w:sz w:val="24"/>
                <w:szCs w:val="20"/>
              </w:rPr>
              <w:t>序号</w:t>
            </w:r>
          </w:p>
        </w:tc>
        <w:tc>
          <w:tcPr>
            <w:tcW w:w="2931" w:type="dxa"/>
            <w:noWrap w:val="0"/>
            <w:vAlign w:val="center"/>
          </w:tcPr>
          <w:p>
            <w:pPr>
              <w:keepNext w:val="0"/>
              <w:keepLines w:val="0"/>
              <w:widowControl/>
              <w:suppressLineNumbers w:val="0"/>
              <w:spacing w:before="0" w:beforeAutospacing="0" w:after="0" w:afterAutospacing="0" w:line="380" w:lineRule="exact"/>
              <w:ind w:left="0" w:right="0"/>
              <w:jc w:val="center"/>
              <w:rPr>
                <w:rFonts w:hint="eastAsia" w:ascii="新宋体" w:hAnsi="新宋体" w:eastAsia="新宋体" w:cs="Times New Roman"/>
                <w:color w:val="auto"/>
                <w:sz w:val="24"/>
                <w:szCs w:val="20"/>
                <w:lang w:eastAsia="zh-CN"/>
              </w:rPr>
            </w:pPr>
            <w:r>
              <w:rPr>
                <w:rFonts w:hint="eastAsia" w:ascii="新宋体" w:hAnsi="新宋体" w:eastAsia="新宋体" w:cs="Times New Roman"/>
                <w:color w:val="auto"/>
                <w:sz w:val="24"/>
                <w:szCs w:val="20"/>
              </w:rPr>
              <w:t>招标</w:t>
            </w:r>
            <w:r>
              <w:rPr>
                <w:rFonts w:hint="eastAsia" w:ascii="新宋体" w:hAnsi="新宋体" w:eastAsia="新宋体" w:cs="Times New Roman"/>
                <w:color w:val="auto"/>
                <w:sz w:val="24"/>
                <w:szCs w:val="20"/>
                <w:lang w:val="en-US" w:eastAsia="zh-CN"/>
              </w:rPr>
              <w:t>要求</w:t>
            </w:r>
          </w:p>
        </w:tc>
        <w:tc>
          <w:tcPr>
            <w:tcW w:w="2240" w:type="dxa"/>
            <w:noWrap w:val="0"/>
            <w:vAlign w:val="center"/>
          </w:tcPr>
          <w:p>
            <w:pPr>
              <w:keepNext w:val="0"/>
              <w:keepLines w:val="0"/>
              <w:widowControl/>
              <w:suppressLineNumbers w:val="0"/>
              <w:spacing w:before="0" w:beforeAutospacing="0" w:after="0" w:afterAutospacing="0" w:line="380" w:lineRule="exact"/>
              <w:ind w:left="0" w:right="0"/>
              <w:jc w:val="center"/>
              <w:rPr>
                <w:rFonts w:hint="eastAsia" w:ascii="新宋体" w:hAnsi="新宋体" w:eastAsia="新宋体" w:cs="Times New Roman"/>
                <w:color w:val="auto"/>
                <w:sz w:val="24"/>
                <w:szCs w:val="20"/>
                <w:lang w:eastAsia="zh-CN"/>
              </w:rPr>
            </w:pPr>
            <w:r>
              <w:rPr>
                <w:rFonts w:hint="eastAsia" w:ascii="新宋体" w:hAnsi="新宋体" w:eastAsia="新宋体" w:cs="Times New Roman"/>
                <w:color w:val="auto"/>
                <w:sz w:val="24"/>
                <w:szCs w:val="20"/>
              </w:rPr>
              <w:t>投标</w:t>
            </w:r>
            <w:r>
              <w:rPr>
                <w:rFonts w:hint="eastAsia" w:ascii="新宋体" w:hAnsi="新宋体" w:eastAsia="新宋体" w:cs="Times New Roman"/>
                <w:color w:val="auto"/>
                <w:sz w:val="24"/>
                <w:szCs w:val="20"/>
                <w:lang w:val="en-US" w:eastAsia="zh-CN"/>
              </w:rPr>
              <w:t>响应</w:t>
            </w:r>
          </w:p>
        </w:tc>
        <w:tc>
          <w:tcPr>
            <w:tcW w:w="1333"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r>
              <w:rPr>
                <w:rFonts w:hint="eastAsia" w:ascii="新宋体" w:hAnsi="新宋体" w:eastAsia="新宋体" w:cs="Times New Roman"/>
                <w:color w:val="auto"/>
                <w:sz w:val="24"/>
                <w:szCs w:val="20"/>
                <w:lang w:val="en-US" w:eastAsia="zh-CN"/>
              </w:rPr>
              <w:t>偏离</w:t>
            </w:r>
            <w:r>
              <w:rPr>
                <w:rFonts w:hint="eastAsia" w:ascii="新宋体" w:hAnsi="新宋体" w:eastAsia="新宋体" w:cs="Times New Roman"/>
                <w:color w:val="auto"/>
                <w:sz w:val="24"/>
                <w:szCs w:val="20"/>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570" w:hRule="atLeast"/>
          <w:jc w:val="center"/>
        </w:trPr>
        <w:tc>
          <w:tcPr>
            <w:tcW w:w="944" w:type="dxa"/>
            <w:vMerge w:val="restart"/>
            <w:noWrap w:val="0"/>
            <w:vAlign w:val="center"/>
          </w:tcPr>
          <w:p>
            <w:pPr>
              <w:keepNext w:val="0"/>
              <w:keepLines w:val="0"/>
              <w:widowControl/>
              <w:suppressLineNumbers w:val="0"/>
              <w:spacing w:before="0" w:beforeAutospacing="0" w:after="0" w:afterAutospacing="0" w:line="380" w:lineRule="exact"/>
              <w:ind w:left="0" w:right="0"/>
              <w:jc w:val="center"/>
              <w:rPr>
                <w:rFonts w:hint="eastAsia" w:ascii="新宋体" w:hAnsi="新宋体" w:eastAsia="新宋体" w:cs="Times New Roman"/>
                <w:color w:val="auto"/>
                <w:sz w:val="24"/>
                <w:szCs w:val="20"/>
                <w:lang w:eastAsia="zh-CN"/>
              </w:rPr>
            </w:pPr>
            <w:r>
              <w:rPr>
                <w:rFonts w:hint="eastAsia" w:ascii="新宋体" w:hAnsi="新宋体" w:eastAsia="新宋体" w:cs="Times New Roman"/>
                <w:color w:val="auto"/>
                <w:sz w:val="24"/>
                <w:szCs w:val="20"/>
                <w:lang w:val="en-US" w:eastAsia="zh-CN"/>
              </w:rPr>
              <w:t>商务</w:t>
            </w:r>
          </w:p>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948" w:type="dxa"/>
            <w:noWrap w:val="0"/>
            <w:vAlign w:val="center"/>
          </w:tcPr>
          <w:p>
            <w:pPr>
              <w:keepNext w:val="0"/>
              <w:keepLines w:val="0"/>
              <w:widowControl/>
              <w:suppressLineNumbers w:val="0"/>
              <w:spacing w:before="0" w:beforeAutospacing="0" w:after="0" w:afterAutospacing="0" w:line="380" w:lineRule="exact"/>
              <w:ind w:left="0" w:right="0"/>
              <w:rPr>
                <w:rFonts w:hint="default" w:ascii="新宋体" w:hAnsi="新宋体" w:eastAsia="新宋体" w:cs="Times New Roman"/>
                <w:color w:val="auto"/>
                <w:sz w:val="24"/>
                <w:szCs w:val="20"/>
              </w:rPr>
            </w:pPr>
          </w:p>
        </w:tc>
        <w:tc>
          <w:tcPr>
            <w:tcW w:w="2931"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240"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1333"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564" w:hRule="atLeast"/>
          <w:jc w:val="center"/>
        </w:trPr>
        <w:tc>
          <w:tcPr>
            <w:tcW w:w="944" w:type="dxa"/>
            <w:vMerge w:val="continue"/>
            <w:noWrap w:val="0"/>
            <w:vAlign w:val="top"/>
          </w:tcPr>
          <w:p>
            <w:pPr>
              <w:keepNext w:val="0"/>
              <w:keepLines w:val="0"/>
              <w:widowControl/>
              <w:suppressLineNumbers w:val="0"/>
              <w:spacing w:before="0" w:beforeAutospacing="0" w:after="0" w:afterAutospacing="0" w:line="380" w:lineRule="exact"/>
              <w:ind w:left="0" w:right="0" w:firstLine="240" w:firstLineChars="100"/>
              <w:rPr>
                <w:rFonts w:hint="default" w:ascii="新宋体" w:hAnsi="新宋体" w:eastAsia="新宋体" w:cs="Times New Roman"/>
                <w:color w:val="auto"/>
                <w:sz w:val="24"/>
                <w:szCs w:val="20"/>
              </w:rPr>
            </w:pPr>
          </w:p>
        </w:tc>
        <w:tc>
          <w:tcPr>
            <w:tcW w:w="948" w:type="dxa"/>
            <w:noWrap w:val="0"/>
            <w:vAlign w:val="center"/>
          </w:tcPr>
          <w:p>
            <w:pPr>
              <w:keepNext w:val="0"/>
              <w:keepLines w:val="0"/>
              <w:widowControl/>
              <w:suppressLineNumbers w:val="0"/>
              <w:spacing w:before="0" w:beforeAutospacing="0" w:after="0" w:afterAutospacing="0" w:line="380" w:lineRule="exact"/>
              <w:ind w:left="0" w:right="0" w:firstLine="240" w:firstLineChars="100"/>
              <w:rPr>
                <w:rFonts w:hint="default" w:ascii="新宋体" w:hAnsi="新宋体" w:eastAsia="新宋体" w:cs="Times New Roman"/>
                <w:color w:val="auto"/>
                <w:sz w:val="24"/>
                <w:szCs w:val="20"/>
              </w:rPr>
            </w:pPr>
          </w:p>
        </w:tc>
        <w:tc>
          <w:tcPr>
            <w:tcW w:w="2931"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240"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1333"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559" w:hRule="atLeast"/>
          <w:jc w:val="center"/>
        </w:trPr>
        <w:tc>
          <w:tcPr>
            <w:tcW w:w="944" w:type="dxa"/>
            <w:vMerge w:val="continue"/>
            <w:noWrap w:val="0"/>
            <w:vAlign w:val="top"/>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948"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931"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240"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1333"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581" w:hRule="atLeast"/>
          <w:jc w:val="center"/>
        </w:trPr>
        <w:tc>
          <w:tcPr>
            <w:tcW w:w="944" w:type="dxa"/>
            <w:vMerge w:val="continue"/>
            <w:noWrap w:val="0"/>
            <w:vAlign w:val="top"/>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948"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931"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240"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1333"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561" w:hRule="atLeast"/>
          <w:jc w:val="center"/>
        </w:trPr>
        <w:tc>
          <w:tcPr>
            <w:tcW w:w="944" w:type="dxa"/>
            <w:vMerge w:val="continue"/>
            <w:noWrap w:val="0"/>
            <w:vAlign w:val="top"/>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948"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931"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240"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1333"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561" w:hRule="atLeast"/>
          <w:jc w:val="center"/>
        </w:trPr>
        <w:tc>
          <w:tcPr>
            <w:tcW w:w="944" w:type="dxa"/>
            <w:vMerge w:val="continue"/>
            <w:noWrap w:val="0"/>
            <w:vAlign w:val="top"/>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948"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931"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240"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1333"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561" w:hRule="atLeast"/>
          <w:jc w:val="center"/>
        </w:trPr>
        <w:tc>
          <w:tcPr>
            <w:tcW w:w="944" w:type="dxa"/>
            <w:vMerge w:val="continue"/>
            <w:noWrap w:val="0"/>
            <w:vAlign w:val="top"/>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948"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931"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240"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1333"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561" w:hRule="atLeast"/>
          <w:jc w:val="center"/>
        </w:trPr>
        <w:tc>
          <w:tcPr>
            <w:tcW w:w="944" w:type="dxa"/>
            <w:vMerge w:val="restart"/>
            <w:noWrap w:val="0"/>
            <w:vAlign w:val="top"/>
          </w:tcPr>
          <w:p>
            <w:pPr>
              <w:keepNext w:val="0"/>
              <w:keepLines w:val="0"/>
              <w:widowControl/>
              <w:suppressLineNumbers w:val="0"/>
              <w:spacing w:before="0" w:beforeAutospacing="0" w:after="0" w:afterAutospacing="0" w:line="380" w:lineRule="exact"/>
              <w:ind w:left="0" w:right="0"/>
              <w:jc w:val="center"/>
              <w:rPr>
                <w:rFonts w:hint="eastAsia" w:ascii="新宋体" w:hAnsi="新宋体" w:eastAsia="新宋体" w:cs="Times New Roman"/>
                <w:color w:val="auto"/>
                <w:sz w:val="24"/>
                <w:szCs w:val="20"/>
              </w:rPr>
            </w:pPr>
          </w:p>
          <w:p>
            <w:pPr>
              <w:keepNext w:val="0"/>
              <w:keepLines w:val="0"/>
              <w:widowControl/>
              <w:suppressLineNumbers w:val="0"/>
              <w:spacing w:before="0" w:beforeAutospacing="0" w:after="0" w:afterAutospacing="0" w:line="380" w:lineRule="exact"/>
              <w:ind w:left="0" w:right="0"/>
              <w:jc w:val="center"/>
              <w:rPr>
                <w:rFonts w:hint="eastAsia" w:ascii="新宋体" w:hAnsi="新宋体" w:eastAsia="新宋体" w:cs="Times New Roman"/>
                <w:color w:val="auto"/>
                <w:sz w:val="24"/>
                <w:szCs w:val="20"/>
              </w:rPr>
            </w:pPr>
          </w:p>
          <w:p>
            <w:pPr>
              <w:keepNext w:val="0"/>
              <w:keepLines w:val="0"/>
              <w:widowControl/>
              <w:suppressLineNumbers w:val="0"/>
              <w:spacing w:before="0" w:beforeAutospacing="0" w:after="0" w:afterAutospacing="0" w:line="380" w:lineRule="exact"/>
              <w:ind w:left="0" w:right="0"/>
              <w:jc w:val="center"/>
              <w:rPr>
                <w:rFonts w:hint="eastAsia" w:ascii="新宋体" w:hAnsi="新宋体" w:eastAsia="新宋体" w:cs="Times New Roman"/>
                <w:color w:val="auto"/>
                <w:sz w:val="24"/>
                <w:szCs w:val="20"/>
              </w:rPr>
            </w:pPr>
          </w:p>
          <w:p>
            <w:pPr>
              <w:keepNext w:val="0"/>
              <w:keepLines w:val="0"/>
              <w:widowControl/>
              <w:suppressLineNumbers w:val="0"/>
              <w:spacing w:before="0" w:beforeAutospacing="0" w:after="0" w:afterAutospacing="0" w:line="380" w:lineRule="exact"/>
              <w:ind w:left="0" w:right="0"/>
              <w:jc w:val="center"/>
              <w:rPr>
                <w:rFonts w:hint="eastAsia" w:ascii="新宋体" w:hAnsi="新宋体" w:eastAsia="新宋体" w:cs="Times New Roman"/>
                <w:color w:val="auto"/>
                <w:sz w:val="24"/>
                <w:szCs w:val="20"/>
              </w:rPr>
            </w:pPr>
          </w:p>
          <w:p>
            <w:pPr>
              <w:keepNext w:val="0"/>
              <w:keepLines w:val="0"/>
              <w:widowControl/>
              <w:suppressLineNumbers w:val="0"/>
              <w:spacing w:before="0" w:beforeAutospacing="0" w:after="0" w:afterAutospacing="0" w:line="380" w:lineRule="exact"/>
              <w:ind w:left="0" w:right="0"/>
              <w:jc w:val="center"/>
              <w:rPr>
                <w:rFonts w:hint="eastAsia" w:ascii="新宋体" w:hAnsi="新宋体" w:eastAsia="新宋体" w:cs="Times New Roman"/>
                <w:color w:val="auto"/>
                <w:sz w:val="24"/>
                <w:szCs w:val="20"/>
                <w:lang w:eastAsia="zh-CN"/>
              </w:rPr>
            </w:pPr>
            <w:r>
              <w:rPr>
                <w:rFonts w:hint="eastAsia" w:ascii="新宋体" w:hAnsi="新宋体" w:eastAsia="新宋体" w:cs="Times New Roman"/>
                <w:color w:val="auto"/>
                <w:sz w:val="24"/>
                <w:szCs w:val="20"/>
                <w:lang w:val="en-US" w:eastAsia="zh-CN"/>
              </w:rPr>
              <w:t>技术</w:t>
            </w:r>
          </w:p>
        </w:tc>
        <w:tc>
          <w:tcPr>
            <w:tcW w:w="948"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931"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240"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1333"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561" w:hRule="atLeast"/>
          <w:jc w:val="center"/>
        </w:trPr>
        <w:tc>
          <w:tcPr>
            <w:tcW w:w="944" w:type="dxa"/>
            <w:vMerge w:val="continue"/>
            <w:noWrap w:val="0"/>
            <w:vAlign w:val="top"/>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948"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931"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240"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1333"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561" w:hRule="atLeast"/>
          <w:jc w:val="center"/>
        </w:trPr>
        <w:tc>
          <w:tcPr>
            <w:tcW w:w="944" w:type="dxa"/>
            <w:vMerge w:val="continue"/>
            <w:noWrap w:val="0"/>
            <w:vAlign w:val="top"/>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948"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931"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240"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1333"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561" w:hRule="atLeast"/>
          <w:jc w:val="center"/>
        </w:trPr>
        <w:tc>
          <w:tcPr>
            <w:tcW w:w="944" w:type="dxa"/>
            <w:vMerge w:val="continue"/>
            <w:noWrap w:val="0"/>
            <w:vAlign w:val="top"/>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948"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931"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240"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1333"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561" w:hRule="atLeast"/>
          <w:jc w:val="center"/>
        </w:trPr>
        <w:tc>
          <w:tcPr>
            <w:tcW w:w="944" w:type="dxa"/>
            <w:vMerge w:val="continue"/>
            <w:noWrap w:val="0"/>
            <w:vAlign w:val="top"/>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948"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931"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240"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1333"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561" w:hRule="atLeast"/>
          <w:jc w:val="center"/>
        </w:trPr>
        <w:tc>
          <w:tcPr>
            <w:tcW w:w="944" w:type="dxa"/>
            <w:vMerge w:val="continue"/>
            <w:noWrap w:val="0"/>
            <w:vAlign w:val="top"/>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948"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931"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2240"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c>
          <w:tcPr>
            <w:tcW w:w="1333" w:type="dxa"/>
            <w:noWrap w:val="0"/>
            <w:vAlign w:val="center"/>
          </w:tcPr>
          <w:p>
            <w:pPr>
              <w:keepNext w:val="0"/>
              <w:keepLines w:val="0"/>
              <w:widowControl/>
              <w:suppressLineNumbers w:val="0"/>
              <w:spacing w:before="0" w:beforeAutospacing="0" w:after="0" w:afterAutospacing="0" w:line="380" w:lineRule="exact"/>
              <w:ind w:left="0" w:right="0"/>
              <w:jc w:val="center"/>
              <w:rPr>
                <w:rFonts w:hint="default" w:ascii="新宋体" w:hAnsi="新宋体" w:eastAsia="新宋体" w:cs="Times New Roman"/>
                <w:color w:val="auto"/>
                <w:sz w:val="24"/>
                <w:szCs w:val="20"/>
              </w:rPr>
            </w:pPr>
          </w:p>
        </w:tc>
      </w:tr>
    </w:tbl>
    <w:p>
      <w:pPr>
        <w:tabs>
          <w:tab w:val="left" w:pos="420"/>
        </w:tabs>
        <w:spacing w:line="360" w:lineRule="exact"/>
        <w:rPr>
          <w:rFonts w:hint="eastAsia"/>
          <w:b/>
          <w:bCs/>
        </w:rPr>
      </w:pPr>
    </w:p>
    <w:p>
      <w:pPr>
        <w:tabs>
          <w:tab w:val="left" w:pos="420"/>
        </w:tabs>
        <w:spacing w:line="360" w:lineRule="exact"/>
        <w:rPr>
          <w:rFonts w:hint="eastAsia"/>
          <w:b/>
          <w:bCs/>
        </w:rPr>
      </w:pPr>
    </w:p>
    <w:p>
      <w:pPr>
        <w:tabs>
          <w:tab w:val="left" w:pos="420"/>
        </w:tabs>
        <w:spacing w:line="360" w:lineRule="exact"/>
        <w:rPr>
          <w:rFonts w:hint="eastAsia"/>
          <w:b/>
          <w:bCs/>
        </w:rPr>
      </w:pPr>
    </w:p>
    <w:p>
      <w:pPr>
        <w:spacing w:line="480" w:lineRule="auto"/>
        <w:jc w:val="right"/>
        <w:rPr>
          <w:rFonts w:hint="eastAsia" w:ascii="宋体" w:hAnsi="宋体" w:cs="宋体"/>
          <w:bCs/>
          <w:color w:val="auto"/>
          <w:szCs w:val="21"/>
          <w:highlight w:val="none"/>
          <w:lang w:bidi="ar"/>
        </w:rPr>
      </w:pPr>
      <w:r>
        <w:rPr>
          <w:rFonts w:hint="eastAsia" w:ascii="宋体" w:hAnsi="宋体" w:cs="宋体"/>
          <w:bCs/>
          <w:color w:val="auto"/>
          <w:szCs w:val="21"/>
          <w:highlight w:val="none"/>
          <w:lang w:eastAsia="zh-CN" w:bidi="ar"/>
        </w:rPr>
        <w:t>投标人</w:t>
      </w:r>
      <w:r>
        <w:rPr>
          <w:rFonts w:hint="eastAsia" w:ascii="宋体" w:hAnsi="宋体" w:cs="宋体"/>
          <w:bCs/>
          <w:color w:val="auto"/>
          <w:szCs w:val="21"/>
          <w:highlight w:val="none"/>
          <w:lang w:bidi="ar"/>
        </w:rPr>
        <w:t>全称：</w:t>
      </w:r>
      <w:r>
        <w:rPr>
          <w:rFonts w:hint="eastAsia" w:cs="宋体"/>
          <w:sz w:val="21"/>
          <w:szCs w:val="21"/>
          <w:u w:val="single"/>
          <w:lang w:bidi="ar"/>
        </w:rPr>
        <w:t xml:space="preserve">                    （盖公章）</w:t>
      </w:r>
    </w:p>
    <w:p>
      <w:pPr>
        <w:spacing w:line="480" w:lineRule="auto"/>
        <w:ind w:firstLine="4830" w:firstLineChars="2300"/>
        <w:rPr>
          <w:rFonts w:hint="eastAsia" w:cs="宋体"/>
          <w:bCs/>
          <w:color w:val="auto"/>
          <w:szCs w:val="21"/>
          <w:highlight w:val="none"/>
        </w:rPr>
      </w:pPr>
      <w:r>
        <w:rPr>
          <w:rFonts w:hint="eastAsia" w:ascii="宋体" w:hAnsi="宋体" w:cs="宋体"/>
          <w:bCs/>
          <w:color w:val="auto"/>
          <w:szCs w:val="21"/>
          <w:highlight w:val="none"/>
        </w:rPr>
        <w:t>日期：</w:t>
      </w:r>
      <w:r>
        <w:rPr>
          <w:rFonts w:hint="eastAsia" w:cs="宋体"/>
          <w:sz w:val="21"/>
          <w:szCs w:val="21"/>
          <w:u w:val="single"/>
          <w:lang w:bidi="ar"/>
        </w:rPr>
        <w:t xml:space="preserve">        </w:t>
      </w:r>
      <w:r>
        <w:rPr>
          <w:rFonts w:hint="eastAsia" w:cs="宋体"/>
          <w:sz w:val="21"/>
          <w:szCs w:val="21"/>
          <w:lang w:bidi="ar"/>
        </w:rPr>
        <w:t xml:space="preserve">年 </w:t>
      </w:r>
      <w:r>
        <w:rPr>
          <w:rFonts w:hint="eastAsia" w:cs="宋体"/>
          <w:sz w:val="21"/>
          <w:szCs w:val="21"/>
          <w:u w:val="single"/>
          <w:lang w:bidi="ar"/>
        </w:rPr>
        <w:t xml:space="preserve">  </w:t>
      </w:r>
      <w:r>
        <w:rPr>
          <w:rFonts w:hint="eastAsia" w:cs="宋体"/>
          <w:sz w:val="21"/>
          <w:szCs w:val="21"/>
          <w:u w:val="single"/>
          <w:lang w:val="en-US" w:eastAsia="zh-CN" w:bidi="ar"/>
        </w:rPr>
        <w:t xml:space="preserve">   </w:t>
      </w:r>
      <w:r>
        <w:rPr>
          <w:rFonts w:hint="eastAsia" w:cs="宋体"/>
          <w:sz w:val="21"/>
          <w:szCs w:val="21"/>
          <w:u w:val="single"/>
          <w:lang w:bidi="ar"/>
        </w:rPr>
        <w:t xml:space="preserve"> </w:t>
      </w:r>
      <w:r>
        <w:rPr>
          <w:rFonts w:hint="eastAsia" w:cs="宋体"/>
          <w:sz w:val="21"/>
          <w:szCs w:val="21"/>
          <w:lang w:bidi="ar"/>
        </w:rPr>
        <w:t>月</w:t>
      </w:r>
      <w:r>
        <w:rPr>
          <w:rFonts w:hint="eastAsia" w:cs="宋体"/>
          <w:sz w:val="21"/>
          <w:szCs w:val="21"/>
          <w:u w:val="single"/>
          <w:lang w:bidi="ar"/>
        </w:rPr>
        <w:t xml:space="preserve">   </w:t>
      </w:r>
      <w:r>
        <w:rPr>
          <w:rFonts w:hint="eastAsia" w:cs="宋体"/>
          <w:sz w:val="21"/>
          <w:szCs w:val="21"/>
          <w:u w:val="single"/>
          <w:lang w:val="en-US" w:eastAsia="zh-CN" w:bidi="ar"/>
        </w:rPr>
        <w:t xml:space="preserve">  </w:t>
      </w:r>
      <w:r>
        <w:rPr>
          <w:rFonts w:hint="eastAsia" w:cs="宋体"/>
          <w:sz w:val="21"/>
          <w:szCs w:val="21"/>
          <w:u w:val="single"/>
          <w:lang w:bidi="ar"/>
        </w:rPr>
        <w:t xml:space="preserve"> </w:t>
      </w:r>
      <w:r>
        <w:rPr>
          <w:rFonts w:hint="eastAsia" w:cs="宋体"/>
          <w:sz w:val="21"/>
          <w:szCs w:val="21"/>
          <w:lang w:bidi="ar"/>
        </w:rPr>
        <w:t>日</w:t>
      </w:r>
    </w:p>
    <w:p>
      <w:pPr>
        <w:tabs>
          <w:tab w:val="left" w:pos="420"/>
        </w:tabs>
        <w:spacing w:line="360" w:lineRule="exact"/>
        <w:rPr>
          <w:rFonts w:hint="eastAsia"/>
          <w:b/>
          <w:bCs/>
        </w:rPr>
      </w:pPr>
    </w:p>
    <w:p>
      <w:pPr>
        <w:tabs>
          <w:tab w:val="left" w:pos="420"/>
        </w:tabs>
        <w:spacing w:line="360" w:lineRule="exact"/>
        <w:rPr>
          <w:rFonts w:hint="eastAsia"/>
          <w:b w:val="0"/>
          <w:bCs w:val="0"/>
        </w:rPr>
      </w:pPr>
      <w:r>
        <w:rPr>
          <w:rFonts w:hint="eastAsia"/>
          <w:b w:val="0"/>
          <w:bCs w:val="0"/>
        </w:rPr>
        <w:t>注：</w:t>
      </w:r>
    </w:p>
    <w:p>
      <w:pPr>
        <w:numPr>
          <w:ilvl w:val="0"/>
          <w:numId w:val="105"/>
        </w:numPr>
        <w:spacing w:line="360" w:lineRule="exact"/>
        <w:ind w:left="0" w:leftChars="0" w:firstLine="400" w:firstLineChars="0"/>
        <w:rPr>
          <w:rFonts w:hint="eastAsia"/>
          <w:b w:val="0"/>
          <w:bCs w:val="0"/>
          <w:szCs w:val="22"/>
        </w:rPr>
      </w:pPr>
      <w:r>
        <w:rPr>
          <w:rFonts w:hint="eastAsia"/>
          <w:b w:val="0"/>
          <w:bCs w:val="0"/>
          <w:szCs w:val="22"/>
        </w:rPr>
        <w:t>如有偏离，必须按照实际情况详细填写，照抄</w:t>
      </w:r>
      <w:r>
        <w:rPr>
          <w:rFonts w:hint="eastAsia"/>
          <w:b w:val="0"/>
          <w:bCs w:val="0"/>
          <w:szCs w:val="22"/>
          <w:lang w:val="en-US" w:eastAsia="zh-CN"/>
        </w:rPr>
        <w:t>招标</w:t>
      </w:r>
      <w:r>
        <w:rPr>
          <w:rFonts w:hint="eastAsia"/>
          <w:b w:val="0"/>
          <w:bCs w:val="0"/>
          <w:szCs w:val="22"/>
        </w:rPr>
        <w:t>文件或不如实填写，</w:t>
      </w:r>
      <w:r>
        <w:rPr>
          <w:rFonts w:hint="eastAsia"/>
          <w:b w:val="0"/>
          <w:bCs w:val="0"/>
          <w:szCs w:val="22"/>
          <w:lang w:val="en-US" w:eastAsia="zh-CN"/>
        </w:rPr>
        <w:t>评标委员会</w:t>
      </w:r>
      <w:r>
        <w:rPr>
          <w:rFonts w:hint="eastAsia"/>
          <w:b w:val="0"/>
          <w:bCs w:val="0"/>
          <w:szCs w:val="22"/>
        </w:rPr>
        <w:t>有可能做出不利于</w:t>
      </w:r>
      <w:r>
        <w:rPr>
          <w:rFonts w:hint="eastAsia"/>
          <w:b w:val="0"/>
          <w:bCs w:val="0"/>
          <w:szCs w:val="22"/>
          <w:lang w:eastAsia="zh-CN"/>
        </w:rPr>
        <w:t>投标人</w:t>
      </w:r>
      <w:r>
        <w:rPr>
          <w:rFonts w:hint="eastAsia"/>
          <w:b w:val="0"/>
          <w:bCs w:val="0"/>
          <w:szCs w:val="22"/>
        </w:rPr>
        <w:t>的评定。如未提供或不填写，则视为完全响应</w:t>
      </w:r>
      <w:r>
        <w:rPr>
          <w:rFonts w:hint="eastAsia"/>
          <w:b w:val="0"/>
          <w:bCs w:val="0"/>
          <w:szCs w:val="22"/>
          <w:lang w:val="en-US" w:eastAsia="zh-CN"/>
        </w:rPr>
        <w:t>招标</w:t>
      </w:r>
      <w:r>
        <w:rPr>
          <w:rFonts w:hint="eastAsia"/>
          <w:b w:val="0"/>
          <w:bCs w:val="0"/>
          <w:szCs w:val="22"/>
        </w:rPr>
        <w:t>文件的商务及技术要求。</w:t>
      </w:r>
    </w:p>
    <w:p>
      <w:pPr>
        <w:numPr>
          <w:ilvl w:val="0"/>
          <w:numId w:val="105"/>
        </w:numPr>
        <w:spacing w:line="360" w:lineRule="exact"/>
        <w:ind w:left="0" w:leftChars="0" w:firstLine="400" w:firstLineChars="0"/>
        <w:rPr>
          <w:rFonts w:hint="eastAsia"/>
          <w:b w:val="0"/>
          <w:bCs w:val="0"/>
          <w:szCs w:val="22"/>
          <w:lang w:eastAsia="zh-CN"/>
        </w:rPr>
      </w:pPr>
      <w:r>
        <w:rPr>
          <w:rFonts w:hint="eastAsia"/>
          <w:b w:val="0"/>
          <w:bCs w:val="0"/>
          <w:szCs w:val="22"/>
        </w:rPr>
        <w:t>“偏离</w:t>
      </w:r>
      <w:r>
        <w:rPr>
          <w:rFonts w:hint="eastAsia"/>
          <w:b w:val="0"/>
          <w:bCs w:val="0"/>
          <w:szCs w:val="22"/>
          <w:lang w:val="en-US" w:eastAsia="zh-CN"/>
        </w:rPr>
        <w:t>说明</w:t>
      </w:r>
      <w:r>
        <w:rPr>
          <w:rFonts w:hint="eastAsia"/>
          <w:b w:val="0"/>
          <w:bCs w:val="0"/>
          <w:szCs w:val="22"/>
        </w:rPr>
        <w:t>”栏填写：“正偏离”或“负偏离”或“无偏离”</w:t>
      </w:r>
      <w:r>
        <w:rPr>
          <w:rFonts w:hint="eastAsia"/>
          <w:b w:val="0"/>
          <w:bCs w:val="0"/>
          <w:szCs w:val="22"/>
          <w:lang w:eastAsia="zh-CN"/>
        </w:rPr>
        <w:t>。</w:t>
      </w:r>
    </w:p>
    <w:p>
      <w:pPr>
        <w:pStyle w:val="20"/>
        <w:ind w:left="0" w:leftChars="0" w:firstLine="0" w:firstLineChars="0"/>
      </w:pPr>
    </w:p>
    <w:bookmarkEnd w:id="1245"/>
    <w:bookmarkEnd w:id="1246"/>
    <w:bookmarkEnd w:id="1247"/>
    <w:bookmarkEnd w:id="1248"/>
    <w:bookmarkEnd w:id="1249"/>
    <w:bookmarkEnd w:id="1250"/>
    <w:p>
      <w:pPr>
        <w:pStyle w:val="3"/>
        <w:pageBreakBefore/>
        <w:spacing w:before="78" w:beforeLines="25" w:after="0" w:line="360" w:lineRule="auto"/>
        <w:jc w:val="center"/>
        <w:outlineLvl w:val="0"/>
        <w:rPr>
          <w:rFonts w:hint="eastAsia" w:cs="宋体"/>
          <w:b/>
          <w:bCs/>
          <w:lang w:val="en-US" w:eastAsia="zh-CN"/>
        </w:rPr>
      </w:pPr>
      <w:bookmarkStart w:id="1251" w:name="_Toc28759"/>
      <w:bookmarkStart w:id="1252" w:name="_Toc18269"/>
      <w:bookmarkStart w:id="1253" w:name="_Toc5154"/>
      <w:bookmarkStart w:id="1254" w:name="_Toc10896"/>
      <w:bookmarkStart w:id="1255" w:name="_Toc13112"/>
      <w:bookmarkStart w:id="1256" w:name="_Toc31797"/>
      <w:bookmarkStart w:id="1257" w:name="_Toc13173"/>
      <w:bookmarkStart w:id="1258" w:name="_Toc7722"/>
      <w:bookmarkStart w:id="1259" w:name="_Toc14803"/>
      <w:bookmarkStart w:id="1260" w:name="_Toc18471"/>
      <w:bookmarkStart w:id="1261" w:name="_Toc5902"/>
      <w:bookmarkStart w:id="1262" w:name="_Toc23760"/>
      <w:bookmarkStart w:id="1263" w:name="_Toc12913"/>
      <w:bookmarkStart w:id="1264" w:name="_Toc16701"/>
      <w:bookmarkStart w:id="1265" w:name="_Toc22169"/>
      <w:bookmarkStart w:id="1266" w:name="_Toc21590"/>
      <w:bookmarkStart w:id="1267" w:name="_Toc61254386"/>
      <w:bookmarkStart w:id="1268" w:name="_Toc31777"/>
      <w:bookmarkStart w:id="1269" w:name="_Toc3377"/>
      <w:bookmarkStart w:id="1270" w:name="_Toc6913"/>
      <w:bookmarkStart w:id="1271" w:name="_Toc19338"/>
      <w:bookmarkStart w:id="1272" w:name="_Toc26958"/>
      <w:bookmarkStart w:id="1273" w:name="_Toc10070"/>
      <w:bookmarkStart w:id="1274" w:name="_Toc30091"/>
      <w:bookmarkStart w:id="1275" w:name="_Toc27793"/>
      <w:bookmarkStart w:id="1276" w:name="_Toc11258"/>
      <w:bookmarkStart w:id="1277" w:name="_Toc13808"/>
      <w:bookmarkStart w:id="1278" w:name="_Toc956"/>
      <w:bookmarkStart w:id="1279" w:name="_Toc24133"/>
      <w:bookmarkStart w:id="1280" w:name="_Toc23265"/>
      <w:bookmarkStart w:id="1281" w:name="_Toc30388"/>
      <w:bookmarkStart w:id="1282" w:name="_Toc23989"/>
      <w:bookmarkStart w:id="1283" w:name="_Toc32236"/>
      <w:bookmarkStart w:id="1284" w:name="_Toc13347"/>
      <w:bookmarkStart w:id="1285" w:name="_Toc31310"/>
      <w:bookmarkStart w:id="1286" w:name="_Toc22129"/>
      <w:bookmarkStart w:id="1287" w:name="_Toc13784"/>
      <w:bookmarkStart w:id="1288" w:name="_Toc18121"/>
      <w:r>
        <w:rPr>
          <w:rFonts w:hint="eastAsia" w:cs="宋体"/>
          <w:b/>
          <w:bCs/>
          <w:lang w:val="en-US" w:eastAsia="zh-CN"/>
        </w:rPr>
        <w:t>附件八</w:t>
      </w:r>
      <w:r>
        <w:rPr>
          <w:rFonts w:hint="eastAsia" w:cs="宋体"/>
          <w:b/>
          <w:bCs/>
          <w:lang w:val="en-US" w:eastAsia="zh-CN"/>
        </w:rPr>
        <w:tab/>
      </w:r>
      <w:r>
        <w:rPr>
          <w:rFonts w:hint="eastAsia" w:cs="宋体"/>
          <w:b/>
          <w:bCs/>
          <w:lang w:val="en-US" w:eastAsia="zh-CN"/>
        </w:rPr>
        <w:t>项目负责人资格情况表</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tbl>
      <w:tblPr>
        <w:tblStyle w:val="3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2406"/>
        <w:gridCol w:w="201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582" w:type="dxa"/>
            <w:tcBorders>
              <w:top w:val="single" w:color="auto" w:sz="12" w:space="0"/>
              <w:left w:val="single" w:color="auto" w:sz="12" w:space="0"/>
              <w:bottom w:val="single" w:color="auto" w:sz="4" w:space="0"/>
              <w:right w:val="single" w:color="auto" w:sz="4"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rPr>
                <w:rFonts w:hint="default" w:ascii="Times New Roman" w:hAnsi="Times New Roman" w:cs="Times New Roman"/>
                <w:b w:val="0"/>
                <w:bCs w:val="0"/>
                <w:szCs w:val="20"/>
                <w:lang w:val="zh-CN"/>
              </w:rPr>
            </w:pPr>
            <w:r>
              <w:rPr>
                <w:rFonts w:hint="eastAsia" w:ascii="Times New Roman" w:hAnsi="Times New Roman" w:eastAsia="宋体" w:cs="Times New Roman"/>
                <w:b w:val="0"/>
                <w:bCs w:val="0"/>
                <w:kern w:val="0"/>
                <w:sz w:val="21"/>
                <w:szCs w:val="22"/>
                <w:lang w:val="zh-CN" w:eastAsia="zh-CN" w:bidi="ar-SA"/>
              </w:rPr>
              <w:t>姓名</w:t>
            </w:r>
          </w:p>
        </w:tc>
        <w:tc>
          <w:tcPr>
            <w:tcW w:w="2406"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b w:val="0"/>
                <w:bCs w:val="0"/>
                <w:szCs w:val="20"/>
                <w:lang w:val="zh-CN"/>
              </w:rPr>
            </w:pPr>
          </w:p>
        </w:tc>
        <w:tc>
          <w:tcPr>
            <w:tcW w:w="2010" w:type="dxa"/>
            <w:tcBorders>
              <w:top w:val="single" w:color="auto" w:sz="12" w:space="0"/>
              <w:left w:val="single" w:color="auto" w:sz="4" w:space="0"/>
              <w:right w:val="single" w:color="auto" w:sz="12"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rPr>
                <w:rFonts w:hint="eastAsia" w:ascii="Times New Roman" w:hAnsi="Times New Roman" w:eastAsia="宋体" w:cs="Times New Roman"/>
                <w:b w:val="0"/>
                <w:bCs w:val="0"/>
                <w:kern w:val="0"/>
                <w:sz w:val="21"/>
                <w:szCs w:val="22"/>
                <w:lang w:val="zh-CN" w:eastAsia="zh-CN" w:bidi="ar-SA"/>
              </w:rPr>
            </w:pPr>
            <w:r>
              <w:rPr>
                <w:rFonts w:hint="eastAsia" w:ascii="Times New Roman" w:hAnsi="Times New Roman" w:eastAsia="宋体" w:cs="Times New Roman"/>
                <w:b w:val="0"/>
                <w:bCs w:val="0"/>
                <w:kern w:val="0"/>
                <w:sz w:val="21"/>
                <w:szCs w:val="22"/>
                <w:lang w:val="zh-CN" w:eastAsia="zh-CN" w:bidi="ar-SA"/>
              </w:rPr>
              <w:t>性别</w:t>
            </w:r>
          </w:p>
        </w:tc>
        <w:tc>
          <w:tcPr>
            <w:tcW w:w="2265" w:type="dxa"/>
            <w:tcBorders>
              <w:top w:val="single" w:color="auto" w:sz="12" w:space="0"/>
              <w:left w:val="single" w:color="auto" w:sz="4" w:space="0"/>
              <w:right w:val="single" w:color="auto" w:sz="12"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rPr>
                <w:rFonts w:hint="eastAsia" w:ascii="Times New Roman" w:hAnsi="Times New Roman" w:eastAsia="宋体" w:cs="Times New Roman"/>
                <w:b w:val="0"/>
                <w:bCs w:val="0"/>
                <w:kern w:val="0"/>
                <w:sz w:val="21"/>
                <w:szCs w:val="22"/>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582"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val="0"/>
                <w:bCs w:val="0"/>
                <w:kern w:val="0"/>
                <w:sz w:val="21"/>
                <w:szCs w:val="22"/>
                <w:lang w:val="zh-CN" w:eastAsia="zh-CN" w:bidi="ar-SA"/>
              </w:rPr>
            </w:pPr>
            <w:r>
              <w:rPr>
                <w:rFonts w:hint="eastAsia" w:ascii="Times New Roman" w:hAnsi="Times New Roman" w:eastAsia="宋体" w:cs="Times New Roman"/>
                <w:b w:val="0"/>
                <w:bCs w:val="0"/>
                <w:kern w:val="0"/>
                <w:sz w:val="21"/>
                <w:szCs w:val="22"/>
                <w:lang w:val="zh-CN" w:eastAsia="zh-CN" w:bidi="ar-SA"/>
              </w:rPr>
              <w:t>年龄</w:t>
            </w:r>
          </w:p>
        </w:tc>
        <w:tc>
          <w:tcPr>
            <w:tcW w:w="2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val="0"/>
                <w:bCs w:val="0"/>
                <w:kern w:val="0"/>
                <w:sz w:val="21"/>
                <w:szCs w:val="22"/>
                <w:lang w:val="zh-CN" w:eastAsia="zh-CN" w:bidi="ar-SA"/>
              </w:rPr>
            </w:pPr>
          </w:p>
        </w:tc>
        <w:tc>
          <w:tcPr>
            <w:tcW w:w="201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val="0"/>
                <w:bCs w:val="0"/>
                <w:kern w:val="0"/>
                <w:sz w:val="21"/>
                <w:szCs w:val="22"/>
                <w:lang w:val="zh-CN" w:eastAsia="zh-CN" w:bidi="ar-SA"/>
              </w:rPr>
            </w:pPr>
            <w:r>
              <w:rPr>
                <w:rFonts w:hint="eastAsia" w:ascii="Times New Roman" w:hAnsi="Times New Roman" w:eastAsia="宋体" w:cs="Times New Roman"/>
                <w:b w:val="0"/>
                <w:bCs w:val="0"/>
                <w:kern w:val="0"/>
                <w:sz w:val="21"/>
                <w:szCs w:val="22"/>
                <w:lang w:val="zh-CN" w:eastAsia="zh-CN" w:bidi="ar-SA"/>
              </w:rPr>
              <w:t>学历</w:t>
            </w:r>
          </w:p>
        </w:tc>
        <w:tc>
          <w:tcPr>
            <w:tcW w:w="2265"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b w:val="0"/>
                <w:bCs w:val="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1582"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val="0"/>
                <w:bCs w:val="0"/>
                <w:kern w:val="0"/>
                <w:sz w:val="21"/>
                <w:szCs w:val="22"/>
                <w:lang w:val="zh-CN" w:eastAsia="zh-CN" w:bidi="ar-SA"/>
              </w:rPr>
            </w:pPr>
            <w:r>
              <w:rPr>
                <w:rFonts w:hint="eastAsia" w:ascii="Times New Roman" w:hAnsi="Times New Roman" w:eastAsia="宋体" w:cs="Times New Roman"/>
                <w:b w:val="0"/>
                <w:bCs w:val="0"/>
                <w:kern w:val="0"/>
                <w:sz w:val="21"/>
                <w:szCs w:val="22"/>
                <w:lang w:val="zh-CN" w:eastAsia="zh-CN" w:bidi="ar-SA"/>
              </w:rPr>
              <w:t>毕业时间</w:t>
            </w:r>
          </w:p>
        </w:tc>
        <w:tc>
          <w:tcPr>
            <w:tcW w:w="2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val="0"/>
                <w:bCs w:val="0"/>
                <w:kern w:val="0"/>
                <w:sz w:val="21"/>
                <w:szCs w:val="22"/>
                <w:lang w:val="zh-CN" w:eastAsia="zh-CN" w:bidi="ar-SA"/>
              </w:rPr>
            </w:pPr>
          </w:p>
        </w:tc>
        <w:tc>
          <w:tcPr>
            <w:tcW w:w="201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val="0"/>
                <w:bCs w:val="0"/>
                <w:kern w:val="0"/>
                <w:sz w:val="21"/>
                <w:szCs w:val="22"/>
                <w:lang w:val="zh-CN" w:eastAsia="zh-CN" w:bidi="ar-SA"/>
              </w:rPr>
            </w:pPr>
            <w:r>
              <w:rPr>
                <w:rFonts w:hint="eastAsia" w:ascii="Times New Roman" w:hAnsi="Times New Roman" w:eastAsia="宋体" w:cs="Times New Roman"/>
                <w:b w:val="0"/>
                <w:bCs w:val="0"/>
                <w:kern w:val="0"/>
                <w:sz w:val="21"/>
                <w:szCs w:val="22"/>
                <w:lang w:val="zh-CN" w:eastAsia="zh-CN" w:bidi="ar-SA"/>
              </w:rPr>
              <w:t>联系电话</w:t>
            </w:r>
          </w:p>
        </w:tc>
        <w:tc>
          <w:tcPr>
            <w:tcW w:w="2265"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b w:val="0"/>
                <w:bCs w:val="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582"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b w:val="0"/>
                <w:bCs w:val="0"/>
                <w:szCs w:val="20"/>
                <w:lang w:val="zh-CN"/>
              </w:rPr>
            </w:pPr>
            <w:r>
              <w:rPr>
                <w:rFonts w:hint="eastAsia" w:ascii="Times New Roman" w:hAnsi="Times New Roman" w:cs="Times New Roman"/>
                <w:b w:val="0"/>
                <w:bCs w:val="0"/>
                <w:szCs w:val="20"/>
                <w:lang w:val="zh-CN"/>
              </w:rPr>
              <w:t>拟在本项目中担任主要工作</w:t>
            </w:r>
          </w:p>
        </w:tc>
        <w:tc>
          <w:tcPr>
            <w:tcW w:w="6681" w:type="dxa"/>
            <w:gridSpan w:val="3"/>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b w:val="0"/>
                <w:bCs w:val="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582"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Times New Roman"/>
                <w:b w:val="0"/>
                <w:bCs w:val="0"/>
                <w:szCs w:val="20"/>
                <w:lang w:val="zh-CN"/>
              </w:rPr>
            </w:pPr>
            <w:r>
              <w:rPr>
                <w:rFonts w:hint="eastAsia" w:ascii="Times New Roman" w:hAnsi="Times New Roman" w:cs="Times New Roman"/>
                <w:b w:val="0"/>
                <w:bCs w:val="0"/>
                <w:szCs w:val="22"/>
                <w:lang w:val="zh-CN"/>
              </w:rPr>
              <w:t>近年来主要工作业绩</w:t>
            </w:r>
          </w:p>
        </w:tc>
        <w:tc>
          <w:tcPr>
            <w:tcW w:w="6681" w:type="dxa"/>
            <w:gridSpan w:val="3"/>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b w:val="0"/>
                <w:bCs w:val="0"/>
                <w:szCs w:val="20"/>
                <w:lang w:val="zh-CN"/>
              </w:rPr>
            </w:pPr>
          </w:p>
        </w:tc>
      </w:tr>
    </w:tbl>
    <w:p>
      <w:pPr>
        <w:pStyle w:val="2"/>
        <w:jc w:val="both"/>
        <w:outlineLvl w:val="9"/>
        <w:rPr>
          <w:rFonts w:hint="eastAsia" w:ascii="Times New Roman"/>
          <w:b/>
          <w:bCs/>
          <w:kern w:val="0"/>
          <w:sz w:val="21"/>
          <w:szCs w:val="21"/>
          <w:lang w:val="en-US" w:eastAsia="zh-CN" w:bidi="ar-SA"/>
        </w:rPr>
      </w:pPr>
      <w:bookmarkStart w:id="1289" w:name="_Toc7923"/>
      <w:bookmarkStart w:id="1290" w:name="_Toc8621"/>
      <w:bookmarkStart w:id="1291" w:name="_Toc9169"/>
      <w:bookmarkStart w:id="1292" w:name="_Toc709"/>
      <w:bookmarkStart w:id="1293" w:name="_Toc7249"/>
      <w:bookmarkStart w:id="1294" w:name="_Toc23870"/>
    </w:p>
    <w:bookmarkEnd w:id="1289"/>
    <w:bookmarkEnd w:id="1290"/>
    <w:bookmarkEnd w:id="1291"/>
    <w:bookmarkEnd w:id="1292"/>
    <w:bookmarkEnd w:id="1293"/>
    <w:bookmarkEnd w:id="1294"/>
    <w:p>
      <w:pPr>
        <w:rPr>
          <w:rFonts w:hint="eastAsia"/>
        </w:rPr>
      </w:pPr>
    </w:p>
    <w:p>
      <w:pPr>
        <w:pStyle w:val="20"/>
        <w:ind w:left="0" w:right="-252" w:firstLine="420" w:firstLineChars="200"/>
        <w:jc w:val="right"/>
        <w:rPr>
          <w:rFonts w:hint="eastAsia" w:cs="宋体"/>
          <w:bCs/>
          <w:sz w:val="21"/>
          <w:szCs w:val="21"/>
          <w:u w:val="single"/>
          <w:lang w:bidi="ar"/>
        </w:rPr>
      </w:pPr>
      <w:r>
        <w:rPr>
          <w:rFonts w:hint="eastAsia" w:cs="宋体"/>
          <w:sz w:val="21"/>
          <w:szCs w:val="21"/>
          <w:lang w:val="en-US" w:eastAsia="zh-CN" w:bidi="ar"/>
        </w:rPr>
        <w:t>投标人</w:t>
      </w:r>
      <w:r>
        <w:rPr>
          <w:rFonts w:hint="eastAsia" w:cs="宋体"/>
          <w:sz w:val="21"/>
          <w:szCs w:val="21"/>
          <w:lang w:bidi="ar"/>
        </w:rPr>
        <w:t>全称：</w:t>
      </w:r>
      <w:r>
        <w:rPr>
          <w:rFonts w:hint="eastAsia" w:cs="宋体"/>
          <w:sz w:val="21"/>
          <w:szCs w:val="21"/>
          <w:u w:val="single"/>
          <w:lang w:bidi="ar"/>
        </w:rPr>
        <w:t xml:space="preserve">                  （盖公章）</w:t>
      </w:r>
      <w:r>
        <w:rPr>
          <w:rFonts w:hint="eastAsia" w:cs="宋体"/>
          <w:bCs/>
          <w:sz w:val="21"/>
          <w:szCs w:val="21"/>
          <w:u w:val="single"/>
          <w:lang w:bidi="ar"/>
        </w:rPr>
        <w:t xml:space="preserve">    </w:t>
      </w:r>
    </w:p>
    <w:p>
      <w:pPr>
        <w:pStyle w:val="20"/>
        <w:ind w:right="-252" w:firstLine="3150" w:firstLineChars="1500"/>
        <w:rPr>
          <w:rFonts w:hint="eastAsia" w:cs="宋体"/>
          <w:sz w:val="21"/>
          <w:szCs w:val="21"/>
          <w:lang w:bidi="ar"/>
        </w:rPr>
      </w:pPr>
    </w:p>
    <w:p>
      <w:pPr>
        <w:pStyle w:val="20"/>
        <w:ind w:right="-252" w:firstLine="3360" w:firstLineChars="1600"/>
        <w:rPr>
          <w:rFonts w:hint="eastAsia" w:cs="宋体"/>
          <w:sz w:val="21"/>
          <w:szCs w:val="21"/>
          <w:lang w:bidi="ar"/>
        </w:rPr>
      </w:pPr>
      <w:r>
        <w:rPr>
          <w:rFonts w:hint="eastAsia" w:cs="宋体"/>
          <w:sz w:val="21"/>
          <w:szCs w:val="21"/>
          <w:lang w:bidi="ar"/>
        </w:rPr>
        <w:t>日   期：</w:t>
      </w:r>
      <w:r>
        <w:rPr>
          <w:rFonts w:hint="eastAsia" w:cs="宋体"/>
          <w:sz w:val="21"/>
          <w:szCs w:val="21"/>
          <w:u w:val="single"/>
          <w:lang w:bidi="ar"/>
        </w:rPr>
        <w:t xml:space="preserve">        </w:t>
      </w:r>
      <w:r>
        <w:rPr>
          <w:rFonts w:hint="eastAsia" w:cs="宋体"/>
          <w:sz w:val="21"/>
          <w:szCs w:val="21"/>
          <w:lang w:bidi="ar"/>
        </w:rPr>
        <w:t xml:space="preserve">年 </w:t>
      </w:r>
      <w:r>
        <w:rPr>
          <w:rFonts w:hint="eastAsia" w:cs="宋体"/>
          <w:sz w:val="21"/>
          <w:szCs w:val="21"/>
          <w:u w:val="single"/>
          <w:lang w:bidi="ar"/>
        </w:rPr>
        <w:t xml:space="preserve">   </w:t>
      </w:r>
      <w:r>
        <w:rPr>
          <w:rFonts w:hint="eastAsia" w:cs="宋体"/>
          <w:sz w:val="21"/>
          <w:szCs w:val="21"/>
          <w:lang w:bidi="ar"/>
        </w:rPr>
        <w:t>月</w:t>
      </w:r>
      <w:r>
        <w:rPr>
          <w:rFonts w:hint="eastAsia" w:cs="宋体"/>
          <w:sz w:val="21"/>
          <w:szCs w:val="21"/>
          <w:u w:val="single"/>
          <w:lang w:bidi="ar"/>
        </w:rPr>
        <w:t xml:space="preserve">    </w:t>
      </w:r>
      <w:r>
        <w:rPr>
          <w:rFonts w:hint="eastAsia" w:cs="宋体"/>
          <w:sz w:val="21"/>
          <w:szCs w:val="21"/>
          <w:lang w:bidi="ar"/>
        </w:rPr>
        <w:t>日</w:t>
      </w:r>
    </w:p>
    <w:p>
      <w:pPr>
        <w:tabs>
          <w:tab w:val="left" w:pos="420"/>
        </w:tabs>
        <w:spacing w:line="360" w:lineRule="exact"/>
        <w:rPr>
          <w:rFonts w:hint="eastAsia" w:ascii="Times New Roman" w:hAnsi="Times New Roman" w:eastAsia="宋体" w:cs="宋体"/>
          <w:caps w:val="0"/>
          <w:szCs w:val="22"/>
          <w:lang w:val="en-US" w:eastAsia="zh-CN"/>
        </w:rPr>
      </w:pPr>
      <w:bookmarkStart w:id="1295" w:name="_Toc28493"/>
      <w:bookmarkStart w:id="1296" w:name="_Toc22457"/>
      <w:bookmarkStart w:id="1297" w:name="_Toc30451"/>
      <w:bookmarkStart w:id="1298" w:name="_Toc23010"/>
      <w:bookmarkStart w:id="1299" w:name="_Toc16607"/>
      <w:bookmarkStart w:id="1300" w:name="_Toc21013"/>
    </w:p>
    <w:p>
      <w:pPr>
        <w:tabs>
          <w:tab w:val="left" w:pos="420"/>
        </w:tabs>
        <w:spacing w:line="360" w:lineRule="exact"/>
        <w:rPr>
          <w:rFonts w:hint="eastAsia" w:ascii="Times New Roman" w:hAnsi="Times New Roman" w:eastAsia="宋体" w:cs="宋体"/>
          <w:caps w:val="0"/>
          <w:szCs w:val="22"/>
          <w:lang w:val="en-US" w:eastAsia="zh-CN"/>
        </w:rPr>
      </w:pPr>
    </w:p>
    <w:p>
      <w:pPr>
        <w:tabs>
          <w:tab w:val="left" w:pos="420"/>
        </w:tabs>
        <w:spacing w:line="360" w:lineRule="exact"/>
        <w:rPr>
          <w:rFonts w:hint="eastAsia" w:ascii="Times New Roman" w:hAnsi="Times New Roman" w:eastAsia="宋体" w:cs="宋体"/>
          <w:caps w:val="0"/>
          <w:szCs w:val="22"/>
          <w:lang w:val="en-US" w:eastAsia="zh-CN"/>
        </w:rPr>
      </w:pPr>
      <w:r>
        <w:rPr>
          <w:rFonts w:hint="eastAsia" w:ascii="Times New Roman" w:hAnsi="Times New Roman" w:eastAsia="宋体" w:cs="宋体"/>
          <w:caps w:val="0"/>
          <w:szCs w:val="22"/>
          <w:lang w:val="en-US" w:eastAsia="zh-CN"/>
        </w:rPr>
        <w:t>注：</w:t>
      </w:r>
      <w:bookmarkEnd w:id="1295"/>
      <w:bookmarkEnd w:id="1296"/>
      <w:bookmarkStart w:id="1301" w:name="_Toc9948"/>
    </w:p>
    <w:p>
      <w:pPr>
        <w:numPr>
          <w:ilvl w:val="0"/>
          <w:numId w:val="106"/>
        </w:numPr>
        <w:tabs>
          <w:tab w:val="left" w:pos="420"/>
        </w:tabs>
        <w:spacing w:line="360" w:lineRule="exact"/>
        <w:ind w:left="0" w:leftChars="0" w:firstLine="400" w:firstLineChars="0"/>
        <w:rPr>
          <w:rFonts w:hint="eastAsia" w:ascii="Times New Roman" w:hAnsi="Times New Roman" w:eastAsia="宋体" w:cs="宋体"/>
          <w:caps w:val="0"/>
          <w:szCs w:val="22"/>
          <w:lang w:val="en-US" w:eastAsia="zh-CN"/>
        </w:rPr>
      </w:pPr>
      <w:bookmarkStart w:id="1302" w:name="_Toc23819"/>
      <w:r>
        <w:rPr>
          <w:rFonts w:hint="eastAsia" w:ascii="Times New Roman" w:hAnsi="Times New Roman" w:eastAsia="宋体" w:cs="宋体"/>
          <w:caps w:val="0"/>
          <w:szCs w:val="22"/>
          <w:highlight w:val="none"/>
          <w:lang w:val="en-US" w:eastAsia="zh-CN"/>
        </w:rPr>
        <w:t>本表拟派的项目负责人应随表提交</w:t>
      </w:r>
      <w:bookmarkEnd w:id="1302"/>
      <w:r>
        <w:rPr>
          <w:rFonts w:hint="eastAsia"/>
          <w:szCs w:val="22"/>
          <w:highlight w:val="none"/>
          <w:u w:val="none"/>
          <w:lang w:val="en-US" w:eastAsia="zh-CN"/>
        </w:rPr>
        <w:t>身份证、学历证书、投标人</w:t>
      </w:r>
      <w:r>
        <w:rPr>
          <w:rFonts w:hint="eastAsia" w:ascii="宋体" w:hAnsi="宋体" w:eastAsia="宋体" w:cs="宋体"/>
          <w:b w:val="0"/>
          <w:bCs w:val="0"/>
          <w:i w:val="0"/>
          <w:iCs w:val="0"/>
          <w:color w:val="auto"/>
          <w:kern w:val="0"/>
          <w:sz w:val="21"/>
          <w:szCs w:val="21"/>
          <w:u w:val="none"/>
          <w:lang w:val="en-US" w:eastAsia="zh-CN" w:bidi="ar"/>
        </w:rPr>
        <w:t>为其缴纳的2023年5、6、7月份的社保缴纳证明（投标人注册时间未满三个月的，提供7月份的社保缴纳证明,投标人注册时间未满一个月的，提供社会保险参保证明）、</w:t>
      </w:r>
      <w:r>
        <w:rPr>
          <w:rFonts w:hint="eastAsia"/>
          <w:szCs w:val="22"/>
          <w:highlight w:val="none"/>
          <w:u w:val="none"/>
          <w:lang w:val="en-US" w:eastAsia="zh-CN"/>
        </w:rPr>
        <w:t>经验证明材料（提供劳动合同或业主方出具的证明材料或其他可以证明其管理经验的资料，须明确其就职岗位为项目负责人），以上资料均提供复印件并进行电子签章</w:t>
      </w:r>
      <w:r>
        <w:rPr>
          <w:rFonts w:hint="eastAsia" w:ascii="Times New Roman" w:hAnsi="Times New Roman" w:eastAsia="宋体" w:cs="Times New Roman"/>
          <w:b w:val="0"/>
          <w:bCs w:val="0"/>
          <w:spacing w:val="12"/>
          <w:szCs w:val="21"/>
          <w:highlight w:val="none"/>
          <w:u w:val="none"/>
          <w:lang w:val="en-US" w:eastAsia="zh-CN"/>
        </w:rPr>
        <w:t>。</w:t>
      </w:r>
      <w:bookmarkEnd w:id="1297"/>
      <w:bookmarkEnd w:id="1298"/>
      <w:bookmarkEnd w:id="1299"/>
      <w:bookmarkEnd w:id="1300"/>
      <w:bookmarkEnd w:id="1301"/>
    </w:p>
    <w:p>
      <w:pPr>
        <w:pStyle w:val="118"/>
      </w:pPr>
    </w:p>
    <w:p>
      <w:pPr>
        <w:pStyle w:val="3"/>
        <w:pageBreakBefore/>
        <w:spacing w:before="78" w:beforeLines="25" w:after="0" w:line="360" w:lineRule="auto"/>
        <w:jc w:val="center"/>
        <w:outlineLvl w:val="0"/>
        <w:rPr>
          <w:rFonts w:hint="eastAsia" w:cs="宋体"/>
          <w:b/>
          <w:bCs/>
          <w:lang w:val="en-US" w:eastAsia="zh-CN"/>
        </w:rPr>
      </w:pPr>
      <w:bookmarkStart w:id="1303" w:name="_Toc11196"/>
      <w:bookmarkStart w:id="1304" w:name="_Toc6511"/>
      <w:bookmarkStart w:id="1305" w:name="_Toc24868"/>
      <w:bookmarkStart w:id="1306" w:name="_Toc7535"/>
      <w:bookmarkStart w:id="1307" w:name="_Toc17319"/>
      <w:bookmarkStart w:id="1308" w:name="_Toc26439"/>
      <w:bookmarkStart w:id="1309" w:name="_Toc27069"/>
      <w:bookmarkStart w:id="1310" w:name="_Toc11553"/>
      <w:bookmarkStart w:id="1311" w:name="_Toc29148"/>
      <w:bookmarkStart w:id="1312" w:name="_Toc8855"/>
      <w:bookmarkStart w:id="1313" w:name="_Toc20046"/>
      <w:bookmarkStart w:id="1314" w:name="_Toc27509"/>
      <w:bookmarkStart w:id="1315" w:name="_Toc21683"/>
      <w:bookmarkStart w:id="1316" w:name="_Toc19089"/>
      <w:bookmarkStart w:id="1317" w:name="_Toc13554"/>
      <w:bookmarkStart w:id="1318" w:name="_Toc17128"/>
      <w:bookmarkStart w:id="1319" w:name="_Toc16046"/>
      <w:bookmarkStart w:id="1320" w:name="_Toc23824"/>
      <w:bookmarkStart w:id="1321" w:name="_Toc31518"/>
      <w:bookmarkStart w:id="1322" w:name="_Toc31422"/>
      <w:bookmarkStart w:id="1323" w:name="_Toc96721875"/>
      <w:r>
        <w:rPr>
          <w:rFonts w:hint="eastAsia" w:cs="宋体"/>
          <w:b/>
          <w:bCs/>
          <w:lang w:val="en-US" w:eastAsia="zh-CN"/>
        </w:rPr>
        <w:t>附件九</w:t>
      </w:r>
      <w:r>
        <w:rPr>
          <w:rFonts w:hint="eastAsia" w:cs="宋体"/>
          <w:b/>
          <w:bCs/>
          <w:lang w:val="en-US" w:eastAsia="zh-CN"/>
        </w:rPr>
        <w:tab/>
      </w:r>
      <w:r>
        <w:rPr>
          <w:rFonts w:hint="eastAsia" w:cs="宋体"/>
          <w:b/>
          <w:bCs/>
          <w:lang w:val="en-US" w:eastAsia="zh-CN"/>
        </w:rPr>
        <w:t xml:space="preserve">  业务主管资格情况表</w:t>
      </w:r>
      <w:bookmarkEnd w:id="1303"/>
    </w:p>
    <w:p>
      <w:pPr>
        <w:spacing w:line="400" w:lineRule="atLeast"/>
        <w:rPr>
          <w:rFonts w:hint="eastAsia" w:ascii="宋体" w:hAnsi="宋体"/>
          <w:szCs w:val="21"/>
        </w:rPr>
      </w:pPr>
    </w:p>
    <w:tbl>
      <w:tblPr>
        <w:tblStyle w:val="3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2037"/>
        <w:gridCol w:w="219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315" w:type="dxa"/>
            <w:gridSpan w:val="4"/>
            <w:tcBorders>
              <w:top w:val="single" w:color="auto" w:sz="12" w:space="0"/>
              <w:left w:val="single" w:color="auto" w:sz="12" w:space="0"/>
              <w:bottom w:val="single" w:color="auto" w:sz="4" w:space="0"/>
              <w:right w:val="single" w:color="auto" w:sz="12"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jc w:val="left"/>
              <w:rPr>
                <w:rFonts w:hint="eastAsia" w:ascii="Times New Roman" w:hAnsi="Times New Roman" w:eastAsia="宋体" w:cs="Times New Roman"/>
                <w:b/>
                <w:bCs/>
                <w:kern w:val="0"/>
                <w:sz w:val="21"/>
                <w:szCs w:val="22"/>
                <w:lang w:val="en-US" w:eastAsia="zh-CN" w:bidi="ar-SA"/>
              </w:rPr>
            </w:pPr>
            <w:r>
              <w:rPr>
                <w:rFonts w:hint="eastAsia" w:ascii="Times New Roman" w:hAnsi="Times New Roman" w:eastAsia="宋体" w:cs="Times New Roman"/>
                <w:b/>
                <w:bCs/>
                <w:kern w:val="0"/>
                <w:sz w:val="21"/>
                <w:szCs w:val="22"/>
                <w:lang w:val="en-US" w:eastAsia="zh-CN" w:bidi="ar-SA"/>
              </w:rPr>
              <w:t>保安主管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168" w:type="dxa"/>
            <w:tcBorders>
              <w:top w:val="single" w:color="auto" w:sz="12" w:space="0"/>
              <w:left w:val="single" w:color="auto" w:sz="12" w:space="0"/>
              <w:bottom w:val="single" w:color="auto" w:sz="4" w:space="0"/>
              <w:right w:val="single" w:color="auto" w:sz="4"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姓名</w:t>
            </w:r>
          </w:p>
        </w:tc>
        <w:tc>
          <w:tcPr>
            <w:tcW w:w="2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c>
          <w:tcPr>
            <w:tcW w:w="2190" w:type="dxa"/>
            <w:tcBorders>
              <w:top w:val="single" w:color="auto" w:sz="12" w:space="0"/>
              <w:left w:val="single" w:color="auto" w:sz="4" w:space="0"/>
              <w:right w:val="single" w:color="auto" w:sz="12"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性别</w:t>
            </w:r>
          </w:p>
        </w:tc>
        <w:tc>
          <w:tcPr>
            <w:tcW w:w="1920" w:type="dxa"/>
            <w:tcBorders>
              <w:top w:val="single" w:color="auto" w:sz="12" w:space="0"/>
              <w:left w:val="single" w:color="auto" w:sz="4" w:space="0"/>
              <w:right w:val="single" w:color="auto" w:sz="12"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rPr>
                <w:rFonts w:hint="eastAsia" w:ascii="Times New Roman" w:hAnsi="Times New Roman" w:eastAsia="宋体" w:cs="Times New Roman"/>
                <w:b/>
                <w:bCs/>
                <w:kern w:val="0"/>
                <w:sz w:val="21"/>
                <w:szCs w:val="22"/>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216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年龄</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p>
        </w:tc>
        <w:tc>
          <w:tcPr>
            <w:tcW w:w="219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学历</w:t>
            </w:r>
          </w:p>
        </w:tc>
        <w:tc>
          <w:tcPr>
            <w:tcW w:w="192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216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毕业时间</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p>
        </w:tc>
        <w:tc>
          <w:tcPr>
            <w:tcW w:w="219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联系电话</w:t>
            </w:r>
          </w:p>
        </w:tc>
        <w:tc>
          <w:tcPr>
            <w:tcW w:w="192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216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b/>
                <w:bCs/>
                <w:szCs w:val="20"/>
                <w:lang w:val="zh-CN"/>
              </w:rPr>
            </w:pPr>
            <w:r>
              <w:rPr>
                <w:rFonts w:hint="eastAsia" w:ascii="Times New Roman" w:hAnsi="Times New Roman" w:cs="Times New Roman"/>
                <w:b/>
                <w:bCs/>
                <w:szCs w:val="20"/>
                <w:lang w:val="zh-CN"/>
              </w:rPr>
              <w:t>拟在本项目中担任主要工作</w:t>
            </w:r>
          </w:p>
        </w:tc>
        <w:tc>
          <w:tcPr>
            <w:tcW w:w="6147" w:type="dxa"/>
            <w:gridSpan w:val="3"/>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216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Times New Roman"/>
                <w:b/>
                <w:bCs/>
                <w:szCs w:val="20"/>
                <w:lang w:val="zh-CN"/>
              </w:rPr>
            </w:pPr>
            <w:r>
              <w:rPr>
                <w:rFonts w:hint="eastAsia" w:ascii="Times New Roman" w:hAnsi="Times New Roman" w:cs="Times New Roman"/>
                <w:b/>
                <w:bCs/>
                <w:szCs w:val="22"/>
                <w:lang w:val="zh-CN"/>
              </w:rPr>
              <w:t>近年来主要工作业绩</w:t>
            </w:r>
          </w:p>
        </w:tc>
        <w:tc>
          <w:tcPr>
            <w:tcW w:w="6147" w:type="dxa"/>
            <w:gridSpan w:val="3"/>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315" w:type="dxa"/>
            <w:gridSpan w:val="4"/>
            <w:tcBorders>
              <w:top w:val="single" w:color="auto" w:sz="12" w:space="0"/>
              <w:left w:val="single" w:color="auto" w:sz="12" w:space="0"/>
              <w:bottom w:val="single" w:color="auto" w:sz="4" w:space="0"/>
              <w:right w:val="single" w:color="auto" w:sz="12"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jc w:val="left"/>
              <w:rPr>
                <w:rFonts w:hint="eastAsia" w:ascii="Times New Roman" w:hAnsi="Times New Roman" w:eastAsia="宋体" w:cs="Times New Roman"/>
                <w:b/>
                <w:bCs/>
                <w:kern w:val="0"/>
                <w:sz w:val="21"/>
                <w:szCs w:val="22"/>
                <w:lang w:val="en-US" w:eastAsia="zh-CN" w:bidi="ar-SA"/>
              </w:rPr>
            </w:pPr>
            <w:r>
              <w:rPr>
                <w:rFonts w:hint="eastAsia" w:ascii="Times New Roman" w:hAnsi="Times New Roman" w:eastAsia="宋体" w:cs="Times New Roman"/>
                <w:b/>
                <w:bCs/>
                <w:kern w:val="0"/>
                <w:sz w:val="21"/>
                <w:szCs w:val="22"/>
                <w:lang w:val="en-US" w:eastAsia="zh-CN" w:bidi="ar-SA"/>
              </w:rPr>
              <w:t>设备主管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168" w:type="dxa"/>
            <w:tcBorders>
              <w:top w:val="single" w:color="auto" w:sz="12" w:space="0"/>
              <w:left w:val="single" w:color="auto" w:sz="12" w:space="0"/>
              <w:bottom w:val="single" w:color="auto" w:sz="4" w:space="0"/>
              <w:right w:val="single" w:color="auto" w:sz="4"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姓名</w:t>
            </w:r>
          </w:p>
        </w:tc>
        <w:tc>
          <w:tcPr>
            <w:tcW w:w="2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c>
          <w:tcPr>
            <w:tcW w:w="2190" w:type="dxa"/>
            <w:tcBorders>
              <w:top w:val="single" w:color="auto" w:sz="12" w:space="0"/>
              <w:left w:val="single" w:color="auto" w:sz="4" w:space="0"/>
              <w:right w:val="single" w:color="auto" w:sz="12"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性别</w:t>
            </w:r>
          </w:p>
        </w:tc>
        <w:tc>
          <w:tcPr>
            <w:tcW w:w="1920" w:type="dxa"/>
            <w:tcBorders>
              <w:top w:val="single" w:color="auto" w:sz="12" w:space="0"/>
              <w:left w:val="single" w:color="auto" w:sz="4" w:space="0"/>
              <w:right w:val="single" w:color="auto" w:sz="12"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rPr>
                <w:rFonts w:hint="eastAsia" w:ascii="Times New Roman" w:hAnsi="Times New Roman" w:eastAsia="宋体" w:cs="Times New Roman"/>
                <w:b/>
                <w:bCs/>
                <w:kern w:val="0"/>
                <w:sz w:val="21"/>
                <w:szCs w:val="22"/>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216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年龄</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p>
        </w:tc>
        <w:tc>
          <w:tcPr>
            <w:tcW w:w="219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学历</w:t>
            </w:r>
          </w:p>
        </w:tc>
        <w:tc>
          <w:tcPr>
            <w:tcW w:w="192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216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毕业时间</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p>
        </w:tc>
        <w:tc>
          <w:tcPr>
            <w:tcW w:w="219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联系电话</w:t>
            </w:r>
          </w:p>
        </w:tc>
        <w:tc>
          <w:tcPr>
            <w:tcW w:w="192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216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b/>
                <w:bCs/>
                <w:szCs w:val="20"/>
                <w:lang w:val="zh-CN"/>
              </w:rPr>
            </w:pPr>
            <w:r>
              <w:rPr>
                <w:rFonts w:hint="eastAsia" w:ascii="Times New Roman" w:hAnsi="Times New Roman" w:cs="Times New Roman"/>
                <w:b/>
                <w:bCs/>
                <w:szCs w:val="20"/>
                <w:lang w:val="zh-CN"/>
              </w:rPr>
              <w:t>拟在本项目中担任主要工作</w:t>
            </w:r>
          </w:p>
        </w:tc>
        <w:tc>
          <w:tcPr>
            <w:tcW w:w="6147" w:type="dxa"/>
            <w:gridSpan w:val="3"/>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216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Times New Roman"/>
                <w:b/>
                <w:bCs/>
                <w:szCs w:val="20"/>
                <w:lang w:val="zh-CN"/>
              </w:rPr>
            </w:pPr>
            <w:r>
              <w:rPr>
                <w:rFonts w:hint="eastAsia" w:ascii="Times New Roman" w:hAnsi="Times New Roman" w:cs="Times New Roman"/>
                <w:b/>
                <w:bCs/>
                <w:szCs w:val="22"/>
                <w:lang w:val="zh-CN"/>
              </w:rPr>
              <w:t>近年来主要工作业绩</w:t>
            </w:r>
          </w:p>
        </w:tc>
        <w:tc>
          <w:tcPr>
            <w:tcW w:w="6147" w:type="dxa"/>
            <w:gridSpan w:val="3"/>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315" w:type="dxa"/>
            <w:gridSpan w:val="4"/>
            <w:tcBorders>
              <w:top w:val="single" w:color="auto" w:sz="12" w:space="0"/>
              <w:left w:val="single" w:color="auto" w:sz="12" w:space="0"/>
              <w:bottom w:val="single" w:color="auto" w:sz="4" w:space="0"/>
              <w:right w:val="single" w:color="auto" w:sz="12"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jc w:val="left"/>
              <w:rPr>
                <w:rFonts w:hint="eastAsia" w:ascii="Times New Roman" w:hAnsi="Times New Roman" w:eastAsia="宋体" w:cs="Times New Roman"/>
                <w:b/>
                <w:bCs/>
                <w:kern w:val="0"/>
                <w:sz w:val="21"/>
                <w:szCs w:val="22"/>
                <w:lang w:val="en-US" w:eastAsia="zh-CN" w:bidi="ar-SA"/>
              </w:rPr>
            </w:pPr>
            <w:r>
              <w:rPr>
                <w:rFonts w:hint="eastAsia" w:ascii="Times New Roman" w:hAnsi="Times New Roman" w:eastAsia="宋体" w:cs="Times New Roman"/>
                <w:b/>
                <w:bCs/>
                <w:kern w:val="0"/>
                <w:sz w:val="21"/>
                <w:szCs w:val="22"/>
                <w:lang w:val="en-US" w:eastAsia="zh-CN" w:bidi="ar-SA"/>
              </w:rPr>
              <w:t>保洁主管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168" w:type="dxa"/>
            <w:tcBorders>
              <w:top w:val="single" w:color="auto" w:sz="12" w:space="0"/>
              <w:left w:val="single" w:color="auto" w:sz="12" w:space="0"/>
              <w:bottom w:val="single" w:color="auto" w:sz="4" w:space="0"/>
              <w:right w:val="single" w:color="auto" w:sz="4"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姓名</w:t>
            </w:r>
          </w:p>
        </w:tc>
        <w:tc>
          <w:tcPr>
            <w:tcW w:w="2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c>
          <w:tcPr>
            <w:tcW w:w="2190" w:type="dxa"/>
            <w:tcBorders>
              <w:top w:val="single" w:color="auto" w:sz="12" w:space="0"/>
              <w:left w:val="single" w:color="auto" w:sz="4" w:space="0"/>
              <w:right w:val="single" w:color="auto" w:sz="12"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性别</w:t>
            </w:r>
          </w:p>
        </w:tc>
        <w:tc>
          <w:tcPr>
            <w:tcW w:w="1920" w:type="dxa"/>
            <w:tcBorders>
              <w:top w:val="single" w:color="auto" w:sz="12" w:space="0"/>
              <w:left w:val="single" w:color="auto" w:sz="4" w:space="0"/>
              <w:right w:val="single" w:color="auto" w:sz="12"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rPr>
                <w:rFonts w:hint="eastAsia" w:ascii="Times New Roman" w:hAnsi="Times New Roman" w:eastAsia="宋体" w:cs="Times New Roman"/>
                <w:b/>
                <w:bCs/>
                <w:kern w:val="0"/>
                <w:sz w:val="21"/>
                <w:szCs w:val="22"/>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216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年龄</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p>
        </w:tc>
        <w:tc>
          <w:tcPr>
            <w:tcW w:w="219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学历</w:t>
            </w:r>
          </w:p>
        </w:tc>
        <w:tc>
          <w:tcPr>
            <w:tcW w:w="192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216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毕业时间</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p>
        </w:tc>
        <w:tc>
          <w:tcPr>
            <w:tcW w:w="219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联系电话</w:t>
            </w:r>
          </w:p>
        </w:tc>
        <w:tc>
          <w:tcPr>
            <w:tcW w:w="192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216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b/>
                <w:bCs/>
                <w:szCs w:val="20"/>
                <w:lang w:val="zh-CN"/>
              </w:rPr>
            </w:pPr>
            <w:r>
              <w:rPr>
                <w:rFonts w:hint="eastAsia" w:ascii="Times New Roman" w:hAnsi="Times New Roman" w:cs="Times New Roman"/>
                <w:b/>
                <w:bCs/>
                <w:szCs w:val="20"/>
                <w:lang w:val="zh-CN"/>
              </w:rPr>
              <w:t>拟在本项目中担任主要工作</w:t>
            </w:r>
          </w:p>
        </w:tc>
        <w:tc>
          <w:tcPr>
            <w:tcW w:w="6147" w:type="dxa"/>
            <w:gridSpan w:val="3"/>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216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Times New Roman"/>
                <w:b/>
                <w:bCs/>
                <w:szCs w:val="20"/>
                <w:lang w:val="zh-CN"/>
              </w:rPr>
            </w:pPr>
            <w:r>
              <w:rPr>
                <w:rFonts w:hint="eastAsia" w:ascii="Times New Roman" w:hAnsi="Times New Roman" w:cs="Times New Roman"/>
                <w:b/>
                <w:bCs/>
                <w:szCs w:val="22"/>
                <w:lang w:val="zh-CN"/>
              </w:rPr>
              <w:t>近年来主要工作业绩</w:t>
            </w:r>
          </w:p>
        </w:tc>
        <w:tc>
          <w:tcPr>
            <w:tcW w:w="6147" w:type="dxa"/>
            <w:gridSpan w:val="3"/>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315" w:type="dxa"/>
            <w:gridSpan w:val="4"/>
            <w:tcBorders>
              <w:top w:val="single" w:color="auto" w:sz="12" w:space="0"/>
              <w:left w:val="single" w:color="auto" w:sz="12" w:space="0"/>
              <w:bottom w:val="single" w:color="auto" w:sz="4" w:space="0"/>
              <w:right w:val="single" w:color="auto" w:sz="12"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jc w:val="left"/>
              <w:rPr>
                <w:rFonts w:hint="eastAsia" w:ascii="Times New Roman" w:hAnsi="Times New Roman" w:eastAsia="宋体" w:cs="Times New Roman"/>
                <w:b/>
                <w:bCs/>
                <w:kern w:val="0"/>
                <w:sz w:val="21"/>
                <w:szCs w:val="22"/>
                <w:lang w:val="en-US" w:eastAsia="zh-CN" w:bidi="ar-SA"/>
              </w:rPr>
            </w:pPr>
            <w:r>
              <w:rPr>
                <w:rFonts w:hint="eastAsia" w:ascii="Times New Roman" w:hAnsi="Times New Roman" w:eastAsia="宋体" w:cs="Times New Roman"/>
                <w:b/>
                <w:bCs/>
                <w:kern w:val="0"/>
                <w:sz w:val="21"/>
                <w:szCs w:val="22"/>
                <w:lang w:val="en-US" w:eastAsia="zh-CN" w:bidi="ar-SA"/>
              </w:rPr>
              <w:t>会务主管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168" w:type="dxa"/>
            <w:tcBorders>
              <w:top w:val="single" w:color="auto" w:sz="12" w:space="0"/>
              <w:left w:val="single" w:color="auto" w:sz="12" w:space="0"/>
              <w:bottom w:val="single" w:color="auto" w:sz="4" w:space="0"/>
              <w:right w:val="single" w:color="auto" w:sz="4"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姓名</w:t>
            </w:r>
          </w:p>
        </w:tc>
        <w:tc>
          <w:tcPr>
            <w:tcW w:w="2037"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c>
          <w:tcPr>
            <w:tcW w:w="2190" w:type="dxa"/>
            <w:tcBorders>
              <w:top w:val="single" w:color="auto" w:sz="12" w:space="0"/>
              <w:left w:val="single" w:color="auto" w:sz="4" w:space="0"/>
              <w:right w:val="single" w:color="auto" w:sz="12"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性别</w:t>
            </w:r>
          </w:p>
        </w:tc>
        <w:tc>
          <w:tcPr>
            <w:tcW w:w="1920" w:type="dxa"/>
            <w:tcBorders>
              <w:top w:val="single" w:color="auto" w:sz="12" w:space="0"/>
              <w:left w:val="single" w:color="auto" w:sz="4" w:space="0"/>
              <w:right w:val="single" w:color="auto" w:sz="12" w:space="0"/>
            </w:tcBorders>
            <w:noWrap w:val="0"/>
            <w:vAlign w:val="center"/>
          </w:tcPr>
          <w:p>
            <w:pPr>
              <w:pStyle w:val="147"/>
              <w:keepNext w:val="0"/>
              <w:keepLines w:val="0"/>
              <w:suppressLineNumbers w:val="0"/>
              <w:autoSpaceDE w:val="0"/>
              <w:autoSpaceDN w:val="0"/>
              <w:adjustRightInd w:val="0"/>
              <w:spacing w:before="0" w:beforeAutospacing="0" w:after="0" w:afterAutospacing="0" w:line="400" w:lineRule="atLeast"/>
              <w:ind w:left="0" w:right="0"/>
              <w:rPr>
                <w:rFonts w:hint="eastAsia" w:ascii="Times New Roman" w:hAnsi="Times New Roman" w:eastAsia="宋体" w:cs="Times New Roman"/>
                <w:b/>
                <w:bCs/>
                <w:kern w:val="0"/>
                <w:sz w:val="21"/>
                <w:szCs w:val="22"/>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216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年龄</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p>
        </w:tc>
        <w:tc>
          <w:tcPr>
            <w:tcW w:w="219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学历</w:t>
            </w:r>
          </w:p>
        </w:tc>
        <w:tc>
          <w:tcPr>
            <w:tcW w:w="192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216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毕业时间</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p>
        </w:tc>
        <w:tc>
          <w:tcPr>
            <w:tcW w:w="219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eastAsia="宋体" w:cs="Times New Roman"/>
                <w:b/>
                <w:bCs/>
                <w:kern w:val="0"/>
                <w:sz w:val="21"/>
                <w:szCs w:val="22"/>
                <w:lang w:val="zh-CN" w:eastAsia="zh-CN" w:bidi="ar-SA"/>
              </w:rPr>
            </w:pPr>
            <w:r>
              <w:rPr>
                <w:rFonts w:hint="eastAsia" w:ascii="Times New Roman" w:hAnsi="Times New Roman" w:eastAsia="宋体" w:cs="Times New Roman"/>
                <w:b/>
                <w:bCs/>
                <w:kern w:val="0"/>
                <w:sz w:val="21"/>
                <w:szCs w:val="22"/>
                <w:lang w:val="zh-CN" w:eastAsia="zh-CN" w:bidi="ar-SA"/>
              </w:rPr>
              <w:t>联系电话</w:t>
            </w:r>
          </w:p>
        </w:tc>
        <w:tc>
          <w:tcPr>
            <w:tcW w:w="1920" w:type="dxa"/>
            <w:tcBorders>
              <w:left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216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b/>
                <w:bCs/>
                <w:szCs w:val="20"/>
                <w:lang w:val="zh-CN"/>
              </w:rPr>
            </w:pPr>
            <w:r>
              <w:rPr>
                <w:rFonts w:hint="eastAsia" w:ascii="Times New Roman" w:hAnsi="Times New Roman" w:cs="Times New Roman"/>
                <w:b/>
                <w:bCs/>
                <w:szCs w:val="20"/>
                <w:lang w:val="zh-CN"/>
              </w:rPr>
              <w:t>拟在本项目中担任主要工作</w:t>
            </w:r>
          </w:p>
        </w:tc>
        <w:tc>
          <w:tcPr>
            <w:tcW w:w="6147" w:type="dxa"/>
            <w:gridSpan w:val="3"/>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216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eastAsia" w:ascii="Times New Roman" w:hAnsi="Times New Roman" w:cs="Times New Roman"/>
                <w:b/>
                <w:bCs/>
                <w:szCs w:val="20"/>
                <w:lang w:val="zh-CN"/>
              </w:rPr>
            </w:pPr>
            <w:r>
              <w:rPr>
                <w:rFonts w:hint="eastAsia" w:ascii="Times New Roman" w:hAnsi="Times New Roman" w:cs="Times New Roman"/>
                <w:b/>
                <w:bCs/>
                <w:szCs w:val="22"/>
                <w:lang w:val="zh-CN"/>
              </w:rPr>
              <w:t>近年来主要工作业绩</w:t>
            </w:r>
          </w:p>
        </w:tc>
        <w:tc>
          <w:tcPr>
            <w:tcW w:w="6147" w:type="dxa"/>
            <w:gridSpan w:val="3"/>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autoSpaceDE w:val="0"/>
              <w:autoSpaceDN w:val="0"/>
              <w:adjustRightInd w:val="0"/>
              <w:spacing w:before="0" w:beforeAutospacing="0" w:after="0" w:afterAutospacing="0" w:line="400" w:lineRule="atLeast"/>
              <w:ind w:left="0" w:right="0"/>
              <w:jc w:val="center"/>
              <w:rPr>
                <w:rFonts w:hint="default" w:ascii="Times New Roman" w:hAnsi="Times New Roman" w:cs="Times New Roman"/>
                <w:szCs w:val="20"/>
                <w:lang w:val="zh-CN"/>
              </w:rPr>
            </w:pPr>
          </w:p>
        </w:tc>
      </w:tr>
    </w:tbl>
    <w:p>
      <w:pPr>
        <w:pStyle w:val="2"/>
        <w:jc w:val="both"/>
        <w:outlineLvl w:val="9"/>
        <w:rPr>
          <w:rFonts w:hint="eastAsia" w:ascii="Times New Roman"/>
          <w:b/>
          <w:bCs/>
          <w:kern w:val="0"/>
          <w:sz w:val="21"/>
          <w:szCs w:val="21"/>
          <w:lang w:val="en-US" w:eastAsia="zh-CN" w:bidi="ar-SA"/>
        </w:rPr>
      </w:pPr>
    </w:p>
    <w:p>
      <w:pPr>
        <w:rPr>
          <w:rFonts w:hint="eastAsia"/>
        </w:rPr>
      </w:pPr>
    </w:p>
    <w:p>
      <w:pPr>
        <w:pStyle w:val="20"/>
        <w:ind w:left="0" w:right="-252" w:firstLine="420" w:firstLineChars="200"/>
        <w:jc w:val="right"/>
        <w:rPr>
          <w:rFonts w:hint="eastAsia" w:cs="宋体"/>
          <w:bCs/>
          <w:sz w:val="21"/>
          <w:szCs w:val="21"/>
          <w:u w:val="single"/>
          <w:lang w:bidi="ar"/>
        </w:rPr>
      </w:pPr>
      <w:r>
        <w:rPr>
          <w:rFonts w:hint="eastAsia" w:cs="宋体"/>
          <w:sz w:val="21"/>
          <w:szCs w:val="21"/>
          <w:lang w:val="en-US" w:eastAsia="zh-CN" w:bidi="ar"/>
        </w:rPr>
        <w:t>投标人</w:t>
      </w:r>
      <w:r>
        <w:rPr>
          <w:rFonts w:hint="eastAsia" w:cs="宋体"/>
          <w:sz w:val="21"/>
          <w:szCs w:val="21"/>
          <w:lang w:bidi="ar"/>
        </w:rPr>
        <w:t>全称：</w:t>
      </w:r>
      <w:r>
        <w:rPr>
          <w:rFonts w:hint="eastAsia" w:cs="宋体"/>
          <w:sz w:val="21"/>
          <w:szCs w:val="21"/>
          <w:u w:val="single"/>
          <w:lang w:bidi="ar"/>
        </w:rPr>
        <w:t xml:space="preserve">                    （盖公章）</w:t>
      </w:r>
      <w:r>
        <w:rPr>
          <w:rFonts w:hint="eastAsia" w:cs="宋体"/>
          <w:bCs/>
          <w:sz w:val="21"/>
          <w:szCs w:val="21"/>
          <w:u w:val="single"/>
          <w:lang w:bidi="ar"/>
        </w:rPr>
        <w:t xml:space="preserve">    </w:t>
      </w:r>
    </w:p>
    <w:p>
      <w:pPr>
        <w:pStyle w:val="20"/>
        <w:ind w:right="-252" w:firstLine="3150" w:firstLineChars="1500"/>
        <w:rPr>
          <w:rFonts w:hint="eastAsia" w:cs="宋体"/>
          <w:sz w:val="21"/>
          <w:szCs w:val="21"/>
          <w:lang w:bidi="ar"/>
        </w:rPr>
      </w:pPr>
    </w:p>
    <w:p>
      <w:pPr>
        <w:pStyle w:val="20"/>
        <w:ind w:right="-252" w:firstLine="3150" w:firstLineChars="1500"/>
        <w:rPr>
          <w:rFonts w:hint="eastAsia" w:cs="宋体"/>
          <w:sz w:val="21"/>
          <w:szCs w:val="21"/>
          <w:lang w:bidi="ar"/>
        </w:rPr>
      </w:pPr>
      <w:r>
        <w:rPr>
          <w:rFonts w:hint="eastAsia" w:cs="宋体"/>
          <w:sz w:val="21"/>
          <w:szCs w:val="21"/>
          <w:lang w:bidi="ar"/>
        </w:rPr>
        <w:t>日   期：</w:t>
      </w:r>
      <w:r>
        <w:rPr>
          <w:rFonts w:hint="eastAsia" w:cs="宋体"/>
          <w:sz w:val="21"/>
          <w:szCs w:val="21"/>
          <w:u w:val="single"/>
          <w:lang w:bidi="ar"/>
        </w:rPr>
        <w:t xml:space="preserve">        </w:t>
      </w:r>
      <w:r>
        <w:rPr>
          <w:rFonts w:hint="eastAsia" w:cs="宋体"/>
          <w:sz w:val="21"/>
          <w:szCs w:val="21"/>
          <w:lang w:bidi="ar"/>
        </w:rPr>
        <w:t xml:space="preserve">年 </w:t>
      </w:r>
      <w:r>
        <w:rPr>
          <w:rFonts w:hint="eastAsia" w:cs="宋体"/>
          <w:sz w:val="21"/>
          <w:szCs w:val="21"/>
          <w:u w:val="single"/>
          <w:lang w:bidi="ar"/>
        </w:rPr>
        <w:t xml:space="preserve">   </w:t>
      </w:r>
      <w:r>
        <w:rPr>
          <w:rFonts w:hint="eastAsia" w:cs="宋体"/>
          <w:sz w:val="21"/>
          <w:szCs w:val="21"/>
          <w:lang w:bidi="ar"/>
        </w:rPr>
        <w:t>月</w:t>
      </w:r>
      <w:r>
        <w:rPr>
          <w:rFonts w:hint="eastAsia" w:cs="宋体"/>
          <w:sz w:val="21"/>
          <w:szCs w:val="21"/>
          <w:u w:val="single"/>
          <w:lang w:bidi="ar"/>
        </w:rPr>
        <w:t xml:space="preserve">    </w:t>
      </w:r>
      <w:r>
        <w:rPr>
          <w:rFonts w:hint="eastAsia" w:cs="宋体"/>
          <w:sz w:val="21"/>
          <w:szCs w:val="21"/>
          <w:lang w:bidi="ar"/>
        </w:rPr>
        <w:t>日</w:t>
      </w:r>
    </w:p>
    <w:p>
      <w:pPr>
        <w:tabs>
          <w:tab w:val="left" w:pos="420"/>
        </w:tabs>
        <w:spacing w:line="360" w:lineRule="exact"/>
        <w:rPr>
          <w:rFonts w:hint="eastAsia" w:ascii="Times New Roman" w:hAnsi="Times New Roman" w:eastAsia="宋体" w:cs="宋体"/>
          <w:caps w:val="0"/>
          <w:szCs w:val="22"/>
          <w:lang w:val="en-US" w:eastAsia="zh-CN"/>
        </w:rPr>
      </w:pPr>
    </w:p>
    <w:p>
      <w:pPr>
        <w:tabs>
          <w:tab w:val="left" w:pos="420"/>
        </w:tabs>
        <w:spacing w:line="360" w:lineRule="exact"/>
        <w:rPr>
          <w:rFonts w:hint="eastAsia" w:ascii="Times New Roman" w:hAnsi="Times New Roman" w:eastAsia="宋体" w:cs="宋体"/>
          <w:caps w:val="0"/>
          <w:szCs w:val="22"/>
          <w:lang w:val="en-US" w:eastAsia="zh-CN"/>
        </w:rPr>
      </w:pPr>
      <w:r>
        <w:rPr>
          <w:rFonts w:hint="eastAsia" w:ascii="Times New Roman" w:hAnsi="Times New Roman" w:eastAsia="宋体" w:cs="宋体"/>
          <w:caps w:val="0"/>
          <w:szCs w:val="22"/>
          <w:lang w:val="en-US" w:eastAsia="zh-CN"/>
        </w:rPr>
        <w:t>注：</w:t>
      </w:r>
    </w:p>
    <w:p>
      <w:pPr>
        <w:numPr>
          <w:ilvl w:val="0"/>
          <w:numId w:val="107"/>
        </w:numPr>
        <w:tabs>
          <w:tab w:val="left" w:pos="420"/>
        </w:tabs>
        <w:spacing w:line="360" w:lineRule="exact"/>
        <w:ind w:left="0" w:leftChars="0" w:firstLine="400" w:firstLineChars="0"/>
        <w:rPr>
          <w:rFonts w:hint="eastAsia" w:ascii="Times New Roman" w:hAnsi="Times New Roman" w:eastAsia="宋体" w:cs="宋体"/>
          <w:caps w:val="0"/>
          <w:szCs w:val="22"/>
          <w:highlight w:val="none"/>
          <w:lang w:val="en-US" w:eastAsia="zh-CN"/>
        </w:rPr>
      </w:pPr>
      <w:r>
        <w:rPr>
          <w:rFonts w:hint="eastAsia" w:ascii="Times New Roman" w:hAnsi="Times New Roman" w:eastAsia="宋体" w:cs="宋体"/>
          <w:caps w:val="0"/>
          <w:szCs w:val="22"/>
          <w:highlight w:val="none"/>
          <w:lang w:val="en-US" w:eastAsia="zh-CN"/>
        </w:rPr>
        <w:t>本表拟派的所有业务主管均应随表提交身份证、学历证明及经验证明材料</w:t>
      </w:r>
      <w:r>
        <w:rPr>
          <w:rFonts w:hint="eastAsia" w:ascii="宋体" w:hAnsi="宋体" w:cs="宋体"/>
          <w:b w:val="0"/>
          <w:bCs w:val="0"/>
          <w:color w:val="auto"/>
          <w:szCs w:val="21"/>
          <w:highlight w:val="none"/>
          <w:lang w:val="en-US" w:eastAsia="zh-CN"/>
        </w:rPr>
        <w:t>（</w:t>
      </w:r>
      <w:r>
        <w:rPr>
          <w:rFonts w:hint="eastAsia" w:ascii="Arial" w:hAnsi="Arial" w:eastAsia="宋体" w:cs="Arial"/>
          <w:b w:val="0"/>
          <w:bCs w:val="0"/>
          <w:color w:val="auto"/>
          <w:sz w:val="21"/>
          <w:szCs w:val="21"/>
          <w:lang w:val="en-US" w:eastAsia="zh-CN" w:bidi="ar-SA"/>
        </w:rPr>
        <w:t>须提供劳动合同或业主方出具的证明材料或其他可以证明其管理经验的资料，须明确其就职岗位为相应业务主管或类似岗位</w:t>
      </w:r>
      <w:r>
        <w:rPr>
          <w:rFonts w:hint="eastAsia" w:ascii="宋体" w:hAnsi="宋体" w:cs="宋体"/>
          <w:b w:val="0"/>
          <w:bCs w:val="0"/>
          <w:color w:val="auto"/>
          <w:szCs w:val="21"/>
          <w:highlight w:val="none"/>
          <w:lang w:val="en-US" w:eastAsia="zh-CN"/>
        </w:rPr>
        <w:t>），</w:t>
      </w:r>
      <w:r>
        <w:rPr>
          <w:rFonts w:hint="eastAsia" w:ascii="Arial" w:hAnsi="Arial" w:eastAsia="宋体" w:cs="Arial"/>
          <w:b w:val="0"/>
          <w:bCs w:val="0"/>
          <w:color w:val="auto"/>
          <w:sz w:val="21"/>
          <w:szCs w:val="21"/>
          <w:lang w:val="en-US" w:eastAsia="zh-CN" w:bidi="ar-SA"/>
        </w:rPr>
        <w:t>以上资料均提供复印件并进行电子签章。</w:t>
      </w:r>
    </w:p>
    <w:p>
      <w:pPr>
        <w:numPr>
          <w:ilvl w:val="0"/>
          <w:numId w:val="107"/>
        </w:numPr>
        <w:tabs>
          <w:tab w:val="left" w:pos="420"/>
        </w:tabs>
        <w:spacing w:line="360" w:lineRule="exact"/>
        <w:ind w:left="0" w:leftChars="0" w:firstLine="400" w:firstLineChars="0"/>
        <w:rPr>
          <w:rFonts w:hint="eastAsia" w:ascii="Times New Roman" w:hAnsi="Times New Roman" w:eastAsia="宋体" w:cs="宋体"/>
          <w:caps w:val="0"/>
          <w:szCs w:val="22"/>
          <w:highlight w:val="none"/>
          <w:lang w:val="en-US" w:eastAsia="zh-CN"/>
        </w:rPr>
      </w:pPr>
      <w:r>
        <w:rPr>
          <w:rFonts w:hint="eastAsia" w:ascii="Times New Roman" w:hAnsi="Times New Roman" w:eastAsia="宋体" w:cs="宋体"/>
          <w:caps w:val="0"/>
          <w:szCs w:val="22"/>
          <w:highlight w:val="none"/>
          <w:lang w:val="en-US" w:eastAsia="zh-CN"/>
        </w:rPr>
        <w:t>保安主管须提交保安上岗证及由公安部门出具的无犯罪记录；设备主管须提交</w:t>
      </w:r>
      <w:r>
        <w:rPr>
          <w:rFonts w:hint="eastAsia" w:ascii="宋体" w:hAnsi="宋体" w:eastAsia="宋体" w:cs="Times New Roman"/>
          <w:b w:val="0"/>
          <w:bCs/>
          <w:szCs w:val="21"/>
          <w:highlight w:val="none"/>
          <w:lang w:val="en-US" w:eastAsia="zh-CN"/>
        </w:rPr>
        <w:t>高压电工作业证；会务主管须提交健康证，以上资料均提供</w:t>
      </w:r>
      <w:r>
        <w:rPr>
          <w:rFonts w:hint="eastAsia" w:ascii="Times New Roman" w:hAnsi="Times New Roman" w:eastAsia="宋体" w:cs="宋体"/>
          <w:caps w:val="0"/>
          <w:szCs w:val="22"/>
          <w:highlight w:val="none"/>
          <w:lang w:val="en-US" w:eastAsia="zh-CN"/>
        </w:rPr>
        <w:t>复印件并进行电子签章。</w:t>
      </w:r>
    </w:p>
    <w:p>
      <w:pPr>
        <w:numPr>
          <w:ilvl w:val="0"/>
          <w:numId w:val="107"/>
        </w:numPr>
        <w:tabs>
          <w:tab w:val="left" w:pos="420"/>
        </w:tabs>
        <w:spacing w:line="360" w:lineRule="exact"/>
        <w:ind w:left="0" w:leftChars="0" w:firstLine="400" w:firstLineChars="0"/>
        <w:rPr>
          <w:rFonts w:hint="eastAsia" w:ascii="Times New Roman" w:hAnsi="Times New Roman" w:eastAsia="宋体" w:cs="宋体"/>
          <w:caps w:val="0"/>
          <w:color w:val="auto"/>
          <w:szCs w:val="22"/>
          <w:highlight w:val="none"/>
          <w:lang w:val="en-US" w:eastAsia="zh-CN"/>
        </w:rPr>
      </w:pPr>
      <w:r>
        <w:rPr>
          <w:rFonts w:hint="eastAsia" w:ascii="宋体" w:hAnsi="宋体" w:cs="宋体"/>
          <w:b/>
          <w:bCs/>
          <w:color w:val="auto"/>
          <w:szCs w:val="21"/>
          <w:highlight w:val="none"/>
        </w:rPr>
        <w:t>除拟派遣的</w:t>
      </w:r>
      <w:r>
        <w:rPr>
          <w:rFonts w:hint="eastAsia" w:ascii="宋体" w:hAnsi="宋体" w:cs="宋体"/>
          <w:b/>
          <w:bCs/>
          <w:color w:val="auto"/>
          <w:szCs w:val="21"/>
          <w:highlight w:val="none"/>
          <w:lang w:val="en-US" w:eastAsia="zh-CN"/>
        </w:rPr>
        <w:t>项目负责</w:t>
      </w:r>
      <w:r>
        <w:rPr>
          <w:rFonts w:hint="eastAsia" w:ascii="宋体" w:hAnsi="宋体" w:cs="宋体"/>
          <w:b/>
          <w:bCs/>
          <w:color w:val="auto"/>
          <w:szCs w:val="21"/>
          <w:highlight w:val="none"/>
        </w:rPr>
        <w:t>人</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保安主管、设备主管、保洁主管及会务主管</w:t>
      </w:r>
      <w:r>
        <w:rPr>
          <w:rFonts w:hint="eastAsia" w:ascii="宋体" w:hAnsi="宋体" w:cs="宋体"/>
          <w:b/>
          <w:bCs/>
          <w:color w:val="auto"/>
          <w:szCs w:val="21"/>
          <w:highlight w:val="none"/>
        </w:rPr>
        <w:t>外，</w:t>
      </w:r>
      <w:r>
        <w:rPr>
          <w:rFonts w:hint="eastAsia" w:ascii="宋体" w:hAnsi="宋体" w:cs="宋体"/>
          <w:b/>
          <w:bCs/>
          <w:color w:val="auto"/>
          <w:szCs w:val="21"/>
        </w:rPr>
        <w:t>其余人员具体名册投标时可先不提供，但须在</w:t>
      </w:r>
      <w:r>
        <w:rPr>
          <w:rFonts w:hint="eastAsia" w:ascii="Times New Roman" w:hAnsi="Times New Roman" w:eastAsia="宋体" w:cs="Times New Roman"/>
          <w:b/>
          <w:bCs/>
          <w:color w:val="auto"/>
          <w:szCs w:val="21"/>
          <w:highlight w:val="none"/>
          <w:lang w:val="en-US" w:eastAsia="zh-CN"/>
        </w:rPr>
        <w:t>合同签订之前</w:t>
      </w:r>
      <w:r>
        <w:rPr>
          <w:rFonts w:hint="eastAsia" w:ascii="宋体" w:hAnsi="宋体" w:cs="宋体"/>
          <w:b/>
          <w:bCs/>
          <w:color w:val="auto"/>
          <w:szCs w:val="21"/>
        </w:rPr>
        <w:t>提交采购人（随名册附人员身份证及上岗证证件等以证明其符合招标文件规定的人员配置要求）。</w:t>
      </w:r>
    </w:p>
    <w:p>
      <w:pPr>
        <w:pStyle w:val="3"/>
        <w:pageBreakBefore/>
        <w:spacing w:before="78" w:beforeLines="25" w:after="0" w:line="360" w:lineRule="auto"/>
        <w:jc w:val="center"/>
        <w:outlineLvl w:val="0"/>
        <w:rPr>
          <w:rFonts w:hint="eastAsia" w:cs="宋体"/>
          <w:b/>
          <w:bCs/>
          <w:lang w:val="en-US" w:eastAsia="zh-CN"/>
        </w:rPr>
      </w:pPr>
      <w:bookmarkStart w:id="1324" w:name="_Toc2060"/>
      <w:r>
        <w:rPr>
          <w:rFonts w:hint="eastAsia" w:cs="宋体"/>
          <w:b/>
          <w:bCs/>
          <w:lang w:val="en-US" w:eastAsia="zh-CN"/>
        </w:rPr>
        <w:t>附件十  拟投入设备及工具一览表</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4"/>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020"/>
        <w:gridCol w:w="2243"/>
        <w:gridCol w:w="1345"/>
        <w:gridCol w:w="942"/>
        <w:gridCol w:w="1107"/>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trPr>
        <w:tc>
          <w:tcPr>
            <w:tcW w:w="676"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bCs/>
                <w:szCs w:val="20"/>
              </w:rPr>
            </w:pPr>
            <w:r>
              <w:rPr>
                <w:rFonts w:hint="eastAsia" w:ascii="宋体" w:hAnsi="Times New Roman" w:cs="Times New Roman"/>
                <w:bCs/>
                <w:szCs w:val="20"/>
              </w:rPr>
              <w:t>序号</w:t>
            </w:r>
          </w:p>
        </w:tc>
        <w:tc>
          <w:tcPr>
            <w:tcW w:w="2020"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bCs/>
                <w:szCs w:val="20"/>
              </w:rPr>
            </w:pPr>
            <w:r>
              <w:rPr>
                <w:rFonts w:hint="eastAsia" w:ascii="宋体" w:hAnsi="Times New Roman" w:cs="Times New Roman"/>
                <w:bCs/>
                <w:szCs w:val="20"/>
              </w:rPr>
              <w:t>设备/工具名称</w:t>
            </w:r>
          </w:p>
        </w:tc>
        <w:tc>
          <w:tcPr>
            <w:tcW w:w="2243"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cs="Times New Roman"/>
                <w:bCs/>
                <w:szCs w:val="20"/>
              </w:rPr>
            </w:pPr>
            <w:r>
              <w:rPr>
                <w:rFonts w:hint="eastAsia" w:ascii="宋体" w:hAnsi="宋体" w:cs="Times New Roman"/>
                <w:bCs/>
                <w:szCs w:val="20"/>
              </w:rPr>
              <w:t>型号规格</w:t>
            </w:r>
          </w:p>
        </w:tc>
        <w:tc>
          <w:tcPr>
            <w:tcW w:w="1345"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cs="Times New Roman"/>
                <w:bCs/>
                <w:szCs w:val="20"/>
              </w:rPr>
            </w:pPr>
            <w:r>
              <w:rPr>
                <w:rFonts w:hint="eastAsia" w:ascii="宋体" w:hAnsi="宋体" w:cs="Times New Roman"/>
                <w:bCs/>
                <w:szCs w:val="20"/>
              </w:rPr>
              <w:t>品牌/产地</w:t>
            </w:r>
          </w:p>
        </w:tc>
        <w:tc>
          <w:tcPr>
            <w:tcW w:w="942"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cs="Times New Roman"/>
                <w:bCs/>
                <w:szCs w:val="20"/>
              </w:rPr>
            </w:pPr>
            <w:r>
              <w:rPr>
                <w:rFonts w:hint="eastAsia" w:ascii="宋体" w:hAnsi="宋体" w:cs="Times New Roman"/>
                <w:bCs/>
                <w:szCs w:val="20"/>
              </w:rPr>
              <w:t>数量</w:t>
            </w:r>
          </w:p>
        </w:tc>
        <w:tc>
          <w:tcPr>
            <w:tcW w:w="110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宋体" w:cs="Times New Roman"/>
                <w:bCs/>
                <w:szCs w:val="20"/>
              </w:rPr>
            </w:pPr>
            <w:r>
              <w:rPr>
                <w:rFonts w:hint="eastAsia" w:ascii="宋体" w:hAnsi="宋体" w:cs="Times New Roman"/>
                <w:bCs/>
                <w:szCs w:val="20"/>
                <w:lang w:eastAsia="zh-CN"/>
              </w:rPr>
              <w:t>单价</w:t>
            </w:r>
            <w:r>
              <w:rPr>
                <w:rFonts w:hint="eastAsia" w:ascii="宋体" w:hAnsi="宋体" w:cs="Times New Roman"/>
                <w:bCs/>
                <w:szCs w:val="20"/>
              </w:rPr>
              <w:t>（元）</w:t>
            </w:r>
          </w:p>
        </w:tc>
        <w:tc>
          <w:tcPr>
            <w:tcW w:w="92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bCs/>
                <w:szCs w:val="20"/>
              </w:rPr>
            </w:pPr>
            <w:r>
              <w:rPr>
                <w:rFonts w:hint="eastAsia" w:ascii="宋体" w:hAnsi="Times New Roman" w:cs="Times New Roman"/>
                <w:bCs/>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020"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243"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345"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42"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10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2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020"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243"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345"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42"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10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2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020"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243"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345"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42"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10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2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020"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243"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345"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42"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10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2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020"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243"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345"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42"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10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2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020"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243"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345"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42"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10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2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020"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243"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345"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42"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10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2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020"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243"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345"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42"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10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2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020"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243"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345"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42"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10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2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020"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243"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345"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42"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10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2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020"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243"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345"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42"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10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2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020"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2243"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345"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42"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110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c>
          <w:tcPr>
            <w:tcW w:w="927" w:type="dxa"/>
            <w:noWrap w:val="0"/>
            <w:vAlign w:val="center"/>
          </w:tcPr>
          <w:p>
            <w:pPr>
              <w:keepNext w:val="0"/>
              <w:keepLines w:val="0"/>
              <w:widowControl/>
              <w:suppressLineNumbers w:val="0"/>
              <w:spacing w:before="0" w:beforeAutospacing="0" w:after="0" w:afterAutospacing="0" w:line="400" w:lineRule="atLeast"/>
              <w:ind w:left="0" w:right="0"/>
              <w:jc w:val="center"/>
              <w:rPr>
                <w:rFonts w:hint="default" w:ascii="宋体" w:hAnsi="Times New Roman" w:cs="Times New Roman"/>
                <w:szCs w:val="20"/>
              </w:rPr>
            </w:pPr>
          </w:p>
        </w:tc>
      </w:tr>
    </w:tbl>
    <w:p>
      <w:pPr>
        <w:tabs>
          <w:tab w:val="left" w:pos="6551"/>
        </w:tabs>
        <w:spacing w:line="460" w:lineRule="exact"/>
        <w:ind w:left="628" w:leftChars="299" w:firstLine="4727" w:firstLineChars="2251"/>
        <w:rPr>
          <w:rFonts w:hint="eastAsia" w:ascii="宋体" w:hAnsi="宋体" w:cs="宋体"/>
          <w:bCs/>
          <w:szCs w:val="21"/>
        </w:rPr>
      </w:pPr>
    </w:p>
    <w:p>
      <w:pPr>
        <w:pStyle w:val="20"/>
        <w:ind w:left="0" w:right="-252" w:firstLine="420" w:firstLineChars="200"/>
        <w:jc w:val="right"/>
        <w:rPr>
          <w:rFonts w:hint="eastAsia" w:cs="宋体"/>
          <w:bCs/>
          <w:sz w:val="21"/>
          <w:szCs w:val="21"/>
          <w:u w:val="single"/>
          <w:lang w:bidi="ar"/>
        </w:rPr>
      </w:pPr>
      <w:r>
        <w:rPr>
          <w:rFonts w:hint="eastAsia" w:cs="宋体"/>
          <w:sz w:val="21"/>
          <w:szCs w:val="21"/>
          <w:lang w:val="en-US" w:eastAsia="zh-CN" w:bidi="ar"/>
        </w:rPr>
        <w:t>投标人</w:t>
      </w:r>
      <w:r>
        <w:rPr>
          <w:rFonts w:hint="eastAsia" w:cs="宋体"/>
          <w:sz w:val="21"/>
          <w:szCs w:val="21"/>
          <w:lang w:bidi="ar"/>
        </w:rPr>
        <w:t>全称：</w:t>
      </w:r>
      <w:r>
        <w:rPr>
          <w:rFonts w:hint="eastAsia" w:cs="宋体"/>
          <w:sz w:val="21"/>
          <w:szCs w:val="21"/>
          <w:u w:val="single"/>
          <w:lang w:bidi="ar"/>
        </w:rPr>
        <w:t xml:space="preserve">                    （盖公章）</w:t>
      </w:r>
      <w:r>
        <w:rPr>
          <w:rFonts w:hint="eastAsia" w:cs="宋体"/>
          <w:bCs/>
          <w:sz w:val="21"/>
          <w:szCs w:val="21"/>
          <w:u w:val="single"/>
          <w:lang w:bidi="ar"/>
        </w:rPr>
        <w:t xml:space="preserve">    </w:t>
      </w:r>
    </w:p>
    <w:p>
      <w:pPr>
        <w:pStyle w:val="20"/>
        <w:ind w:right="-252" w:firstLine="3150" w:firstLineChars="1500"/>
        <w:rPr>
          <w:rFonts w:hint="eastAsia" w:cs="宋体"/>
          <w:sz w:val="21"/>
          <w:szCs w:val="21"/>
          <w:lang w:bidi="ar"/>
        </w:rPr>
      </w:pPr>
    </w:p>
    <w:p>
      <w:pPr>
        <w:pStyle w:val="20"/>
        <w:ind w:right="-252" w:firstLine="3150" w:firstLineChars="1500"/>
        <w:rPr>
          <w:rFonts w:hint="eastAsia" w:cs="宋体"/>
          <w:sz w:val="21"/>
          <w:szCs w:val="21"/>
          <w:lang w:bidi="ar"/>
        </w:rPr>
      </w:pPr>
      <w:r>
        <w:rPr>
          <w:rFonts w:hint="eastAsia" w:cs="宋体"/>
          <w:sz w:val="21"/>
          <w:szCs w:val="21"/>
          <w:lang w:bidi="ar"/>
        </w:rPr>
        <w:t>日   期：</w:t>
      </w:r>
      <w:r>
        <w:rPr>
          <w:rFonts w:hint="eastAsia" w:cs="宋体"/>
          <w:sz w:val="21"/>
          <w:szCs w:val="21"/>
          <w:u w:val="single"/>
          <w:lang w:bidi="ar"/>
        </w:rPr>
        <w:t xml:space="preserve">        </w:t>
      </w:r>
      <w:r>
        <w:rPr>
          <w:rFonts w:hint="eastAsia" w:cs="宋体"/>
          <w:sz w:val="21"/>
          <w:szCs w:val="21"/>
          <w:lang w:bidi="ar"/>
        </w:rPr>
        <w:t xml:space="preserve">年 </w:t>
      </w:r>
      <w:r>
        <w:rPr>
          <w:rFonts w:hint="eastAsia" w:cs="宋体"/>
          <w:sz w:val="21"/>
          <w:szCs w:val="21"/>
          <w:u w:val="single"/>
          <w:lang w:bidi="ar"/>
        </w:rPr>
        <w:t xml:space="preserve">   </w:t>
      </w:r>
      <w:r>
        <w:rPr>
          <w:rFonts w:hint="eastAsia" w:cs="宋体"/>
          <w:sz w:val="21"/>
          <w:szCs w:val="21"/>
          <w:lang w:bidi="ar"/>
        </w:rPr>
        <w:t>月</w:t>
      </w:r>
      <w:r>
        <w:rPr>
          <w:rFonts w:hint="eastAsia" w:cs="宋体"/>
          <w:sz w:val="21"/>
          <w:szCs w:val="21"/>
          <w:u w:val="single"/>
          <w:lang w:bidi="ar"/>
        </w:rPr>
        <w:t xml:space="preserve">    </w:t>
      </w:r>
      <w:r>
        <w:rPr>
          <w:rFonts w:hint="eastAsia" w:cs="宋体"/>
          <w:sz w:val="21"/>
          <w:szCs w:val="21"/>
          <w:lang w:bidi="ar"/>
        </w:rPr>
        <w:t>日</w:t>
      </w:r>
    </w:p>
    <w:p>
      <w:pPr>
        <w:pStyle w:val="101"/>
        <w:tabs>
          <w:tab w:val="left" w:pos="945"/>
        </w:tabs>
        <w:spacing w:line="360" w:lineRule="exact"/>
        <w:rPr>
          <w:rFonts w:hint="eastAsia"/>
        </w:rPr>
      </w:pPr>
      <w:r>
        <w:rPr>
          <w:rFonts w:hint="eastAsia"/>
        </w:rPr>
        <w:t>注：</w:t>
      </w:r>
    </w:p>
    <w:p>
      <w:pPr>
        <w:pStyle w:val="101"/>
        <w:tabs>
          <w:tab w:val="left" w:pos="945"/>
        </w:tabs>
        <w:spacing w:line="360" w:lineRule="exact"/>
      </w:pPr>
      <w:r>
        <w:rPr>
          <w:rFonts w:hint="eastAsia"/>
          <w:lang w:val="en-US" w:eastAsia="zh-CN"/>
        </w:rPr>
        <w:t>1.</w:t>
      </w:r>
      <w:r>
        <w:rPr>
          <w:rFonts w:hint="eastAsia"/>
        </w:rPr>
        <w:t>本表所列为</w:t>
      </w:r>
      <w:r>
        <w:rPr>
          <w:rFonts w:hint="eastAsia"/>
          <w:lang w:val="en-US" w:eastAsia="zh-CN"/>
        </w:rPr>
        <w:t>投标人</w:t>
      </w:r>
      <w:r>
        <w:rPr>
          <w:rFonts w:hint="eastAsia"/>
        </w:rPr>
        <w:t>拟投入的设备及工具。</w:t>
      </w:r>
    </w:p>
    <w:p>
      <w:pPr>
        <w:pStyle w:val="101"/>
        <w:tabs>
          <w:tab w:val="left" w:pos="945"/>
        </w:tabs>
        <w:spacing w:line="360" w:lineRule="exact"/>
      </w:pPr>
      <w:r>
        <w:rPr>
          <w:rFonts w:hint="eastAsia"/>
          <w:lang w:val="en-US" w:eastAsia="zh-CN"/>
        </w:rPr>
        <w:t>2.</w:t>
      </w:r>
      <w:r>
        <w:rPr>
          <w:rFonts w:hint="eastAsia"/>
        </w:rPr>
        <w:t>本表中所列设备价格不计入报价，但</w:t>
      </w:r>
      <w:r>
        <w:rPr>
          <w:rFonts w:hint="eastAsia"/>
          <w:lang w:val="en-US" w:eastAsia="zh-CN"/>
        </w:rPr>
        <w:t>投标人</w:t>
      </w:r>
      <w:r>
        <w:rPr>
          <w:rFonts w:hint="eastAsia"/>
        </w:rPr>
        <w:t>应在投标价格中考虑设备损耗及有关费用。</w:t>
      </w:r>
    </w:p>
    <w:p>
      <w:pPr>
        <w:pStyle w:val="101"/>
        <w:tabs>
          <w:tab w:val="left" w:pos="945"/>
        </w:tabs>
        <w:spacing w:line="360" w:lineRule="exact"/>
      </w:pPr>
      <w:r>
        <w:rPr>
          <w:rFonts w:hint="eastAsia"/>
          <w:lang w:val="en-US" w:eastAsia="zh-CN"/>
        </w:rPr>
        <w:t>3.</w:t>
      </w:r>
      <w:r>
        <w:rPr>
          <w:rFonts w:hint="eastAsia"/>
        </w:rPr>
        <w:t>此表仅提供了表格形式，</w:t>
      </w:r>
      <w:r>
        <w:rPr>
          <w:rFonts w:hint="eastAsia"/>
          <w:lang w:val="en-US" w:eastAsia="zh-CN"/>
        </w:rPr>
        <w:t>投标人</w:t>
      </w:r>
      <w:r>
        <w:rPr>
          <w:rFonts w:hint="eastAsia"/>
        </w:rPr>
        <w:t>应根据需要准备足够数量的表格来填写。</w:t>
      </w:r>
    </w:p>
    <w:p>
      <w:pPr>
        <w:pStyle w:val="3"/>
        <w:pageBreakBefore/>
        <w:spacing w:before="78" w:beforeLines="25" w:after="0" w:line="360" w:lineRule="auto"/>
        <w:jc w:val="center"/>
        <w:outlineLvl w:val="0"/>
        <w:rPr>
          <w:rFonts w:hint="eastAsia" w:cs="宋体"/>
          <w:b/>
          <w:bCs/>
          <w:lang w:val="en-US" w:eastAsia="zh-CN"/>
        </w:rPr>
      </w:pPr>
      <w:bookmarkStart w:id="1325" w:name="_Toc27667"/>
      <w:bookmarkStart w:id="1326" w:name="_Toc6279"/>
      <w:bookmarkStart w:id="1327" w:name="_Toc2513"/>
      <w:bookmarkStart w:id="1328" w:name="_Toc20569"/>
      <w:bookmarkStart w:id="1329" w:name="_Toc4634"/>
      <w:bookmarkStart w:id="1330" w:name="_Toc5995"/>
      <w:bookmarkStart w:id="1331" w:name="_Toc22335"/>
      <w:bookmarkStart w:id="1332" w:name="_Toc21122"/>
      <w:bookmarkStart w:id="1333" w:name="_Toc5085"/>
      <w:bookmarkStart w:id="1334" w:name="_Toc4600"/>
      <w:bookmarkStart w:id="1335" w:name="_Toc3659"/>
      <w:bookmarkStart w:id="1336" w:name="_Toc8054"/>
      <w:bookmarkStart w:id="1337" w:name="_Toc9661"/>
      <w:r>
        <w:rPr>
          <w:rFonts w:hint="eastAsia" w:cs="宋体"/>
          <w:b/>
          <w:bCs/>
          <w:lang w:val="en-US" w:eastAsia="zh-CN"/>
        </w:rPr>
        <w:t>附件十一    耗材选用配备一览表</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rPr>
          <w:bCs/>
        </w:rPr>
      </w:pPr>
      <w:r>
        <w:rPr>
          <w:rFonts w:hint="eastAsia" w:ascii="宋体" w:hAnsi="宋体"/>
          <w:b/>
          <w:szCs w:val="21"/>
        </w:rPr>
        <w:t xml:space="preserve">项目编号： </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660"/>
        <w:gridCol w:w="1459"/>
        <w:gridCol w:w="1429"/>
        <w:gridCol w:w="851"/>
        <w:gridCol w:w="124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99" w:type="dxa"/>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1"/>
              </w:rPr>
            </w:pPr>
            <w:r>
              <w:rPr>
                <w:rFonts w:hint="eastAsia" w:ascii="新宋体" w:hAnsi="新宋体" w:eastAsia="新宋体" w:cs="Times New Roman"/>
                <w:b/>
                <w:sz w:val="22"/>
                <w:szCs w:val="20"/>
              </w:rPr>
              <w:t>序号</w:t>
            </w:r>
          </w:p>
        </w:tc>
        <w:tc>
          <w:tcPr>
            <w:tcW w:w="2660"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r>
              <w:rPr>
                <w:rFonts w:hint="eastAsia" w:ascii="新宋体" w:hAnsi="新宋体" w:eastAsia="新宋体" w:cs="Times New Roman"/>
                <w:b/>
                <w:sz w:val="22"/>
                <w:szCs w:val="20"/>
              </w:rPr>
              <w:t>耗材名称</w:t>
            </w:r>
          </w:p>
        </w:tc>
        <w:tc>
          <w:tcPr>
            <w:tcW w:w="1459"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r>
              <w:rPr>
                <w:rFonts w:hint="eastAsia" w:ascii="新宋体" w:hAnsi="新宋体" w:eastAsia="新宋体" w:cs="Times New Roman"/>
                <w:b/>
                <w:sz w:val="22"/>
                <w:szCs w:val="20"/>
              </w:rPr>
              <w:t>规格型号</w:t>
            </w:r>
          </w:p>
        </w:tc>
        <w:tc>
          <w:tcPr>
            <w:tcW w:w="1429"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r>
              <w:rPr>
                <w:rFonts w:hint="eastAsia" w:ascii="新宋体" w:hAnsi="新宋体" w:eastAsia="新宋体" w:cs="Times New Roman"/>
                <w:b/>
                <w:sz w:val="22"/>
                <w:szCs w:val="20"/>
              </w:rPr>
              <w:t>品牌/产地</w:t>
            </w:r>
          </w:p>
        </w:tc>
        <w:tc>
          <w:tcPr>
            <w:tcW w:w="851"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cs="Times New Roman"/>
                <w:szCs w:val="21"/>
              </w:rPr>
            </w:pPr>
            <w:r>
              <w:rPr>
                <w:rFonts w:hint="eastAsia" w:ascii="新宋体" w:hAnsi="新宋体" w:eastAsia="新宋体" w:cs="Times New Roman"/>
                <w:b/>
                <w:sz w:val="22"/>
                <w:szCs w:val="20"/>
              </w:rPr>
              <w:t>数量</w:t>
            </w:r>
          </w:p>
        </w:tc>
        <w:tc>
          <w:tcPr>
            <w:tcW w:w="1246"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cs="Times New Roman"/>
                <w:szCs w:val="21"/>
              </w:rPr>
            </w:pPr>
            <w:r>
              <w:rPr>
                <w:rFonts w:hint="eastAsia" w:ascii="新宋体" w:hAnsi="新宋体" w:eastAsia="新宋体" w:cs="Times New Roman"/>
                <w:b/>
                <w:sz w:val="22"/>
                <w:szCs w:val="20"/>
              </w:rPr>
              <w:t>价格(元)</w:t>
            </w:r>
          </w:p>
        </w:tc>
        <w:tc>
          <w:tcPr>
            <w:tcW w:w="836"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1"/>
              </w:rPr>
            </w:pPr>
            <w:r>
              <w:rPr>
                <w:rFonts w:hint="eastAsia" w:ascii="新宋体" w:hAnsi="新宋体" w:eastAsia="新宋体" w:cs="Times New Roman"/>
                <w:b/>
                <w:sz w:val="22"/>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99" w:type="dxa"/>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266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5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2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5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24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3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9" w:type="dxa"/>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266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5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2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5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24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3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99" w:type="dxa"/>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266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5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2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5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24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3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99" w:type="dxa"/>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266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5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2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5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24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3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99" w:type="dxa"/>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266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5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2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5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24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3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99" w:type="dxa"/>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266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5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2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5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24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3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99" w:type="dxa"/>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266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5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2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5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24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3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99" w:type="dxa"/>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266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5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2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5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24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3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99" w:type="dxa"/>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266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5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2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5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24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3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99" w:type="dxa"/>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266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5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2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5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24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3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99" w:type="dxa"/>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266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5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2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5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24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3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99" w:type="dxa"/>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266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5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2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5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24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3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99" w:type="dxa"/>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266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5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2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5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24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3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699" w:type="dxa"/>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266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5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429"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51"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124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c>
          <w:tcPr>
            <w:tcW w:w="83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Cs w:val="21"/>
              </w:rPr>
            </w:pPr>
          </w:p>
        </w:tc>
      </w:tr>
    </w:tbl>
    <w:p>
      <w:pPr>
        <w:pStyle w:val="20"/>
        <w:ind w:left="0" w:right="-252" w:firstLine="420" w:firstLineChars="200"/>
        <w:jc w:val="right"/>
        <w:rPr>
          <w:rFonts w:hint="eastAsia" w:cs="宋体"/>
          <w:sz w:val="21"/>
          <w:szCs w:val="21"/>
          <w:lang w:val="en-US" w:eastAsia="zh-CN" w:bidi="ar"/>
        </w:rPr>
      </w:pPr>
    </w:p>
    <w:p>
      <w:pPr>
        <w:pStyle w:val="20"/>
        <w:ind w:left="0" w:right="-252" w:firstLine="420" w:firstLineChars="200"/>
        <w:jc w:val="right"/>
        <w:rPr>
          <w:rFonts w:hint="eastAsia" w:cs="宋体"/>
          <w:sz w:val="21"/>
          <w:szCs w:val="21"/>
          <w:lang w:val="en-US" w:eastAsia="zh-CN" w:bidi="ar"/>
        </w:rPr>
      </w:pPr>
    </w:p>
    <w:p>
      <w:pPr>
        <w:pStyle w:val="20"/>
        <w:ind w:left="0" w:right="-252" w:firstLine="420" w:firstLineChars="200"/>
        <w:jc w:val="right"/>
        <w:rPr>
          <w:rFonts w:hint="eastAsia" w:cs="宋体"/>
          <w:bCs/>
          <w:sz w:val="21"/>
          <w:szCs w:val="21"/>
          <w:u w:val="single"/>
          <w:lang w:bidi="ar"/>
        </w:rPr>
      </w:pPr>
      <w:r>
        <w:rPr>
          <w:rFonts w:hint="eastAsia" w:cs="宋体"/>
          <w:sz w:val="21"/>
          <w:szCs w:val="21"/>
          <w:lang w:val="en-US" w:eastAsia="zh-CN" w:bidi="ar"/>
        </w:rPr>
        <w:t>投标人</w:t>
      </w:r>
      <w:r>
        <w:rPr>
          <w:rFonts w:hint="eastAsia" w:cs="宋体"/>
          <w:sz w:val="21"/>
          <w:szCs w:val="21"/>
          <w:lang w:bidi="ar"/>
        </w:rPr>
        <w:t>全称：</w:t>
      </w:r>
      <w:r>
        <w:rPr>
          <w:rFonts w:hint="eastAsia" w:cs="宋体"/>
          <w:sz w:val="21"/>
          <w:szCs w:val="21"/>
          <w:u w:val="single"/>
          <w:lang w:bidi="ar"/>
        </w:rPr>
        <w:t xml:space="preserve">                    （盖公章）</w:t>
      </w:r>
      <w:r>
        <w:rPr>
          <w:rFonts w:hint="eastAsia" w:cs="宋体"/>
          <w:bCs/>
          <w:sz w:val="21"/>
          <w:szCs w:val="21"/>
          <w:u w:val="single"/>
          <w:lang w:bidi="ar"/>
        </w:rPr>
        <w:t xml:space="preserve">    </w:t>
      </w:r>
    </w:p>
    <w:p>
      <w:pPr>
        <w:pStyle w:val="20"/>
        <w:ind w:right="-252" w:firstLine="3150" w:firstLineChars="1500"/>
        <w:rPr>
          <w:rFonts w:hint="eastAsia" w:cs="宋体"/>
          <w:sz w:val="21"/>
          <w:szCs w:val="21"/>
          <w:lang w:bidi="ar"/>
        </w:rPr>
      </w:pPr>
    </w:p>
    <w:p>
      <w:pPr>
        <w:pStyle w:val="20"/>
        <w:ind w:right="-252" w:firstLine="3150" w:firstLineChars="1500"/>
        <w:rPr>
          <w:rFonts w:hint="eastAsia" w:cs="宋体"/>
          <w:sz w:val="21"/>
          <w:szCs w:val="21"/>
          <w:lang w:bidi="ar"/>
        </w:rPr>
      </w:pPr>
      <w:r>
        <w:rPr>
          <w:rFonts w:hint="eastAsia" w:cs="宋体"/>
          <w:sz w:val="21"/>
          <w:szCs w:val="21"/>
          <w:lang w:bidi="ar"/>
        </w:rPr>
        <w:t>日   期：</w:t>
      </w:r>
      <w:r>
        <w:rPr>
          <w:rFonts w:hint="eastAsia" w:cs="宋体"/>
          <w:sz w:val="21"/>
          <w:szCs w:val="21"/>
          <w:u w:val="single"/>
          <w:lang w:bidi="ar"/>
        </w:rPr>
        <w:t xml:space="preserve">        </w:t>
      </w:r>
      <w:r>
        <w:rPr>
          <w:rFonts w:hint="eastAsia" w:cs="宋体"/>
          <w:sz w:val="21"/>
          <w:szCs w:val="21"/>
          <w:lang w:bidi="ar"/>
        </w:rPr>
        <w:t xml:space="preserve">年 </w:t>
      </w:r>
      <w:r>
        <w:rPr>
          <w:rFonts w:hint="eastAsia" w:cs="宋体"/>
          <w:sz w:val="21"/>
          <w:szCs w:val="21"/>
          <w:u w:val="single"/>
          <w:lang w:bidi="ar"/>
        </w:rPr>
        <w:t xml:space="preserve">   </w:t>
      </w:r>
      <w:r>
        <w:rPr>
          <w:rFonts w:hint="eastAsia" w:cs="宋体"/>
          <w:sz w:val="21"/>
          <w:szCs w:val="21"/>
          <w:lang w:bidi="ar"/>
        </w:rPr>
        <w:t>月</w:t>
      </w:r>
      <w:r>
        <w:rPr>
          <w:rFonts w:hint="eastAsia" w:cs="宋体"/>
          <w:sz w:val="21"/>
          <w:szCs w:val="21"/>
          <w:u w:val="single"/>
          <w:lang w:bidi="ar"/>
        </w:rPr>
        <w:t xml:space="preserve">    </w:t>
      </w:r>
      <w:r>
        <w:rPr>
          <w:rFonts w:hint="eastAsia" w:cs="宋体"/>
          <w:sz w:val="21"/>
          <w:szCs w:val="21"/>
          <w:lang w:bidi="ar"/>
        </w:rPr>
        <w:t>日</w:t>
      </w:r>
    </w:p>
    <w:p>
      <w:pPr>
        <w:pStyle w:val="101"/>
        <w:tabs>
          <w:tab w:val="left" w:pos="945"/>
        </w:tabs>
        <w:spacing w:line="360" w:lineRule="exact"/>
        <w:rPr>
          <w:rFonts w:hint="eastAsia"/>
        </w:rPr>
      </w:pPr>
    </w:p>
    <w:p>
      <w:pPr>
        <w:pStyle w:val="101"/>
        <w:tabs>
          <w:tab w:val="left" w:pos="945"/>
        </w:tabs>
        <w:spacing w:line="360" w:lineRule="exact"/>
      </w:pPr>
      <w:r>
        <w:rPr>
          <w:rFonts w:hint="eastAsia"/>
        </w:rPr>
        <w:t>注：1、</w:t>
      </w:r>
      <w:r>
        <w:rPr>
          <w:rFonts w:cs="Arial"/>
        </w:rPr>
        <w:t>本表所列为</w:t>
      </w:r>
      <w:r>
        <w:rPr>
          <w:rFonts w:hint="eastAsia" w:cs="Arial"/>
        </w:rPr>
        <w:t>投标人拟投入的消耗材料清单</w:t>
      </w:r>
      <w:r>
        <w:rPr>
          <w:rFonts w:hint="eastAsia"/>
        </w:rPr>
        <w:t>。</w:t>
      </w:r>
    </w:p>
    <w:p>
      <w:pPr>
        <w:pStyle w:val="101"/>
        <w:tabs>
          <w:tab w:val="left" w:pos="945"/>
        </w:tabs>
        <w:spacing w:line="360" w:lineRule="exact"/>
      </w:pPr>
      <w:r>
        <w:rPr>
          <w:rFonts w:hint="eastAsia"/>
        </w:rPr>
        <w:t xml:space="preserve">    2、</w:t>
      </w:r>
      <w:r>
        <w:rPr>
          <w:rFonts w:cs="Arial"/>
        </w:rPr>
        <w:t>本表中所列</w:t>
      </w:r>
      <w:r>
        <w:rPr>
          <w:rFonts w:hint="eastAsia" w:cs="Arial"/>
        </w:rPr>
        <w:t>耗材</w:t>
      </w:r>
      <w:r>
        <w:rPr>
          <w:rFonts w:cs="Arial"/>
        </w:rPr>
        <w:t>价格计入</w:t>
      </w:r>
      <w:r>
        <w:rPr>
          <w:rFonts w:hint="eastAsia" w:cs="Arial"/>
        </w:rPr>
        <w:t>报</w:t>
      </w:r>
      <w:r>
        <w:rPr>
          <w:rFonts w:cs="Arial"/>
        </w:rPr>
        <w:t>价</w:t>
      </w:r>
      <w:r>
        <w:rPr>
          <w:rFonts w:hint="eastAsia"/>
        </w:rPr>
        <w:t>。</w:t>
      </w:r>
    </w:p>
    <w:p>
      <w:pPr>
        <w:pStyle w:val="101"/>
        <w:tabs>
          <w:tab w:val="left" w:pos="945"/>
        </w:tabs>
        <w:spacing w:line="360" w:lineRule="exact"/>
        <w:ind w:firstLine="420"/>
      </w:pPr>
      <w:r>
        <w:rPr>
          <w:rFonts w:hint="eastAsia"/>
        </w:rPr>
        <w:t>3、</w:t>
      </w:r>
      <w:r>
        <w:rPr>
          <w:rFonts w:cs="Arial"/>
        </w:rPr>
        <w:t>此表仅提供了表格形式，</w:t>
      </w:r>
      <w:r>
        <w:rPr>
          <w:rFonts w:hint="eastAsia" w:cs="Arial"/>
        </w:rPr>
        <w:t>投标人</w:t>
      </w:r>
      <w:r>
        <w:rPr>
          <w:rFonts w:cs="Arial"/>
        </w:rPr>
        <w:t>应根据需要准备足够数量的表格来填写</w:t>
      </w:r>
      <w:r>
        <w:rPr>
          <w:rFonts w:hint="eastAsia" w:cs="Arial"/>
        </w:rPr>
        <w:t>。</w:t>
      </w:r>
    </w:p>
    <w:bookmarkEnd w:id="1322"/>
    <w:bookmarkEnd w:id="1323"/>
    <w:p>
      <w:pPr>
        <w:pStyle w:val="3"/>
        <w:pageBreakBefore/>
        <w:spacing w:before="78" w:beforeLines="25" w:after="0" w:line="360" w:lineRule="auto"/>
        <w:jc w:val="center"/>
        <w:outlineLvl w:val="0"/>
        <w:rPr>
          <w:rFonts w:hint="eastAsia" w:cs="宋体"/>
          <w:b/>
          <w:bCs/>
          <w:lang w:val="en-US" w:eastAsia="zh-CN"/>
        </w:rPr>
      </w:pPr>
      <w:bookmarkStart w:id="1338" w:name="_Toc31322"/>
      <w:bookmarkStart w:id="1339" w:name="_Toc24567"/>
      <w:bookmarkStart w:id="1340" w:name="_Toc24258"/>
      <w:bookmarkStart w:id="1341" w:name="_Toc27280"/>
      <w:bookmarkStart w:id="1342" w:name="_Toc31963"/>
      <w:bookmarkStart w:id="1343" w:name="_Toc22867"/>
      <w:bookmarkStart w:id="1344" w:name="_Toc7925"/>
      <w:bookmarkStart w:id="1345" w:name="_Toc9979"/>
      <w:bookmarkStart w:id="1346" w:name="_Toc23746"/>
      <w:bookmarkStart w:id="1347" w:name="_Toc28352"/>
      <w:bookmarkStart w:id="1348" w:name="_Toc20813"/>
      <w:bookmarkStart w:id="1349" w:name="_Toc14234"/>
      <w:bookmarkStart w:id="1350" w:name="_Toc29095"/>
      <w:bookmarkStart w:id="1351" w:name="_Toc9854"/>
      <w:bookmarkStart w:id="1352" w:name="_Toc6952"/>
      <w:bookmarkStart w:id="1353" w:name="_Toc31115"/>
      <w:bookmarkStart w:id="1354" w:name="_Toc24849"/>
      <w:bookmarkStart w:id="1355" w:name="_Toc5797"/>
      <w:bookmarkStart w:id="1356" w:name="_Toc2098"/>
      <w:bookmarkStart w:id="1357" w:name="_Toc16593"/>
      <w:bookmarkStart w:id="1358" w:name="_Toc17639"/>
      <w:bookmarkStart w:id="1359" w:name="_Toc18648"/>
      <w:bookmarkStart w:id="1360" w:name="_Toc10553"/>
      <w:bookmarkStart w:id="1361" w:name="_Toc30040"/>
      <w:bookmarkStart w:id="1362" w:name="_Toc4573"/>
      <w:bookmarkStart w:id="1363" w:name="_Toc15369"/>
      <w:bookmarkStart w:id="1364" w:name="_Toc32049"/>
      <w:bookmarkStart w:id="1365" w:name="_Toc10374"/>
      <w:bookmarkStart w:id="1366" w:name="_Toc2464"/>
      <w:bookmarkStart w:id="1367" w:name="_Toc7039"/>
      <w:bookmarkStart w:id="1368" w:name="_Toc12526"/>
      <w:bookmarkStart w:id="1369" w:name="_Toc15908"/>
      <w:bookmarkStart w:id="1370" w:name="_Toc19094"/>
      <w:bookmarkStart w:id="1371" w:name="_Toc23041"/>
      <w:r>
        <w:rPr>
          <w:rFonts w:hint="eastAsia" w:cs="宋体"/>
          <w:b/>
          <w:bCs/>
          <w:lang w:val="en-US" w:eastAsia="zh-CN"/>
        </w:rPr>
        <w:t>附件十二</w:t>
      </w:r>
      <w:r>
        <w:rPr>
          <w:rFonts w:hint="eastAsia" w:cs="宋体"/>
          <w:b/>
          <w:bCs/>
          <w:lang w:val="en-US" w:eastAsia="zh-CN"/>
        </w:rPr>
        <w:tab/>
      </w:r>
      <w:r>
        <w:rPr>
          <w:rFonts w:hint="eastAsia" w:cs="宋体"/>
          <w:b/>
          <w:bCs/>
          <w:lang w:val="en-US" w:eastAsia="zh-CN"/>
        </w:rPr>
        <w:t>开标一览表</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spacing w:line="400" w:lineRule="atLeast"/>
        <w:rPr>
          <w:rFonts w:hint="eastAsia" w:ascii="宋体" w:hAnsi="宋体"/>
          <w:b w:val="0"/>
          <w:bCs w:val="0"/>
          <w:szCs w:val="21"/>
        </w:rPr>
      </w:pPr>
      <w:r>
        <w:rPr>
          <w:rFonts w:hint="eastAsia" w:ascii="宋体" w:hAnsi="宋体" w:cs="Arial Unicode MS"/>
          <w:b w:val="0"/>
          <w:bCs w:val="0"/>
          <w:sz w:val="22"/>
          <w:szCs w:val="22"/>
          <w:lang w:val="en-US" w:eastAsia="zh-CN"/>
        </w:rPr>
        <w:t>项目编号：</w:t>
      </w:r>
      <w:r>
        <w:rPr>
          <w:rFonts w:hint="eastAsia" w:ascii="Arial" w:hAnsi="Arial" w:eastAsia="宋体" w:cs="Arial"/>
          <w:sz w:val="21"/>
          <w:szCs w:val="21"/>
          <w:u w:val="none"/>
          <w:lang w:val="en-US" w:eastAsia="zh-CN"/>
        </w:rPr>
        <w:t>RAJC20230712</w:t>
      </w:r>
      <w:r>
        <w:rPr>
          <w:rFonts w:hint="eastAsia" w:ascii="宋体" w:hAnsi="宋体" w:cs="Arial Unicode MS"/>
          <w:b w:val="0"/>
          <w:bCs w:val="0"/>
          <w:sz w:val="22"/>
          <w:szCs w:val="22"/>
          <w:lang w:val="en-US" w:eastAsia="zh-CN"/>
        </w:rPr>
        <w:t xml:space="preserve">                                      </w:t>
      </w:r>
      <w:r>
        <w:rPr>
          <w:rFonts w:hint="eastAsia"/>
          <w:b w:val="0"/>
          <w:bCs w:val="0"/>
        </w:rPr>
        <w:t>单位：人民币元</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4864"/>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2238" w:type="dxa"/>
            <w:noWrap w:val="0"/>
            <w:vAlign w:val="center"/>
          </w:tcPr>
          <w:p>
            <w:pPr>
              <w:keepNext w:val="0"/>
              <w:keepLines w:val="0"/>
              <w:widowControl/>
              <w:suppressLineNumbers w:val="0"/>
              <w:spacing w:before="0" w:beforeAutospacing="0" w:after="0" w:afterAutospacing="0" w:line="300" w:lineRule="atLeast"/>
              <w:ind w:left="0" w:right="-21" w:rightChars="-10"/>
              <w:jc w:val="center"/>
              <w:rPr>
                <w:rFonts w:hint="default" w:ascii="Times New Roman" w:hAnsi="Times New Roman" w:cs="Times New Roman"/>
                <w:szCs w:val="20"/>
              </w:rPr>
            </w:pPr>
            <w:r>
              <w:rPr>
                <w:rFonts w:hint="eastAsia" w:ascii="Times New Roman" w:hAnsi="Times New Roman" w:cs="Times New Roman"/>
                <w:szCs w:val="20"/>
              </w:rPr>
              <w:t>项目名称</w:t>
            </w:r>
          </w:p>
        </w:tc>
        <w:tc>
          <w:tcPr>
            <w:tcW w:w="4864" w:type="dxa"/>
            <w:noWrap w:val="0"/>
            <w:vAlign w:val="center"/>
          </w:tcPr>
          <w:p>
            <w:pPr>
              <w:keepNext w:val="0"/>
              <w:keepLines w:val="0"/>
              <w:widowControl/>
              <w:suppressLineNumbers w:val="0"/>
              <w:spacing w:before="0" w:beforeAutospacing="0" w:after="0" w:afterAutospacing="0"/>
              <w:ind w:left="0" w:right="0"/>
              <w:jc w:val="center"/>
              <w:rPr>
                <w:rFonts w:hint="default" w:ascii="Arial" w:hAnsi="Arial" w:cs="Arial"/>
                <w:b/>
                <w:szCs w:val="21"/>
              </w:rPr>
            </w:pPr>
            <w:r>
              <w:rPr>
                <w:rFonts w:hint="eastAsia" w:ascii="宋体" w:hAnsi="宋体" w:cs="Times New Roman"/>
                <w:b w:val="0"/>
                <w:bCs/>
                <w:szCs w:val="21"/>
              </w:rPr>
              <w:t>投标总价</w:t>
            </w:r>
            <w:r>
              <w:rPr>
                <w:rFonts w:hint="eastAsia" w:ascii="Times New Roman" w:hAnsi="Times New Roman" w:cs="Times New Roman"/>
                <w:szCs w:val="20"/>
              </w:rPr>
              <w:t>（</w:t>
            </w:r>
            <w:r>
              <w:rPr>
                <w:rFonts w:hint="default" w:ascii="Times New Roman" w:hAnsi="Times New Roman" w:cs="Times New Roman"/>
                <w:szCs w:val="20"/>
              </w:rPr>
              <w:t>人民币元）</w:t>
            </w:r>
          </w:p>
        </w:tc>
        <w:tc>
          <w:tcPr>
            <w:tcW w:w="1411" w:type="dxa"/>
            <w:noWrap w:val="0"/>
            <w:vAlign w:val="center"/>
          </w:tcPr>
          <w:p>
            <w:pPr>
              <w:keepNext w:val="0"/>
              <w:keepLines w:val="0"/>
              <w:widowControl/>
              <w:suppressLineNumbers w:val="0"/>
              <w:spacing w:before="0" w:beforeAutospacing="0" w:after="0" w:afterAutospacing="0" w:line="360" w:lineRule="auto"/>
              <w:ind w:left="0" w:right="-21" w:rightChars="-10"/>
              <w:jc w:val="center"/>
              <w:rPr>
                <w:rFonts w:hint="default" w:ascii="Times New Roman" w:hAnsi="Times New Roman" w:cs="Times New Roman"/>
                <w:szCs w:val="20"/>
              </w:rPr>
            </w:pPr>
            <w:r>
              <w:rPr>
                <w:rFonts w:hint="eastAsia" w:ascii="Times New Roman" w:hAnsi="Times New Roman" w:cs="Times New Roman"/>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2238" w:type="dxa"/>
            <w:vMerge w:val="restart"/>
            <w:noWrap w:val="0"/>
            <w:vAlign w:val="center"/>
          </w:tcPr>
          <w:p>
            <w:pPr>
              <w:keepNext w:val="0"/>
              <w:keepLines w:val="0"/>
              <w:widowControl/>
              <w:suppressLineNumbers w:val="0"/>
              <w:spacing w:before="0" w:beforeAutospacing="0" w:after="0" w:afterAutospacing="0" w:line="300" w:lineRule="atLeast"/>
              <w:ind w:left="0" w:right="-21" w:rightChars="-10"/>
              <w:jc w:val="center"/>
              <w:rPr>
                <w:rFonts w:hint="default" w:ascii="宋体" w:hAnsi="宋体" w:cs="宋体"/>
                <w:sz w:val="18"/>
                <w:szCs w:val="18"/>
              </w:rPr>
            </w:pPr>
            <w:r>
              <w:rPr>
                <w:rFonts w:hint="default" w:ascii="Arial" w:hAnsi="Arial" w:cs="Arial"/>
                <w:szCs w:val="21"/>
                <w:lang w:eastAsia="zh-CN"/>
              </w:rPr>
              <w:t>2023-2026</w:t>
            </w:r>
            <w:r>
              <w:rPr>
                <w:rFonts w:hint="eastAsia" w:ascii="宋体" w:hAnsi="宋体" w:cs="宋体"/>
                <w:szCs w:val="21"/>
                <w:lang w:eastAsia="zh-CN"/>
              </w:rPr>
              <w:t>年瑞安市市政大院物业管理服务</w:t>
            </w:r>
          </w:p>
        </w:tc>
        <w:tc>
          <w:tcPr>
            <w:tcW w:w="4864" w:type="dxa"/>
            <w:noWrap w:val="0"/>
            <w:vAlign w:val="center"/>
          </w:tcPr>
          <w:p>
            <w:pPr>
              <w:keepNext w:val="0"/>
              <w:keepLines w:val="0"/>
              <w:widowControl/>
              <w:suppressLineNumbers w:val="0"/>
              <w:spacing w:before="0" w:beforeAutospacing="0" w:after="0" w:afterAutospacing="0" w:line="360" w:lineRule="auto"/>
              <w:ind w:left="0" w:right="0"/>
              <w:rPr>
                <w:rFonts w:hint="default" w:ascii="Times New Roman" w:hAnsi="Times New Roman" w:cs="Times New Roman"/>
                <w:szCs w:val="20"/>
              </w:rPr>
            </w:pPr>
            <w:r>
              <w:rPr>
                <w:rFonts w:hint="eastAsia" w:ascii="Times New Roman" w:hAnsi="Times New Roman" w:cs="Times New Roman"/>
                <w:szCs w:val="20"/>
              </w:rPr>
              <w:t>小写：</w:t>
            </w:r>
          </w:p>
          <w:p>
            <w:pPr>
              <w:keepNext w:val="0"/>
              <w:keepLines w:val="0"/>
              <w:widowControl/>
              <w:suppressLineNumbers w:val="0"/>
              <w:spacing w:before="0" w:beforeAutospacing="0" w:after="0" w:afterAutospacing="0" w:line="360" w:lineRule="auto"/>
              <w:ind w:left="0" w:right="-21" w:rightChars="-10"/>
              <w:jc w:val="both"/>
              <w:rPr>
                <w:rFonts w:hint="default" w:ascii="Times New Roman" w:hAnsi="Times New Roman" w:cs="Times New Roman"/>
                <w:szCs w:val="20"/>
              </w:rPr>
            </w:pPr>
          </w:p>
        </w:tc>
        <w:tc>
          <w:tcPr>
            <w:tcW w:w="1411" w:type="dxa"/>
            <w:vMerge w:val="restart"/>
            <w:noWrap w:val="0"/>
            <w:vAlign w:val="center"/>
          </w:tcPr>
          <w:p>
            <w:pPr>
              <w:keepNext w:val="0"/>
              <w:keepLines w:val="0"/>
              <w:widowControl/>
              <w:suppressLineNumbers w:val="0"/>
              <w:spacing w:before="0" w:beforeAutospacing="0" w:after="0" w:afterAutospacing="0" w:line="360" w:lineRule="auto"/>
              <w:ind w:left="0" w:right="-21" w:rightChars="-10"/>
              <w:jc w:val="center"/>
              <w:rPr>
                <w:rFonts w:hint="default" w:ascii="Times New Roman" w:hAnsi="Times New Roman"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2238" w:type="dxa"/>
            <w:vMerge w:val="continue"/>
            <w:noWrap w:val="0"/>
            <w:vAlign w:val="center"/>
          </w:tcPr>
          <w:p>
            <w:pPr>
              <w:keepNext w:val="0"/>
              <w:keepLines w:val="0"/>
              <w:widowControl/>
              <w:suppressLineNumbers w:val="0"/>
              <w:spacing w:before="0" w:beforeAutospacing="0" w:after="0" w:afterAutospacing="0" w:line="360" w:lineRule="auto"/>
              <w:ind w:left="0" w:right="-21" w:rightChars="-10"/>
              <w:jc w:val="both"/>
              <w:rPr>
                <w:rFonts w:hint="default" w:ascii="Times New Roman" w:hAnsi="Times New Roman" w:cs="Times New Roman"/>
                <w:szCs w:val="20"/>
              </w:rPr>
            </w:pPr>
          </w:p>
        </w:tc>
        <w:tc>
          <w:tcPr>
            <w:tcW w:w="4864" w:type="dxa"/>
            <w:noWrap w:val="0"/>
            <w:vAlign w:val="center"/>
          </w:tcPr>
          <w:p>
            <w:pPr>
              <w:keepNext w:val="0"/>
              <w:keepLines w:val="0"/>
              <w:widowControl/>
              <w:suppressLineNumbers w:val="0"/>
              <w:spacing w:before="0" w:beforeAutospacing="0" w:after="0" w:afterAutospacing="0" w:line="360" w:lineRule="auto"/>
              <w:ind w:left="0" w:right="-21" w:rightChars="-10"/>
              <w:jc w:val="both"/>
              <w:rPr>
                <w:rFonts w:hint="eastAsia" w:ascii="Times New Roman" w:hAnsi="Times New Roman" w:cs="Times New Roman"/>
                <w:szCs w:val="22"/>
              </w:rPr>
            </w:pPr>
            <w:bookmarkStart w:id="1372" w:name="_Toc6475"/>
            <w:bookmarkStart w:id="1373" w:name="_Toc10607"/>
            <w:bookmarkStart w:id="1374" w:name="_Toc30439"/>
            <w:bookmarkStart w:id="1375" w:name="_Toc61254392"/>
            <w:r>
              <w:rPr>
                <w:rFonts w:hint="eastAsia" w:ascii="Times New Roman" w:hAnsi="Times New Roman" w:cs="Times New Roman"/>
                <w:szCs w:val="22"/>
              </w:rPr>
              <w:t>大写：</w:t>
            </w:r>
            <w:bookmarkEnd w:id="1372"/>
            <w:bookmarkEnd w:id="1373"/>
            <w:bookmarkEnd w:id="1374"/>
            <w:bookmarkEnd w:id="1375"/>
          </w:p>
        </w:tc>
        <w:tc>
          <w:tcPr>
            <w:tcW w:w="1411" w:type="dxa"/>
            <w:vMerge w:val="continue"/>
            <w:noWrap w:val="0"/>
            <w:vAlign w:val="center"/>
          </w:tcPr>
          <w:p>
            <w:pPr>
              <w:keepNext w:val="0"/>
              <w:keepLines w:val="0"/>
              <w:widowControl/>
              <w:suppressLineNumbers w:val="0"/>
              <w:spacing w:before="0" w:beforeAutospacing="0" w:after="0" w:afterAutospacing="0" w:line="360" w:lineRule="auto"/>
              <w:ind w:left="0" w:right="-21" w:rightChars="-10"/>
              <w:jc w:val="both"/>
              <w:rPr>
                <w:rFonts w:hint="eastAsia" w:ascii="Times New Roman" w:hAnsi="Times New Roman" w:cs="Times New Roman"/>
                <w:szCs w:val="22"/>
              </w:rPr>
            </w:pPr>
          </w:p>
        </w:tc>
      </w:tr>
    </w:tbl>
    <w:p>
      <w:pPr>
        <w:numPr>
          <w:ilvl w:val="0"/>
          <w:numId w:val="0"/>
        </w:numPr>
        <w:spacing w:line="360" w:lineRule="auto"/>
        <w:ind w:left="400" w:leftChars="0"/>
        <w:rPr>
          <w:rFonts w:hint="eastAsia" w:ascii="宋体" w:hAnsi="宋体" w:cs="宋体"/>
          <w:szCs w:val="21"/>
          <w:lang w:eastAsia="zh-CN"/>
        </w:rPr>
      </w:pPr>
    </w:p>
    <w:p>
      <w:pPr>
        <w:spacing w:line="480" w:lineRule="auto"/>
        <w:jc w:val="right"/>
        <w:rPr>
          <w:rFonts w:hint="eastAsia" w:ascii="宋体" w:hAnsi="宋体" w:cs="宋体"/>
          <w:bCs/>
          <w:color w:val="auto"/>
          <w:szCs w:val="21"/>
          <w:highlight w:val="none"/>
          <w:lang w:bidi="ar"/>
        </w:rPr>
      </w:pPr>
      <w:r>
        <w:rPr>
          <w:rFonts w:hint="eastAsia" w:ascii="宋体" w:hAnsi="宋体" w:cs="宋体"/>
          <w:bCs/>
          <w:color w:val="auto"/>
          <w:szCs w:val="21"/>
          <w:highlight w:val="none"/>
          <w:lang w:eastAsia="zh-CN" w:bidi="ar"/>
        </w:rPr>
        <w:t>投标人</w:t>
      </w:r>
      <w:r>
        <w:rPr>
          <w:rFonts w:hint="eastAsia" w:ascii="宋体" w:hAnsi="宋体" w:cs="宋体"/>
          <w:bCs/>
          <w:color w:val="auto"/>
          <w:szCs w:val="21"/>
          <w:highlight w:val="none"/>
          <w:lang w:bidi="ar"/>
        </w:rPr>
        <w:t>全称：</w:t>
      </w:r>
      <w:r>
        <w:rPr>
          <w:rFonts w:hint="eastAsia" w:cs="宋体"/>
          <w:sz w:val="21"/>
          <w:szCs w:val="21"/>
          <w:u w:val="single"/>
          <w:lang w:bidi="ar"/>
        </w:rPr>
        <w:t xml:space="preserve">                    （盖公章）</w:t>
      </w:r>
    </w:p>
    <w:p>
      <w:pPr>
        <w:numPr>
          <w:ilvl w:val="0"/>
          <w:numId w:val="0"/>
        </w:numPr>
        <w:spacing w:line="360" w:lineRule="auto"/>
        <w:ind w:left="400" w:leftChars="0"/>
        <w:jc w:val="right"/>
        <w:rPr>
          <w:rFonts w:hint="eastAsia" w:ascii="宋体" w:hAnsi="宋体" w:cs="宋体"/>
          <w:bCs/>
          <w:color w:val="auto"/>
          <w:szCs w:val="21"/>
          <w:highlight w:val="none"/>
        </w:rPr>
      </w:pPr>
    </w:p>
    <w:p>
      <w:pPr>
        <w:numPr>
          <w:ilvl w:val="0"/>
          <w:numId w:val="0"/>
        </w:numPr>
        <w:spacing w:line="360" w:lineRule="auto"/>
        <w:ind w:left="400" w:leftChars="0"/>
        <w:jc w:val="right"/>
        <w:rPr>
          <w:rFonts w:hint="eastAsia" w:cs="宋体"/>
          <w:sz w:val="21"/>
          <w:szCs w:val="21"/>
          <w:lang w:bidi="ar"/>
        </w:rPr>
      </w:pPr>
      <w:r>
        <w:rPr>
          <w:rFonts w:hint="eastAsia" w:ascii="宋体" w:hAnsi="宋体" w:cs="宋体"/>
          <w:bCs/>
          <w:color w:val="auto"/>
          <w:szCs w:val="21"/>
          <w:highlight w:val="none"/>
        </w:rPr>
        <w:t>日期：</w:t>
      </w:r>
      <w:r>
        <w:rPr>
          <w:rFonts w:hint="eastAsia" w:cs="宋体"/>
          <w:sz w:val="21"/>
          <w:szCs w:val="21"/>
          <w:u w:val="single"/>
          <w:lang w:bidi="ar"/>
        </w:rPr>
        <w:t xml:space="preserve">        </w:t>
      </w:r>
      <w:r>
        <w:rPr>
          <w:rFonts w:hint="eastAsia" w:cs="宋体"/>
          <w:sz w:val="21"/>
          <w:szCs w:val="21"/>
          <w:lang w:bidi="ar"/>
        </w:rPr>
        <w:t xml:space="preserve">年 </w:t>
      </w:r>
      <w:r>
        <w:rPr>
          <w:rFonts w:hint="eastAsia" w:cs="宋体"/>
          <w:sz w:val="21"/>
          <w:szCs w:val="21"/>
          <w:u w:val="single"/>
          <w:lang w:bidi="ar"/>
        </w:rPr>
        <w:t xml:space="preserve">  </w:t>
      </w:r>
      <w:r>
        <w:rPr>
          <w:rFonts w:hint="eastAsia" w:cs="宋体"/>
          <w:sz w:val="21"/>
          <w:szCs w:val="21"/>
          <w:u w:val="single"/>
          <w:lang w:val="en-US" w:eastAsia="zh-CN" w:bidi="ar"/>
        </w:rPr>
        <w:t xml:space="preserve">   </w:t>
      </w:r>
      <w:r>
        <w:rPr>
          <w:rFonts w:hint="eastAsia" w:cs="宋体"/>
          <w:sz w:val="21"/>
          <w:szCs w:val="21"/>
          <w:u w:val="single"/>
          <w:lang w:bidi="ar"/>
        </w:rPr>
        <w:t xml:space="preserve"> </w:t>
      </w:r>
      <w:r>
        <w:rPr>
          <w:rFonts w:hint="eastAsia" w:cs="宋体"/>
          <w:sz w:val="21"/>
          <w:szCs w:val="21"/>
          <w:lang w:bidi="ar"/>
        </w:rPr>
        <w:t>月</w:t>
      </w:r>
      <w:r>
        <w:rPr>
          <w:rFonts w:hint="eastAsia" w:cs="宋体"/>
          <w:sz w:val="21"/>
          <w:szCs w:val="21"/>
          <w:u w:val="single"/>
          <w:lang w:bidi="ar"/>
        </w:rPr>
        <w:t xml:space="preserve">   </w:t>
      </w:r>
      <w:r>
        <w:rPr>
          <w:rFonts w:hint="eastAsia" w:cs="宋体"/>
          <w:sz w:val="21"/>
          <w:szCs w:val="21"/>
          <w:u w:val="single"/>
          <w:lang w:val="en-US" w:eastAsia="zh-CN" w:bidi="ar"/>
        </w:rPr>
        <w:t xml:space="preserve">  </w:t>
      </w:r>
      <w:r>
        <w:rPr>
          <w:rFonts w:hint="eastAsia" w:cs="宋体"/>
          <w:sz w:val="21"/>
          <w:szCs w:val="21"/>
          <w:u w:val="single"/>
          <w:lang w:bidi="ar"/>
        </w:rPr>
        <w:t xml:space="preserve"> </w:t>
      </w:r>
      <w:r>
        <w:rPr>
          <w:rFonts w:hint="eastAsia" w:cs="宋体"/>
          <w:sz w:val="21"/>
          <w:szCs w:val="21"/>
          <w:lang w:bidi="ar"/>
        </w:rPr>
        <w:t>日</w:t>
      </w:r>
    </w:p>
    <w:p>
      <w:pPr>
        <w:numPr>
          <w:ilvl w:val="0"/>
          <w:numId w:val="0"/>
        </w:numPr>
        <w:spacing w:line="360" w:lineRule="auto"/>
        <w:ind w:left="400" w:leftChars="0"/>
        <w:rPr>
          <w:rFonts w:hint="eastAsia" w:ascii="宋体" w:hAnsi="宋体" w:eastAsia="宋体" w:cs="宋体"/>
          <w:szCs w:val="21"/>
          <w:lang w:eastAsia="zh-CN"/>
        </w:rPr>
      </w:pPr>
      <w:r>
        <w:rPr>
          <w:rFonts w:hint="eastAsia" w:ascii="宋体" w:hAnsi="宋体" w:cs="宋体"/>
          <w:szCs w:val="21"/>
          <w:lang w:eastAsia="zh-CN"/>
        </w:rPr>
        <w:t>注：</w:t>
      </w:r>
    </w:p>
    <w:p>
      <w:pPr>
        <w:numPr>
          <w:ilvl w:val="0"/>
          <w:numId w:val="108"/>
        </w:numPr>
        <w:spacing w:line="360" w:lineRule="auto"/>
        <w:ind w:firstLine="420" w:firstLineChars="200"/>
        <w:rPr>
          <w:rFonts w:hint="eastAsia" w:ascii="宋体" w:hAnsi="宋体"/>
          <w:b w:val="0"/>
          <w:bCs w:val="0"/>
          <w:szCs w:val="21"/>
        </w:rPr>
      </w:pPr>
      <w:r>
        <w:rPr>
          <w:rFonts w:hint="eastAsia" w:ascii="宋体" w:hAnsi="宋体"/>
          <w:b w:val="0"/>
          <w:bCs w:val="0"/>
          <w:szCs w:val="21"/>
        </w:rPr>
        <w:t>本</w:t>
      </w:r>
      <w:r>
        <w:rPr>
          <w:rFonts w:hint="eastAsia" w:ascii="宋体" w:hAnsi="宋体"/>
          <w:b w:val="0"/>
          <w:bCs w:val="0"/>
          <w:szCs w:val="21"/>
          <w:lang w:eastAsia="zh-CN"/>
        </w:rPr>
        <w:t>附件必须提供，</w:t>
      </w:r>
      <w:r>
        <w:rPr>
          <w:rFonts w:hint="eastAsia" w:ascii="宋体" w:hAnsi="宋体"/>
          <w:b w:val="0"/>
          <w:bCs w:val="0"/>
          <w:szCs w:val="21"/>
        </w:rPr>
        <w:t xml:space="preserve">不得自行增减内容。 </w:t>
      </w:r>
    </w:p>
    <w:p>
      <w:pPr>
        <w:numPr>
          <w:ilvl w:val="0"/>
          <w:numId w:val="108"/>
        </w:numPr>
        <w:spacing w:line="360" w:lineRule="auto"/>
        <w:ind w:firstLine="420" w:firstLineChars="200"/>
        <w:rPr>
          <w:rFonts w:hint="eastAsia" w:ascii="宋体" w:hAnsi="宋体"/>
          <w:b w:val="0"/>
          <w:bCs w:val="0"/>
          <w:szCs w:val="21"/>
        </w:rPr>
      </w:pPr>
      <w:r>
        <w:rPr>
          <w:rFonts w:hint="eastAsia" w:ascii="宋体" w:hAnsi="宋体"/>
          <w:b w:val="0"/>
          <w:bCs w:val="0"/>
          <w:szCs w:val="21"/>
        </w:rPr>
        <w:t>本项目的物业管理费用应包括在承包区域内提供</w:t>
      </w:r>
      <w:r>
        <w:rPr>
          <w:rFonts w:hint="eastAsia" w:ascii="宋体" w:hAnsi="宋体"/>
          <w:b w:val="0"/>
          <w:bCs w:val="0"/>
          <w:szCs w:val="21"/>
          <w:lang w:eastAsia="zh-CN"/>
        </w:rPr>
        <w:t>物业管理服务</w:t>
      </w:r>
      <w:r>
        <w:rPr>
          <w:rFonts w:hint="eastAsia" w:ascii="宋体" w:hAnsi="宋体"/>
          <w:b w:val="0"/>
          <w:bCs w:val="0"/>
          <w:szCs w:val="21"/>
        </w:rPr>
        <w:t>所需的</w:t>
      </w:r>
      <w:r>
        <w:rPr>
          <w:rFonts w:hint="eastAsia" w:ascii="宋体" w:hAnsi="宋体" w:cs="宋体"/>
          <w:szCs w:val="21"/>
          <w:highlight w:val="none"/>
        </w:rPr>
        <w:t>人工费（人员工资、双休日及法定节假日加班、奖金及社保费）、食宿与交通、服装、安全、仓储、专用设备及工具材料、器械、日常物业耗材费（如保洁用品、一次性用品等，要求卫生间用纸使用质量不得低于星级酒店标准）</w:t>
      </w:r>
      <w:r>
        <w:rPr>
          <w:rFonts w:hint="eastAsia" w:ascii="宋体" w:hAnsi="宋体" w:cs="宋体"/>
          <w:color w:val="auto"/>
          <w:szCs w:val="21"/>
          <w:highlight w:val="none"/>
        </w:rPr>
        <w:t>、</w:t>
      </w:r>
      <w:r>
        <w:rPr>
          <w:rFonts w:hint="eastAsia" w:ascii="宋体" w:hAnsi="宋体" w:cs="宋体"/>
          <w:color w:val="auto"/>
          <w:szCs w:val="21"/>
          <w:highlight w:val="none"/>
          <w:lang w:eastAsia="zh-CN"/>
        </w:rPr>
        <w:t>防疫物资（保障范围的公共区域）、垃圾清运</w:t>
      </w:r>
      <w:r>
        <w:rPr>
          <w:rFonts w:hint="eastAsia" w:ascii="宋体" w:hAnsi="宋体" w:cs="宋体"/>
          <w:szCs w:val="21"/>
          <w:highlight w:val="none"/>
        </w:rPr>
        <w:t>、</w:t>
      </w:r>
      <w:r>
        <w:rPr>
          <w:rFonts w:hint="eastAsia" w:ascii="宋体" w:hAnsi="宋体" w:cs="宋体"/>
          <w:szCs w:val="21"/>
          <w:highlight w:val="none"/>
          <w:lang w:val="en-US" w:eastAsia="zh-CN"/>
        </w:rPr>
        <w:t>所有室内壁挂式空调及立柜式空调清洗、</w:t>
      </w:r>
      <w:r>
        <w:rPr>
          <w:rFonts w:hint="eastAsia"/>
          <w:highlight w:val="none"/>
        </w:rPr>
        <w:t>领导生活房</w:t>
      </w:r>
      <w:r>
        <w:rPr>
          <w:rFonts w:hint="eastAsia"/>
          <w:highlight w:val="none"/>
          <w:lang w:val="en-US" w:eastAsia="zh-CN"/>
        </w:rPr>
        <w:t>设备（</w:t>
      </w:r>
      <w:r>
        <w:rPr>
          <w:rFonts w:hint="eastAsia"/>
          <w:highlight w:val="none"/>
        </w:rPr>
        <w:t>水笼头、喷头、面巾架、开关、灯泡和门锁</w:t>
      </w:r>
      <w:r>
        <w:rPr>
          <w:rFonts w:hint="eastAsia"/>
          <w:highlight w:val="none"/>
          <w:lang w:eastAsia="zh-CN"/>
        </w:rPr>
        <w:t>）</w:t>
      </w:r>
      <w:r>
        <w:rPr>
          <w:rFonts w:hint="eastAsia"/>
          <w:highlight w:val="none"/>
        </w:rPr>
        <w:t>的维修和更换</w:t>
      </w:r>
      <w:r>
        <w:rPr>
          <w:rFonts w:hint="eastAsia"/>
          <w:highlight w:val="none"/>
          <w:lang w:eastAsia="zh-CN"/>
        </w:rPr>
        <w:t>、</w:t>
      </w:r>
      <w:r>
        <w:rPr>
          <w:rFonts w:hint="eastAsia" w:ascii="宋体" w:hAnsi="宋体"/>
          <w:b/>
          <w:bCs/>
          <w:szCs w:val="21"/>
          <w:highlight w:val="none"/>
        </w:rPr>
        <w:t>外墙（玻璃）清洗</w:t>
      </w:r>
      <w:r>
        <w:rPr>
          <w:rFonts w:hint="eastAsia" w:ascii="宋体" w:hAnsi="宋体" w:cs="宋体"/>
          <w:b/>
          <w:bCs/>
          <w:szCs w:val="21"/>
          <w:highlight w:val="none"/>
        </w:rPr>
        <w:t>、地毯清洗、化粪池清理、下水道清理、</w:t>
      </w:r>
      <w:r>
        <w:rPr>
          <w:rFonts w:hint="eastAsia" w:ascii="宋体" w:hAnsi="宋体" w:cs="宋体"/>
          <w:b/>
          <w:bCs/>
          <w:szCs w:val="21"/>
          <w:highlight w:val="none"/>
          <w:lang w:val="en-US" w:eastAsia="zh-CN"/>
        </w:rPr>
        <w:t>水池清洗、</w:t>
      </w:r>
      <w:r>
        <w:rPr>
          <w:rFonts w:hint="eastAsia" w:ascii="宋体" w:hAnsi="宋体" w:cs="宋体"/>
          <w:b/>
          <w:bCs/>
          <w:szCs w:val="21"/>
          <w:highlight w:val="none"/>
        </w:rPr>
        <w:t>隔油池清理、大理石打蜡费用</w:t>
      </w:r>
      <w:r>
        <w:rPr>
          <w:rFonts w:hint="eastAsia"/>
          <w:color w:val="0000FF"/>
          <w:highlight w:val="none"/>
          <w:lang w:eastAsia="zh-CN"/>
        </w:rPr>
        <w:t>，</w:t>
      </w:r>
      <w:r>
        <w:rPr>
          <w:rFonts w:hint="eastAsia" w:ascii="宋体" w:hAnsi="宋体" w:cs="宋体"/>
          <w:b/>
          <w:bCs/>
          <w:szCs w:val="21"/>
          <w:highlight w:val="none"/>
        </w:rPr>
        <w:t>聘请具备相应资质的公司进行专业服务的费用</w:t>
      </w:r>
      <w:r>
        <w:rPr>
          <w:rFonts w:hint="eastAsia" w:ascii="宋体" w:hAnsi="宋体" w:cs="宋体"/>
          <w:b/>
          <w:bCs/>
          <w:color w:val="auto"/>
          <w:szCs w:val="21"/>
          <w:highlight w:val="none"/>
        </w:rPr>
        <w:t>（</w:t>
      </w:r>
      <w:r>
        <w:rPr>
          <w:rFonts w:hint="eastAsia"/>
          <w:b/>
          <w:bCs/>
          <w:color w:val="auto"/>
          <w:szCs w:val="22"/>
          <w:highlight w:val="none"/>
        </w:rPr>
        <w:t>发电机维保、</w:t>
      </w:r>
      <w:r>
        <w:rPr>
          <w:rFonts w:hint="eastAsia"/>
          <w:b/>
          <w:bCs/>
          <w:color w:val="auto"/>
          <w:szCs w:val="22"/>
          <w:highlight w:val="none"/>
          <w:lang w:eastAsia="zh-CN"/>
        </w:rPr>
        <w:t>常压电热锅炉维护调试、</w:t>
      </w:r>
      <w:r>
        <w:rPr>
          <w:rFonts w:hint="eastAsia"/>
          <w:b/>
          <w:bCs/>
          <w:color w:val="auto"/>
          <w:szCs w:val="22"/>
          <w:highlight w:val="none"/>
        </w:rPr>
        <w:t>消防维保及检测、消防器材充装及更换、监控维保、</w:t>
      </w:r>
      <w:r>
        <w:rPr>
          <w:rFonts w:hint="eastAsia"/>
          <w:b/>
          <w:bCs/>
          <w:szCs w:val="22"/>
          <w:highlight w:val="none"/>
        </w:rPr>
        <w:t>会场音响系统和会议中心舞台灯光系统设备、</w:t>
      </w:r>
      <w:r>
        <w:rPr>
          <w:rFonts w:hint="eastAsia"/>
          <w:b/>
          <w:bCs/>
          <w:color w:val="auto"/>
          <w:szCs w:val="22"/>
          <w:highlight w:val="none"/>
        </w:rPr>
        <w:t>防雷检测、高低压配维保及检测、</w:t>
      </w:r>
      <w:r>
        <w:rPr>
          <w:rFonts w:hint="eastAsia"/>
          <w:b/>
          <w:bCs/>
          <w:color w:val="auto"/>
          <w:szCs w:val="22"/>
          <w:highlight w:val="none"/>
          <w:lang w:eastAsia="zh-CN"/>
        </w:rPr>
        <w:t>中央空调维保及检测（</w:t>
      </w:r>
      <w:r>
        <w:rPr>
          <w:rFonts w:hint="eastAsia"/>
          <w:b/>
          <w:bCs/>
          <w:color w:val="auto"/>
          <w:szCs w:val="22"/>
          <w:highlight w:val="none"/>
          <w:lang w:val="en-US" w:eastAsia="zh-CN"/>
        </w:rPr>
        <w:t>不含深度清洗</w:t>
      </w:r>
      <w:r>
        <w:rPr>
          <w:rFonts w:hint="eastAsia"/>
          <w:b/>
          <w:bCs/>
          <w:color w:val="auto"/>
          <w:szCs w:val="22"/>
          <w:highlight w:val="none"/>
          <w:lang w:eastAsia="zh-CN"/>
        </w:rPr>
        <w:t>）、</w:t>
      </w:r>
      <w:r>
        <w:rPr>
          <w:rFonts w:hint="eastAsia"/>
          <w:b/>
          <w:bCs/>
          <w:color w:val="auto"/>
          <w:szCs w:val="22"/>
          <w:highlight w:val="none"/>
        </w:rPr>
        <w:t>电梯维保及检测、</w:t>
      </w:r>
      <w:r>
        <w:rPr>
          <w:rFonts w:hint="eastAsia" w:ascii="宋体" w:hAnsi="宋体"/>
          <w:b/>
          <w:bCs/>
          <w:color w:val="auto"/>
          <w:szCs w:val="21"/>
          <w:highlight w:val="none"/>
        </w:rPr>
        <w:t>生活水池水质检测及清洗、卫生消杀</w:t>
      </w:r>
      <w:r>
        <w:rPr>
          <w:rFonts w:hint="eastAsia" w:ascii="宋体" w:hAnsi="宋体" w:cs="宋体"/>
          <w:b/>
          <w:bCs/>
          <w:szCs w:val="21"/>
          <w:highlight w:val="none"/>
        </w:rPr>
        <w:t>）、</w:t>
      </w:r>
      <w:r>
        <w:rPr>
          <w:rFonts w:hint="eastAsia" w:ascii="宋体" w:hAnsi="宋体" w:cs="宋体"/>
          <w:szCs w:val="21"/>
          <w:highlight w:val="none"/>
        </w:rPr>
        <w:t>管理费用、培训、税费、利润、完成合同所需的一切本身和不可或缺的所有工作开支、政策性文件规定及合同包含的所有风险、责任等各项全部费用。</w:t>
      </w:r>
      <w:r>
        <w:rPr>
          <w:rFonts w:hint="eastAsia" w:ascii="宋体" w:hAnsi="宋体" w:cs="宋体"/>
          <w:szCs w:val="21"/>
          <w:highlight w:val="none"/>
          <w:lang w:val="en-US" w:eastAsia="zh-CN"/>
        </w:rPr>
        <w:t>另，</w:t>
      </w:r>
      <w:r>
        <w:rPr>
          <w:rFonts w:hint="eastAsia"/>
          <w:szCs w:val="22"/>
          <w:highlight w:val="none"/>
          <w:lang w:val="en-US" w:eastAsia="zh-CN"/>
        </w:rPr>
        <w:t>物业管理区域内的</w:t>
      </w:r>
      <w:r>
        <w:rPr>
          <w:rFonts w:hint="eastAsia"/>
          <w:szCs w:val="22"/>
          <w:highlight w:val="none"/>
        </w:rPr>
        <w:t>照明灯泡、水暖设备设施、电器插座、消防设备设施（以进场管理时状况为基准）、</w:t>
      </w:r>
      <w:r>
        <w:rPr>
          <w:rFonts w:hint="eastAsia"/>
          <w:color w:val="auto"/>
          <w:highlight w:val="none"/>
        </w:rPr>
        <w:t>公共设施和指示牌</w:t>
      </w:r>
      <w:r>
        <w:rPr>
          <w:rFonts w:hint="eastAsia"/>
          <w:color w:val="auto"/>
          <w:highlight w:val="none"/>
          <w:lang w:val="en-US" w:eastAsia="zh-CN"/>
        </w:rPr>
        <w:t>、</w:t>
      </w:r>
      <w:r>
        <w:rPr>
          <w:rFonts w:hint="eastAsia"/>
          <w:szCs w:val="22"/>
          <w:highlight w:val="none"/>
        </w:rPr>
        <w:t>会场音响系统和会议中心舞台灯光系统设备</w:t>
      </w:r>
      <w:r>
        <w:rPr>
          <w:rFonts w:hint="eastAsia"/>
          <w:szCs w:val="22"/>
          <w:highlight w:val="none"/>
          <w:lang w:val="en-US" w:eastAsia="zh-CN"/>
        </w:rPr>
        <w:t>的</w:t>
      </w:r>
      <w:r>
        <w:rPr>
          <w:rFonts w:hint="eastAsia"/>
          <w:color w:val="auto"/>
          <w:highlight w:val="none"/>
        </w:rPr>
        <w:t>零星修理</w:t>
      </w:r>
      <w:r>
        <w:rPr>
          <w:rFonts w:hint="eastAsia"/>
          <w:color w:val="auto"/>
          <w:highlight w:val="none"/>
          <w:lang w:val="en-US" w:eastAsia="zh-CN"/>
        </w:rPr>
        <w:t>或</w:t>
      </w:r>
      <w:r>
        <w:rPr>
          <w:rFonts w:hint="eastAsia"/>
          <w:color w:val="auto"/>
          <w:highlight w:val="none"/>
        </w:rPr>
        <w:t>零配件</w:t>
      </w:r>
      <w:r>
        <w:rPr>
          <w:rFonts w:hint="eastAsia"/>
          <w:color w:val="auto"/>
          <w:highlight w:val="none"/>
          <w:lang w:val="en-US" w:eastAsia="zh-CN"/>
        </w:rPr>
        <w:t>更换单件单价</w:t>
      </w:r>
      <w:r>
        <w:rPr>
          <w:rFonts w:hint="eastAsia"/>
          <w:color w:val="auto"/>
          <w:szCs w:val="22"/>
          <w:highlight w:val="none"/>
        </w:rPr>
        <w:t>在1000元（含）以下的由中标</w:t>
      </w:r>
      <w:r>
        <w:rPr>
          <w:rFonts w:hint="eastAsia"/>
          <w:color w:val="auto"/>
          <w:szCs w:val="22"/>
          <w:highlight w:val="none"/>
          <w:lang w:val="en-US" w:eastAsia="zh-CN"/>
        </w:rPr>
        <w:t>人</w:t>
      </w:r>
      <w:r>
        <w:rPr>
          <w:rFonts w:hint="eastAsia"/>
          <w:color w:val="auto"/>
          <w:szCs w:val="22"/>
          <w:highlight w:val="none"/>
        </w:rPr>
        <w:t>负责支付</w:t>
      </w:r>
      <w:r>
        <w:rPr>
          <w:rFonts w:hint="eastAsia"/>
          <w:color w:val="auto"/>
          <w:szCs w:val="22"/>
          <w:highlight w:val="none"/>
          <w:lang w:eastAsia="zh-CN"/>
        </w:rPr>
        <w:t>，</w:t>
      </w:r>
      <w:r>
        <w:rPr>
          <w:rFonts w:hint="eastAsia"/>
          <w:color w:val="auto"/>
          <w:szCs w:val="22"/>
          <w:highlight w:val="none"/>
        </w:rPr>
        <w:t>质量不低于原标准要求</w:t>
      </w:r>
      <w:r>
        <w:rPr>
          <w:rFonts w:hint="eastAsia" w:ascii="宋体" w:hAnsi="宋体"/>
          <w:b w:val="0"/>
          <w:bCs w:val="0"/>
          <w:szCs w:val="21"/>
          <w:lang w:eastAsia="zh-CN"/>
        </w:rPr>
        <w:t>。</w:t>
      </w:r>
    </w:p>
    <w:p>
      <w:pPr>
        <w:numPr>
          <w:ilvl w:val="0"/>
          <w:numId w:val="108"/>
        </w:numPr>
        <w:spacing w:line="360" w:lineRule="auto"/>
        <w:ind w:firstLine="420" w:firstLineChars="200"/>
        <w:rPr>
          <w:rFonts w:hint="eastAsia" w:ascii="宋体" w:hAnsi="宋体"/>
          <w:b w:val="0"/>
          <w:bCs w:val="0"/>
          <w:szCs w:val="21"/>
        </w:rPr>
      </w:pPr>
      <w:r>
        <w:rPr>
          <w:rFonts w:hint="eastAsia" w:ascii="宋体" w:hAnsi="宋体"/>
          <w:b w:val="0"/>
          <w:bCs w:val="0"/>
          <w:szCs w:val="21"/>
        </w:rPr>
        <w:t>以下费用由采购人承担：（1）中央空调系统的深度清洗；（2）公共设施和指示牌的修理更换</w:t>
      </w:r>
      <w:r>
        <w:rPr>
          <w:rFonts w:hint="eastAsia" w:ascii="宋体" w:hAnsi="宋体"/>
          <w:b w:val="0"/>
          <w:bCs w:val="0"/>
          <w:szCs w:val="21"/>
          <w:lang w:val="en-US" w:eastAsia="zh-CN"/>
        </w:rPr>
        <w:t>、</w:t>
      </w:r>
      <w:r>
        <w:rPr>
          <w:rFonts w:hint="eastAsia" w:ascii="宋体" w:hAnsi="宋体"/>
          <w:b w:val="0"/>
          <w:bCs w:val="0"/>
          <w:szCs w:val="21"/>
        </w:rPr>
        <w:t>供水供电</w:t>
      </w:r>
      <w:r>
        <w:rPr>
          <w:rFonts w:hint="eastAsia" w:ascii="宋体" w:hAnsi="宋体"/>
          <w:b w:val="0"/>
          <w:bCs w:val="0"/>
          <w:szCs w:val="21"/>
          <w:lang w:eastAsia="zh-CN"/>
        </w:rPr>
        <w:t>、餐厅设备设施、</w:t>
      </w:r>
      <w:r>
        <w:rPr>
          <w:rFonts w:hint="eastAsia" w:ascii="宋体" w:hAnsi="宋体"/>
          <w:b w:val="0"/>
          <w:bCs w:val="0"/>
          <w:szCs w:val="21"/>
          <w:lang w:val="en-US" w:eastAsia="zh-CN"/>
        </w:rPr>
        <w:t>餐厅灯具</w:t>
      </w:r>
      <w:r>
        <w:rPr>
          <w:rFonts w:hint="eastAsia" w:ascii="宋体" w:hAnsi="宋体"/>
          <w:b w:val="0"/>
          <w:bCs w:val="0"/>
          <w:szCs w:val="21"/>
        </w:rPr>
        <w:t>及智能线路系统零星修理</w:t>
      </w:r>
      <w:r>
        <w:rPr>
          <w:rFonts w:hint="eastAsia" w:ascii="宋体" w:hAnsi="宋体"/>
          <w:b w:val="0"/>
          <w:bCs w:val="0"/>
          <w:szCs w:val="21"/>
          <w:lang w:val="en-US" w:eastAsia="zh-CN"/>
        </w:rPr>
        <w:t>或</w:t>
      </w:r>
      <w:r>
        <w:rPr>
          <w:rFonts w:hint="eastAsia" w:ascii="宋体" w:hAnsi="宋体"/>
          <w:b w:val="0"/>
          <w:bCs w:val="0"/>
          <w:szCs w:val="21"/>
        </w:rPr>
        <w:t>零配件更换</w:t>
      </w:r>
      <w:r>
        <w:rPr>
          <w:rFonts w:hint="eastAsia" w:ascii="宋体" w:hAnsi="宋体"/>
          <w:b w:val="0"/>
          <w:bCs w:val="0"/>
          <w:szCs w:val="21"/>
          <w:lang w:val="en-US" w:eastAsia="zh-CN"/>
        </w:rPr>
        <w:t>单件单价</w:t>
      </w:r>
      <w:r>
        <w:rPr>
          <w:rFonts w:hint="eastAsia" w:ascii="宋体" w:hAnsi="宋体"/>
          <w:b w:val="0"/>
          <w:bCs w:val="0"/>
          <w:szCs w:val="21"/>
        </w:rPr>
        <w:t>超过1000元</w:t>
      </w:r>
      <w:r>
        <w:rPr>
          <w:rFonts w:hint="eastAsia" w:ascii="宋体" w:hAnsi="宋体"/>
          <w:b w:val="0"/>
          <w:bCs w:val="0"/>
          <w:szCs w:val="21"/>
          <w:lang w:eastAsia="zh-CN"/>
        </w:rPr>
        <w:t>，</w:t>
      </w:r>
      <w:r>
        <w:rPr>
          <w:rFonts w:hint="eastAsia" w:ascii="宋体" w:hAnsi="宋体"/>
          <w:b w:val="0"/>
          <w:bCs w:val="0"/>
          <w:szCs w:val="21"/>
          <w:lang w:val="en-US" w:eastAsia="zh-CN"/>
        </w:rPr>
        <w:t>由中标人提出采购清单及要求，经采购人</w:t>
      </w:r>
      <w:r>
        <w:rPr>
          <w:rFonts w:hint="eastAsia" w:ascii="宋体" w:hAnsi="宋体"/>
          <w:b w:val="0"/>
          <w:bCs w:val="0"/>
          <w:szCs w:val="21"/>
        </w:rPr>
        <w:t>和经办人员签字确</w:t>
      </w:r>
      <w:r>
        <w:rPr>
          <w:rFonts w:hint="eastAsia" w:ascii="宋体" w:hAnsi="宋体"/>
          <w:b w:val="0"/>
          <w:bCs w:val="0"/>
          <w:szCs w:val="21"/>
          <w:lang w:eastAsia="zh-CN"/>
        </w:rPr>
        <w:t>认</w:t>
      </w:r>
      <w:r>
        <w:rPr>
          <w:rFonts w:hint="eastAsia" w:ascii="宋体" w:hAnsi="宋体"/>
          <w:b w:val="0"/>
          <w:bCs w:val="0"/>
          <w:szCs w:val="21"/>
          <w:lang w:val="en-US" w:eastAsia="zh-CN"/>
        </w:rPr>
        <w:t>后提供；</w:t>
      </w:r>
      <w:r>
        <w:rPr>
          <w:rFonts w:hint="eastAsia" w:ascii="宋体" w:hAnsi="宋体"/>
          <w:b w:val="0"/>
          <w:bCs w:val="0"/>
          <w:color w:val="auto"/>
          <w:szCs w:val="21"/>
        </w:rPr>
        <w:t>（3）</w:t>
      </w:r>
      <w:r>
        <w:rPr>
          <w:rFonts w:hint="eastAsia" w:ascii="宋体" w:hAnsi="宋体"/>
          <w:b w:val="0"/>
          <w:bCs w:val="0"/>
          <w:color w:val="auto"/>
          <w:szCs w:val="21"/>
          <w:lang w:eastAsia="zh-CN"/>
        </w:rPr>
        <w:t>理发用品、茶叶、特殊杯；</w:t>
      </w:r>
      <w:r>
        <w:rPr>
          <w:rFonts w:hint="eastAsia" w:ascii="宋体" w:hAnsi="宋体"/>
          <w:b w:val="0"/>
          <w:bCs w:val="0"/>
          <w:szCs w:val="21"/>
          <w:lang w:eastAsia="zh-CN"/>
        </w:rPr>
        <w:t>（</w:t>
      </w:r>
      <w:r>
        <w:rPr>
          <w:rFonts w:hint="eastAsia" w:ascii="宋体" w:hAnsi="宋体"/>
          <w:b w:val="0"/>
          <w:bCs w:val="0"/>
          <w:szCs w:val="21"/>
          <w:lang w:val="en-US" w:eastAsia="zh-CN"/>
        </w:rPr>
        <w:t>4</w:t>
      </w:r>
      <w:r>
        <w:rPr>
          <w:rFonts w:hint="eastAsia" w:ascii="宋体" w:hAnsi="宋体"/>
          <w:b w:val="0"/>
          <w:bCs w:val="0"/>
          <w:szCs w:val="21"/>
          <w:lang w:eastAsia="zh-CN"/>
        </w:rPr>
        <w:t>）</w:t>
      </w:r>
      <w:r>
        <w:rPr>
          <w:rFonts w:hint="eastAsia" w:ascii="宋体" w:hAnsi="宋体"/>
          <w:b w:val="0"/>
          <w:bCs w:val="0"/>
          <w:szCs w:val="21"/>
        </w:rPr>
        <w:t>设备设施进行系统改造和大批量维修</w:t>
      </w:r>
      <w:r>
        <w:rPr>
          <w:rFonts w:hint="eastAsia" w:ascii="宋体" w:hAnsi="宋体"/>
          <w:b w:val="0"/>
          <w:bCs w:val="0"/>
          <w:szCs w:val="21"/>
          <w:lang w:eastAsia="zh-CN"/>
        </w:rPr>
        <w:t>。</w:t>
      </w:r>
    </w:p>
    <w:p>
      <w:pPr>
        <w:numPr>
          <w:ilvl w:val="0"/>
          <w:numId w:val="108"/>
        </w:numPr>
        <w:spacing w:line="360" w:lineRule="auto"/>
        <w:ind w:firstLine="420" w:firstLineChars="200"/>
        <w:rPr>
          <w:rFonts w:hint="eastAsia" w:ascii="宋体" w:hAnsi="宋体"/>
          <w:b w:val="0"/>
          <w:bCs w:val="0"/>
          <w:szCs w:val="21"/>
        </w:rPr>
      </w:pPr>
      <w:r>
        <w:rPr>
          <w:rFonts w:hint="eastAsia" w:ascii="宋体" w:hAnsi="宋体"/>
          <w:b w:val="0"/>
          <w:bCs w:val="0"/>
          <w:szCs w:val="21"/>
        </w:rPr>
        <w:t>本</w:t>
      </w:r>
      <w:r>
        <w:rPr>
          <w:rFonts w:hint="eastAsia" w:ascii="宋体" w:hAnsi="宋体"/>
          <w:b w:val="0"/>
          <w:bCs w:val="0"/>
          <w:szCs w:val="21"/>
          <w:lang w:eastAsia="zh-CN"/>
        </w:rPr>
        <w:t>附件</w:t>
      </w:r>
      <w:r>
        <w:rPr>
          <w:rFonts w:hint="eastAsia" w:ascii="宋体" w:hAnsi="宋体"/>
          <w:b w:val="0"/>
          <w:bCs w:val="0"/>
          <w:szCs w:val="21"/>
        </w:rPr>
        <w:t>中投标总价应与报价明细表的“投标总价”相一致。</w:t>
      </w:r>
    </w:p>
    <w:p>
      <w:pPr>
        <w:numPr>
          <w:ilvl w:val="0"/>
          <w:numId w:val="0"/>
        </w:numPr>
        <w:spacing w:line="360" w:lineRule="auto"/>
        <w:ind w:left="400" w:leftChars="0"/>
        <w:rPr>
          <w:rFonts w:hint="eastAsia" w:ascii="宋体" w:hAnsi="宋体"/>
          <w:b/>
          <w:szCs w:val="21"/>
        </w:rPr>
      </w:pPr>
      <w:r>
        <w:rPr>
          <w:rFonts w:hint="eastAsia" w:ascii="宋体" w:hAnsi="宋体"/>
          <w:b/>
          <w:bCs w:val="0"/>
          <w:szCs w:val="21"/>
        </w:rPr>
        <w:t xml:space="preserve">                                  </w:t>
      </w:r>
    </w:p>
    <w:p>
      <w:pPr>
        <w:spacing w:line="400" w:lineRule="atLeast"/>
        <w:rPr>
          <w:rFonts w:hint="eastAsia" w:ascii="宋体" w:hAnsi="宋体"/>
          <w:b/>
          <w:szCs w:val="21"/>
        </w:rPr>
      </w:pPr>
    </w:p>
    <w:p>
      <w:pPr>
        <w:pStyle w:val="3"/>
        <w:pageBreakBefore/>
        <w:spacing w:before="78" w:beforeLines="25" w:after="0" w:line="360" w:lineRule="auto"/>
        <w:jc w:val="center"/>
        <w:outlineLvl w:val="0"/>
        <w:rPr>
          <w:rFonts w:hint="eastAsia" w:cs="宋体"/>
          <w:b/>
          <w:bCs/>
          <w:lang w:val="en-US" w:eastAsia="zh-CN"/>
        </w:rPr>
      </w:pPr>
      <w:bookmarkStart w:id="1376" w:name="_Toc20933"/>
      <w:bookmarkStart w:id="1377" w:name="_Toc17651"/>
      <w:bookmarkStart w:id="1378" w:name="_Toc9460"/>
      <w:bookmarkStart w:id="1379" w:name="_Toc19079"/>
      <w:bookmarkStart w:id="1380" w:name="_Toc619"/>
      <w:bookmarkStart w:id="1381" w:name="_Toc13167"/>
      <w:bookmarkStart w:id="1382" w:name="_Toc1927"/>
      <w:bookmarkStart w:id="1383" w:name="_Toc16026"/>
      <w:bookmarkStart w:id="1384" w:name="_Toc7960"/>
      <w:bookmarkStart w:id="1385" w:name="_Toc15997"/>
      <w:bookmarkStart w:id="1386" w:name="_Toc14445"/>
      <w:bookmarkStart w:id="1387" w:name="_Toc17728"/>
      <w:bookmarkStart w:id="1388" w:name="_Toc22000"/>
      <w:bookmarkStart w:id="1389" w:name="_Toc3547"/>
      <w:bookmarkStart w:id="1390" w:name="_Toc9011"/>
      <w:bookmarkStart w:id="1391" w:name="_Toc22811"/>
      <w:bookmarkStart w:id="1392" w:name="_Toc12964"/>
      <w:bookmarkStart w:id="1393" w:name="_Toc18551"/>
      <w:bookmarkStart w:id="1394" w:name="_Toc22187"/>
      <w:bookmarkStart w:id="1395" w:name="_Toc11002"/>
      <w:bookmarkStart w:id="1396" w:name="_Toc3801"/>
      <w:bookmarkStart w:id="1397" w:name="_Toc31559"/>
      <w:bookmarkStart w:id="1398" w:name="_Toc21896"/>
      <w:bookmarkStart w:id="1399" w:name="_Toc6814"/>
      <w:bookmarkStart w:id="1400" w:name="_Toc12274"/>
      <w:bookmarkStart w:id="1401" w:name="_Toc13758"/>
      <w:bookmarkStart w:id="1402" w:name="_Toc8748"/>
      <w:bookmarkStart w:id="1403" w:name="_Toc17078"/>
      <w:bookmarkStart w:id="1404" w:name="_Toc31144"/>
      <w:bookmarkStart w:id="1405" w:name="_Toc61254393"/>
      <w:bookmarkStart w:id="1406" w:name="_Toc508374438"/>
      <w:bookmarkStart w:id="1407" w:name="_Toc14250"/>
      <w:bookmarkStart w:id="1408" w:name="_Toc511914546"/>
      <w:bookmarkStart w:id="1409" w:name="_Toc525894355"/>
      <w:bookmarkStart w:id="1410" w:name="_Toc515011115"/>
      <w:bookmarkStart w:id="1411" w:name="_Toc477786247"/>
      <w:bookmarkStart w:id="1412" w:name="_Toc515027446"/>
      <w:bookmarkStart w:id="1413" w:name="_Toc24071"/>
      <w:r>
        <w:rPr>
          <w:rFonts w:hint="eastAsia" w:cs="宋体"/>
          <w:b/>
          <w:bCs/>
          <w:lang w:val="en-US" w:eastAsia="zh-CN"/>
        </w:rPr>
        <w:t>附件十三  报价明细表</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spacing w:line="400" w:lineRule="atLeast"/>
        <w:rPr>
          <w:rFonts w:hint="eastAsia"/>
          <w:b w:val="0"/>
          <w:bCs w:val="0"/>
        </w:rPr>
      </w:pPr>
      <w:r>
        <w:rPr>
          <w:rFonts w:hint="eastAsia" w:ascii="宋体" w:hAnsi="宋体" w:cs="Arial Unicode MS"/>
          <w:b w:val="0"/>
          <w:bCs w:val="0"/>
          <w:sz w:val="22"/>
          <w:szCs w:val="22"/>
          <w:lang w:val="en-US" w:eastAsia="zh-CN"/>
        </w:rPr>
        <w:t>项目编号：</w:t>
      </w:r>
      <w:r>
        <w:rPr>
          <w:rFonts w:hint="eastAsia" w:ascii="Arial" w:hAnsi="Arial" w:eastAsia="宋体" w:cs="Arial"/>
          <w:sz w:val="21"/>
          <w:szCs w:val="21"/>
          <w:u w:val="none"/>
          <w:lang w:val="en-US" w:eastAsia="zh-CN"/>
        </w:rPr>
        <w:t>RAJC20230712</w:t>
      </w:r>
      <w:r>
        <w:rPr>
          <w:rFonts w:hint="eastAsia" w:ascii="宋体" w:hAnsi="宋体" w:cs="Arial Unicode MS"/>
          <w:b w:val="0"/>
          <w:bCs w:val="0"/>
          <w:sz w:val="22"/>
          <w:szCs w:val="22"/>
          <w:lang w:val="en-US" w:eastAsia="zh-CN"/>
        </w:rPr>
        <w:t xml:space="preserve">                                      </w:t>
      </w:r>
      <w:r>
        <w:rPr>
          <w:rFonts w:hint="eastAsia"/>
          <w:b w:val="0"/>
          <w:bCs w:val="0"/>
        </w:rPr>
        <w:t>单位：人民币元</w:t>
      </w:r>
    </w:p>
    <w:tbl>
      <w:tblPr>
        <w:tblStyle w:val="38"/>
        <w:tblW w:w="0" w:type="auto"/>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2"/>
        <w:gridCol w:w="2111"/>
        <w:gridCol w:w="855"/>
        <w:gridCol w:w="1140"/>
        <w:gridCol w:w="1725"/>
        <w:gridCol w:w="1860"/>
        <w:gridCol w:w="6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b/>
                <w:szCs w:val="21"/>
              </w:rPr>
            </w:pPr>
            <w:r>
              <w:rPr>
                <w:rFonts w:hint="eastAsia" w:ascii="Times New Roman" w:hAnsi="Times New Roman" w:cs="宋体"/>
                <w:b/>
                <w:szCs w:val="21"/>
              </w:rPr>
              <w:t>序号</w:t>
            </w:r>
          </w:p>
        </w:tc>
        <w:tc>
          <w:tcPr>
            <w:tcW w:w="2111"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b/>
                <w:szCs w:val="21"/>
              </w:rPr>
            </w:pPr>
            <w:r>
              <w:rPr>
                <w:rFonts w:hint="eastAsia" w:ascii="Times New Roman" w:hAnsi="Times New Roman" w:cs="宋体"/>
                <w:b/>
                <w:szCs w:val="21"/>
              </w:rPr>
              <w:t>费用名称</w:t>
            </w:r>
          </w:p>
        </w:tc>
        <w:tc>
          <w:tcPr>
            <w:tcW w:w="5580" w:type="dxa"/>
            <w:gridSpan w:val="4"/>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208" w:rightChars="-99"/>
              <w:jc w:val="center"/>
              <w:rPr>
                <w:rFonts w:hint="eastAsia" w:ascii="Times New Roman" w:hAnsi="Times New Roman" w:cs="宋体"/>
                <w:b/>
                <w:szCs w:val="21"/>
              </w:rPr>
            </w:pPr>
            <w:r>
              <w:rPr>
                <w:rFonts w:hint="eastAsia" w:ascii="Times New Roman" w:hAnsi="Times New Roman" w:cs="宋体"/>
                <w:b/>
                <w:szCs w:val="21"/>
              </w:rPr>
              <w:t>金额</w:t>
            </w: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b/>
                <w:szCs w:val="21"/>
              </w:rPr>
            </w:pPr>
            <w:r>
              <w:rPr>
                <w:rFonts w:hint="eastAsia" w:ascii="Times New Roman" w:hAnsi="Times New Roman" w:cs="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6"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b/>
                <w:szCs w:val="21"/>
              </w:rPr>
            </w:pPr>
            <w:r>
              <w:rPr>
                <w:rFonts w:hint="eastAsia" w:ascii="Times New Roman" w:hAnsi="Times New Roman" w:cs="宋体"/>
                <w:szCs w:val="21"/>
              </w:rPr>
              <w:t>（一）</w:t>
            </w:r>
          </w:p>
        </w:tc>
        <w:tc>
          <w:tcPr>
            <w:tcW w:w="2111"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b/>
                <w:szCs w:val="21"/>
              </w:rPr>
            </w:pPr>
            <w:r>
              <w:rPr>
                <w:rFonts w:hint="eastAsia" w:ascii="Times New Roman" w:hAnsi="Times New Roman" w:cs="宋体"/>
                <w:szCs w:val="21"/>
              </w:rPr>
              <w:t>人员</w:t>
            </w:r>
          </w:p>
        </w:tc>
        <w:tc>
          <w:tcPr>
            <w:tcW w:w="855"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firstLine="100" w:firstLineChars="48"/>
              <w:jc w:val="center"/>
              <w:rPr>
                <w:rFonts w:hint="eastAsia" w:ascii="Times New Roman" w:hAnsi="Times New Roman" w:cs="宋体"/>
                <w:bCs/>
                <w:szCs w:val="21"/>
              </w:rPr>
            </w:pPr>
            <w:r>
              <w:rPr>
                <w:rFonts w:hint="eastAsia" w:ascii="Times New Roman" w:hAnsi="Times New Roman" w:cs="宋体"/>
                <w:bCs/>
                <w:szCs w:val="21"/>
                <w:lang w:val="en-US" w:eastAsia="zh-CN"/>
              </w:rPr>
              <w:t>人数</w:t>
            </w:r>
          </w:p>
        </w:tc>
        <w:tc>
          <w:tcPr>
            <w:tcW w:w="114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leftChars="0" w:right="0" w:firstLine="0" w:firstLineChars="0"/>
              <w:jc w:val="center"/>
              <w:rPr>
                <w:rFonts w:hint="eastAsia" w:ascii="Times New Roman" w:hAnsi="Times New Roman" w:cs="宋体"/>
                <w:bCs/>
                <w:szCs w:val="21"/>
                <w:lang w:val="en-US" w:eastAsia="zh-CN"/>
              </w:rPr>
            </w:pPr>
            <w:r>
              <w:rPr>
                <w:rFonts w:hint="eastAsia" w:ascii="Times New Roman" w:hAnsi="Times New Roman" w:cs="宋体"/>
                <w:bCs/>
                <w:szCs w:val="21"/>
                <w:lang w:val="en-US" w:eastAsia="zh-CN"/>
              </w:rPr>
              <w:t>月工资（元/月）</w:t>
            </w:r>
          </w:p>
        </w:tc>
        <w:tc>
          <w:tcPr>
            <w:tcW w:w="1725"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44" w:rightChars="-21"/>
              <w:jc w:val="both"/>
              <w:rPr>
                <w:rFonts w:hint="eastAsia" w:ascii="Times New Roman" w:hAnsi="Times New Roman" w:eastAsia="宋体" w:cs="宋体"/>
                <w:bCs/>
                <w:szCs w:val="21"/>
                <w:lang w:val="en-US" w:eastAsia="zh-CN"/>
              </w:rPr>
            </w:pPr>
            <w:r>
              <w:rPr>
                <w:rFonts w:hint="eastAsia" w:ascii="Times New Roman" w:hAnsi="Times New Roman" w:eastAsia="宋体" w:cs="宋体"/>
                <w:bCs/>
                <w:szCs w:val="21"/>
                <w:lang w:val="en-US" w:eastAsia="zh-CN"/>
              </w:rPr>
              <w:t>月工资合计（月工资*人数）（元）</w:t>
            </w:r>
          </w:p>
        </w:tc>
        <w:tc>
          <w:tcPr>
            <w:tcW w:w="186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29" w:rightChars="-14"/>
              <w:jc w:val="center"/>
              <w:rPr>
                <w:rFonts w:hint="eastAsia" w:ascii="Times New Roman" w:hAnsi="Times New Roman" w:cs="宋体"/>
                <w:bCs/>
                <w:szCs w:val="21"/>
                <w:lang w:val="en-US" w:eastAsia="zh-CN"/>
              </w:rPr>
            </w:pPr>
            <w:r>
              <w:rPr>
                <w:rFonts w:hint="eastAsia" w:ascii="Times New Roman" w:hAnsi="Times New Roman" w:cs="宋体"/>
                <w:bCs/>
                <w:szCs w:val="21"/>
                <w:lang w:val="en-US" w:eastAsia="zh-CN"/>
              </w:rPr>
              <w:t>年工资合计（月工资合计*12）（元）</w:t>
            </w: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default" w:ascii="Times New Roman" w:hAnsi="Times New Roman" w:eastAsia="宋体" w:cs="宋体"/>
                <w:bCs/>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r>
              <w:rPr>
                <w:rFonts w:hint="eastAsia" w:ascii="Times New Roman" w:hAnsi="Times New Roman" w:cs="宋体"/>
                <w:szCs w:val="21"/>
              </w:rPr>
              <w:t>1</w:t>
            </w:r>
          </w:p>
        </w:tc>
        <w:tc>
          <w:tcPr>
            <w:tcW w:w="2111" w:type="dxa"/>
            <w:tcBorders>
              <w:right w:val="single" w:color="auto" w:sz="4" w:space="0"/>
            </w:tcBorders>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Times New Roman" w:hAnsi="Times New Roman" w:cs="宋体"/>
                <w:szCs w:val="21"/>
              </w:rPr>
            </w:pPr>
            <w:r>
              <w:rPr>
                <w:rFonts w:hint="eastAsia" w:ascii="Times New Roman" w:hAnsi="Times New Roman" w:cs="Times New Roman"/>
                <w:szCs w:val="20"/>
                <w:lang w:val="en-US" w:eastAsia="zh-CN"/>
              </w:rPr>
              <w:t>项目负责人</w:t>
            </w:r>
          </w:p>
        </w:tc>
        <w:tc>
          <w:tcPr>
            <w:tcW w:w="855"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val="en-US" w:eastAsia="zh-CN"/>
              </w:rPr>
            </w:pPr>
          </w:p>
        </w:tc>
        <w:tc>
          <w:tcPr>
            <w:tcW w:w="114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725"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86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r>
              <w:rPr>
                <w:rFonts w:hint="eastAsia" w:ascii="Times New Roman" w:hAnsi="Times New Roman" w:cs="宋体"/>
                <w:szCs w:val="21"/>
              </w:rPr>
              <w:t>2</w:t>
            </w:r>
          </w:p>
        </w:tc>
        <w:tc>
          <w:tcPr>
            <w:tcW w:w="2111" w:type="dxa"/>
            <w:tcBorders>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s="Times New Roman"/>
                <w:bCs/>
                <w:szCs w:val="21"/>
              </w:rPr>
            </w:pPr>
            <w:r>
              <w:rPr>
                <w:rFonts w:hint="eastAsia" w:ascii="宋体" w:hAnsi="宋体" w:cs="Times New Roman"/>
                <w:bCs/>
                <w:szCs w:val="21"/>
              </w:rPr>
              <w:t>保安主管</w:t>
            </w:r>
          </w:p>
          <w:p>
            <w:pPr>
              <w:keepNext w:val="0"/>
              <w:keepLines w:val="0"/>
              <w:widowControl/>
              <w:suppressLineNumbers w:val="0"/>
              <w:snapToGrid w:val="0"/>
              <w:spacing w:before="0" w:beforeAutospacing="0" w:after="0" w:afterAutospacing="0" w:line="124" w:lineRule="atLeast"/>
              <w:ind w:left="0" w:right="0" w:firstLine="210" w:firstLineChars="100"/>
              <w:rPr>
                <w:rFonts w:hint="eastAsia" w:ascii="Times New Roman" w:hAnsi="Times New Roman" w:cs="宋体"/>
                <w:szCs w:val="21"/>
                <w:lang w:val="en-US"/>
              </w:rPr>
            </w:pPr>
          </w:p>
        </w:tc>
        <w:tc>
          <w:tcPr>
            <w:tcW w:w="855"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val="en-US" w:eastAsia="zh-CN"/>
              </w:rPr>
            </w:pPr>
          </w:p>
        </w:tc>
        <w:tc>
          <w:tcPr>
            <w:tcW w:w="114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725"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86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val="en-US" w:eastAsia="zh-CN"/>
              </w:rPr>
            </w:pPr>
            <w:r>
              <w:rPr>
                <w:rFonts w:hint="eastAsia" w:ascii="Times New Roman" w:hAnsi="Times New Roman" w:cs="宋体"/>
                <w:szCs w:val="21"/>
                <w:lang w:val="en-US" w:eastAsia="zh-CN"/>
              </w:rPr>
              <w:t xml:space="preserve"> </w:t>
            </w: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r>
              <w:rPr>
                <w:rFonts w:hint="eastAsia" w:ascii="Times New Roman" w:hAnsi="Times New Roman" w:cs="宋体"/>
                <w:szCs w:val="21"/>
              </w:rPr>
              <w:t>3</w:t>
            </w:r>
          </w:p>
        </w:tc>
        <w:tc>
          <w:tcPr>
            <w:tcW w:w="2111" w:type="dxa"/>
            <w:tcBorders>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s="Times New Roman"/>
                <w:bCs/>
                <w:szCs w:val="21"/>
              </w:rPr>
            </w:pPr>
            <w:r>
              <w:rPr>
                <w:rFonts w:hint="eastAsia" w:ascii="宋体" w:hAnsi="宋体" w:cs="Times New Roman"/>
                <w:bCs/>
                <w:szCs w:val="21"/>
              </w:rPr>
              <w:t>设备主管</w:t>
            </w:r>
          </w:p>
          <w:p>
            <w:pPr>
              <w:keepNext w:val="0"/>
              <w:keepLines w:val="0"/>
              <w:widowControl/>
              <w:suppressLineNumbers w:val="0"/>
              <w:snapToGrid w:val="0"/>
              <w:spacing w:before="0" w:beforeAutospacing="0" w:after="0" w:afterAutospacing="0" w:line="124" w:lineRule="atLeast"/>
              <w:ind w:left="0" w:right="0"/>
              <w:jc w:val="center"/>
              <w:rPr>
                <w:rFonts w:hint="eastAsia" w:ascii="Times New Roman" w:hAnsi="Times New Roman" w:cs="宋体"/>
                <w:szCs w:val="21"/>
              </w:rPr>
            </w:pPr>
          </w:p>
        </w:tc>
        <w:tc>
          <w:tcPr>
            <w:tcW w:w="855"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val="en-US" w:eastAsia="zh-CN"/>
              </w:rPr>
            </w:pPr>
          </w:p>
        </w:tc>
        <w:tc>
          <w:tcPr>
            <w:tcW w:w="114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725"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86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r>
              <w:rPr>
                <w:rFonts w:hint="eastAsia" w:ascii="Times New Roman" w:hAnsi="Times New Roman" w:cs="宋体"/>
                <w:szCs w:val="21"/>
              </w:rPr>
              <w:t>4</w:t>
            </w:r>
          </w:p>
        </w:tc>
        <w:tc>
          <w:tcPr>
            <w:tcW w:w="2111" w:type="dxa"/>
            <w:tcBorders>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s="Times New Roman"/>
                <w:bCs/>
                <w:szCs w:val="21"/>
                <w:highlight w:val="none"/>
              </w:rPr>
            </w:pPr>
            <w:r>
              <w:rPr>
                <w:rFonts w:hint="eastAsia" w:ascii="宋体" w:hAnsi="宋体" w:cs="Times New Roman"/>
                <w:bCs/>
                <w:szCs w:val="21"/>
                <w:highlight w:val="none"/>
              </w:rPr>
              <w:t>保洁主管</w:t>
            </w:r>
          </w:p>
          <w:p>
            <w:pPr>
              <w:keepNext w:val="0"/>
              <w:keepLines w:val="0"/>
              <w:widowControl/>
              <w:suppressLineNumbers w:val="0"/>
              <w:snapToGrid w:val="0"/>
              <w:spacing w:before="0" w:beforeAutospacing="0" w:after="0" w:afterAutospacing="0" w:line="124" w:lineRule="atLeast"/>
              <w:ind w:left="0" w:right="0"/>
              <w:jc w:val="center"/>
              <w:rPr>
                <w:rFonts w:hint="eastAsia" w:ascii="Times New Roman" w:hAnsi="Times New Roman" w:cs="宋体"/>
                <w:szCs w:val="21"/>
                <w:highlight w:val="none"/>
              </w:rPr>
            </w:pPr>
          </w:p>
        </w:tc>
        <w:tc>
          <w:tcPr>
            <w:tcW w:w="855"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val="en-US" w:eastAsia="zh-CN"/>
              </w:rPr>
            </w:pPr>
          </w:p>
        </w:tc>
        <w:tc>
          <w:tcPr>
            <w:tcW w:w="114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725"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86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r>
              <w:rPr>
                <w:rFonts w:hint="eastAsia" w:ascii="Times New Roman" w:hAnsi="Times New Roman" w:cs="宋体"/>
                <w:szCs w:val="21"/>
              </w:rPr>
              <w:t>5</w:t>
            </w:r>
          </w:p>
        </w:tc>
        <w:tc>
          <w:tcPr>
            <w:tcW w:w="2111" w:type="dxa"/>
            <w:tcBorders>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s="Times New Roman"/>
                <w:bCs/>
                <w:szCs w:val="21"/>
                <w:highlight w:val="none"/>
              </w:rPr>
            </w:pPr>
            <w:r>
              <w:rPr>
                <w:rFonts w:hint="eastAsia" w:ascii="宋体" w:hAnsi="宋体" w:cs="Times New Roman"/>
                <w:bCs/>
                <w:szCs w:val="21"/>
                <w:highlight w:val="none"/>
              </w:rPr>
              <w:t>会务主管</w:t>
            </w:r>
          </w:p>
          <w:p>
            <w:pPr>
              <w:keepNext w:val="0"/>
              <w:keepLines w:val="0"/>
              <w:widowControl/>
              <w:suppressLineNumbers w:val="0"/>
              <w:snapToGrid w:val="0"/>
              <w:spacing w:before="0" w:beforeAutospacing="0" w:after="0" w:afterAutospacing="0" w:line="124" w:lineRule="atLeast"/>
              <w:ind w:left="0" w:right="0"/>
              <w:jc w:val="center"/>
              <w:rPr>
                <w:rFonts w:hint="eastAsia" w:ascii="Times New Roman" w:hAnsi="Times New Roman" w:cs="宋体"/>
                <w:szCs w:val="20"/>
                <w:highlight w:val="none"/>
              </w:rPr>
            </w:pPr>
          </w:p>
        </w:tc>
        <w:tc>
          <w:tcPr>
            <w:tcW w:w="855"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val="en-US" w:eastAsia="zh-CN"/>
              </w:rPr>
            </w:pPr>
          </w:p>
        </w:tc>
        <w:tc>
          <w:tcPr>
            <w:tcW w:w="114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725"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86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r>
              <w:rPr>
                <w:rFonts w:hint="eastAsia" w:ascii="Times New Roman" w:hAnsi="Times New Roman" w:cs="宋体"/>
                <w:szCs w:val="21"/>
              </w:rPr>
              <w:t>6</w:t>
            </w:r>
          </w:p>
        </w:tc>
        <w:tc>
          <w:tcPr>
            <w:tcW w:w="2111" w:type="dxa"/>
            <w:tcBorders>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Times New Roman" w:hAnsi="Times New Roman" w:cs="宋体"/>
                <w:szCs w:val="20"/>
              </w:rPr>
            </w:pPr>
            <w:r>
              <w:rPr>
                <w:rFonts w:hint="eastAsia" w:ascii="宋体" w:hAnsi="宋体" w:cs="Times New Roman"/>
                <w:bCs/>
                <w:color w:val="000000"/>
                <w:szCs w:val="21"/>
              </w:rPr>
              <w:t>秩序维护员</w:t>
            </w:r>
          </w:p>
        </w:tc>
        <w:tc>
          <w:tcPr>
            <w:tcW w:w="855"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14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725"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86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val="en-US" w:eastAsia="zh-CN"/>
              </w:rPr>
            </w:pPr>
            <w:r>
              <w:rPr>
                <w:rFonts w:hint="eastAsia" w:ascii="Times New Roman" w:hAnsi="Times New Roman" w:cs="宋体"/>
                <w:szCs w:val="21"/>
                <w:lang w:val="en-US" w:eastAsia="zh-CN"/>
              </w:rPr>
              <w:t>7</w:t>
            </w:r>
          </w:p>
        </w:tc>
        <w:tc>
          <w:tcPr>
            <w:tcW w:w="2111" w:type="dxa"/>
            <w:tcBorders>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Times New Roman" w:hAnsi="Times New Roman" w:cs="Times New Roman"/>
                <w:szCs w:val="20"/>
              </w:rPr>
            </w:pPr>
            <w:r>
              <w:rPr>
                <w:rFonts w:hint="eastAsia" w:ascii="宋体" w:hAnsi="宋体" w:cs="Times New Roman"/>
                <w:bCs/>
                <w:color w:val="000000"/>
                <w:szCs w:val="21"/>
                <w:highlight w:val="none"/>
                <w:lang w:eastAsia="zh-CN"/>
              </w:rPr>
              <w:t>消防设施操作员</w:t>
            </w:r>
          </w:p>
        </w:tc>
        <w:tc>
          <w:tcPr>
            <w:tcW w:w="855"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14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725"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86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val="en-US" w:eastAsia="zh-CN"/>
              </w:rPr>
            </w:pPr>
            <w:r>
              <w:rPr>
                <w:rFonts w:hint="eastAsia" w:ascii="Times New Roman" w:hAnsi="Times New Roman" w:cs="宋体"/>
                <w:szCs w:val="21"/>
                <w:lang w:val="en-US" w:eastAsia="zh-CN"/>
              </w:rPr>
              <w:t>8</w:t>
            </w:r>
          </w:p>
        </w:tc>
        <w:tc>
          <w:tcPr>
            <w:tcW w:w="2111" w:type="dxa"/>
            <w:tcBorders>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宋体" w:hAnsi="宋体" w:cs="Times New Roman"/>
                <w:bCs/>
                <w:color w:val="000000"/>
                <w:szCs w:val="21"/>
              </w:rPr>
            </w:pPr>
            <w:r>
              <w:rPr>
                <w:rFonts w:hint="eastAsia" w:ascii="宋体" w:hAnsi="宋体" w:cs="Times New Roman"/>
                <w:bCs/>
                <w:color w:val="000000"/>
                <w:szCs w:val="21"/>
              </w:rPr>
              <w:t>设备日常维护</w:t>
            </w:r>
          </w:p>
          <w:p>
            <w:pPr>
              <w:keepNext w:val="0"/>
              <w:keepLines w:val="0"/>
              <w:widowControl/>
              <w:suppressLineNumbers w:val="0"/>
              <w:snapToGrid w:val="0"/>
              <w:spacing w:before="0" w:beforeAutospacing="0" w:after="0" w:afterAutospacing="0" w:line="360" w:lineRule="exact"/>
              <w:ind w:left="0" w:right="0"/>
              <w:jc w:val="center"/>
              <w:rPr>
                <w:rFonts w:hint="eastAsia" w:ascii="Times New Roman" w:hAnsi="Times New Roman" w:cs="Times New Roman"/>
                <w:szCs w:val="20"/>
              </w:rPr>
            </w:pPr>
          </w:p>
        </w:tc>
        <w:tc>
          <w:tcPr>
            <w:tcW w:w="855"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14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725"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86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val="en-US" w:eastAsia="zh-CN"/>
              </w:rPr>
            </w:pPr>
            <w:r>
              <w:rPr>
                <w:rFonts w:hint="eastAsia" w:ascii="Times New Roman" w:hAnsi="Times New Roman" w:cs="宋体"/>
                <w:szCs w:val="21"/>
                <w:lang w:val="en-US" w:eastAsia="zh-CN"/>
              </w:rPr>
              <w:t>9</w:t>
            </w:r>
          </w:p>
        </w:tc>
        <w:tc>
          <w:tcPr>
            <w:tcW w:w="2111" w:type="dxa"/>
            <w:tcBorders>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宋体" w:hAnsi="宋体" w:cs="Times New Roman"/>
                <w:bCs/>
                <w:szCs w:val="21"/>
              </w:rPr>
            </w:pPr>
            <w:r>
              <w:rPr>
                <w:rFonts w:hint="eastAsia" w:ascii="宋体" w:hAnsi="宋体" w:cs="Times New Roman"/>
                <w:bCs/>
                <w:szCs w:val="21"/>
              </w:rPr>
              <w:t>保洁员</w:t>
            </w:r>
          </w:p>
          <w:p>
            <w:pPr>
              <w:keepNext w:val="0"/>
              <w:keepLines w:val="0"/>
              <w:widowControl/>
              <w:suppressLineNumbers w:val="0"/>
              <w:snapToGrid w:val="0"/>
              <w:spacing w:before="0" w:beforeAutospacing="0" w:after="0" w:afterAutospacing="0" w:line="360" w:lineRule="exact"/>
              <w:ind w:left="0" w:right="0"/>
              <w:jc w:val="center"/>
              <w:rPr>
                <w:rFonts w:hint="eastAsia" w:ascii="Times New Roman" w:hAnsi="Times New Roman" w:cs="Times New Roman"/>
                <w:szCs w:val="20"/>
              </w:rPr>
            </w:pPr>
          </w:p>
        </w:tc>
        <w:tc>
          <w:tcPr>
            <w:tcW w:w="855"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14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725"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86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val="en-US" w:eastAsia="zh-CN"/>
              </w:rPr>
            </w:pPr>
            <w:r>
              <w:rPr>
                <w:rFonts w:hint="eastAsia" w:ascii="Times New Roman" w:hAnsi="Times New Roman" w:cs="宋体"/>
                <w:szCs w:val="21"/>
                <w:lang w:val="en-US" w:eastAsia="zh-CN"/>
              </w:rPr>
              <w:t>10</w:t>
            </w:r>
          </w:p>
        </w:tc>
        <w:tc>
          <w:tcPr>
            <w:tcW w:w="2111" w:type="dxa"/>
            <w:tcBorders>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宋体" w:hAnsi="宋体" w:cs="Times New Roman"/>
                <w:bCs/>
                <w:color w:val="000000"/>
                <w:szCs w:val="21"/>
              </w:rPr>
            </w:pPr>
            <w:r>
              <w:rPr>
                <w:rFonts w:hint="eastAsia" w:ascii="宋体" w:hAnsi="宋体" w:cs="Times New Roman"/>
                <w:bCs/>
                <w:color w:val="000000"/>
                <w:szCs w:val="21"/>
              </w:rPr>
              <w:t>会务</w:t>
            </w:r>
          </w:p>
          <w:p>
            <w:pPr>
              <w:keepNext w:val="0"/>
              <w:keepLines w:val="0"/>
              <w:widowControl/>
              <w:suppressLineNumbers w:val="0"/>
              <w:snapToGrid w:val="0"/>
              <w:spacing w:before="0" w:beforeAutospacing="0" w:after="0" w:afterAutospacing="0" w:line="360" w:lineRule="exact"/>
              <w:ind w:left="0" w:right="0"/>
              <w:jc w:val="center"/>
              <w:rPr>
                <w:rFonts w:hint="eastAsia" w:ascii="Times New Roman" w:hAnsi="Times New Roman" w:cs="Times New Roman"/>
                <w:szCs w:val="20"/>
              </w:rPr>
            </w:pPr>
          </w:p>
        </w:tc>
        <w:tc>
          <w:tcPr>
            <w:tcW w:w="855"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14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725"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86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val="en-US" w:eastAsia="zh-CN"/>
              </w:rPr>
            </w:pPr>
            <w:r>
              <w:rPr>
                <w:rFonts w:hint="eastAsia" w:ascii="Times New Roman" w:hAnsi="Times New Roman" w:cs="宋体"/>
                <w:szCs w:val="21"/>
                <w:lang w:val="en-US" w:eastAsia="zh-CN"/>
              </w:rPr>
              <w:t>11</w:t>
            </w:r>
          </w:p>
        </w:tc>
        <w:tc>
          <w:tcPr>
            <w:tcW w:w="2111" w:type="dxa"/>
            <w:tcBorders>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Times New Roman" w:hAnsi="Times New Roman" w:cs="宋体"/>
                <w:szCs w:val="21"/>
              </w:rPr>
            </w:pPr>
            <w:r>
              <w:rPr>
                <w:rFonts w:hint="eastAsia" w:ascii="宋体" w:hAnsi="宋体" w:cs="Times New Roman"/>
                <w:bCs/>
                <w:color w:val="000000"/>
                <w:szCs w:val="21"/>
              </w:rPr>
              <w:t>理发室</w:t>
            </w:r>
            <w:r>
              <w:rPr>
                <w:rFonts w:hint="eastAsia" w:ascii="宋体" w:hAnsi="宋体" w:cs="Times New Roman"/>
                <w:bCs/>
                <w:color w:val="000000"/>
                <w:szCs w:val="21"/>
                <w:lang w:val="en-US" w:eastAsia="zh-CN"/>
              </w:rPr>
              <w:t>人员</w:t>
            </w:r>
          </w:p>
        </w:tc>
        <w:tc>
          <w:tcPr>
            <w:tcW w:w="855"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14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725"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86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val="en-US" w:eastAsia="zh-CN"/>
              </w:rPr>
            </w:pPr>
            <w:r>
              <w:rPr>
                <w:rFonts w:hint="eastAsia" w:ascii="Times New Roman" w:hAnsi="Times New Roman" w:cs="宋体"/>
                <w:szCs w:val="21"/>
                <w:lang w:val="en-US" w:eastAsia="zh-CN"/>
              </w:rPr>
              <w:t>12</w:t>
            </w:r>
          </w:p>
        </w:tc>
        <w:tc>
          <w:tcPr>
            <w:tcW w:w="2111" w:type="dxa"/>
            <w:tcBorders>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宋体" w:hAnsi="宋体" w:cs="Times New Roman"/>
                <w:bCs/>
                <w:color w:val="000000"/>
                <w:szCs w:val="21"/>
              </w:rPr>
            </w:pPr>
            <w:r>
              <w:rPr>
                <w:rFonts w:hint="eastAsia" w:ascii="宋体" w:hAnsi="宋体" w:cs="Times New Roman"/>
                <w:bCs/>
                <w:szCs w:val="21"/>
                <w:lang w:eastAsia="zh-CN"/>
              </w:rPr>
              <w:t>洗车管理员</w:t>
            </w:r>
          </w:p>
        </w:tc>
        <w:tc>
          <w:tcPr>
            <w:tcW w:w="855"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14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725"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86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eastAsia="宋体" w:cs="宋体"/>
                <w:szCs w:val="21"/>
                <w:lang w:val="en-US" w:eastAsia="zh-CN"/>
              </w:rPr>
            </w:pPr>
            <w:r>
              <w:rPr>
                <w:rFonts w:hint="eastAsia" w:ascii="Times New Roman" w:hAnsi="Times New Roman" w:cs="宋体"/>
                <w:szCs w:val="21"/>
                <w:lang w:val="en-US" w:eastAsia="zh-CN"/>
              </w:rPr>
              <w:t>13</w:t>
            </w:r>
          </w:p>
        </w:tc>
        <w:tc>
          <w:tcPr>
            <w:tcW w:w="2111" w:type="dxa"/>
            <w:tcBorders>
              <w:right w:val="single" w:color="auto" w:sz="4" w:space="0"/>
            </w:tcBorders>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宋体" w:hAnsi="宋体" w:cs="Times New Roman"/>
                <w:bCs/>
                <w:color w:val="000000"/>
                <w:szCs w:val="21"/>
              </w:rPr>
            </w:pPr>
            <w:r>
              <w:rPr>
                <w:rFonts w:hint="eastAsia" w:ascii="Times New Roman" w:hAnsi="Times New Roman" w:cs="Times New Roman"/>
                <w:szCs w:val="20"/>
              </w:rPr>
              <w:t>文员</w:t>
            </w:r>
            <w:r>
              <w:rPr>
                <w:rFonts w:hint="eastAsia" w:ascii="Times New Roman" w:hAnsi="Times New Roman" w:cs="Times New Roman"/>
                <w:szCs w:val="20"/>
                <w:lang w:val="en-US" w:eastAsia="zh-CN"/>
              </w:rPr>
              <w:t>兼</w:t>
            </w:r>
            <w:r>
              <w:rPr>
                <w:rFonts w:hint="eastAsia" w:ascii="Times New Roman" w:hAnsi="Times New Roman" w:cs="Times New Roman"/>
                <w:szCs w:val="20"/>
              </w:rPr>
              <w:t>仓管</w:t>
            </w:r>
          </w:p>
        </w:tc>
        <w:tc>
          <w:tcPr>
            <w:tcW w:w="855"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14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725"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1860" w:type="dxa"/>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993" w:type="dxa"/>
            <w:gridSpan w:val="2"/>
            <w:tcBorders>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Times New Roman" w:hAnsi="Times New Roman" w:cs="Times New Roman"/>
                <w:szCs w:val="20"/>
              </w:rPr>
            </w:pPr>
            <w:r>
              <w:rPr>
                <w:rFonts w:hint="eastAsia" w:ascii="Times New Roman" w:hAnsi="Times New Roman" w:cs="宋体"/>
                <w:b/>
                <w:bCs/>
                <w:szCs w:val="21"/>
              </w:rPr>
              <w:t>人员工资合计</w:t>
            </w:r>
          </w:p>
        </w:tc>
        <w:tc>
          <w:tcPr>
            <w:tcW w:w="5580" w:type="dxa"/>
            <w:gridSpan w:val="4"/>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r>
              <w:rPr>
                <w:rFonts w:hint="eastAsia" w:ascii="Times New Roman" w:hAnsi="Times New Roman" w:cs="宋体"/>
                <w:szCs w:val="21"/>
              </w:rPr>
              <w:t>（二）</w:t>
            </w:r>
          </w:p>
        </w:tc>
        <w:tc>
          <w:tcPr>
            <w:tcW w:w="2111" w:type="dxa"/>
            <w:tcBorders>
              <w:right w:val="single" w:color="auto" w:sz="4" w:space="0"/>
            </w:tcBorders>
            <w:noWrap w:val="0"/>
            <w:vAlign w:val="center"/>
          </w:tcPr>
          <w:p>
            <w:pPr>
              <w:keepNext w:val="0"/>
              <w:keepLines w:val="0"/>
              <w:widowControl/>
              <w:suppressLineNumbers w:val="0"/>
              <w:snapToGrid w:val="0"/>
              <w:spacing w:before="0" w:beforeAutospacing="0" w:after="0" w:afterAutospacing="0" w:line="124" w:lineRule="atLeast"/>
              <w:ind w:left="0" w:right="0"/>
              <w:jc w:val="center"/>
              <w:rPr>
                <w:rFonts w:hint="eastAsia" w:ascii="Times New Roman" w:hAnsi="Times New Roman" w:cs="宋体"/>
                <w:szCs w:val="21"/>
              </w:rPr>
            </w:pPr>
          </w:p>
        </w:tc>
        <w:tc>
          <w:tcPr>
            <w:tcW w:w="5580" w:type="dxa"/>
            <w:gridSpan w:val="4"/>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r>
              <w:rPr>
                <w:rFonts w:hint="eastAsia" w:ascii="Times New Roman" w:hAnsi="Times New Roman" w:cs="宋体"/>
                <w:szCs w:val="21"/>
              </w:rPr>
              <w:t>金额</w:t>
            </w: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r>
              <w:rPr>
                <w:rFonts w:hint="eastAsia" w:ascii="Times New Roman" w:hAnsi="Times New Roman" w:cs="宋体"/>
                <w:szCs w:val="21"/>
              </w:rPr>
              <w:t>1</w:t>
            </w:r>
          </w:p>
        </w:tc>
        <w:tc>
          <w:tcPr>
            <w:tcW w:w="2111"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5580" w:type="dxa"/>
            <w:gridSpan w:val="4"/>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r>
              <w:rPr>
                <w:rFonts w:hint="eastAsia" w:ascii="Times New Roman" w:hAnsi="Times New Roman" w:cs="宋体"/>
                <w:szCs w:val="21"/>
              </w:rPr>
              <w:t>2</w:t>
            </w:r>
          </w:p>
        </w:tc>
        <w:tc>
          <w:tcPr>
            <w:tcW w:w="2111"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5580" w:type="dxa"/>
            <w:gridSpan w:val="4"/>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882"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r>
              <w:rPr>
                <w:rFonts w:hint="eastAsia" w:ascii="Times New Roman" w:hAnsi="Times New Roman" w:cs="宋体"/>
                <w:szCs w:val="21"/>
              </w:rPr>
              <w:t>3</w:t>
            </w:r>
          </w:p>
        </w:tc>
        <w:tc>
          <w:tcPr>
            <w:tcW w:w="2111" w:type="dxa"/>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r>
              <w:rPr>
                <w:rFonts w:hint="eastAsia" w:ascii="Times New Roman" w:hAnsi="Times New Roman" w:cs="宋体"/>
                <w:szCs w:val="21"/>
              </w:rPr>
              <w:t>……</w:t>
            </w:r>
          </w:p>
        </w:tc>
        <w:tc>
          <w:tcPr>
            <w:tcW w:w="5580" w:type="dxa"/>
            <w:gridSpan w:val="4"/>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993" w:type="dxa"/>
            <w:gridSpan w:val="2"/>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b/>
                <w:bCs/>
                <w:szCs w:val="21"/>
              </w:rPr>
            </w:pPr>
            <w:r>
              <w:rPr>
                <w:rFonts w:hint="eastAsia" w:ascii="Times New Roman" w:hAnsi="Times New Roman" w:cs="宋体"/>
                <w:b/>
                <w:bCs/>
                <w:szCs w:val="21"/>
              </w:rPr>
              <w:t>其他费用合计</w:t>
            </w:r>
          </w:p>
        </w:tc>
        <w:tc>
          <w:tcPr>
            <w:tcW w:w="5580" w:type="dxa"/>
            <w:gridSpan w:val="4"/>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0" w:hRule="exact"/>
        </w:trPr>
        <w:tc>
          <w:tcPr>
            <w:tcW w:w="2993" w:type="dxa"/>
            <w:gridSpan w:val="2"/>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default" w:ascii="Times New Roman" w:hAnsi="Times New Roman" w:eastAsia="宋体" w:cs="宋体"/>
                <w:b/>
                <w:bCs/>
                <w:szCs w:val="21"/>
                <w:lang w:val="en-US" w:eastAsia="zh-CN"/>
              </w:rPr>
            </w:pPr>
            <w:r>
              <w:rPr>
                <w:rFonts w:hint="eastAsia" w:ascii="Times New Roman" w:hAnsi="Times New Roman" w:cs="宋体"/>
                <w:b/>
                <w:bCs/>
                <w:szCs w:val="21"/>
                <w:lang w:val="en-US" w:eastAsia="zh-CN"/>
              </w:rPr>
              <w:t>年物业管理服务费用（人员工资合计+其他费用合计）</w:t>
            </w:r>
          </w:p>
        </w:tc>
        <w:tc>
          <w:tcPr>
            <w:tcW w:w="5580" w:type="dxa"/>
            <w:gridSpan w:val="4"/>
            <w:tcBorders>
              <w:lef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2993" w:type="dxa"/>
            <w:gridSpan w:val="2"/>
            <w:vMerge w:val="restart"/>
            <w:tcBorders>
              <w:right w:val="single" w:color="auto" w:sz="4" w:space="0"/>
            </w:tcBorders>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b/>
                <w:bCs/>
                <w:szCs w:val="21"/>
                <w:lang w:val="en-US" w:eastAsia="zh-CN"/>
              </w:rPr>
            </w:pPr>
            <w:r>
              <w:rPr>
                <w:rFonts w:hint="eastAsia" w:ascii="Times New Roman" w:hAnsi="Times New Roman" w:cs="宋体"/>
                <w:b/>
                <w:bCs/>
                <w:szCs w:val="20"/>
              </w:rPr>
              <w:t>投标总价</w:t>
            </w:r>
            <w:r>
              <w:rPr>
                <w:rFonts w:hint="eastAsia" w:ascii="Times New Roman" w:hAnsi="Times New Roman" w:cs="宋体"/>
                <w:b/>
                <w:bCs/>
                <w:szCs w:val="21"/>
              </w:rPr>
              <w:t>（</w:t>
            </w:r>
            <w:r>
              <w:rPr>
                <w:rFonts w:hint="eastAsia" w:ascii="Times New Roman" w:hAnsi="Times New Roman" w:cs="宋体"/>
                <w:b/>
                <w:bCs/>
                <w:szCs w:val="21"/>
                <w:lang w:val="en-US" w:eastAsia="zh-CN"/>
              </w:rPr>
              <w:t>年物业管理服务费用*3</w:t>
            </w:r>
            <w:r>
              <w:rPr>
                <w:rFonts w:hint="eastAsia" w:ascii="Times New Roman" w:hAnsi="Times New Roman" w:cs="宋体"/>
                <w:szCs w:val="21"/>
              </w:rPr>
              <w:t>）</w:t>
            </w:r>
          </w:p>
        </w:tc>
        <w:tc>
          <w:tcPr>
            <w:tcW w:w="5580" w:type="dxa"/>
            <w:gridSpan w:val="4"/>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840" w:right="-21" w:rightChars="-10" w:hanging="630"/>
              <w:jc w:val="both"/>
              <w:rPr>
                <w:rFonts w:hint="eastAsia" w:ascii="Times New Roman" w:hAnsi="Times New Roman" w:cs="宋体"/>
                <w:szCs w:val="22"/>
                <w:lang w:val="en-US" w:eastAsia="zh-CN"/>
              </w:rPr>
            </w:pPr>
            <w:r>
              <w:rPr>
                <w:rFonts w:hint="eastAsia" w:ascii="Times New Roman" w:hAnsi="Times New Roman" w:cs="宋体"/>
                <w:szCs w:val="22"/>
                <w:lang w:val="en-US" w:eastAsia="zh-CN"/>
              </w:rPr>
              <w:t>小写：</w:t>
            </w: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3" w:hRule="exact"/>
        </w:trPr>
        <w:tc>
          <w:tcPr>
            <w:tcW w:w="2993" w:type="dxa"/>
            <w:gridSpan w:val="2"/>
            <w:vMerge w:val="continue"/>
            <w:tcBorders>
              <w:right w:val="single" w:color="auto" w:sz="4" w:space="0"/>
            </w:tcBorders>
            <w:noWrap w:val="0"/>
            <w:vAlign w:val="center"/>
          </w:tcPr>
          <w:p>
            <w:pPr>
              <w:pStyle w:val="20"/>
              <w:keepNext w:val="0"/>
              <w:keepLines w:val="0"/>
              <w:widowControl/>
              <w:suppressLineNumbers w:val="0"/>
              <w:spacing w:before="0" w:beforeAutospacing="0" w:after="0" w:afterAutospacing="0"/>
              <w:ind w:right="-252"/>
              <w:rPr>
                <w:rFonts w:hint="eastAsia" w:ascii="Times New Roman" w:hAnsi="Times New Roman" w:cs="宋体"/>
                <w:szCs w:val="20"/>
              </w:rPr>
            </w:pPr>
          </w:p>
        </w:tc>
        <w:tc>
          <w:tcPr>
            <w:tcW w:w="5580" w:type="dxa"/>
            <w:gridSpan w:val="4"/>
            <w:tcBorders>
              <w:left w:val="single" w:color="auto" w:sz="4" w:space="0"/>
            </w:tcBorders>
            <w:noWrap w:val="0"/>
            <w:vAlign w:val="center"/>
          </w:tcPr>
          <w:p>
            <w:pPr>
              <w:keepNext w:val="0"/>
              <w:keepLines w:val="0"/>
              <w:widowControl/>
              <w:suppressLineNumbers w:val="0"/>
              <w:spacing w:before="0" w:beforeAutospacing="0" w:after="0" w:afterAutospacing="0" w:line="360" w:lineRule="auto"/>
              <w:ind w:left="840" w:right="-21" w:rightChars="-10" w:hanging="630"/>
              <w:jc w:val="both"/>
              <w:rPr>
                <w:rFonts w:hint="eastAsia" w:ascii="Times New Roman" w:hAnsi="Times New Roman" w:cs="宋体"/>
                <w:szCs w:val="21"/>
              </w:rPr>
            </w:pPr>
            <w:r>
              <w:rPr>
                <w:rFonts w:hint="eastAsia" w:ascii="Times New Roman" w:hAnsi="Times New Roman" w:cs="宋体"/>
                <w:szCs w:val="20"/>
              </w:rPr>
              <w:t>大写：</w:t>
            </w:r>
          </w:p>
        </w:tc>
        <w:tc>
          <w:tcPr>
            <w:tcW w:w="669" w:type="dxa"/>
            <w:noWrap w:val="0"/>
            <w:vAlign w:val="center"/>
          </w:tcPr>
          <w:p>
            <w:pPr>
              <w:keepNext w:val="0"/>
              <w:keepLines w:val="0"/>
              <w:widowControl/>
              <w:suppressLineNumbers w:val="0"/>
              <w:spacing w:before="0" w:beforeAutospacing="0" w:after="0" w:afterAutospacing="0" w:line="480" w:lineRule="auto"/>
              <w:ind w:left="0" w:right="0"/>
              <w:jc w:val="center"/>
              <w:rPr>
                <w:rFonts w:hint="eastAsia" w:ascii="Times New Roman" w:hAnsi="Times New Roman" w:cs="宋体"/>
                <w:szCs w:val="21"/>
              </w:rPr>
            </w:pPr>
          </w:p>
        </w:tc>
      </w:tr>
    </w:tbl>
    <w:p>
      <w:pPr>
        <w:pStyle w:val="2"/>
        <w:rPr>
          <w:rFonts w:hint="eastAsia"/>
        </w:rPr>
      </w:pPr>
    </w:p>
    <w:p>
      <w:pPr>
        <w:pStyle w:val="2"/>
        <w:outlineLvl w:val="9"/>
      </w:pPr>
    </w:p>
    <w:p/>
    <w:p>
      <w:pPr>
        <w:spacing w:line="480" w:lineRule="auto"/>
        <w:jc w:val="right"/>
        <w:rPr>
          <w:rFonts w:hint="eastAsia" w:ascii="宋体" w:hAnsi="宋体" w:cs="宋体"/>
          <w:bCs/>
          <w:color w:val="auto"/>
          <w:szCs w:val="21"/>
          <w:highlight w:val="none"/>
          <w:lang w:bidi="ar"/>
        </w:rPr>
      </w:pPr>
      <w:r>
        <w:rPr>
          <w:rFonts w:hint="eastAsia" w:ascii="宋体" w:hAnsi="宋体" w:cs="宋体"/>
          <w:bCs/>
          <w:color w:val="auto"/>
          <w:szCs w:val="21"/>
          <w:highlight w:val="none"/>
          <w:lang w:eastAsia="zh-CN" w:bidi="ar"/>
        </w:rPr>
        <w:t>投标人</w:t>
      </w:r>
      <w:r>
        <w:rPr>
          <w:rFonts w:hint="eastAsia" w:ascii="宋体" w:hAnsi="宋体" w:cs="宋体"/>
          <w:bCs/>
          <w:color w:val="auto"/>
          <w:szCs w:val="21"/>
          <w:highlight w:val="none"/>
          <w:lang w:bidi="ar"/>
        </w:rPr>
        <w:t>全称：</w:t>
      </w:r>
      <w:r>
        <w:rPr>
          <w:rFonts w:hint="eastAsia" w:cs="宋体"/>
          <w:sz w:val="21"/>
          <w:szCs w:val="21"/>
          <w:u w:val="single"/>
          <w:lang w:bidi="ar"/>
        </w:rPr>
        <w:t xml:space="preserve">                    （盖公章）</w:t>
      </w:r>
    </w:p>
    <w:p>
      <w:pPr>
        <w:spacing w:before="156" w:beforeLines="50" w:after="156" w:afterLines="50" w:line="360" w:lineRule="exact"/>
        <w:jc w:val="right"/>
      </w:pPr>
      <w:r>
        <w:rPr>
          <w:rFonts w:hint="eastAsia" w:ascii="宋体" w:hAnsi="宋体" w:cs="宋体"/>
          <w:bCs/>
          <w:color w:val="auto"/>
          <w:szCs w:val="21"/>
          <w:highlight w:val="none"/>
        </w:rPr>
        <w:t>日期：</w:t>
      </w:r>
      <w:r>
        <w:rPr>
          <w:rFonts w:hint="eastAsia" w:cs="宋体"/>
          <w:sz w:val="21"/>
          <w:szCs w:val="21"/>
          <w:u w:val="single"/>
          <w:lang w:bidi="ar"/>
        </w:rPr>
        <w:t xml:space="preserve">        </w:t>
      </w:r>
      <w:r>
        <w:rPr>
          <w:rFonts w:hint="eastAsia" w:cs="宋体"/>
          <w:sz w:val="21"/>
          <w:szCs w:val="21"/>
          <w:lang w:bidi="ar"/>
        </w:rPr>
        <w:t xml:space="preserve">年 </w:t>
      </w:r>
      <w:r>
        <w:rPr>
          <w:rFonts w:hint="eastAsia" w:cs="宋体"/>
          <w:sz w:val="21"/>
          <w:szCs w:val="21"/>
          <w:u w:val="single"/>
          <w:lang w:bidi="ar"/>
        </w:rPr>
        <w:t xml:space="preserve">  </w:t>
      </w:r>
      <w:r>
        <w:rPr>
          <w:rFonts w:hint="eastAsia" w:cs="宋体"/>
          <w:sz w:val="21"/>
          <w:szCs w:val="21"/>
          <w:u w:val="single"/>
          <w:lang w:val="en-US" w:eastAsia="zh-CN" w:bidi="ar"/>
        </w:rPr>
        <w:t xml:space="preserve">   </w:t>
      </w:r>
      <w:r>
        <w:rPr>
          <w:rFonts w:hint="eastAsia" w:cs="宋体"/>
          <w:sz w:val="21"/>
          <w:szCs w:val="21"/>
          <w:u w:val="single"/>
          <w:lang w:bidi="ar"/>
        </w:rPr>
        <w:t xml:space="preserve"> </w:t>
      </w:r>
      <w:r>
        <w:rPr>
          <w:rFonts w:hint="eastAsia" w:cs="宋体"/>
          <w:sz w:val="21"/>
          <w:szCs w:val="21"/>
          <w:lang w:bidi="ar"/>
        </w:rPr>
        <w:t>月</w:t>
      </w:r>
      <w:r>
        <w:rPr>
          <w:rFonts w:hint="eastAsia" w:cs="宋体"/>
          <w:sz w:val="21"/>
          <w:szCs w:val="21"/>
          <w:u w:val="single"/>
          <w:lang w:bidi="ar"/>
        </w:rPr>
        <w:t xml:space="preserve">   </w:t>
      </w:r>
      <w:r>
        <w:rPr>
          <w:rFonts w:hint="eastAsia" w:cs="宋体"/>
          <w:sz w:val="21"/>
          <w:szCs w:val="21"/>
          <w:u w:val="single"/>
          <w:lang w:val="en-US" w:eastAsia="zh-CN" w:bidi="ar"/>
        </w:rPr>
        <w:t xml:space="preserve">  </w:t>
      </w:r>
      <w:r>
        <w:rPr>
          <w:rFonts w:hint="eastAsia" w:cs="宋体"/>
          <w:sz w:val="21"/>
          <w:szCs w:val="21"/>
          <w:u w:val="single"/>
          <w:lang w:bidi="ar"/>
        </w:rPr>
        <w:t xml:space="preserve"> </w:t>
      </w:r>
      <w:r>
        <w:rPr>
          <w:rFonts w:hint="eastAsia" w:cs="宋体"/>
          <w:sz w:val="21"/>
          <w:szCs w:val="21"/>
          <w:lang w:bidi="ar"/>
        </w:rPr>
        <w:t>日</w:t>
      </w:r>
    </w:p>
    <w:p>
      <w:pPr>
        <w:numPr>
          <w:ilvl w:val="0"/>
          <w:numId w:val="0"/>
        </w:numPr>
        <w:spacing w:line="400" w:lineRule="atLeast"/>
        <w:rPr>
          <w:rFonts w:hint="eastAsia" w:ascii="宋体" w:hAnsi="宋体"/>
          <w:szCs w:val="21"/>
          <w:lang w:eastAsia="zh-CN"/>
        </w:rPr>
      </w:pPr>
      <w:r>
        <w:rPr>
          <w:rFonts w:hint="eastAsia" w:ascii="宋体" w:hAnsi="宋体"/>
          <w:szCs w:val="21"/>
          <w:lang w:eastAsia="zh-CN"/>
        </w:rPr>
        <w:t>注：</w:t>
      </w:r>
    </w:p>
    <w:p>
      <w:pPr>
        <w:numPr>
          <w:ilvl w:val="0"/>
          <w:numId w:val="109"/>
        </w:numPr>
        <w:spacing w:line="400" w:lineRule="atLeast"/>
        <w:rPr>
          <w:rFonts w:hint="eastAsia" w:ascii="宋体" w:hAnsi="宋体"/>
          <w:b w:val="0"/>
          <w:bCs w:val="0"/>
          <w:szCs w:val="21"/>
          <w:lang w:val="en-US" w:eastAsia="zh-CN"/>
        </w:rPr>
      </w:pPr>
      <w:r>
        <w:rPr>
          <w:rFonts w:hint="eastAsia" w:ascii="宋体" w:hAnsi="宋体"/>
          <w:b w:val="0"/>
          <w:bCs w:val="0"/>
          <w:szCs w:val="21"/>
          <w:lang w:val="en-US" w:eastAsia="zh-CN"/>
        </w:rPr>
        <w:t>本附件中投标总价应与开标一览表的“投标总价”相一致。</w:t>
      </w:r>
    </w:p>
    <w:p>
      <w:pPr>
        <w:numPr>
          <w:ilvl w:val="0"/>
          <w:numId w:val="109"/>
        </w:numPr>
        <w:spacing w:line="400" w:lineRule="atLeast"/>
        <w:rPr>
          <w:rFonts w:hint="eastAsia" w:ascii="宋体" w:hAnsi="宋体"/>
          <w:b w:val="0"/>
          <w:bCs w:val="0"/>
          <w:szCs w:val="21"/>
          <w:lang w:val="en-US" w:eastAsia="zh-CN"/>
        </w:rPr>
      </w:pPr>
      <w:r>
        <w:rPr>
          <w:rFonts w:hint="eastAsia" w:ascii="宋体" w:hAnsi="宋体"/>
          <w:b w:val="0"/>
          <w:bCs w:val="0"/>
          <w:szCs w:val="21"/>
          <w:lang w:val="en-US" w:eastAsia="zh-CN"/>
        </w:rPr>
        <w:t>本项目的物业管理费用应包括在承包区域内提供物业管理服务所需的人工费（人员工资、双休日及法定节假日加班、奖金及社保费）、食宿与交通、服装、安全、仓储、专用设备及工具材料、器械、日常物业耗材费（如保洁用品、一次性用品等，要求卫生间用纸使用质量不得低于星级酒店标准）</w:t>
      </w:r>
      <w:r>
        <w:rPr>
          <w:rFonts w:hint="eastAsia" w:ascii="宋体" w:hAnsi="宋体"/>
          <w:b w:val="0"/>
          <w:bCs w:val="0"/>
          <w:color w:val="auto"/>
          <w:szCs w:val="21"/>
          <w:highlight w:val="none"/>
          <w:lang w:val="en-US" w:eastAsia="zh-CN"/>
        </w:rPr>
        <w:t>、防疫物资</w:t>
      </w:r>
      <w:r>
        <w:rPr>
          <w:rFonts w:hint="eastAsia" w:ascii="宋体" w:hAnsi="宋体" w:cs="宋体"/>
          <w:color w:val="auto"/>
          <w:szCs w:val="21"/>
          <w:highlight w:val="none"/>
          <w:lang w:eastAsia="zh-CN"/>
        </w:rPr>
        <w:t>（保障范围的公共区域）</w:t>
      </w:r>
      <w:r>
        <w:rPr>
          <w:rFonts w:hint="eastAsia" w:ascii="宋体" w:hAnsi="宋体"/>
          <w:b w:val="0"/>
          <w:bCs w:val="0"/>
          <w:color w:val="auto"/>
          <w:szCs w:val="21"/>
          <w:lang w:val="en-US" w:eastAsia="zh-CN"/>
        </w:rPr>
        <w:t>、垃圾清运</w:t>
      </w:r>
      <w:r>
        <w:rPr>
          <w:rFonts w:hint="eastAsia" w:ascii="宋体" w:hAnsi="宋体"/>
          <w:b w:val="0"/>
          <w:bCs w:val="0"/>
          <w:szCs w:val="21"/>
          <w:lang w:val="en-US" w:eastAsia="zh-CN"/>
        </w:rPr>
        <w:t>、绿化、</w:t>
      </w:r>
      <w:r>
        <w:rPr>
          <w:rFonts w:hint="eastAsia" w:ascii="宋体" w:hAnsi="宋体"/>
          <w:b/>
          <w:bCs/>
          <w:szCs w:val="21"/>
          <w:lang w:val="en-US" w:eastAsia="zh-CN"/>
        </w:rPr>
        <w:t>外墙（玻璃）清洗、地毯清洗、化粪池清理、下水道清理、隔油池清理、大理石打蜡费用，聘请具备相应资质的公司进行专业服务的费用（中央空调系统维保检测及清洗、发电机维保、消防维保养及检测、消防器材充装及更换、监控维保、防雷检测、高低压配维保及检测、电梯维保及检测、生活水池水质检测及清洗、卫生消杀（含餐厅）、餐厅油烟管道清洗（一年两次）等）</w:t>
      </w:r>
      <w:r>
        <w:rPr>
          <w:rFonts w:hint="eastAsia" w:ascii="宋体" w:hAnsi="宋体"/>
          <w:b w:val="0"/>
          <w:bCs w:val="0"/>
          <w:szCs w:val="21"/>
          <w:lang w:val="en-US" w:eastAsia="zh-CN"/>
        </w:rPr>
        <w:t>、管理费用、培训、税费、利润、完成合同所需的一切本身和不可或缺的所有工作开支、政策性文件规定及合同包含的所有风险、责任等各项全部费用。</w:t>
      </w:r>
      <w:r>
        <w:rPr>
          <w:rFonts w:hint="eastAsia" w:ascii="宋体" w:hAnsi="宋体"/>
          <w:b/>
          <w:bCs/>
          <w:szCs w:val="21"/>
          <w:lang w:val="en-US" w:eastAsia="zh-CN"/>
        </w:rPr>
        <w:t>另，公共设施和指示牌的修理更换、供水供电设施设备、餐厅设施设备、餐厅灯具及智能线路系统零星修理或零配件更换单件单价在1000元（含）以下的由中标人负责支付，质量不低于原标准要求</w:t>
      </w:r>
      <w:r>
        <w:rPr>
          <w:rFonts w:hint="eastAsia" w:ascii="宋体" w:hAnsi="宋体"/>
          <w:b w:val="0"/>
          <w:bCs w:val="0"/>
          <w:szCs w:val="21"/>
          <w:lang w:val="en-US" w:eastAsia="zh-CN"/>
        </w:rPr>
        <w:t>。</w:t>
      </w:r>
    </w:p>
    <w:p>
      <w:pPr>
        <w:numPr>
          <w:ilvl w:val="0"/>
          <w:numId w:val="109"/>
        </w:numPr>
        <w:spacing w:line="400" w:lineRule="atLeast"/>
        <w:rPr>
          <w:rFonts w:hint="eastAsia" w:ascii="宋体" w:hAnsi="宋体"/>
          <w:b w:val="0"/>
          <w:bCs w:val="0"/>
          <w:szCs w:val="21"/>
          <w:lang w:val="en-US" w:eastAsia="zh-CN"/>
        </w:rPr>
      </w:pPr>
      <w:r>
        <w:rPr>
          <w:rFonts w:hint="eastAsia" w:ascii="宋体" w:hAnsi="宋体"/>
          <w:b w:val="0"/>
          <w:bCs w:val="0"/>
          <w:szCs w:val="21"/>
          <w:lang w:val="en-US" w:eastAsia="zh-CN"/>
        </w:rPr>
        <w:t>以下费用由采购人承担：（1）中央空调系统的深度清洗；（2）公共设施和指示牌的修理更换、供水供电、餐厅设备设施、餐厅灯具及智能线路系统零星修理或零配件更换单件单价超过1000元，由中标人提出采购清单及要求，经采购人和经办人员签字确认后提供；（3）</w:t>
      </w:r>
      <w:r>
        <w:rPr>
          <w:rFonts w:hint="eastAsia" w:ascii="宋体" w:hAnsi="宋体"/>
          <w:b w:val="0"/>
          <w:bCs w:val="0"/>
          <w:color w:val="auto"/>
          <w:szCs w:val="21"/>
          <w:lang w:eastAsia="zh-CN"/>
        </w:rPr>
        <w:t>理发用品、茶叶、特殊杯；</w:t>
      </w:r>
      <w:r>
        <w:rPr>
          <w:rFonts w:hint="eastAsia" w:ascii="宋体" w:hAnsi="宋体"/>
          <w:b w:val="0"/>
          <w:bCs w:val="0"/>
          <w:szCs w:val="21"/>
          <w:lang w:eastAsia="zh-CN"/>
        </w:rPr>
        <w:t>（</w:t>
      </w:r>
      <w:r>
        <w:rPr>
          <w:rFonts w:hint="eastAsia" w:ascii="宋体" w:hAnsi="宋体"/>
          <w:b w:val="0"/>
          <w:bCs w:val="0"/>
          <w:szCs w:val="21"/>
          <w:lang w:val="en-US" w:eastAsia="zh-CN"/>
        </w:rPr>
        <w:t>4</w:t>
      </w:r>
      <w:r>
        <w:rPr>
          <w:rFonts w:hint="eastAsia" w:ascii="宋体" w:hAnsi="宋体"/>
          <w:b w:val="0"/>
          <w:bCs w:val="0"/>
          <w:szCs w:val="21"/>
          <w:lang w:eastAsia="zh-CN"/>
        </w:rPr>
        <w:t>）</w:t>
      </w:r>
      <w:r>
        <w:rPr>
          <w:rFonts w:hint="eastAsia" w:ascii="宋体" w:hAnsi="宋体"/>
          <w:b w:val="0"/>
          <w:bCs w:val="0"/>
          <w:szCs w:val="21"/>
          <w:lang w:val="en-US" w:eastAsia="zh-CN"/>
        </w:rPr>
        <w:t>设备设施进行系统改造和大批量维修</w:t>
      </w:r>
    </w:p>
    <w:p>
      <w:pPr>
        <w:numPr>
          <w:ilvl w:val="0"/>
          <w:numId w:val="109"/>
        </w:numPr>
        <w:spacing w:line="400" w:lineRule="atLeast"/>
        <w:rPr>
          <w:rFonts w:hint="eastAsia" w:ascii="宋体" w:hAnsi="宋体"/>
          <w:b w:val="0"/>
          <w:bCs w:val="0"/>
          <w:szCs w:val="21"/>
          <w:lang w:val="en-US" w:eastAsia="zh-CN"/>
        </w:rPr>
      </w:pPr>
      <w:r>
        <w:rPr>
          <w:rFonts w:hint="eastAsia" w:ascii="宋体" w:hAnsi="宋体"/>
          <w:b w:val="0"/>
          <w:bCs w:val="0"/>
          <w:szCs w:val="21"/>
          <w:lang w:val="en-US" w:eastAsia="zh-CN"/>
        </w:rPr>
        <w:t xml:space="preserve">不提供详细分项报价将视为没有实质性响应招标文件，投标无效。 </w:t>
      </w:r>
    </w:p>
    <w:bookmarkEnd w:id="1406"/>
    <w:bookmarkEnd w:id="1407"/>
    <w:bookmarkEnd w:id="1408"/>
    <w:bookmarkEnd w:id="1409"/>
    <w:bookmarkEnd w:id="1410"/>
    <w:bookmarkEnd w:id="1411"/>
    <w:bookmarkEnd w:id="1412"/>
    <w:bookmarkEnd w:id="1413"/>
    <w:p>
      <w:pPr>
        <w:pStyle w:val="3"/>
        <w:pageBreakBefore/>
        <w:spacing w:before="78" w:beforeLines="25" w:after="0" w:line="360" w:lineRule="auto"/>
        <w:jc w:val="center"/>
        <w:outlineLvl w:val="0"/>
        <w:rPr>
          <w:rFonts w:hint="eastAsia" w:cs="宋体"/>
          <w:b/>
          <w:bCs/>
          <w:lang w:val="en-US" w:eastAsia="zh-CN"/>
        </w:rPr>
      </w:pPr>
      <w:bookmarkStart w:id="1414" w:name="_Toc60"/>
      <w:bookmarkStart w:id="1415" w:name="_Toc9778"/>
      <w:bookmarkStart w:id="1416" w:name="_Toc9104"/>
      <w:bookmarkStart w:id="1417" w:name="_Toc31190"/>
      <w:bookmarkStart w:id="1418" w:name="_Toc23162"/>
      <w:bookmarkStart w:id="1419" w:name="_Toc23092"/>
      <w:bookmarkStart w:id="1420" w:name="_Toc31417"/>
      <w:bookmarkStart w:id="1421" w:name="_Toc1377"/>
      <w:bookmarkStart w:id="1422" w:name="_Toc29858"/>
      <w:bookmarkStart w:id="1423" w:name="_Toc22387"/>
      <w:bookmarkStart w:id="1424" w:name="_Toc27993"/>
      <w:bookmarkStart w:id="1425" w:name="_Toc24060"/>
      <w:bookmarkStart w:id="1426" w:name="_Toc27992"/>
      <w:bookmarkStart w:id="1427" w:name="_Toc23439"/>
      <w:bookmarkStart w:id="1428" w:name="_Toc17282"/>
      <w:bookmarkStart w:id="1429" w:name="_Toc20288"/>
      <w:bookmarkStart w:id="1430" w:name="_Toc5897"/>
      <w:bookmarkStart w:id="1431" w:name="_Toc21274"/>
      <w:bookmarkStart w:id="1432" w:name="_Toc23263"/>
      <w:bookmarkStart w:id="1433" w:name="_Toc4440"/>
      <w:bookmarkStart w:id="1434" w:name="_Toc31102"/>
      <w:bookmarkStart w:id="1435" w:name="_Toc23692"/>
      <w:bookmarkStart w:id="1436" w:name="_Toc32744"/>
      <w:bookmarkStart w:id="1437" w:name="_Toc27305"/>
      <w:bookmarkStart w:id="1438" w:name="_Toc5174"/>
      <w:bookmarkStart w:id="1439" w:name="_Toc14006"/>
      <w:bookmarkStart w:id="1440" w:name="_Toc31246"/>
      <w:bookmarkStart w:id="1441" w:name="_Toc6506"/>
      <w:bookmarkStart w:id="1442" w:name="_Toc18802"/>
      <w:bookmarkStart w:id="1443" w:name="_Toc22099"/>
      <w:bookmarkStart w:id="1444" w:name="_Toc3631"/>
      <w:bookmarkStart w:id="1445" w:name="_Toc28114"/>
      <w:bookmarkStart w:id="1446" w:name="_Toc23181"/>
      <w:bookmarkStart w:id="1447" w:name="_Toc28960"/>
      <w:r>
        <w:rPr>
          <w:rFonts w:hint="eastAsia" w:cs="宋体"/>
          <w:b/>
          <w:bCs/>
          <w:lang w:val="en-US" w:eastAsia="zh-CN"/>
        </w:rPr>
        <w:t>附件十四  政府采购活动现场确认声明书</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22"/>
        <w:snapToGrid w:val="0"/>
        <w:spacing w:line="440" w:lineRule="exact"/>
        <w:rPr>
          <w:rFonts w:hint="eastAsia" w:hAnsi="宋体" w:cs="宋体"/>
          <w:b/>
          <w:color w:val="000000"/>
          <w:szCs w:val="21"/>
        </w:rPr>
      </w:pPr>
      <w:r>
        <w:rPr>
          <w:rFonts w:hint="eastAsia" w:ascii="宋体" w:hAnsi="宋体" w:cs="宋体"/>
          <w:color w:val="000000"/>
          <w:sz w:val="21"/>
          <w:szCs w:val="21"/>
          <w:lang w:val="en-US" w:eastAsia="zh-CN"/>
        </w:rPr>
        <w:t>瑞安市机关事务管理中心</w:t>
      </w:r>
      <w:r>
        <w:rPr>
          <w:rFonts w:hint="eastAsia" w:hAnsi="宋体" w:cs="宋体"/>
          <w:color w:val="000000"/>
          <w:kern w:val="0"/>
          <w:szCs w:val="21"/>
          <w:u w:val="none"/>
          <w:lang w:val="en-US" w:eastAsia="zh-CN"/>
        </w:rPr>
        <w:t>、</w:t>
      </w:r>
      <w:r>
        <w:rPr>
          <w:rFonts w:hint="eastAsia" w:hAnsi="宋体" w:cs="宋体"/>
          <w:color w:val="000000"/>
          <w:sz w:val="21"/>
          <w:szCs w:val="21"/>
          <w:lang w:val="en-US" w:eastAsia="zh-CN"/>
        </w:rPr>
        <w:t>瑞</w:t>
      </w:r>
      <w:r>
        <w:rPr>
          <w:rFonts w:hint="eastAsia" w:hAnsi="宋体" w:cs="宋体"/>
          <w:color w:val="000000"/>
          <w:sz w:val="21"/>
          <w:szCs w:val="21"/>
        </w:rPr>
        <w:t>安市公共资源交易中心：</w:t>
      </w:r>
    </w:p>
    <w:p>
      <w:pPr>
        <w:pStyle w:val="22"/>
        <w:snapToGrid w:val="0"/>
        <w:spacing w:before="156" w:after="156" w:line="320" w:lineRule="exact"/>
        <w:ind w:firstLine="444" w:firstLineChars="200"/>
        <w:rPr>
          <w:rFonts w:hint="eastAsia" w:hAnsi="宋体" w:cs="宋体"/>
          <w:b/>
          <w:bCs/>
          <w:color w:val="000000"/>
          <w:sz w:val="21"/>
          <w:szCs w:val="21"/>
        </w:rPr>
      </w:pPr>
      <w:r>
        <w:rPr>
          <w:rFonts w:hint="eastAsia" w:hAnsi="宋体" w:cs="宋体"/>
          <w:color w:val="000000"/>
          <w:spacing w:val="6"/>
          <w:sz w:val="21"/>
          <w:szCs w:val="21"/>
        </w:rPr>
        <w:t>本人</w:t>
      </w:r>
      <w:r>
        <w:rPr>
          <w:rFonts w:hint="eastAsia" w:hAnsi="宋体" w:cs="宋体"/>
          <w:color w:val="000000"/>
          <w:spacing w:val="6"/>
          <w:sz w:val="21"/>
          <w:szCs w:val="21"/>
          <w:u w:val="single"/>
        </w:rPr>
        <w:t xml:space="preserve">             </w:t>
      </w:r>
      <w:r>
        <w:rPr>
          <w:rFonts w:hint="eastAsia" w:hAnsi="宋体" w:cs="宋体"/>
          <w:color w:val="000000"/>
          <w:spacing w:val="6"/>
          <w:sz w:val="21"/>
          <w:szCs w:val="21"/>
        </w:rPr>
        <w:t>（授权代表姓名），经由</w:t>
      </w:r>
      <w:r>
        <w:rPr>
          <w:rFonts w:hint="eastAsia" w:hAnsi="宋体" w:cs="宋体"/>
          <w:color w:val="000000"/>
          <w:spacing w:val="6"/>
          <w:sz w:val="21"/>
          <w:szCs w:val="21"/>
          <w:u w:val="single"/>
        </w:rPr>
        <w:t xml:space="preserve">                       </w:t>
      </w:r>
      <w:r>
        <w:rPr>
          <w:rFonts w:hint="eastAsia" w:hAnsi="宋体" w:cs="宋体"/>
          <w:color w:val="000000"/>
          <w:spacing w:val="6"/>
          <w:sz w:val="21"/>
          <w:szCs w:val="21"/>
        </w:rPr>
        <w:t>（单位）</w:t>
      </w:r>
    </w:p>
    <w:p>
      <w:pPr>
        <w:pStyle w:val="22"/>
        <w:snapToGrid w:val="0"/>
        <w:spacing w:before="156" w:after="156" w:line="320" w:lineRule="exact"/>
        <w:rPr>
          <w:rFonts w:hint="eastAsia" w:hAnsi="宋体" w:cs="宋体"/>
          <w:color w:val="000000"/>
          <w:spacing w:val="6"/>
          <w:sz w:val="21"/>
          <w:szCs w:val="21"/>
        </w:rPr>
      </w:pPr>
      <w:r>
        <w:rPr>
          <w:rFonts w:hint="eastAsia" w:hAnsi="宋体" w:cs="宋体"/>
          <w:color w:val="000000"/>
          <w:spacing w:val="6"/>
          <w:sz w:val="21"/>
          <w:szCs w:val="21"/>
          <w:u w:val="single"/>
        </w:rPr>
        <w:t xml:space="preserve">             </w:t>
      </w:r>
      <w:r>
        <w:rPr>
          <w:rFonts w:hint="eastAsia" w:hAnsi="宋体" w:cs="宋体"/>
          <w:color w:val="000000"/>
          <w:spacing w:val="6"/>
          <w:sz w:val="21"/>
          <w:szCs w:val="21"/>
        </w:rPr>
        <w:t>（法定代表人姓名）合法授权参加</w:t>
      </w:r>
      <w:r>
        <w:rPr>
          <w:rFonts w:hint="eastAsia" w:hAnsi="宋体" w:cs="宋体"/>
          <w:color w:val="000000"/>
          <w:spacing w:val="6"/>
          <w:sz w:val="21"/>
          <w:szCs w:val="21"/>
          <w:u w:val="single"/>
        </w:rPr>
        <w:t xml:space="preserve"> </w:t>
      </w:r>
      <w:r>
        <w:rPr>
          <w:rFonts w:hint="eastAsia" w:hAnsi="宋体" w:cs="宋体"/>
          <w:color w:val="000000"/>
          <w:spacing w:val="6"/>
          <w:sz w:val="21"/>
          <w:szCs w:val="21"/>
          <w:u w:val="single"/>
          <w:lang w:val="en-US" w:eastAsia="zh-CN"/>
        </w:rPr>
        <w:t xml:space="preserve">                  </w:t>
      </w:r>
      <w:r>
        <w:rPr>
          <w:rFonts w:hint="eastAsia" w:hAnsi="宋体" w:cs="宋体"/>
          <w:color w:val="000000"/>
          <w:spacing w:val="6"/>
          <w:sz w:val="21"/>
          <w:szCs w:val="21"/>
          <w:u w:val="single"/>
        </w:rPr>
        <w:t xml:space="preserve">  </w:t>
      </w:r>
      <w:r>
        <w:rPr>
          <w:rFonts w:hint="eastAsia" w:hAnsi="宋体" w:cs="宋体"/>
          <w:color w:val="000000"/>
          <w:spacing w:val="6"/>
          <w:sz w:val="21"/>
          <w:szCs w:val="21"/>
        </w:rPr>
        <w:t>项目（编号：</w:t>
      </w:r>
      <w:r>
        <w:rPr>
          <w:rFonts w:hint="eastAsia" w:hAnsi="宋体" w:cs="宋体"/>
          <w:color w:val="000000"/>
          <w:spacing w:val="6"/>
          <w:sz w:val="21"/>
          <w:szCs w:val="21"/>
          <w:u w:val="single"/>
        </w:rPr>
        <w:t xml:space="preserve">           </w:t>
      </w:r>
      <w:r>
        <w:rPr>
          <w:rFonts w:hint="eastAsia" w:hAnsi="宋体" w:cs="宋体"/>
          <w:color w:val="000000"/>
          <w:spacing w:val="6"/>
          <w:sz w:val="21"/>
          <w:szCs w:val="21"/>
        </w:rPr>
        <w:t>）政府采购活动，经与本单位法人代表（负责人）联系确认，现就有关公平竞争事项郑重声明如下：</w:t>
      </w:r>
    </w:p>
    <w:p>
      <w:pPr>
        <w:pStyle w:val="22"/>
        <w:snapToGrid w:val="0"/>
        <w:spacing w:before="156" w:after="156" w:line="320" w:lineRule="exact"/>
        <w:rPr>
          <w:rFonts w:hint="eastAsia" w:hAnsi="宋体" w:cs="宋体"/>
          <w:color w:val="000000"/>
          <w:sz w:val="21"/>
          <w:szCs w:val="21"/>
        </w:rPr>
      </w:pPr>
      <w:r>
        <w:rPr>
          <w:rFonts w:hint="eastAsia" w:hAnsi="宋体" w:cs="宋体"/>
          <w:color w:val="000000"/>
          <w:sz w:val="21"/>
          <w:szCs w:val="21"/>
        </w:rPr>
        <w:t>一、本单位与采购人之间□不存在利害关系□存在下列利害关系：</w:t>
      </w:r>
    </w:p>
    <w:p>
      <w:pPr>
        <w:pStyle w:val="22"/>
        <w:snapToGrid w:val="0"/>
        <w:spacing w:before="156" w:after="156" w:line="320" w:lineRule="exact"/>
        <w:rPr>
          <w:rFonts w:hint="eastAsia" w:hAnsi="宋体" w:cs="宋体"/>
          <w:b/>
          <w:bCs/>
          <w:color w:val="000000"/>
          <w:sz w:val="21"/>
          <w:szCs w:val="21"/>
        </w:rPr>
      </w:pPr>
      <w:bookmarkStart w:id="1448" w:name="_Toc27231"/>
      <w:bookmarkStart w:id="1449" w:name="_Toc12112"/>
      <w:bookmarkStart w:id="1450" w:name="_Toc6003"/>
      <w:bookmarkStart w:id="1451" w:name="_Toc17468"/>
      <w:bookmarkStart w:id="1452" w:name="_Toc15373"/>
      <w:r>
        <w:rPr>
          <w:rFonts w:hint="eastAsia" w:hAnsi="宋体" w:cs="宋体"/>
          <w:color w:val="000000"/>
          <w:sz w:val="21"/>
          <w:szCs w:val="21"/>
        </w:rPr>
        <w:t>A.投资关系    B.行政隶属关系    C.业务指导关系</w:t>
      </w:r>
      <w:bookmarkEnd w:id="1448"/>
      <w:bookmarkEnd w:id="1449"/>
      <w:bookmarkEnd w:id="1450"/>
      <w:bookmarkEnd w:id="1451"/>
      <w:bookmarkEnd w:id="1452"/>
    </w:p>
    <w:p>
      <w:pPr>
        <w:snapToGrid w:val="0"/>
        <w:spacing w:line="320" w:lineRule="exact"/>
        <w:rPr>
          <w:rFonts w:hint="eastAsia" w:ascii="宋体" w:hAnsi="宋体" w:cs="宋体"/>
          <w:color w:val="000000"/>
          <w:szCs w:val="21"/>
        </w:rPr>
      </w:pPr>
      <w:bookmarkStart w:id="1453" w:name="_Toc9171"/>
      <w:bookmarkStart w:id="1454" w:name="_Toc24424"/>
      <w:bookmarkStart w:id="1455" w:name="_Toc4044"/>
      <w:bookmarkStart w:id="1456" w:name="_Toc28394"/>
      <w:bookmarkStart w:id="1457" w:name="_Toc19012"/>
      <w:r>
        <w:rPr>
          <w:rFonts w:hint="eastAsia" w:ascii="宋体" w:hAnsi="宋体" w:cs="宋体"/>
          <w:color w:val="000000"/>
          <w:szCs w:val="21"/>
        </w:rPr>
        <w:t>D.其他可能影响采购公正的利害关系</w:t>
      </w:r>
      <w:r>
        <w:rPr>
          <w:rFonts w:hint="eastAsia" w:ascii="宋体" w:hAnsi="宋体" w:cs="宋体"/>
          <w:color w:val="000000"/>
          <w:szCs w:val="21"/>
          <w:u w:val="single"/>
        </w:rPr>
        <w:t xml:space="preserve">（如有，请如实说明）              </w:t>
      </w:r>
      <w:r>
        <w:rPr>
          <w:rFonts w:hint="eastAsia" w:ascii="宋体" w:hAnsi="宋体" w:cs="宋体"/>
          <w:color w:val="000000"/>
          <w:szCs w:val="21"/>
        </w:rPr>
        <w:t>。</w:t>
      </w:r>
      <w:bookmarkEnd w:id="1453"/>
      <w:bookmarkEnd w:id="1454"/>
      <w:bookmarkEnd w:id="1455"/>
      <w:bookmarkEnd w:id="1456"/>
      <w:bookmarkEnd w:id="1457"/>
    </w:p>
    <w:p>
      <w:pPr>
        <w:snapToGrid w:val="0"/>
        <w:spacing w:line="320" w:lineRule="exact"/>
        <w:rPr>
          <w:rFonts w:hint="eastAsia" w:ascii="宋体" w:hAnsi="宋体" w:cs="宋体"/>
          <w:color w:val="000000"/>
          <w:szCs w:val="21"/>
        </w:rPr>
      </w:pPr>
      <w:r>
        <w:rPr>
          <w:rFonts w:hint="eastAsia" w:ascii="宋体" w:hAnsi="宋体" w:cs="宋体"/>
          <w:color w:val="000000"/>
          <w:spacing w:val="6"/>
          <w:szCs w:val="21"/>
        </w:rPr>
        <w:t>二、</w:t>
      </w:r>
      <w:r>
        <w:rPr>
          <w:rFonts w:hint="eastAsia" w:ascii="宋体" w:hAnsi="宋体" w:cs="宋体"/>
          <w:color w:val="000000"/>
          <w:szCs w:val="21"/>
        </w:rPr>
        <w:t>现已清楚知道参加本项目采购活动的其他所有投标人名称，本单位□与其他所有投标人之间均不存在利害关系  □与</w:t>
      </w:r>
      <w:r>
        <w:rPr>
          <w:rFonts w:hint="eastAsia" w:ascii="宋体" w:hAnsi="宋体" w:cs="宋体"/>
          <w:color w:val="000000"/>
          <w:szCs w:val="21"/>
          <w:u w:val="single"/>
        </w:rPr>
        <w:t xml:space="preserve">            （投标人名称）</w:t>
      </w:r>
      <w:r>
        <w:rPr>
          <w:rFonts w:hint="eastAsia" w:ascii="宋体" w:hAnsi="宋体" w:cs="宋体"/>
          <w:color w:val="000000"/>
          <w:szCs w:val="21"/>
        </w:rPr>
        <w:t>之间存在下列利害关系：</w:t>
      </w:r>
    </w:p>
    <w:p>
      <w:pPr>
        <w:snapToGrid w:val="0"/>
        <w:spacing w:line="320" w:lineRule="exact"/>
        <w:rPr>
          <w:rFonts w:hint="eastAsia" w:ascii="宋体" w:hAnsi="宋体" w:cs="宋体"/>
          <w:color w:val="000000"/>
          <w:szCs w:val="21"/>
        </w:rPr>
      </w:pPr>
      <w:r>
        <w:rPr>
          <w:rFonts w:hint="eastAsia" w:ascii="宋体" w:hAnsi="宋体" w:cs="宋体"/>
          <w:color w:val="000000"/>
          <w:szCs w:val="21"/>
        </w:rPr>
        <w:t xml:space="preserve"> A.法定代表人或负责人或实际控制人是同一人</w:t>
      </w:r>
    </w:p>
    <w:p>
      <w:pPr>
        <w:pStyle w:val="22"/>
        <w:snapToGrid w:val="0"/>
        <w:spacing w:before="156" w:after="156" w:line="320" w:lineRule="exact"/>
        <w:rPr>
          <w:rFonts w:hint="eastAsia" w:hAnsi="宋体" w:cs="宋体"/>
          <w:color w:val="000000"/>
          <w:spacing w:val="6"/>
          <w:sz w:val="21"/>
          <w:szCs w:val="21"/>
        </w:rPr>
      </w:pPr>
      <w:r>
        <w:rPr>
          <w:rFonts w:hint="eastAsia" w:hAnsi="宋体" w:cs="宋体"/>
          <w:color w:val="000000"/>
          <w:kern w:val="0"/>
          <w:sz w:val="21"/>
          <w:szCs w:val="21"/>
        </w:rPr>
        <w:t xml:space="preserve"> B.法定代表人或负责人或实际控制人是夫妻关系</w:t>
      </w:r>
    </w:p>
    <w:p>
      <w:pPr>
        <w:pStyle w:val="22"/>
        <w:snapToGrid w:val="0"/>
        <w:spacing w:before="156" w:after="156" w:line="320" w:lineRule="exact"/>
        <w:rPr>
          <w:rFonts w:hint="eastAsia" w:hAnsi="宋体" w:cs="宋体"/>
          <w:color w:val="000000"/>
          <w:spacing w:val="6"/>
          <w:sz w:val="21"/>
          <w:szCs w:val="21"/>
        </w:rPr>
      </w:pPr>
      <w:r>
        <w:rPr>
          <w:rFonts w:hint="eastAsia" w:hAnsi="宋体" w:cs="宋体"/>
          <w:color w:val="000000"/>
          <w:kern w:val="0"/>
          <w:sz w:val="21"/>
          <w:szCs w:val="21"/>
        </w:rPr>
        <w:t xml:space="preserve"> C.法定代表人或负责人或实际控制人是直系血亲关系</w:t>
      </w:r>
    </w:p>
    <w:p>
      <w:pPr>
        <w:pStyle w:val="22"/>
        <w:snapToGrid w:val="0"/>
        <w:spacing w:before="156" w:after="156" w:line="320" w:lineRule="exact"/>
        <w:rPr>
          <w:rFonts w:hint="eastAsia" w:hAnsi="宋体" w:cs="宋体"/>
          <w:color w:val="000000"/>
          <w:spacing w:val="6"/>
          <w:sz w:val="21"/>
          <w:szCs w:val="21"/>
        </w:rPr>
      </w:pPr>
      <w:r>
        <w:rPr>
          <w:rFonts w:hint="eastAsia" w:hAnsi="宋体" w:cs="宋体"/>
          <w:color w:val="000000"/>
          <w:kern w:val="0"/>
          <w:sz w:val="21"/>
          <w:szCs w:val="21"/>
        </w:rPr>
        <w:t xml:space="preserve"> D.法定代表人或负责人或实际控制人存在三代以内旁系血亲关系</w:t>
      </w:r>
    </w:p>
    <w:p>
      <w:pPr>
        <w:pStyle w:val="22"/>
        <w:snapToGrid w:val="0"/>
        <w:spacing w:before="156" w:after="156" w:line="320" w:lineRule="exact"/>
        <w:rPr>
          <w:rFonts w:hint="eastAsia" w:hAnsi="宋体" w:cs="宋体"/>
          <w:color w:val="000000"/>
          <w:kern w:val="0"/>
          <w:sz w:val="21"/>
          <w:szCs w:val="21"/>
        </w:rPr>
      </w:pPr>
      <w:r>
        <w:rPr>
          <w:rFonts w:hint="eastAsia" w:hAnsi="宋体" w:cs="宋体"/>
          <w:color w:val="000000"/>
          <w:kern w:val="0"/>
          <w:sz w:val="21"/>
          <w:szCs w:val="21"/>
        </w:rPr>
        <w:t xml:space="preserve"> E.法定代表人或负责人或实际控制人存在近姻亲关系</w:t>
      </w:r>
    </w:p>
    <w:p>
      <w:pPr>
        <w:pStyle w:val="22"/>
        <w:snapToGrid w:val="0"/>
        <w:spacing w:before="156" w:after="156" w:line="320" w:lineRule="exact"/>
        <w:rPr>
          <w:rFonts w:hint="eastAsia" w:hAnsi="宋体" w:cs="宋体"/>
          <w:color w:val="000000"/>
          <w:kern w:val="0"/>
          <w:sz w:val="21"/>
          <w:szCs w:val="21"/>
        </w:rPr>
      </w:pPr>
      <w:r>
        <w:rPr>
          <w:rFonts w:hint="eastAsia" w:hAnsi="宋体" w:cs="宋体"/>
          <w:color w:val="000000"/>
          <w:kern w:val="0"/>
          <w:sz w:val="21"/>
          <w:szCs w:val="21"/>
        </w:rPr>
        <w:t xml:space="preserve"> F.法定代表人或负责人或实际控制人存在股份控制或实际控制关系</w:t>
      </w:r>
    </w:p>
    <w:p>
      <w:pPr>
        <w:pStyle w:val="22"/>
        <w:snapToGrid w:val="0"/>
        <w:spacing w:before="156" w:after="156" w:line="320" w:lineRule="exact"/>
        <w:rPr>
          <w:rFonts w:hint="eastAsia" w:hAnsi="宋体" w:cs="宋体"/>
          <w:color w:val="000000"/>
          <w:kern w:val="0"/>
          <w:sz w:val="21"/>
          <w:szCs w:val="21"/>
        </w:rPr>
      </w:pPr>
      <w:r>
        <w:rPr>
          <w:rFonts w:hint="eastAsia" w:hAnsi="宋体" w:cs="宋体"/>
          <w:color w:val="000000"/>
          <w:kern w:val="0"/>
          <w:sz w:val="21"/>
          <w:szCs w:val="21"/>
        </w:rPr>
        <w:t xml:space="preserve"> G.存在共同直接或间接投资设立子公司、联营企业和合营企业情况</w:t>
      </w:r>
    </w:p>
    <w:p>
      <w:pPr>
        <w:pStyle w:val="22"/>
        <w:snapToGrid w:val="0"/>
        <w:spacing w:before="156" w:after="156" w:line="320" w:lineRule="exact"/>
        <w:rPr>
          <w:rFonts w:hint="eastAsia" w:hAnsi="宋体" w:cs="宋体"/>
          <w:color w:val="000000"/>
          <w:sz w:val="21"/>
          <w:szCs w:val="21"/>
        </w:rPr>
      </w:pPr>
      <w:r>
        <w:rPr>
          <w:rFonts w:hint="eastAsia" w:hAnsi="宋体" w:cs="宋体"/>
          <w:color w:val="000000"/>
          <w:kern w:val="0"/>
          <w:sz w:val="21"/>
          <w:szCs w:val="21"/>
        </w:rPr>
        <w:t xml:space="preserve"> H.存在分级代理或代销关系、同一生产制造商关系、管理关系、重要业务（占</w:t>
      </w:r>
      <w:r>
        <w:rPr>
          <w:rFonts w:hint="eastAsia" w:hAnsi="宋体" w:cs="宋体"/>
          <w:color w:val="000000"/>
          <w:sz w:val="21"/>
          <w:szCs w:val="21"/>
        </w:rPr>
        <w:t>主营业务收入50%以上）或重要财务往来关系（如融资）等其他实质性控制关系</w:t>
      </w:r>
    </w:p>
    <w:p>
      <w:pPr>
        <w:pStyle w:val="22"/>
        <w:snapToGrid w:val="0"/>
        <w:spacing w:before="156" w:after="156" w:line="320" w:lineRule="exact"/>
        <w:ind w:left="-190" w:firstLine="189" w:firstLineChars="90"/>
        <w:rPr>
          <w:rFonts w:hint="eastAsia" w:hAnsi="宋体" w:cs="宋体"/>
          <w:color w:val="000000"/>
          <w:kern w:val="0"/>
          <w:sz w:val="21"/>
          <w:szCs w:val="21"/>
        </w:rPr>
      </w:pPr>
      <w:bookmarkStart w:id="1458" w:name="_Toc19277"/>
      <w:bookmarkStart w:id="1459" w:name="_Toc21051"/>
      <w:bookmarkStart w:id="1460" w:name="_Toc24972"/>
      <w:bookmarkStart w:id="1461" w:name="_Toc23144"/>
      <w:bookmarkStart w:id="1462" w:name="_Toc3905"/>
      <w:r>
        <w:rPr>
          <w:rFonts w:hint="eastAsia" w:hAnsi="宋体" w:cs="宋体"/>
          <w:color w:val="000000"/>
          <w:sz w:val="21"/>
          <w:szCs w:val="21"/>
        </w:rPr>
        <w:t>I</w:t>
      </w:r>
      <w:r>
        <w:rPr>
          <w:rFonts w:hint="eastAsia" w:hAnsi="宋体" w:cs="宋体"/>
          <w:color w:val="000000"/>
          <w:kern w:val="0"/>
          <w:sz w:val="21"/>
          <w:szCs w:val="21"/>
        </w:rPr>
        <w:t>.</w:t>
      </w:r>
      <w:r>
        <w:rPr>
          <w:rFonts w:hint="eastAsia" w:hAnsi="宋体" w:cs="宋体"/>
          <w:color w:val="000000"/>
          <w:sz w:val="21"/>
          <w:szCs w:val="21"/>
        </w:rPr>
        <w:t>其他利害关系情况</w:t>
      </w:r>
      <w:r>
        <w:rPr>
          <w:rFonts w:hint="eastAsia" w:hAnsi="宋体" w:cs="宋体"/>
          <w:color w:val="000000"/>
          <w:sz w:val="21"/>
          <w:szCs w:val="21"/>
          <w:u w:val="single"/>
        </w:rPr>
        <w:t xml:space="preserve">                       </w:t>
      </w:r>
      <w:r>
        <w:rPr>
          <w:rFonts w:hint="eastAsia" w:hAnsi="宋体" w:cs="宋体"/>
          <w:color w:val="000000"/>
          <w:kern w:val="0"/>
          <w:sz w:val="21"/>
          <w:szCs w:val="21"/>
        </w:rPr>
        <w:t>。</w:t>
      </w:r>
      <w:bookmarkEnd w:id="1458"/>
      <w:bookmarkEnd w:id="1459"/>
      <w:bookmarkEnd w:id="1460"/>
      <w:bookmarkEnd w:id="1461"/>
      <w:bookmarkEnd w:id="1462"/>
    </w:p>
    <w:p>
      <w:pPr>
        <w:pStyle w:val="22"/>
        <w:numPr>
          <w:ilvl w:val="0"/>
          <w:numId w:val="110"/>
        </w:numPr>
        <w:tabs>
          <w:tab w:val="left" w:pos="210"/>
          <w:tab w:val="left" w:pos="420"/>
        </w:tabs>
        <w:snapToGrid w:val="0"/>
        <w:spacing w:beforeLines="0" w:afterLines="0" w:line="320" w:lineRule="exact"/>
        <w:ind w:left="10" w:hanging="10"/>
        <w:rPr>
          <w:rFonts w:hint="eastAsia" w:hAnsi="宋体" w:cs="宋体"/>
          <w:color w:val="000000"/>
          <w:sz w:val="21"/>
          <w:szCs w:val="21"/>
        </w:rPr>
      </w:pPr>
      <w:r>
        <w:rPr>
          <w:rFonts w:hint="eastAsia" w:hAnsi="宋体" w:cs="宋体"/>
          <w:color w:val="000000"/>
          <w:sz w:val="21"/>
          <w:szCs w:val="21"/>
        </w:rPr>
        <w:t>现已清楚知道并严格遵守政府采购法律法规和现场纪律。</w:t>
      </w:r>
    </w:p>
    <w:p>
      <w:pPr>
        <w:numPr>
          <w:ilvl w:val="0"/>
          <w:numId w:val="110"/>
        </w:numPr>
        <w:tabs>
          <w:tab w:val="left" w:pos="420"/>
        </w:tabs>
        <w:snapToGrid w:val="0"/>
        <w:spacing w:line="320" w:lineRule="exact"/>
        <w:ind w:left="0" w:firstLine="0"/>
        <w:rPr>
          <w:rFonts w:hint="eastAsia" w:ascii="宋体" w:hAnsi="宋体" w:cs="宋体"/>
          <w:color w:val="000000"/>
          <w:szCs w:val="21"/>
        </w:rPr>
      </w:pPr>
      <w:r>
        <w:rPr>
          <w:rFonts w:hint="eastAsia" w:ascii="宋体" w:hAnsi="宋体" w:cs="宋体"/>
          <w:color w:val="000000"/>
          <w:szCs w:val="21"/>
        </w:rPr>
        <w:t>我发现</w:t>
      </w:r>
      <w:r>
        <w:rPr>
          <w:rFonts w:hint="eastAsia" w:ascii="宋体" w:hAnsi="宋体" w:cs="宋体"/>
          <w:color w:val="000000"/>
          <w:szCs w:val="21"/>
          <w:u w:val="single"/>
        </w:rPr>
        <w:t xml:space="preserve">          </w:t>
      </w:r>
      <w:r>
        <w:rPr>
          <w:rFonts w:hint="eastAsia" w:ascii="宋体" w:hAnsi="宋体" w:cs="宋体"/>
          <w:color w:val="000000"/>
          <w:szCs w:val="21"/>
        </w:rPr>
        <w:t>投标人之间存在或可能存在上述第二条第</w:t>
      </w:r>
      <w:r>
        <w:rPr>
          <w:rFonts w:hint="eastAsia" w:ascii="宋体" w:hAnsi="宋体" w:cs="宋体"/>
          <w:color w:val="000000"/>
          <w:szCs w:val="21"/>
          <w:u w:val="single"/>
        </w:rPr>
        <w:t xml:space="preserve">      </w:t>
      </w:r>
      <w:r>
        <w:rPr>
          <w:rFonts w:hint="eastAsia" w:ascii="宋体" w:hAnsi="宋体" w:cs="宋体"/>
          <w:color w:val="000000"/>
          <w:szCs w:val="21"/>
        </w:rPr>
        <w:t>项利害关系。</w:t>
      </w:r>
    </w:p>
    <w:p>
      <w:pPr>
        <w:pStyle w:val="20"/>
        <w:ind w:left="0" w:right="-252" w:firstLine="420" w:firstLineChars="200"/>
        <w:jc w:val="center"/>
        <w:rPr>
          <w:rFonts w:hint="eastAsia" w:cs="宋体"/>
          <w:sz w:val="21"/>
          <w:szCs w:val="21"/>
          <w:lang w:val="en-US" w:eastAsia="zh-CN" w:bidi="ar"/>
        </w:rPr>
      </w:pPr>
      <w:r>
        <w:rPr>
          <w:rFonts w:hint="eastAsia" w:cs="宋体"/>
          <w:sz w:val="21"/>
          <w:szCs w:val="21"/>
          <w:lang w:val="en-US" w:eastAsia="zh-CN" w:bidi="ar"/>
        </w:rPr>
        <w:t xml:space="preserve"> </w:t>
      </w:r>
    </w:p>
    <w:p>
      <w:pPr>
        <w:pStyle w:val="20"/>
        <w:ind w:left="0" w:right="-252" w:firstLine="420" w:firstLineChars="200"/>
        <w:jc w:val="center"/>
        <w:rPr>
          <w:rFonts w:hint="eastAsia" w:eastAsia="宋体" w:cs="宋体"/>
          <w:sz w:val="21"/>
          <w:szCs w:val="21"/>
          <w:u w:val="single"/>
          <w:lang w:eastAsia="zh-CN" w:bidi="ar"/>
        </w:rPr>
      </w:pPr>
      <w:r>
        <w:rPr>
          <w:rFonts w:hint="eastAsia" w:cs="宋体"/>
          <w:sz w:val="21"/>
          <w:szCs w:val="21"/>
          <w:lang w:val="en-US" w:eastAsia="zh-CN" w:bidi="ar"/>
        </w:rPr>
        <w:t xml:space="preserve">                                   </w:t>
      </w:r>
      <w:r>
        <w:rPr>
          <w:rFonts w:hint="eastAsia" w:cs="宋体"/>
          <w:sz w:val="21"/>
          <w:szCs w:val="21"/>
          <w:lang w:eastAsia="zh-CN" w:bidi="ar"/>
        </w:rPr>
        <w:t>投标人</w:t>
      </w:r>
      <w:r>
        <w:rPr>
          <w:rFonts w:hint="eastAsia" w:cs="宋体"/>
          <w:sz w:val="21"/>
          <w:szCs w:val="21"/>
          <w:lang w:bidi="ar"/>
        </w:rPr>
        <w:t>全称：</w:t>
      </w:r>
      <w:r>
        <w:rPr>
          <w:rFonts w:hint="eastAsia" w:cs="宋体"/>
          <w:sz w:val="21"/>
          <w:szCs w:val="21"/>
          <w:u w:val="single"/>
          <w:lang w:val="en-US" w:eastAsia="zh-CN" w:bidi="ar"/>
        </w:rPr>
        <w:t xml:space="preserve">                  </w:t>
      </w:r>
      <w:r>
        <w:rPr>
          <w:rFonts w:hint="eastAsia" w:cs="宋体"/>
          <w:sz w:val="21"/>
          <w:szCs w:val="21"/>
          <w:u w:val="single"/>
          <w:lang w:bidi="ar"/>
        </w:rPr>
        <w:t>（盖公章</w:t>
      </w:r>
      <w:r>
        <w:rPr>
          <w:rFonts w:hint="eastAsia" w:cs="宋体"/>
          <w:sz w:val="21"/>
          <w:szCs w:val="21"/>
          <w:u w:val="single"/>
          <w:lang w:eastAsia="zh-CN" w:bidi="ar"/>
        </w:rPr>
        <w:t>）</w:t>
      </w:r>
    </w:p>
    <w:p>
      <w:pPr>
        <w:pStyle w:val="20"/>
        <w:ind w:left="0" w:right="-252" w:firstLine="420" w:firstLineChars="200"/>
        <w:jc w:val="center"/>
        <w:rPr>
          <w:rFonts w:hint="eastAsia" w:cs="宋体"/>
          <w:sz w:val="21"/>
          <w:szCs w:val="21"/>
          <w:lang w:bidi="ar"/>
        </w:rPr>
      </w:pPr>
      <w:r>
        <w:rPr>
          <w:rFonts w:hint="eastAsia" w:cs="宋体"/>
          <w:sz w:val="21"/>
          <w:szCs w:val="21"/>
          <w:lang w:val="en-US" w:eastAsia="zh-CN" w:bidi="ar"/>
        </w:rPr>
        <w:t xml:space="preserve">           </w:t>
      </w:r>
      <w:r>
        <w:rPr>
          <w:rFonts w:hint="eastAsia" w:cs="宋体"/>
          <w:sz w:val="21"/>
          <w:szCs w:val="21"/>
          <w:lang w:bidi="ar"/>
        </w:rPr>
        <w:t>投标人代表签名：</w:t>
      </w:r>
      <w:r>
        <w:rPr>
          <w:rFonts w:hint="eastAsia" w:cs="宋体"/>
          <w:sz w:val="21"/>
          <w:szCs w:val="21"/>
          <w:u w:val="single"/>
          <w:lang w:val="en-US" w:eastAsia="zh-CN" w:bidi="ar"/>
        </w:rPr>
        <w:t xml:space="preserve">                        </w:t>
      </w:r>
      <w:r>
        <w:rPr>
          <w:rFonts w:hint="eastAsia" w:cs="宋体"/>
          <w:sz w:val="21"/>
          <w:szCs w:val="21"/>
          <w:lang w:val="en-US" w:eastAsia="zh-CN" w:bidi="ar"/>
        </w:rPr>
        <w:t xml:space="preserve">                   </w:t>
      </w:r>
    </w:p>
    <w:p>
      <w:pPr>
        <w:pStyle w:val="20"/>
        <w:ind w:left="0" w:right="-252" w:firstLine="420" w:firstLineChars="200"/>
        <w:jc w:val="center"/>
        <w:rPr>
          <w:rFonts w:hint="eastAsia" w:hAnsi="宋体" w:cs="宋体"/>
          <w:bCs/>
          <w:sz w:val="21"/>
          <w:szCs w:val="21"/>
        </w:rPr>
      </w:pPr>
      <w:r>
        <w:rPr>
          <w:rFonts w:hint="eastAsia" w:cs="宋体"/>
          <w:sz w:val="21"/>
          <w:szCs w:val="21"/>
          <w:lang w:val="en-US" w:eastAsia="zh-CN" w:bidi="ar"/>
        </w:rPr>
        <w:t xml:space="preserve">                            </w:t>
      </w:r>
      <w:r>
        <w:rPr>
          <w:rFonts w:hint="eastAsia" w:cs="宋体"/>
          <w:sz w:val="21"/>
          <w:szCs w:val="21"/>
          <w:lang w:eastAsia="zh-CN" w:bidi="ar"/>
        </w:rPr>
        <w:t>日期：</w:t>
      </w:r>
      <w:r>
        <w:rPr>
          <w:rFonts w:hint="eastAsia" w:cs="宋体"/>
          <w:sz w:val="21"/>
          <w:szCs w:val="21"/>
          <w:u w:val="single"/>
          <w:lang w:eastAsia="zh-CN" w:bidi="ar"/>
        </w:rPr>
        <w:t xml:space="preserve">        </w:t>
      </w:r>
      <w:r>
        <w:rPr>
          <w:rFonts w:hint="eastAsia" w:cs="宋体"/>
          <w:sz w:val="21"/>
          <w:szCs w:val="21"/>
          <w:lang w:eastAsia="zh-CN" w:bidi="ar"/>
        </w:rPr>
        <w:t>年</w:t>
      </w:r>
      <w:r>
        <w:rPr>
          <w:rFonts w:hint="eastAsia" w:cs="宋体"/>
          <w:sz w:val="21"/>
          <w:szCs w:val="21"/>
          <w:u w:val="single"/>
          <w:lang w:eastAsia="zh-CN" w:bidi="ar"/>
        </w:rPr>
        <w:t xml:space="preserve">   </w:t>
      </w:r>
      <w:r>
        <w:rPr>
          <w:rFonts w:hint="eastAsia" w:cs="宋体"/>
          <w:sz w:val="21"/>
          <w:szCs w:val="21"/>
          <w:u w:val="single"/>
          <w:lang w:val="en-US" w:eastAsia="zh-CN" w:bidi="ar"/>
        </w:rPr>
        <w:t xml:space="preserve">   </w:t>
      </w:r>
      <w:r>
        <w:rPr>
          <w:rFonts w:hint="eastAsia" w:cs="宋体"/>
          <w:sz w:val="21"/>
          <w:szCs w:val="21"/>
          <w:u w:val="single"/>
          <w:lang w:eastAsia="zh-CN" w:bidi="ar"/>
        </w:rPr>
        <w:t xml:space="preserve"> </w:t>
      </w:r>
      <w:r>
        <w:rPr>
          <w:rFonts w:hint="eastAsia" w:cs="宋体"/>
          <w:sz w:val="21"/>
          <w:szCs w:val="21"/>
          <w:lang w:eastAsia="zh-CN" w:bidi="ar"/>
        </w:rPr>
        <w:t>月</w:t>
      </w:r>
      <w:r>
        <w:rPr>
          <w:rFonts w:hint="eastAsia" w:cs="宋体"/>
          <w:sz w:val="21"/>
          <w:szCs w:val="21"/>
          <w:u w:val="single"/>
          <w:lang w:eastAsia="zh-CN" w:bidi="ar"/>
        </w:rPr>
        <w:t xml:space="preserve">   </w:t>
      </w:r>
      <w:r>
        <w:rPr>
          <w:rFonts w:hint="eastAsia" w:cs="宋体"/>
          <w:sz w:val="21"/>
          <w:szCs w:val="21"/>
          <w:u w:val="single"/>
          <w:lang w:val="en-US" w:eastAsia="zh-CN" w:bidi="ar"/>
        </w:rPr>
        <w:t xml:space="preserve">  </w:t>
      </w:r>
      <w:r>
        <w:rPr>
          <w:rFonts w:hint="eastAsia" w:cs="宋体"/>
          <w:sz w:val="21"/>
          <w:szCs w:val="21"/>
          <w:u w:val="single"/>
          <w:lang w:eastAsia="zh-CN" w:bidi="ar"/>
        </w:rPr>
        <w:t xml:space="preserve"> </w:t>
      </w:r>
      <w:r>
        <w:rPr>
          <w:rFonts w:hint="eastAsia" w:cs="宋体"/>
          <w:sz w:val="21"/>
          <w:szCs w:val="21"/>
          <w:lang w:eastAsia="zh-CN" w:bidi="ar"/>
        </w:rPr>
        <w:t>日</w:t>
      </w:r>
      <w:r>
        <w:rPr>
          <w:rFonts w:hint="eastAsia" w:hAnsi="宋体" w:cs="宋体"/>
          <w:bCs/>
          <w:sz w:val="21"/>
          <w:szCs w:val="21"/>
        </w:rPr>
        <w:t xml:space="preserve">                               </w:t>
      </w:r>
    </w:p>
    <w:bookmarkEnd w:id="1183"/>
    <w:p>
      <w:pPr>
        <w:pStyle w:val="3"/>
        <w:pageBreakBefore/>
        <w:spacing w:before="78" w:beforeLines="25" w:after="0" w:line="360" w:lineRule="auto"/>
        <w:jc w:val="center"/>
        <w:outlineLvl w:val="0"/>
        <w:rPr>
          <w:rFonts w:hint="eastAsia" w:cs="宋体"/>
          <w:b/>
          <w:bCs/>
          <w:lang w:val="en-US" w:eastAsia="zh-CN"/>
        </w:rPr>
      </w:pPr>
      <w:bookmarkStart w:id="1463" w:name="_Toc25309"/>
      <w:bookmarkStart w:id="1464" w:name="_Toc30940"/>
      <w:bookmarkStart w:id="1465" w:name="_Toc4033"/>
      <w:bookmarkStart w:id="1466" w:name="_Toc5516"/>
      <w:bookmarkStart w:id="1467" w:name="_Toc19973"/>
      <w:bookmarkStart w:id="1468" w:name="_Toc4179"/>
      <w:bookmarkStart w:id="1469" w:name="_Toc20281"/>
      <w:bookmarkStart w:id="1470" w:name="_Toc1314"/>
      <w:bookmarkStart w:id="1471" w:name="_Toc9535"/>
      <w:bookmarkStart w:id="1472" w:name="_Toc11133"/>
      <w:bookmarkStart w:id="1473" w:name="_Toc13051"/>
      <w:bookmarkStart w:id="1474" w:name="_Toc4539"/>
      <w:bookmarkStart w:id="1475" w:name="_Toc6273"/>
      <w:bookmarkStart w:id="1476" w:name="_Toc25832"/>
      <w:bookmarkStart w:id="1477" w:name="_Toc25955"/>
      <w:r>
        <w:rPr>
          <w:rFonts w:hint="eastAsia" w:cs="宋体"/>
          <w:b/>
          <w:bCs/>
          <w:lang w:val="en-US" w:eastAsia="zh-CN"/>
        </w:rPr>
        <w:t>附件十五    政府采购履约验收书</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158"/>
        <w:spacing w:line="360" w:lineRule="auto"/>
        <w:ind w:firstLine="0" w:firstLineChars="0"/>
        <w:jc w:val="center"/>
        <w:rPr>
          <w:rFonts w:hint="eastAsia" w:ascii="Cambria" w:hAnsi="Cambria" w:eastAsia="宋体" w:cs="Times New Roman"/>
          <w:b/>
          <w:bCs/>
          <w:sz w:val="28"/>
          <w:szCs w:val="32"/>
          <w:lang w:val="en-US" w:eastAsia="zh-CN" w:bidi="ar-SA"/>
        </w:rPr>
      </w:pPr>
      <w:r>
        <w:rPr>
          <w:rFonts w:hint="eastAsia" w:ascii="Cambria" w:hAnsi="Cambria" w:eastAsia="宋体" w:cs="Times New Roman"/>
          <w:b/>
          <w:bCs/>
          <w:sz w:val="28"/>
          <w:szCs w:val="32"/>
          <w:lang w:val="en-US" w:eastAsia="zh-CN" w:bidi="ar-SA"/>
        </w:rPr>
        <w:t>（参考模板）</w:t>
      </w:r>
    </w:p>
    <w:tbl>
      <w:tblPr>
        <w:tblStyle w:val="3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47"/>
        <w:gridCol w:w="826"/>
        <w:gridCol w:w="995"/>
        <w:gridCol w:w="33"/>
        <w:gridCol w:w="891"/>
        <w:gridCol w:w="118"/>
        <w:gridCol w:w="661"/>
        <w:gridCol w:w="341"/>
        <w:gridCol w:w="63"/>
        <w:gridCol w:w="1321"/>
        <w:gridCol w:w="533"/>
        <w:gridCol w:w="440"/>
        <w:gridCol w:w="456"/>
        <w:gridCol w:w="8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9" w:hRule="atLeast"/>
          <w:jc w:val="center"/>
        </w:trPr>
        <w:tc>
          <w:tcPr>
            <w:tcW w:w="8220" w:type="dxa"/>
            <w:gridSpan w:val="1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一、验收方案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8220" w:type="dxa"/>
            <w:gridSpan w:val="1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r>
              <w:rPr>
                <w:rFonts w:hint="eastAsia" w:ascii="宋体" w:hAnsi="宋体" w:eastAsia="宋体" w:cs="宋体"/>
                <w:sz w:val="21"/>
                <w:szCs w:val="21"/>
              </w:rPr>
              <w:t>（一）项目基本情况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1" w:hRule="atLeast"/>
          <w:jc w:val="center"/>
        </w:trPr>
        <w:tc>
          <w:tcPr>
            <w:tcW w:w="14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宋体" w:hAnsi="宋体" w:eastAsia="宋体" w:cs="宋体"/>
                <w:sz w:val="21"/>
                <w:szCs w:val="21"/>
              </w:rPr>
            </w:pPr>
            <w:r>
              <w:rPr>
                <w:rFonts w:hint="eastAsia" w:ascii="宋体" w:hAnsi="宋体" w:eastAsia="宋体" w:cs="宋体"/>
                <w:sz w:val="21"/>
                <w:szCs w:val="21"/>
              </w:rPr>
              <w:t>采购人名称</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宋体" w:hAnsi="宋体" w:eastAsia="宋体" w:cs="宋体"/>
                <w:color w:val="000000"/>
                <w:sz w:val="21"/>
                <w:szCs w:val="21"/>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jc w:val="center"/>
              <w:rPr>
                <w:rFonts w:hint="eastAsia" w:ascii="宋体" w:hAnsi="宋体" w:eastAsia="宋体" w:cs="宋体"/>
                <w:sz w:val="21"/>
                <w:szCs w:val="21"/>
              </w:rPr>
            </w:pPr>
            <w:r>
              <w:rPr>
                <w:rFonts w:hint="eastAsia" w:ascii="宋体" w:hAnsi="宋体" w:eastAsia="宋体" w:cs="宋体"/>
                <w:sz w:val="21"/>
                <w:szCs w:val="21"/>
              </w:rPr>
              <w:t>供应商名称</w:t>
            </w:r>
          </w:p>
        </w:tc>
        <w:tc>
          <w:tcPr>
            <w:tcW w:w="2324"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9" w:hRule="atLeast"/>
          <w:jc w:val="center"/>
        </w:trPr>
        <w:tc>
          <w:tcPr>
            <w:tcW w:w="14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宋体" w:hAnsi="宋体" w:eastAsia="宋体" w:cs="宋体"/>
                <w:color w:val="000000"/>
                <w:sz w:val="21"/>
                <w:szCs w:val="21"/>
              </w:rPr>
            </w:pPr>
            <w:r>
              <w:rPr>
                <w:rFonts w:hint="eastAsia" w:ascii="宋体" w:hAnsi="宋体" w:eastAsia="宋体" w:cs="宋体"/>
                <w:sz w:val="21"/>
                <w:szCs w:val="21"/>
              </w:rPr>
              <w:t>项目名称</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宋体" w:hAnsi="宋体" w:eastAsia="宋体" w:cs="宋体"/>
                <w:color w:val="000000"/>
                <w:sz w:val="21"/>
                <w:szCs w:val="21"/>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color w:val="000000"/>
                <w:sz w:val="21"/>
                <w:szCs w:val="21"/>
              </w:rPr>
            </w:pPr>
            <w:r>
              <w:rPr>
                <w:rFonts w:hint="eastAsia" w:ascii="宋体" w:hAnsi="宋体" w:eastAsia="宋体" w:cs="宋体"/>
                <w:sz w:val="21"/>
                <w:szCs w:val="21"/>
              </w:rPr>
              <w:t>合同编号</w:t>
            </w:r>
          </w:p>
        </w:tc>
        <w:tc>
          <w:tcPr>
            <w:tcW w:w="2324"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0" w:hRule="atLeast"/>
          <w:jc w:val="center"/>
        </w:trPr>
        <w:tc>
          <w:tcPr>
            <w:tcW w:w="14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宋体" w:hAnsi="宋体" w:eastAsia="宋体" w:cs="宋体"/>
                <w:sz w:val="21"/>
                <w:szCs w:val="21"/>
              </w:rPr>
            </w:pPr>
            <w:r>
              <w:rPr>
                <w:rFonts w:hint="eastAsia" w:ascii="宋体" w:hAnsi="宋体" w:eastAsia="宋体" w:cs="宋体"/>
                <w:sz w:val="21"/>
                <w:szCs w:val="21"/>
              </w:rPr>
              <w:t>合同签订时间</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宋体" w:hAnsi="宋体" w:eastAsia="宋体" w:cs="宋体"/>
                <w:color w:val="000000"/>
                <w:sz w:val="21"/>
                <w:szCs w:val="21"/>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合同规定验收时间</w:t>
            </w:r>
          </w:p>
        </w:tc>
        <w:tc>
          <w:tcPr>
            <w:tcW w:w="2324"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5" w:hRule="atLeast"/>
          <w:jc w:val="center"/>
        </w:trPr>
        <w:tc>
          <w:tcPr>
            <w:tcW w:w="14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宋体" w:hAnsi="宋体" w:eastAsia="宋体" w:cs="宋体"/>
                <w:sz w:val="21"/>
                <w:szCs w:val="21"/>
              </w:rPr>
            </w:pPr>
            <w:r>
              <w:rPr>
                <w:rFonts w:hint="eastAsia" w:ascii="宋体" w:hAnsi="宋体" w:eastAsia="宋体" w:cs="宋体"/>
                <w:sz w:val="21"/>
                <w:szCs w:val="21"/>
              </w:rPr>
              <w:t>项目类型</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宋体" w:hAnsi="宋体" w:eastAsia="宋体" w:cs="宋体"/>
                <w:color w:val="000000"/>
                <w:sz w:val="21"/>
                <w:szCs w:val="21"/>
              </w:rPr>
            </w:pPr>
            <w:r>
              <w:rPr>
                <w:rFonts w:hint="eastAsia" w:ascii="宋体" w:hAnsi="宋体" w:eastAsia="宋体" w:cs="宋体"/>
                <w:sz w:val="21"/>
                <w:szCs w:val="21"/>
              </w:rPr>
              <w:t>□货物/□服务</w:t>
            </w: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合同金额</w:t>
            </w:r>
          </w:p>
        </w:tc>
        <w:tc>
          <w:tcPr>
            <w:tcW w:w="2324"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5" w:hRule="atLeast"/>
          <w:jc w:val="center"/>
        </w:trPr>
        <w:tc>
          <w:tcPr>
            <w:tcW w:w="8220" w:type="dxa"/>
            <w:gridSpan w:val="1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r>
              <w:rPr>
                <w:rFonts w:hint="eastAsia" w:ascii="宋体" w:hAnsi="宋体" w:eastAsia="宋体" w:cs="宋体"/>
                <w:sz w:val="21"/>
                <w:szCs w:val="21"/>
              </w:rPr>
              <w:t>（二）验收方式与方法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9" w:hRule="atLeast"/>
          <w:jc w:val="center"/>
        </w:trPr>
        <w:tc>
          <w:tcPr>
            <w:tcW w:w="14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宋体" w:hAnsi="宋体" w:eastAsia="宋体" w:cs="宋体"/>
                <w:sz w:val="21"/>
                <w:szCs w:val="21"/>
              </w:rPr>
            </w:pPr>
            <w:r>
              <w:rPr>
                <w:rFonts w:hint="eastAsia" w:ascii="宋体" w:hAnsi="宋体" w:eastAsia="宋体" w:cs="宋体"/>
                <w:sz w:val="21"/>
                <w:szCs w:val="21"/>
              </w:rPr>
              <w:t>验收组织方式</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宋体" w:hAnsi="宋体" w:eastAsia="宋体" w:cs="宋体"/>
                <w:sz w:val="21"/>
                <w:szCs w:val="21"/>
              </w:rPr>
            </w:pPr>
            <w:r>
              <w:rPr>
                <w:rFonts w:hint="eastAsia" w:ascii="宋体" w:hAnsi="宋体" w:eastAsia="宋体" w:cs="宋体"/>
                <w:sz w:val="21"/>
                <w:szCs w:val="21"/>
              </w:rPr>
              <w:t>□自行组织/□委托代理</w:t>
            </w: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代理机构名称</w:t>
            </w:r>
          </w:p>
        </w:tc>
        <w:tc>
          <w:tcPr>
            <w:tcW w:w="2324"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0" w:hRule="atLeast"/>
          <w:jc w:val="center"/>
        </w:trPr>
        <w:tc>
          <w:tcPr>
            <w:tcW w:w="14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宋体" w:hAnsi="宋体" w:eastAsia="宋体" w:cs="宋体"/>
                <w:sz w:val="21"/>
                <w:szCs w:val="21"/>
              </w:rPr>
            </w:pPr>
            <w:r>
              <w:rPr>
                <w:rFonts w:hint="eastAsia" w:ascii="宋体" w:hAnsi="宋体" w:eastAsia="宋体" w:cs="宋体"/>
                <w:sz w:val="21"/>
                <w:szCs w:val="21"/>
              </w:rPr>
              <w:t>验收方式</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宋体" w:hAnsi="宋体" w:eastAsia="宋体" w:cs="宋体"/>
                <w:sz w:val="21"/>
                <w:szCs w:val="21"/>
              </w:rPr>
            </w:pPr>
            <w:r>
              <w:rPr>
                <w:rFonts w:hint="eastAsia" w:ascii="宋体" w:hAnsi="宋体" w:eastAsia="宋体" w:cs="宋体"/>
                <w:sz w:val="21"/>
                <w:szCs w:val="21"/>
              </w:rPr>
              <w:t>□一般验收程序/□简易验收程序</w:t>
            </w: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选择简易验收理由</w:t>
            </w:r>
          </w:p>
        </w:tc>
        <w:tc>
          <w:tcPr>
            <w:tcW w:w="2324"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95" w:hRule="atLeast"/>
          <w:jc w:val="center"/>
        </w:trPr>
        <w:tc>
          <w:tcPr>
            <w:tcW w:w="14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宋体" w:hAnsi="宋体" w:eastAsia="宋体" w:cs="宋体"/>
                <w:sz w:val="21"/>
                <w:szCs w:val="21"/>
              </w:rPr>
            </w:pPr>
            <w:r>
              <w:rPr>
                <w:rFonts w:hint="eastAsia" w:ascii="宋体" w:hAnsi="宋体" w:eastAsia="宋体" w:cs="宋体"/>
                <w:sz w:val="21"/>
                <w:szCs w:val="21"/>
              </w:rPr>
              <w:t>验收方法</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sz w:val="21"/>
                <w:szCs w:val="21"/>
              </w:rPr>
              <w:t>一次性验收/</w:t>
            </w:r>
            <w:r>
              <w:rPr>
                <w:rFonts w:hint="eastAsia" w:ascii="宋体" w:hAnsi="宋体" w:eastAsia="宋体" w:cs="宋体"/>
                <w:color w:val="000000"/>
                <w:sz w:val="21"/>
                <w:szCs w:val="21"/>
              </w:rPr>
              <w:t>□</w:t>
            </w:r>
            <w:r>
              <w:rPr>
                <w:rFonts w:hint="eastAsia" w:ascii="宋体" w:hAnsi="宋体" w:eastAsia="宋体" w:cs="宋体"/>
                <w:sz w:val="21"/>
                <w:szCs w:val="21"/>
              </w:rPr>
              <w:t>分段验收/</w:t>
            </w:r>
            <w:r>
              <w:rPr>
                <w:rFonts w:hint="eastAsia" w:ascii="宋体" w:hAnsi="宋体" w:eastAsia="宋体" w:cs="宋体"/>
                <w:color w:val="000000"/>
                <w:sz w:val="21"/>
                <w:szCs w:val="21"/>
              </w:rPr>
              <w:t>□</w:t>
            </w:r>
            <w:r>
              <w:rPr>
                <w:rFonts w:hint="eastAsia" w:ascii="宋体" w:hAnsi="宋体" w:eastAsia="宋体" w:cs="宋体"/>
                <w:sz w:val="21"/>
                <w:szCs w:val="21"/>
              </w:rPr>
              <w:t>分期验收</w:t>
            </w: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sz w:val="21"/>
                <w:szCs w:val="21"/>
              </w:rPr>
            </w:pPr>
            <w:r>
              <w:rPr>
                <w:rFonts w:hint="eastAsia" w:ascii="宋体" w:hAnsi="宋体" w:eastAsia="宋体" w:cs="宋体"/>
                <w:sz w:val="21"/>
                <w:szCs w:val="21"/>
              </w:rPr>
              <w:t>选择非一次性验收理由</w:t>
            </w:r>
          </w:p>
        </w:tc>
        <w:tc>
          <w:tcPr>
            <w:tcW w:w="2324"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8" w:hRule="atLeast"/>
          <w:jc w:val="center"/>
        </w:trPr>
        <w:tc>
          <w:tcPr>
            <w:tcW w:w="1473"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宋体" w:hAnsi="宋体" w:eastAsia="宋体" w:cs="宋体"/>
                <w:sz w:val="21"/>
                <w:szCs w:val="21"/>
              </w:rPr>
            </w:pPr>
            <w:r>
              <w:rPr>
                <w:rFonts w:hint="eastAsia" w:ascii="宋体" w:hAnsi="宋体" w:eastAsia="宋体" w:cs="宋体"/>
                <w:sz w:val="21"/>
                <w:szCs w:val="21"/>
              </w:rPr>
              <w:t>大型或复杂项目</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宋体" w:hAnsi="宋体" w:eastAsia="宋体" w:cs="宋体"/>
                <w:sz w:val="21"/>
                <w:szCs w:val="21"/>
              </w:rPr>
            </w:pPr>
            <w:r>
              <w:rPr>
                <w:rFonts w:hint="eastAsia" w:ascii="宋体" w:hAnsi="宋体" w:eastAsia="宋体" w:cs="宋体"/>
                <w:sz w:val="21"/>
                <w:szCs w:val="21"/>
              </w:rPr>
              <w:t>□是/□否</w:t>
            </w:r>
          </w:p>
        </w:tc>
        <w:tc>
          <w:tcPr>
            <w:tcW w:w="1321"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sz w:val="21"/>
                <w:szCs w:val="21"/>
              </w:rPr>
            </w:pPr>
            <w:r>
              <w:rPr>
                <w:rFonts w:hint="eastAsia" w:ascii="宋体" w:hAnsi="宋体" w:eastAsia="宋体" w:cs="宋体"/>
                <w:sz w:val="21"/>
                <w:szCs w:val="21"/>
              </w:rPr>
              <w:t>邀请本项目其他供应商</w:t>
            </w:r>
          </w:p>
        </w:tc>
        <w:tc>
          <w:tcPr>
            <w:tcW w:w="2324"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jc w:val="center"/>
              <w:rPr>
                <w:rFonts w:hint="eastAsia" w:ascii="宋体" w:hAnsi="宋体" w:eastAsia="宋体" w:cs="宋体"/>
                <w:sz w:val="21"/>
                <w:szCs w:val="21"/>
              </w:rPr>
            </w:pPr>
            <w:r>
              <w:rPr>
                <w:rFonts w:hint="eastAsia" w:ascii="宋体" w:hAnsi="宋体" w:eastAsia="宋体" w:cs="宋体"/>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73"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sz w:val="21"/>
                <w:szCs w:val="21"/>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宋体" w:hAnsi="宋体" w:eastAsia="宋体" w:cs="宋体"/>
                <w:color w:val="000000"/>
                <w:sz w:val="21"/>
                <w:szCs w:val="21"/>
              </w:rPr>
            </w:pPr>
            <w:r>
              <w:rPr>
                <w:rFonts w:hint="eastAsia" w:ascii="宋体" w:hAnsi="宋体" w:eastAsia="宋体" w:cs="宋体"/>
                <w:sz w:val="21"/>
                <w:szCs w:val="21"/>
              </w:rPr>
              <w:t>参与验收检测机构名称</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center"/>
              <w:rPr>
                <w:rFonts w:hint="eastAsia" w:ascii="宋体" w:hAnsi="宋体" w:eastAsia="宋体" w:cs="宋体"/>
                <w:color w:val="000000"/>
                <w:sz w:val="21"/>
                <w:szCs w:val="21"/>
              </w:rPr>
            </w:pPr>
          </w:p>
        </w:tc>
        <w:tc>
          <w:tcPr>
            <w:tcW w:w="132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sz w:val="21"/>
                <w:szCs w:val="21"/>
              </w:rPr>
            </w:pP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sz w:val="21"/>
                <w:szCs w:val="21"/>
              </w:rPr>
            </w:pPr>
            <w:r>
              <w:rPr>
                <w:rFonts w:hint="eastAsia" w:ascii="宋体" w:hAnsi="宋体" w:eastAsia="宋体" w:cs="宋体"/>
                <w:sz w:val="21"/>
                <w:szCs w:val="21"/>
              </w:rPr>
              <w:t>参与验收供应商名称</w:t>
            </w: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61" w:hRule="atLeast"/>
          <w:jc w:val="center"/>
        </w:trPr>
        <w:tc>
          <w:tcPr>
            <w:tcW w:w="1473"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color w:val="000000"/>
                <w:sz w:val="21"/>
                <w:szCs w:val="21"/>
              </w:rPr>
            </w:pPr>
            <w:r>
              <w:rPr>
                <w:rFonts w:hint="eastAsia" w:ascii="宋体" w:hAnsi="宋体" w:eastAsia="宋体" w:cs="宋体"/>
                <w:sz w:val="21"/>
                <w:szCs w:val="21"/>
              </w:rPr>
              <w:t>向社会公众提供的公共服务项目方式</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□是/□否</w:t>
            </w:r>
          </w:p>
        </w:tc>
        <w:tc>
          <w:tcPr>
            <w:tcW w:w="1321"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rPr>
                <w:rFonts w:hint="eastAsia" w:ascii="宋体" w:hAnsi="宋体" w:eastAsia="宋体" w:cs="宋体"/>
                <w:sz w:val="21"/>
                <w:szCs w:val="21"/>
              </w:rPr>
            </w:pPr>
            <w:r>
              <w:rPr>
                <w:rFonts w:hint="eastAsia" w:ascii="宋体" w:hAnsi="宋体" w:eastAsia="宋体" w:cs="宋体"/>
                <w:sz w:val="21"/>
                <w:szCs w:val="21"/>
              </w:rPr>
              <w:t>采购人、使用人分离项目</w:t>
            </w:r>
          </w:p>
        </w:tc>
        <w:tc>
          <w:tcPr>
            <w:tcW w:w="2324"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jc w:val="center"/>
              <w:rPr>
                <w:rFonts w:hint="eastAsia" w:ascii="宋体" w:hAnsi="宋体" w:eastAsia="宋体" w:cs="宋体"/>
                <w:color w:val="000000"/>
                <w:sz w:val="21"/>
                <w:szCs w:val="21"/>
              </w:rPr>
            </w:pPr>
            <w:r>
              <w:rPr>
                <w:rFonts w:hint="eastAsia" w:ascii="宋体" w:hAnsi="宋体" w:eastAsia="宋体" w:cs="宋体"/>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20"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color w:val="000000"/>
                <w:sz w:val="21"/>
                <w:szCs w:val="21"/>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sz w:val="21"/>
                <w:szCs w:val="21"/>
              </w:rPr>
            </w:pPr>
            <w:r>
              <w:rPr>
                <w:rFonts w:hint="eastAsia" w:ascii="宋体" w:hAnsi="宋体" w:eastAsia="宋体" w:cs="宋体"/>
                <w:sz w:val="21"/>
                <w:szCs w:val="21"/>
              </w:rPr>
              <w:t>参与验收服务对象</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p>
        </w:tc>
        <w:tc>
          <w:tcPr>
            <w:tcW w:w="1321"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sz w:val="21"/>
                <w:szCs w:val="21"/>
              </w:rPr>
            </w:pP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color w:val="000000"/>
                <w:sz w:val="21"/>
                <w:szCs w:val="21"/>
              </w:rPr>
            </w:pPr>
            <w:r>
              <w:rPr>
                <w:rFonts w:hint="eastAsia" w:ascii="宋体" w:hAnsi="宋体" w:eastAsia="宋体" w:cs="宋体"/>
                <w:sz w:val="21"/>
                <w:szCs w:val="21"/>
              </w:rPr>
              <w:t>使用单位名称</w:t>
            </w: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9" w:hRule="atLeast"/>
          <w:jc w:val="center"/>
        </w:trPr>
        <w:tc>
          <w:tcPr>
            <w:tcW w:w="8220" w:type="dxa"/>
            <w:gridSpan w:val="1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r>
              <w:rPr>
                <w:rFonts w:hint="eastAsia" w:ascii="宋体" w:hAnsi="宋体" w:eastAsia="宋体" w:cs="宋体"/>
                <w:sz w:val="21"/>
                <w:szCs w:val="21"/>
              </w:rPr>
              <w:t>（三）验收人员组成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41" w:hRule="atLeast"/>
          <w:jc w:val="center"/>
        </w:trPr>
        <w:tc>
          <w:tcPr>
            <w:tcW w:w="14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sz w:val="21"/>
                <w:szCs w:val="21"/>
              </w:rPr>
            </w:pPr>
            <w:r>
              <w:rPr>
                <w:rFonts w:hint="eastAsia" w:ascii="宋体" w:hAnsi="宋体" w:eastAsia="宋体" w:cs="宋体"/>
                <w:sz w:val="21"/>
                <w:szCs w:val="21"/>
              </w:rPr>
              <w:t>验收小组总人数</w:t>
            </w:r>
          </w:p>
        </w:tc>
        <w:tc>
          <w:tcPr>
            <w:tcW w:w="1028"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color w:val="000000"/>
                <w:sz w:val="21"/>
                <w:szCs w:val="21"/>
              </w:rPr>
            </w:pPr>
          </w:p>
        </w:tc>
        <w:tc>
          <w:tcPr>
            <w:tcW w:w="1009"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color w:val="000000"/>
                <w:sz w:val="21"/>
                <w:szCs w:val="21"/>
              </w:rPr>
            </w:pPr>
            <w:r>
              <w:rPr>
                <w:rFonts w:hint="eastAsia" w:ascii="宋体" w:hAnsi="宋体" w:eastAsia="宋体" w:cs="宋体"/>
                <w:sz w:val="21"/>
                <w:szCs w:val="21"/>
              </w:rPr>
              <w:t>专业技术人员人数</w:t>
            </w:r>
          </w:p>
        </w:tc>
        <w:tc>
          <w:tcPr>
            <w:tcW w:w="1002"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sz w:val="21"/>
                <w:szCs w:val="21"/>
              </w:rPr>
            </w:pPr>
          </w:p>
        </w:tc>
        <w:tc>
          <w:tcPr>
            <w:tcW w:w="1384"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sz w:val="21"/>
                <w:szCs w:val="21"/>
              </w:rPr>
            </w:pPr>
            <w:r>
              <w:rPr>
                <w:rFonts w:hint="eastAsia" w:ascii="宋体" w:hAnsi="宋体" w:eastAsia="宋体" w:cs="宋体"/>
                <w:sz w:val="21"/>
                <w:szCs w:val="21"/>
              </w:rPr>
              <w:t>实际使用人人数（如有）</w:t>
            </w:r>
          </w:p>
        </w:tc>
        <w:tc>
          <w:tcPr>
            <w:tcW w:w="53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p>
        </w:tc>
        <w:tc>
          <w:tcPr>
            <w:tcW w:w="89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color w:val="000000"/>
                <w:sz w:val="21"/>
                <w:szCs w:val="21"/>
              </w:rPr>
            </w:pPr>
            <w:r>
              <w:rPr>
                <w:rFonts w:hint="eastAsia" w:ascii="宋体" w:hAnsi="宋体" w:eastAsia="宋体" w:cs="宋体"/>
                <w:sz w:val="21"/>
                <w:szCs w:val="21"/>
              </w:rPr>
              <w:t>其他验收人员数量</w:t>
            </w:r>
          </w:p>
        </w:tc>
        <w:tc>
          <w:tcPr>
            <w:tcW w:w="8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14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rPr>
                <w:rFonts w:hint="eastAsia" w:ascii="宋体" w:hAnsi="宋体" w:eastAsia="宋体" w:cs="宋体"/>
                <w:sz w:val="21"/>
                <w:szCs w:val="21"/>
              </w:rPr>
            </w:pPr>
            <w:r>
              <w:rPr>
                <w:rFonts w:hint="eastAsia" w:ascii="宋体" w:hAnsi="宋体" w:eastAsia="宋体" w:cs="宋体"/>
                <w:sz w:val="21"/>
                <w:szCs w:val="21"/>
              </w:rPr>
              <w:t>验收人员姓名</w:t>
            </w:r>
          </w:p>
        </w:tc>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sz w:val="21"/>
                <w:szCs w:val="21"/>
              </w:rPr>
            </w:pPr>
            <w:r>
              <w:rPr>
                <w:rFonts w:hint="eastAsia" w:ascii="宋体" w:hAnsi="宋体" w:eastAsia="宋体" w:cs="宋体"/>
                <w:sz w:val="21"/>
                <w:szCs w:val="21"/>
              </w:rPr>
              <w:t>工作单位</w:t>
            </w:r>
          </w:p>
        </w:tc>
        <w:tc>
          <w:tcPr>
            <w:tcW w:w="2386"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315" w:firstLineChars="150"/>
              <w:rPr>
                <w:rFonts w:hint="eastAsia" w:ascii="宋体" w:hAnsi="宋体" w:eastAsia="宋体" w:cs="宋体"/>
                <w:sz w:val="21"/>
                <w:szCs w:val="21"/>
              </w:rPr>
            </w:pPr>
            <w:r>
              <w:rPr>
                <w:rFonts w:hint="eastAsia" w:ascii="宋体" w:hAnsi="宋体" w:eastAsia="宋体" w:cs="宋体"/>
                <w:sz w:val="21"/>
                <w:szCs w:val="21"/>
              </w:rPr>
              <w:t>职  称（专业）</w:t>
            </w: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rPr>
                <w:rFonts w:hint="eastAsia" w:ascii="宋体" w:hAnsi="宋体" w:eastAsia="宋体" w:cs="宋体"/>
                <w:color w:val="000000"/>
                <w:sz w:val="21"/>
                <w:szCs w:val="21"/>
              </w:rPr>
            </w:pPr>
            <w:r>
              <w:rPr>
                <w:rFonts w:hint="eastAsia" w:ascii="宋体" w:hAnsi="宋体" w:eastAsia="宋体" w:cs="宋体"/>
                <w:sz w:val="21"/>
                <w:szCs w:val="21"/>
              </w:rPr>
              <w:t>联系方式</w:t>
            </w: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rPr>
                <w:rFonts w:hint="eastAsia" w:ascii="宋体" w:hAnsi="宋体" w:eastAsia="宋体" w:cs="宋体"/>
                <w:color w:val="000000"/>
                <w:sz w:val="21"/>
                <w:szCs w:val="21"/>
              </w:rPr>
            </w:pPr>
            <w:r>
              <w:rPr>
                <w:rFonts w:hint="eastAsia" w:ascii="宋体" w:hAnsi="宋体" w:eastAsia="宋体" w:cs="宋体"/>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14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sz w:val="21"/>
                <w:szCs w:val="21"/>
              </w:rPr>
            </w:pPr>
          </w:p>
        </w:tc>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sz w:val="21"/>
                <w:szCs w:val="21"/>
              </w:rPr>
            </w:pPr>
          </w:p>
        </w:tc>
        <w:tc>
          <w:tcPr>
            <w:tcW w:w="2386"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sz w:val="21"/>
                <w:szCs w:val="21"/>
              </w:rPr>
            </w:pP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14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sz w:val="21"/>
                <w:szCs w:val="21"/>
              </w:rPr>
            </w:pPr>
          </w:p>
        </w:tc>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sz w:val="21"/>
                <w:szCs w:val="21"/>
              </w:rPr>
            </w:pPr>
          </w:p>
        </w:tc>
        <w:tc>
          <w:tcPr>
            <w:tcW w:w="2386"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sz w:val="21"/>
                <w:szCs w:val="21"/>
              </w:rPr>
            </w:pP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14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sz w:val="21"/>
                <w:szCs w:val="21"/>
              </w:rPr>
            </w:pPr>
          </w:p>
        </w:tc>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rPr>
                <w:rFonts w:hint="eastAsia" w:ascii="宋体" w:hAnsi="宋体" w:eastAsia="宋体" w:cs="宋体"/>
                <w:sz w:val="21"/>
                <w:szCs w:val="21"/>
              </w:rPr>
            </w:pPr>
          </w:p>
        </w:tc>
        <w:tc>
          <w:tcPr>
            <w:tcW w:w="2386"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sz w:val="21"/>
                <w:szCs w:val="21"/>
              </w:rPr>
            </w:pP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8220" w:type="dxa"/>
            <w:gridSpan w:val="1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center"/>
              <w:rPr>
                <w:rFonts w:hint="eastAsia" w:ascii="宋体" w:hAnsi="宋体" w:eastAsia="宋体" w:cs="宋体"/>
                <w:sz w:val="21"/>
                <w:szCs w:val="21"/>
              </w:rPr>
            </w:pPr>
            <w:r>
              <w:rPr>
                <w:rFonts w:hint="eastAsia" w:ascii="宋体" w:hAnsi="宋体" w:eastAsia="宋体" w:cs="宋体"/>
                <w:sz w:val="21"/>
                <w:szCs w:val="21"/>
              </w:rPr>
              <w:t>（四）验收主要指标和标准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90" w:hRule="atLeast"/>
          <w:jc w:val="center"/>
        </w:trPr>
        <w:tc>
          <w:tcPr>
            <w:tcW w:w="64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sz w:val="21"/>
                <w:szCs w:val="21"/>
              </w:rPr>
            </w:pPr>
            <w:r>
              <w:rPr>
                <w:rFonts w:hint="eastAsia" w:ascii="宋体" w:hAnsi="宋体" w:eastAsia="宋体" w:cs="宋体"/>
                <w:sz w:val="21"/>
                <w:szCs w:val="21"/>
              </w:rPr>
              <w:t>序号</w:t>
            </w:r>
          </w:p>
        </w:tc>
        <w:tc>
          <w:tcPr>
            <w:tcW w:w="8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sz w:val="21"/>
                <w:szCs w:val="21"/>
              </w:rPr>
            </w:pPr>
            <w:r>
              <w:rPr>
                <w:rFonts w:hint="eastAsia" w:ascii="宋体" w:hAnsi="宋体" w:eastAsia="宋体" w:cs="宋体"/>
                <w:sz w:val="21"/>
                <w:szCs w:val="21"/>
              </w:rPr>
              <w:t>名称</w:t>
            </w: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2" w:firstLineChars="1"/>
              <w:jc w:val="center"/>
              <w:rPr>
                <w:rFonts w:hint="eastAsia" w:ascii="宋体" w:hAnsi="宋体" w:eastAsia="宋体" w:cs="宋体"/>
                <w:sz w:val="21"/>
                <w:szCs w:val="21"/>
              </w:rPr>
            </w:pPr>
            <w:r>
              <w:rPr>
                <w:rFonts w:hint="eastAsia" w:ascii="宋体" w:hAnsi="宋体" w:eastAsia="宋体" w:cs="宋体"/>
                <w:sz w:val="21"/>
                <w:szCs w:val="21"/>
              </w:rPr>
              <w:t>合同履约时间、地点、方式</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2" w:firstLineChars="1"/>
              <w:jc w:val="center"/>
              <w:rPr>
                <w:rFonts w:hint="eastAsia" w:ascii="宋体" w:hAnsi="宋体" w:eastAsia="宋体" w:cs="宋体"/>
                <w:sz w:val="21"/>
                <w:szCs w:val="21"/>
              </w:rPr>
            </w:pPr>
            <w:r>
              <w:rPr>
                <w:rFonts w:hint="eastAsia" w:ascii="宋体" w:hAnsi="宋体" w:eastAsia="宋体" w:cs="宋体"/>
                <w:sz w:val="21"/>
                <w:szCs w:val="21"/>
              </w:rPr>
              <w:t>货物型号规格、标准及配置等（或服务内容、标准）</w:t>
            </w: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2" w:firstLineChars="201"/>
              <w:rPr>
                <w:rFonts w:hint="eastAsia" w:ascii="宋体" w:hAnsi="宋体" w:eastAsia="宋体" w:cs="宋体"/>
                <w:sz w:val="21"/>
                <w:szCs w:val="21"/>
              </w:rPr>
            </w:pPr>
            <w:r>
              <w:rPr>
                <w:rFonts w:hint="eastAsia" w:ascii="宋体" w:hAnsi="宋体" w:eastAsia="宋体" w:cs="宋体"/>
                <w:sz w:val="21"/>
                <w:szCs w:val="21"/>
              </w:rPr>
              <w:t>数量</w:t>
            </w: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单价</w:t>
            </w: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2" w:firstLineChars="1"/>
              <w:jc w:val="center"/>
              <w:rPr>
                <w:rFonts w:hint="eastAsia" w:ascii="宋体" w:hAnsi="宋体" w:eastAsia="宋体" w:cs="宋体"/>
                <w:sz w:val="21"/>
                <w:szCs w:val="21"/>
              </w:rPr>
            </w:pPr>
            <w:r>
              <w:rPr>
                <w:rFonts w:hint="eastAsia" w:ascii="宋体" w:hAnsi="宋体" w:eastAsia="宋体" w:cs="宋体"/>
                <w:sz w:val="21"/>
                <w:szCs w:val="21"/>
              </w:rPr>
              <w:t>金  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64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p>
        </w:tc>
        <w:tc>
          <w:tcPr>
            <w:tcW w:w="8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 w:firstLineChars="2"/>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64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8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64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8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64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p>
        </w:tc>
        <w:tc>
          <w:tcPr>
            <w:tcW w:w="8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3" w:right="0" w:firstLine="420" w:firstLineChars="200"/>
              <w:jc w:val="left"/>
              <w:rPr>
                <w:rFonts w:hint="eastAsia" w:ascii="宋体" w:hAnsi="宋体" w:eastAsia="宋体" w:cs="宋体"/>
                <w:color w:val="000000"/>
                <w:sz w:val="21"/>
                <w:szCs w:val="21"/>
              </w:rPr>
            </w:pP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420" w:firstLineChars="200"/>
              <w:jc w:val="left"/>
              <w:rPr>
                <w:rFonts w:hint="eastAsia" w:ascii="宋体" w:hAnsi="宋体" w:eastAsia="宋体" w:cs="宋体"/>
                <w:color w:val="000000"/>
                <w:sz w:val="21"/>
                <w:szCs w:val="21"/>
              </w:rPr>
            </w:pP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8" w:hRule="atLeast"/>
          <w:jc w:val="center"/>
        </w:trPr>
        <w:tc>
          <w:tcPr>
            <w:tcW w:w="8220" w:type="dxa"/>
            <w:gridSpan w:val="1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二、</w:t>
            </w:r>
            <w:r>
              <w:rPr>
                <w:rFonts w:hint="eastAsia" w:ascii="宋体" w:hAnsi="宋体" w:eastAsia="宋体" w:cs="宋体"/>
                <w:sz w:val="21"/>
                <w:szCs w:val="21"/>
              </w:rPr>
              <w:t>验收情况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3" w:hRule="atLeast"/>
          <w:jc w:val="center"/>
        </w:trPr>
        <w:tc>
          <w:tcPr>
            <w:tcW w:w="14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left"/>
              <w:rPr>
                <w:rFonts w:hint="eastAsia" w:ascii="宋体" w:hAnsi="宋体" w:eastAsia="宋体" w:cs="宋体"/>
                <w:sz w:val="21"/>
                <w:szCs w:val="21"/>
              </w:rPr>
            </w:pPr>
            <w:r>
              <w:rPr>
                <w:rFonts w:hint="eastAsia" w:ascii="宋体" w:hAnsi="宋体" w:eastAsia="宋体" w:cs="宋体"/>
                <w:sz w:val="21"/>
                <w:szCs w:val="21"/>
              </w:rPr>
              <w:t>分期情况</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left"/>
              <w:rPr>
                <w:rFonts w:hint="eastAsia" w:ascii="宋体" w:hAnsi="宋体" w:eastAsia="宋体" w:cs="宋体"/>
                <w:sz w:val="21"/>
                <w:szCs w:val="21"/>
              </w:rPr>
            </w:pPr>
            <w:r>
              <w:rPr>
                <w:rFonts w:hint="eastAsia" w:ascii="宋体" w:hAnsi="宋体" w:eastAsia="宋体" w:cs="宋体"/>
                <w:sz w:val="21"/>
                <w:szCs w:val="21"/>
              </w:rPr>
              <w:t>共分   期，此为第   期验收</w:t>
            </w: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left"/>
              <w:rPr>
                <w:rFonts w:hint="eastAsia" w:ascii="宋体" w:hAnsi="宋体" w:eastAsia="宋体" w:cs="宋体"/>
                <w:sz w:val="21"/>
                <w:szCs w:val="21"/>
              </w:rPr>
            </w:pPr>
            <w:r>
              <w:rPr>
                <w:rFonts w:hint="eastAsia" w:ascii="宋体" w:hAnsi="宋体" w:eastAsia="宋体" w:cs="宋体"/>
                <w:sz w:val="21"/>
                <w:szCs w:val="21"/>
              </w:rPr>
              <w:t>分段情况</w:t>
            </w:r>
          </w:p>
        </w:tc>
        <w:tc>
          <w:tcPr>
            <w:tcW w:w="2324"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left"/>
              <w:rPr>
                <w:rFonts w:hint="eastAsia" w:ascii="宋体" w:hAnsi="宋体" w:eastAsia="宋体" w:cs="宋体"/>
                <w:sz w:val="21"/>
                <w:szCs w:val="21"/>
              </w:rPr>
            </w:pPr>
            <w:r>
              <w:rPr>
                <w:rFonts w:hint="eastAsia" w:ascii="宋体" w:hAnsi="宋体" w:eastAsia="宋体" w:cs="宋体"/>
                <w:sz w:val="21"/>
                <w:szCs w:val="21"/>
              </w:rPr>
              <w:t>共分  段，此为      阶段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8" w:hRule="atLeast"/>
          <w:jc w:val="center"/>
        </w:trPr>
        <w:tc>
          <w:tcPr>
            <w:tcW w:w="1473"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left"/>
              <w:rPr>
                <w:rFonts w:hint="eastAsia" w:ascii="宋体" w:hAnsi="宋体" w:eastAsia="宋体" w:cs="宋体"/>
                <w:sz w:val="21"/>
                <w:szCs w:val="21"/>
              </w:rPr>
            </w:pPr>
            <w:r>
              <w:rPr>
                <w:rFonts w:hint="eastAsia" w:ascii="宋体" w:hAnsi="宋体" w:eastAsia="宋体" w:cs="宋体"/>
                <w:sz w:val="21"/>
                <w:szCs w:val="21"/>
              </w:rPr>
              <w:t>第三方参考情况说明</w:t>
            </w: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both"/>
              <w:rPr>
                <w:rFonts w:hint="eastAsia" w:ascii="宋体" w:hAnsi="宋体" w:eastAsia="宋体" w:cs="宋体"/>
                <w:sz w:val="21"/>
                <w:szCs w:val="21"/>
              </w:rPr>
            </w:pPr>
            <w:r>
              <w:rPr>
                <w:rFonts w:hint="eastAsia" w:ascii="宋体" w:hAnsi="宋体" w:eastAsia="宋体" w:cs="宋体"/>
                <w:sz w:val="21"/>
                <w:szCs w:val="21"/>
              </w:rPr>
              <w:t>评价对象</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sz w:val="21"/>
                <w:szCs w:val="21"/>
              </w:rPr>
            </w:pPr>
            <w:r>
              <w:rPr>
                <w:rFonts w:hint="eastAsia" w:ascii="宋体" w:hAnsi="宋体" w:eastAsia="宋体" w:cs="宋体"/>
                <w:sz w:val="21"/>
                <w:szCs w:val="21"/>
              </w:rPr>
              <w:t>评价结果</w:t>
            </w:r>
          </w:p>
        </w:tc>
        <w:tc>
          <w:tcPr>
            <w:tcW w:w="2294"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sz w:val="21"/>
                <w:szCs w:val="21"/>
              </w:rPr>
            </w:pPr>
            <w:r>
              <w:rPr>
                <w:rFonts w:hint="eastAsia" w:ascii="宋体" w:hAnsi="宋体" w:eastAsia="宋体" w:cs="宋体"/>
                <w:sz w:val="21"/>
                <w:szCs w:val="21"/>
              </w:rPr>
              <w:t>理由</w:t>
            </w: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sz w:val="21"/>
                <w:szCs w:val="21"/>
              </w:rPr>
            </w:pPr>
            <w:r>
              <w:rPr>
                <w:rFonts w:hint="eastAsia" w:ascii="宋体" w:hAnsi="宋体" w:eastAsia="宋体" w:cs="宋体"/>
                <w:sz w:val="21"/>
                <w:szCs w:val="21"/>
              </w:rPr>
              <w:t>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8"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sz w:val="21"/>
                <w:szCs w:val="21"/>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left"/>
              <w:rPr>
                <w:rFonts w:hint="eastAsia" w:ascii="宋体" w:hAnsi="宋体" w:eastAsia="宋体" w:cs="宋体"/>
                <w:sz w:val="21"/>
                <w:szCs w:val="21"/>
              </w:rPr>
            </w:pPr>
            <w:r>
              <w:rPr>
                <w:rFonts w:hint="eastAsia" w:ascii="宋体" w:hAnsi="宋体" w:eastAsia="宋体" w:cs="宋体"/>
                <w:sz w:val="21"/>
                <w:szCs w:val="21"/>
              </w:rPr>
              <w:t>检测机构</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left"/>
              <w:rPr>
                <w:rFonts w:hint="eastAsia" w:ascii="宋体" w:hAnsi="宋体" w:eastAsia="宋体" w:cs="宋体"/>
                <w:sz w:val="21"/>
                <w:szCs w:val="21"/>
              </w:rPr>
            </w:pPr>
            <w:r>
              <w:rPr>
                <w:rFonts w:hint="eastAsia" w:ascii="宋体" w:hAnsi="宋体" w:eastAsia="宋体" w:cs="宋体"/>
                <w:sz w:val="21"/>
                <w:szCs w:val="21"/>
              </w:rPr>
              <w:t>□合格□不合格</w:t>
            </w:r>
          </w:p>
        </w:tc>
        <w:tc>
          <w:tcPr>
            <w:tcW w:w="2294"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left"/>
              <w:rPr>
                <w:rFonts w:hint="eastAsia" w:ascii="宋体" w:hAnsi="宋体" w:eastAsia="宋体" w:cs="宋体"/>
                <w:sz w:val="21"/>
                <w:szCs w:val="21"/>
              </w:rPr>
            </w:pP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left"/>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0"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sz w:val="21"/>
                <w:szCs w:val="21"/>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left"/>
              <w:rPr>
                <w:rFonts w:hint="eastAsia" w:ascii="宋体" w:hAnsi="宋体" w:eastAsia="宋体" w:cs="宋体"/>
                <w:sz w:val="21"/>
                <w:szCs w:val="21"/>
              </w:rPr>
            </w:pPr>
            <w:r>
              <w:rPr>
                <w:rFonts w:hint="eastAsia" w:ascii="宋体" w:hAnsi="宋体" w:eastAsia="宋体" w:cs="宋体"/>
                <w:sz w:val="21"/>
                <w:szCs w:val="21"/>
              </w:rPr>
              <w:t>其他供应商</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left"/>
              <w:rPr>
                <w:rFonts w:hint="eastAsia" w:ascii="宋体" w:hAnsi="宋体" w:eastAsia="宋体" w:cs="宋体"/>
                <w:sz w:val="21"/>
                <w:szCs w:val="21"/>
              </w:rPr>
            </w:pPr>
            <w:r>
              <w:rPr>
                <w:rFonts w:hint="eastAsia" w:ascii="宋体" w:hAnsi="宋体" w:eastAsia="宋体" w:cs="宋体"/>
                <w:sz w:val="21"/>
                <w:szCs w:val="21"/>
              </w:rPr>
              <w:t>□合格□不合格</w:t>
            </w:r>
          </w:p>
        </w:tc>
        <w:tc>
          <w:tcPr>
            <w:tcW w:w="2294"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left"/>
              <w:rPr>
                <w:rFonts w:hint="eastAsia" w:ascii="宋体" w:hAnsi="宋体" w:eastAsia="宋体" w:cs="宋体"/>
                <w:sz w:val="21"/>
                <w:szCs w:val="21"/>
              </w:rPr>
            </w:pP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left"/>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8"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sz w:val="21"/>
                <w:szCs w:val="21"/>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left"/>
              <w:rPr>
                <w:rFonts w:hint="eastAsia" w:ascii="宋体" w:hAnsi="宋体" w:eastAsia="宋体" w:cs="宋体"/>
                <w:sz w:val="21"/>
                <w:szCs w:val="21"/>
              </w:rPr>
            </w:pPr>
            <w:r>
              <w:rPr>
                <w:rFonts w:hint="eastAsia" w:ascii="宋体" w:hAnsi="宋体" w:eastAsia="宋体" w:cs="宋体"/>
                <w:sz w:val="21"/>
                <w:szCs w:val="21"/>
              </w:rPr>
              <w:t>服务对象</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left"/>
              <w:rPr>
                <w:rFonts w:hint="eastAsia" w:ascii="宋体" w:hAnsi="宋体" w:eastAsia="宋体" w:cs="宋体"/>
                <w:sz w:val="21"/>
                <w:szCs w:val="21"/>
              </w:rPr>
            </w:pPr>
            <w:r>
              <w:rPr>
                <w:rFonts w:hint="eastAsia" w:ascii="宋体" w:hAnsi="宋体" w:eastAsia="宋体" w:cs="宋体"/>
                <w:sz w:val="21"/>
                <w:szCs w:val="21"/>
              </w:rPr>
              <w:t>□合格□不合格</w:t>
            </w:r>
          </w:p>
        </w:tc>
        <w:tc>
          <w:tcPr>
            <w:tcW w:w="2294"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left"/>
              <w:rPr>
                <w:rFonts w:hint="eastAsia" w:ascii="宋体" w:hAnsi="宋体" w:eastAsia="宋体" w:cs="宋体"/>
                <w:sz w:val="21"/>
                <w:szCs w:val="21"/>
              </w:rPr>
            </w:pP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left"/>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8" w:hRule="atLeast"/>
          <w:jc w:val="center"/>
        </w:trPr>
        <w:tc>
          <w:tcPr>
            <w:tcW w:w="1473"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color w:val="000000"/>
                <w:sz w:val="21"/>
                <w:szCs w:val="21"/>
              </w:rPr>
            </w:pPr>
            <w:r>
              <w:rPr>
                <w:rFonts w:hint="eastAsia" w:ascii="宋体" w:hAnsi="宋体" w:eastAsia="宋体" w:cs="宋体"/>
                <w:sz w:val="21"/>
                <w:szCs w:val="21"/>
              </w:rPr>
              <w:t>货物类验收内容及验收情况</w:t>
            </w: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sz w:val="21"/>
                <w:szCs w:val="21"/>
              </w:rPr>
            </w:pPr>
            <w:r>
              <w:rPr>
                <w:rFonts w:hint="eastAsia" w:ascii="宋体" w:hAnsi="宋体" w:eastAsia="宋体" w:cs="宋体"/>
                <w:sz w:val="21"/>
                <w:szCs w:val="21"/>
              </w:rPr>
              <w:t>评价内容</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sz w:val="21"/>
                <w:szCs w:val="21"/>
              </w:rPr>
            </w:pPr>
            <w:r>
              <w:rPr>
                <w:rFonts w:hint="eastAsia" w:ascii="宋体" w:hAnsi="宋体" w:eastAsia="宋体" w:cs="宋体"/>
                <w:sz w:val="21"/>
                <w:szCs w:val="21"/>
              </w:rPr>
              <w:t>评价情况</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color w:val="000000"/>
                <w:sz w:val="21"/>
                <w:szCs w:val="21"/>
              </w:rPr>
            </w:pPr>
            <w:r>
              <w:rPr>
                <w:rFonts w:hint="eastAsia" w:ascii="宋体" w:hAnsi="宋体" w:eastAsia="宋体" w:cs="宋体"/>
                <w:sz w:val="21"/>
                <w:szCs w:val="21"/>
              </w:rPr>
              <w:t>理由</w:t>
            </w: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sz w:val="21"/>
                <w:szCs w:val="21"/>
              </w:rPr>
            </w:pPr>
            <w:r>
              <w:rPr>
                <w:rFonts w:hint="eastAsia" w:ascii="宋体" w:hAnsi="宋体" w:eastAsia="宋体" w:cs="宋体"/>
                <w:sz w:val="21"/>
                <w:szCs w:val="21"/>
              </w:rPr>
              <w:t>评价内容</w:t>
            </w: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sz w:val="21"/>
                <w:szCs w:val="21"/>
              </w:rPr>
            </w:pPr>
            <w:r>
              <w:rPr>
                <w:rFonts w:hint="eastAsia" w:ascii="宋体" w:hAnsi="宋体" w:eastAsia="宋体" w:cs="宋体"/>
                <w:sz w:val="21"/>
                <w:szCs w:val="21"/>
              </w:rPr>
              <w:t>评价情况</w:t>
            </w: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color w:val="000000"/>
                <w:sz w:val="21"/>
                <w:szCs w:val="21"/>
              </w:rPr>
            </w:pPr>
            <w:r>
              <w:rPr>
                <w:rFonts w:hint="eastAsia" w:ascii="宋体" w:hAnsi="宋体" w:eastAsia="宋体" w:cs="宋体"/>
                <w:sz w:val="21"/>
                <w:szCs w:val="21"/>
              </w:rPr>
              <w:t>理由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90"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color w:val="000000"/>
                <w:sz w:val="21"/>
                <w:szCs w:val="21"/>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color w:val="000000"/>
                <w:sz w:val="21"/>
                <w:szCs w:val="21"/>
              </w:rPr>
            </w:pPr>
            <w:r>
              <w:rPr>
                <w:rFonts w:hint="eastAsia" w:ascii="宋体" w:hAnsi="宋体" w:eastAsia="宋体" w:cs="宋体"/>
                <w:sz w:val="21"/>
                <w:szCs w:val="21"/>
              </w:rPr>
              <w:t>货物清单</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  格 □不合格</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color w:val="000000"/>
                <w:sz w:val="21"/>
                <w:szCs w:val="21"/>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品牌、型号、规格、数量及外观质量</w:t>
            </w: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  格</w:t>
            </w:r>
          </w:p>
          <w:p>
            <w:pPr>
              <w:keepNext w:val="0"/>
              <w:keepLines w:val="0"/>
              <w:widowControl/>
              <w:suppressLineNumbers w:val="0"/>
              <w:snapToGrid w:val="0"/>
              <w:spacing w:before="100" w:beforeAutospacing="1" w:after="100" w:afterAutospacing="1" w:line="360" w:lineRule="exact"/>
              <w:ind w:left="0" w:right="0" w:firstLine="39" w:firstLineChars="19"/>
              <w:jc w:val="center"/>
              <w:rPr>
                <w:rFonts w:hint="eastAsia" w:ascii="宋体" w:hAnsi="宋体" w:eastAsia="宋体" w:cs="宋体"/>
                <w:color w:val="000000"/>
                <w:sz w:val="21"/>
                <w:szCs w:val="21"/>
              </w:rPr>
            </w:pPr>
            <w:r>
              <w:rPr>
                <w:rFonts w:hint="eastAsia" w:ascii="宋体" w:hAnsi="宋体" w:eastAsia="宋体" w:cs="宋体"/>
                <w:sz w:val="21"/>
                <w:szCs w:val="21"/>
              </w:rPr>
              <w:t>□不合格</w:t>
            </w: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420" w:firstLineChars="200"/>
              <w:jc w:val="left"/>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color w:val="000000"/>
                <w:sz w:val="21"/>
                <w:szCs w:val="21"/>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技术、性能指标</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  格 □不合格</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运行状况及安装调试</w:t>
            </w: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  格</w:t>
            </w:r>
          </w:p>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color w:val="000000"/>
                <w:sz w:val="21"/>
                <w:szCs w:val="21"/>
              </w:rPr>
            </w:pPr>
            <w:r>
              <w:rPr>
                <w:rFonts w:hint="eastAsia" w:ascii="宋体" w:hAnsi="宋体" w:eastAsia="宋体" w:cs="宋体"/>
                <w:sz w:val="21"/>
                <w:szCs w:val="21"/>
              </w:rPr>
              <w:t>□不合格</w:t>
            </w: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420" w:firstLineChars="200"/>
              <w:jc w:val="left"/>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color w:val="000000"/>
                <w:sz w:val="21"/>
                <w:szCs w:val="21"/>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质量证明文件</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  格 □不合格</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color w:val="000000"/>
                <w:sz w:val="21"/>
                <w:szCs w:val="21"/>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售后服务承诺</w:t>
            </w: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  格</w:t>
            </w:r>
          </w:p>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color w:val="000000"/>
                <w:sz w:val="21"/>
                <w:szCs w:val="21"/>
              </w:rPr>
            </w:pPr>
            <w:r>
              <w:rPr>
                <w:rFonts w:hint="eastAsia" w:ascii="宋体" w:hAnsi="宋体" w:eastAsia="宋体" w:cs="宋体"/>
                <w:sz w:val="21"/>
                <w:szCs w:val="21"/>
              </w:rPr>
              <w:t>□不合格</w:t>
            </w: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420" w:firstLineChars="200"/>
              <w:jc w:val="left"/>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33"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color w:val="000000"/>
                <w:sz w:val="21"/>
                <w:szCs w:val="21"/>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color w:val="000000"/>
                <w:sz w:val="21"/>
                <w:szCs w:val="21"/>
              </w:rPr>
            </w:pPr>
            <w:r>
              <w:rPr>
                <w:rFonts w:hint="eastAsia" w:ascii="宋体" w:hAnsi="宋体" w:eastAsia="宋体" w:cs="宋体"/>
                <w:sz w:val="21"/>
                <w:szCs w:val="21"/>
              </w:rPr>
              <w:t>安全标准</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  格 □不合格</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color w:val="000000"/>
                <w:sz w:val="21"/>
                <w:szCs w:val="21"/>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合同履约时间、地点、方式</w:t>
            </w: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  格</w:t>
            </w:r>
          </w:p>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color w:val="000000"/>
                <w:sz w:val="21"/>
                <w:szCs w:val="21"/>
              </w:rPr>
            </w:pPr>
            <w:r>
              <w:rPr>
                <w:rFonts w:hint="eastAsia" w:ascii="宋体" w:hAnsi="宋体" w:eastAsia="宋体" w:cs="宋体"/>
                <w:sz w:val="21"/>
                <w:szCs w:val="21"/>
              </w:rPr>
              <w:t>□不合格</w:t>
            </w: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420" w:firstLineChars="200"/>
              <w:jc w:val="left"/>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6" w:hRule="atLeast"/>
          <w:jc w:val="center"/>
        </w:trPr>
        <w:tc>
          <w:tcPr>
            <w:tcW w:w="1473"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rPr>
                <w:rFonts w:hint="eastAsia" w:ascii="宋体" w:hAnsi="宋体" w:eastAsia="宋体" w:cs="宋体"/>
                <w:color w:val="000000"/>
                <w:sz w:val="21"/>
                <w:szCs w:val="21"/>
              </w:rPr>
            </w:pPr>
            <w:r>
              <w:rPr>
                <w:rFonts w:hint="eastAsia" w:ascii="宋体" w:hAnsi="宋体" w:eastAsia="宋体" w:cs="宋体"/>
                <w:sz w:val="21"/>
                <w:szCs w:val="21"/>
              </w:rPr>
              <w:t>服务类验收内容及结果</w:t>
            </w: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sz w:val="21"/>
                <w:szCs w:val="21"/>
              </w:rPr>
            </w:pPr>
            <w:r>
              <w:rPr>
                <w:rFonts w:hint="eastAsia" w:ascii="宋体" w:hAnsi="宋体" w:eastAsia="宋体" w:cs="宋体"/>
                <w:sz w:val="21"/>
                <w:szCs w:val="21"/>
              </w:rPr>
              <w:t>评价内容</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sz w:val="21"/>
                <w:szCs w:val="21"/>
              </w:rPr>
            </w:pPr>
            <w:r>
              <w:rPr>
                <w:rFonts w:hint="eastAsia" w:ascii="宋体" w:hAnsi="宋体" w:eastAsia="宋体" w:cs="宋体"/>
                <w:sz w:val="21"/>
                <w:szCs w:val="21"/>
              </w:rPr>
              <w:t>评价情况</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color w:val="000000"/>
                <w:sz w:val="21"/>
                <w:szCs w:val="21"/>
              </w:rPr>
            </w:pPr>
            <w:r>
              <w:rPr>
                <w:rFonts w:hint="eastAsia" w:ascii="宋体" w:hAnsi="宋体" w:eastAsia="宋体" w:cs="宋体"/>
                <w:sz w:val="21"/>
                <w:szCs w:val="21"/>
              </w:rPr>
              <w:t>理由</w:t>
            </w: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sz w:val="21"/>
                <w:szCs w:val="21"/>
              </w:rPr>
            </w:pPr>
            <w:r>
              <w:rPr>
                <w:rFonts w:hint="eastAsia" w:ascii="宋体" w:hAnsi="宋体" w:eastAsia="宋体" w:cs="宋体"/>
                <w:sz w:val="21"/>
                <w:szCs w:val="21"/>
              </w:rPr>
              <w:t>评价内容</w:t>
            </w: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sz w:val="21"/>
                <w:szCs w:val="21"/>
              </w:rPr>
            </w:pPr>
            <w:r>
              <w:rPr>
                <w:rFonts w:hint="eastAsia" w:ascii="宋体" w:hAnsi="宋体" w:eastAsia="宋体" w:cs="宋体"/>
                <w:sz w:val="21"/>
                <w:szCs w:val="21"/>
              </w:rPr>
              <w:t>评价情况</w:t>
            </w: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2" w:firstLineChars="1"/>
              <w:jc w:val="center"/>
              <w:rPr>
                <w:rFonts w:hint="eastAsia" w:ascii="宋体" w:hAnsi="宋体" w:eastAsia="宋体" w:cs="宋体"/>
                <w:color w:val="000000"/>
                <w:sz w:val="21"/>
                <w:szCs w:val="21"/>
              </w:rPr>
            </w:pPr>
            <w:r>
              <w:rPr>
                <w:rFonts w:hint="eastAsia" w:ascii="宋体" w:hAnsi="宋体" w:eastAsia="宋体" w:cs="宋体"/>
                <w:sz w:val="21"/>
                <w:szCs w:val="21"/>
              </w:rPr>
              <w:t>理由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33"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color w:val="000000"/>
                <w:sz w:val="21"/>
                <w:szCs w:val="21"/>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服务质量</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  格 □不合格</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color w:val="000000"/>
                <w:sz w:val="21"/>
                <w:szCs w:val="21"/>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服务进度</w:t>
            </w: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  格</w:t>
            </w:r>
          </w:p>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□不合格</w:t>
            </w: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420" w:firstLineChars="200"/>
              <w:jc w:val="left"/>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66"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color w:val="000000"/>
                <w:sz w:val="21"/>
                <w:szCs w:val="21"/>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人员、设备</w:t>
            </w:r>
          </w:p>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配备情况</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  格 □不合格</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color w:val="000000"/>
                <w:sz w:val="21"/>
                <w:szCs w:val="21"/>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安全标准</w:t>
            </w: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  格</w:t>
            </w:r>
          </w:p>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□不合格</w:t>
            </w: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420" w:firstLineChars="200"/>
              <w:jc w:val="left"/>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33"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color w:val="000000"/>
                <w:sz w:val="21"/>
                <w:szCs w:val="21"/>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服务承诺实现</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  格 □不合格</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color w:val="000000"/>
                <w:sz w:val="21"/>
                <w:szCs w:val="21"/>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合同履约时间、地点、方式</w:t>
            </w:r>
          </w:p>
        </w:tc>
        <w:tc>
          <w:tcPr>
            <w:tcW w:w="973"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□合  格</w:t>
            </w:r>
          </w:p>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□不合格</w:t>
            </w:r>
          </w:p>
        </w:tc>
        <w:tc>
          <w:tcPr>
            <w:tcW w:w="135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firstLine="420" w:firstLineChars="200"/>
              <w:jc w:val="left"/>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220" w:type="dxa"/>
            <w:gridSpan w:val="1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三、验收结论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76" w:hRule="atLeast"/>
          <w:jc w:val="center"/>
        </w:trPr>
        <w:tc>
          <w:tcPr>
            <w:tcW w:w="1473"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snapToGrid w:val="0"/>
              <w:spacing w:before="100" w:beforeAutospacing="1" w:after="100" w:afterAutospacing="1" w:line="360" w:lineRule="exact"/>
              <w:ind w:left="0" w:right="0"/>
              <w:jc w:val="center"/>
              <w:rPr>
                <w:rFonts w:hint="eastAsia" w:ascii="宋体" w:hAnsi="宋体" w:eastAsia="宋体" w:cs="宋体"/>
                <w:color w:val="000000"/>
                <w:sz w:val="21"/>
                <w:szCs w:val="21"/>
              </w:rPr>
            </w:pPr>
            <w:r>
              <w:rPr>
                <w:rFonts w:hint="eastAsia" w:ascii="宋体" w:hAnsi="宋体" w:eastAsia="宋体" w:cs="宋体"/>
                <w:sz w:val="21"/>
                <w:szCs w:val="21"/>
              </w:rPr>
              <w:t>存在问题和改进意见</w:t>
            </w:r>
          </w:p>
        </w:tc>
        <w:tc>
          <w:tcPr>
            <w:tcW w:w="6747" w:type="dxa"/>
            <w:gridSpan w:val="1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snapToGrid w:val="0"/>
              <w:spacing w:before="100" w:beforeAutospacing="1" w:after="100" w:afterAutospacing="1" w:line="360" w:lineRule="exact"/>
              <w:ind w:left="0" w:right="0"/>
              <w:jc w:val="left"/>
              <w:rPr>
                <w:rFonts w:hint="eastAsia" w:ascii="宋体" w:hAnsi="宋体" w:eastAsia="宋体" w:cs="宋体"/>
                <w:color w:val="000000"/>
                <w:sz w:val="21"/>
                <w:szCs w:val="21"/>
              </w:rPr>
            </w:pPr>
          </w:p>
          <w:p>
            <w:pPr>
              <w:keepNext w:val="0"/>
              <w:keepLines w:val="0"/>
              <w:widowControl/>
              <w:suppressLineNumbers w:val="0"/>
              <w:snapToGrid w:val="0"/>
              <w:spacing w:before="100" w:beforeAutospacing="1" w:after="100" w:afterAutospacing="1" w:line="360" w:lineRule="exact"/>
              <w:ind w:left="0" w:right="0"/>
              <w:jc w:val="left"/>
              <w:rPr>
                <w:rFonts w:hint="eastAsia" w:ascii="宋体" w:hAnsi="宋体" w:eastAsia="宋体" w:cs="宋体"/>
                <w:color w:val="000000"/>
                <w:sz w:val="21"/>
                <w:szCs w:val="21"/>
              </w:rPr>
            </w:pPr>
          </w:p>
          <w:p>
            <w:pPr>
              <w:keepNext w:val="0"/>
              <w:keepLines w:val="0"/>
              <w:widowControl/>
              <w:suppressLineNumbers w:val="0"/>
              <w:snapToGrid w:val="0"/>
              <w:spacing w:before="100" w:beforeAutospacing="1" w:after="100" w:afterAutospacing="1" w:line="360" w:lineRule="exact"/>
              <w:ind w:left="0" w:right="0"/>
              <w:jc w:val="left"/>
              <w:rPr>
                <w:rFonts w:hint="eastAsia" w:ascii="宋体" w:hAnsi="宋体" w:eastAsia="宋体" w:cs="宋体"/>
                <w:color w:val="000000"/>
                <w:sz w:val="21"/>
                <w:szCs w:val="21"/>
              </w:rPr>
            </w:pPr>
          </w:p>
          <w:p>
            <w:pPr>
              <w:keepNext w:val="0"/>
              <w:keepLines w:val="0"/>
              <w:widowControl/>
              <w:suppressLineNumbers w:val="0"/>
              <w:snapToGrid w:val="0"/>
              <w:spacing w:before="100" w:beforeAutospacing="1" w:after="100" w:afterAutospacing="1" w:line="360" w:lineRule="exact"/>
              <w:ind w:left="0" w:right="0"/>
              <w:jc w:val="left"/>
              <w:rPr>
                <w:rFonts w:hint="eastAsia" w:ascii="宋体" w:hAnsi="宋体" w:eastAsia="宋体" w:cs="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42" w:hRule="atLeast"/>
          <w:jc w:val="center"/>
        </w:trPr>
        <w:tc>
          <w:tcPr>
            <w:tcW w:w="1473" w:type="dxa"/>
            <w:gridSpan w:val="2"/>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spacing w:before="100" w:beforeAutospacing="1" w:after="100" w:afterAutospacing="1"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验收小组</w:t>
            </w:r>
          </w:p>
          <w:p>
            <w:pPr>
              <w:keepNext w:val="0"/>
              <w:keepLines w:val="0"/>
              <w:widowControl/>
              <w:suppressLineNumbers w:val="0"/>
              <w:spacing w:before="100" w:beforeAutospacing="1" w:after="100" w:afterAutospacing="1" w:line="360" w:lineRule="exact"/>
              <w:ind w:left="0" w:right="0"/>
              <w:jc w:val="center"/>
              <w:rPr>
                <w:rFonts w:hint="eastAsia" w:ascii="宋体" w:hAnsi="宋体" w:eastAsia="宋体" w:cs="宋体"/>
                <w:sz w:val="21"/>
                <w:szCs w:val="21"/>
              </w:rPr>
            </w:pPr>
            <w:r>
              <w:rPr>
                <w:rFonts w:hint="eastAsia" w:ascii="宋体" w:hAnsi="宋体" w:eastAsia="宋体" w:cs="宋体"/>
                <w:sz w:val="21"/>
                <w:szCs w:val="21"/>
              </w:rPr>
              <w:t>意见</w:t>
            </w:r>
          </w:p>
        </w:tc>
        <w:tc>
          <w:tcPr>
            <w:tcW w:w="6747" w:type="dxa"/>
            <w:gridSpan w:val="12"/>
            <w:tcBorders>
              <w:top w:val="single" w:color="auto" w:sz="8" w:space="0"/>
              <w:left w:val="single" w:color="auto" w:sz="8" w:space="0"/>
              <w:bottom w:val="single" w:color="auto" w:sz="4" w:space="0"/>
              <w:right w:val="single" w:color="auto" w:sz="8" w:space="0"/>
            </w:tcBorders>
            <w:noWrap w:val="0"/>
            <w:vAlign w:val="center"/>
          </w:tcPr>
          <w:p>
            <w:pPr>
              <w:keepNext w:val="0"/>
              <w:keepLines w:val="0"/>
              <w:widowControl/>
              <w:suppressLineNumbers w:val="0"/>
              <w:spacing w:before="100" w:beforeAutospacing="1" w:after="100" w:afterAutospacing="1" w:line="360" w:lineRule="exact"/>
              <w:ind w:left="0" w:right="0"/>
              <w:jc w:val="left"/>
              <w:rPr>
                <w:rFonts w:hint="eastAsia" w:ascii="宋体" w:hAnsi="宋体" w:eastAsia="宋体" w:cs="宋体"/>
                <w:sz w:val="21"/>
                <w:szCs w:val="21"/>
              </w:rPr>
            </w:pPr>
            <w:r>
              <w:rPr>
                <w:rFonts w:hint="eastAsia" w:ascii="宋体" w:hAnsi="宋体" w:eastAsia="宋体" w:cs="宋体"/>
                <w:sz w:val="21"/>
                <w:szCs w:val="21"/>
              </w:rPr>
              <w:t>验收结论性意见：  □合  格        □不合格</w:t>
            </w:r>
          </w:p>
          <w:p>
            <w:pPr>
              <w:keepNext w:val="0"/>
              <w:keepLines w:val="0"/>
              <w:widowControl/>
              <w:suppressLineNumbers w:val="0"/>
              <w:spacing w:before="100" w:beforeAutospacing="1" w:after="100" w:afterAutospacing="1" w:line="360" w:lineRule="exact"/>
              <w:ind w:left="0" w:right="0"/>
              <w:jc w:val="left"/>
              <w:rPr>
                <w:rFonts w:hint="eastAsia" w:ascii="宋体" w:hAnsi="宋体" w:eastAsia="宋体" w:cs="宋体"/>
                <w:sz w:val="21"/>
                <w:szCs w:val="21"/>
              </w:rPr>
            </w:pPr>
            <w:r>
              <w:rPr>
                <w:rFonts w:hint="eastAsia" w:ascii="宋体" w:hAnsi="宋体" w:eastAsia="宋体" w:cs="宋体"/>
                <w:sz w:val="21"/>
                <w:szCs w:val="21"/>
              </w:rPr>
              <w:t>其他需要说明的事项：</w:t>
            </w:r>
          </w:p>
          <w:p>
            <w:pPr>
              <w:keepNext w:val="0"/>
              <w:keepLines w:val="0"/>
              <w:widowControl/>
              <w:suppressLineNumbers w:val="0"/>
              <w:spacing w:before="100" w:beforeAutospacing="1" w:after="100" w:afterAutospacing="1" w:line="360" w:lineRule="exact"/>
              <w:ind w:left="0" w:right="0"/>
              <w:jc w:val="left"/>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43" w:hRule="atLeast"/>
          <w:jc w:val="center"/>
        </w:trPr>
        <w:tc>
          <w:tcPr>
            <w:tcW w:w="147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sz w:val="21"/>
                <w:szCs w:val="21"/>
              </w:rPr>
            </w:pPr>
          </w:p>
        </w:tc>
        <w:tc>
          <w:tcPr>
            <w:tcW w:w="6747" w:type="dxa"/>
            <w:gridSpan w:val="12"/>
            <w:tcBorders>
              <w:top w:val="single" w:color="auto" w:sz="4"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line="360" w:lineRule="exact"/>
              <w:ind w:left="0" w:right="0"/>
              <w:jc w:val="left"/>
              <w:rPr>
                <w:rFonts w:hint="eastAsia" w:ascii="宋体" w:hAnsi="宋体" w:eastAsia="宋体" w:cs="宋体"/>
                <w:sz w:val="21"/>
                <w:szCs w:val="21"/>
              </w:rPr>
            </w:pPr>
            <w:r>
              <w:rPr>
                <w:rFonts w:hint="eastAsia" w:ascii="宋体" w:hAnsi="宋体" w:eastAsia="宋体" w:cs="宋体"/>
                <w:sz w:val="21"/>
                <w:szCs w:val="21"/>
              </w:rPr>
              <w:t>有异议的意见和说明理由：</w:t>
            </w:r>
          </w:p>
          <w:p>
            <w:pPr>
              <w:keepNext w:val="0"/>
              <w:keepLines w:val="0"/>
              <w:widowControl/>
              <w:suppressLineNumbers w:val="0"/>
              <w:spacing w:before="100" w:beforeAutospacing="1" w:after="100" w:afterAutospacing="1" w:line="360" w:lineRule="exact"/>
              <w:ind w:left="0" w:right="0"/>
              <w:jc w:val="left"/>
              <w:rPr>
                <w:rFonts w:hint="eastAsia" w:ascii="宋体" w:hAnsi="宋体" w:eastAsia="宋体" w:cs="宋体"/>
                <w:sz w:val="21"/>
                <w:szCs w:val="21"/>
              </w:rPr>
            </w:pPr>
            <w:r>
              <w:rPr>
                <w:rFonts w:hint="eastAsia" w:ascii="宋体" w:hAnsi="宋体" w:eastAsia="宋体" w:cs="宋体"/>
                <w:sz w:val="21"/>
                <w:szCs w:val="21"/>
              </w:rPr>
              <w:t xml:space="preserve">                                     </w:t>
            </w:r>
          </w:p>
          <w:p>
            <w:pPr>
              <w:keepNext w:val="0"/>
              <w:keepLines w:val="0"/>
              <w:widowControl/>
              <w:suppressLineNumbers w:val="0"/>
              <w:spacing w:before="100" w:beforeAutospacing="1" w:after="100" w:afterAutospacing="1" w:line="360" w:lineRule="exact"/>
              <w:ind w:left="0" w:right="0" w:firstLine="4515" w:firstLineChars="2150"/>
              <w:jc w:val="left"/>
              <w:rPr>
                <w:rFonts w:hint="eastAsia" w:ascii="宋体" w:hAnsi="宋体" w:eastAsia="宋体" w:cs="宋体"/>
                <w:sz w:val="21"/>
                <w:szCs w:val="21"/>
              </w:rPr>
            </w:pPr>
            <w:r>
              <w:rPr>
                <w:rFonts w:hint="eastAsia" w:ascii="宋体" w:hAnsi="宋体" w:eastAsia="宋体" w:cs="宋体"/>
                <w:sz w:val="21"/>
                <w:szCs w:val="21"/>
              </w:rPr>
              <w:t>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39" w:hRule="atLeast"/>
          <w:jc w:val="center"/>
        </w:trPr>
        <w:tc>
          <w:tcPr>
            <w:tcW w:w="8220" w:type="dxa"/>
            <w:gridSpan w:val="1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line="360" w:lineRule="exact"/>
              <w:ind w:left="0" w:right="0"/>
              <w:rPr>
                <w:rFonts w:hint="eastAsia" w:ascii="宋体" w:hAnsi="宋体" w:eastAsia="宋体" w:cs="宋体"/>
                <w:sz w:val="21"/>
                <w:szCs w:val="21"/>
              </w:rPr>
            </w:pPr>
            <w:r>
              <w:rPr>
                <w:rFonts w:hint="eastAsia" w:ascii="宋体" w:hAnsi="宋体" w:eastAsia="宋体" w:cs="宋体"/>
                <w:sz w:val="21"/>
                <w:szCs w:val="21"/>
              </w:rPr>
              <w:t>验收小组成员签字：</w:t>
            </w:r>
          </w:p>
          <w:p>
            <w:pPr>
              <w:keepNext w:val="0"/>
              <w:keepLines w:val="0"/>
              <w:widowControl/>
              <w:suppressLineNumbers w:val="0"/>
              <w:spacing w:before="100" w:beforeAutospacing="1" w:after="100" w:afterAutospacing="1" w:line="360" w:lineRule="exact"/>
              <w:ind w:left="0" w:right="0"/>
              <w:jc w:val="left"/>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95" w:hRule="atLeast"/>
          <w:jc w:val="center"/>
        </w:trPr>
        <w:tc>
          <w:tcPr>
            <w:tcW w:w="4171" w:type="dxa"/>
            <w:gridSpan w:val="7"/>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spacing w:before="100" w:beforeAutospacing="1" w:after="100" w:afterAutospacing="1" w:line="360" w:lineRule="exact"/>
              <w:ind w:left="0" w:right="0"/>
              <w:jc w:val="left"/>
              <w:rPr>
                <w:rFonts w:hint="eastAsia" w:ascii="宋体" w:hAnsi="宋体" w:eastAsia="宋体" w:cs="宋体"/>
                <w:sz w:val="21"/>
                <w:szCs w:val="21"/>
              </w:rPr>
            </w:pPr>
            <w:r>
              <w:rPr>
                <w:rFonts w:hint="eastAsia" w:ascii="宋体" w:hAnsi="宋体" w:eastAsia="宋体" w:cs="宋体"/>
                <w:sz w:val="21"/>
                <w:szCs w:val="21"/>
              </w:rPr>
              <w:t>采购人意见：</w:t>
            </w:r>
          </w:p>
          <w:p>
            <w:pPr>
              <w:keepNext w:val="0"/>
              <w:keepLines w:val="0"/>
              <w:widowControl/>
              <w:suppressLineNumbers w:val="0"/>
              <w:spacing w:before="100" w:beforeAutospacing="1" w:after="100" w:afterAutospacing="1" w:line="360" w:lineRule="exact"/>
              <w:ind w:left="0" w:right="0"/>
              <w:jc w:val="left"/>
              <w:rPr>
                <w:rFonts w:hint="eastAsia" w:ascii="宋体" w:hAnsi="宋体" w:eastAsia="宋体" w:cs="宋体"/>
                <w:sz w:val="21"/>
                <w:szCs w:val="21"/>
              </w:rPr>
            </w:pPr>
          </w:p>
          <w:p>
            <w:pPr>
              <w:keepNext w:val="0"/>
              <w:keepLines w:val="0"/>
              <w:widowControl/>
              <w:suppressLineNumbers w:val="0"/>
              <w:spacing w:before="100" w:beforeAutospacing="1" w:after="100" w:afterAutospacing="1" w:line="360" w:lineRule="exact"/>
              <w:ind w:left="0" w:right="0"/>
              <w:jc w:val="left"/>
              <w:rPr>
                <w:rFonts w:hint="eastAsia" w:ascii="宋体" w:hAnsi="宋体" w:eastAsia="宋体" w:cs="宋体"/>
                <w:sz w:val="21"/>
                <w:szCs w:val="21"/>
              </w:rPr>
            </w:pPr>
          </w:p>
          <w:p>
            <w:pPr>
              <w:keepNext w:val="0"/>
              <w:keepLines w:val="0"/>
              <w:widowControl/>
              <w:suppressLineNumbers w:val="0"/>
              <w:spacing w:before="100" w:beforeAutospacing="1" w:after="100" w:afterAutospacing="1" w:line="360" w:lineRule="exact"/>
              <w:ind w:left="0" w:right="0"/>
              <w:jc w:val="left"/>
              <w:rPr>
                <w:rFonts w:hint="eastAsia" w:ascii="宋体" w:hAnsi="宋体" w:eastAsia="宋体" w:cs="宋体"/>
                <w:sz w:val="21"/>
                <w:szCs w:val="21"/>
              </w:rPr>
            </w:pPr>
          </w:p>
          <w:p>
            <w:pPr>
              <w:keepNext w:val="0"/>
              <w:keepLines w:val="0"/>
              <w:widowControl/>
              <w:suppressLineNumbers w:val="0"/>
              <w:spacing w:before="100" w:beforeAutospacing="1" w:after="100" w:afterAutospacing="1" w:line="360" w:lineRule="exact"/>
              <w:ind w:left="0" w:right="0"/>
              <w:jc w:val="left"/>
              <w:rPr>
                <w:rFonts w:hint="eastAsia" w:ascii="宋体" w:hAnsi="宋体" w:eastAsia="宋体" w:cs="宋体"/>
                <w:sz w:val="21"/>
                <w:szCs w:val="21"/>
              </w:rPr>
            </w:pPr>
            <w:r>
              <w:rPr>
                <w:rFonts w:hint="eastAsia" w:ascii="宋体" w:hAnsi="宋体" w:eastAsia="宋体" w:cs="宋体"/>
                <w:sz w:val="21"/>
                <w:szCs w:val="21"/>
              </w:rPr>
              <w:t>经办人：     负责人：      （盖章）</w:t>
            </w:r>
          </w:p>
          <w:p>
            <w:pPr>
              <w:keepNext w:val="0"/>
              <w:keepLines w:val="0"/>
              <w:widowControl/>
              <w:suppressLineNumbers w:val="0"/>
              <w:spacing w:before="100" w:beforeAutospacing="1" w:after="100" w:afterAutospacing="1" w:line="360" w:lineRule="exact"/>
              <w:ind w:left="0" w:right="0"/>
              <w:jc w:val="left"/>
              <w:rPr>
                <w:rFonts w:hint="eastAsia" w:ascii="宋体" w:hAnsi="宋体" w:eastAsia="宋体" w:cs="宋体"/>
                <w:sz w:val="21"/>
                <w:szCs w:val="21"/>
              </w:rPr>
            </w:pPr>
            <w:r>
              <w:rPr>
                <w:rFonts w:hint="eastAsia" w:ascii="宋体" w:hAnsi="宋体" w:eastAsia="宋体" w:cs="宋体"/>
                <w:sz w:val="21"/>
                <w:szCs w:val="21"/>
              </w:rPr>
              <w:t xml:space="preserve">                       年   月   日</w:t>
            </w:r>
          </w:p>
        </w:tc>
        <w:tc>
          <w:tcPr>
            <w:tcW w:w="4049"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宋体" w:hAnsi="宋体" w:eastAsia="宋体" w:cs="宋体"/>
                <w:sz w:val="21"/>
                <w:szCs w:val="21"/>
              </w:rPr>
            </w:pPr>
            <w:r>
              <w:rPr>
                <w:rFonts w:hint="eastAsia" w:ascii="宋体" w:hAnsi="宋体" w:eastAsia="宋体" w:cs="宋体"/>
                <w:sz w:val="21"/>
                <w:szCs w:val="21"/>
              </w:rPr>
              <w:t>供应商确认：</w:t>
            </w:r>
          </w:p>
          <w:p>
            <w:pPr>
              <w:keepNext w:val="0"/>
              <w:keepLines w:val="0"/>
              <w:widowControl/>
              <w:suppressLineNumbers w:val="0"/>
              <w:spacing w:before="100" w:beforeAutospacing="1" w:after="100" w:afterAutospacing="1" w:line="360" w:lineRule="exact"/>
              <w:ind w:left="0" w:right="0"/>
              <w:jc w:val="left"/>
              <w:rPr>
                <w:rFonts w:hint="eastAsia" w:ascii="宋体" w:hAnsi="宋体" w:eastAsia="宋体" w:cs="宋体"/>
                <w:sz w:val="21"/>
                <w:szCs w:val="21"/>
              </w:rPr>
            </w:pPr>
          </w:p>
          <w:p>
            <w:pPr>
              <w:keepNext w:val="0"/>
              <w:keepLines w:val="0"/>
              <w:widowControl/>
              <w:suppressLineNumbers w:val="0"/>
              <w:spacing w:before="100" w:beforeAutospacing="1" w:after="100" w:afterAutospacing="1" w:line="360" w:lineRule="exact"/>
              <w:ind w:left="0" w:right="0"/>
              <w:jc w:val="left"/>
              <w:rPr>
                <w:rFonts w:hint="eastAsia" w:ascii="宋体" w:hAnsi="宋体" w:eastAsia="宋体" w:cs="宋体"/>
                <w:sz w:val="21"/>
                <w:szCs w:val="21"/>
              </w:rPr>
            </w:pPr>
          </w:p>
          <w:p>
            <w:pPr>
              <w:keepNext w:val="0"/>
              <w:keepLines w:val="0"/>
              <w:widowControl/>
              <w:suppressLineNumbers w:val="0"/>
              <w:spacing w:before="100" w:beforeAutospacing="1" w:after="100" w:afterAutospacing="1" w:line="360" w:lineRule="exact"/>
              <w:ind w:left="0" w:right="0"/>
              <w:jc w:val="left"/>
              <w:rPr>
                <w:rFonts w:hint="eastAsia" w:ascii="宋体" w:hAnsi="宋体" w:eastAsia="宋体" w:cs="宋体"/>
                <w:sz w:val="21"/>
                <w:szCs w:val="21"/>
              </w:rPr>
            </w:pPr>
          </w:p>
          <w:p>
            <w:pPr>
              <w:keepNext w:val="0"/>
              <w:keepLines w:val="0"/>
              <w:widowControl/>
              <w:suppressLineNumbers w:val="0"/>
              <w:spacing w:before="100" w:beforeAutospacing="1" w:after="100" w:afterAutospacing="1" w:line="360" w:lineRule="exact"/>
              <w:ind w:left="1920" w:right="0" w:hanging="1680" w:hangingChars="800"/>
              <w:jc w:val="left"/>
              <w:rPr>
                <w:rFonts w:hint="eastAsia" w:ascii="宋体" w:hAnsi="宋体" w:eastAsia="宋体" w:cs="宋体"/>
                <w:sz w:val="21"/>
                <w:szCs w:val="21"/>
              </w:rPr>
            </w:pPr>
            <w:r>
              <w:rPr>
                <w:rFonts w:hint="eastAsia" w:ascii="宋体" w:hAnsi="宋体" w:eastAsia="宋体" w:cs="宋体"/>
                <w:sz w:val="21"/>
                <w:szCs w:val="21"/>
              </w:rPr>
              <w:t>供应商盖章或授权代表签字：</w:t>
            </w:r>
          </w:p>
          <w:p>
            <w:pPr>
              <w:keepNext w:val="0"/>
              <w:keepLines w:val="0"/>
              <w:widowControl/>
              <w:suppressLineNumbers w:val="0"/>
              <w:spacing w:before="100" w:beforeAutospacing="1" w:after="100" w:afterAutospacing="1" w:line="360" w:lineRule="exact"/>
              <w:ind w:left="1920" w:right="0" w:hanging="1680" w:hangingChars="800"/>
              <w:jc w:val="left"/>
              <w:rPr>
                <w:rFonts w:hint="eastAsia" w:ascii="宋体" w:hAnsi="宋体" w:eastAsia="宋体" w:cs="宋体"/>
                <w:sz w:val="21"/>
                <w:szCs w:val="21"/>
              </w:rPr>
            </w:pPr>
            <w:r>
              <w:rPr>
                <w:rFonts w:hint="eastAsia" w:ascii="宋体" w:hAnsi="宋体" w:eastAsia="宋体" w:cs="宋体"/>
                <w:sz w:val="21"/>
                <w:szCs w:val="21"/>
              </w:rPr>
              <w:t xml:space="preserve">     联系电话：                 </w:t>
            </w:r>
          </w:p>
          <w:p>
            <w:pPr>
              <w:keepNext w:val="0"/>
              <w:keepLines w:val="0"/>
              <w:widowControl/>
              <w:suppressLineNumbers w:val="0"/>
              <w:spacing w:before="100" w:beforeAutospacing="1" w:after="100" w:afterAutospacing="1" w:line="360" w:lineRule="exact"/>
              <w:ind w:left="1920" w:right="0" w:hanging="1680" w:hangingChars="800"/>
              <w:jc w:val="left"/>
              <w:rPr>
                <w:rFonts w:hint="eastAsia" w:ascii="宋体" w:hAnsi="宋体" w:eastAsia="宋体" w:cs="宋体"/>
                <w:sz w:val="21"/>
                <w:szCs w:val="21"/>
              </w:rPr>
            </w:pPr>
            <w:r>
              <w:rPr>
                <w:rFonts w:hint="eastAsia" w:ascii="宋体" w:hAnsi="宋体" w:eastAsia="宋体" w:cs="宋体"/>
                <w:sz w:val="21"/>
                <w:szCs w:val="21"/>
              </w:rPr>
              <w:t xml:space="preserve">                        年   月   日</w:t>
            </w:r>
          </w:p>
        </w:tc>
      </w:tr>
    </w:tbl>
    <w:p>
      <w:pPr>
        <w:ind w:firstLine="105" w:firstLineChars="50"/>
        <w:rPr>
          <w:rFonts w:hint="eastAsia" w:ascii="宋体" w:hAnsi="宋体" w:eastAsia="宋体" w:cs="宋体"/>
          <w:sz w:val="21"/>
          <w:szCs w:val="21"/>
        </w:rPr>
      </w:pPr>
    </w:p>
    <w:p>
      <w:pPr>
        <w:ind w:firstLine="105" w:firstLineChars="50"/>
        <w:rPr>
          <w:rFonts w:hint="eastAsia" w:ascii="宋体" w:hAnsi="宋体" w:eastAsia="宋体" w:cs="宋体"/>
          <w:sz w:val="21"/>
          <w:szCs w:val="21"/>
        </w:rPr>
      </w:pPr>
      <w:r>
        <w:rPr>
          <w:rFonts w:hint="eastAsia" w:ascii="宋体" w:hAnsi="宋体" w:eastAsia="宋体" w:cs="宋体"/>
          <w:sz w:val="21"/>
          <w:szCs w:val="21"/>
        </w:rPr>
        <w:t>注：该表为履约验收书的综合性参考模板，</w:t>
      </w:r>
      <w:r>
        <w:rPr>
          <w:rFonts w:hint="eastAsia" w:ascii="宋体" w:hAnsi="宋体" w:eastAsia="宋体" w:cs="宋体"/>
          <w:sz w:val="21"/>
          <w:szCs w:val="21"/>
          <w:lang w:eastAsia="zh-CN"/>
        </w:rPr>
        <w:t>采购人</w:t>
      </w:r>
      <w:r>
        <w:rPr>
          <w:rFonts w:hint="eastAsia" w:ascii="宋体" w:hAnsi="宋体" w:eastAsia="宋体" w:cs="宋体"/>
          <w:sz w:val="21"/>
          <w:szCs w:val="21"/>
        </w:rPr>
        <w:t>可以根据工作实际进行调整。</w:t>
      </w:r>
    </w:p>
    <w:p>
      <w:pPr>
        <w:rPr>
          <w:rFonts w:hint="eastAsia" w:ascii="宋体" w:hAnsi="宋体" w:eastAsia="宋体" w:cs="宋体"/>
          <w:sz w:val="21"/>
          <w:szCs w:val="21"/>
        </w:rPr>
      </w:pPr>
    </w:p>
    <w:p>
      <w:pPr>
        <w:pStyle w:val="20"/>
        <w:rPr>
          <w:rFonts w:hint="eastAsia" w:ascii="宋体" w:hAnsi="宋体" w:eastAsia="宋体" w:cs="宋体"/>
          <w:sz w:val="21"/>
          <w:szCs w:val="21"/>
        </w:rPr>
      </w:pPr>
    </w:p>
    <w:p>
      <w:pPr>
        <w:pStyle w:val="20"/>
      </w:pPr>
    </w:p>
    <w:p>
      <w:pPr>
        <w:widowControl w:val="0"/>
        <w:snapToGrid w:val="0"/>
        <w:spacing w:line="400" w:lineRule="exact"/>
        <w:jc w:val="both"/>
        <w:rPr>
          <w:rFonts w:hint="eastAsia"/>
        </w:rPr>
      </w:pPr>
    </w:p>
    <w:sectPr>
      <w:headerReference r:id="rId6" w:type="default"/>
      <w:footerReference r:id="rId8" w:type="default"/>
      <w:headerReference r:id="rId7" w:type="even"/>
      <w:footerReference r:id="rId9" w:type="even"/>
      <w:pgSz w:w="11906" w:h="16838"/>
      <w:pgMar w:top="1440" w:right="1803" w:bottom="1440" w:left="1803" w:header="680" w:footer="680" w:gutter="0"/>
      <w:pgNumType w:fmt="numberInDash" w:start="1"/>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iti SC Light">
    <w:altName w:val="宋体"/>
    <w:panose1 w:val="02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MingLiU">
    <w:altName w:val="PMingLiU-ExtB"/>
    <w:panose1 w:val="02020509000000000000"/>
    <w:charset w:val="00"/>
    <w:family w:val="auto"/>
    <w:pitch w:val="default"/>
    <w:sig w:usb0="00000000" w:usb1="00000000" w:usb2="00000016" w:usb3="00000000" w:csb0="00100001" w:csb1="00000000"/>
  </w:font>
  <w:font w:name="Futura Bk">
    <w:altName w:val="Segoe Print"/>
    <w:panose1 w:val="00000000000000000000"/>
    <w:charset w:val="00"/>
    <w:family w:val="swiss"/>
    <w:pitch w:val="default"/>
    <w:sig w:usb0="00000000" w:usb1="00000000" w:usb2="00000000" w:usb3="00000000" w:csb0="0000009F" w:csb1="00000000"/>
  </w:font>
  <w:font w:name="aril">
    <w:altName w:val="华文仿宋"/>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Light">
    <w:panose1 w:val="020B0502040204020203"/>
    <w:charset w:val="86"/>
    <w:family w:val="swiss"/>
    <w:pitch w:val="default"/>
    <w:sig w:usb0="80000287" w:usb1="2ACF0010"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_5b8b_4f53">
    <w:altName w:val="华文仿宋"/>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3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Ws8zD8oBAACaAwAADgAAAGRycy9lMm9Eb2MueG1srVPNjtMwEL4j8Q6W 79TZrkBV1HS1qFqEhABp4QFcx24s+U8et0lfAN6AExfuPFefg7GTdGG57GEvznhm/M1830zWN4M1 5CgjaO8aerWoKJFO+Fa7fUO/frl7taIEEnctN97Jhp4k0JvNyxfrPtRy6TtvWhkJgjio+9DQLqVQ Mwaik5bDwgfpMKh8tDzhNe5ZG3mP6NawZVW9Yb2PbYheSAD0bscgnRDjUwC9UlrIrRcHK10aUaM0 PCEl6HQAuindKiVF+qQUyERMQ5FpKicWQXuXT7ZZ83ofeei0mFrgT2nhESfLtcOiF6gtT5wcov4P ymoRPXiVFsJbNhIpiiCLq+qRNvcdD7JwQakhXESH54MVH4+fI9FtQ68pcdziwM8/vp9//j7/+kau X2d9+gA1pt0HTEzDWz/g1sx+QGemPaho8xcJEYyjuqeLunJIRORHq+VqVWFIYGy+ID57eB4ipHfS W5KNhkYcX1GVHz9AGlPnlFzN+TttTBmhcf84EDN7WO597DFbadgNE6Gdb0/Ip8fJN9TholNi3jsU Ni/JbMTZ2M3GIUS978oW5XoQbg8Jmyi95Qoj7FQYR1bYTeuVd+Lve8l6+KU2fwB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Ws8zD8oBAACaAwAADgAAAAAAAAABACAAAAAeAQAAZHJzL2Uyb0Rv Yy54bWxQSwUGAAAAAAYABgBZAQAAWgUAAAAA ">
              <v:fill on="f" focussize="0,0"/>
              <v:stroke on="f"/>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Fonts w:hint="eastAsia" w:eastAsia="宋体"/>
                              <w:lang w:eastAsia="zh-CN"/>
                            </w:rPr>
                          </w:pPr>
                        </w:p>
                      </w:txbxContent>
                    </wps:txbx>
                    <wps:bodyPr wrap="none" lIns="0" tIns="0" rIns="0" bIns="0" upright="0">
                      <a:spAutoFit/>
                    </wps:bodyPr>
                  </wps:wsp>
                </a:graphicData>
              </a:graphic>
            </wp:anchor>
          </w:drawing>
        </mc:Choice>
        <mc:Fallback>
          <w:pict>
            <v:shape id="文本框 3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8CZQ6MoBAACaAwAADgAAAGRycy9lMm9Eb2MueG1srVPNjtMwEL4j8Q6W 79TZIq2qqOlqUbUICQHSwgO4jt1Y8p88bpO+ALwBJy7cea4+B2Mn6S7LZQ97ccYz42/m+2ayvhms IUcZQXvX0KtFRYl0wrfa7Rv67evdmxUlkLhrufFONvQkgd5sXr9a96GWS99508pIEMRB3YeGdimF mjEQnbQcFj5Ih0Hlo+UJr3HP2sh7RLeGLavqmvU+tiF6IQHQux2DdEKMzwH0Smkht14crHRpRI3S 8ISUoNMB6KZ0q5QU6bNSIBMxDUWmqZxYBO1dPtlmzet95KHTYmqBP6eFJ5ws1w6LXqC2PHFyiPo/ KKtF9OBVWghv2UikKIIsrqon2tx3PMjCBaWGcBEdXg5WfDp+iUS3DV1S4rjFgZ9//jj/+nP+/Z28 vc769AFqTLsPmJiGd37ArZn9gM5Me1DR5i8SIhhHdU8XdeWQiMiPVsvVqsKQwNh8QXz28DxESO+l tyQbDY04vqIqP36ENKbOKbma83famDJC4/5xIGb2sNz72GO20rAbJkI7356QT4+Tb6jDRafEfHAo bF6S2YizsZuNQ4h635UtyvUg3B4SNlF6yxVG2Kkwjqywm9Yr78Tje8l6+KU2fwF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8CZQ6MoBAACaAwAADgAAAAAAAAABACAAAAAeAQAAZHJzL2Uyb0Rv Yy54bWxQSwUGAAAAAAYABgBZAQAAWgUAAAAA ">
              <v:fill on="f" focussize="0,0"/>
              <v:stroke on="f"/>
              <v:imagedata o:title=""/>
              <o:lock v:ext="edit" aspectratio="f"/>
              <v:textbox inset="0mm,0mm,0mm,0mm" style="mso-fit-shape-to-text:t;">
                <w:txbxContent>
                  <w:p>
                    <w:pPr>
                      <w:pStyle w:val="26"/>
                      <w:rPr>
                        <w:rFonts w:hint="eastAsia" w:eastAsia="宋体"/>
                        <w:lang w:eastAsia="zh-CN"/>
                      </w:rPr>
                    </w:pPr>
                  </w:p>
                </w:txbxContent>
              </v:textbox>
            </v:shape>
          </w:pict>
        </mc:Fallback>
      </mc:AlternateContent>
    </w:r>
  </w:p>
  <w:p>
    <w:pPr>
      <w:pStyle w:val="26"/>
      <w:tabs>
        <w:tab w:val="left" w:pos="6600"/>
        <w:tab w:val="clear" w:pos="4153"/>
        <w:tab w:val="clear" w:pos="830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文本框 3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xL7kIckBAACaAwAADgAAAGRycy9lMm9Eb2MueG1srVPNjtMwEL4j8Q6W 79TZgqCKmq5A1SIkBEgLD+A6dmPJf/K4TfoC8AacuHDnufocjJ2kC7uXPezFGc+Mv5nvm8n6erCG HGUE7V1DrxYVJdIJ32q3b+i3rzcvVpRA4q7lxjvZ0JMEer15/mzdh1oufedNKyNBEAd1HxrapRRq xkB00nJY+CAdBpWPlie8xj1rI+8R3Rq2rKrXrPexDdELCYDe7RikE2J8DKBXSgu59eJgpUsjapSG J6QEnQ5AN6VbpaRIn5UCmYhpKDJN5cQiaO/yyTZrXu8jD50WUwv8MS3c42S5dlj0ArXliZND1A+g rBbRg1dpIbxlI5GiCLK4qu5pc9vxIAsXlBrCRXR4Oljx6fglEt029BUljlsc+Pnnj/OvP+ff38nL N1mfPkCNabcBE9Pwzg+4NbMf0JlpDyra/EVCBOOo7umirhwSEfnRarlaVRgSGJsviM/unocI6b30 lmSjoRHHV1Tlx4+QxtQ5JVdz/kYbU0Zo3H8OxMwelnsfe8xWGnbDRGjn2xPy6XHyDXW46JSYDw6F zUsyG3E2drNxCFHvu7JFuR6Et4eETZTecoURdiqMIyvspvXKO/HvvWTd/VKbv1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EvuQhyQEAAJoDAAAOAAAAAAAAAAEAIAAAAB4BAABkcnMvZTJvRG9j LnhtbFBLBQYAAAAABgAGAFkBAABZBQAAAAA= ">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8"/>
      <w:tblW w:w="0" w:type="auto"/>
      <w:tblInd w:w="0" w:type="dxa"/>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13" w:type="dxa"/>
        <w:bottom w:w="0" w:type="dxa"/>
        <w:right w:w="113" w:type="dxa"/>
      </w:tblCellMar>
    </w:tblPr>
    <w:tblGrid>
      <w:gridCol w:w="4442"/>
      <w:gridCol w:w="4183"/>
    </w:tblGrid>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13" w:type="dxa"/>
          <w:bottom w:w="0" w:type="dxa"/>
          <w:right w:w="113" w:type="dxa"/>
        </w:tblCellMar>
      </w:tblPrEx>
      <w:trPr>
        <w:trHeight w:val="427" w:hRule="atLeast"/>
      </w:trPr>
      <w:tc>
        <w:tcPr>
          <w:tcW w:w="4442" w:type="dxa"/>
          <w:noWrap w:val="0"/>
          <w:tcMar>
            <w:left w:w="0" w:type="dxa"/>
            <w:right w:w="0" w:type="dxa"/>
          </w:tcMar>
          <w:vAlign w:val="center"/>
        </w:tcPr>
        <w:p>
          <w:pPr>
            <w:keepNext w:val="0"/>
            <w:keepLines w:val="0"/>
            <w:widowControl/>
            <w:suppressLineNumbers w:val="0"/>
            <w:pBdr>
              <w:bottom w:val="none" w:color="auto" w:sz="0" w:space="0"/>
            </w:pBdr>
            <w:spacing w:before="0" w:beforeAutospacing="0" w:after="0" w:afterAutospacing="0"/>
            <w:ind w:left="0" w:right="0"/>
            <w:jc w:val="both"/>
            <w:rPr>
              <w:rFonts w:hint="eastAsia" w:ascii="Times New Roman" w:hAnsi="Times New Roman" w:cs="Times New Roman"/>
              <w:szCs w:val="20"/>
              <w:lang w:eastAsia="zh-CN"/>
            </w:rPr>
          </w:pPr>
          <w:r>
            <w:rPr>
              <w:rFonts w:hint="eastAsia" w:ascii="楷体_GB2312" w:hAnsi="Times New Roman" w:eastAsia="楷体_GB2312" w:cs="Times New Roman"/>
              <w:b/>
              <w:sz w:val="24"/>
              <w:szCs w:val="24"/>
              <w:lang w:eastAsia="zh-CN"/>
            </w:rPr>
            <w:t>招标文件</w:t>
          </w:r>
        </w:p>
      </w:tc>
      <w:tc>
        <w:tcPr>
          <w:tcW w:w="4183" w:type="dxa"/>
          <w:noWrap w:val="0"/>
          <w:vAlign w:val="center"/>
        </w:tcPr>
        <w:p>
          <w:pPr>
            <w:keepNext w:val="0"/>
            <w:keepLines w:val="0"/>
            <w:widowControl/>
            <w:suppressLineNumbers w:val="0"/>
            <w:pBdr>
              <w:bottom w:val="none" w:color="auto" w:sz="0" w:space="0"/>
            </w:pBdr>
            <w:spacing w:before="0" w:beforeAutospacing="0" w:after="0" w:afterAutospacing="0"/>
            <w:ind w:left="0" w:right="-2"/>
            <w:jc w:val="right"/>
            <w:rPr>
              <w:rFonts w:hint="eastAsia" w:ascii="宋体" w:hAnsi="宋体" w:eastAsia="宋体" w:cs="Times New Roman"/>
              <w:szCs w:val="21"/>
              <w:lang w:eastAsia="zh-CN"/>
            </w:rPr>
          </w:pPr>
          <w:r>
            <w:rPr>
              <w:rFonts w:hint="eastAsia" w:ascii="楷体_GB2312" w:hAnsi="Times New Roman" w:eastAsia="楷体_GB2312" w:cs="Times New Roman"/>
              <w:b/>
              <w:sz w:val="24"/>
              <w:szCs w:val="24"/>
              <w:lang w:eastAsia="zh-CN"/>
            </w:rPr>
            <w:t>瑞安市公共资源交易中心</w:t>
          </w:r>
        </w:p>
      </w:tc>
    </w:tr>
  </w:tbl>
  <w:p>
    <w:pPr>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8"/>
      <w:tblW w:w="0" w:type="auto"/>
      <w:tblInd w:w="0" w:type="dxa"/>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13" w:type="dxa"/>
        <w:bottom w:w="0" w:type="dxa"/>
        <w:right w:w="113" w:type="dxa"/>
      </w:tblCellMar>
    </w:tblPr>
    <w:tblGrid>
      <w:gridCol w:w="4442"/>
      <w:gridCol w:w="4183"/>
    </w:tblGrid>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13" w:type="dxa"/>
          <w:bottom w:w="0" w:type="dxa"/>
          <w:right w:w="113" w:type="dxa"/>
        </w:tblCellMar>
      </w:tblPrEx>
      <w:trPr>
        <w:trHeight w:val="427" w:hRule="atLeast"/>
      </w:trPr>
      <w:tc>
        <w:tcPr>
          <w:tcW w:w="4442" w:type="dxa"/>
          <w:noWrap w:val="0"/>
          <w:tcMar>
            <w:left w:w="0" w:type="dxa"/>
            <w:right w:w="0" w:type="dxa"/>
          </w:tcMar>
          <w:vAlign w:val="center"/>
        </w:tcPr>
        <w:p>
          <w:pPr>
            <w:keepNext w:val="0"/>
            <w:keepLines w:val="0"/>
            <w:widowControl/>
            <w:suppressLineNumbers w:val="0"/>
            <w:pBdr>
              <w:bottom w:val="none" w:color="auto" w:sz="0" w:space="0"/>
            </w:pBdr>
            <w:spacing w:before="0" w:beforeAutospacing="0" w:after="0" w:afterAutospacing="0"/>
            <w:ind w:left="0" w:right="0"/>
            <w:jc w:val="both"/>
            <w:rPr>
              <w:rFonts w:hint="eastAsia" w:ascii="Times New Roman" w:hAnsi="Times New Roman" w:cs="Times New Roman"/>
              <w:szCs w:val="20"/>
              <w:lang w:eastAsia="zh-CN"/>
            </w:rPr>
          </w:pPr>
          <w:r>
            <w:rPr>
              <w:rFonts w:hint="eastAsia" w:ascii="楷体_GB2312" w:hAnsi="Times New Roman" w:eastAsia="楷体_GB2312" w:cs="Times New Roman"/>
              <w:b/>
              <w:sz w:val="24"/>
              <w:szCs w:val="24"/>
              <w:lang w:eastAsia="zh-CN"/>
            </w:rPr>
            <w:t>瑞安市公共资源交易中心</w:t>
          </w:r>
        </w:p>
      </w:tc>
      <w:tc>
        <w:tcPr>
          <w:tcW w:w="4183" w:type="dxa"/>
          <w:noWrap w:val="0"/>
          <w:vAlign w:val="center"/>
        </w:tcPr>
        <w:p>
          <w:pPr>
            <w:keepNext w:val="0"/>
            <w:keepLines w:val="0"/>
            <w:widowControl/>
            <w:suppressLineNumbers w:val="0"/>
            <w:pBdr>
              <w:bottom w:val="none" w:color="auto" w:sz="0" w:space="0"/>
            </w:pBdr>
            <w:spacing w:before="0" w:beforeAutospacing="0" w:after="0" w:afterAutospacing="0"/>
            <w:ind w:left="0" w:right="-2"/>
            <w:jc w:val="right"/>
            <w:rPr>
              <w:rFonts w:hint="eastAsia" w:ascii="宋体" w:hAnsi="宋体" w:eastAsia="宋体" w:cs="Times New Roman"/>
              <w:szCs w:val="21"/>
              <w:lang w:eastAsia="zh-CN"/>
            </w:rPr>
          </w:pPr>
          <w:r>
            <w:rPr>
              <w:rFonts w:hint="eastAsia" w:ascii="楷体_GB2312" w:hAnsi="Times New Roman" w:eastAsia="楷体_GB2312" w:cs="Times New Roman"/>
              <w:b/>
              <w:sz w:val="24"/>
              <w:szCs w:val="24"/>
              <w:lang w:eastAsia="zh-CN"/>
            </w:rPr>
            <w:t>招标文件</w:t>
          </w:r>
        </w:p>
      </w:tc>
    </w:tr>
  </w:tbl>
  <w:p>
    <w:pPr>
      <w:pStyle w:val="18"/>
      <w:pBdr>
        <w:bottom w:val="none" w:color="auto" w:sz="0" w:space="0"/>
      </w:pBdr>
      <w:ind w:left="0" w:leftChars="0" w:firstLine="0" w:firstLineChars="0"/>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4610E"/>
    <w:multiLevelType w:val="singleLevel"/>
    <w:tmpl w:val="8144610E"/>
    <w:lvl w:ilvl="0" w:tentative="0">
      <w:start w:val="1"/>
      <w:numFmt w:val="decimal"/>
      <w:lvlText w:val="(%1)"/>
      <w:lvlJc w:val="left"/>
      <w:pPr>
        <w:tabs>
          <w:tab w:val="left" w:pos="312"/>
        </w:tabs>
      </w:pPr>
      <w:rPr>
        <w:rFonts w:hint="default" w:ascii="宋体" w:hAnsi="宋体" w:eastAsia="宋体" w:cs="宋体"/>
        <w:sz w:val="21"/>
        <w:szCs w:val="21"/>
      </w:rPr>
    </w:lvl>
  </w:abstractNum>
  <w:abstractNum w:abstractNumId="1">
    <w:nsid w:val="82ADCBDC"/>
    <w:multiLevelType w:val="singleLevel"/>
    <w:tmpl w:val="82ADCBDC"/>
    <w:lvl w:ilvl="0" w:tentative="0">
      <w:start w:val="1"/>
      <w:numFmt w:val="lowerLetter"/>
      <w:lvlText w:val="%1."/>
      <w:lvlJc w:val="left"/>
      <w:pPr>
        <w:ind w:left="425" w:hanging="425"/>
      </w:pPr>
      <w:rPr>
        <w:rFonts w:hint="default"/>
      </w:rPr>
    </w:lvl>
  </w:abstractNum>
  <w:abstractNum w:abstractNumId="2">
    <w:nsid w:val="8641D0E1"/>
    <w:multiLevelType w:val="singleLevel"/>
    <w:tmpl w:val="8641D0E1"/>
    <w:lvl w:ilvl="0" w:tentative="0">
      <w:start w:val="1"/>
      <w:numFmt w:val="decimal"/>
      <w:lvlText w:val="%1)"/>
      <w:lvlJc w:val="left"/>
      <w:pPr>
        <w:ind w:left="425" w:hanging="425"/>
      </w:pPr>
      <w:rPr>
        <w:rFonts w:hint="default"/>
      </w:rPr>
    </w:lvl>
  </w:abstractNum>
  <w:abstractNum w:abstractNumId="3">
    <w:nsid w:val="86483D98"/>
    <w:multiLevelType w:val="singleLevel"/>
    <w:tmpl w:val="86483D98"/>
    <w:lvl w:ilvl="0" w:tentative="0">
      <w:start w:val="1"/>
      <w:numFmt w:val="decimal"/>
      <w:suff w:val="nothing"/>
      <w:lvlText w:val="%1．"/>
      <w:lvlJc w:val="left"/>
      <w:pPr>
        <w:ind w:left="0" w:firstLine="400"/>
      </w:pPr>
      <w:rPr>
        <w:rFonts w:hint="default"/>
      </w:rPr>
    </w:lvl>
  </w:abstractNum>
  <w:abstractNum w:abstractNumId="4">
    <w:nsid w:val="89DF8292"/>
    <w:multiLevelType w:val="singleLevel"/>
    <w:tmpl w:val="89DF8292"/>
    <w:lvl w:ilvl="0" w:tentative="0">
      <w:start w:val="1"/>
      <w:numFmt w:val="decimal"/>
      <w:lvlText w:val="(%1)"/>
      <w:lvlJc w:val="left"/>
      <w:pPr>
        <w:ind w:left="425" w:hanging="425"/>
      </w:pPr>
      <w:rPr>
        <w:rFonts w:hint="default"/>
      </w:rPr>
    </w:lvl>
  </w:abstractNum>
  <w:abstractNum w:abstractNumId="5">
    <w:nsid w:val="8BE9BF58"/>
    <w:multiLevelType w:val="singleLevel"/>
    <w:tmpl w:val="8BE9BF58"/>
    <w:lvl w:ilvl="0" w:tentative="0">
      <w:start w:val="1"/>
      <w:numFmt w:val="bullet"/>
      <w:lvlText w:val=""/>
      <w:lvlJc w:val="left"/>
      <w:pPr>
        <w:ind w:left="420" w:hanging="420"/>
      </w:pPr>
      <w:rPr>
        <w:rFonts w:hint="default" w:ascii="Wingdings" w:hAnsi="Wingdings"/>
      </w:rPr>
    </w:lvl>
  </w:abstractNum>
  <w:abstractNum w:abstractNumId="6">
    <w:nsid w:val="8D12369C"/>
    <w:multiLevelType w:val="singleLevel"/>
    <w:tmpl w:val="8D12369C"/>
    <w:lvl w:ilvl="0" w:tentative="0">
      <w:start w:val="1"/>
      <w:numFmt w:val="decimalEnclosedCircleChinese"/>
      <w:suff w:val="nothing"/>
      <w:lvlText w:val="%1　"/>
      <w:lvlJc w:val="left"/>
      <w:pPr>
        <w:ind w:left="0" w:firstLine="400"/>
      </w:pPr>
      <w:rPr>
        <w:rFonts w:hint="eastAsia"/>
      </w:rPr>
    </w:lvl>
  </w:abstractNum>
  <w:abstractNum w:abstractNumId="7">
    <w:nsid w:val="8E908D57"/>
    <w:multiLevelType w:val="singleLevel"/>
    <w:tmpl w:val="8E908D57"/>
    <w:lvl w:ilvl="0" w:tentative="0">
      <w:start w:val="1"/>
      <w:numFmt w:val="decimal"/>
      <w:lvlText w:val="%1."/>
      <w:lvlJc w:val="left"/>
      <w:pPr>
        <w:ind w:left="425" w:hanging="425"/>
      </w:pPr>
      <w:rPr>
        <w:rFonts w:hint="default"/>
      </w:rPr>
    </w:lvl>
  </w:abstractNum>
  <w:abstractNum w:abstractNumId="8">
    <w:nsid w:val="8F81F669"/>
    <w:multiLevelType w:val="singleLevel"/>
    <w:tmpl w:val="8F81F669"/>
    <w:lvl w:ilvl="0" w:tentative="0">
      <w:start w:val="1"/>
      <w:numFmt w:val="decimal"/>
      <w:suff w:val="nothing"/>
      <w:lvlText w:val="%1．"/>
      <w:lvlJc w:val="left"/>
      <w:pPr>
        <w:ind w:left="0" w:firstLine="400"/>
      </w:pPr>
      <w:rPr>
        <w:rFonts w:hint="default"/>
      </w:rPr>
    </w:lvl>
  </w:abstractNum>
  <w:abstractNum w:abstractNumId="9">
    <w:nsid w:val="96A1FBE3"/>
    <w:multiLevelType w:val="singleLevel"/>
    <w:tmpl w:val="96A1FBE3"/>
    <w:lvl w:ilvl="0" w:tentative="0">
      <w:start w:val="1"/>
      <w:numFmt w:val="decimalEnclosedCircleChinese"/>
      <w:suff w:val="nothing"/>
      <w:lvlText w:val="%1　"/>
      <w:lvlJc w:val="left"/>
      <w:pPr>
        <w:ind w:left="0" w:firstLine="400"/>
      </w:pPr>
      <w:rPr>
        <w:rFonts w:hint="eastAsia"/>
      </w:rPr>
    </w:lvl>
  </w:abstractNum>
  <w:abstractNum w:abstractNumId="10">
    <w:nsid w:val="96F60493"/>
    <w:multiLevelType w:val="singleLevel"/>
    <w:tmpl w:val="96F60493"/>
    <w:lvl w:ilvl="0" w:tentative="0">
      <w:start w:val="1"/>
      <w:numFmt w:val="decimal"/>
      <w:suff w:val="nothing"/>
      <w:lvlText w:val="%1．"/>
      <w:lvlJc w:val="left"/>
      <w:pPr>
        <w:ind w:left="0" w:firstLine="400"/>
      </w:pPr>
      <w:rPr>
        <w:rFonts w:hint="default"/>
      </w:rPr>
    </w:lvl>
  </w:abstractNum>
  <w:abstractNum w:abstractNumId="11">
    <w:nsid w:val="97375F2E"/>
    <w:multiLevelType w:val="singleLevel"/>
    <w:tmpl w:val="97375F2E"/>
    <w:lvl w:ilvl="0" w:tentative="0">
      <w:start w:val="1"/>
      <w:numFmt w:val="lowerLetter"/>
      <w:lvlText w:val="%1."/>
      <w:lvlJc w:val="left"/>
      <w:pPr>
        <w:ind w:left="425" w:hanging="425"/>
      </w:pPr>
      <w:rPr>
        <w:rFonts w:hint="default"/>
      </w:rPr>
    </w:lvl>
  </w:abstractNum>
  <w:abstractNum w:abstractNumId="12">
    <w:nsid w:val="993BED0B"/>
    <w:multiLevelType w:val="singleLevel"/>
    <w:tmpl w:val="993BED0B"/>
    <w:lvl w:ilvl="0" w:tentative="0">
      <w:start w:val="1"/>
      <w:numFmt w:val="decimalEnclosedCircleChinese"/>
      <w:suff w:val="nothing"/>
      <w:lvlText w:val="%1　"/>
      <w:lvlJc w:val="left"/>
      <w:pPr>
        <w:ind w:left="0" w:firstLine="400"/>
      </w:pPr>
      <w:rPr>
        <w:rFonts w:hint="eastAsia"/>
      </w:rPr>
    </w:lvl>
  </w:abstractNum>
  <w:abstractNum w:abstractNumId="13">
    <w:nsid w:val="9A2446A5"/>
    <w:multiLevelType w:val="singleLevel"/>
    <w:tmpl w:val="9A2446A5"/>
    <w:lvl w:ilvl="0" w:tentative="0">
      <w:start w:val="1"/>
      <w:numFmt w:val="decimal"/>
      <w:suff w:val="nothing"/>
      <w:lvlText w:val="%1．"/>
      <w:lvlJc w:val="left"/>
      <w:pPr>
        <w:ind w:left="0" w:firstLine="400"/>
      </w:pPr>
      <w:rPr>
        <w:rFonts w:hint="default"/>
      </w:rPr>
    </w:lvl>
  </w:abstractNum>
  <w:abstractNum w:abstractNumId="14">
    <w:nsid w:val="9C72B56B"/>
    <w:multiLevelType w:val="singleLevel"/>
    <w:tmpl w:val="9C72B56B"/>
    <w:lvl w:ilvl="0" w:tentative="0">
      <w:start w:val="1"/>
      <w:numFmt w:val="decimalEnclosedCircleChinese"/>
      <w:suff w:val="nothing"/>
      <w:lvlText w:val="%1　"/>
      <w:lvlJc w:val="left"/>
      <w:pPr>
        <w:ind w:left="0" w:firstLine="400"/>
      </w:pPr>
      <w:rPr>
        <w:rFonts w:hint="eastAsia"/>
      </w:rPr>
    </w:lvl>
  </w:abstractNum>
  <w:abstractNum w:abstractNumId="15">
    <w:nsid w:val="9DBB906B"/>
    <w:multiLevelType w:val="singleLevel"/>
    <w:tmpl w:val="9DBB906B"/>
    <w:lvl w:ilvl="0" w:tentative="0">
      <w:start w:val="1"/>
      <w:numFmt w:val="lowerLetter"/>
      <w:lvlText w:val="%1."/>
      <w:lvlJc w:val="left"/>
      <w:pPr>
        <w:ind w:left="425" w:hanging="425"/>
      </w:pPr>
      <w:rPr>
        <w:rFonts w:hint="default"/>
      </w:rPr>
    </w:lvl>
  </w:abstractNum>
  <w:abstractNum w:abstractNumId="16">
    <w:nsid w:val="A1DB4DE1"/>
    <w:multiLevelType w:val="singleLevel"/>
    <w:tmpl w:val="A1DB4DE1"/>
    <w:lvl w:ilvl="0" w:tentative="0">
      <w:start w:val="1"/>
      <w:numFmt w:val="lowerLetter"/>
      <w:lvlText w:val="%1."/>
      <w:lvlJc w:val="left"/>
      <w:pPr>
        <w:ind w:left="425" w:hanging="425"/>
      </w:pPr>
      <w:rPr>
        <w:rFonts w:hint="default"/>
      </w:rPr>
    </w:lvl>
  </w:abstractNum>
  <w:abstractNum w:abstractNumId="17">
    <w:nsid w:val="A2004409"/>
    <w:multiLevelType w:val="singleLevel"/>
    <w:tmpl w:val="A2004409"/>
    <w:lvl w:ilvl="0" w:tentative="0">
      <w:start w:val="1"/>
      <w:numFmt w:val="decimal"/>
      <w:suff w:val="nothing"/>
      <w:lvlText w:val="%1．"/>
      <w:lvlJc w:val="left"/>
      <w:pPr>
        <w:ind w:left="0" w:firstLine="400"/>
      </w:pPr>
      <w:rPr>
        <w:rFonts w:hint="default"/>
      </w:rPr>
    </w:lvl>
  </w:abstractNum>
  <w:abstractNum w:abstractNumId="18">
    <w:nsid w:val="A37589F9"/>
    <w:multiLevelType w:val="singleLevel"/>
    <w:tmpl w:val="A37589F9"/>
    <w:lvl w:ilvl="0" w:tentative="0">
      <w:start w:val="1"/>
      <w:numFmt w:val="decimal"/>
      <w:suff w:val="nothing"/>
      <w:lvlText w:val="%1．"/>
      <w:lvlJc w:val="left"/>
      <w:pPr>
        <w:ind w:left="0" w:firstLine="400"/>
      </w:pPr>
      <w:rPr>
        <w:rFonts w:hint="default"/>
      </w:rPr>
    </w:lvl>
  </w:abstractNum>
  <w:abstractNum w:abstractNumId="19">
    <w:nsid w:val="A709B55C"/>
    <w:multiLevelType w:val="singleLevel"/>
    <w:tmpl w:val="A709B55C"/>
    <w:lvl w:ilvl="0" w:tentative="0">
      <w:start w:val="1"/>
      <w:numFmt w:val="bullet"/>
      <w:lvlText w:val=""/>
      <w:lvlJc w:val="left"/>
      <w:pPr>
        <w:ind w:left="420" w:hanging="420"/>
      </w:pPr>
      <w:rPr>
        <w:rFonts w:hint="default" w:ascii="Wingdings" w:hAnsi="Wingdings"/>
      </w:rPr>
    </w:lvl>
  </w:abstractNum>
  <w:abstractNum w:abstractNumId="20">
    <w:nsid w:val="A8C9AA05"/>
    <w:multiLevelType w:val="singleLevel"/>
    <w:tmpl w:val="A8C9AA05"/>
    <w:lvl w:ilvl="0" w:tentative="0">
      <w:start w:val="1"/>
      <w:numFmt w:val="chineseCounting"/>
      <w:suff w:val="nothing"/>
      <w:lvlText w:val="（%1）"/>
      <w:lvlJc w:val="left"/>
      <w:pPr>
        <w:ind w:left="0" w:firstLine="420"/>
      </w:pPr>
      <w:rPr>
        <w:rFonts w:hint="eastAsia"/>
      </w:rPr>
    </w:lvl>
  </w:abstractNum>
  <w:abstractNum w:abstractNumId="21">
    <w:nsid w:val="A9142F5E"/>
    <w:multiLevelType w:val="singleLevel"/>
    <w:tmpl w:val="A9142F5E"/>
    <w:lvl w:ilvl="0" w:tentative="0">
      <w:start w:val="1"/>
      <w:numFmt w:val="decimal"/>
      <w:lvlText w:val="%1)"/>
      <w:lvlJc w:val="left"/>
      <w:pPr>
        <w:ind w:left="425" w:hanging="425"/>
      </w:pPr>
      <w:rPr>
        <w:rFonts w:hint="default"/>
      </w:rPr>
    </w:lvl>
  </w:abstractNum>
  <w:abstractNum w:abstractNumId="22">
    <w:nsid w:val="AA71E086"/>
    <w:multiLevelType w:val="singleLevel"/>
    <w:tmpl w:val="AA71E086"/>
    <w:lvl w:ilvl="0" w:tentative="0">
      <w:start w:val="1"/>
      <w:numFmt w:val="decimal"/>
      <w:lvlText w:val="(%1)"/>
      <w:lvlJc w:val="left"/>
      <w:pPr>
        <w:ind w:left="425" w:hanging="425"/>
      </w:pPr>
      <w:rPr>
        <w:rFonts w:hint="default"/>
      </w:rPr>
    </w:lvl>
  </w:abstractNum>
  <w:abstractNum w:abstractNumId="23">
    <w:nsid w:val="AA7B11CE"/>
    <w:multiLevelType w:val="singleLevel"/>
    <w:tmpl w:val="AA7B11CE"/>
    <w:lvl w:ilvl="0" w:tentative="0">
      <w:start w:val="1"/>
      <w:numFmt w:val="decimalEnclosedCircleChinese"/>
      <w:suff w:val="nothing"/>
      <w:lvlText w:val="%1　"/>
      <w:lvlJc w:val="left"/>
      <w:pPr>
        <w:ind w:left="0" w:firstLine="400"/>
      </w:pPr>
      <w:rPr>
        <w:rFonts w:hint="eastAsia"/>
      </w:rPr>
    </w:lvl>
  </w:abstractNum>
  <w:abstractNum w:abstractNumId="24">
    <w:nsid w:val="ABDFBDAB"/>
    <w:multiLevelType w:val="singleLevel"/>
    <w:tmpl w:val="ABDFBDAB"/>
    <w:lvl w:ilvl="0" w:tentative="0">
      <w:start w:val="1"/>
      <w:numFmt w:val="decimal"/>
      <w:suff w:val="nothing"/>
      <w:lvlText w:val="%1．"/>
      <w:lvlJc w:val="left"/>
      <w:pPr>
        <w:ind w:left="0" w:firstLine="400"/>
      </w:pPr>
      <w:rPr>
        <w:rFonts w:hint="default"/>
      </w:rPr>
    </w:lvl>
  </w:abstractNum>
  <w:abstractNum w:abstractNumId="25">
    <w:nsid w:val="B4C6467A"/>
    <w:multiLevelType w:val="singleLevel"/>
    <w:tmpl w:val="B4C6467A"/>
    <w:lvl w:ilvl="0" w:tentative="0">
      <w:start w:val="1"/>
      <w:numFmt w:val="ideographTraditional"/>
      <w:suff w:val="nothing"/>
      <w:lvlText w:val="%1、"/>
      <w:lvlJc w:val="left"/>
      <w:rPr>
        <w:rFonts w:hint="eastAsia"/>
      </w:rPr>
    </w:lvl>
  </w:abstractNum>
  <w:abstractNum w:abstractNumId="26">
    <w:nsid w:val="C4920330"/>
    <w:multiLevelType w:val="singleLevel"/>
    <w:tmpl w:val="C4920330"/>
    <w:lvl w:ilvl="0" w:tentative="0">
      <w:start w:val="1"/>
      <w:numFmt w:val="decimal"/>
      <w:suff w:val="nothing"/>
      <w:lvlText w:val="（%1）"/>
      <w:lvlJc w:val="left"/>
    </w:lvl>
  </w:abstractNum>
  <w:abstractNum w:abstractNumId="27">
    <w:nsid w:val="C7F68D0F"/>
    <w:multiLevelType w:val="multilevel"/>
    <w:tmpl w:val="C7F68D0F"/>
    <w:lvl w:ilvl="0" w:tentative="0">
      <w:start w:val="1"/>
      <w:numFmt w:val="chineseCounting"/>
      <w:suff w:val="space"/>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28">
    <w:nsid w:val="CD0C602C"/>
    <w:multiLevelType w:val="singleLevel"/>
    <w:tmpl w:val="CD0C602C"/>
    <w:lvl w:ilvl="0" w:tentative="0">
      <w:start w:val="2"/>
      <w:numFmt w:val="decimal"/>
      <w:suff w:val="nothing"/>
      <w:lvlText w:val="%1、"/>
      <w:lvlJc w:val="left"/>
    </w:lvl>
  </w:abstractNum>
  <w:abstractNum w:abstractNumId="29">
    <w:nsid w:val="CD60A073"/>
    <w:multiLevelType w:val="singleLevel"/>
    <w:tmpl w:val="CD60A073"/>
    <w:lvl w:ilvl="0" w:tentative="0">
      <w:start w:val="8"/>
      <w:numFmt w:val="chineseCounting"/>
      <w:suff w:val="nothing"/>
      <w:lvlText w:val="%1、"/>
      <w:lvlJc w:val="left"/>
      <w:rPr>
        <w:rFonts w:hint="eastAsia"/>
      </w:rPr>
    </w:lvl>
  </w:abstractNum>
  <w:abstractNum w:abstractNumId="30">
    <w:nsid w:val="CF65F349"/>
    <w:multiLevelType w:val="singleLevel"/>
    <w:tmpl w:val="CF65F349"/>
    <w:lvl w:ilvl="0" w:tentative="0">
      <w:start w:val="1"/>
      <w:numFmt w:val="decimal"/>
      <w:suff w:val="nothing"/>
      <w:lvlText w:val="%1．"/>
      <w:lvlJc w:val="left"/>
      <w:pPr>
        <w:ind w:left="0" w:firstLine="400"/>
      </w:pPr>
      <w:rPr>
        <w:rFonts w:hint="default"/>
      </w:rPr>
    </w:lvl>
  </w:abstractNum>
  <w:abstractNum w:abstractNumId="31">
    <w:nsid w:val="DA8BAD45"/>
    <w:multiLevelType w:val="singleLevel"/>
    <w:tmpl w:val="DA8BAD45"/>
    <w:lvl w:ilvl="0" w:tentative="0">
      <w:start w:val="1"/>
      <w:numFmt w:val="decimal"/>
      <w:lvlText w:val="%1)"/>
      <w:lvlJc w:val="left"/>
      <w:pPr>
        <w:ind w:left="425" w:hanging="425"/>
      </w:pPr>
      <w:rPr>
        <w:rFonts w:hint="default"/>
      </w:rPr>
    </w:lvl>
  </w:abstractNum>
  <w:abstractNum w:abstractNumId="32">
    <w:nsid w:val="DDCE59FC"/>
    <w:multiLevelType w:val="singleLevel"/>
    <w:tmpl w:val="DDCE59FC"/>
    <w:lvl w:ilvl="0" w:tentative="0">
      <w:start w:val="1"/>
      <w:numFmt w:val="lowerLetter"/>
      <w:lvlText w:val="%1."/>
      <w:lvlJc w:val="left"/>
      <w:pPr>
        <w:ind w:left="425" w:hanging="425"/>
      </w:pPr>
      <w:rPr>
        <w:rFonts w:hint="default"/>
      </w:rPr>
    </w:lvl>
  </w:abstractNum>
  <w:abstractNum w:abstractNumId="33">
    <w:nsid w:val="DE1BDEE7"/>
    <w:multiLevelType w:val="singleLevel"/>
    <w:tmpl w:val="DE1BDEE7"/>
    <w:lvl w:ilvl="0" w:tentative="0">
      <w:start w:val="1"/>
      <w:numFmt w:val="lowerLetter"/>
      <w:lvlText w:val="%1."/>
      <w:lvlJc w:val="left"/>
      <w:pPr>
        <w:ind w:left="425" w:hanging="425"/>
      </w:pPr>
      <w:rPr>
        <w:rFonts w:hint="default"/>
      </w:rPr>
    </w:lvl>
  </w:abstractNum>
  <w:abstractNum w:abstractNumId="34">
    <w:nsid w:val="E2350E28"/>
    <w:multiLevelType w:val="singleLevel"/>
    <w:tmpl w:val="E2350E28"/>
    <w:lvl w:ilvl="0" w:tentative="0">
      <w:start w:val="1"/>
      <w:numFmt w:val="decimal"/>
      <w:lvlText w:val="%1)"/>
      <w:lvlJc w:val="left"/>
      <w:pPr>
        <w:ind w:left="425" w:hanging="425"/>
      </w:pPr>
      <w:rPr>
        <w:rFonts w:hint="default"/>
      </w:rPr>
    </w:lvl>
  </w:abstractNum>
  <w:abstractNum w:abstractNumId="35">
    <w:nsid w:val="E2719C69"/>
    <w:multiLevelType w:val="singleLevel"/>
    <w:tmpl w:val="E2719C69"/>
    <w:lvl w:ilvl="0" w:tentative="0">
      <w:start w:val="1"/>
      <w:numFmt w:val="decimal"/>
      <w:lvlText w:val="%1."/>
      <w:lvlJc w:val="left"/>
      <w:pPr>
        <w:ind w:left="425" w:hanging="425"/>
      </w:pPr>
      <w:rPr>
        <w:rFonts w:hint="default"/>
      </w:rPr>
    </w:lvl>
  </w:abstractNum>
  <w:abstractNum w:abstractNumId="36">
    <w:nsid w:val="E47563F9"/>
    <w:multiLevelType w:val="singleLevel"/>
    <w:tmpl w:val="E47563F9"/>
    <w:lvl w:ilvl="0" w:tentative="0">
      <w:start w:val="1"/>
      <w:numFmt w:val="decimalEnclosedCircleChinese"/>
      <w:suff w:val="nothing"/>
      <w:lvlText w:val="%1　"/>
      <w:lvlJc w:val="left"/>
      <w:pPr>
        <w:ind w:left="0" w:firstLine="400"/>
      </w:pPr>
      <w:rPr>
        <w:rFonts w:hint="eastAsia"/>
      </w:rPr>
    </w:lvl>
  </w:abstractNum>
  <w:abstractNum w:abstractNumId="37">
    <w:nsid w:val="E7406824"/>
    <w:multiLevelType w:val="singleLevel"/>
    <w:tmpl w:val="E7406824"/>
    <w:lvl w:ilvl="0" w:tentative="0">
      <w:start w:val="1"/>
      <w:numFmt w:val="bullet"/>
      <w:lvlText w:val=""/>
      <w:lvlJc w:val="left"/>
      <w:pPr>
        <w:ind w:left="420" w:hanging="420"/>
      </w:pPr>
      <w:rPr>
        <w:rFonts w:hint="default" w:ascii="Wingdings" w:hAnsi="Wingdings"/>
      </w:rPr>
    </w:lvl>
  </w:abstractNum>
  <w:abstractNum w:abstractNumId="38">
    <w:nsid w:val="E8269C32"/>
    <w:multiLevelType w:val="singleLevel"/>
    <w:tmpl w:val="E8269C32"/>
    <w:lvl w:ilvl="0" w:tentative="0">
      <w:start w:val="1"/>
      <w:numFmt w:val="decimal"/>
      <w:lvlText w:val="%1."/>
      <w:lvlJc w:val="left"/>
      <w:pPr>
        <w:tabs>
          <w:tab w:val="left" w:pos="312"/>
        </w:tabs>
      </w:pPr>
    </w:lvl>
  </w:abstractNum>
  <w:abstractNum w:abstractNumId="39">
    <w:nsid w:val="E9BBC2A0"/>
    <w:multiLevelType w:val="singleLevel"/>
    <w:tmpl w:val="E9BBC2A0"/>
    <w:lvl w:ilvl="0" w:tentative="0">
      <w:start w:val="1"/>
      <w:numFmt w:val="decimalEnclosedCircleChinese"/>
      <w:suff w:val="nothing"/>
      <w:lvlText w:val="%1　"/>
      <w:lvlJc w:val="left"/>
      <w:pPr>
        <w:ind w:left="0" w:firstLine="400"/>
      </w:pPr>
      <w:rPr>
        <w:rFonts w:hint="eastAsia"/>
      </w:rPr>
    </w:lvl>
  </w:abstractNum>
  <w:abstractNum w:abstractNumId="40">
    <w:nsid w:val="ECD3F421"/>
    <w:multiLevelType w:val="singleLevel"/>
    <w:tmpl w:val="ECD3F421"/>
    <w:lvl w:ilvl="0" w:tentative="0">
      <w:start w:val="1"/>
      <w:numFmt w:val="decimalEnclosedCircleChinese"/>
      <w:suff w:val="nothing"/>
      <w:lvlText w:val="%1　"/>
      <w:lvlJc w:val="left"/>
      <w:pPr>
        <w:ind w:left="0" w:firstLine="400"/>
      </w:pPr>
      <w:rPr>
        <w:rFonts w:hint="eastAsia"/>
      </w:rPr>
    </w:lvl>
  </w:abstractNum>
  <w:abstractNum w:abstractNumId="41">
    <w:nsid w:val="ED78D59F"/>
    <w:multiLevelType w:val="singleLevel"/>
    <w:tmpl w:val="ED78D59F"/>
    <w:lvl w:ilvl="0" w:tentative="0">
      <w:start w:val="1"/>
      <w:numFmt w:val="decimal"/>
      <w:lvlText w:val="(%1)"/>
      <w:lvlJc w:val="left"/>
      <w:pPr>
        <w:ind w:left="425" w:hanging="425"/>
      </w:pPr>
      <w:rPr>
        <w:rFonts w:hint="default"/>
      </w:rPr>
    </w:lvl>
  </w:abstractNum>
  <w:abstractNum w:abstractNumId="42">
    <w:nsid w:val="EF188DC8"/>
    <w:multiLevelType w:val="singleLevel"/>
    <w:tmpl w:val="EF188DC8"/>
    <w:lvl w:ilvl="0" w:tentative="0">
      <w:start w:val="7"/>
      <w:numFmt w:val="chineseCounting"/>
      <w:suff w:val="nothing"/>
      <w:lvlText w:val="%1、"/>
      <w:lvlJc w:val="left"/>
      <w:rPr>
        <w:rFonts w:hint="eastAsia"/>
      </w:rPr>
    </w:lvl>
  </w:abstractNum>
  <w:abstractNum w:abstractNumId="43">
    <w:nsid w:val="F194EAC8"/>
    <w:multiLevelType w:val="singleLevel"/>
    <w:tmpl w:val="F194EAC8"/>
    <w:lvl w:ilvl="0" w:tentative="0">
      <w:start w:val="1"/>
      <w:numFmt w:val="decimal"/>
      <w:suff w:val="nothing"/>
      <w:lvlText w:val="%1．"/>
      <w:lvlJc w:val="left"/>
      <w:pPr>
        <w:tabs>
          <w:tab w:val="left" w:pos="0"/>
        </w:tabs>
        <w:ind w:left="0" w:firstLine="400"/>
      </w:pPr>
      <w:rPr>
        <w:rFonts w:hint="default"/>
        <w:strike w:val="0"/>
        <w:dstrike w:val="0"/>
      </w:rPr>
    </w:lvl>
  </w:abstractNum>
  <w:abstractNum w:abstractNumId="44">
    <w:nsid w:val="F1B1B0D9"/>
    <w:multiLevelType w:val="singleLevel"/>
    <w:tmpl w:val="F1B1B0D9"/>
    <w:lvl w:ilvl="0" w:tentative="0">
      <w:start w:val="1"/>
      <w:numFmt w:val="decimal"/>
      <w:suff w:val="space"/>
      <w:lvlText w:val="%1."/>
      <w:lvlJc w:val="left"/>
    </w:lvl>
  </w:abstractNum>
  <w:abstractNum w:abstractNumId="45">
    <w:nsid w:val="F57A1EA3"/>
    <w:multiLevelType w:val="singleLevel"/>
    <w:tmpl w:val="F57A1EA3"/>
    <w:lvl w:ilvl="0" w:tentative="0">
      <w:start w:val="1"/>
      <w:numFmt w:val="lowerLetter"/>
      <w:lvlText w:val="%1."/>
      <w:lvlJc w:val="left"/>
      <w:pPr>
        <w:ind w:left="425" w:hanging="425"/>
      </w:pPr>
      <w:rPr>
        <w:rFonts w:hint="default"/>
      </w:rPr>
    </w:lvl>
  </w:abstractNum>
  <w:abstractNum w:abstractNumId="46">
    <w:nsid w:val="F674D8E9"/>
    <w:multiLevelType w:val="singleLevel"/>
    <w:tmpl w:val="F674D8E9"/>
    <w:lvl w:ilvl="0" w:tentative="0">
      <w:start w:val="1"/>
      <w:numFmt w:val="decimalEnclosedCircleChinese"/>
      <w:suff w:val="nothing"/>
      <w:lvlText w:val="%1　"/>
      <w:lvlJc w:val="left"/>
      <w:pPr>
        <w:ind w:left="0" w:firstLine="400"/>
      </w:pPr>
      <w:rPr>
        <w:rFonts w:hint="eastAsia"/>
      </w:rPr>
    </w:lvl>
  </w:abstractNum>
  <w:abstractNum w:abstractNumId="47">
    <w:nsid w:val="F6AC1F28"/>
    <w:multiLevelType w:val="multilevel"/>
    <w:tmpl w:val="F6AC1F28"/>
    <w:lvl w:ilvl="0" w:tentative="0">
      <w:start w:val="1"/>
      <w:numFmt w:val="decimal"/>
      <w:lvlText w:val="%1."/>
      <w:lvlJc w:val="left"/>
      <w:pPr>
        <w:ind w:left="425" w:hanging="425"/>
      </w:pPr>
      <w:rPr>
        <w:rFonts w:hint="default"/>
      </w:rPr>
    </w:lvl>
    <w:lvl w:ilvl="1" w:tentative="0">
      <w:start w:val="1"/>
      <w:numFmt w:val="decimal"/>
      <w:lvlText w:val="%1.%2"/>
      <w:lvlJc w:val="left"/>
      <w:pPr>
        <w:tabs>
          <w:tab w:val="left" w:pos="562"/>
        </w:tabs>
        <w:ind w:left="567" w:hanging="567"/>
      </w:pPr>
      <w:rPr>
        <w:rFonts w:hint="default" w:ascii="Times New Roman" w:hAnsi="Times New Roman"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8">
    <w:nsid w:val="F91C86A9"/>
    <w:multiLevelType w:val="singleLevel"/>
    <w:tmpl w:val="F91C86A9"/>
    <w:lvl w:ilvl="0" w:tentative="0">
      <w:start w:val="1"/>
      <w:numFmt w:val="lowerLetter"/>
      <w:lvlText w:val="%1."/>
      <w:lvlJc w:val="left"/>
      <w:pPr>
        <w:ind w:left="425" w:hanging="425"/>
      </w:pPr>
      <w:rPr>
        <w:rFonts w:hint="default"/>
      </w:rPr>
    </w:lvl>
  </w:abstractNum>
  <w:abstractNum w:abstractNumId="49">
    <w:nsid w:val="FB2F6BDF"/>
    <w:multiLevelType w:val="singleLevel"/>
    <w:tmpl w:val="FB2F6BDF"/>
    <w:lvl w:ilvl="0" w:tentative="0">
      <w:start w:val="1"/>
      <w:numFmt w:val="decimal"/>
      <w:lvlText w:val="%1."/>
      <w:lvlJc w:val="left"/>
      <w:pPr>
        <w:ind w:left="425" w:hanging="425"/>
      </w:pPr>
      <w:rPr>
        <w:rFonts w:hint="default"/>
      </w:rPr>
    </w:lvl>
  </w:abstractNum>
  <w:abstractNum w:abstractNumId="50">
    <w:nsid w:val="0107A5CC"/>
    <w:multiLevelType w:val="singleLevel"/>
    <w:tmpl w:val="0107A5CC"/>
    <w:lvl w:ilvl="0" w:tentative="0">
      <w:start w:val="1"/>
      <w:numFmt w:val="decimalEnclosedCircleChinese"/>
      <w:suff w:val="nothing"/>
      <w:lvlText w:val="%1　"/>
      <w:lvlJc w:val="left"/>
      <w:pPr>
        <w:ind w:left="0" w:firstLine="400"/>
      </w:pPr>
      <w:rPr>
        <w:rFonts w:hint="eastAsia"/>
      </w:rPr>
    </w:lvl>
  </w:abstractNum>
  <w:abstractNum w:abstractNumId="51">
    <w:nsid w:val="02BE6AAE"/>
    <w:multiLevelType w:val="singleLevel"/>
    <w:tmpl w:val="02BE6AAE"/>
    <w:lvl w:ilvl="0" w:tentative="0">
      <w:start w:val="1"/>
      <w:numFmt w:val="decimalEnclosedCircleChinese"/>
      <w:suff w:val="nothing"/>
      <w:lvlText w:val="%1　"/>
      <w:lvlJc w:val="left"/>
      <w:pPr>
        <w:ind w:left="0" w:firstLine="400"/>
      </w:pPr>
      <w:rPr>
        <w:rFonts w:hint="eastAsia"/>
      </w:rPr>
    </w:lvl>
  </w:abstractNum>
  <w:abstractNum w:abstractNumId="52">
    <w:nsid w:val="0818AF3D"/>
    <w:multiLevelType w:val="singleLevel"/>
    <w:tmpl w:val="0818AF3D"/>
    <w:lvl w:ilvl="0" w:tentative="0">
      <w:start w:val="1"/>
      <w:numFmt w:val="decimal"/>
      <w:lvlText w:val="%1."/>
      <w:lvlJc w:val="left"/>
      <w:pPr>
        <w:ind w:left="427" w:hanging="425"/>
      </w:pPr>
      <w:rPr>
        <w:rFonts w:hint="default" w:ascii="宋体" w:hAnsi="宋体" w:eastAsia="宋体" w:cs="宋体"/>
        <w:b w:val="0"/>
        <w:bCs w:val="0"/>
        <w:sz w:val="21"/>
        <w:szCs w:val="21"/>
      </w:rPr>
    </w:lvl>
  </w:abstractNum>
  <w:abstractNum w:abstractNumId="53">
    <w:nsid w:val="08A6476E"/>
    <w:multiLevelType w:val="singleLevel"/>
    <w:tmpl w:val="08A6476E"/>
    <w:lvl w:ilvl="0" w:tentative="0">
      <w:start w:val="1"/>
      <w:numFmt w:val="decimalEnclosedCircleChinese"/>
      <w:suff w:val="nothing"/>
      <w:lvlText w:val="%1　"/>
      <w:lvlJc w:val="left"/>
      <w:pPr>
        <w:ind w:left="0" w:firstLine="400"/>
      </w:pPr>
      <w:rPr>
        <w:rFonts w:hint="eastAsia"/>
      </w:rPr>
    </w:lvl>
  </w:abstractNum>
  <w:abstractNum w:abstractNumId="54">
    <w:nsid w:val="08D90F5A"/>
    <w:multiLevelType w:val="multilevel"/>
    <w:tmpl w:val="08D90F5A"/>
    <w:lvl w:ilvl="0" w:tentative="0">
      <w:start w:val="1"/>
      <w:numFmt w:val="decimalEnclosedCircle"/>
      <w:lvlText w:val="%1"/>
      <w:lvlJc w:val="left"/>
      <w:pPr>
        <w:ind w:left="844" w:hanging="42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55">
    <w:nsid w:val="0CBD273D"/>
    <w:multiLevelType w:val="singleLevel"/>
    <w:tmpl w:val="0CBD273D"/>
    <w:lvl w:ilvl="0" w:tentative="0">
      <w:start w:val="1"/>
      <w:numFmt w:val="lowerLetter"/>
      <w:lvlText w:val="%1."/>
      <w:lvlJc w:val="left"/>
      <w:pPr>
        <w:ind w:left="425" w:hanging="425"/>
      </w:pPr>
      <w:rPr>
        <w:rFonts w:hint="default"/>
      </w:rPr>
    </w:lvl>
  </w:abstractNum>
  <w:abstractNum w:abstractNumId="56">
    <w:nsid w:val="0CF31319"/>
    <w:multiLevelType w:val="singleLevel"/>
    <w:tmpl w:val="0CF31319"/>
    <w:lvl w:ilvl="0" w:tentative="0">
      <w:start w:val="1"/>
      <w:numFmt w:val="lowerLetter"/>
      <w:lvlText w:val="%1."/>
      <w:lvlJc w:val="left"/>
      <w:pPr>
        <w:ind w:left="425" w:hanging="425"/>
      </w:pPr>
      <w:rPr>
        <w:rFonts w:hint="default"/>
      </w:rPr>
    </w:lvl>
  </w:abstractNum>
  <w:abstractNum w:abstractNumId="57">
    <w:nsid w:val="0D5437F8"/>
    <w:multiLevelType w:val="singleLevel"/>
    <w:tmpl w:val="0D5437F8"/>
    <w:lvl w:ilvl="0" w:tentative="0">
      <w:start w:val="1"/>
      <w:numFmt w:val="bullet"/>
      <w:lvlText w:val=""/>
      <w:lvlJc w:val="left"/>
      <w:pPr>
        <w:ind w:left="420" w:hanging="420"/>
      </w:pPr>
      <w:rPr>
        <w:rFonts w:hint="default" w:ascii="Wingdings" w:hAnsi="Wingdings"/>
      </w:rPr>
    </w:lvl>
  </w:abstractNum>
  <w:abstractNum w:abstractNumId="58">
    <w:nsid w:val="0FB184C8"/>
    <w:multiLevelType w:val="singleLevel"/>
    <w:tmpl w:val="0FB184C8"/>
    <w:lvl w:ilvl="0" w:tentative="0">
      <w:start w:val="1"/>
      <w:numFmt w:val="decimal"/>
      <w:lvlText w:val="%1)"/>
      <w:lvlJc w:val="left"/>
      <w:pPr>
        <w:ind w:left="425" w:hanging="425"/>
      </w:pPr>
      <w:rPr>
        <w:rFonts w:hint="default"/>
      </w:rPr>
    </w:lvl>
  </w:abstractNum>
  <w:abstractNum w:abstractNumId="59">
    <w:nsid w:val="1220C627"/>
    <w:multiLevelType w:val="singleLevel"/>
    <w:tmpl w:val="1220C627"/>
    <w:lvl w:ilvl="0" w:tentative="0">
      <w:start w:val="1"/>
      <w:numFmt w:val="decimalEnclosedCircleChinese"/>
      <w:suff w:val="nothing"/>
      <w:lvlText w:val="%1　"/>
      <w:lvlJc w:val="left"/>
      <w:pPr>
        <w:ind w:left="0" w:firstLine="400"/>
      </w:pPr>
      <w:rPr>
        <w:rFonts w:hint="eastAsia"/>
      </w:rPr>
    </w:lvl>
  </w:abstractNum>
  <w:abstractNum w:abstractNumId="60">
    <w:nsid w:val="17A0D477"/>
    <w:multiLevelType w:val="singleLevel"/>
    <w:tmpl w:val="17A0D477"/>
    <w:lvl w:ilvl="0" w:tentative="0">
      <w:start w:val="1"/>
      <w:numFmt w:val="decimalEnclosedCircleChinese"/>
      <w:suff w:val="nothing"/>
      <w:lvlText w:val="%1　"/>
      <w:lvlJc w:val="left"/>
      <w:pPr>
        <w:ind w:left="0" w:firstLine="400"/>
      </w:pPr>
      <w:rPr>
        <w:rFonts w:hint="eastAsia"/>
      </w:rPr>
    </w:lvl>
  </w:abstractNum>
  <w:abstractNum w:abstractNumId="61">
    <w:nsid w:val="193E20C1"/>
    <w:multiLevelType w:val="multilevel"/>
    <w:tmpl w:val="193E20C1"/>
    <w:lvl w:ilvl="0" w:tentative="0">
      <w:start w:val="1"/>
      <w:numFmt w:val="decimal"/>
      <w:lvlText w:val="%1."/>
      <w:lvlJc w:val="left"/>
      <w:pPr>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2">
    <w:nsid w:val="1D42037C"/>
    <w:multiLevelType w:val="singleLevel"/>
    <w:tmpl w:val="1D42037C"/>
    <w:lvl w:ilvl="0" w:tentative="0">
      <w:start w:val="1"/>
      <w:numFmt w:val="decimal"/>
      <w:lvlText w:val="%1."/>
      <w:lvlJc w:val="left"/>
      <w:pPr>
        <w:tabs>
          <w:tab w:val="left" w:pos="312"/>
        </w:tabs>
      </w:pPr>
    </w:lvl>
  </w:abstractNum>
  <w:abstractNum w:abstractNumId="63">
    <w:nsid w:val="1F13276C"/>
    <w:multiLevelType w:val="singleLevel"/>
    <w:tmpl w:val="1F13276C"/>
    <w:lvl w:ilvl="0" w:tentative="0">
      <w:start w:val="1"/>
      <w:numFmt w:val="decimalEnclosedCircleChinese"/>
      <w:suff w:val="nothing"/>
      <w:lvlText w:val="%1　"/>
      <w:lvlJc w:val="left"/>
      <w:pPr>
        <w:ind w:left="0" w:firstLine="400"/>
      </w:pPr>
      <w:rPr>
        <w:rFonts w:hint="eastAsia"/>
      </w:rPr>
    </w:lvl>
  </w:abstractNum>
  <w:abstractNum w:abstractNumId="64">
    <w:nsid w:val="202B258C"/>
    <w:multiLevelType w:val="singleLevel"/>
    <w:tmpl w:val="202B258C"/>
    <w:lvl w:ilvl="0" w:tentative="0">
      <w:start w:val="1"/>
      <w:numFmt w:val="lowerLetter"/>
      <w:lvlText w:val="%1."/>
      <w:lvlJc w:val="left"/>
      <w:pPr>
        <w:ind w:left="425" w:hanging="425"/>
      </w:pPr>
      <w:rPr>
        <w:rFonts w:hint="default"/>
      </w:rPr>
    </w:lvl>
  </w:abstractNum>
  <w:abstractNum w:abstractNumId="65">
    <w:nsid w:val="2168DCCC"/>
    <w:multiLevelType w:val="singleLevel"/>
    <w:tmpl w:val="2168DCCC"/>
    <w:lvl w:ilvl="0" w:tentative="0">
      <w:start w:val="1"/>
      <w:numFmt w:val="chineseCounting"/>
      <w:suff w:val="nothing"/>
      <w:lvlText w:val="%1、"/>
      <w:lvlJc w:val="left"/>
      <w:pPr>
        <w:ind w:left="0" w:firstLine="420"/>
      </w:pPr>
      <w:rPr>
        <w:rFonts w:hint="eastAsia"/>
      </w:rPr>
    </w:lvl>
  </w:abstractNum>
  <w:abstractNum w:abstractNumId="66">
    <w:nsid w:val="253D7524"/>
    <w:multiLevelType w:val="singleLevel"/>
    <w:tmpl w:val="253D7524"/>
    <w:lvl w:ilvl="0" w:tentative="0">
      <w:start w:val="1"/>
      <w:numFmt w:val="decimalEnclosedCircleChinese"/>
      <w:suff w:val="nothing"/>
      <w:lvlText w:val="%1　"/>
      <w:lvlJc w:val="left"/>
      <w:pPr>
        <w:ind w:left="0" w:firstLine="400"/>
      </w:pPr>
      <w:rPr>
        <w:rFonts w:hint="eastAsia"/>
      </w:rPr>
    </w:lvl>
  </w:abstractNum>
  <w:abstractNum w:abstractNumId="67">
    <w:nsid w:val="26333074"/>
    <w:multiLevelType w:val="multilevel"/>
    <w:tmpl w:val="26333074"/>
    <w:lvl w:ilvl="0" w:tentative="0">
      <w:start w:val="1"/>
      <w:numFmt w:val="decimal"/>
      <w:lvlText w:val="%1."/>
      <w:lvlJc w:val="left"/>
      <w:pPr>
        <w:ind w:left="1347" w:hanging="420"/>
      </w:pPr>
      <w:rPr>
        <w:rFonts w:hint="default" w:ascii="宋体" w:hAnsi="宋体" w:eastAsia="宋体" w:cs="宋体"/>
        <w:b w:val="0"/>
        <w:bCs w:val="0"/>
        <w:sz w:val="21"/>
        <w:szCs w:val="21"/>
      </w:rPr>
    </w:lvl>
    <w:lvl w:ilvl="1" w:tentative="0">
      <w:start w:val="1"/>
      <w:numFmt w:val="lowerLetter"/>
      <w:lvlText w:val="%2)"/>
      <w:lvlJc w:val="left"/>
      <w:pPr>
        <w:ind w:left="1767" w:hanging="420"/>
      </w:pPr>
    </w:lvl>
    <w:lvl w:ilvl="2" w:tentative="0">
      <w:start w:val="1"/>
      <w:numFmt w:val="lowerRoman"/>
      <w:lvlText w:val="%3."/>
      <w:lvlJc w:val="right"/>
      <w:pPr>
        <w:ind w:left="2187" w:hanging="420"/>
      </w:pPr>
    </w:lvl>
    <w:lvl w:ilvl="3" w:tentative="0">
      <w:start w:val="1"/>
      <w:numFmt w:val="decimal"/>
      <w:lvlText w:val="%4."/>
      <w:lvlJc w:val="left"/>
      <w:pPr>
        <w:ind w:left="2607" w:hanging="420"/>
      </w:pPr>
    </w:lvl>
    <w:lvl w:ilvl="4" w:tentative="0">
      <w:start w:val="1"/>
      <w:numFmt w:val="lowerLetter"/>
      <w:lvlText w:val="%5)"/>
      <w:lvlJc w:val="left"/>
      <w:pPr>
        <w:ind w:left="3027" w:hanging="420"/>
      </w:pPr>
    </w:lvl>
    <w:lvl w:ilvl="5" w:tentative="0">
      <w:start w:val="1"/>
      <w:numFmt w:val="lowerRoman"/>
      <w:lvlText w:val="%6."/>
      <w:lvlJc w:val="right"/>
      <w:pPr>
        <w:ind w:left="3447" w:hanging="420"/>
      </w:pPr>
    </w:lvl>
    <w:lvl w:ilvl="6" w:tentative="0">
      <w:start w:val="1"/>
      <w:numFmt w:val="decimal"/>
      <w:lvlText w:val="%7."/>
      <w:lvlJc w:val="left"/>
      <w:pPr>
        <w:ind w:left="3867" w:hanging="420"/>
      </w:pPr>
    </w:lvl>
    <w:lvl w:ilvl="7" w:tentative="0">
      <w:start w:val="1"/>
      <w:numFmt w:val="lowerLetter"/>
      <w:lvlText w:val="%8)"/>
      <w:lvlJc w:val="left"/>
      <w:pPr>
        <w:ind w:left="4287" w:hanging="420"/>
      </w:pPr>
    </w:lvl>
    <w:lvl w:ilvl="8" w:tentative="0">
      <w:start w:val="1"/>
      <w:numFmt w:val="lowerRoman"/>
      <w:lvlText w:val="%9."/>
      <w:lvlJc w:val="right"/>
      <w:pPr>
        <w:ind w:left="4707" w:hanging="420"/>
      </w:pPr>
    </w:lvl>
  </w:abstractNum>
  <w:abstractNum w:abstractNumId="68">
    <w:nsid w:val="26BCF8F6"/>
    <w:multiLevelType w:val="singleLevel"/>
    <w:tmpl w:val="26BCF8F6"/>
    <w:lvl w:ilvl="0" w:tentative="0">
      <w:start w:val="1"/>
      <w:numFmt w:val="decimalEnclosedCircleChinese"/>
      <w:suff w:val="nothing"/>
      <w:lvlText w:val="%1　"/>
      <w:lvlJc w:val="left"/>
      <w:pPr>
        <w:ind w:left="0" w:firstLine="400"/>
      </w:pPr>
      <w:rPr>
        <w:rFonts w:hint="eastAsia"/>
      </w:rPr>
    </w:lvl>
  </w:abstractNum>
  <w:abstractNum w:abstractNumId="69">
    <w:nsid w:val="29077932"/>
    <w:multiLevelType w:val="singleLevel"/>
    <w:tmpl w:val="29077932"/>
    <w:lvl w:ilvl="0" w:tentative="0">
      <w:start w:val="1"/>
      <w:numFmt w:val="decimal"/>
      <w:lvlText w:val="(%1)"/>
      <w:lvlJc w:val="left"/>
      <w:pPr>
        <w:ind w:left="425" w:hanging="425"/>
      </w:pPr>
      <w:rPr>
        <w:rFonts w:hint="default" w:ascii="宋体" w:hAnsi="宋体" w:eastAsia="宋体" w:cs="宋体"/>
        <w:b w:val="0"/>
        <w:bCs w:val="0"/>
        <w:sz w:val="21"/>
        <w:szCs w:val="21"/>
      </w:rPr>
    </w:lvl>
  </w:abstractNum>
  <w:abstractNum w:abstractNumId="70">
    <w:nsid w:val="29D264E5"/>
    <w:multiLevelType w:val="singleLevel"/>
    <w:tmpl w:val="29D264E5"/>
    <w:lvl w:ilvl="0" w:tentative="0">
      <w:start w:val="1"/>
      <w:numFmt w:val="decimalEnclosedCircleChinese"/>
      <w:suff w:val="nothing"/>
      <w:lvlText w:val="%1　"/>
      <w:lvlJc w:val="left"/>
      <w:pPr>
        <w:ind w:left="0" w:firstLine="400"/>
      </w:pPr>
      <w:rPr>
        <w:rFonts w:hint="eastAsia"/>
      </w:rPr>
    </w:lvl>
  </w:abstractNum>
  <w:abstractNum w:abstractNumId="71">
    <w:nsid w:val="2A302414"/>
    <w:multiLevelType w:val="multilevel"/>
    <w:tmpl w:val="2A302414"/>
    <w:lvl w:ilvl="0" w:tentative="0">
      <w:start w:val="1"/>
      <w:numFmt w:val="chineseCountingThousand"/>
      <w:pStyle w:val="5"/>
      <w:lvlText w:val="%1、"/>
      <w:lvlJc w:val="left"/>
      <w:pPr>
        <w:tabs>
          <w:tab w:val="left" w:pos="420"/>
        </w:tabs>
        <w:ind w:left="420" w:hanging="420"/>
      </w:pPr>
      <w:rPr>
        <w:lang w:val="en-US"/>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540"/>
        </w:tabs>
        <w:ind w:left="540" w:hanging="360"/>
      </w:pPr>
      <w:rPr>
        <w:rFonts w:hint="eastAsia"/>
        <w:i w:val="0"/>
        <w:lang w:val="en-U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2">
    <w:nsid w:val="2B0F11C8"/>
    <w:multiLevelType w:val="multilevel"/>
    <w:tmpl w:val="2B0F11C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3">
    <w:nsid w:val="2B8EFAE4"/>
    <w:multiLevelType w:val="singleLevel"/>
    <w:tmpl w:val="2B8EFAE4"/>
    <w:lvl w:ilvl="0" w:tentative="0">
      <w:start w:val="1"/>
      <w:numFmt w:val="decimalEnclosedCircleChinese"/>
      <w:suff w:val="nothing"/>
      <w:lvlText w:val="%1　"/>
      <w:lvlJc w:val="left"/>
      <w:pPr>
        <w:ind w:left="0" w:firstLine="400"/>
      </w:pPr>
      <w:rPr>
        <w:rFonts w:hint="eastAsia"/>
      </w:rPr>
    </w:lvl>
  </w:abstractNum>
  <w:abstractNum w:abstractNumId="74">
    <w:nsid w:val="2B936180"/>
    <w:multiLevelType w:val="multilevel"/>
    <w:tmpl w:val="2B936180"/>
    <w:lvl w:ilvl="0" w:tentative="0">
      <w:start w:val="3"/>
      <w:numFmt w:val="japaneseCounting"/>
      <w:lvlText w:val="%1、"/>
      <w:lvlJc w:val="left"/>
      <w:pPr>
        <w:ind w:left="630" w:hanging="4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75">
    <w:nsid w:val="2E632F20"/>
    <w:multiLevelType w:val="singleLevel"/>
    <w:tmpl w:val="2E632F20"/>
    <w:lvl w:ilvl="0" w:tentative="0">
      <w:start w:val="1"/>
      <w:numFmt w:val="decimal"/>
      <w:lvlText w:val="(%1)"/>
      <w:lvlJc w:val="left"/>
      <w:pPr>
        <w:ind w:left="425" w:hanging="425"/>
      </w:pPr>
      <w:rPr>
        <w:rFonts w:hint="default"/>
      </w:rPr>
    </w:lvl>
  </w:abstractNum>
  <w:abstractNum w:abstractNumId="76">
    <w:nsid w:val="31CD3D6E"/>
    <w:multiLevelType w:val="singleLevel"/>
    <w:tmpl w:val="31CD3D6E"/>
    <w:lvl w:ilvl="0" w:tentative="0">
      <w:start w:val="1"/>
      <w:numFmt w:val="lowerLetter"/>
      <w:lvlText w:val="%1."/>
      <w:lvlJc w:val="left"/>
      <w:pPr>
        <w:ind w:left="425" w:hanging="425"/>
      </w:pPr>
      <w:rPr>
        <w:rFonts w:hint="default"/>
      </w:rPr>
    </w:lvl>
  </w:abstractNum>
  <w:abstractNum w:abstractNumId="77">
    <w:nsid w:val="33288055"/>
    <w:multiLevelType w:val="singleLevel"/>
    <w:tmpl w:val="33288055"/>
    <w:lvl w:ilvl="0" w:tentative="0">
      <w:start w:val="1"/>
      <w:numFmt w:val="decimalEnclosedCircleChinese"/>
      <w:suff w:val="nothing"/>
      <w:lvlText w:val="%1　"/>
      <w:lvlJc w:val="left"/>
      <w:pPr>
        <w:ind w:left="0" w:firstLine="400"/>
      </w:pPr>
      <w:rPr>
        <w:rFonts w:hint="eastAsia"/>
      </w:rPr>
    </w:lvl>
  </w:abstractNum>
  <w:abstractNum w:abstractNumId="78">
    <w:nsid w:val="33947A73"/>
    <w:multiLevelType w:val="multilevel"/>
    <w:tmpl w:val="33947A73"/>
    <w:lvl w:ilvl="0" w:tentative="0">
      <w:start w:val="1"/>
      <w:numFmt w:val="bullet"/>
      <w:lvlText w:val=""/>
      <w:lvlJc w:val="left"/>
      <w:pPr>
        <w:tabs>
          <w:tab w:val="left" w:pos="562"/>
        </w:tabs>
        <w:ind w:left="562" w:hanging="420"/>
      </w:pPr>
      <w:rPr>
        <w:rFonts w:hint="default" w:ascii="Wingdings" w:hAnsi="Wingdings"/>
      </w:rPr>
    </w:lvl>
    <w:lvl w:ilvl="1" w:tentative="0">
      <w:start w:val="1"/>
      <w:numFmt w:val="lowerLetter"/>
      <w:lvlText w:val="%2)"/>
      <w:lvlJc w:val="left"/>
      <w:pPr>
        <w:tabs>
          <w:tab w:val="left" w:pos="982"/>
        </w:tabs>
        <w:ind w:left="982" w:hanging="420"/>
      </w:p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79">
    <w:nsid w:val="34A279F2"/>
    <w:multiLevelType w:val="singleLevel"/>
    <w:tmpl w:val="34A279F2"/>
    <w:lvl w:ilvl="0" w:tentative="0">
      <w:start w:val="1"/>
      <w:numFmt w:val="lowerLetter"/>
      <w:lvlText w:val="%1."/>
      <w:lvlJc w:val="left"/>
      <w:pPr>
        <w:ind w:left="425" w:hanging="425"/>
      </w:pPr>
      <w:rPr>
        <w:rFonts w:hint="default"/>
      </w:rPr>
    </w:lvl>
  </w:abstractNum>
  <w:abstractNum w:abstractNumId="80">
    <w:nsid w:val="3609343F"/>
    <w:multiLevelType w:val="multilevel"/>
    <w:tmpl w:val="3609343F"/>
    <w:lvl w:ilvl="0" w:tentative="0">
      <w:start w:val="1"/>
      <w:numFmt w:val="decimal"/>
      <w:pStyle w:val="10"/>
      <w:lvlText w:val="（%1）"/>
      <w:lvlJc w:val="left"/>
      <w:pPr>
        <w:tabs>
          <w:tab w:val="left" w:pos="1560"/>
        </w:tabs>
        <w:ind w:left="1560" w:hanging="720"/>
      </w:pPr>
      <w:rPr>
        <w:rFonts w:hint="default" w:ascii="宋体" w:hAnsi="宋体" w:eastAsia="宋体"/>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81">
    <w:nsid w:val="39A06FAC"/>
    <w:multiLevelType w:val="multilevel"/>
    <w:tmpl w:val="39A06FAC"/>
    <w:lvl w:ilvl="0" w:tentative="0">
      <w:start w:val="1"/>
      <w:numFmt w:val="decimal"/>
      <w:lvlText w:val="（%1）"/>
      <w:lvlJc w:val="left"/>
      <w:pPr>
        <w:tabs>
          <w:tab w:val="left" w:pos="1560"/>
        </w:tabs>
        <w:ind w:left="1560" w:hanging="720"/>
      </w:pPr>
      <w:rPr>
        <w:rFonts w:hint="default"/>
      </w:rPr>
    </w:lvl>
    <w:lvl w:ilvl="1" w:tentative="0">
      <w:start w:val="1"/>
      <w:numFmt w:val="decimalEnclosedCircle"/>
      <w:lvlText w:val="%2"/>
      <w:lvlJc w:val="left"/>
      <w:pPr>
        <w:tabs>
          <w:tab w:val="left" w:pos="1620"/>
        </w:tabs>
        <w:ind w:left="1620" w:hanging="360"/>
      </w:pPr>
      <w:rPr>
        <w:rFonts w:hint="default"/>
      </w:rPr>
    </w:lvl>
    <w:lvl w:ilvl="2" w:tentative="0">
      <w:start w:val="1"/>
      <w:numFmt w:val="decimal"/>
      <w:lvlText w:val="%3）"/>
      <w:lvlJc w:val="left"/>
      <w:pPr>
        <w:tabs>
          <w:tab w:val="left" w:pos="2040"/>
        </w:tabs>
        <w:ind w:left="2040" w:hanging="360"/>
      </w:pPr>
      <w:rPr>
        <w:rFonts w:hint="default"/>
      </w:rPr>
    </w:lvl>
    <w:lvl w:ilvl="3" w:tentative="0">
      <w:start w:val="4"/>
      <w:numFmt w:val="decimalEnclosedParen"/>
      <w:lvlText w:val="%4"/>
      <w:lvlJc w:val="left"/>
      <w:pPr>
        <w:tabs>
          <w:tab w:val="left" w:pos="2460"/>
        </w:tabs>
        <w:ind w:left="2460" w:hanging="360"/>
      </w:pPr>
      <w:rPr>
        <w:rFonts w:hint="default"/>
      </w:r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82">
    <w:nsid w:val="3C845EAF"/>
    <w:multiLevelType w:val="singleLevel"/>
    <w:tmpl w:val="3C845EAF"/>
    <w:lvl w:ilvl="0" w:tentative="0">
      <w:start w:val="1"/>
      <w:numFmt w:val="decimal"/>
      <w:lvlText w:val="%1."/>
      <w:lvlJc w:val="left"/>
      <w:pPr>
        <w:ind w:left="425" w:hanging="425"/>
      </w:pPr>
      <w:rPr>
        <w:rFonts w:hint="default"/>
      </w:rPr>
    </w:lvl>
  </w:abstractNum>
  <w:abstractNum w:abstractNumId="83">
    <w:nsid w:val="3D75C10C"/>
    <w:multiLevelType w:val="singleLevel"/>
    <w:tmpl w:val="3D75C10C"/>
    <w:lvl w:ilvl="0" w:tentative="0">
      <w:start w:val="1"/>
      <w:numFmt w:val="decimalEnclosedCircleChinese"/>
      <w:suff w:val="nothing"/>
      <w:lvlText w:val="%1　"/>
      <w:lvlJc w:val="left"/>
      <w:pPr>
        <w:ind w:left="0" w:firstLine="400"/>
      </w:pPr>
      <w:rPr>
        <w:rFonts w:hint="eastAsia"/>
      </w:rPr>
    </w:lvl>
  </w:abstractNum>
  <w:abstractNum w:abstractNumId="84">
    <w:nsid w:val="4260F33E"/>
    <w:multiLevelType w:val="singleLevel"/>
    <w:tmpl w:val="4260F33E"/>
    <w:lvl w:ilvl="0" w:tentative="0">
      <w:start w:val="1"/>
      <w:numFmt w:val="decimal"/>
      <w:lvlText w:val="%1)"/>
      <w:lvlJc w:val="left"/>
      <w:pPr>
        <w:ind w:left="425" w:hanging="425"/>
      </w:pPr>
      <w:rPr>
        <w:rFonts w:hint="default"/>
      </w:rPr>
    </w:lvl>
  </w:abstractNum>
  <w:abstractNum w:abstractNumId="85">
    <w:nsid w:val="459BFC52"/>
    <w:multiLevelType w:val="singleLevel"/>
    <w:tmpl w:val="459BFC52"/>
    <w:lvl w:ilvl="0" w:tentative="0">
      <w:start w:val="1"/>
      <w:numFmt w:val="decimal"/>
      <w:lvlText w:val="(%1)"/>
      <w:lvlJc w:val="left"/>
      <w:pPr>
        <w:tabs>
          <w:tab w:val="left" w:pos="312"/>
        </w:tabs>
      </w:pPr>
      <w:rPr>
        <w:rFonts w:hint="default" w:ascii="宋体" w:hAnsi="宋体" w:eastAsia="宋体" w:cs="宋体"/>
        <w:sz w:val="21"/>
        <w:szCs w:val="21"/>
      </w:rPr>
    </w:lvl>
  </w:abstractNum>
  <w:abstractNum w:abstractNumId="86">
    <w:nsid w:val="51CDDE60"/>
    <w:multiLevelType w:val="singleLevel"/>
    <w:tmpl w:val="51CDDE60"/>
    <w:lvl w:ilvl="0" w:tentative="0">
      <w:start w:val="1"/>
      <w:numFmt w:val="decimal"/>
      <w:suff w:val="nothing"/>
      <w:lvlText w:val="%1．"/>
      <w:lvlJc w:val="left"/>
      <w:pPr>
        <w:ind w:left="0" w:firstLine="400"/>
      </w:pPr>
      <w:rPr>
        <w:rFonts w:hint="default"/>
      </w:rPr>
    </w:lvl>
  </w:abstractNum>
  <w:abstractNum w:abstractNumId="87">
    <w:nsid w:val="541D13DC"/>
    <w:multiLevelType w:val="singleLevel"/>
    <w:tmpl w:val="541D13DC"/>
    <w:lvl w:ilvl="0" w:tentative="0">
      <w:start w:val="1"/>
      <w:numFmt w:val="decimal"/>
      <w:lvlText w:val="%1."/>
      <w:lvlJc w:val="left"/>
      <w:pPr>
        <w:ind w:left="425" w:hanging="425"/>
      </w:pPr>
      <w:rPr>
        <w:rFonts w:hint="default"/>
      </w:rPr>
    </w:lvl>
  </w:abstractNum>
  <w:abstractNum w:abstractNumId="88">
    <w:nsid w:val="547AF285"/>
    <w:multiLevelType w:val="singleLevel"/>
    <w:tmpl w:val="547AF285"/>
    <w:lvl w:ilvl="0" w:tentative="0">
      <w:start w:val="1"/>
      <w:numFmt w:val="decimal"/>
      <w:suff w:val="nothing"/>
      <w:lvlText w:val="%1．"/>
      <w:lvlJc w:val="left"/>
      <w:pPr>
        <w:ind w:left="0" w:firstLine="400"/>
      </w:pPr>
      <w:rPr>
        <w:rFonts w:hint="default"/>
      </w:rPr>
    </w:lvl>
  </w:abstractNum>
  <w:abstractNum w:abstractNumId="89">
    <w:nsid w:val="54964323"/>
    <w:multiLevelType w:val="singleLevel"/>
    <w:tmpl w:val="54964323"/>
    <w:lvl w:ilvl="0" w:tentative="0">
      <w:start w:val="1"/>
      <w:numFmt w:val="chineseCounting"/>
      <w:suff w:val="nothing"/>
      <w:lvlText w:val="%1、"/>
      <w:lvlJc w:val="left"/>
      <w:pPr>
        <w:ind w:left="0" w:firstLine="420"/>
      </w:pPr>
      <w:rPr>
        <w:rFonts w:hint="eastAsia"/>
      </w:rPr>
    </w:lvl>
  </w:abstractNum>
  <w:abstractNum w:abstractNumId="90">
    <w:nsid w:val="559E23F0"/>
    <w:multiLevelType w:val="singleLevel"/>
    <w:tmpl w:val="559E23F0"/>
    <w:lvl w:ilvl="0" w:tentative="0">
      <w:start w:val="1"/>
      <w:numFmt w:val="decimalEnclosedCircleChinese"/>
      <w:suff w:val="nothing"/>
      <w:lvlText w:val="%1　"/>
      <w:lvlJc w:val="left"/>
      <w:pPr>
        <w:ind w:left="0" w:firstLine="400"/>
      </w:pPr>
      <w:rPr>
        <w:rFonts w:hint="eastAsia"/>
      </w:rPr>
    </w:lvl>
  </w:abstractNum>
  <w:abstractNum w:abstractNumId="91">
    <w:nsid w:val="55FCF78D"/>
    <w:multiLevelType w:val="singleLevel"/>
    <w:tmpl w:val="55FCF78D"/>
    <w:lvl w:ilvl="0" w:tentative="0">
      <w:start w:val="1"/>
      <w:numFmt w:val="decimalEnclosedCircleChinese"/>
      <w:suff w:val="nothing"/>
      <w:lvlText w:val="%1　"/>
      <w:lvlJc w:val="left"/>
      <w:pPr>
        <w:ind w:left="0" w:firstLine="400"/>
      </w:pPr>
      <w:rPr>
        <w:rFonts w:hint="eastAsia"/>
      </w:rPr>
    </w:lvl>
  </w:abstractNum>
  <w:abstractNum w:abstractNumId="92">
    <w:nsid w:val="5620D698"/>
    <w:multiLevelType w:val="singleLevel"/>
    <w:tmpl w:val="5620D698"/>
    <w:lvl w:ilvl="0" w:tentative="0">
      <w:start w:val="1"/>
      <w:numFmt w:val="decimal"/>
      <w:suff w:val="nothing"/>
      <w:lvlText w:val="%1．"/>
      <w:lvlJc w:val="left"/>
      <w:pPr>
        <w:ind w:left="0" w:firstLine="400"/>
      </w:pPr>
      <w:rPr>
        <w:rFonts w:hint="default"/>
      </w:rPr>
    </w:lvl>
  </w:abstractNum>
  <w:abstractNum w:abstractNumId="93">
    <w:nsid w:val="571D4904"/>
    <w:multiLevelType w:val="multilevel"/>
    <w:tmpl w:val="571D4904"/>
    <w:lvl w:ilvl="0" w:tentative="0">
      <w:start w:val="1"/>
      <w:numFmt w:val="decimal"/>
      <w:lvlText w:val="(%1)"/>
      <w:lvlJc w:val="left"/>
      <w:pPr>
        <w:tabs>
          <w:tab w:val="left" w:pos="840"/>
        </w:tabs>
        <w:ind w:left="840" w:hanging="420"/>
      </w:pPr>
      <w:rPr>
        <w:rFonts w:hint="default" w:ascii="宋体" w:hAnsi="宋体" w:eastAsia="宋体" w:cs="宋体"/>
        <w:sz w:val="21"/>
        <w:szCs w:val="21"/>
      </w:rPr>
    </w:lvl>
    <w:lvl w:ilvl="1" w:tentative="0">
      <w:start w:val="1"/>
      <w:numFmt w:val="lowerLetter"/>
      <w:lvlText w:val="%2)"/>
      <w:lvlJc w:val="left"/>
      <w:pPr>
        <w:tabs>
          <w:tab w:val="left" w:pos="1260"/>
        </w:tabs>
        <w:ind w:left="1260" w:hanging="420"/>
      </w:pPr>
      <w:rPr>
        <w:rFonts w:hint="eastAsia"/>
      </w:rPr>
    </w:lvl>
    <w:lvl w:ilvl="2" w:tentative="0">
      <w:start w:val="1"/>
      <w:numFmt w:val="lowerRoman"/>
      <w:lvlText w:val="%3."/>
      <w:lvlJc w:val="right"/>
      <w:pPr>
        <w:tabs>
          <w:tab w:val="left" w:pos="1680"/>
        </w:tabs>
        <w:ind w:left="1680" w:hanging="420"/>
      </w:pPr>
      <w:rPr>
        <w:rFonts w:hint="eastAsia"/>
      </w:rPr>
    </w:lvl>
    <w:lvl w:ilvl="3" w:tentative="0">
      <w:start w:val="1"/>
      <w:numFmt w:val="decimal"/>
      <w:lvlText w:val="%4."/>
      <w:lvlJc w:val="left"/>
      <w:pPr>
        <w:tabs>
          <w:tab w:val="left" w:pos="2100"/>
        </w:tabs>
        <w:ind w:left="2100" w:hanging="420"/>
      </w:pPr>
      <w:rPr>
        <w:rFonts w:hint="eastAsia"/>
      </w:rPr>
    </w:lvl>
    <w:lvl w:ilvl="4" w:tentative="0">
      <w:start w:val="1"/>
      <w:numFmt w:val="lowerLetter"/>
      <w:lvlText w:val="%5)"/>
      <w:lvlJc w:val="left"/>
      <w:pPr>
        <w:tabs>
          <w:tab w:val="left" w:pos="2520"/>
        </w:tabs>
        <w:ind w:left="2520" w:hanging="420"/>
      </w:pPr>
      <w:rPr>
        <w:rFonts w:hint="eastAsia"/>
      </w:rPr>
    </w:lvl>
    <w:lvl w:ilvl="5" w:tentative="0">
      <w:start w:val="1"/>
      <w:numFmt w:val="lowerRoman"/>
      <w:lvlText w:val="%6."/>
      <w:lvlJc w:val="right"/>
      <w:pPr>
        <w:tabs>
          <w:tab w:val="left" w:pos="2940"/>
        </w:tabs>
        <w:ind w:left="2940" w:hanging="420"/>
      </w:pPr>
      <w:rPr>
        <w:rFonts w:hint="eastAsia"/>
      </w:rPr>
    </w:lvl>
    <w:lvl w:ilvl="6" w:tentative="0">
      <w:start w:val="1"/>
      <w:numFmt w:val="decimal"/>
      <w:lvlText w:val="%7."/>
      <w:lvlJc w:val="left"/>
      <w:pPr>
        <w:tabs>
          <w:tab w:val="left" w:pos="3360"/>
        </w:tabs>
        <w:ind w:left="3360" w:hanging="420"/>
      </w:pPr>
      <w:rPr>
        <w:rFonts w:hint="eastAsia"/>
      </w:rPr>
    </w:lvl>
    <w:lvl w:ilvl="7" w:tentative="0">
      <w:start w:val="1"/>
      <w:numFmt w:val="lowerLetter"/>
      <w:lvlText w:val="%8)"/>
      <w:lvlJc w:val="left"/>
      <w:pPr>
        <w:tabs>
          <w:tab w:val="left" w:pos="3780"/>
        </w:tabs>
        <w:ind w:left="3780" w:hanging="420"/>
      </w:pPr>
      <w:rPr>
        <w:rFonts w:hint="eastAsia"/>
      </w:rPr>
    </w:lvl>
    <w:lvl w:ilvl="8" w:tentative="0">
      <w:start w:val="1"/>
      <w:numFmt w:val="lowerRoman"/>
      <w:lvlText w:val="%9."/>
      <w:lvlJc w:val="right"/>
      <w:pPr>
        <w:tabs>
          <w:tab w:val="left" w:pos="4200"/>
        </w:tabs>
        <w:ind w:left="4200" w:hanging="420"/>
      </w:pPr>
      <w:rPr>
        <w:rFonts w:hint="eastAsia"/>
      </w:rPr>
    </w:lvl>
  </w:abstractNum>
  <w:abstractNum w:abstractNumId="94">
    <w:nsid w:val="593C976F"/>
    <w:multiLevelType w:val="singleLevel"/>
    <w:tmpl w:val="593C976F"/>
    <w:lvl w:ilvl="0" w:tentative="0">
      <w:start w:val="1"/>
      <w:numFmt w:val="chineseCounting"/>
      <w:suff w:val="nothing"/>
      <w:lvlText w:val="（%1）"/>
      <w:lvlJc w:val="left"/>
      <w:rPr>
        <w:rFonts w:hint="eastAsia"/>
      </w:rPr>
    </w:lvl>
  </w:abstractNum>
  <w:abstractNum w:abstractNumId="95">
    <w:nsid w:val="59677C94"/>
    <w:multiLevelType w:val="multilevel"/>
    <w:tmpl w:val="59677C9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6">
    <w:nsid w:val="5E470431"/>
    <w:multiLevelType w:val="singleLevel"/>
    <w:tmpl w:val="5E470431"/>
    <w:lvl w:ilvl="0" w:tentative="0">
      <w:start w:val="1"/>
      <w:numFmt w:val="lowerLetter"/>
      <w:lvlText w:val="%1."/>
      <w:lvlJc w:val="left"/>
      <w:pPr>
        <w:ind w:left="425" w:hanging="425"/>
      </w:pPr>
      <w:rPr>
        <w:rFonts w:hint="default"/>
      </w:rPr>
    </w:lvl>
  </w:abstractNum>
  <w:abstractNum w:abstractNumId="97">
    <w:nsid w:val="5EED6243"/>
    <w:multiLevelType w:val="multilevel"/>
    <w:tmpl w:val="5EED6243"/>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8">
    <w:nsid w:val="5F022C97"/>
    <w:multiLevelType w:val="multilevel"/>
    <w:tmpl w:val="5F022C97"/>
    <w:lvl w:ilvl="0" w:tentative="0">
      <w:start w:val="1"/>
      <w:numFmt w:val="decimal"/>
      <w:lvlText w:val="(%1)"/>
      <w:lvlJc w:val="left"/>
      <w:pPr>
        <w:tabs>
          <w:tab w:val="left" w:pos="840"/>
        </w:tabs>
        <w:ind w:left="840" w:hanging="420"/>
      </w:pPr>
      <w:rPr>
        <w:rFonts w:hint="default" w:ascii="宋体" w:hAnsi="宋体" w:eastAsia="宋体" w:cs="宋体"/>
        <w:sz w:val="21"/>
        <w:szCs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9">
    <w:nsid w:val="66316613"/>
    <w:multiLevelType w:val="multilevel"/>
    <w:tmpl w:val="66316613"/>
    <w:lvl w:ilvl="0" w:tentative="0">
      <w:start w:val="1"/>
      <w:numFmt w:val="decimal"/>
      <w:lvlText w:val="%1."/>
      <w:lvlJc w:val="left"/>
      <w:pPr>
        <w:ind w:left="425" w:hanging="425"/>
      </w:pPr>
      <w:rPr>
        <w:rFonts w:hint="default"/>
      </w:rPr>
    </w:lvl>
    <w:lvl w:ilvl="1" w:tentative="0">
      <w:start w:val="1"/>
      <w:numFmt w:val="decimal"/>
      <w:lvlText w:val="%1.%2"/>
      <w:lvlJc w:val="left"/>
      <w:pPr>
        <w:tabs>
          <w:tab w:val="left" w:pos="562"/>
        </w:tabs>
        <w:ind w:left="567" w:hanging="567"/>
      </w:pPr>
      <w:rPr>
        <w:rFonts w:hint="default" w:ascii="Times New Roman" w:hAnsi="Times New Roman" w:eastAsia="宋体" w:cs="宋体"/>
      </w:rPr>
    </w:lvl>
    <w:lvl w:ilvl="2" w:tentative="0">
      <w:start w:val="1"/>
      <w:numFmt w:val="decimal"/>
      <w:lvlText w:val="%1.%2.%3"/>
      <w:lvlJc w:val="left"/>
      <w:pPr>
        <w:ind w:left="709" w:hanging="709"/>
      </w:pPr>
      <w:rPr>
        <w:rFonts w:hint="default" w:ascii="Times New Roman" w:hAnsi="Times New Roman"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0">
    <w:nsid w:val="67ABB661"/>
    <w:multiLevelType w:val="singleLevel"/>
    <w:tmpl w:val="67ABB661"/>
    <w:lvl w:ilvl="0" w:tentative="0">
      <w:start w:val="1"/>
      <w:numFmt w:val="decimalEnclosedCircleChinese"/>
      <w:suff w:val="nothing"/>
      <w:lvlText w:val="%1　"/>
      <w:lvlJc w:val="left"/>
      <w:pPr>
        <w:ind w:left="0" w:firstLine="400"/>
      </w:pPr>
      <w:rPr>
        <w:rFonts w:hint="eastAsia"/>
      </w:rPr>
    </w:lvl>
  </w:abstractNum>
  <w:abstractNum w:abstractNumId="101">
    <w:nsid w:val="6AD6DE48"/>
    <w:multiLevelType w:val="singleLevel"/>
    <w:tmpl w:val="6AD6DE48"/>
    <w:lvl w:ilvl="0" w:tentative="0">
      <w:start w:val="1"/>
      <w:numFmt w:val="decimal"/>
      <w:lvlText w:val="%1."/>
      <w:lvlJc w:val="left"/>
      <w:pPr>
        <w:ind w:left="425" w:hanging="425"/>
      </w:pPr>
      <w:rPr>
        <w:rFonts w:hint="default"/>
      </w:rPr>
    </w:lvl>
  </w:abstractNum>
  <w:abstractNum w:abstractNumId="102">
    <w:nsid w:val="6FAE4144"/>
    <w:multiLevelType w:val="multilevel"/>
    <w:tmpl w:val="6FAE4144"/>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3">
    <w:nsid w:val="7298007D"/>
    <w:multiLevelType w:val="multilevel"/>
    <w:tmpl w:val="7298007D"/>
    <w:lvl w:ilvl="0" w:tentative="0">
      <w:start w:val="1"/>
      <w:numFmt w:val="decimal"/>
      <w:lvlText w:val="%1."/>
      <w:lvlJc w:val="left"/>
      <w:pPr>
        <w:ind w:left="1347" w:hanging="420"/>
      </w:pPr>
      <w:rPr>
        <w:rFonts w:hint="default" w:ascii="宋体" w:hAnsi="宋体" w:eastAsia="宋体" w:cs="宋体"/>
        <w:sz w:val="21"/>
        <w:szCs w:val="21"/>
      </w:rPr>
    </w:lvl>
    <w:lvl w:ilvl="1" w:tentative="0">
      <w:start w:val="1"/>
      <w:numFmt w:val="lowerLetter"/>
      <w:lvlText w:val="%2)"/>
      <w:lvlJc w:val="left"/>
      <w:pPr>
        <w:ind w:left="1767" w:hanging="420"/>
      </w:pPr>
    </w:lvl>
    <w:lvl w:ilvl="2" w:tentative="0">
      <w:start w:val="1"/>
      <w:numFmt w:val="lowerRoman"/>
      <w:lvlText w:val="%3."/>
      <w:lvlJc w:val="right"/>
      <w:pPr>
        <w:ind w:left="2187" w:hanging="420"/>
      </w:pPr>
    </w:lvl>
    <w:lvl w:ilvl="3" w:tentative="0">
      <w:start w:val="1"/>
      <w:numFmt w:val="decimal"/>
      <w:lvlText w:val="%4."/>
      <w:lvlJc w:val="left"/>
      <w:pPr>
        <w:ind w:left="2607" w:hanging="420"/>
      </w:pPr>
    </w:lvl>
    <w:lvl w:ilvl="4" w:tentative="0">
      <w:start w:val="1"/>
      <w:numFmt w:val="lowerLetter"/>
      <w:lvlText w:val="%5)"/>
      <w:lvlJc w:val="left"/>
      <w:pPr>
        <w:ind w:left="3027" w:hanging="420"/>
      </w:pPr>
    </w:lvl>
    <w:lvl w:ilvl="5" w:tentative="0">
      <w:start w:val="1"/>
      <w:numFmt w:val="lowerRoman"/>
      <w:lvlText w:val="%6."/>
      <w:lvlJc w:val="right"/>
      <w:pPr>
        <w:ind w:left="3447" w:hanging="420"/>
      </w:pPr>
    </w:lvl>
    <w:lvl w:ilvl="6" w:tentative="0">
      <w:start w:val="1"/>
      <w:numFmt w:val="decimal"/>
      <w:lvlText w:val="%7."/>
      <w:lvlJc w:val="left"/>
      <w:pPr>
        <w:ind w:left="3867" w:hanging="420"/>
      </w:pPr>
    </w:lvl>
    <w:lvl w:ilvl="7" w:tentative="0">
      <w:start w:val="1"/>
      <w:numFmt w:val="lowerLetter"/>
      <w:lvlText w:val="%8)"/>
      <w:lvlJc w:val="left"/>
      <w:pPr>
        <w:ind w:left="4287" w:hanging="420"/>
      </w:pPr>
    </w:lvl>
    <w:lvl w:ilvl="8" w:tentative="0">
      <w:start w:val="1"/>
      <w:numFmt w:val="lowerRoman"/>
      <w:lvlText w:val="%9."/>
      <w:lvlJc w:val="right"/>
      <w:pPr>
        <w:ind w:left="4707" w:hanging="420"/>
      </w:pPr>
    </w:lvl>
  </w:abstractNum>
  <w:abstractNum w:abstractNumId="104">
    <w:nsid w:val="72DB9FCC"/>
    <w:multiLevelType w:val="singleLevel"/>
    <w:tmpl w:val="72DB9FCC"/>
    <w:lvl w:ilvl="0" w:tentative="0">
      <w:start w:val="1"/>
      <w:numFmt w:val="decimal"/>
      <w:suff w:val="nothing"/>
      <w:lvlText w:val="%1．"/>
      <w:lvlJc w:val="left"/>
      <w:pPr>
        <w:ind w:left="-422" w:firstLine="400"/>
      </w:pPr>
      <w:rPr>
        <w:rFonts w:hint="default"/>
      </w:rPr>
    </w:lvl>
  </w:abstractNum>
  <w:abstractNum w:abstractNumId="105">
    <w:nsid w:val="740BFA13"/>
    <w:multiLevelType w:val="singleLevel"/>
    <w:tmpl w:val="740BFA13"/>
    <w:lvl w:ilvl="0" w:tentative="0">
      <w:start w:val="1"/>
      <w:numFmt w:val="decimal"/>
      <w:lvlText w:val="(%1)"/>
      <w:lvlJc w:val="left"/>
      <w:pPr>
        <w:ind w:left="425" w:hanging="425"/>
      </w:pPr>
      <w:rPr>
        <w:rFonts w:hint="default"/>
      </w:rPr>
    </w:lvl>
  </w:abstractNum>
  <w:abstractNum w:abstractNumId="106">
    <w:nsid w:val="763D2A5F"/>
    <w:multiLevelType w:val="singleLevel"/>
    <w:tmpl w:val="763D2A5F"/>
    <w:lvl w:ilvl="0" w:tentative="0">
      <w:start w:val="1"/>
      <w:numFmt w:val="decimalEnclosedCircleChinese"/>
      <w:suff w:val="nothing"/>
      <w:lvlText w:val="%1　"/>
      <w:lvlJc w:val="left"/>
      <w:pPr>
        <w:ind w:left="0" w:firstLine="400"/>
      </w:pPr>
      <w:rPr>
        <w:rFonts w:hint="eastAsia"/>
      </w:rPr>
    </w:lvl>
  </w:abstractNum>
  <w:abstractNum w:abstractNumId="107">
    <w:nsid w:val="7ADA913B"/>
    <w:multiLevelType w:val="singleLevel"/>
    <w:tmpl w:val="7ADA913B"/>
    <w:lvl w:ilvl="0" w:tentative="0">
      <w:start w:val="1"/>
      <w:numFmt w:val="lowerLetter"/>
      <w:lvlText w:val="%1."/>
      <w:lvlJc w:val="left"/>
      <w:pPr>
        <w:ind w:left="425" w:hanging="425"/>
      </w:pPr>
      <w:rPr>
        <w:rFonts w:hint="default"/>
      </w:rPr>
    </w:lvl>
  </w:abstractNum>
  <w:abstractNum w:abstractNumId="108">
    <w:nsid w:val="7B75E3AD"/>
    <w:multiLevelType w:val="singleLevel"/>
    <w:tmpl w:val="7B75E3AD"/>
    <w:lvl w:ilvl="0" w:tentative="0">
      <w:start w:val="1"/>
      <w:numFmt w:val="decimal"/>
      <w:suff w:val="nothing"/>
      <w:lvlText w:val="%1．"/>
      <w:lvlJc w:val="left"/>
      <w:pPr>
        <w:ind w:left="0" w:firstLine="400"/>
      </w:pPr>
      <w:rPr>
        <w:rFonts w:hint="default"/>
      </w:rPr>
    </w:lvl>
  </w:abstractNum>
  <w:abstractNum w:abstractNumId="109">
    <w:nsid w:val="7F779D0E"/>
    <w:multiLevelType w:val="singleLevel"/>
    <w:tmpl w:val="7F779D0E"/>
    <w:lvl w:ilvl="0" w:tentative="0">
      <w:start w:val="1"/>
      <w:numFmt w:val="lowerLetter"/>
      <w:lvlText w:val="%1."/>
      <w:lvlJc w:val="left"/>
      <w:pPr>
        <w:ind w:left="425" w:hanging="425"/>
      </w:pPr>
      <w:rPr>
        <w:rFonts w:hint="default"/>
      </w:rPr>
    </w:lvl>
  </w:abstractNum>
  <w:num w:numId="1">
    <w:abstractNumId w:val="71"/>
  </w:num>
  <w:num w:numId="2">
    <w:abstractNumId w:val="80"/>
  </w:num>
  <w:num w:numId="3">
    <w:abstractNumId w:val="65"/>
  </w:num>
  <w:num w:numId="4">
    <w:abstractNumId w:val="92"/>
  </w:num>
  <w:num w:numId="5">
    <w:abstractNumId w:val="8"/>
  </w:num>
  <w:num w:numId="6">
    <w:abstractNumId w:val="18"/>
  </w:num>
  <w:num w:numId="7">
    <w:abstractNumId w:val="17"/>
  </w:num>
  <w:num w:numId="8">
    <w:abstractNumId w:val="13"/>
  </w:num>
  <w:num w:numId="9">
    <w:abstractNumId w:val="108"/>
  </w:num>
  <w:num w:numId="10">
    <w:abstractNumId w:val="27"/>
  </w:num>
  <w:num w:numId="11">
    <w:abstractNumId w:val="99"/>
  </w:num>
  <w:num w:numId="12">
    <w:abstractNumId w:val="47"/>
  </w:num>
  <w:num w:numId="13">
    <w:abstractNumId w:val="44"/>
  </w:num>
  <w:num w:numId="14">
    <w:abstractNumId w:val="42"/>
  </w:num>
  <w:num w:numId="15">
    <w:abstractNumId w:val="29"/>
  </w:num>
  <w:num w:numId="16">
    <w:abstractNumId w:val="20"/>
  </w:num>
  <w:num w:numId="17">
    <w:abstractNumId w:val="88"/>
  </w:num>
  <w:num w:numId="18">
    <w:abstractNumId w:val="86"/>
  </w:num>
  <w:num w:numId="19">
    <w:abstractNumId w:val="69"/>
  </w:num>
  <w:num w:numId="20">
    <w:abstractNumId w:val="105"/>
  </w:num>
  <w:num w:numId="21">
    <w:abstractNumId w:val="58"/>
  </w:num>
  <w:num w:numId="22">
    <w:abstractNumId w:val="57"/>
  </w:num>
  <w:num w:numId="23">
    <w:abstractNumId w:val="91"/>
  </w:num>
  <w:num w:numId="24">
    <w:abstractNumId w:val="37"/>
  </w:num>
  <w:num w:numId="25">
    <w:abstractNumId w:val="46"/>
  </w:num>
  <w:num w:numId="26">
    <w:abstractNumId w:val="19"/>
  </w:num>
  <w:num w:numId="27">
    <w:abstractNumId w:val="40"/>
  </w:num>
  <w:num w:numId="28">
    <w:abstractNumId w:val="60"/>
  </w:num>
  <w:num w:numId="29">
    <w:abstractNumId w:val="100"/>
  </w:num>
  <w:num w:numId="30">
    <w:abstractNumId w:val="73"/>
  </w:num>
  <w:num w:numId="31">
    <w:abstractNumId w:val="77"/>
  </w:num>
  <w:num w:numId="32">
    <w:abstractNumId w:val="66"/>
  </w:num>
  <w:num w:numId="33">
    <w:abstractNumId w:val="59"/>
  </w:num>
  <w:num w:numId="34">
    <w:abstractNumId w:val="5"/>
  </w:num>
  <w:num w:numId="35">
    <w:abstractNumId w:val="90"/>
  </w:num>
  <w:num w:numId="36">
    <w:abstractNumId w:val="1"/>
  </w:num>
  <w:num w:numId="37">
    <w:abstractNumId w:val="32"/>
  </w:num>
  <w:num w:numId="38">
    <w:abstractNumId w:val="11"/>
  </w:num>
  <w:num w:numId="39">
    <w:abstractNumId w:val="12"/>
  </w:num>
  <w:num w:numId="40">
    <w:abstractNumId w:val="53"/>
  </w:num>
  <w:num w:numId="41">
    <w:abstractNumId w:val="2"/>
  </w:num>
  <w:num w:numId="42">
    <w:abstractNumId w:val="78"/>
  </w:num>
  <w:num w:numId="43">
    <w:abstractNumId w:val="6"/>
  </w:num>
  <w:num w:numId="44">
    <w:abstractNumId w:val="45"/>
  </w:num>
  <w:num w:numId="45">
    <w:abstractNumId w:val="16"/>
  </w:num>
  <w:num w:numId="46">
    <w:abstractNumId w:val="48"/>
  </w:num>
  <w:num w:numId="47">
    <w:abstractNumId w:val="36"/>
  </w:num>
  <w:num w:numId="48">
    <w:abstractNumId w:val="64"/>
  </w:num>
  <w:num w:numId="49">
    <w:abstractNumId w:val="23"/>
  </w:num>
  <w:num w:numId="50">
    <w:abstractNumId w:val="109"/>
  </w:num>
  <w:num w:numId="51">
    <w:abstractNumId w:val="76"/>
  </w:num>
  <w:num w:numId="52">
    <w:abstractNumId w:val="96"/>
  </w:num>
  <w:num w:numId="53">
    <w:abstractNumId w:val="79"/>
  </w:num>
  <w:num w:numId="54">
    <w:abstractNumId w:val="33"/>
  </w:num>
  <w:num w:numId="55">
    <w:abstractNumId w:val="15"/>
  </w:num>
  <w:num w:numId="56">
    <w:abstractNumId w:val="56"/>
  </w:num>
  <w:num w:numId="57">
    <w:abstractNumId w:val="107"/>
  </w:num>
  <w:num w:numId="58">
    <w:abstractNumId w:val="55"/>
  </w:num>
  <w:num w:numId="59">
    <w:abstractNumId w:val="51"/>
  </w:num>
  <w:num w:numId="60">
    <w:abstractNumId w:val="14"/>
  </w:num>
  <w:num w:numId="61">
    <w:abstractNumId w:val="70"/>
  </w:num>
  <w:num w:numId="62">
    <w:abstractNumId w:val="84"/>
  </w:num>
  <w:num w:numId="63">
    <w:abstractNumId w:val="9"/>
  </w:num>
  <w:num w:numId="64">
    <w:abstractNumId w:val="63"/>
  </w:num>
  <w:num w:numId="65">
    <w:abstractNumId w:val="83"/>
  </w:num>
  <w:num w:numId="66">
    <w:abstractNumId w:val="50"/>
  </w:num>
  <w:num w:numId="67">
    <w:abstractNumId w:val="39"/>
  </w:num>
  <w:num w:numId="68">
    <w:abstractNumId w:val="21"/>
  </w:num>
  <w:num w:numId="69">
    <w:abstractNumId w:val="68"/>
  </w:num>
  <w:num w:numId="70">
    <w:abstractNumId w:val="106"/>
  </w:num>
  <w:num w:numId="71">
    <w:abstractNumId w:val="52"/>
  </w:num>
  <w:num w:numId="72">
    <w:abstractNumId w:val="4"/>
  </w:num>
  <w:num w:numId="73">
    <w:abstractNumId w:val="67"/>
  </w:num>
  <w:num w:numId="74">
    <w:abstractNumId w:val="0"/>
  </w:num>
  <w:num w:numId="75">
    <w:abstractNumId w:val="103"/>
  </w:num>
  <w:num w:numId="76">
    <w:abstractNumId w:val="89"/>
  </w:num>
  <w:num w:numId="77">
    <w:abstractNumId w:val="28"/>
  </w:num>
  <w:num w:numId="78">
    <w:abstractNumId w:val="26"/>
  </w:num>
  <w:num w:numId="79">
    <w:abstractNumId w:val="25"/>
  </w:num>
  <w:num w:numId="80">
    <w:abstractNumId w:val="35"/>
  </w:num>
  <w:num w:numId="81">
    <w:abstractNumId w:val="101"/>
  </w:num>
  <w:num w:numId="82">
    <w:abstractNumId w:val="85"/>
  </w:num>
  <w:num w:numId="83">
    <w:abstractNumId w:val="10"/>
  </w:num>
  <w:num w:numId="84">
    <w:abstractNumId w:val="82"/>
  </w:num>
  <w:num w:numId="85">
    <w:abstractNumId w:val="87"/>
  </w:num>
  <w:num w:numId="86">
    <w:abstractNumId w:val="95"/>
  </w:num>
  <w:num w:numId="87">
    <w:abstractNumId w:val="81"/>
  </w:num>
  <w:num w:numId="88">
    <w:abstractNumId w:val="34"/>
  </w:num>
  <w:num w:numId="89">
    <w:abstractNumId w:val="31"/>
  </w:num>
  <w:num w:numId="90">
    <w:abstractNumId w:val="54"/>
  </w:num>
  <w:num w:numId="91">
    <w:abstractNumId w:val="97"/>
  </w:num>
  <w:num w:numId="92">
    <w:abstractNumId w:val="49"/>
  </w:num>
  <w:num w:numId="93">
    <w:abstractNumId w:val="41"/>
  </w:num>
  <w:num w:numId="94">
    <w:abstractNumId w:val="75"/>
  </w:num>
  <w:num w:numId="95">
    <w:abstractNumId w:val="72"/>
  </w:num>
  <w:num w:numId="96">
    <w:abstractNumId w:val="22"/>
  </w:num>
  <w:num w:numId="97">
    <w:abstractNumId w:val="61"/>
  </w:num>
  <w:num w:numId="98">
    <w:abstractNumId w:val="93"/>
  </w:num>
  <w:num w:numId="99">
    <w:abstractNumId w:val="102"/>
  </w:num>
  <w:num w:numId="100">
    <w:abstractNumId w:val="98"/>
  </w:num>
  <w:num w:numId="101">
    <w:abstractNumId w:val="7"/>
  </w:num>
  <w:num w:numId="102">
    <w:abstractNumId w:val="94"/>
  </w:num>
  <w:num w:numId="103">
    <w:abstractNumId w:val="104"/>
  </w:num>
  <w:num w:numId="104">
    <w:abstractNumId w:val="43"/>
  </w:num>
  <w:num w:numId="105">
    <w:abstractNumId w:val="30"/>
  </w:num>
  <w:num w:numId="106">
    <w:abstractNumId w:val="24"/>
  </w:num>
  <w:num w:numId="107">
    <w:abstractNumId w:val="3"/>
  </w:num>
  <w:num w:numId="108">
    <w:abstractNumId w:val="38"/>
  </w:num>
  <w:num w:numId="109">
    <w:abstractNumId w:val="62"/>
  </w:num>
  <w:num w:numId="110">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zNTAxYTAyNTliZDAwZTViMjUwYTcyNmI1YzFkZDcifQ=="/>
  </w:docVars>
  <w:rsids>
    <w:rsidRoot w:val="00172A27"/>
    <w:rsid w:val="00007FEA"/>
    <w:rsid w:val="00022912"/>
    <w:rsid w:val="0003165E"/>
    <w:rsid w:val="00065A85"/>
    <w:rsid w:val="00070ED8"/>
    <w:rsid w:val="00074F2B"/>
    <w:rsid w:val="000C4E82"/>
    <w:rsid w:val="000E31CB"/>
    <w:rsid w:val="000E4567"/>
    <w:rsid w:val="00102447"/>
    <w:rsid w:val="001078F1"/>
    <w:rsid w:val="00111EF2"/>
    <w:rsid w:val="0011790E"/>
    <w:rsid w:val="00127193"/>
    <w:rsid w:val="00130620"/>
    <w:rsid w:val="00141269"/>
    <w:rsid w:val="001437FA"/>
    <w:rsid w:val="00171BB8"/>
    <w:rsid w:val="00190490"/>
    <w:rsid w:val="00190538"/>
    <w:rsid w:val="0019420E"/>
    <w:rsid w:val="001A0463"/>
    <w:rsid w:val="001A10B8"/>
    <w:rsid w:val="001B7182"/>
    <w:rsid w:val="001B7953"/>
    <w:rsid w:val="001D0795"/>
    <w:rsid w:val="001D228A"/>
    <w:rsid w:val="001E601C"/>
    <w:rsid w:val="001F35E6"/>
    <w:rsid w:val="001F65DD"/>
    <w:rsid w:val="00200EB4"/>
    <w:rsid w:val="002450DC"/>
    <w:rsid w:val="00267A73"/>
    <w:rsid w:val="00286729"/>
    <w:rsid w:val="00287C70"/>
    <w:rsid w:val="00287D30"/>
    <w:rsid w:val="0029286C"/>
    <w:rsid w:val="002B073F"/>
    <w:rsid w:val="00305539"/>
    <w:rsid w:val="00307F1C"/>
    <w:rsid w:val="0033214A"/>
    <w:rsid w:val="003444FC"/>
    <w:rsid w:val="00347EBA"/>
    <w:rsid w:val="0036220A"/>
    <w:rsid w:val="00372375"/>
    <w:rsid w:val="0038774F"/>
    <w:rsid w:val="003934EC"/>
    <w:rsid w:val="0039422D"/>
    <w:rsid w:val="003B2B9D"/>
    <w:rsid w:val="003C7821"/>
    <w:rsid w:val="003E1C83"/>
    <w:rsid w:val="003E7CC0"/>
    <w:rsid w:val="004115DB"/>
    <w:rsid w:val="00420E94"/>
    <w:rsid w:val="00430B58"/>
    <w:rsid w:val="004407E5"/>
    <w:rsid w:val="004D41E1"/>
    <w:rsid w:val="004E1807"/>
    <w:rsid w:val="004F2ED5"/>
    <w:rsid w:val="00504197"/>
    <w:rsid w:val="00566A69"/>
    <w:rsid w:val="005903C7"/>
    <w:rsid w:val="005A3819"/>
    <w:rsid w:val="005B2FF6"/>
    <w:rsid w:val="005B4EA5"/>
    <w:rsid w:val="005E6861"/>
    <w:rsid w:val="00621529"/>
    <w:rsid w:val="006239A0"/>
    <w:rsid w:val="00654D53"/>
    <w:rsid w:val="0066220D"/>
    <w:rsid w:val="00664375"/>
    <w:rsid w:val="0069698B"/>
    <w:rsid w:val="006B7F20"/>
    <w:rsid w:val="006C0682"/>
    <w:rsid w:val="006D5DF3"/>
    <w:rsid w:val="00706F3A"/>
    <w:rsid w:val="0071573D"/>
    <w:rsid w:val="007338A6"/>
    <w:rsid w:val="00733B94"/>
    <w:rsid w:val="007721A1"/>
    <w:rsid w:val="00784FA6"/>
    <w:rsid w:val="007B760D"/>
    <w:rsid w:val="00801565"/>
    <w:rsid w:val="008033D0"/>
    <w:rsid w:val="00807A06"/>
    <w:rsid w:val="008310A3"/>
    <w:rsid w:val="0084102F"/>
    <w:rsid w:val="008439C7"/>
    <w:rsid w:val="00854A2C"/>
    <w:rsid w:val="00866DFA"/>
    <w:rsid w:val="00871BA8"/>
    <w:rsid w:val="00876530"/>
    <w:rsid w:val="008B3E53"/>
    <w:rsid w:val="008B7382"/>
    <w:rsid w:val="008D724B"/>
    <w:rsid w:val="00903C26"/>
    <w:rsid w:val="009172AA"/>
    <w:rsid w:val="00930665"/>
    <w:rsid w:val="00952621"/>
    <w:rsid w:val="00990479"/>
    <w:rsid w:val="00994DB9"/>
    <w:rsid w:val="009E16C9"/>
    <w:rsid w:val="00A02F81"/>
    <w:rsid w:val="00A1311A"/>
    <w:rsid w:val="00A20A89"/>
    <w:rsid w:val="00A32D4D"/>
    <w:rsid w:val="00A368F1"/>
    <w:rsid w:val="00A63059"/>
    <w:rsid w:val="00A7648D"/>
    <w:rsid w:val="00AC40E3"/>
    <w:rsid w:val="00AD4BAD"/>
    <w:rsid w:val="00AE06E8"/>
    <w:rsid w:val="00AF609E"/>
    <w:rsid w:val="00B0329F"/>
    <w:rsid w:val="00B11C96"/>
    <w:rsid w:val="00B1724C"/>
    <w:rsid w:val="00B361DD"/>
    <w:rsid w:val="00B454AC"/>
    <w:rsid w:val="00B50510"/>
    <w:rsid w:val="00B65002"/>
    <w:rsid w:val="00B71C38"/>
    <w:rsid w:val="00B850DF"/>
    <w:rsid w:val="00B865B2"/>
    <w:rsid w:val="00B90DAE"/>
    <w:rsid w:val="00BA50AE"/>
    <w:rsid w:val="00BD18EC"/>
    <w:rsid w:val="00BD56F1"/>
    <w:rsid w:val="00BE0C28"/>
    <w:rsid w:val="00C02D05"/>
    <w:rsid w:val="00C17C7E"/>
    <w:rsid w:val="00C37311"/>
    <w:rsid w:val="00C41D1F"/>
    <w:rsid w:val="00C67315"/>
    <w:rsid w:val="00C91343"/>
    <w:rsid w:val="00C92373"/>
    <w:rsid w:val="00CB086F"/>
    <w:rsid w:val="00D26DC6"/>
    <w:rsid w:val="00D335CE"/>
    <w:rsid w:val="00D42F6C"/>
    <w:rsid w:val="00D44B8A"/>
    <w:rsid w:val="00D549A2"/>
    <w:rsid w:val="00D63F81"/>
    <w:rsid w:val="00D767C3"/>
    <w:rsid w:val="00D8189D"/>
    <w:rsid w:val="00DB09E4"/>
    <w:rsid w:val="00DE6393"/>
    <w:rsid w:val="00E70BD1"/>
    <w:rsid w:val="00E72131"/>
    <w:rsid w:val="00E7383D"/>
    <w:rsid w:val="00E95080"/>
    <w:rsid w:val="00EA682A"/>
    <w:rsid w:val="00EC5DF6"/>
    <w:rsid w:val="00EE5D68"/>
    <w:rsid w:val="00EF18F4"/>
    <w:rsid w:val="00F14C7F"/>
    <w:rsid w:val="00F1602D"/>
    <w:rsid w:val="00F16779"/>
    <w:rsid w:val="00F35A79"/>
    <w:rsid w:val="00F37478"/>
    <w:rsid w:val="00F46044"/>
    <w:rsid w:val="00F4606D"/>
    <w:rsid w:val="00F54396"/>
    <w:rsid w:val="00F60D16"/>
    <w:rsid w:val="00F818FD"/>
    <w:rsid w:val="00F82D29"/>
    <w:rsid w:val="00F84571"/>
    <w:rsid w:val="00FA343A"/>
    <w:rsid w:val="00FD361A"/>
    <w:rsid w:val="00FF7223"/>
    <w:rsid w:val="0108430F"/>
    <w:rsid w:val="010E7F98"/>
    <w:rsid w:val="012148BD"/>
    <w:rsid w:val="0131147A"/>
    <w:rsid w:val="013E441D"/>
    <w:rsid w:val="014D2BD9"/>
    <w:rsid w:val="014D62B1"/>
    <w:rsid w:val="01585630"/>
    <w:rsid w:val="0160363A"/>
    <w:rsid w:val="01647366"/>
    <w:rsid w:val="0166293A"/>
    <w:rsid w:val="01695EA6"/>
    <w:rsid w:val="016F4847"/>
    <w:rsid w:val="01836615"/>
    <w:rsid w:val="01860AFD"/>
    <w:rsid w:val="01942DD7"/>
    <w:rsid w:val="019A76A3"/>
    <w:rsid w:val="01A067EA"/>
    <w:rsid w:val="01A53545"/>
    <w:rsid w:val="01B40939"/>
    <w:rsid w:val="01DB3B38"/>
    <w:rsid w:val="01E21CA6"/>
    <w:rsid w:val="01EC502C"/>
    <w:rsid w:val="01ED5E4F"/>
    <w:rsid w:val="01F41078"/>
    <w:rsid w:val="01FD328A"/>
    <w:rsid w:val="020D4612"/>
    <w:rsid w:val="0213672D"/>
    <w:rsid w:val="02165B63"/>
    <w:rsid w:val="02232B9D"/>
    <w:rsid w:val="0243574E"/>
    <w:rsid w:val="02552EA8"/>
    <w:rsid w:val="02611DCE"/>
    <w:rsid w:val="02B22BCD"/>
    <w:rsid w:val="02C16BC7"/>
    <w:rsid w:val="02CD7003"/>
    <w:rsid w:val="02D27863"/>
    <w:rsid w:val="02DA15BE"/>
    <w:rsid w:val="02E028DC"/>
    <w:rsid w:val="02E91433"/>
    <w:rsid w:val="03127926"/>
    <w:rsid w:val="03242EC5"/>
    <w:rsid w:val="032D2429"/>
    <w:rsid w:val="03440BB5"/>
    <w:rsid w:val="035A427F"/>
    <w:rsid w:val="03645A6E"/>
    <w:rsid w:val="036A70F0"/>
    <w:rsid w:val="037A2711"/>
    <w:rsid w:val="039368D6"/>
    <w:rsid w:val="03A537BA"/>
    <w:rsid w:val="03D217C8"/>
    <w:rsid w:val="03D75F0D"/>
    <w:rsid w:val="03DA4B56"/>
    <w:rsid w:val="03F3441A"/>
    <w:rsid w:val="04150A7A"/>
    <w:rsid w:val="0428006A"/>
    <w:rsid w:val="04573ACF"/>
    <w:rsid w:val="045C61BD"/>
    <w:rsid w:val="04624C2C"/>
    <w:rsid w:val="046503BB"/>
    <w:rsid w:val="0465697A"/>
    <w:rsid w:val="0479781A"/>
    <w:rsid w:val="048263A2"/>
    <w:rsid w:val="048A77DF"/>
    <w:rsid w:val="04AB6E7A"/>
    <w:rsid w:val="04BA0E1E"/>
    <w:rsid w:val="04D047F5"/>
    <w:rsid w:val="04D224E3"/>
    <w:rsid w:val="04D56DA7"/>
    <w:rsid w:val="04DB2D7D"/>
    <w:rsid w:val="04EC4814"/>
    <w:rsid w:val="04F24CCB"/>
    <w:rsid w:val="04F26EA8"/>
    <w:rsid w:val="04FB6871"/>
    <w:rsid w:val="04FE5946"/>
    <w:rsid w:val="05173AB9"/>
    <w:rsid w:val="05197D6A"/>
    <w:rsid w:val="05254F53"/>
    <w:rsid w:val="052C5B40"/>
    <w:rsid w:val="0539563E"/>
    <w:rsid w:val="0553649A"/>
    <w:rsid w:val="055E2E23"/>
    <w:rsid w:val="05600649"/>
    <w:rsid w:val="056527E9"/>
    <w:rsid w:val="057243AA"/>
    <w:rsid w:val="057B3715"/>
    <w:rsid w:val="057E310F"/>
    <w:rsid w:val="05982825"/>
    <w:rsid w:val="05AA7705"/>
    <w:rsid w:val="05AC0CB6"/>
    <w:rsid w:val="05C04882"/>
    <w:rsid w:val="05E36A93"/>
    <w:rsid w:val="05E46F4F"/>
    <w:rsid w:val="05F71277"/>
    <w:rsid w:val="06386571"/>
    <w:rsid w:val="063B28B1"/>
    <w:rsid w:val="06594D12"/>
    <w:rsid w:val="066C3EAF"/>
    <w:rsid w:val="068C3BFF"/>
    <w:rsid w:val="068D7D8F"/>
    <w:rsid w:val="06A15299"/>
    <w:rsid w:val="06A44667"/>
    <w:rsid w:val="06AE3EE7"/>
    <w:rsid w:val="06CC2431"/>
    <w:rsid w:val="06DE6F30"/>
    <w:rsid w:val="06DF5C8C"/>
    <w:rsid w:val="06E0049A"/>
    <w:rsid w:val="06E81679"/>
    <w:rsid w:val="070666DD"/>
    <w:rsid w:val="07084DBD"/>
    <w:rsid w:val="070D493E"/>
    <w:rsid w:val="071025BA"/>
    <w:rsid w:val="071C2B4C"/>
    <w:rsid w:val="07314CAB"/>
    <w:rsid w:val="074C51F8"/>
    <w:rsid w:val="074D50D6"/>
    <w:rsid w:val="07547496"/>
    <w:rsid w:val="07615EE7"/>
    <w:rsid w:val="0786499B"/>
    <w:rsid w:val="0787261E"/>
    <w:rsid w:val="078F24FA"/>
    <w:rsid w:val="0799048D"/>
    <w:rsid w:val="079C29E9"/>
    <w:rsid w:val="07CB6E78"/>
    <w:rsid w:val="07CF435D"/>
    <w:rsid w:val="07E16E8F"/>
    <w:rsid w:val="080B24F0"/>
    <w:rsid w:val="08304D86"/>
    <w:rsid w:val="08484CF4"/>
    <w:rsid w:val="0852644A"/>
    <w:rsid w:val="085813ED"/>
    <w:rsid w:val="08617534"/>
    <w:rsid w:val="08637148"/>
    <w:rsid w:val="08652B5C"/>
    <w:rsid w:val="08747A43"/>
    <w:rsid w:val="08750F8F"/>
    <w:rsid w:val="089A5577"/>
    <w:rsid w:val="08B650AB"/>
    <w:rsid w:val="08D6637E"/>
    <w:rsid w:val="08E952B6"/>
    <w:rsid w:val="08F85D9D"/>
    <w:rsid w:val="09014874"/>
    <w:rsid w:val="09175EE4"/>
    <w:rsid w:val="09266A33"/>
    <w:rsid w:val="09290572"/>
    <w:rsid w:val="092D50C3"/>
    <w:rsid w:val="09475961"/>
    <w:rsid w:val="094B0E86"/>
    <w:rsid w:val="094E4C47"/>
    <w:rsid w:val="09545FB9"/>
    <w:rsid w:val="097777D4"/>
    <w:rsid w:val="097F4FA9"/>
    <w:rsid w:val="09852F76"/>
    <w:rsid w:val="09A71585"/>
    <w:rsid w:val="09C415F6"/>
    <w:rsid w:val="09CD73F1"/>
    <w:rsid w:val="09CE75D4"/>
    <w:rsid w:val="09D02CD4"/>
    <w:rsid w:val="09F634CB"/>
    <w:rsid w:val="0A2F39A4"/>
    <w:rsid w:val="0A3351BD"/>
    <w:rsid w:val="0A3E7F6A"/>
    <w:rsid w:val="0A440982"/>
    <w:rsid w:val="0A4E59D7"/>
    <w:rsid w:val="0A5B3155"/>
    <w:rsid w:val="0A80679F"/>
    <w:rsid w:val="0A874281"/>
    <w:rsid w:val="0A900B79"/>
    <w:rsid w:val="0A9335A2"/>
    <w:rsid w:val="0A965D3E"/>
    <w:rsid w:val="0ABC1BE5"/>
    <w:rsid w:val="0AC17D51"/>
    <w:rsid w:val="0AC516E8"/>
    <w:rsid w:val="0B143D6F"/>
    <w:rsid w:val="0B193972"/>
    <w:rsid w:val="0B1940EE"/>
    <w:rsid w:val="0B1A4768"/>
    <w:rsid w:val="0B212D47"/>
    <w:rsid w:val="0B2C6A24"/>
    <w:rsid w:val="0B3203F4"/>
    <w:rsid w:val="0B337B8B"/>
    <w:rsid w:val="0B3864F3"/>
    <w:rsid w:val="0B706BC9"/>
    <w:rsid w:val="0B7B24A9"/>
    <w:rsid w:val="0B917CFC"/>
    <w:rsid w:val="0B973EC8"/>
    <w:rsid w:val="0B9A5867"/>
    <w:rsid w:val="0BC403C7"/>
    <w:rsid w:val="0BCE6EDD"/>
    <w:rsid w:val="0BCF3C2E"/>
    <w:rsid w:val="0BD43630"/>
    <w:rsid w:val="0BEA52A7"/>
    <w:rsid w:val="0BF47536"/>
    <w:rsid w:val="0BFB614E"/>
    <w:rsid w:val="0C033062"/>
    <w:rsid w:val="0C0C5248"/>
    <w:rsid w:val="0C1776BE"/>
    <w:rsid w:val="0C2153F0"/>
    <w:rsid w:val="0C215935"/>
    <w:rsid w:val="0C2A467A"/>
    <w:rsid w:val="0C321799"/>
    <w:rsid w:val="0C4553E6"/>
    <w:rsid w:val="0C495C42"/>
    <w:rsid w:val="0C641E22"/>
    <w:rsid w:val="0C964311"/>
    <w:rsid w:val="0C975B1E"/>
    <w:rsid w:val="0CA4700E"/>
    <w:rsid w:val="0CA82E5D"/>
    <w:rsid w:val="0CB50D75"/>
    <w:rsid w:val="0CBB3E64"/>
    <w:rsid w:val="0CC17F50"/>
    <w:rsid w:val="0CE45079"/>
    <w:rsid w:val="0CFA07F7"/>
    <w:rsid w:val="0D0D73B2"/>
    <w:rsid w:val="0D2648AF"/>
    <w:rsid w:val="0D3373C8"/>
    <w:rsid w:val="0D394B6D"/>
    <w:rsid w:val="0D493826"/>
    <w:rsid w:val="0D5935FA"/>
    <w:rsid w:val="0D703871"/>
    <w:rsid w:val="0D800E2A"/>
    <w:rsid w:val="0D882601"/>
    <w:rsid w:val="0D8F1EBE"/>
    <w:rsid w:val="0D9165D3"/>
    <w:rsid w:val="0D99055C"/>
    <w:rsid w:val="0DB27A20"/>
    <w:rsid w:val="0DD13AAF"/>
    <w:rsid w:val="0DD45576"/>
    <w:rsid w:val="0DDA254B"/>
    <w:rsid w:val="0DF37B54"/>
    <w:rsid w:val="0E053039"/>
    <w:rsid w:val="0E091C61"/>
    <w:rsid w:val="0E0F54AD"/>
    <w:rsid w:val="0E196E2F"/>
    <w:rsid w:val="0E3B3CE4"/>
    <w:rsid w:val="0E3D02E6"/>
    <w:rsid w:val="0E4E6A52"/>
    <w:rsid w:val="0E50487D"/>
    <w:rsid w:val="0E7F2B6B"/>
    <w:rsid w:val="0E91504B"/>
    <w:rsid w:val="0E9B1F8F"/>
    <w:rsid w:val="0EBB2072"/>
    <w:rsid w:val="0ED22AFA"/>
    <w:rsid w:val="0F0A2AF3"/>
    <w:rsid w:val="0F0A4F6C"/>
    <w:rsid w:val="0F2C1463"/>
    <w:rsid w:val="0F357C17"/>
    <w:rsid w:val="0F5E2F70"/>
    <w:rsid w:val="0F650351"/>
    <w:rsid w:val="0F6C15C3"/>
    <w:rsid w:val="0F7908EF"/>
    <w:rsid w:val="0F7D1699"/>
    <w:rsid w:val="0F873D4D"/>
    <w:rsid w:val="0FA862EC"/>
    <w:rsid w:val="0FAC3610"/>
    <w:rsid w:val="0FAF6901"/>
    <w:rsid w:val="0FAF6E2A"/>
    <w:rsid w:val="0FB54D7D"/>
    <w:rsid w:val="0FB82602"/>
    <w:rsid w:val="0FC329FE"/>
    <w:rsid w:val="0FEE1E34"/>
    <w:rsid w:val="0FEE51A0"/>
    <w:rsid w:val="100E6015"/>
    <w:rsid w:val="101019C5"/>
    <w:rsid w:val="101E1CEB"/>
    <w:rsid w:val="1028466E"/>
    <w:rsid w:val="102B0A2B"/>
    <w:rsid w:val="10326AB4"/>
    <w:rsid w:val="103F270A"/>
    <w:rsid w:val="1053101B"/>
    <w:rsid w:val="10612170"/>
    <w:rsid w:val="10625CF2"/>
    <w:rsid w:val="106D2D32"/>
    <w:rsid w:val="108414E3"/>
    <w:rsid w:val="108D7E84"/>
    <w:rsid w:val="10A7585F"/>
    <w:rsid w:val="10AF1B7A"/>
    <w:rsid w:val="10C24649"/>
    <w:rsid w:val="10CB77F4"/>
    <w:rsid w:val="10DE353E"/>
    <w:rsid w:val="10ED4763"/>
    <w:rsid w:val="10F46ACE"/>
    <w:rsid w:val="10FD6EC6"/>
    <w:rsid w:val="111B3134"/>
    <w:rsid w:val="111D7306"/>
    <w:rsid w:val="11232DEF"/>
    <w:rsid w:val="11541F4C"/>
    <w:rsid w:val="115D5DA1"/>
    <w:rsid w:val="118120DA"/>
    <w:rsid w:val="118C5316"/>
    <w:rsid w:val="118D35F9"/>
    <w:rsid w:val="11915CA6"/>
    <w:rsid w:val="11980E6E"/>
    <w:rsid w:val="119B4779"/>
    <w:rsid w:val="11A50004"/>
    <w:rsid w:val="11AA7AD5"/>
    <w:rsid w:val="11B00270"/>
    <w:rsid w:val="11B83165"/>
    <w:rsid w:val="11B96B40"/>
    <w:rsid w:val="11BA4488"/>
    <w:rsid w:val="11C7590C"/>
    <w:rsid w:val="11E70083"/>
    <w:rsid w:val="11EA77F3"/>
    <w:rsid w:val="11EE11DB"/>
    <w:rsid w:val="11F561C6"/>
    <w:rsid w:val="11F60158"/>
    <w:rsid w:val="12091360"/>
    <w:rsid w:val="120E4F2F"/>
    <w:rsid w:val="12102102"/>
    <w:rsid w:val="122C70C9"/>
    <w:rsid w:val="12327E7D"/>
    <w:rsid w:val="123B6254"/>
    <w:rsid w:val="1251529F"/>
    <w:rsid w:val="125E17CB"/>
    <w:rsid w:val="12724770"/>
    <w:rsid w:val="127672E4"/>
    <w:rsid w:val="1293198F"/>
    <w:rsid w:val="129404DA"/>
    <w:rsid w:val="12A76CF1"/>
    <w:rsid w:val="12B41A65"/>
    <w:rsid w:val="12B770DD"/>
    <w:rsid w:val="12BE712B"/>
    <w:rsid w:val="12E60178"/>
    <w:rsid w:val="12F81E92"/>
    <w:rsid w:val="13061D20"/>
    <w:rsid w:val="130729CF"/>
    <w:rsid w:val="130F2312"/>
    <w:rsid w:val="13153D30"/>
    <w:rsid w:val="13243842"/>
    <w:rsid w:val="13257292"/>
    <w:rsid w:val="132A167B"/>
    <w:rsid w:val="132E533E"/>
    <w:rsid w:val="13311D8D"/>
    <w:rsid w:val="13417D86"/>
    <w:rsid w:val="13492361"/>
    <w:rsid w:val="135309F9"/>
    <w:rsid w:val="135358EB"/>
    <w:rsid w:val="135C0ACB"/>
    <w:rsid w:val="135C4C79"/>
    <w:rsid w:val="138C2465"/>
    <w:rsid w:val="1397165D"/>
    <w:rsid w:val="139D2BFF"/>
    <w:rsid w:val="13AD6A6D"/>
    <w:rsid w:val="13B6725E"/>
    <w:rsid w:val="13D27D28"/>
    <w:rsid w:val="13D544E5"/>
    <w:rsid w:val="13F635C1"/>
    <w:rsid w:val="13FC2E06"/>
    <w:rsid w:val="14186B72"/>
    <w:rsid w:val="14602809"/>
    <w:rsid w:val="14804072"/>
    <w:rsid w:val="148A5798"/>
    <w:rsid w:val="149618B5"/>
    <w:rsid w:val="149E0CAE"/>
    <w:rsid w:val="14B42BF3"/>
    <w:rsid w:val="14C94ED9"/>
    <w:rsid w:val="14D67B51"/>
    <w:rsid w:val="14F708E6"/>
    <w:rsid w:val="15056EEB"/>
    <w:rsid w:val="150B74F4"/>
    <w:rsid w:val="1517075A"/>
    <w:rsid w:val="152C3C09"/>
    <w:rsid w:val="155444DD"/>
    <w:rsid w:val="157D063D"/>
    <w:rsid w:val="15836E6C"/>
    <w:rsid w:val="158A5D97"/>
    <w:rsid w:val="158A5E58"/>
    <w:rsid w:val="15944FF0"/>
    <w:rsid w:val="159A64C0"/>
    <w:rsid w:val="15B736D2"/>
    <w:rsid w:val="15C52811"/>
    <w:rsid w:val="15CB2033"/>
    <w:rsid w:val="15D002C8"/>
    <w:rsid w:val="15D45666"/>
    <w:rsid w:val="15E00C0F"/>
    <w:rsid w:val="15E42535"/>
    <w:rsid w:val="16045413"/>
    <w:rsid w:val="160954BD"/>
    <w:rsid w:val="16366F18"/>
    <w:rsid w:val="164872A7"/>
    <w:rsid w:val="16526111"/>
    <w:rsid w:val="165620C1"/>
    <w:rsid w:val="16685A7F"/>
    <w:rsid w:val="16685D83"/>
    <w:rsid w:val="16764681"/>
    <w:rsid w:val="168C516A"/>
    <w:rsid w:val="16931A61"/>
    <w:rsid w:val="16A11295"/>
    <w:rsid w:val="16A97F7F"/>
    <w:rsid w:val="16AC1BD5"/>
    <w:rsid w:val="16C17D6F"/>
    <w:rsid w:val="16CB503D"/>
    <w:rsid w:val="16D4548D"/>
    <w:rsid w:val="16DC183A"/>
    <w:rsid w:val="16EA4F45"/>
    <w:rsid w:val="16EA582F"/>
    <w:rsid w:val="16EC181F"/>
    <w:rsid w:val="16F77107"/>
    <w:rsid w:val="17050AA9"/>
    <w:rsid w:val="17174647"/>
    <w:rsid w:val="171C7F85"/>
    <w:rsid w:val="171D4399"/>
    <w:rsid w:val="17216D65"/>
    <w:rsid w:val="17345669"/>
    <w:rsid w:val="173F1638"/>
    <w:rsid w:val="176E371E"/>
    <w:rsid w:val="17793945"/>
    <w:rsid w:val="177B4732"/>
    <w:rsid w:val="177E65F3"/>
    <w:rsid w:val="178C2F62"/>
    <w:rsid w:val="179C2F8E"/>
    <w:rsid w:val="179F23A5"/>
    <w:rsid w:val="17AA2D86"/>
    <w:rsid w:val="17AF6EDF"/>
    <w:rsid w:val="17B16404"/>
    <w:rsid w:val="17B92C4F"/>
    <w:rsid w:val="17BF7F46"/>
    <w:rsid w:val="17CF54B0"/>
    <w:rsid w:val="17DE220E"/>
    <w:rsid w:val="17DE266A"/>
    <w:rsid w:val="17ED01E2"/>
    <w:rsid w:val="17FA3143"/>
    <w:rsid w:val="18065C85"/>
    <w:rsid w:val="182452A6"/>
    <w:rsid w:val="182A4BE4"/>
    <w:rsid w:val="184607BB"/>
    <w:rsid w:val="184F1442"/>
    <w:rsid w:val="189F11FD"/>
    <w:rsid w:val="18AB1BB4"/>
    <w:rsid w:val="18AB1D76"/>
    <w:rsid w:val="18BF0B25"/>
    <w:rsid w:val="18D646DD"/>
    <w:rsid w:val="18D771F0"/>
    <w:rsid w:val="18F25C62"/>
    <w:rsid w:val="190D44B0"/>
    <w:rsid w:val="191C3D06"/>
    <w:rsid w:val="191F6E76"/>
    <w:rsid w:val="19247025"/>
    <w:rsid w:val="193D19AB"/>
    <w:rsid w:val="19497C13"/>
    <w:rsid w:val="19573E8D"/>
    <w:rsid w:val="19576571"/>
    <w:rsid w:val="195D1500"/>
    <w:rsid w:val="19720071"/>
    <w:rsid w:val="197648C7"/>
    <w:rsid w:val="19774FFD"/>
    <w:rsid w:val="1985312E"/>
    <w:rsid w:val="198D4978"/>
    <w:rsid w:val="19A028E1"/>
    <w:rsid w:val="19A434B9"/>
    <w:rsid w:val="19A52F48"/>
    <w:rsid w:val="19A762C6"/>
    <w:rsid w:val="19AF2CDD"/>
    <w:rsid w:val="19E708CA"/>
    <w:rsid w:val="19F90EEC"/>
    <w:rsid w:val="19FA7E15"/>
    <w:rsid w:val="1A305A17"/>
    <w:rsid w:val="1A4A514F"/>
    <w:rsid w:val="1A5B3D52"/>
    <w:rsid w:val="1A6430CA"/>
    <w:rsid w:val="1A7F4B94"/>
    <w:rsid w:val="1A961C7C"/>
    <w:rsid w:val="1AAF3319"/>
    <w:rsid w:val="1ABA412B"/>
    <w:rsid w:val="1AD76B63"/>
    <w:rsid w:val="1ADA3FA8"/>
    <w:rsid w:val="1AE51970"/>
    <w:rsid w:val="1AE80E35"/>
    <w:rsid w:val="1AE8528F"/>
    <w:rsid w:val="1AFC1390"/>
    <w:rsid w:val="1B0E7210"/>
    <w:rsid w:val="1B26727A"/>
    <w:rsid w:val="1B3F297B"/>
    <w:rsid w:val="1B5539B2"/>
    <w:rsid w:val="1B561549"/>
    <w:rsid w:val="1B6A729A"/>
    <w:rsid w:val="1B7276AA"/>
    <w:rsid w:val="1B8E060F"/>
    <w:rsid w:val="1B963913"/>
    <w:rsid w:val="1B9C0B9E"/>
    <w:rsid w:val="1BA5450C"/>
    <w:rsid w:val="1BE66F8F"/>
    <w:rsid w:val="1BFA543C"/>
    <w:rsid w:val="1BFA67CE"/>
    <w:rsid w:val="1BFE07FD"/>
    <w:rsid w:val="1C074F21"/>
    <w:rsid w:val="1C144781"/>
    <w:rsid w:val="1C3038B5"/>
    <w:rsid w:val="1C465A37"/>
    <w:rsid w:val="1C5503E9"/>
    <w:rsid w:val="1C602743"/>
    <w:rsid w:val="1C6258AD"/>
    <w:rsid w:val="1C676B40"/>
    <w:rsid w:val="1C861DC2"/>
    <w:rsid w:val="1C937077"/>
    <w:rsid w:val="1C957B8D"/>
    <w:rsid w:val="1C9E1547"/>
    <w:rsid w:val="1CD938A7"/>
    <w:rsid w:val="1CDC2EFE"/>
    <w:rsid w:val="1CE90713"/>
    <w:rsid w:val="1CF64231"/>
    <w:rsid w:val="1D002DB5"/>
    <w:rsid w:val="1D10038F"/>
    <w:rsid w:val="1D3872C3"/>
    <w:rsid w:val="1D3F55A1"/>
    <w:rsid w:val="1D4C33C8"/>
    <w:rsid w:val="1D540E0F"/>
    <w:rsid w:val="1D577690"/>
    <w:rsid w:val="1D6C72C4"/>
    <w:rsid w:val="1D875FF5"/>
    <w:rsid w:val="1D903138"/>
    <w:rsid w:val="1D9067ED"/>
    <w:rsid w:val="1DB12467"/>
    <w:rsid w:val="1DE23AD0"/>
    <w:rsid w:val="1DEA6B49"/>
    <w:rsid w:val="1DF26A87"/>
    <w:rsid w:val="1DFE2F68"/>
    <w:rsid w:val="1E0851AF"/>
    <w:rsid w:val="1E0D6D2F"/>
    <w:rsid w:val="1E0E4BB9"/>
    <w:rsid w:val="1E1D4BF3"/>
    <w:rsid w:val="1E243AB9"/>
    <w:rsid w:val="1E2663A1"/>
    <w:rsid w:val="1E273388"/>
    <w:rsid w:val="1E2E2DE8"/>
    <w:rsid w:val="1E3867FF"/>
    <w:rsid w:val="1E4467EF"/>
    <w:rsid w:val="1E457903"/>
    <w:rsid w:val="1E5036B0"/>
    <w:rsid w:val="1E621FF8"/>
    <w:rsid w:val="1E6C77A2"/>
    <w:rsid w:val="1E723888"/>
    <w:rsid w:val="1E76730C"/>
    <w:rsid w:val="1E7B330D"/>
    <w:rsid w:val="1E7E6683"/>
    <w:rsid w:val="1E907D15"/>
    <w:rsid w:val="1E9412E5"/>
    <w:rsid w:val="1E980F5A"/>
    <w:rsid w:val="1EA73125"/>
    <w:rsid w:val="1EB266EE"/>
    <w:rsid w:val="1EBC3EF9"/>
    <w:rsid w:val="1EC86BF5"/>
    <w:rsid w:val="1EDD428A"/>
    <w:rsid w:val="1EE03162"/>
    <w:rsid w:val="1EEF4F36"/>
    <w:rsid w:val="1EF57931"/>
    <w:rsid w:val="1EFF6E67"/>
    <w:rsid w:val="1F0359CB"/>
    <w:rsid w:val="1F163A80"/>
    <w:rsid w:val="1F1A4F70"/>
    <w:rsid w:val="1F1D6725"/>
    <w:rsid w:val="1F494278"/>
    <w:rsid w:val="1F8C12A1"/>
    <w:rsid w:val="1FAAD9C7"/>
    <w:rsid w:val="1FB02D9B"/>
    <w:rsid w:val="1FB2406E"/>
    <w:rsid w:val="1FF40155"/>
    <w:rsid w:val="1FF904EB"/>
    <w:rsid w:val="1FFC0FA6"/>
    <w:rsid w:val="1FFC1F4F"/>
    <w:rsid w:val="20151FA0"/>
    <w:rsid w:val="201B4C05"/>
    <w:rsid w:val="201E73D9"/>
    <w:rsid w:val="20254A20"/>
    <w:rsid w:val="20312AC4"/>
    <w:rsid w:val="203A5099"/>
    <w:rsid w:val="205A6AA3"/>
    <w:rsid w:val="206C16ED"/>
    <w:rsid w:val="207F4720"/>
    <w:rsid w:val="208C7009"/>
    <w:rsid w:val="209A2DC8"/>
    <w:rsid w:val="20B24A0F"/>
    <w:rsid w:val="20B268FB"/>
    <w:rsid w:val="20B7705E"/>
    <w:rsid w:val="20BF1541"/>
    <w:rsid w:val="20C16AFA"/>
    <w:rsid w:val="20C54B39"/>
    <w:rsid w:val="20CE05B7"/>
    <w:rsid w:val="20F31F29"/>
    <w:rsid w:val="20F410C4"/>
    <w:rsid w:val="21075000"/>
    <w:rsid w:val="211C4CD8"/>
    <w:rsid w:val="21376DCA"/>
    <w:rsid w:val="214052E7"/>
    <w:rsid w:val="2165328F"/>
    <w:rsid w:val="216C6EE8"/>
    <w:rsid w:val="217829C9"/>
    <w:rsid w:val="21891550"/>
    <w:rsid w:val="219E6EA1"/>
    <w:rsid w:val="21A94A87"/>
    <w:rsid w:val="21AB316A"/>
    <w:rsid w:val="21BF28D6"/>
    <w:rsid w:val="21DE0DD2"/>
    <w:rsid w:val="21E158E0"/>
    <w:rsid w:val="220219E6"/>
    <w:rsid w:val="22132F83"/>
    <w:rsid w:val="221751C8"/>
    <w:rsid w:val="221E2413"/>
    <w:rsid w:val="222420C0"/>
    <w:rsid w:val="22310C1D"/>
    <w:rsid w:val="22336BBD"/>
    <w:rsid w:val="22442AC4"/>
    <w:rsid w:val="224721B6"/>
    <w:rsid w:val="22533875"/>
    <w:rsid w:val="22564A8E"/>
    <w:rsid w:val="22593AA5"/>
    <w:rsid w:val="225A728C"/>
    <w:rsid w:val="225D6C88"/>
    <w:rsid w:val="22653EDF"/>
    <w:rsid w:val="22884FB7"/>
    <w:rsid w:val="22980675"/>
    <w:rsid w:val="22B8409D"/>
    <w:rsid w:val="22BF5D50"/>
    <w:rsid w:val="22C353A3"/>
    <w:rsid w:val="22DF5718"/>
    <w:rsid w:val="22ED32A2"/>
    <w:rsid w:val="22F23FBA"/>
    <w:rsid w:val="23131740"/>
    <w:rsid w:val="231C1943"/>
    <w:rsid w:val="2327667F"/>
    <w:rsid w:val="23332233"/>
    <w:rsid w:val="233450EF"/>
    <w:rsid w:val="23346E93"/>
    <w:rsid w:val="234B3E78"/>
    <w:rsid w:val="235D4FC5"/>
    <w:rsid w:val="2364208B"/>
    <w:rsid w:val="238D603E"/>
    <w:rsid w:val="23932624"/>
    <w:rsid w:val="239574FF"/>
    <w:rsid w:val="2398774D"/>
    <w:rsid w:val="23A4656D"/>
    <w:rsid w:val="23B14772"/>
    <w:rsid w:val="23CD117B"/>
    <w:rsid w:val="23D55338"/>
    <w:rsid w:val="23D939C6"/>
    <w:rsid w:val="23E826E9"/>
    <w:rsid w:val="23F75BC3"/>
    <w:rsid w:val="23FD2E8A"/>
    <w:rsid w:val="24057BFE"/>
    <w:rsid w:val="24064101"/>
    <w:rsid w:val="241B62C2"/>
    <w:rsid w:val="24245B59"/>
    <w:rsid w:val="242B134E"/>
    <w:rsid w:val="24362423"/>
    <w:rsid w:val="24503E1B"/>
    <w:rsid w:val="2455299B"/>
    <w:rsid w:val="245919FA"/>
    <w:rsid w:val="24621B6A"/>
    <w:rsid w:val="247469EA"/>
    <w:rsid w:val="248E4C35"/>
    <w:rsid w:val="24973BA6"/>
    <w:rsid w:val="249D4363"/>
    <w:rsid w:val="24A225C3"/>
    <w:rsid w:val="24A6563F"/>
    <w:rsid w:val="24A80E38"/>
    <w:rsid w:val="24AD3DC9"/>
    <w:rsid w:val="24B252B7"/>
    <w:rsid w:val="24B43D1F"/>
    <w:rsid w:val="24B72693"/>
    <w:rsid w:val="24BF403A"/>
    <w:rsid w:val="24C912E5"/>
    <w:rsid w:val="24D269D3"/>
    <w:rsid w:val="24E231A6"/>
    <w:rsid w:val="24EC244A"/>
    <w:rsid w:val="24F76445"/>
    <w:rsid w:val="25056669"/>
    <w:rsid w:val="25234EC7"/>
    <w:rsid w:val="253239EE"/>
    <w:rsid w:val="25392F5B"/>
    <w:rsid w:val="25453733"/>
    <w:rsid w:val="25493EBE"/>
    <w:rsid w:val="254C26E3"/>
    <w:rsid w:val="254D5C9F"/>
    <w:rsid w:val="2550013E"/>
    <w:rsid w:val="2554191D"/>
    <w:rsid w:val="255743A7"/>
    <w:rsid w:val="25643486"/>
    <w:rsid w:val="256E0FEC"/>
    <w:rsid w:val="25740A2B"/>
    <w:rsid w:val="25824FE5"/>
    <w:rsid w:val="2592184D"/>
    <w:rsid w:val="25A26B1B"/>
    <w:rsid w:val="25A5576F"/>
    <w:rsid w:val="25B608F3"/>
    <w:rsid w:val="25D8399D"/>
    <w:rsid w:val="25E12446"/>
    <w:rsid w:val="25E36FBC"/>
    <w:rsid w:val="25E95BA1"/>
    <w:rsid w:val="266B17EB"/>
    <w:rsid w:val="266B5C7F"/>
    <w:rsid w:val="26725245"/>
    <w:rsid w:val="26772CA6"/>
    <w:rsid w:val="267D7507"/>
    <w:rsid w:val="26964085"/>
    <w:rsid w:val="269F5A0A"/>
    <w:rsid w:val="26AC5D8F"/>
    <w:rsid w:val="26BA2F06"/>
    <w:rsid w:val="26C4347A"/>
    <w:rsid w:val="26D07D0C"/>
    <w:rsid w:val="26E249BC"/>
    <w:rsid w:val="26E620D7"/>
    <w:rsid w:val="26FB4C56"/>
    <w:rsid w:val="26FD6118"/>
    <w:rsid w:val="272536C0"/>
    <w:rsid w:val="275861AE"/>
    <w:rsid w:val="27610680"/>
    <w:rsid w:val="277022D5"/>
    <w:rsid w:val="27720D50"/>
    <w:rsid w:val="2786185F"/>
    <w:rsid w:val="278E6F2E"/>
    <w:rsid w:val="27B20DDA"/>
    <w:rsid w:val="27B37E04"/>
    <w:rsid w:val="27C02B67"/>
    <w:rsid w:val="27DB337F"/>
    <w:rsid w:val="27E2235D"/>
    <w:rsid w:val="27ED237E"/>
    <w:rsid w:val="27FC6AA0"/>
    <w:rsid w:val="28000305"/>
    <w:rsid w:val="28057D94"/>
    <w:rsid w:val="280F5C56"/>
    <w:rsid w:val="283B6BC9"/>
    <w:rsid w:val="28674A4E"/>
    <w:rsid w:val="287B46B7"/>
    <w:rsid w:val="288E7071"/>
    <w:rsid w:val="28904CE3"/>
    <w:rsid w:val="289D4796"/>
    <w:rsid w:val="28AB4553"/>
    <w:rsid w:val="28AF77D8"/>
    <w:rsid w:val="28BD7F02"/>
    <w:rsid w:val="28C372C1"/>
    <w:rsid w:val="28C9311F"/>
    <w:rsid w:val="28E10B9F"/>
    <w:rsid w:val="28E619E1"/>
    <w:rsid w:val="28F765A7"/>
    <w:rsid w:val="28FD5B53"/>
    <w:rsid w:val="290C5C87"/>
    <w:rsid w:val="29145100"/>
    <w:rsid w:val="29361040"/>
    <w:rsid w:val="293C761C"/>
    <w:rsid w:val="29481839"/>
    <w:rsid w:val="294A4855"/>
    <w:rsid w:val="29660D1B"/>
    <w:rsid w:val="29693194"/>
    <w:rsid w:val="29704247"/>
    <w:rsid w:val="29934038"/>
    <w:rsid w:val="29A736D1"/>
    <w:rsid w:val="29BD37ED"/>
    <w:rsid w:val="29BF27EC"/>
    <w:rsid w:val="29BF70C4"/>
    <w:rsid w:val="29C0339F"/>
    <w:rsid w:val="29C353FB"/>
    <w:rsid w:val="29C90A82"/>
    <w:rsid w:val="29C9138E"/>
    <w:rsid w:val="29D57001"/>
    <w:rsid w:val="29E11F18"/>
    <w:rsid w:val="29E21D47"/>
    <w:rsid w:val="29F375D5"/>
    <w:rsid w:val="29FC68E1"/>
    <w:rsid w:val="2A070629"/>
    <w:rsid w:val="2A2C4B7C"/>
    <w:rsid w:val="2A3176FC"/>
    <w:rsid w:val="2A463F02"/>
    <w:rsid w:val="2A4D10AC"/>
    <w:rsid w:val="2A4E3DBB"/>
    <w:rsid w:val="2A8120A7"/>
    <w:rsid w:val="2A844266"/>
    <w:rsid w:val="2A8E7F92"/>
    <w:rsid w:val="2A90669B"/>
    <w:rsid w:val="2AB04F8A"/>
    <w:rsid w:val="2AC94053"/>
    <w:rsid w:val="2ACA5F04"/>
    <w:rsid w:val="2ADC0F32"/>
    <w:rsid w:val="2AE0334F"/>
    <w:rsid w:val="2AF05EF0"/>
    <w:rsid w:val="2AF97B72"/>
    <w:rsid w:val="2B0702B1"/>
    <w:rsid w:val="2B0B53B5"/>
    <w:rsid w:val="2B37785C"/>
    <w:rsid w:val="2B546068"/>
    <w:rsid w:val="2B5B17EE"/>
    <w:rsid w:val="2B5E6AAE"/>
    <w:rsid w:val="2B63576E"/>
    <w:rsid w:val="2B661199"/>
    <w:rsid w:val="2B6B7BAB"/>
    <w:rsid w:val="2B6E09E8"/>
    <w:rsid w:val="2B7602A1"/>
    <w:rsid w:val="2B7E1338"/>
    <w:rsid w:val="2B827B8C"/>
    <w:rsid w:val="2B844140"/>
    <w:rsid w:val="2B8C231D"/>
    <w:rsid w:val="2BA65CC2"/>
    <w:rsid w:val="2BA901B7"/>
    <w:rsid w:val="2BCC3B11"/>
    <w:rsid w:val="2BD27EB6"/>
    <w:rsid w:val="2BEC2B5B"/>
    <w:rsid w:val="2C2B2A52"/>
    <w:rsid w:val="2C372E2B"/>
    <w:rsid w:val="2C3F091D"/>
    <w:rsid w:val="2C4159E2"/>
    <w:rsid w:val="2C506B0C"/>
    <w:rsid w:val="2C51186F"/>
    <w:rsid w:val="2C562504"/>
    <w:rsid w:val="2C6D21A5"/>
    <w:rsid w:val="2C790BB9"/>
    <w:rsid w:val="2C8E3EAE"/>
    <w:rsid w:val="2C8E4275"/>
    <w:rsid w:val="2C907C4F"/>
    <w:rsid w:val="2C9334F3"/>
    <w:rsid w:val="2C984FD0"/>
    <w:rsid w:val="2C993182"/>
    <w:rsid w:val="2CAF0BD2"/>
    <w:rsid w:val="2CB95153"/>
    <w:rsid w:val="2CC6085B"/>
    <w:rsid w:val="2CC87B19"/>
    <w:rsid w:val="2CD15D36"/>
    <w:rsid w:val="2CEB44A1"/>
    <w:rsid w:val="2CEF4EDF"/>
    <w:rsid w:val="2D0A7217"/>
    <w:rsid w:val="2D200763"/>
    <w:rsid w:val="2D31726F"/>
    <w:rsid w:val="2D330245"/>
    <w:rsid w:val="2D4E6D97"/>
    <w:rsid w:val="2D5C24A0"/>
    <w:rsid w:val="2D610595"/>
    <w:rsid w:val="2D8D0939"/>
    <w:rsid w:val="2D9F72DA"/>
    <w:rsid w:val="2DB56BF3"/>
    <w:rsid w:val="2DB73BFD"/>
    <w:rsid w:val="2DBA1F22"/>
    <w:rsid w:val="2DD315F4"/>
    <w:rsid w:val="2DDB3526"/>
    <w:rsid w:val="2DDD00D3"/>
    <w:rsid w:val="2DE1239A"/>
    <w:rsid w:val="2E093DB9"/>
    <w:rsid w:val="2E270D0B"/>
    <w:rsid w:val="2E6263BF"/>
    <w:rsid w:val="2E673547"/>
    <w:rsid w:val="2E7B5D36"/>
    <w:rsid w:val="2E951291"/>
    <w:rsid w:val="2EAC3B14"/>
    <w:rsid w:val="2EAE4D0B"/>
    <w:rsid w:val="2EB041F0"/>
    <w:rsid w:val="2EB40201"/>
    <w:rsid w:val="2EBB2B8D"/>
    <w:rsid w:val="2EBC5317"/>
    <w:rsid w:val="2EC830C6"/>
    <w:rsid w:val="2EC94C43"/>
    <w:rsid w:val="2F010BB8"/>
    <w:rsid w:val="2F057E79"/>
    <w:rsid w:val="2F085568"/>
    <w:rsid w:val="2F0A1798"/>
    <w:rsid w:val="2F133B87"/>
    <w:rsid w:val="2F2217EA"/>
    <w:rsid w:val="2F41364E"/>
    <w:rsid w:val="2F486105"/>
    <w:rsid w:val="2F4866B3"/>
    <w:rsid w:val="2F9135DC"/>
    <w:rsid w:val="2F9F7D2D"/>
    <w:rsid w:val="2FA4433B"/>
    <w:rsid w:val="2FC61158"/>
    <w:rsid w:val="2FC665D2"/>
    <w:rsid w:val="2FC819C8"/>
    <w:rsid w:val="2FD14CB8"/>
    <w:rsid w:val="2FD34514"/>
    <w:rsid w:val="2FF97D7A"/>
    <w:rsid w:val="2FFB10E4"/>
    <w:rsid w:val="3008607E"/>
    <w:rsid w:val="301B67CD"/>
    <w:rsid w:val="301B6969"/>
    <w:rsid w:val="30316498"/>
    <w:rsid w:val="303475F4"/>
    <w:rsid w:val="3041534B"/>
    <w:rsid w:val="304C0911"/>
    <w:rsid w:val="304F21CC"/>
    <w:rsid w:val="30590D3B"/>
    <w:rsid w:val="3064585E"/>
    <w:rsid w:val="30647B5E"/>
    <w:rsid w:val="30667FF9"/>
    <w:rsid w:val="30681E71"/>
    <w:rsid w:val="3069425D"/>
    <w:rsid w:val="30785582"/>
    <w:rsid w:val="307B7F15"/>
    <w:rsid w:val="30981155"/>
    <w:rsid w:val="30A55B1F"/>
    <w:rsid w:val="30A63C9F"/>
    <w:rsid w:val="30D32C76"/>
    <w:rsid w:val="30D505CF"/>
    <w:rsid w:val="30E24277"/>
    <w:rsid w:val="30ED009C"/>
    <w:rsid w:val="311602EB"/>
    <w:rsid w:val="31167C00"/>
    <w:rsid w:val="313D328C"/>
    <w:rsid w:val="31466937"/>
    <w:rsid w:val="314D3C34"/>
    <w:rsid w:val="31514A65"/>
    <w:rsid w:val="31515D33"/>
    <w:rsid w:val="316F7E8B"/>
    <w:rsid w:val="317572F3"/>
    <w:rsid w:val="31772FD6"/>
    <w:rsid w:val="31A407D9"/>
    <w:rsid w:val="31BF2B95"/>
    <w:rsid w:val="31EC1FD1"/>
    <w:rsid w:val="31EE0EC6"/>
    <w:rsid w:val="32370030"/>
    <w:rsid w:val="324A5F3C"/>
    <w:rsid w:val="324D5958"/>
    <w:rsid w:val="32526D94"/>
    <w:rsid w:val="32585D68"/>
    <w:rsid w:val="3268116C"/>
    <w:rsid w:val="327074B2"/>
    <w:rsid w:val="32727A94"/>
    <w:rsid w:val="32734597"/>
    <w:rsid w:val="327B1ADA"/>
    <w:rsid w:val="32872A77"/>
    <w:rsid w:val="329403C2"/>
    <w:rsid w:val="32C51904"/>
    <w:rsid w:val="32CC694B"/>
    <w:rsid w:val="32D014CA"/>
    <w:rsid w:val="32EA4CE1"/>
    <w:rsid w:val="32F36A76"/>
    <w:rsid w:val="32FD7E57"/>
    <w:rsid w:val="330034E9"/>
    <w:rsid w:val="33057AA5"/>
    <w:rsid w:val="331F39BD"/>
    <w:rsid w:val="334B76EF"/>
    <w:rsid w:val="33502D5F"/>
    <w:rsid w:val="3361614F"/>
    <w:rsid w:val="33643EAD"/>
    <w:rsid w:val="337033CB"/>
    <w:rsid w:val="337309C8"/>
    <w:rsid w:val="33942798"/>
    <w:rsid w:val="339432D2"/>
    <w:rsid w:val="33974F2B"/>
    <w:rsid w:val="339B30A0"/>
    <w:rsid w:val="339F4B19"/>
    <w:rsid w:val="339F694E"/>
    <w:rsid w:val="33A8793A"/>
    <w:rsid w:val="33AB1A66"/>
    <w:rsid w:val="33C612F2"/>
    <w:rsid w:val="33CA683B"/>
    <w:rsid w:val="33CF6069"/>
    <w:rsid w:val="33D2201F"/>
    <w:rsid w:val="33E36DC4"/>
    <w:rsid w:val="33E96B65"/>
    <w:rsid w:val="33EF4BB2"/>
    <w:rsid w:val="340C58E7"/>
    <w:rsid w:val="34104C84"/>
    <w:rsid w:val="34184ACA"/>
    <w:rsid w:val="34257C99"/>
    <w:rsid w:val="34275B9A"/>
    <w:rsid w:val="343B0970"/>
    <w:rsid w:val="344C0B60"/>
    <w:rsid w:val="34557999"/>
    <w:rsid w:val="345870D4"/>
    <w:rsid w:val="346E551C"/>
    <w:rsid w:val="34814822"/>
    <w:rsid w:val="34A72154"/>
    <w:rsid w:val="34AF6A34"/>
    <w:rsid w:val="34B01763"/>
    <w:rsid w:val="34BEED5E"/>
    <w:rsid w:val="34CA1DAD"/>
    <w:rsid w:val="34CB155F"/>
    <w:rsid w:val="34D3337B"/>
    <w:rsid w:val="34EB586C"/>
    <w:rsid w:val="34F23B6A"/>
    <w:rsid w:val="34FC6F8F"/>
    <w:rsid w:val="351062BC"/>
    <w:rsid w:val="352653E2"/>
    <w:rsid w:val="352F15AB"/>
    <w:rsid w:val="353F2454"/>
    <w:rsid w:val="35514EB3"/>
    <w:rsid w:val="35523EE0"/>
    <w:rsid w:val="35615CC5"/>
    <w:rsid w:val="35642131"/>
    <w:rsid w:val="357952FE"/>
    <w:rsid w:val="357F4078"/>
    <w:rsid w:val="35803C0A"/>
    <w:rsid w:val="3582349C"/>
    <w:rsid w:val="359942AF"/>
    <w:rsid w:val="35AC7AA1"/>
    <w:rsid w:val="35AD7A29"/>
    <w:rsid w:val="35B734A5"/>
    <w:rsid w:val="35D33E3F"/>
    <w:rsid w:val="35D809A0"/>
    <w:rsid w:val="35D83983"/>
    <w:rsid w:val="35F26DCD"/>
    <w:rsid w:val="35F400F3"/>
    <w:rsid w:val="35F971D0"/>
    <w:rsid w:val="36386B97"/>
    <w:rsid w:val="36452E3B"/>
    <w:rsid w:val="365B1DEB"/>
    <w:rsid w:val="36620A41"/>
    <w:rsid w:val="366A0AFF"/>
    <w:rsid w:val="366C3E47"/>
    <w:rsid w:val="368059F1"/>
    <w:rsid w:val="36867848"/>
    <w:rsid w:val="36884D25"/>
    <w:rsid w:val="369B1540"/>
    <w:rsid w:val="369D3281"/>
    <w:rsid w:val="36A51D34"/>
    <w:rsid w:val="36A82FBF"/>
    <w:rsid w:val="36B67710"/>
    <w:rsid w:val="36CF6124"/>
    <w:rsid w:val="36D2228A"/>
    <w:rsid w:val="36DD7F76"/>
    <w:rsid w:val="36EC6D98"/>
    <w:rsid w:val="36EF0989"/>
    <w:rsid w:val="36F97159"/>
    <w:rsid w:val="36FF1C7B"/>
    <w:rsid w:val="3711235C"/>
    <w:rsid w:val="37133014"/>
    <w:rsid w:val="371B61CB"/>
    <w:rsid w:val="371E12B2"/>
    <w:rsid w:val="37254E2D"/>
    <w:rsid w:val="372A5C05"/>
    <w:rsid w:val="37334E4E"/>
    <w:rsid w:val="373F2C7E"/>
    <w:rsid w:val="3741376B"/>
    <w:rsid w:val="374371CC"/>
    <w:rsid w:val="374D2B9C"/>
    <w:rsid w:val="37554868"/>
    <w:rsid w:val="37563D55"/>
    <w:rsid w:val="37576FE1"/>
    <w:rsid w:val="375A5951"/>
    <w:rsid w:val="375F356C"/>
    <w:rsid w:val="376F27B9"/>
    <w:rsid w:val="37944995"/>
    <w:rsid w:val="37990B37"/>
    <w:rsid w:val="37B0274B"/>
    <w:rsid w:val="37BA607D"/>
    <w:rsid w:val="37D217FA"/>
    <w:rsid w:val="37D31AFA"/>
    <w:rsid w:val="37DB1C05"/>
    <w:rsid w:val="38125C69"/>
    <w:rsid w:val="38276CB1"/>
    <w:rsid w:val="383B756C"/>
    <w:rsid w:val="384418B6"/>
    <w:rsid w:val="384D39CF"/>
    <w:rsid w:val="385C30DC"/>
    <w:rsid w:val="38680C41"/>
    <w:rsid w:val="38744B8C"/>
    <w:rsid w:val="38745653"/>
    <w:rsid w:val="388516EE"/>
    <w:rsid w:val="388C66AC"/>
    <w:rsid w:val="389B0876"/>
    <w:rsid w:val="38A61758"/>
    <w:rsid w:val="38B07515"/>
    <w:rsid w:val="38EA5506"/>
    <w:rsid w:val="38F25FD6"/>
    <w:rsid w:val="390670EC"/>
    <w:rsid w:val="392D3B7A"/>
    <w:rsid w:val="39374938"/>
    <w:rsid w:val="393E7CB5"/>
    <w:rsid w:val="395636BA"/>
    <w:rsid w:val="39581292"/>
    <w:rsid w:val="396748FF"/>
    <w:rsid w:val="3975111F"/>
    <w:rsid w:val="39782E81"/>
    <w:rsid w:val="398E457B"/>
    <w:rsid w:val="39A05502"/>
    <w:rsid w:val="39A96116"/>
    <w:rsid w:val="39B43314"/>
    <w:rsid w:val="39CE4D45"/>
    <w:rsid w:val="39D63797"/>
    <w:rsid w:val="39D64D0B"/>
    <w:rsid w:val="39E076BB"/>
    <w:rsid w:val="39ED28F2"/>
    <w:rsid w:val="39F72BCD"/>
    <w:rsid w:val="39FB5E7B"/>
    <w:rsid w:val="3A0C0FD0"/>
    <w:rsid w:val="3A3D3178"/>
    <w:rsid w:val="3A40170A"/>
    <w:rsid w:val="3A441E5D"/>
    <w:rsid w:val="3A454748"/>
    <w:rsid w:val="3A475B06"/>
    <w:rsid w:val="3A490963"/>
    <w:rsid w:val="3A4A7046"/>
    <w:rsid w:val="3A5571D3"/>
    <w:rsid w:val="3A5E1716"/>
    <w:rsid w:val="3A5E5E0B"/>
    <w:rsid w:val="3A6074D5"/>
    <w:rsid w:val="3A613D17"/>
    <w:rsid w:val="3A615255"/>
    <w:rsid w:val="3A733271"/>
    <w:rsid w:val="3A8476E7"/>
    <w:rsid w:val="3A9247C2"/>
    <w:rsid w:val="3AA23D1B"/>
    <w:rsid w:val="3AAB1005"/>
    <w:rsid w:val="3AC7705D"/>
    <w:rsid w:val="3ACA0C1E"/>
    <w:rsid w:val="3AF325EF"/>
    <w:rsid w:val="3AF65888"/>
    <w:rsid w:val="3B03083F"/>
    <w:rsid w:val="3B1678C1"/>
    <w:rsid w:val="3B1948E2"/>
    <w:rsid w:val="3B3073EC"/>
    <w:rsid w:val="3B3A117B"/>
    <w:rsid w:val="3B3C4EFD"/>
    <w:rsid w:val="3B3E1D00"/>
    <w:rsid w:val="3B4C45C9"/>
    <w:rsid w:val="3B5B090D"/>
    <w:rsid w:val="3B5B71CE"/>
    <w:rsid w:val="3B5C4813"/>
    <w:rsid w:val="3B71753E"/>
    <w:rsid w:val="3B9133E1"/>
    <w:rsid w:val="3B9F447D"/>
    <w:rsid w:val="3BA961C2"/>
    <w:rsid w:val="3BB41808"/>
    <w:rsid w:val="3BBD44AE"/>
    <w:rsid w:val="3BBE4CC1"/>
    <w:rsid w:val="3BC259B9"/>
    <w:rsid w:val="3BDC4156"/>
    <w:rsid w:val="3BDD0DCA"/>
    <w:rsid w:val="3BEC57B7"/>
    <w:rsid w:val="3BF20D16"/>
    <w:rsid w:val="3BF67024"/>
    <w:rsid w:val="3BFD4DB3"/>
    <w:rsid w:val="3C135F1D"/>
    <w:rsid w:val="3C196719"/>
    <w:rsid w:val="3C2201FC"/>
    <w:rsid w:val="3C46772A"/>
    <w:rsid w:val="3C4B4638"/>
    <w:rsid w:val="3C4F6820"/>
    <w:rsid w:val="3C501C67"/>
    <w:rsid w:val="3C8B13FE"/>
    <w:rsid w:val="3CB90E8C"/>
    <w:rsid w:val="3CC47D05"/>
    <w:rsid w:val="3CD92182"/>
    <w:rsid w:val="3CD96976"/>
    <w:rsid w:val="3CFA2987"/>
    <w:rsid w:val="3D1F5C7C"/>
    <w:rsid w:val="3D4E487A"/>
    <w:rsid w:val="3D511336"/>
    <w:rsid w:val="3D7C64E5"/>
    <w:rsid w:val="3D7F2CF7"/>
    <w:rsid w:val="3D850086"/>
    <w:rsid w:val="3D965802"/>
    <w:rsid w:val="3DF5584B"/>
    <w:rsid w:val="3DF91A82"/>
    <w:rsid w:val="3DFD5238"/>
    <w:rsid w:val="3E05329D"/>
    <w:rsid w:val="3E0855FB"/>
    <w:rsid w:val="3E117571"/>
    <w:rsid w:val="3E230C7E"/>
    <w:rsid w:val="3E453A2A"/>
    <w:rsid w:val="3E5C40FA"/>
    <w:rsid w:val="3E5E2758"/>
    <w:rsid w:val="3E717197"/>
    <w:rsid w:val="3E981519"/>
    <w:rsid w:val="3EAF5F02"/>
    <w:rsid w:val="3EBC3D87"/>
    <w:rsid w:val="3EC254CF"/>
    <w:rsid w:val="3ECA6DB1"/>
    <w:rsid w:val="3EEB76F1"/>
    <w:rsid w:val="3F0608E0"/>
    <w:rsid w:val="3F0C5DD6"/>
    <w:rsid w:val="3F1D39A4"/>
    <w:rsid w:val="3F235D74"/>
    <w:rsid w:val="3F2B7F5E"/>
    <w:rsid w:val="3F3F089E"/>
    <w:rsid w:val="3F4A194D"/>
    <w:rsid w:val="3F4A3046"/>
    <w:rsid w:val="3F4C79D9"/>
    <w:rsid w:val="3F5241F3"/>
    <w:rsid w:val="3F5975EF"/>
    <w:rsid w:val="3F6708AA"/>
    <w:rsid w:val="3F6B206F"/>
    <w:rsid w:val="3F7168F0"/>
    <w:rsid w:val="3F79629B"/>
    <w:rsid w:val="3F8007EC"/>
    <w:rsid w:val="3F8F6148"/>
    <w:rsid w:val="3F97236A"/>
    <w:rsid w:val="3F9E1ACF"/>
    <w:rsid w:val="3FB81ACF"/>
    <w:rsid w:val="3FC64C15"/>
    <w:rsid w:val="3FE057B7"/>
    <w:rsid w:val="3FE958C9"/>
    <w:rsid w:val="3FF20F76"/>
    <w:rsid w:val="40071C72"/>
    <w:rsid w:val="40157769"/>
    <w:rsid w:val="40397697"/>
    <w:rsid w:val="403B3A2D"/>
    <w:rsid w:val="40434A18"/>
    <w:rsid w:val="40460B36"/>
    <w:rsid w:val="405C41A7"/>
    <w:rsid w:val="405D1A77"/>
    <w:rsid w:val="40973214"/>
    <w:rsid w:val="40A3115B"/>
    <w:rsid w:val="40C1020C"/>
    <w:rsid w:val="40C13B7D"/>
    <w:rsid w:val="40CE551F"/>
    <w:rsid w:val="40D35D3D"/>
    <w:rsid w:val="40D84176"/>
    <w:rsid w:val="40DA7A28"/>
    <w:rsid w:val="413B62C8"/>
    <w:rsid w:val="414728C3"/>
    <w:rsid w:val="414C090C"/>
    <w:rsid w:val="41507749"/>
    <w:rsid w:val="41570C5C"/>
    <w:rsid w:val="41604E63"/>
    <w:rsid w:val="4162149D"/>
    <w:rsid w:val="416713CF"/>
    <w:rsid w:val="41675020"/>
    <w:rsid w:val="4171455B"/>
    <w:rsid w:val="418A046C"/>
    <w:rsid w:val="41902CEE"/>
    <w:rsid w:val="41947021"/>
    <w:rsid w:val="41A914FC"/>
    <w:rsid w:val="41AA40D9"/>
    <w:rsid w:val="41CD534F"/>
    <w:rsid w:val="41D37F49"/>
    <w:rsid w:val="41EA53DF"/>
    <w:rsid w:val="420F4816"/>
    <w:rsid w:val="4210609D"/>
    <w:rsid w:val="42185082"/>
    <w:rsid w:val="42240E4F"/>
    <w:rsid w:val="422F7452"/>
    <w:rsid w:val="423A2DBB"/>
    <w:rsid w:val="425B6104"/>
    <w:rsid w:val="42771BDF"/>
    <w:rsid w:val="427C4302"/>
    <w:rsid w:val="42853D78"/>
    <w:rsid w:val="42BB221E"/>
    <w:rsid w:val="42C6780A"/>
    <w:rsid w:val="42D51998"/>
    <w:rsid w:val="42E314B4"/>
    <w:rsid w:val="42F37D6F"/>
    <w:rsid w:val="430C1C0B"/>
    <w:rsid w:val="431771C5"/>
    <w:rsid w:val="431C1B20"/>
    <w:rsid w:val="433C3C19"/>
    <w:rsid w:val="43411632"/>
    <w:rsid w:val="43474BC6"/>
    <w:rsid w:val="43503A4E"/>
    <w:rsid w:val="43507C76"/>
    <w:rsid w:val="4361091C"/>
    <w:rsid w:val="43613680"/>
    <w:rsid w:val="436F1132"/>
    <w:rsid w:val="437039F3"/>
    <w:rsid w:val="437339F1"/>
    <w:rsid w:val="43750FD2"/>
    <w:rsid w:val="438D7152"/>
    <w:rsid w:val="4391481C"/>
    <w:rsid w:val="439B4893"/>
    <w:rsid w:val="439E1805"/>
    <w:rsid w:val="43A329B9"/>
    <w:rsid w:val="43AB0952"/>
    <w:rsid w:val="43AC2D32"/>
    <w:rsid w:val="43B769ED"/>
    <w:rsid w:val="43D275CC"/>
    <w:rsid w:val="43E279A3"/>
    <w:rsid w:val="43E86339"/>
    <w:rsid w:val="43EF5CD5"/>
    <w:rsid w:val="43FA4F70"/>
    <w:rsid w:val="43FB2E7B"/>
    <w:rsid w:val="43FD4846"/>
    <w:rsid w:val="44033DFF"/>
    <w:rsid w:val="44043DB9"/>
    <w:rsid w:val="44172755"/>
    <w:rsid w:val="441E5AB9"/>
    <w:rsid w:val="44236624"/>
    <w:rsid w:val="443A13B1"/>
    <w:rsid w:val="44427EE1"/>
    <w:rsid w:val="444A5019"/>
    <w:rsid w:val="4461445E"/>
    <w:rsid w:val="44673D7D"/>
    <w:rsid w:val="44863FBF"/>
    <w:rsid w:val="449D505A"/>
    <w:rsid w:val="44A3372B"/>
    <w:rsid w:val="44A54918"/>
    <w:rsid w:val="44AD3D07"/>
    <w:rsid w:val="44AF4744"/>
    <w:rsid w:val="44B91C75"/>
    <w:rsid w:val="44C207D4"/>
    <w:rsid w:val="44C31099"/>
    <w:rsid w:val="450D7972"/>
    <w:rsid w:val="45255226"/>
    <w:rsid w:val="45330DC7"/>
    <w:rsid w:val="454238C1"/>
    <w:rsid w:val="454766CF"/>
    <w:rsid w:val="45510F60"/>
    <w:rsid w:val="4564584B"/>
    <w:rsid w:val="457701CA"/>
    <w:rsid w:val="457C52B9"/>
    <w:rsid w:val="45884C72"/>
    <w:rsid w:val="459446F3"/>
    <w:rsid w:val="45B140E3"/>
    <w:rsid w:val="45D15DAA"/>
    <w:rsid w:val="45E26ED6"/>
    <w:rsid w:val="45E71BF2"/>
    <w:rsid w:val="45EE4475"/>
    <w:rsid w:val="45FA151C"/>
    <w:rsid w:val="460253D9"/>
    <w:rsid w:val="460A4881"/>
    <w:rsid w:val="460D2A85"/>
    <w:rsid w:val="46123749"/>
    <w:rsid w:val="465169CC"/>
    <w:rsid w:val="465E3630"/>
    <w:rsid w:val="46641A41"/>
    <w:rsid w:val="468855DE"/>
    <w:rsid w:val="46946860"/>
    <w:rsid w:val="46B25A1B"/>
    <w:rsid w:val="46B92313"/>
    <w:rsid w:val="46C214B6"/>
    <w:rsid w:val="46CD7590"/>
    <w:rsid w:val="46D70238"/>
    <w:rsid w:val="46DD49B4"/>
    <w:rsid w:val="46FB3F97"/>
    <w:rsid w:val="46FC6C7E"/>
    <w:rsid w:val="46FE0F61"/>
    <w:rsid w:val="470B04CA"/>
    <w:rsid w:val="47194FDE"/>
    <w:rsid w:val="47234345"/>
    <w:rsid w:val="47240616"/>
    <w:rsid w:val="473D1582"/>
    <w:rsid w:val="47420ED6"/>
    <w:rsid w:val="474353A3"/>
    <w:rsid w:val="47576317"/>
    <w:rsid w:val="476152FD"/>
    <w:rsid w:val="47646E6B"/>
    <w:rsid w:val="47804C22"/>
    <w:rsid w:val="47981DE9"/>
    <w:rsid w:val="47AF7C40"/>
    <w:rsid w:val="47C01CEB"/>
    <w:rsid w:val="47C059CA"/>
    <w:rsid w:val="47DF7370"/>
    <w:rsid w:val="47EF1BCB"/>
    <w:rsid w:val="48020248"/>
    <w:rsid w:val="48026C6E"/>
    <w:rsid w:val="481B1176"/>
    <w:rsid w:val="482153A5"/>
    <w:rsid w:val="48340881"/>
    <w:rsid w:val="483E14C5"/>
    <w:rsid w:val="48402D41"/>
    <w:rsid w:val="4840443B"/>
    <w:rsid w:val="485667F4"/>
    <w:rsid w:val="485B46A9"/>
    <w:rsid w:val="487877F8"/>
    <w:rsid w:val="48866F23"/>
    <w:rsid w:val="48C2209B"/>
    <w:rsid w:val="48D06BCC"/>
    <w:rsid w:val="48D22415"/>
    <w:rsid w:val="48D33433"/>
    <w:rsid w:val="48DB7A98"/>
    <w:rsid w:val="48F60B9A"/>
    <w:rsid w:val="49084EE0"/>
    <w:rsid w:val="490F1023"/>
    <w:rsid w:val="492B1312"/>
    <w:rsid w:val="493464EE"/>
    <w:rsid w:val="493533EF"/>
    <w:rsid w:val="493E6301"/>
    <w:rsid w:val="494574C4"/>
    <w:rsid w:val="49466583"/>
    <w:rsid w:val="495C40D8"/>
    <w:rsid w:val="495E0A88"/>
    <w:rsid w:val="49636F15"/>
    <w:rsid w:val="49680A21"/>
    <w:rsid w:val="49881980"/>
    <w:rsid w:val="4991180C"/>
    <w:rsid w:val="499C12C5"/>
    <w:rsid w:val="499F7DA8"/>
    <w:rsid w:val="49B21209"/>
    <w:rsid w:val="49B334D9"/>
    <w:rsid w:val="49CB174F"/>
    <w:rsid w:val="49D61DC8"/>
    <w:rsid w:val="49DB00F7"/>
    <w:rsid w:val="49E155CF"/>
    <w:rsid w:val="49EFF4C0"/>
    <w:rsid w:val="49F05F4D"/>
    <w:rsid w:val="49F1734D"/>
    <w:rsid w:val="4A017AF4"/>
    <w:rsid w:val="4A0B69F8"/>
    <w:rsid w:val="4A306B2B"/>
    <w:rsid w:val="4A3E1DE5"/>
    <w:rsid w:val="4A5F108A"/>
    <w:rsid w:val="4A7C4FC1"/>
    <w:rsid w:val="4A8771E3"/>
    <w:rsid w:val="4A8E27A3"/>
    <w:rsid w:val="4A8F47C6"/>
    <w:rsid w:val="4ABE1C45"/>
    <w:rsid w:val="4ACF4138"/>
    <w:rsid w:val="4AD768AD"/>
    <w:rsid w:val="4AE95E16"/>
    <w:rsid w:val="4AF50F41"/>
    <w:rsid w:val="4B0105D3"/>
    <w:rsid w:val="4B0740A4"/>
    <w:rsid w:val="4B0D50CB"/>
    <w:rsid w:val="4B1C79A6"/>
    <w:rsid w:val="4B27033F"/>
    <w:rsid w:val="4B343404"/>
    <w:rsid w:val="4B447689"/>
    <w:rsid w:val="4B5843A8"/>
    <w:rsid w:val="4B5B14D2"/>
    <w:rsid w:val="4B803B74"/>
    <w:rsid w:val="4B840DAF"/>
    <w:rsid w:val="4B91303F"/>
    <w:rsid w:val="4BAF1EAD"/>
    <w:rsid w:val="4BBE269F"/>
    <w:rsid w:val="4BC1330C"/>
    <w:rsid w:val="4BC72F4A"/>
    <w:rsid w:val="4BCB2C01"/>
    <w:rsid w:val="4BD50557"/>
    <w:rsid w:val="4BE45FD6"/>
    <w:rsid w:val="4BF8150D"/>
    <w:rsid w:val="4BFA4ECE"/>
    <w:rsid w:val="4C05707B"/>
    <w:rsid w:val="4C1815E1"/>
    <w:rsid w:val="4C382BDA"/>
    <w:rsid w:val="4C422A48"/>
    <w:rsid w:val="4C6024B3"/>
    <w:rsid w:val="4C6E403C"/>
    <w:rsid w:val="4C9B6D61"/>
    <w:rsid w:val="4CAA31B2"/>
    <w:rsid w:val="4CAD6351"/>
    <w:rsid w:val="4CCB792D"/>
    <w:rsid w:val="4CD27AD2"/>
    <w:rsid w:val="4CDD7002"/>
    <w:rsid w:val="4CE43AA4"/>
    <w:rsid w:val="4CE64779"/>
    <w:rsid w:val="4CED7329"/>
    <w:rsid w:val="4CF268C9"/>
    <w:rsid w:val="4D002B50"/>
    <w:rsid w:val="4D1226E9"/>
    <w:rsid w:val="4D1E56AC"/>
    <w:rsid w:val="4D3054FE"/>
    <w:rsid w:val="4D351EB0"/>
    <w:rsid w:val="4D473A84"/>
    <w:rsid w:val="4D542024"/>
    <w:rsid w:val="4D6048DF"/>
    <w:rsid w:val="4D6959AE"/>
    <w:rsid w:val="4D7065F1"/>
    <w:rsid w:val="4D715DF1"/>
    <w:rsid w:val="4D7467CB"/>
    <w:rsid w:val="4D764D6D"/>
    <w:rsid w:val="4D962035"/>
    <w:rsid w:val="4D9E4ADC"/>
    <w:rsid w:val="4DB94D5A"/>
    <w:rsid w:val="4DB950B9"/>
    <w:rsid w:val="4DBA3D31"/>
    <w:rsid w:val="4DCE3D19"/>
    <w:rsid w:val="4DD27B59"/>
    <w:rsid w:val="4DF92190"/>
    <w:rsid w:val="4DF94C4A"/>
    <w:rsid w:val="4E0062DC"/>
    <w:rsid w:val="4E185175"/>
    <w:rsid w:val="4E234700"/>
    <w:rsid w:val="4E295156"/>
    <w:rsid w:val="4E2E4E92"/>
    <w:rsid w:val="4E31448C"/>
    <w:rsid w:val="4E3D1950"/>
    <w:rsid w:val="4E3D2C5F"/>
    <w:rsid w:val="4E635031"/>
    <w:rsid w:val="4E792C1D"/>
    <w:rsid w:val="4E79797B"/>
    <w:rsid w:val="4E7B1C74"/>
    <w:rsid w:val="4E826694"/>
    <w:rsid w:val="4E9E44EE"/>
    <w:rsid w:val="4EA43E96"/>
    <w:rsid w:val="4EBD2C12"/>
    <w:rsid w:val="4EC3721E"/>
    <w:rsid w:val="4EF62963"/>
    <w:rsid w:val="4EFB3D5D"/>
    <w:rsid w:val="4EFB5BA0"/>
    <w:rsid w:val="4EFB7D44"/>
    <w:rsid w:val="4F046EE9"/>
    <w:rsid w:val="4F153123"/>
    <w:rsid w:val="4F21570F"/>
    <w:rsid w:val="4F223246"/>
    <w:rsid w:val="4F226676"/>
    <w:rsid w:val="4F2B4A81"/>
    <w:rsid w:val="4F2D7BE4"/>
    <w:rsid w:val="4F4774C9"/>
    <w:rsid w:val="4F506164"/>
    <w:rsid w:val="4F575EC9"/>
    <w:rsid w:val="4F645802"/>
    <w:rsid w:val="4F6B7BEB"/>
    <w:rsid w:val="4F773A39"/>
    <w:rsid w:val="4F785FB6"/>
    <w:rsid w:val="4F790DD5"/>
    <w:rsid w:val="4F932353"/>
    <w:rsid w:val="4FA01DDF"/>
    <w:rsid w:val="4FA724D9"/>
    <w:rsid w:val="4FB25F77"/>
    <w:rsid w:val="4FB51396"/>
    <w:rsid w:val="4FBC796C"/>
    <w:rsid w:val="4FBF21A7"/>
    <w:rsid w:val="4FCB2D35"/>
    <w:rsid w:val="4FD04657"/>
    <w:rsid w:val="4FD5438D"/>
    <w:rsid w:val="4FE66B05"/>
    <w:rsid w:val="4FEF41A4"/>
    <w:rsid w:val="4FF134D5"/>
    <w:rsid w:val="50005C01"/>
    <w:rsid w:val="500164BB"/>
    <w:rsid w:val="501B7040"/>
    <w:rsid w:val="50236E51"/>
    <w:rsid w:val="50256157"/>
    <w:rsid w:val="50365BE1"/>
    <w:rsid w:val="50384FB5"/>
    <w:rsid w:val="504A73BD"/>
    <w:rsid w:val="50630FC9"/>
    <w:rsid w:val="506D5B4F"/>
    <w:rsid w:val="507863A0"/>
    <w:rsid w:val="507E3109"/>
    <w:rsid w:val="50800C3E"/>
    <w:rsid w:val="50837244"/>
    <w:rsid w:val="50AB5E07"/>
    <w:rsid w:val="50BA4CB6"/>
    <w:rsid w:val="50C930E3"/>
    <w:rsid w:val="50D2379F"/>
    <w:rsid w:val="50D520D0"/>
    <w:rsid w:val="50DA0DA7"/>
    <w:rsid w:val="50E1023C"/>
    <w:rsid w:val="50EA7093"/>
    <w:rsid w:val="50EC7056"/>
    <w:rsid w:val="50F55B8A"/>
    <w:rsid w:val="50FA4F87"/>
    <w:rsid w:val="50FA73C2"/>
    <w:rsid w:val="510C642A"/>
    <w:rsid w:val="51106C20"/>
    <w:rsid w:val="512C356C"/>
    <w:rsid w:val="512F6E9C"/>
    <w:rsid w:val="51341083"/>
    <w:rsid w:val="51472284"/>
    <w:rsid w:val="514B4D3D"/>
    <w:rsid w:val="51557DD8"/>
    <w:rsid w:val="516D10F0"/>
    <w:rsid w:val="51806010"/>
    <w:rsid w:val="51AB0960"/>
    <w:rsid w:val="51B9575C"/>
    <w:rsid w:val="51DD2299"/>
    <w:rsid w:val="51E14F6E"/>
    <w:rsid w:val="51E42A24"/>
    <w:rsid w:val="51F21B8B"/>
    <w:rsid w:val="51FF5909"/>
    <w:rsid w:val="521427A1"/>
    <w:rsid w:val="521F1E2A"/>
    <w:rsid w:val="52331D44"/>
    <w:rsid w:val="52423BC8"/>
    <w:rsid w:val="524B40C5"/>
    <w:rsid w:val="527D02E2"/>
    <w:rsid w:val="528A1B25"/>
    <w:rsid w:val="528A1C64"/>
    <w:rsid w:val="528A7065"/>
    <w:rsid w:val="52946908"/>
    <w:rsid w:val="529A1A59"/>
    <w:rsid w:val="52A61917"/>
    <w:rsid w:val="52BF1A22"/>
    <w:rsid w:val="52CD45E2"/>
    <w:rsid w:val="52D07CB8"/>
    <w:rsid w:val="52D64220"/>
    <w:rsid w:val="52DF307A"/>
    <w:rsid w:val="52F64606"/>
    <w:rsid w:val="52FB0A94"/>
    <w:rsid w:val="530C4011"/>
    <w:rsid w:val="531240EA"/>
    <w:rsid w:val="53282C75"/>
    <w:rsid w:val="532C3666"/>
    <w:rsid w:val="533C2777"/>
    <w:rsid w:val="53471C24"/>
    <w:rsid w:val="53472930"/>
    <w:rsid w:val="53476024"/>
    <w:rsid w:val="53707D2D"/>
    <w:rsid w:val="53735BCF"/>
    <w:rsid w:val="538253B9"/>
    <w:rsid w:val="53845F50"/>
    <w:rsid w:val="53F0793B"/>
    <w:rsid w:val="53F42B68"/>
    <w:rsid w:val="540A7C35"/>
    <w:rsid w:val="540B7F27"/>
    <w:rsid w:val="542439AB"/>
    <w:rsid w:val="54466C72"/>
    <w:rsid w:val="54473DD7"/>
    <w:rsid w:val="544B2F4C"/>
    <w:rsid w:val="544C6113"/>
    <w:rsid w:val="54560D91"/>
    <w:rsid w:val="545B6F76"/>
    <w:rsid w:val="547C3E46"/>
    <w:rsid w:val="5490425C"/>
    <w:rsid w:val="549A22A3"/>
    <w:rsid w:val="54C77678"/>
    <w:rsid w:val="54D66E6E"/>
    <w:rsid w:val="54E1224C"/>
    <w:rsid w:val="54E40E97"/>
    <w:rsid w:val="54F0499E"/>
    <w:rsid w:val="54F83951"/>
    <w:rsid w:val="54FC719B"/>
    <w:rsid w:val="550767DC"/>
    <w:rsid w:val="551E434D"/>
    <w:rsid w:val="55213357"/>
    <w:rsid w:val="552D4463"/>
    <w:rsid w:val="5531322E"/>
    <w:rsid w:val="553E082D"/>
    <w:rsid w:val="554C67A9"/>
    <w:rsid w:val="555440BF"/>
    <w:rsid w:val="55745FEA"/>
    <w:rsid w:val="55796E68"/>
    <w:rsid w:val="557F6239"/>
    <w:rsid w:val="558A0C4C"/>
    <w:rsid w:val="558A46C7"/>
    <w:rsid w:val="559A346C"/>
    <w:rsid w:val="559E7645"/>
    <w:rsid w:val="55A60EE7"/>
    <w:rsid w:val="55AB24CB"/>
    <w:rsid w:val="55AF30C0"/>
    <w:rsid w:val="55BA2B9A"/>
    <w:rsid w:val="55C611C5"/>
    <w:rsid w:val="55D14B5D"/>
    <w:rsid w:val="55DC46AD"/>
    <w:rsid w:val="55DD3843"/>
    <w:rsid w:val="55E34FF5"/>
    <w:rsid w:val="55F41F00"/>
    <w:rsid w:val="55F75F6A"/>
    <w:rsid w:val="56026D71"/>
    <w:rsid w:val="56045463"/>
    <w:rsid w:val="560D690E"/>
    <w:rsid w:val="561B3EDF"/>
    <w:rsid w:val="56434763"/>
    <w:rsid w:val="564A78D1"/>
    <w:rsid w:val="56516E0B"/>
    <w:rsid w:val="565C480E"/>
    <w:rsid w:val="56780E9F"/>
    <w:rsid w:val="568709A5"/>
    <w:rsid w:val="56910465"/>
    <w:rsid w:val="569E7939"/>
    <w:rsid w:val="56A47002"/>
    <w:rsid w:val="56B26AE1"/>
    <w:rsid w:val="56B60E02"/>
    <w:rsid w:val="56BC6D1E"/>
    <w:rsid w:val="56E259B2"/>
    <w:rsid w:val="56ED5628"/>
    <w:rsid w:val="56EF508F"/>
    <w:rsid w:val="570970F3"/>
    <w:rsid w:val="57154C58"/>
    <w:rsid w:val="5724240E"/>
    <w:rsid w:val="5726683B"/>
    <w:rsid w:val="572A216D"/>
    <w:rsid w:val="572C568D"/>
    <w:rsid w:val="5734452D"/>
    <w:rsid w:val="574C4C4A"/>
    <w:rsid w:val="576524AF"/>
    <w:rsid w:val="576D0C0B"/>
    <w:rsid w:val="578B4185"/>
    <w:rsid w:val="5793597D"/>
    <w:rsid w:val="579F6AC4"/>
    <w:rsid w:val="57A26463"/>
    <w:rsid w:val="57AA48E7"/>
    <w:rsid w:val="57AD7786"/>
    <w:rsid w:val="57AF4916"/>
    <w:rsid w:val="57BD5FA3"/>
    <w:rsid w:val="57D53EA7"/>
    <w:rsid w:val="57DB65FA"/>
    <w:rsid w:val="57F63A79"/>
    <w:rsid w:val="580639C0"/>
    <w:rsid w:val="580F62C9"/>
    <w:rsid w:val="58157DB3"/>
    <w:rsid w:val="58185261"/>
    <w:rsid w:val="58332361"/>
    <w:rsid w:val="584C0194"/>
    <w:rsid w:val="584D7502"/>
    <w:rsid w:val="587A0E53"/>
    <w:rsid w:val="58871161"/>
    <w:rsid w:val="588D77A9"/>
    <w:rsid w:val="58932ECE"/>
    <w:rsid w:val="589E3FB2"/>
    <w:rsid w:val="58AB0F25"/>
    <w:rsid w:val="58BB63AE"/>
    <w:rsid w:val="58CC6DE3"/>
    <w:rsid w:val="58CD1842"/>
    <w:rsid w:val="58DF523E"/>
    <w:rsid w:val="58F45F56"/>
    <w:rsid w:val="58FD117E"/>
    <w:rsid w:val="590C6FEF"/>
    <w:rsid w:val="591075BD"/>
    <w:rsid w:val="592B5223"/>
    <w:rsid w:val="59316D02"/>
    <w:rsid w:val="594A3112"/>
    <w:rsid w:val="596D61EA"/>
    <w:rsid w:val="5974765C"/>
    <w:rsid w:val="59752475"/>
    <w:rsid w:val="5976572D"/>
    <w:rsid w:val="59777A0A"/>
    <w:rsid w:val="597E4CE3"/>
    <w:rsid w:val="59885445"/>
    <w:rsid w:val="59B82774"/>
    <w:rsid w:val="59BB4A66"/>
    <w:rsid w:val="59C87EAE"/>
    <w:rsid w:val="59CD634C"/>
    <w:rsid w:val="59D77323"/>
    <w:rsid w:val="59E458A3"/>
    <w:rsid w:val="59F55EC5"/>
    <w:rsid w:val="59FC5721"/>
    <w:rsid w:val="5A01095A"/>
    <w:rsid w:val="5A0F2AB1"/>
    <w:rsid w:val="5A113086"/>
    <w:rsid w:val="5A205B81"/>
    <w:rsid w:val="5A294355"/>
    <w:rsid w:val="5A2A1753"/>
    <w:rsid w:val="5A4B7A82"/>
    <w:rsid w:val="5A590BEF"/>
    <w:rsid w:val="5A6222D0"/>
    <w:rsid w:val="5A6C72B3"/>
    <w:rsid w:val="5A8A6C4B"/>
    <w:rsid w:val="5A954080"/>
    <w:rsid w:val="5A9E7836"/>
    <w:rsid w:val="5AB70D65"/>
    <w:rsid w:val="5AC12282"/>
    <w:rsid w:val="5AC72FDB"/>
    <w:rsid w:val="5AE731A7"/>
    <w:rsid w:val="5B130DA2"/>
    <w:rsid w:val="5B1467AB"/>
    <w:rsid w:val="5B1C001E"/>
    <w:rsid w:val="5B1D2D28"/>
    <w:rsid w:val="5B2949E7"/>
    <w:rsid w:val="5B29759E"/>
    <w:rsid w:val="5B2A0B20"/>
    <w:rsid w:val="5B5376FD"/>
    <w:rsid w:val="5B545E85"/>
    <w:rsid w:val="5B5A78AE"/>
    <w:rsid w:val="5B7876C7"/>
    <w:rsid w:val="5B8079DD"/>
    <w:rsid w:val="5B924F67"/>
    <w:rsid w:val="5B9627C1"/>
    <w:rsid w:val="5B9C1B9B"/>
    <w:rsid w:val="5BA34BC4"/>
    <w:rsid w:val="5BA63F99"/>
    <w:rsid w:val="5BA746EF"/>
    <w:rsid w:val="5BA871E2"/>
    <w:rsid w:val="5BA961FE"/>
    <w:rsid w:val="5BAF2EB0"/>
    <w:rsid w:val="5BE55B0E"/>
    <w:rsid w:val="5BF1365D"/>
    <w:rsid w:val="5BF25FEE"/>
    <w:rsid w:val="5BF30657"/>
    <w:rsid w:val="5BF40D4A"/>
    <w:rsid w:val="5C1A6B77"/>
    <w:rsid w:val="5C210A32"/>
    <w:rsid w:val="5C5433E4"/>
    <w:rsid w:val="5C5D2B66"/>
    <w:rsid w:val="5C5D398C"/>
    <w:rsid w:val="5C67681F"/>
    <w:rsid w:val="5C6B6F94"/>
    <w:rsid w:val="5C784C6E"/>
    <w:rsid w:val="5C7B7A24"/>
    <w:rsid w:val="5C8A492A"/>
    <w:rsid w:val="5C9B12BC"/>
    <w:rsid w:val="5CA37D09"/>
    <w:rsid w:val="5CB8328C"/>
    <w:rsid w:val="5CC30F18"/>
    <w:rsid w:val="5CCB2DDC"/>
    <w:rsid w:val="5CCC4B8A"/>
    <w:rsid w:val="5CCE56F0"/>
    <w:rsid w:val="5CDC38BC"/>
    <w:rsid w:val="5CE912C4"/>
    <w:rsid w:val="5CF45F18"/>
    <w:rsid w:val="5CF627A0"/>
    <w:rsid w:val="5D1023C8"/>
    <w:rsid w:val="5D12794C"/>
    <w:rsid w:val="5D145A1B"/>
    <w:rsid w:val="5D166DB9"/>
    <w:rsid w:val="5D1E4CC7"/>
    <w:rsid w:val="5D2B3AA9"/>
    <w:rsid w:val="5D3A58FA"/>
    <w:rsid w:val="5D3B7B2E"/>
    <w:rsid w:val="5D3F4927"/>
    <w:rsid w:val="5D7619E3"/>
    <w:rsid w:val="5D786EA9"/>
    <w:rsid w:val="5DA0112D"/>
    <w:rsid w:val="5DAE5EF5"/>
    <w:rsid w:val="5DC56EDD"/>
    <w:rsid w:val="5DCA6E5D"/>
    <w:rsid w:val="5DD4455B"/>
    <w:rsid w:val="5DDA7BCE"/>
    <w:rsid w:val="5DE35474"/>
    <w:rsid w:val="5DFD0FF4"/>
    <w:rsid w:val="5E0604ED"/>
    <w:rsid w:val="5E10686B"/>
    <w:rsid w:val="5E1240EA"/>
    <w:rsid w:val="5E1326A4"/>
    <w:rsid w:val="5E24686E"/>
    <w:rsid w:val="5E2D375F"/>
    <w:rsid w:val="5E355F20"/>
    <w:rsid w:val="5E3A3109"/>
    <w:rsid w:val="5E3E2FB9"/>
    <w:rsid w:val="5E4428C3"/>
    <w:rsid w:val="5E4D55E4"/>
    <w:rsid w:val="5E5665A1"/>
    <w:rsid w:val="5E5B747E"/>
    <w:rsid w:val="5E5D1A57"/>
    <w:rsid w:val="5E5F0007"/>
    <w:rsid w:val="5E631EF6"/>
    <w:rsid w:val="5E6E6E41"/>
    <w:rsid w:val="5E861A6C"/>
    <w:rsid w:val="5E8A33D0"/>
    <w:rsid w:val="5E97331E"/>
    <w:rsid w:val="5EB43E0B"/>
    <w:rsid w:val="5EC303F0"/>
    <w:rsid w:val="5ED830C4"/>
    <w:rsid w:val="5EDC65D3"/>
    <w:rsid w:val="5EEC1983"/>
    <w:rsid w:val="5EF1A255"/>
    <w:rsid w:val="5EF42187"/>
    <w:rsid w:val="5EF421FC"/>
    <w:rsid w:val="5F097B99"/>
    <w:rsid w:val="5F1C093B"/>
    <w:rsid w:val="5F3226B8"/>
    <w:rsid w:val="5F4400B2"/>
    <w:rsid w:val="5F486CF3"/>
    <w:rsid w:val="5F4A3A29"/>
    <w:rsid w:val="5F4D49FD"/>
    <w:rsid w:val="5F515C67"/>
    <w:rsid w:val="5F520694"/>
    <w:rsid w:val="5F7332FB"/>
    <w:rsid w:val="5FA80341"/>
    <w:rsid w:val="5FAE1376"/>
    <w:rsid w:val="5FB202E1"/>
    <w:rsid w:val="5FFD28DF"/>
    <w:rsid w:val="600B32C9"/>
    <w:rsid w:val="601423A4"/>
    <w:rsid w:val="6032490F"/>
    <w:rsid w:val="604260FE"/>
    <w:rsid w:val="60897D04"/>
    <w:rsid w:val="60940B1E"/>
    <w:rsid w:val="60A56A8D"/>
    <w:rsid w:val="60AA27E4"/>
    <w:rsid w:val="60BF5A0C"/>
    <w:rsid w:val="60CA54F9"/>
    <w:rsid w:val="60CB53C6"/>
    <w:rsid w:val="60D10BCD"/>
    <w:rsid w:val="60D1523C"/>
    <w:rsid w:val="60D62308"/>
    <w:rsid w:val="60DB64C9"/>
    <w:rsid w:val="60E375EA"/>
    <w:rsid w:val="60FA47ED"/>
    <w:rsid w:val="60FB119F"/>
    <w:rsid w:val="60FD3874"/>
    <w:rsid w:val="61001C3B"/>
    <w:rsid w:val="611E2E64"/>
    <w:rsid w:val="613E5217"/>
    <w:rsid w:val="613E63D6"/>
    <w:rsid w:val="61471D61"/>
    <w:rsid w:val="61565EA4"/>
    <w:rsid w:val="617376E1"/>
    <w:rsid w:val="617C698D"/>
    <w:rsid w:val="618B3C2C"/>
    <w:rsid w:val="619C3070"/>
    <w:rsid w:val="619F3B15"/>
    <w:rsid w:val="61A26BDC"/>
    <w:rsid w:val="61D808DB"/>
    <w:rsid w:val="61E631D3"/>
    <w:rsid w:val="61EA5F0C"/>
    <w:rsid w:val="61ED00F3"/>
    <w:rsid w:val="61F96E7B"/>
    <w:rsid w:val="620619DF"/>
    <w:rsid w:val="620C3A2E"/>
    <w:rsid w:val="62286785"/>
    <w:rsid w:val="62374349"/>
    <w:rsid w:val="62381ADF"/>
    <w:rsid w:val="623C702C"/>
    <w:rsid w:val="62420F81"/>
    <w:rsid w:val="62482F8F"/>
    <w:rsid w:val="6269577E"/>
    <w:rsid w:val="626D5494"/>
    <w:rsid w:val="627F5D18"/>
    <w:rsid w:val="629B3C3A"/>
    <w:rsid w:val="62AC2790"/>
    <w:rsid w:val="62AF4944"/>
    <w:rsid w:val="62B04835"/>
    <w:rsid w:val="62D32D25"/>
    <w:rsid w:val="62DD1010"/>
    <w:rsid w:val="62DE2B5C"/>
    <w:rsid w:val="62F4571E"/>
    <w:rsid w:val="62FF0CC8"/>
    <w:rsid w:val="63050405"/>
    <w:rsid w:val="631E7675"/>
    <w:rsid w:val="632A280D"/>
    <w:rsid w:val="63300AF0"/>
    <w:rsid w:val="63305652"/>
    <w:rsid w:val="6348384F"/>
    <w:rsid w:val="636D3B23"/>
    <w:rsid w:val="63994C95"/>
    <w:rsid w:val="639B1117"/>
    <w:rsid w:val="63A40DE9"/>
    <w:rsid w:val="63A75F42"/>
    <w:rsid w:val="63C656E3"/>
    <w:rsid w:val="63D32C88"/>
    <w:rsid w:val="63D7141F"/>
    <w:rsid w:val="63D7612E"/>
    <w:rsid w:val="63D901F7"/>
    <w:rsid w:val="63E62556"/>
    <w:rsid w:val="63F0172A"/>
    <w:rsid w:val="63F77C24"/>
    <w:rsid w:val="6418285B"/>
    <w:rsid w:val="641E5CAC"/>
    <w:rsid w:val="64356BB2"/>
    <w:rsid w:val="64612F4F"/>
    <w:rsid w:val="647635F3"/>
    <w:rsid w:val="649A7D26"/>
    <w:rsid w:val="649B4178"/>
    <w:rsid w:val="649D1124"/>
    <w:rsid w:val="64AA28C2"/>
    <w:rsid w:val="64C51003"/>
    <w:rsid w:val="64DF5DFD"/>
    <w:rsid w:val="64F21E5F"/>
    <w:rsid w:val="64F94536"/>
    <w:rsid w:val="65003A97"/>
    <w:rsid w:val="652432E7"/>
    <w:rsid w:val="65314BC1"/>
    <w:rsid w:val="65387D84"/>
    <w:rsid w:val="654D65E3"/>
    <w:rsid w:val="6562018F"/>
    <w:rsid w:val="656869ED"/>
    <w:rsid w:val="657619D1"/>
    <w:rsid w:val="65801E94"/>
    <w:rsid w:val="658147B2"/>
    <w:rsid w:val="65B60F97"/>
    <w:rsid w:val="65BE05E1"/>
    <w:rsid w:val="65DB1ABD"/>
    <w:rsid w:val="65DB5D2D"/>
    <w:rsid w:val="66021000"/>
    <w:rsid w:val="663E3F57"/>
    <w:rsid w:val="66410BF2"/>
    <w:rsid w:val="664314FE"/>
    <w:rsid w:val="6651412B"/>
    <w:rsid w:val="665A2617"/>
    <w:rsid w:val="665C121C"/>
    <w:rsid w:val="665F1C74"/>
    <w:rsid w:val="666A0F38"/>
    <w:rsid w:val="666D27F1"/>
    <w:rsid w:val="66760B8B"/>
    <w:rsid w:val="66853B07"/>
    <w:rsid w:val="66AD63D1"/>
    <w:rsid w:val="66B632F0"/>
    <w:rsid w:val="66B63A44"/>
    <w:rsid w:val="66B81EEC"/>
    <w:rsid w:val="66C85DEF"/>
    <w:rsid w:val="66D041EF"/>
    <w:rsid w:val="66E44202"/>
    <w:rsid w:val="66E902BE"/>
    <w:rsid w:val="66EB6E76"/>
    <w:rsid w:val="66FA4433"/>
    <w:rsid w:val="6702797E"/>
    <w:rsid w:val="671063AE"/>
    <w:rsid w:val="67220874"/>
    <w:rsid w:val="672472D7"/>
    <w:rsid w:val="673D7BD6"/>
    <w:rsid w:val="673F5B40"/>
    <w:rsid w:val="674574EF"/>
    <w:rsid w:val="674B014B"/>
    <w:rsid w:val="676C3497"/>
    <w:rsid w:val="677B0C5E"/>
    <w:rsid w:val="677C5BD4"/>
    <w:rsid w:val="67BA647E"/>
    <w:rsid w:val="67C17374"/>
    <w:rsid w:val="67C74616"/>
    <w:rsid w:val="67DADC4E"/>
    <w:rsid w:val="67EA5376"/>
    <w:rsid w:val="67ED2133"/>
    <w:rsid w:val="681815F4"/>
    <w:rsid w:val="681D07EF"/>
    <w:rsid w:val="68432914"/>
    <w:rsid w:val="6848754D"/>
    <w:rsid w:val="6849301F"/>
    <w:rsid w:val="68572455"/>
    <w:rsid w:val="68744FA9"/>
    <w:rsid w:val="68894702"/>
    <w:rsid w:val="68936A92"/>
    <w:rsid w:val="68B024A9"/>
    <w:rsid w:val="68B3369C"/>
    <w:rsid w:val="68B37DF3"/>
    <w:rsid w:val="68CF1E50"/>
    <w:rsid w:val="68F36BD9"/>
    <w:rsid w:val="6905794B"/>
    <w:rsid w:val="690E2177"/>
    <w:rsid w:val="691E399C"/>
    <w:rsid w:val="691F0053"/>
    <w:rsid w:val="692B0226"/>
    <w:rsid w:val="69327CA5"/>
    <w:rsid w:val="69375EB5"/>
    <w:rsid w:val="69425BEA"/>
    <w:rsid w:val="69452BA9"/>
    <w:rsid w:val="69577D1B"/>
    <w:rsid w:val="696C535B"/>
    <w:rsid w:val="697314E3"/>
    <w:rsid w:val="697458F4"/>
    <w:rsid w:val="698F032B"/>
    <w:rsid w:val="699B1BB3"/>
    <w:rsid w:val="69A91A95"/>
    <w:rsid w:val="69AB75C0"/>
    <w:rsid w:val="69B7FECC"/>
    <w:rsid w:val="69D06639"/>
    <w:rsid w:val="69FD447D"/>
    <w:rsid w:val="6A03117C"/>
    <w:rsid w:val="6A080201"/>
    <w:rsid w:val="6A09487F"/>
    <w:rsid w:val="6A0A3E9D"/>
    <w:rsid w:val="6A0F32EF"/>
    <w:rsid w:val="6A2E0AB2"/>
    <w:rsid w:val="6A394D4C"/>
    <w:rsid w:val="6A511DEA"/>
    <w:rsid w:val="6A557D2C"/>
    <w:rsid w:val="6A762AAD"/>
    <w:rsid w:val="6A7F4485"/>
    <w:rsid w:val="6A920177"/>
    <w:rsid w:val="6A947E7A"/>
    <w:rsid w:val="6AB67820"/>
    <w:rsid w:val="6AC37E68"/>
    <w:rsid w:val="6AD333E1"/>
    <w:rsid w:val="6AE15380"/>
    <w:rsid w:val="6AE81D8B"/>
    <w:rsid w:val="6B0707B7"/>
    <w:rsid w:val="6B11663D"/>
    <w:rsid w:val="6B124851"/>
    <w:rsid w:val="6B226879"/>
    <w:rsid w:val="6B335686"/>
    <w:rsid w:val="6B35381F"/>
    <w:rsid w:val="6B4F527A"/>
    <w:rsid w:val="6B5276ED"/>
    <w:rsid w:val="6B593C96"/>
    <w:rsid w:val="6B60457A"/>
    <w:rsid w:val="6B677181"/>
    <w:rsid w:val="6B701A5C"/>
    <w:rsid w:val="6B794E7B"/>
    <w:rsid w:val="6B85264B"/>
    <w:rsid w:val="6B8906D1"/>
    <w:rsid w:val="6B893997"/>
    <w:rsid w:val="6B8D264E"/>
    <w:rsid w:val="6B905B61"/>
    <w:rsid w:val="6B923EDE"/>
    <w:rsid w:val="6B964C3C"/>
    <w:rsid w:val="6B97161F"/>
    <w:rsid w:val="6B9E6EB8"/>
    <w:rsid w:val="6B9F7B6E"/>
    <w:rsid w:val="6BAB4B84"/>
    <w:rsid w:val="6BC22722"/>
    <w:rsid w:val="6BC375E0"/>
    <w:rsid w:val="6BF35332"/>
    <w:rsid w:val="6BF37462"/>
    <w:rsid w:val="6BFD31DE"/>
    <w:rsid w:val="6C00133F"/>
    <w:rsid w:val="6C21760C"/>
    <w:rsid w:val="6C340C53"/>
    <w:rsid w:val="6C3A3BCF"/>
    <w:rsid w:val="6C422E54"/>
    <w:rsid w:val="6C530CC0"/>
    <w:rsid w:val="6C5A4524"/>
    <w:rsid w:val="6C5F2A85"/>
    <w:rsid w:val="6C6368FE"/>
    <w:rsid w:val="6C715BBE"/>
    <w:rsid w:val="6C724B71"/>
    <w:rsid w:val="6C9264B0"/>
    <w:rsid w:val="6CA074FA"/>
    <w:rsid w:val="6CB80319"/>
    <w:rsid w:val="6CBD0165"/>
    <w:rsid w:val="6CC5116E"/>
    <w:rsid w:val="6CCE0D59"/>
    <w:rsid w:val="6CE443AB"/>
    <w:rsid w:val="6CFE6CFE"/>
    <w:rsid w:val="6D010583"/>
    <w:rsid w:val="6D166C49"/>
    <w:rsid w:val="6D351B56"/>
    <w:rsid w:val="6D4B342F"/>
    <w:rsid w:val="6D4C0207"/>
    <w:rsid w:val="6D544251"/>
    <w:rsid w:val="6D671D5D"/>
    <w:rsid w:val="6D6B2C06"/>
    <w:rsid w:val="6D8E3228"/>
    <w:rsid w:val="6D967390"/>
    <w:rsid w:val="6D9F0293"/>
    <w:rsid w:val="6DA33677"/>
    <w:rsid w:val="6DA51FE4"/>
    <w:rsid w:val="6DB26D07"/>
    <w:rsid w:val="6DD836A3"/>
    <w:rsid w:val="6DE777DA"/>
    <w:rsid w:val="6DF656CF"/>
    <w:rsid w:val="6E054D9E"/>
    <w:rsid w:val="6E2C7AFF"/>
    <w:rsid w:val="6E32270A"/>
    <w:rsid w:val="6E340085"/>
    <w:rsid w:val="6E415A3B"/>
    <w:rsid w:val="6E431A91"/>
    <w:rsid w:val="6E5A27E0"/>
    <w:rsid w:val="6E6E084C"/>
    <w:rsid w:val="6E703FE3"/>
    <w:rsid w:val="6E906293"/>
    <w:rsid w:val="6E9212B7"/>
    <w:rsid w:val="6EA91CAB"/>
    <w:rsid w:val="6EB209B1"/>
    <w:rsid w:val="6EEE560E"/>
    <w:rsid w:val="6EFC228A"/>
    <w:rsid w:val="6F2A00C2"/>
    <w:rsid w:val="6F301C95"/>
    <w:rsid w:val="6F3174F4"/>
    <w:rsid w:val="6F361388"/>
    <w:rsid w:val="6F361EED"/>
    <w:rsid w:val="6F3D5A15"/>
    <w:rsid w:val="6F4A2751"/>
    <w:rsid w:val="6F4B1173"/>
    <w:rsid w:val="6F591E41"/>
    <w:rsid w:val="6F5B58E3"/>
    <w:rsid w:val="6F624702"/>
    <w:rsid w:val="6F6D53A0"/>
    <w:rsid w:val="6F84196E"/>
    <w:rsid w:val="6F8A6F61"/>
    <w:rsid w:val="6F942191"/>
    <w:rsid w:val="6FA12A4B"/>
    <w:rsid w:val="6FA545C2"/>
    <w:rsid w:val="6FA95AB4"/>
    <w:rsid w:val="6FB23294"/>
    <w:rsid w:val="6FB647C4"/>
    <w:rsid w:val="6FBD5897"/>
    <w:rsid w:val="6FBD63FD"/>
    <w:rsid w:val="6FDD470D"/>
    <w:rsid w:val="6FEF490F"/>
    <w:rsid w:val="70000F00"/>
    <w:rsid w:val="703D3375"/>
    <w:rsid w:val="70495430"/>
    <w:rsid w:val="704C555D"/>
    <w:rsid w:val="705E3922"/>
    <w:rsid w:val="70662434"/>
    <w:rsid w:val="706A3E01"/>
    <w:rsid w:val="706D77D5"/>
    <w:rsid w:val="70747EB6"/>
    <w:rsid w:val="70750F18"/>
    <w:rsid w:val="708005A8"/>
    <w:rsid w:val="70866D4C"/>
    <w:rsid w:val="70895F5C"/>
    <w:rsid w:val="7098033F"/>
    <w:rsid w:val="709A0668"/>
    <w:rsid w:val="70B017BC"/>
    <w:rsid w:val="70B26D3E"/>
    <w:rsid w:val="70B41BB0"/>
    <w:rsid w:val="70B50B1B"/>
    <w:rsid w:val="70BA24E8"/>
    <w:rsid w:val="70DB797D"/>
    <w:rsid w:val="70DF735D"/>
    <w:rsid w:val="70F15D34"/>
    <w:rsid w:val="70F1653B"/>
    <w:rsid w:val="710B3EF4"/>
    <w:rsid w:val="71205BD8"/>
    <w:rsid w:val="712B4C95"/>
    <w:rsid w:val="71482144"/>
    <w:rsid w:val="71506F73"/>
    <w:rsid w:val="716F0EE9"/>
    <w:rsid w:val="71747A81"/>
    <w:rsid w:val="718134C7"/>
    <w:rsid w:val="71873FEF"/>
    <w:rsid w:val="718F51CF"/>
    <w:rsid w:val="719A51D1"/>
    <w:rsid w:val="71A82FDF"/>
    <w:rsid w:val="71AD5FF1"/>
    <w:rsid w:val="71B61DE0"/>
    <w:rsid w:val="71B75372"/>
    <w:rsid w:val="71E61D18"/>
    <w:rsid w:val="71FE70CD"/>
    <w:rsid w:val="72085129"/>
    <w:rsid w:val="72267737"/>
    <w:rsid w:val="72293CF5"/>
    <w:rsid w:val="724219B7"/>
    <w:rsid w:val="724E5343"/>
    <w:rsid w:val="726E05A5"/>
    <w:rsid w:val="72764EE8"/>
    <w:rsid w:val="72842790"/>
    <w:rsid w:val="72A9726B"/>
    <w:rsid w:val="72CE4F8A"/>
    <w:rsid w:val="72D078FF"/>
    <w:rsid w:val="72D8404A"/>
    <w:rsid w:val="72F86939"/>
    <w:rsid w:val="73085B53"/>
    <w:rsid w:val="73380341"/>
    <w:rsid w:val="734232BE"/>
    <w:rsid w:val="735558C8"/>
    <w:rsid w:val="73584913"/>
    <w:rsid w:val="73680FC6"/>
    <w:rsid w:val="73765D1E"/>
    <w:rsid w:val="737B5A97"/>
    <w:rsid w:val="73842D0C"/>
    <w:rsid w:val="73945D69"/>
    <w:rsid w:val="73A10A9E"/>
    <w:rsid w:val="73A41734"/>
    <w:rsid w:val="73AC3277"/>
    <w:rsid w:val="73B974DB"/>
    <w:rsid w:val="73C163F7"/>
    <w:rsid w:val="73C54AA8"/>
    <w:rsid w:val="73CA5CBA"/>
    <w:rsid w:val="73CF46F4"/>
    <w:rsid w:val="73E2202D"/>
    <w:rsid w:val="73FD7C24"/>
    <w:rsid w:val="740828A2"/>
    <w:rsid w:val="741554D1"/>
    <w:rsid w:val="742551B5"/>
    <w:rsid w:val="74273993"/>
    <w:rsid w:val="743234CA"/>
    <w:rsid w:val="7441776A"/>
    <w:rsid w:val="74604C84"/>
    <w:rsid w:val="746F7DCB"/>
    <w:rsid w:val="747919A7"/>
    <w:rsid w:val="747B1912"/>
    <w:rsid w:val="74846F19"/>
    <w:rsid w:val="748C2216"/>
    <w:rsid w:val="748D521E"/>
    <w:rsid w:val="749560A0"/>
    <w:rsid w:val="74A32183"/>
    <w:rsid w:val="74A50617"/>
    <w:rsid w:val="74A55BCB"/>
    <w:rsid w:val="74D0058B"/>
    <w:rsid w:val="74DA1957"/>
    <w:rsid w:val="74DF599E"/>
    <w:rsid w:val="74E80E35"/>
    <w:rsid w:val="74FA422C"/>
    <w:rsid w:val="75070030"/>
    <w:rsid w:val="751B2757"/>
    <w:rsid w:val="752779A3"/>
    <w:rsid w:val="75285B9E"/>
    <w:rsid w:val="753512AE"/>
    <w:rsid w:val="75411EC6"/>
    <w:rsid w:val="755C6C59"/>
    <w:rsid w:val="756338A7"/>
    <w:rsid w:val="7599228F"/>
    <w:rsid w:val="75A00B92"/>
    <w:rsid w:val="75A145EF"/>
    <w:rsid w:val="75B95962"/>
    <w:rsid w:val="75C103CB"/>
    <w:rsid w:val="75D82CCE"/>
    <w:rsid w:val="75D95661"/>
    <w:rsid w:val="75EC37DB"/>
    <w:rsid w:val="75F910BD"/>
    <w:rsid w:val="761A3633"/>
    <w:rsid w:val="764D574B"/>
    <w:rsid w:val="764E47F3"/>
    <w:rsid w:val="765A6656"/>
    <w:rsid w:val="76764310"/>
    <w:rsid w:val="7691569A"/>
    <w:rsid w:val="76A31E71"/>
    <w:rsid w:val="76B45C27"/>
    <w:rsid w:val="76BB7074"/>
    <w:rsid w:val="76C31FF6"/>
    <w:rsid w:val="76CE5E6C"/>
    <w:rsid w:val="76D63210"/>
    <w:rsid w:val="76E17F6F"/>
    <w:rsid w:val="76E70EBD"/>
    <w:rsid w:val="76EC7A5D"/>
    <w:rsid w:val="77060C94"/>
    <w:rsid w:val="7710403A"/>
    <w:rsid w:val="772A140E"/>
    <w:rsid w:val="773045A3"/>
    <w:rsid w:val="77310275"/>
    <w:rsid w:val="77391F9C"/>
    <w:rsid w:val="773C539E"/>
    <w:rsid w:val="773D4D54"/>
    <w:rsid w:val="77520261"/>
    <w:rsid w:val="776F3E32"/>
    <w:rsid w:val="77756A2B"/>
    <w:rsid w:val="77933214"/>
    <w:rsid w:val="77936A35"/>
    <w:rsid w:val="779F22D2"/>
    <w:rsid w:val="77A105A7"/>
    <w:rsid w:val="77A57BF0"/>
    <w:rsid w:val="77AD770E"/>
    <w:rsid w:val="77B045E9"/>
    <w:rsid w:val="77B04B19"/>
    <w:rsid w:val="77B410D9"/>
    <w:rsid w:val="77D21B1A"/>
    <w:rsid w:val="77DB4E58"/>
    <w:rsid w:val="77E06EF6"/>
    <w:rsid w:val="77E26696"/>
    <w:rsid w:val="77E5152B"/>
    <w:rsid w:val="77EA4330"/>
    <w:rsid w:val="77FB3ED1"/>
    <w:rsid w:val="78096213"/>
    <w:rsid w:val="781A3FD2"/>
    <w:rsid w:val="781F272B"/>
    <w:rsid w:val="78376600"/>
    <w:rsid w:val="783A0956"/>
    <w:rsid w:val="783C67E2"/>
    <w:rsid w:val="787005FA"/>
    <w:rsid w:val="788A7C9C"/>
    <w:rsid w:val="78A72130"/>
    <w:rsid w:val="78C144F9"/>
    <w:rsid w:val="78E64E46"/>
    <w:rsid w:val="78F82BC4"/>
    <w:rsid w:val="79062838"/>
    <w:rsid w:val="7918651D"/>
    <w:rsid w:val="791A54BE"/>
    <w:rsid w:val="792A2E13"/>
    <w:rsid w:val="79331C9A"/>
    <w:rsid w:val="7939240F"/>
    <w:rsid w:val="794A3615"/>
    <w:rsid w:val="794A77F1"/>
    <w:rsid w:val="795945BC"/>
    <w:rsid w:val="7969452D"/>
    <w:rsid w:val="796E46D9"/>
    <w:rsid w:val="797408FE"/>
    <w:rsid w:val="797E1348"/>
    <w:rsid w:val="797F3CEB"/>
    <w:rsid w:val="79872CD4"/>
    <w:rsid w:val="79944732"/>
    <w:rsid w:val="79967772"/>
    <w:rsid w:val="799D36F1"/>
    <w:rsid w:val="79B4402B"/>
    <w:rsid w:val="79C738E9"/>
    <w:rsid w:val="79CC417C"/>
    <w:rsid w:val="79D14215"/>
    <w:rsid w:val="79D94DCB"/>
    <w:rsid w:val="79E1494E"/>
    <w:rsid w:val="79F2366F"/>
    <w:rsid w:val="7A1E753A"/>
    <w:rsid w:val="7A3F15B6"/>
    <w:rsid w:val="7A423127"/>
    <w:rsid w:val="7A4F40F0"/>
    <w:rsid w:val="7A5B2274"/>
    <w:rsid w:val="7A711EC2"/>
    <w:rsid w:val="7A746CEB"/>
    <w:rsid w:val="7A7B4EF9"/>
    <w:rsid w:val="7A8459F7"/>
    <w:rsid w:val="7A8C3AF9"/>
    <w:rsid w:val="7A931323"/>
    <w:rsid w:val="7A9F3840"/>
    <w:rsid w:val="7A9F4546"/>
    <w:rsid w:val="7AAD7E64"/>
    <w:rsid w:val="7AB06650"/>
    <w:rsid w:val="7AC50C3C"/>
    <w:rsid w:val="7AD4498A"/>
    <w:rsid w:val="7AD865B7"/>
    <w:rsid w:val="7AE2223D"/>
    <w:rsid w:val="7AE842AF"/>
    <w:rsid w:val="7B041F22"/>
    <w:rsid w:val="7B04717E"/>
    <w:rsid w:val="7B0D16AD"/>
    <w:rsid w:val="7B2430F3"/>
    <w:rsid w:val="7B272B0B"/>
    <w:rsid w:val="7B506BBD"/>
    <w:rsid w:val="7B581B2C"/>
    <w:rsid w:val="7B617081"/>
    <w:rsid w:val="7B6F4F5F"/>
    <w:rsid w:val="7B700AEB"/>
    <w:rsid w:val="7B7D1A83"/>
    <w:rsid w:val="7B7D5D39"/>
    <w:rsid w:val="7B7D5DD1"/>
    <w:rsid w:val="7B9C2732"/>
    <w:rsid w:val="7BA25729"/>
    <w:rsid w:val="7BAA0378"/>
    <w:rsid w:val="7BB575D4"/>
    <w:rsid w:val="7BB84839"/>
    <w:rsid w:val="7BC200AD"/>
    <w:rsid w:val="7BCC20F1"/>
    <w:rsid w:val="7BF1400D"/>
    <w:rsid w:val="7BF20E30"/>
    <w:rsid w:val="7BF31C69"/>
    <w:rsid w:val="7BF819A5"/>
    <w:rsid w:val="7BFD7E77"/>
    <w:rsid w:val="7BFEC876"/>
    <w:rsid w:val="7BFED53A"/>
    <w:rsid w:val="7C004942"/>
    <w:rsid w:val="7C047099"/>
    <w:rsid w:val="7C0B35E0"/>
    <w:rsid w:val="7C0B70A1"/>
    <w:rsid w:val="7C113E00"/>
    <w:rsid w:val="7C224C80"/>
    <w:rsid w:val="7C304B21"/>
    <w:rsid w:val="7C4377BE"/>
    <w:rsid w:val="7C4A68F8"/>
    <w:rsid w:val="7C537570"/>
    <w:rsid w:val="7C547377"/>
    <w:rsid w:val="7C9648D4"/>
    <w:rsid w:val="7C9A0901"/>
    <w:rsid w:val="7CA7653F"/>
    <w:rsid w:val="7CC531CB"/>
    <w:rsid w:val="7CDF07AC"/>
    <w:rsid w:val="7CE20495"/>
    <w:rsid w:val="7D13193C"/>
    <w:rsid w:val="7D4266D7"/>
    <w:rsid w:val="7D472D1A"/>
    <w:rsid w:val="7D5D6F74"/>
    <w:rsid w:val="7D601F3B"/>
    <w:rsid w:val="7D761CE9"/>
    <w:rsid w:val="7D8243BD"/>
    <w:rsid w:val="7D8945C2"/>
    <w:rsid w:val="7D8A5F67"/>
    <w:rsid w:val="7D8C0BDD"/>
    <w:rsid w:val="7DA06E1F"/>
    <w:rsid w:val="7DAE304B"/>
    <w:rsid w:val="7DB15570"/>
    <w:rsid w:val="7DCC15DA"/>
    <w:rsid w:val="7DD03539"/>
    <w:rsid w:val="7DD439E6"/>
    <w:rsid w:val="7DD87C6A"/>
    <w:rsid w:val="7DDC1197"/>
    <w:rsid w:val="7DEC38B0"/>
    <w:rsid w:val="7DF35B77"/>
    <w:rsid w:val="7DF677CE"/>
    <w:rsid w:val="7DFF1AC9"/>
    <w:rsid w:val="7DFF7617"/>
    <w:rsid w:val="7E0B40AE"/>
    <w:rsid w:val="7E1129AE"/>
    <w:rsid w:val="7E133051"/>
    <w:rsid w:val="7E162C8D"/>
    <w:rsid w:val="7E3B64D4"/>
    <w:rsid w:val="7E423FB4"/>
    <w:rsid w:val="7E45796C"/>
    <w:rsid w:val="7E511508"/>
    <w:rsid w:val="7E6064D5"/>
    <w:rsid w:val="7E9732FE"/>
    <w:rsid w:val="7EA17C38"/>
    <w:rsid w:val="7EA72C4B"/>
    <w:rsid w:val="7EBF234E"/>
    <w:rsid w:val="7ED75CF7"/>
    <w:rsid w:val="7EF73CFC"/>
    <w:rsid w:val="7EFE5F50"/>
    <w:rsid w:val="7F0D3AF7"/>
    <w:rsid w:val="7F157C0B"/>
    <w:rsid w:val="7F16010E"/>
    <w:rsid w:val="7F1A3607"/>
    <w:rsid w:val="7F1C53A8"/>
    <w:rsid w:val="7F2068DA"/>
    <w:rsid w:val="7F36487E"/>
    <w:rsid w:val="7F4517B6"/>
    <w:rsid w:val="7F7C6DB1"/>
    <w:rsid w:val="7F821C5A"/>
    <w:rsid w:val="7F8965C3"/>
    <w:rsid w:val="7F9C2DA1"/>
    <w:rsid w:val="7FA43404"/>
    <w:rsid w:val="7FA73543"/>
    <w:rsid w:val="7FA82947"/>
    <w:rsid w:val="7FB235C0"/>
    <w:rsid w:val="7FB74A68"/>
    <w:rsid w:val="7FC8148D"/>
    <w:rsid w:val="7FC832C7"/>
    <w:rsid w:val="7FE74EBB"/>
    <w:rsid w:val="7FF26EB8"/>
    <w:rsid w:val="7FFEE84E"/>
    <w:rsid w:val="7FFFDB58"/>
    <w:rsid w:val="9CFEFA2E"/>
    <w:rsid w:val="BADC0904"/>
    <w:rsid w:val="BFFCF5BC"/>
    <w:rsid w:val="CE079F28"/>
    <w:rsid w:val="CFFF7A99"/>
    <w:rsid w:val="D7FFAE54"/>
    <w:rsid w:val="DFFE6988"/>
    <w:rsid w:val="EEB77663"/>
    <w:rsid w:val="EEF7CBD3"/>
    <w:rsid w:val="EF7FE6FD"/>
    <w:rsid w:val="EFCF391E"/>
    <w:rsid w:val="EFFF7B61"/>
    <w:rsid w:val="EFFF8EF5"/>
    <w:rsid w:val="F63DED63"/>
    <w:rsid w:val="F7B43729"/>
    <w:rsid w:val="F7F71804"/>
    <w:rsid w:val="FEEA20D0"/>
    <w:rsid w:val="FEFBE4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name="annotation text"/>
    <w:lsdException w:uiPriority="99" w:semiHidden="0" w:name="header"/>
    <w:lsdException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1"/>
    <w:link w:val="80"/>
    <w:qFormat/>
    <w:uiPriority w:val="0"/>
    <w:pPr>
      <w:keepNext/>
      <w:keepLines/>
      <w:widowControl w:val="0"/>
      <w:tabs>
        <w:tab w:val="left" w:pos="840"/>
      </w:tabs>
      <w:adjustRightInd w:val="0"/>
      <w:snapToGrid w:val="0"/>
      <w:spacing w:line="360" w:lineRule="auto"/>
      <w:jc w:val="both"/>
      <w:outlineLvl w:val="0"/>
    </w:pPr>
    <w:rPr>
      <w:rFonts w:ascii="宋体" w:hAnsi="Times New Roman"/>
      <w:b/>
      <w:kern w:val="44"/>
      <w:sz w:val="24"/>
    </w:rPr>
  </w:style>
  <w:style w:type="paragraph" w:styleId="3">
    <w:name w:val="heading 2"/>
    <w:basedOn w:val="1"/>
    <w:next w:val="1"/>
    <w:link w:val="77"/>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widowControl w:val="0"/>
      <w:spacing w:before="260" w:after="260" w:line="360" w:lineRule="auto"/>
      <w:jc w:val="center"/>
      <w:outlineLvl w:val="2"/>
    </w:pPr>
    <w:rPr>
      <w:b/>
      <w:kern w:val="2"/>
      <w:sz w:val="32"/>
    </w:rPr>
  </w:style>
  <w:style w:type="paragraph" w:styleId="5">
    <w:name w:val="heading 4"/>
    <w:basedOn w:val="1"/>
    <w:next w:val="6"/>
    <w:qFormat/>
    <w:uiPriority w:val="0"/>
    <w:pPr>
      <w:keepNext/>
      <w:widowControl w:val="0"/>
      <w:numPr>
        <w:ilvl w:val="0"/>
        <w:numId w:val="1"/>
      </w:numPr>
      <w:tabs>
        <w:tab w:val="left" w:pos="720"/>
        <w:tab w:val="clear" w:pos="420"/>
      </w:tabs>
      <w:jc w:val="both"/>
      <w:outlineLvl w:val="3"/>
    </w:pPr>
    <w:rPr>
      <w:rFonts w:ascii="宋体"/>
      <w:kern w:val="2"/>
      <w:sz w:val="28"/>
    </w:rPr>
  </w:style>
  <w:style w:type="paragraph" w:styleId="7">
    <w:name w:val="heading 5"/>
    <w:basedOn w:val="1"/>
    <w:next w:val="1"/>
    <w:qFormat/>
    <w:uiPriority w:val="0"/>
    <w:pPr>
      <w:keepNext/>
      <w:widowControl w:val="0"/>
      <w:autoSpaceDE w:val="0"/>
      <w:autoSpaceDN w:val="0"/>
      <w:adjustRightInd w:val="0"/>
      <w:jc w:val="both"/>
      <w:outlineLvl w:val="4"/>
    </w:pPr>
    <w:rPr>
      <w:color w:val="000000"/>
      <w:kern w:val="2"/>
      <w:sz w:val="28"/>
    </w:rPr>
  </w:style>
  <w:style w:type="character" w:default="1" w:styleId="41">
    <w:name w:val="Default Paragraph Font"/>
    <w:unhideWhenUsed/>
    <w:uiPriority w:val="1"/>
  </w:style>
  <w:style w:type="table" w:default="1" w:styleId="3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Normal Indent"/>
    <w:basedOn w:val="1"/>
    <w:next w:val="1"/>
    <w:link w:val="70"/>
    <w:uiPriority w:val="0"/>
    <w:pPr>
      <w:ind w:firstLine="420"/>
    </w:pPr>
    <w:rPr>
      <w:rFonts w:ascii="Times New Roman" w:hAnsi="Times New Roman"/>
    </w:rPr>
  </w:style>
  <w:style w:type="paragraph" w:styleId="8">
    <w:name w:val="caption"/>
    <w:basedOn w:val="1"/>
    <w:next w:val="1"/>
    <w:qFormat/>
    <w:uiPriority w:val="0"/>
    <w:pPr>
      <w:widowControl w:val="0"/>
      <w:spacing w:before="152" w:after="160"/>
      <w:jc w:val="both"/>
    </w:pPr>
    <w:rPr>
      <w:rFonts w:ascii="Arial" w:hAnsi="Arial" w:eastAsia="黑体" w:cs="Arial"/>
      <w:kern w:val="2"/>
      <w:sz w:val="20"/>
    </w:rPr>
  </w:style>
  <w:style w:type="paragraph" w:styleId="9">
    <w:name w:val="index 5"/>
    <w:basedOn w:val="1"/>
    <w:next w:val="1"/>
    <w:unhideWhenUsed/>
    <w:qFormat/>
    <w:uiPriority w:val="99"/>
    <w:pPr>
      <w:ind w:left="800" w:leftChars="800"/>
    </w:pPr>
  </w:style>
  <w:style w:type="paragraph" w:styleId="10">
    <w:name w:val="List Bullet"/>
    <w:basedOn w:val="1"/>
    <w:uiPriority w:val="0"/>
    <w:pPr>
      <w:widowControl w:val="0"/>
      <w:numPr>
        <w:ilvl w:val="0"/>
        <w:numId w:val="2"/>
      </w:numPr>
      <w:ind w:hangingChars="200"/>
      <w:contextualSpacing/>
      <w:jc w:val="both"/>
    </w:pPr>
    <w:rPr>
      <w:kern w:val="2"/>
    </w:rPr>
  </w:style>
  <w:style w:type="paragraph" w:styleId="11">
    <w:name w:val="Document Map"/>
    <w:basedOn w:val="1"/>
    <w:link w:val="59"/>
    <w:uiPriority w:val="0"/>
    <w:pPr>
      <w:widowControl w:val="0"/>
      <w:jc w:val="both"/>
    </w:pPr>
    <w:rPr>
      <w:rFonts w:ascii="Heiti SC Light" w:eastAsia="Heiti SC Light"/>
      <w:kern w:val="2"/>
      <w:sz w:val="24"/>
      <w:szCs w:val="24"/>
    </w:rPr>
  </w:style>
  <w:style w:type="paragraph" w:styleId="12">
    <w:name w:val="toa heading"/>
    <w:basedOn w:val="1"/>
    <w:next w:val="1"/>
    <w:qFormat/>
    <w:uiPriority w:val="0"/>
    <w:pPr>
      <w:spacing w:before="120"/>
    </w:pPr>
    <w:rPr>
      <w:rFonts w:ascii="Arial" w:hAnsi="Arial"/>
      <w:sz w:val="24"/>
    </w:rPr>
  </w:style>
  <w:style w:type="paragraph" w:styleId="13">
    <w:name w:val="annotation text"/>
    <w:basedOn w:val="1"/>
    <w:link w:val="90"/>
    <w:semiHidden/>
    <w:uiPriority w:val="0"/>
  </w:style>
  <w:style w:type="paragraph" w:styleId="14">
    <w:name w:val="Body Text 3"/>
    <w:basedOn w:val="1"/>
    <w:uiPriority w:val="0"/>
    <w:pPr>
      <w:widowControl w:val="0"/>
      <w:spacing w:after="120"/>
      <w:jc w:val="both"/>
    </w:pPr>
    <w:rPr>
      <w:kern w:val="2"/>
      <w:sz w:val="16"/>
      <w:szCs w:val="16"/>
    </w:rPr>
  </w:style>
  <w:style w:type="paragraph" w:styleId="15">
    <w:name w:val="Body Text"/>
    <w:basedOn w:val="1"/>
    <w:next w:val="16"/>
    <w:link w:val="88"/>
    <w:uiPriority w:val="0"/>
    <w:pPr>
      <w:widowControl w:val="0"/>
      <w:spacing w:line="360" w:lineRule="auto"/>
      <w:jc w:val="both"/>
    </w:pPr>
    <w:rPr>
      <w:rFonts w:ascii="楷体_GB2312" w:hAnsi="Times New Roman" w:eastAsia="楷体_GB2312"/>
      <w:kern w:val="2"/>
      <w:sz w:val="32"/>
    </w:rPr>
  </w:style>
  <w:style w:type="paragraph" w:styleId="16">
    <w:name w:val="Body Text First Indent"/>
    <w:basedOn w:val="15"/>
    <w:next w:val="17"/>
    <w:autoRedefine/>
    <w:unhideWhenUsed/>
    <w:qFormat/>
    <w:uiPriority w:val="99"/>
    <w:pPr>
      <w:adjustRightInd/>
      <w:spacing w:after="120" w:line="240" w:lineRule="auto"/>
      <w:ind w:firstLine="420" w:firstLineChars="100"/>
      <w:jc w:val="both"/>
    </w:pPr>
    <w:rPr>
      <w:rFonts w:ascii="Times New Roman"/>
      <w:kern w:val="2"/>
      <w:sz w:val="21"/>
      <w:szCs w:val="24"/>
    </w:rPr>
  </w:style>
  <w:style w:type="paragraph" w:styleId="17">
    <w:name w:val="toc 6"/>
    <w:basedOn w:val="1"/>
    <w:next w:val="1"/>
    <w:qFormat/>
    <w:uiPriority w:val="0"/>
    <w:pPr>
      <w:ind w:left="1000"/>
    </w:pPr>
    <w:rPr>
      <w:sz w:val="18"/>
    </w:rPr>
  </w:style>
  <w:style w:type="paragraph" w:styleId="18">
    <w:name w:val="Body Text Indent"/>
    <w:basedOn w:val="1"/>
    <w:next w:val="1"/>
    <w:unhideWhenUsed/>
    <w:uiPriority w:val="0"/>
    <w:pPr>
      <w:widowControl w:val="0"/>
      <w:spacing w:after="120"/>
      <w:ind w:left="420" w:leftChars="200"/>
      <w:jc w:val="both"/>
    </w:pPr>
    <w:rPr>
      <w:kern w:val="2"/>
    </w:rPr>
  </w:style>
  <w:style w:type="paragraph" w:styleId="19">
    <w:name w:val="List 2"/>
    <w:basedOn w:val="1"/>
    <w:uiPriority w:val="0"/>
    <w:pPr>
      <w:widowControl w:val="0"/>
      <w:ind w:left="100" w:leftChars="200" w:hanging="200" w:hangingChars="200"/>
      <w:jc w:val="both"/>
    </w:pPr>
    <w:rPr>
      <w:rFonts w:ascii="Calibri" w:hAnsi="Calibri"/>
      <w:kern w:val="2"/>
      <w:szCs w:val="22"/>
    </w:rPr>
  </w:style>
  <w:style w:type="paragraph" w:styleId="20">
    <w:name w:val="Block Text"/>
    <w:basedOn w:val="1"/>
    <w:qFormat/>
    <w:uiPriority w:val="99"/>
    <w:pPr>
      <w:adjustRightInd w:val="0"/>
      <w:spacing w:line="300" w:lineRule="auto"/>
      <w:ind w:left="958" w:right="-120" w:rightChars="-120"/>
      <w:jc w:val="left"/>
    </w:pPr>
    <w:rPr>
      <w:rFonts w:ascii="宋体" w:hAnsi="宋体"/>
      <w:sz w:val="28"/>
    </w:rPr>
  </w:style>
  <w:style w:type="paragraph" w:styleId="21">
    <w:name w:val="toc 3"/>
    <w:basedOn w:val="1"/>
    <w:next w:val="1"/>
    <w:semiHidden/>
    <w:uiPriority w:val="0"/>
    <w:pPr>
      <w:ind w:left="840" w:leftChars="400"/>
    </w:pPr>
  </w:style>
  <w:style w:type="paragraph" w:styleId="22">
    <w:name w:val="Plain Text"/>
    <w:basedOn w:val="1"/>
    <w:next w:val="1"/>
    <w:link w:val="51"/>
    <w:uiPriority w:val="0"/>
    <w:pPr>
      <w:widowControl w:val="0"/>
      <w:spacing w:beforeLines="50" w:afterLines="50" w:line="400" w:lineRule="atLeast"/>
      <w:jc w:val="both"/>
    </w:pPr>
    <w:rPr>
      <w:rFonts w:ascii="宋体" w:hAnsi="Courier New"/>
      <w:kern w:val="2"/>
      <w:sz w:val="24"/>
      <w:szCs w:val="24"/>
    </w:rPr>
  </w:style>
  <w:style w:type="paragraph" w:styleId="23">
    <w:name w:val="Date"/>
    <w:basedOn w:val="1"/>
    <w:next w:val="1"/>
    <w:uiPriority w:val="0"/>
    <w:pPr>
      <w:ind w:left="100" w:leftChars="2500"/>
    </w:pPr>
  </w:style>
  <w:style w:type="paragraph" w:styleId="24">
    <w:name w:val="Body Text Indent 2"/>
    <w:basedOn w:val="1"/>
    <w:uiPriority w:val="0"/>
    <w:pPr>
      <w:spacing w:after="120" w:line="480" w:lineRule="auto"/>
      <w:ind w:left="420" w:leftChars="200"/>
    </w:pPr>
  </w:style>
  <w:style w:type="paragraph" w:styleId="25">
    <w:name w:val="Balloon Text"/>
    <w:basedOn w:val="1"/>
    <w:link w:val="50"/>
    <w:unhideWhenUsed/>
    <w:uiPriority w:val="99"/>
    <w:rPr>
      <w:rFonts w:ascii="Times New Roman" w:hAnsi="Times New Roman"/>
      <w:sz w:val="18"/>
      <w:szCs w:val="18"/>
    </w:rPr>
  </w:style>
  <w:style w:type="paragraph" w:styleId="26">
    <w:name w:val="footer"/>
    <w:basedOn w:val="1"/>
    <w:link w:val="71"/>
    <w:uiPriority w:val="0"/>
    <w:pPr>
      <w:tabs>
        <w:tab w:val="center" w:pos="4153"/>
        <w:tab w:val="right" w:pos="8306"/>
      </w:tabs>
      <w:snapToGrid w:val="0"/>
    </w:pPr>
    <w:rPr>
      <w:rFonts w:ascii="Times New Roman" w:hAnsi="Times New Roman"/>
      <w:sz w:val="18"/>
    </w:rPr>
  </w:style>
  <w:style w:type="paragraph" w:styleId="27">
    <w:name w:val="header"/>
    <w:basedOn w:val="1"/>
    <w:link w:val="87"/>
    <w:unhideWhenUsed/>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28">
    <w:name w:val="toc 1"/>
    <w:basedOn w:val="1"/>
    <w:next w:val="1"/>
    <w:uiPriority w:val="39"/>
    <w:pPr>
      <w:tabs>
        <w:tab w:val="right" w:leader="middleDot" w:pos="8948"/>
      </w:tabs>
    </w:pPr>
    <w:rPr>
      <w:rFonts w:ascii="宋体" w:hAnsi="宋体"/>
      <w:bCs/>
      <w:caps/>
      <w:szCs w:val="21"/>
    </w:rPr>
  </w:style>
  <w:style w:type="paragraph" w:styleId="29">
    <w:name w:val="footnote text"/>
    <w:basedOn w:val="1"/>
    <w:next w:val="9"/>
    <w:qFormat/>
    <w:uiPriority w:val="0"/>
    <w:pPr>
      <w:snapToGrid w:val="0"/>
      <w:spacing w:line="360" w:lineRule="auto"/>
      <w:ind w:left="539" w:hanging="539"/>
      <w:jc w:val="left"/>
    </w:pPr>
    <w:rPr>
      <w:rFonts w:eastAsia="宋体"/>
      <w:sz w:val="18"/>
      <w:szCs w:val="18"/>
    </w:rPr>
  </w:style>
  <w:style w:type="paragraph" w:styleId="30">
    <w:name w:val="table of figures"/>
    <w:basedOn w:val="1"/>
    <w:next w:val="1"/>
    <w:autoRedefine/>
    <w:semiHidden/>
    <w:qFormat/>
    <w:uiPriority w:val="0"/>
    <w:pPr>
      <w:ind w:left="840" w:leftChars="200" w:hanging="420" w:hangingChars="200"/>
    </w:pPr>
  </w:style>
  <w:style w:type="paragraph" w:styleId="31">
    <w:name w:val="toc 2"/>
    <w:basedOn w:val="1"/>
    <w:next w:val="1"/>
    <w:autoRedefine/>
    <w:uiPriority w:val="39"/>
    <w:pPr>
      <w:tabs>
        <w:tab w:val="right" w:leader="middleDot" w:pos="8948"/>
      </w:tabs>
      <w:spacing w:before="60" w:after="60"/>
      <w:ind w:left="210"/>
    </w:pPr>
    <w:rPr>
      <w:smallCaps/>
    </w:rPr>
  </w:style>
  <w:style w:type="paragraph" w:styleId="32">
    <w:name w:val="Body Text 2"/>
    <w:basedOn w:val="1"/>
    <w:uiPriority w:val="0"/>
    <w:pPr>
      <w:spacing w:after="120" w:line="480" w:lineRule="auto"/>
    </w:pPr>
  </w:style>
  <w:style w:type="paragraph" w:styleId="3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4">
    <w:name w:val="Normal (Web)"/>
    <w:basedOn w:val="1"/>
    <w:autoRedefine/>
    <w:qFormat/>
    <w:uiPriority w:val="0"/>
    <w:pPr>
      <w:spacing w:before="100" w:beforeAutospacing="1" w:after="100" w:afterAutospacing="1"/>
    </w:pPr>
    <w:rPr>
      <w:rFonts w:ascii="Arial Unicode MS" w:hAnsi="Arial Unicode MS" w:eastAsia="Times New Roman"/>
      <w:color w:val="000000"/>
      <w:sz w:val="24"/>
      <w:szCs w:val="24"/>
    </w:rPr>
  </w:style>
  <w:style w:type="paragraph" w:styleId="35">
    <w:name w:val="Title"/>
    <w:basedOn w:val="1"/>
    <w:next w:val="1"/>
    <w:link w:val="56"/>
    <w:autoRedefine/>
    <w:qFormat/>
    <w:uiPriority w:val="0"/>
    <w:pPr>
      <w:spacing w:before="240" w:after="60"/>
      <w:jc w:val="center"/>
      <w:outlineLvl w:val="0"/>
    </w:pPr>
    <w:rPr>
      <w:rFonts w:ascii="Cambria" w:hAnsi="Cambria"/>
      <w:b/>
      <w:bCs/>
      <w:sz w:val="32"/>
      <w:szCs w:val="32"/>
    </w:rPr>
  </w:style>
  <w:style w:type="paragraph" w:styleId="36">
    <w:name w:val="annotation subject"/>
    <w:basedOn w:val="13"/>
    <w:next w:val="13"/>
    <w:link w:val="94"/>
    <w:semiHidden/>
    <w:uiPriority w:val="0"/>
    <w:rPr>
      <w:b/>
      <w:bCs/>
    </w:rPr>
  </w:style>
  <w:style w:type="paragraph" w:styleId="37">
    <w:name w:val="Body Text First Indent 2"/>
    <w:basedOn w:val="18"/>
    <w:next w:val="12"/>
    <w:uiPriority w:val="0"/>
    <w:pPr>
      <w:spacing w:after="160"/>
      <w:ind w:firstLine="480" w:firstLineChars="200"/>
    </w:pPr>
    <w:rPr>
      <w:rFonts w:ascii="仿宋_GB2312" w:hAnsi="宋体" w:eastAsia="仿宋_GB2312" w:cs="宋体"/>
      <w:b/>
      <w:bCs/>
      <w:color w:val="000000"/>
      <w:kern w:val="0"/>
      <w:sz w:val="24"/>
      <w:szCs w:val="21"/>
    </w:rPr>
  </w:style>
  <w:style w:type="table" w:styleId="39">
    <w:name w:val="Table Grid"/>
    <w:basedOn w:val="38"/>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0">
    <w:name w:val="Table Professional"/>
    <w:basedOn w:val="38"/>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42">
    <w:name w:val="Strong"/>
    <w:qFormat/>
    <w:uiPriority w:val="0"/>
    <w:rPr>
      <w:b/>
      <w:bCs/>
    </w:rPr>
  </w:style>
  <w:style w:type="character" w:styleId="43">
    <w:name w:val="page number"/>
    <w:basedOn w:val="41"/>
    <w:uiPriority w:val="0"/>
  </w:style>
  <w:style w:type="character" w:styleId="44">
    <w:name w:val="FollowedHyperlink"/>
    <w:uiPriority w:val="0"/>
    <w:rPr>
      <w:b/>
      <w:color w:val="333333"/>
      <w:sz w:val="21"/>
      <w:szCs w:val="21"/>
      <w:u w:val="none"/>
      <w:shd w:val="clear" w:color="auto" w:fill="00930F"/>
    </w:rPr>
  </w:style>
  <w:style w:type="character" w:styleId="45">
    <w:name w:val="Emphasis"/>
    <w:basedOn w:val="41"/>
    <w:qFormat/>
    <w:uiPriority w:val="0"/>
    <w:rPr>
      <w:i/>
      <w:iCs/>
    </w:rPr>
  </w:style>
  <w:style w:type="character" w:styleId="46">
    <w:name w:val="Hyperlink"/>
    <w:autoRedefine/>
    <w:uiPriority w:val="99"/>
    <w:rPr>
      <w:rFonts w:hint="eastAsia" w:ascii="宋体" w:hAnsi="宋体" w:eastAsia="宋体" w:cs="宋体"/>
      <w:color w:val="000000"/>
      <w:sz w:val="18"/>
      <w:szCs w:val="18"/>
      <w:u w:val="none"/>
    </w:rPr>
  </w:style>
  <w:style w:type="character" w:styleId="47">
    <w:name w:val="annotation reference"/>
    <w:autoRedefine/>
    <w:semiHidden/>
    <w:qFormat/>
    <w:uiPriority w:val="0"/>
    <w:rPr>
      <w:sz w:val="21"/>
      <w:szCs w:val="21"/>
    </w:rPr>
  </w:style>
  <w:style w:type="character" w:customStyle="1" w:styleId="48">
    <w:name w:val="自定义正文 Char Char"/>
    <w:link w:val="49"/>
    <w:autoRedefine/>
    <w:qFormat/>
    <w:uiPriority w:val="0"/>
    <w:rPr>
      <w:rFonts w:eastAsia="宋体"/>
      <w:kern w:val="2"/>
      <w:sz w:val="24"/>
      <w:lang w:val="en-US" w:eastAsia="zh-CN" w:bidi="ar-SA"/>
    </w:rPr>
  </w:style>
  <w:style w:type="paragraph" w:customStyle="1" w:styleId="49">
    <w:name w:val="自定义正文"/>
    <w:basedOn w:val="1"/>
    <w:link w:val="48"/>
    <w:autoRedefine/>
    <w:qFormat/>
    <w:uiPriority w:val="0"/>
    <w:pPr>
      <w:widowControl w:val="0"/>
      <w:spacing w:afterLines="50" w:line="360" w:lineRule="auto"/>
      <w:ind w:firstLine="200" w:firstLineChars="200"/>
    </w:pPr>
    <w:rPr>
      <w:kern w:val="2"/>
      <w:sz w:val="24"/>
    </w:rPr>
  </w:style>
  <w:style w:type="character" w:customStyle="1" w:styleId="50">
    <w:name w:val="批注框文本 字符"/>
    <w:link w:val="25"/>
    <w:autoRedefine/>
    <w:semiHidden/>
    <w:qFormat/>
    <w:uiPriority w:val="99"/>
    <w:rPr>
      <w:rFonts w:ascii="Times New Roman" w:hAnsi="Times New Roman"/>
      <w:sz w:val="18"/>
      <w:szCs w:val="18"/>
    </w:rPr>
  </w:style>
  <w:style w:type="character" w:customStyle="1" w:styleId="51">
    <w:name w:val="纯文本 字符"/>
    <w:link w:val="22"/>
    <w:autoRedefine/>
    <w:qFormat/>
    <w:uiPriority w:val="0"/>
    <w:rPr>
      <w:rFonts w:ascii="宋体" w:hAnsi="Courier New"/>
      <w:kern w:val="2"/>
      <w:sz w:val="24"/>
      <w:szCs w:val="24"/>
      <w:lang w:bidi="ar-SA"/>
    </w:rPr>
  </w:style>
  <w:style w:type="character" w:customStyle="1" w:styleId="52">
    <w:name w:val="font01"/>
    <w:autoRedefine/>
    <w:qFormat/>
    <w:uiPriority w:val="0"/>
    <w:rPr>
      <w:rFonts w:hint="default" w:ascii="华文细黑" w:hAnsi="华文细黑" w:eastAsia="华文细黑" w:cs="华文细黑"/>
      <w:b/>
      <w:color w:val="000000"/>
      <w:sz w:val="21"/>
      <w:szCs w:val="21"/>
      <w:u w:val="none"/>
    </w:rPr>
  </w:style>
  <w:style w:type="character" w:customStyle="1" w:styleId="53">
    <w:name w:val="正文文本 (2) + MingLiU1"/>
    <w:basedOn w:val="54"/>
    <w:autoRedefine/>
    <w:qFormat/>
    <w:uiPriority w:val="0"/>
    <w:rPr>
      <w:rFonts w:ascii="MingLiU" w:hAnsi="MingLiU" w:eastAsia="MingLiU" w:cs="MingLiU"/>
      <w:color w:val="000000"/>
      <w:spacing w:val="0"/>
      <w:w w:val="100"/>
      <w:position w:val="0"/>
      <w:sz w:val="22"/>
      <w:szCs w:val="22"/>
      <w:lang w:val="zh-CN" w:eastAsia="zh-CN" w:bidi="zh-CN"/>
    </w:rPr>
  </w:style>
  <w:style w:type="character" w:customStyle="1" w:styleId="54">
    <w:name w:val="正文文本 (2)_"/>
    <w:basedOn w:val="41"/>
    <w:link w:val="55"/>
    <w:autoRedefine/>
    <w:qFormat/>
    <w:uiPriority w:val="0"/>
    <w:rPr>
      <w:rFonts w:ascii="Times New Roman" w:hAnsi="Times New Roman" w:eastAsia="Times New Roman" w:cs="Times New Roman"/>
      <w:sz w:val="20"/>
      <w:szCs w:val="20"/>
      <w:u w:val="none"/>
    </w:rPr>
  </w:style>
  <w:style w:type="paragraph" w:customStyle="1" w:styleId="55">
    <w:name w:val="正文文本 (2)"/>
    <w:basedOn w:val="1"/>
    <w:link w:val="54"/>
    <w:autoRedefine/>
    <w:qFormat/>
    <w:uiPriority w:val="0"/>
    <w:pPr>
      <w:widowControl w:val="0"/>
      <w:shd w:val="clear" w:color="auto" w:fill="FFFFFF"/>
    </w:pPr>
    <w:rPr>
      <w:rFonts w:ascii="Times New Roman" w:hAnsi="Times New Roman" w:eastAsia="Times New Roman" w:cs="Times New Roman"/>
      <w:sz w:val="20"/>
      <w:szCs w:val="20"/>
      <w:u w:val="none"/>
    </w:rPr>
  </w:style>
  <w:style w:type="character" w:customStyle="1" w:styleId="56">
    <w:name w:val="标题 字符"/>
    <w:link w:val="35"/>
    <w:autoRedefine/>
    <w:qFormat/>
    <w:uiPriority w:val="0"/>
    <w:rPr>
      <w:rFonts w:ascii="Cambria" w:hAnsi="Cambria" w:cs="Times New Roman"/>
      <w:b/>
      <w:bCs/>
      <w:sz w:val="32"/>
      <w:szCs w:val="32"/>
    </w:rPr>
  </w:style>
  <w:style w:type="character" w:customStyle="1" w:styleId="57">
    <w:name w:val="普通文字 Char Char1"/>
    <w:autoRedefine/>
    <w:qFormat/>
    <w:uiPriority w:val="0"/>
    <w:rPr>
      <w:rFonts w:ascii="宋体" w:hAnsi="Courier New" w:eastAsia="宋体"/>
      <w:kern w:val="2"/>
      <w:sz w:val="24"/>
      <w:szCs w:val="24"/>
      <w:lang w:val="en-US" w:eastAsia="zh-CN" w:bidi="ar-SA"/>
    </w:rPr>
  </w:style>
  <w:style w:type="character" w:customStyle="1" w:styleId="58">
    <w:name w:val="font31"/>
    <w:basedOn w:val="41"/>
    <w:autoRedefine/>
    <w:qFormat/>
    <w:uiPriority w:val="0"/>
    <w:rPr>
      <w:rFonts w:hint="default" w:ascii="Arial" w:hAnsi="Arial" w:cs="Arial"/>
      <w:color w:val="0000FF"/>
      <w:sz w:val="21"/>
      <w:szCs w:val="21"/>
      <w:u w:val="none"/>
    </w:rPr>
  </w:style>
  <w:style w:type="character" w:customStyle="1" w:styleId="59">
    <w:name w:val="文档结构图 字符"/>
    <w:link w:val="11"/>
    <w:autoRedefine/>
    <w:qFormat/>
    <w:uiPriority w:val="0"/>
    <w:rPr>
      <w:rFonts w:ascii="Heiti SC Light" w:eastAsia="Heiti SC Light"/>
      <w:kern w:val="2"/>
      <w:sz w:val="24"/>
      <w:szCs w:val="24"/>
      <w:lang w:bidi="ar-SA"/>
    </w:rPr>
  </w:style>
  <w:style w:type="character" w:customStyle="1" w:styleId="60">
    <w:name w:val="font41"/>
    <w:basedOn w:val="41"/>
    <w:autoRedefine/>
    <w:qFormat/>
    <w:uiPriority w:val="0"/>
    <w:rPr>
      <w:rFonts w:hint="eastAsia" w:ascii="宋体" w:hAnsi="宋体" w:eastAsia="宋体" w:cs="宋体"/>
      <w:color w:val="0000FF"/>
      <w:sz w:val="21"/>
      <w:szCs w:val="21"/>
      <w:u w:val="none"/>
    </w:rPr>
  </w:style>
  <w:style w:type="character" w:customStyle="1" w:styleId="61">
    <w:name w:val="正文文本 (2) + MingLiU2"/>
    <w:basedOn w:val="54"/>
    <w:autoRedefine/>
    <w:qFormat/>
    <w:uiPriority w:val="0"/>
    <w:rPr>
      <w:rFonts w:ascii="MingLiU" w:hAnsi="MingLiU" w:eastAsia="MingLiU" w:cs="MingLiU"/>
      <w:color w:val="000000"/>
      <w:spacing w:val="0"/>
      <w:w w:val="100"/>
      <w:position w:val="0"/>
      <w:sz w:val="22"/>
      <w:szCs w:val="22"/>
      <w:lang w:val="zh-CN" w:eastAsia="zh-CN" w:bidi="zh-CN"/>
    </w:rPr>
  </w:style>
  <w:style w:type="character" w:customStyle="1" w:styleId="62">
    <w:name w:val="标书1 Char1"/>
    <w:autoRedefine/>
    <w:qFormat/>
    <w:uiPriority w:val="0"/>
    <w:rPr>
      <w:rFonts w:ascii="宋体" w:hAnsi="Times New Roman" w:eastAsia="宋体" w:cs="Times New Roman"/>
      <w:b/>
      <w:kern w:val="44"/>
      <w:sz w:val="24"/>
      <w:szCs w:val="20"/>
    </w:rPr>
  </w:style>
  <w:style w:type="character" w:customStyle="1" w:styleId="63">
    <w:name w:val="font11"/>
    <w:autoRedefine/>
    <w:qFormat/>
    <w:uiPriority w:val="0"/>
    <w:rPr>
      <w:rFonts w:hint="default" w:ascii="Times New Roman" w:hAnsi="Times New Roman" w:cs="Times New Roman"/>
      <w:b/>
      <w:color w:val="000000"/>
      <w:sz w:val="14"/>
      <w:szCs w:val="14"/>
      <w:u w:val="none"/>
    </w:rPr>
  </w:style>
  <w:style w:type="character" w:customStyle="1" w:styleId="64">
    <w:name w:val="_Style 63"/>
    <w:autoRedefine/>
    <w:unhideWhenUsed/>
    <w:qFormat/>
    <w:uiPriority w:val="99"/>
    <w:rPr>
      <w:color w:val="605E5C"/>
      <w:shd w:val="clear" w:color="auto" w:fill="E1DFDD"/>
    </w:rPr>
  </w:style>
  <w:style w:type="character" w:customStyle="1" w:styleId="65">
    <w:name w:val="Table Text Char1"/>
    <w:link w:val="66"/>
    <w:autoRedefine/>
    <w:qFormat/>
    <w:uiPriority w:val="0"/>
    <w:rPr>
      <w:rFonts w:ascii="Arial" w:hAnsi="Arial"/>
      <w:sz w:val="18"/>
      <w:lang w:val="en-US" w:eastAsia="zh-CN" w:bidi="ar-SA"/>
    </w:rPr>
  </w:style>
  <w:style w:type="paragraph" w:customStyle="1" w:styleId="66">
    <w:name w:val="Table Text"/>
    <w:link w:val="65"/>
    <w:autoRedefine/>
    <w:qFormat/>
    <w:uiPriority w:val="0"/>
    <w:pPr>
      <w:snapToGrid w:val="0"/>
      <w:spacing w:before="80" w:after="80"/>
    </w:pPr>
    <w:rPr>
      <w:rFonts w:ascii="Arial" w:hAnsi="Arial" w:eastAsia="宋体" w:cs="Times New Roman"/>
      <w:sz w:val="18"/>
      <w:lang w:val="en-US" w:eastAsia="zh-CN" w:bidi="ar-SA"/>
    </w:rPr>
  </w:style>
  <w:style w:type="character" w:customStyle="1" w:styleId="67">
    <w:name w:val="正文文本 (2) + MingLiU"/>
    <w:basedOn w:val="54"/>
    <w:autoRedefine/>
    <w:qFormat/>
    <w:uiPriority w:val="0"/>
    <w:rPr>
      <w:rFonts w:ascii="MingLiU" w:hAnsi="MingLiU" w:eastAsia="MingLiU" w:cs="MingLiU"/>
      <w:color w:val="000000"/>
      <w:spacing w:val="0"/>
      <w:w w:val="100"/>
      <w:position w:val="0"/>
      <w:sz w:val="23"/>
      <w:szCs w:val="23"/>
      <w:lang w:val="zh-CN" w:eastAsia="zh-CN" w:bidi="zh-CN"/>
    </w:rPr>
  </w:style>
  <w:style w:type="character" w:customStyle="1" w:styleId="68">
    <w:name w:val=" Char Char15"/>
    <w:autoRedefine/>
    <w:qFormat/>
    <w:uiPriority w:val="0"/>
    <w:rPr>
      <w:rFonts w:ascii="宋体" w:hAnsi="Times New Roman" w:eastAsia="宋体" w:cs="Times New Roman"/>
      <w:b/>
      <w:kern w:val="44"/>
      <w:sz w:val="24"/>
      <w:szCs w:val="20"/>
    </w:rPr>
  </w:style>
  <w:style w:type="character" w:customStyle="1" w:styleId="69">
    <w:name w:val="font91"/>
    <w:autoRedefine/>
    <w:qFormat/>
    <w:uiPriority w:val="0"/>
    <w:rPr>
      <w:rFonts w:hint="eastAsia" w:ascii="宋体" w:hAnsi="宋体" w:eastAsia="宋体" w:cs="宋体"/>
      <w:color w:val="000000"/>
      <w:sz w:val="22"/>
      <w:szCs w:val="22"/>
      <w:u w:val="none"/>
    </w:rPr>
  </w:style>
  <w:style w:type="character" w:customStyle="1" w:styleId="70">
    <w:name w:val="正文缩进 字符"/>
    <w:link w:val="6"/>
    <w:autoRedefine/>
    <w:qFormat/>
    <w:uiPriority w:val="0"/>
    <w:rPr>
      <w:rFonts w:ascii="Times New Roman" w:hAnsi="Times New Roman"/>
      <w:sz w:val="21"/>
    </w:rPr>
  </w:style>
  <w:style w:type="character" w:customStyle="1" w:styleId="71">
    <w:name w:val="页脚 字符"/>
    <w:link w:val="26"/>
    <w:autoRedefine/>
    <w:qFormat/>
    <w:uiPriority w:val="0"/>
    <w:rPr>
      <w:rFonts w:ascii="Times New Roman" w:hAnsi="Times New Roman" w:eastAsia="宋体" w:cs="Times New Roman"/>
      <w:kern w:val="0"/>
      <w:sz w:val="18"/>
      <w:szCs w:val="20"/>
    </w:rPr>
  </w:style>
  <w:style w:type="character" w:customStyle="1" w:styleId="72">
    <w:name w:val=" Char Char11"/>
    <w:autoRedefine/>
    <w:qFormat/>
    <w:uiPriority w:val="0"/>
    <w:rPr>
      <w:rFonts w:ascii="宋体" w:hAnsi="Times New Roman" w:eastAsia="宋体" w:cs="Times New Roman"/>
      <w:b/>
      <w:kern w:val="44"/>
      <w:sz w:val="24"/>
      <w:szCs w:val="20"/>
    </w:rPr>
  </w:style>
  <w:style w:type="character" w:customStyle="1" w:styleId="73">
    <w:name w:val="Heading 2 Char"/>
    <w:basedOn w:val="41"/>
    <w:link w:val="3"/>
    <w:autoRedefine/>
    <w:qFormat/>
    <w:locked/>
    <w:uiPriority w:val="99"/>
    <w:rPr>
      <w:rFonts w:ascii="Cambria" w:hAnsi="Cambria" w:eastAsia="宋体" w:cs="Times New Roman"/>
      <w:b/>
      <w:bCs/>
      <w:kern w:val="0"/>
      <w:sz w:val="32"/>
      <w:szCs w:val="32"/>
    </w:rPr>
  </w:style>
  <w:style w:type="character" w:customStyle="1" w:styleId="74">
    <w:name w:val="Intense Quote Char"/>
    <w:link w:val="75"/>
    <w:autoRedefine/>
    <w:qFormat/>
    <w:locked/>
    <w:uiPriority w:val="0"/>
    <w:rPr>
      <w:rFonts w:eastAsia="宋体"/>
      <w:b/>
      <w:bCs/>
      <w:i/>
      <w:iCs/>
      <w:color w:val="4F81BD"/>
      <w:kern w:val="2"/>
      <w:sz w:val="21"/>
      <w:lang w:val="en-US" w:eastAsia="zh-CN" w:bidi="ar-SA"/>
    </w:rPr>
  </w:style>
  <w:style w:type="paragraph" w:customStyle="1" w:styleId="75">
    <w:name w:val="Intense Quote"/>
    <w:basedOn w:val="1"/>
    <w:next w:val="1"/>
    <w:link w:val="74"/>
    <w:autoRedefine/>
    <w:qFormat/>
    <w:uiPriority w:val="0"/>
    <w:pPr>
      <w:widowControl w:val="0"/>
      <w:pBdr>
        <w:bottom w:val="single" w:color="4F81BD" w:sz="4" w:space="4"/>
      </w:pBdr>
      <w:spacing w:before="200" w:after="280"/>
      <w:ind w:left="936" w:right="936"/>
      <w:jc w:val="both"/>
    </w:pPr>
    <w:rPr>
      <w:b/>
      <w:bCs/>
      <w:i/>
      <w:iCs/>
      <w:color w:val="4F81BD"/>
      <w:kern w:val="2"/>
    </w:rPr>
  </w:style>
  <w:style w:type="character" w:customStyle="1" w:styleId="76">
    <w:name w:val="redfilenumber"/>
    <w:autoRedefine/>
    <w:qFormat/>
    <w:uiPriority w:val="0"/>
    <w:rPr>
      <w:color w:val="BA2636"/>
      <w:sz w:val="18"/>
      <w:szCs w:val="18"/>
    </w:rPr>
  </w:style>
  <w:style w:type="character" w:customStyle="1" w:styleId="77">
    <w:name w:val="标题 2 字符"/>
    <w:link w:val="3"/>
    <w:autoRedefine/>
    <w:semiHidden/>
    <w:qFormat/>
    <w:uiPriority w:val="9"/>
    <w:rPr>
      <w:rFonts w:ascii="Cambria" w:hAnsi="Cambria" w:eastAsia="宋体" w:cs="Times New Roman"/>
      <w:b/>
      <w:bCs/>
      <w:sz w:val="32"/>
      <w:szCs w:val="32"/>
    </w:rPr>
  </w:style>
  <w:style w:type="character" w:customStyle="1" w:styleId="78">
    <w:name w:val="redfilefwwh"/>
    <w:autoRedefine/>
    <w:qFormat/>
    <w:uiPriority w:val="0"/>
    <w:rPr>
      <w:color w:val="BA2636"/>
      <w:sz w:val="18"/>
      <w:szCs w:val="18"/>
    </w:rPr>
  </w:style>
  <w:style w:type="character" w:customStyle="1" w:styleId="79">
    <w:name w:val=" Char Char6"/>
    <w:autoRedefine/>
    <w:qFormat/>
    <w:uiPriority w:val="0"/>
    <w:rPr>
      <w:rFonts w:ascii="宋体" w:hAnsi="Times New Roman" w:eastAsia="宋体" w:cs="Times New Roman"/>
      <w:b/>
      <w:kern w:val="44"/>
      <w:sz w:val="24"/>
      <w:szCs w:val="20"/>
    </w:rPr>
  </w:style>
  <w:style w:type="character" w:customStyle="1" w:styleId="80">
    <w:name w:val="标题 1 字符"/>
    <w:link w:val="2"/>
    <w:autoRedefine/>
    <w:qFormat/>
    <w:uiPriority w:val="0"/>
    <w:rPr>
      <w:rFonts w:ascii="宋体" w:hAnsi="Times New Roman" w:eastAsia="宋体" w:cs="Times New Roman"/>
      <w:b/>
      <w:kern w:val="44"/>
      <w:sz w:val="24"/>
      <w:szCs w:val="20"/>
    </w:rPr>
  </w:style>
  <w:style w:type="character" w:customStyle="1" w:styleId="81">
    <w:name w:val="gjfg"/>
    <w:basedOn w:val="41"/>
    <w:autoRedefine/>
    <w:qFormat/>
    <w:uiPriority w:val="0"/>
  </w:style>
  <w:style w:type="character" w:customStyle="1" w:styleId="82">
    <w:name w:val="Header Char"/>
    <w:autoRedefine/>
    <w:qFormat/>
    <w:locked/>
    <w:uiPriority w:val="0"/>
    <w:rPr>
      <w:rFonts w:cs="Times New Roman"/>
      <w:sz w:val="18"/>
      <w:szCs w:val="18"/>
    </w:rPr>
  </w:style>
  <w:style w:type="character" w:customStyle="1" w:styleId="83">
    <w:name w:val="Char Char3"/>
    <w:autoRedefine/>
    <w:qFormat/>
    <w:locked/>
    <w:uiPriority w:val="0"/>
    <w:rPr>
      <w:rFonts w:ascii="楷体_GB2312" w:eastAsia="楷体_GB2312"/>
      <w:kern w:val="2"/>
      <w:sz w:val="32"/>
      <w:lang w:bidi="ar-SA"/>
    </w:rPr>
  </w:style>
  <w:style w:type="character" w:customStyle="1" w:styleId="84">
    <w:name w:val="表格非标题文字 Char"/>
    <w:link w:val="85"/>
    <w:autoRedefine/>
    <w:qFormat/>
    <w:uiPriority w:val="0"/>
    <w:rPr>
      <w:rFonts w:ascii="Futura Bk" w:hAnsi="Futura Bk"/>
      <w:kern w:val="2"/>
      <w:sz w:val="18"/>
      <w:szCs w:val="21"/>
      <w:lang w:val="en-US" w:eastAsia="zh-CN" w:bidi="ar-SA"/>
    </w:rPr>
  </w:style>
  <w:style w:type="paragraph" w:customStyle="1" w:styleId="85">
    <w:name w:val="表格非标题文字"/>
    <w:link w:val="84"/>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二 Char1"/>
    <w:autoRedefine/>
    <w:qFormat/>
    <w:uiPriority w:val="0"/>
    <w:rPr>
      <w:rFonts w:ascii="Times New Roman" w:hAnsi="Times New Roman"/>
      <w:sz w:val="21"/>
    </w:rPr>
  </w:style>
  <w:style w:type="character" w:customStyle="1" w:styleId="87">
    <w:name w:val="页眉 字符"/>
    <w:link w:val="27"/>
    <w:autoRedefine/>
    <w:qFormat/>
    <w:uiPriority w:val="99"/>
    <w:rPr>
      <w:rFonts w:ascii="Times New Roman" w:hAnsi="Times New Roman" w:eastAsia="宋体" w:cs="Times New Roman"/>
      <w:kern w:val="0"/>
      <w:sz w:val="18"/>
      <w:szCs w:val="18"/>
    </w:rPr>
  </w:style>
  <w:style w:type="character" w:customStyle="1" w:styleId="88">
    <w:name w:val="正文文本 字符"/>
    <w:link w:val="15"/>
    <w:autoRedefine/>
    <w:qFormat/>
    <w:uiPriority w:val="0"/>
    <w:rPr>
      <w:rFonts w:ascii="楷体_GB2312" w:hAnsi="Times New Roman" w:eastAsia="楷体_GB2312"/>
      <w:kern w:val="2"/>
      <w:sz w:val="32"/>
    </w:rPr>
  </w:style>
  <w:style w:type="character" w:customStyle="1" w:styleId="89">
    <w:name w:val="qxdate"/>
    <w:uiPriority w:val="0"/>
    <w:rPr>
      <w:color w:val="333333"/>
      <w:sz w:val="18"/>
      <w:szCs w:val="18"/>
    </w:rPr>
  </w:style>
  <w:style w:type="character" w:customStyle="1" w:styleId="90">
    <w:name w:val="批注文字 字符"/>
    <w:link w:val="13"/>
    <w:autoRedefine/>
    <w:semiHidden/>
    <w:qFormat/>
    <w:locked/>
    <w:uiPriority w:val="0"/>
    <w:rPr>
      <w:rFonts w:eastAsia="宋体"/>
      <w:sz w:val="21"/>
      <w:lang w:val="en-US" w:eastAsia="zh-CN" w:bidi="ar-SA"/>
    </w:rPr>
  </w:style>
  <w:style w:type="character" w:customStyle="1" w:styleId="91">
    <w:name w:val="列表段落 字符"/>
    <w:link w:val="92"/>
    <w:autoRedefine/>
    <w:qFormat/>
    <w:locked/>
    <w:uiPriority w:val="0"/>
    <w:rPr>
      <w:rFonts w:eastAsia="宋体"/>
      <w:sz w:val="21"/>
      <w:lang w:val="en-US" w:eastAsia="zh-CN" w:bidi="ar-SA"/>
    </w:rPr>
  </w:style>
  <w:style w:type="paragraph" w:styleId="92">
    <w:name w:val="List Paragraph"/>
    <w:basedOn w:val="1"/>
    <w:link w:val="91"/>
    <w:autoRedefine/>
    <w:qFormat/>
    <w:uiPriority w:val="0"/>
    <w:pPr>
      <w:ind w:firstLine="420" w:firstLineChars="200"/>
    </w:pPr>
  </w:style>
  <w:style w:type="character" w:customStyle="1" w:styleId="93">
    <w:name w:val="font21"/>
    <w:autoRedefine/>
    <w:qFormat/>
    <w:uiPriority w:val="0"/>
    <w:rPr>
      <w:rFonts w:hint="default" w:ascii="aril" w:hAnsi="aril" w:eastAsia="aril" w:cs="aril"/>
      <w:color w:val="FF0000"/>
      <w:sz w:val="18"/>
      <w:szCs w:val="18"/>
      <w:u w:val="none"/>
    </w:rPr>
  </w:style>
  <w:style w:type="character" w:customStyle="1" w:styleId="94">
    <w:name w:val="批注主题 字符"/>
    <w:link w:val="36"/>
    <w:autoRedefine/>
    <w:semiHidden/>
    <w:qFormat/>
    <w:locked/>
    <w:uiPriority w:val="0"/>
    <w:rPr>
      <w:rFonts w:eastAsia="宋体"/>
      <w:b/>
      <w:bCs/>
      <w:sz w:val="21"/>
      <w:lang w:val="en-US" w:eastAsia="zh-CN" w:bidi="ar-SA"/>
    </w:rPr>
  </w:style>
  <w:style w:type="character" w:customStyle="1" w:styleId="95">
    <w:name w:val="NormalCharacter"/>
    <w:autoRedefine/>
    <w:semiHidden/>
    <w:qFormat/>
    <w:uiPriority w:val="0"/>
  </w:style>
  <w:style w:type="character" w:customStyle="1" w:styleId="96">
    <w:name w:val="cfdate"/>
    <w:autoRedefine/>
    <w:qFormat/>
    <w:uiPriority w:val="0"/>
    <w:rPr>
      <w:color w:val="333333"/>
      <w:sz w:val="18"/>
      <w:szCs w:val="18"/>
    </w:rPr>
  </w:style>
  <w:style w:type="character" w:customStyle="1" w:styleId="97">
    <w:name w:val="displayarti"/>
    <w:autoRedefine/>
    <w:qFormat/>
    <w:uiPriority w:val="0"/>
    <w:rPr>
      <w:color w:val="FFFFFF"/>
      <w:shd w:val="clear" w:color="auto" w:fill="A00000"/>
    </w:rPr>
  </w:style>
  <w:style w:type="paragraph" w:customStyle="1" w:styleId="98">
    <w:name w:val="默认段落字体 Para Char Char Char Char Char Char Char Char Char1 Char Char Char Char"/>
    <w:basedOn w:val="1"/>
    <w:autoRedefine/>
    <w:qFormat/>
    <w:uiPriority w:val="0"/>
    <w:pPr>
      <w:widowControl w:val="0"/>
      <w:jc w:val="both"/>
    </w:pPr>
    <w:rPr>
      <w:rFonts w:ascii="Tahoma" w:hAnsi="Tahoma"/>
      <w:kern w:val="2"/>
      <w:sz w:val="24"/>
    </w:rPr>
  </w:style>
  <w:style w:type="paragraph" w:customStyle="1" w:styleId="99">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Char Char"/>
    <w:basedOn w:val="1"/>
    <w:autoRedefine/>
    <w:qFormat/>
    <w:uiPriority w:val="0"/>
    <w:pPr>
      <w:widowControl w:val="0"/>
      <w:jc w:val="both"/>
    </w:pPr>
    <w:rPr>
      <w:rFonts w:ascii="仿宋_GB2312" w:eastAsia="仿宋_GB2312"/>
      <w:b/>
      <w:kern w:val="2"/>
      <w:sz w:val="32"/>
      <w:szCs w:val="32"/>
    </w:rPr>
  </w:style>
  <w:style w:type="paragraph" w:customStyle="1" w:styleId="101">
    <w:name w:val="_Style 64"/>
    <w:basedOn w:val="1"/>
    <w:next w:val="1"/>
    <w:autoRedefine/>
    <w:qFormat/>
    <w:uiPriority w:val="39"/>
    <w:pPr>
      <w:tabs>
        <w:tab w:val="right" w:leader="middleDot" w:pos="8948"/>
      </w:tabs>
    </w:pPr>
    <w:rPr>
      <w:rFonts w:ascii="宋体" w:hAnsi="宋体"/>
      <w:b/>
      <w:bCs/>
      <w:caps/>
      <w:szCs w:val="21"/>
    </w:rPr>
  </w:style>
  <w:style w:type="paragraph" w:customStyle="1" w:styleId="102">
    <w:name w:val="_Style 32"/>
    <w:basedOn w:val="1"/>
    <w:autoRedefine/>
    <w:qFormat/>
    <w:uiPriority w:val="0"/>
    <w:pPr>
      <w:widowControl w:val="0"/>
      <w:jc w:val="both"/>
    </w:pPr>
    <w:rPr>
      <w:kern w:val="2"/>
    </w:rPr>
  </w:style>
  <w:style w:type="paragraph" w:customStyle="1" w:styleId="103">
    <w:name w:val=" Char Char Char Char Char Char Char Char Char Char Char Char Char Char Char Char Char Char Char"/>
    <w:basedOn w:val="1"/>
    <w:autoRedefine/>
    <w:qFormat/>
    <w:uiPriority w:val="0"/>
    <w:pPr>
      <w:widowControl w:val="0"/>
      <w:jc w:val="both"/>
    </w:pPr>
    <w:rPr>
      <w:rFonts w:ascii="仿宋_GB2312" w:eastAsia="仿宋_GB2312"/>
      <w:b/>
      <w:kern w:val="2"/>
      <w:sz w:val="32"/>
      <w:szCs w:val="32"/>
    </w:rPr>
  </w:style>
  <w:style w:type="paragraph" w:customStyle="1" w:styleId="104">
    <w:name w:val="pbulletcmt"/>
    <w:basedOn w:val="1"/>
    <w:autoRedefine/>
    <w:qFormat/>
    <w:uiPriority w:val="0"/>
    <w:pPr>
      <w:spacing w:before="100" w:beforeAutospacing="1" w:after="100" w:afterAutospacing="1"/>
    </w:pPr>
    <w:rPr>
      <w:sz w:val="24"/>
      <w:szCs w:val="24"/>
    </w:rPr>
  </w:style>
  <w:style w:type="paragraph" w:customStyle="1" w:styleId="105">
    <w:name w:val="_Style 35"/>
    <w:basedOn w:val="1"/>
    <w:autoRedefine/>
    <w:qFormat/>
    <w:uiPriority w:val="0"/>
    <w:pPr>
      <w:widowControl w:val="0"/>
      <w:jc w:val="both"/>
    </w:pPr>
    <w:rPr>
      <w:kern w:val="2"/>
    </w:rPr>
  </w:style>
  <w:style w:type="paragraph" w:customStyle="1" w:styleId="106">
    <w:name w:val="14shadhxxx"/>
    <w:basedOn w:val="1"/>
    <w:autoRedefine/>
    <w:qFormat/>
    <w:uiPriority w:val="0"/>
    <w:pPr>
      <w:spacing w:before="100" w:beforeAutospacing="1" w:after="100" w:afterAutospacing="1"/>
    </w:pPr>
    <w:rPr>
      <w:rFonts w:ascii="宋体" w:hAnsi="宋体"/>
      <w:b/>
      <w:bCs/>
      <w:color w:val="000000"/>
      <w:sz w:val="26"/>
      <w:szCs w:val="26"/>
    </w:rPr>
  </w:style>
  <w:style w:type="paragraph" w:customStyle="1" w:styleId="107">
    <w:name w:val="正文文字表格居中"/>
    <w:basedOn w:val="1"/>
    <w:next w:val="32"/>
    <w:autoRedefine/>
    <w:qFormat/>
    <w:uiPriority w:val="0"/>
    <w:pPr>
      <w:widowControl w:val="0"/>
      <w:spacing w:line="400" w:lineRule="exact"/>
      <w:jc w:val="center"/>
    </w:pPr>
    <w:rPr>
      <w:b/>
      <w:bCs/>
      <w:kern w:val="2"/>
      <w:sz w:val="24"/>
      <w:szCs w:val="24"/>
    </w:rPr>
  </w:style>
  <w:style w:type="paragraph" w:customStyle="1" w:styleId="108">
    <w:name w:val="l17"/>
    <w:basedOn w:val="1"/>
    <w:autoRedefine/>
    <w:qFormat/>
    <w:uiPriority w:val="0"/>
    <w:pPr>
      <w:spacing w:before="100" w:beforeAutospacing="1" w:after="100" w:afterAutospacing="1" w:line="318" w:lineRule="atLeast"/>
    </w:pPr>
    <w:rPr>
      <w:rFonts w:ascii="宋体" w:hAnsi="宋体"/>
      <w:sz w:val="24"/>
      <w:szCs w:val="24"/>
    </w:rPr>
  </w:style>
  <w:style w:type="paragraph" w:customStyle="1" w:styleId="109">
    <w:name w:val="font14"/>
    <w:basedOn w:val="1"/>
    <w:autoRedefine/>
    <w:qFormat/>
    <w:uiPriority w:val="0"/>
    <w:pPr>
      <w:spacing w:before="100" w:beforeAutospacing="1" w:after="100" w:afterAutospacing="1"/>
    </w:pPr>
    <w:rPr>
      <w:rFonts w:ascii="宋体" w:hAnsi="宋体"/>
      <w:color w:val="AECFEE"/>
      <w:sz w:val="24"/>
      <w:szCs w:val="24"/>
    </w:rPr>
  </w:style>
  <w:style w:type="paragraph" w:customStyle="1" w:styleId="110">
    <w:name w:val="b2-2"/>
    <w:basedOn w:val="1"/>
    <w:autoRedefine/>
    <w:qFormat/>
    <w:uiPriority w:val="0"/>
    <w:pPr>
      <w:spacing w:before="100" w:beforeAutospacing="1" w:after="100" w:afterAutospacing="1" w:line="355" w:lineRule="atLeast"/>
    </w:pPr>
    <w:rPr>
      <w:rFonts w:ascii="宋体" w:hAnsi="宋体"/>
      <w:sz w:val="24"/>
      <w:szCs w:val="24"/>
    </w:rPr>
  </w:style>
  <w:style w:type="paragraph" w:customStyle="1" w:styleId="111">
    <w:name w:val="正文－恩普"/>
    <w:basedOn w:val="6"/>
    <w:autoRedefine/>
    <w:qFormat/>
    <w:uiPriority w:val="0"/>
    <w:pPr>
      <w:framePr w:wrap="around" w:vAnchor="text" w:hAnchor="text" w:y="1"/>
      <w:widowControl w:val="0"/>
      <w:spacing w:line="360" w:lineRule="auto"/>
      <w:ind w:firstLine="200" w:firstLineChars="200"/>
      <w:jc w:val="both"/>
    </w:pPr>
    <w:rPr>
      <w:kern w:val="2"/>
      <w:sz w:val="24"/>
      <w:szCs w:val="24"/>
    </w:rPr>
  </w:style>
  <w:style w:type="paragraph" w:customStyle="1" w:styleId="112">
    <w:name w:val="right"/>
    <w:basedOn w:val="1"/>
    <w:autoRedefine/>
    <w:qFormat/>
    <w:uiPriority w:val="0"/>
    <w:pPr>
      <w:spacing w:before="100" w:beforeAutospacing="1" w:after="100" w:afterAutospacing="1"/>
    </w:pPr>
    <w:rPr>
      <w:rFonts w:ascii="宋体" w:hAnsi="宋体"/>
      <w:sz w:val="24"/>
      <w:szCs w:val="24"/>
    </w:rPr>
  </w:style>
  <w:style w:type="paragraph" w:customStyle="1" w:styleId="113">
    <w:name w:val="正文缩进1"/>
    <w:basedOn w:val="1"/>
    <w:autoRedefine/>
    <w:qFormat/>
    <w:uiPriority w:val="0"/>
    <w:pPr>
      <w:widowControl w:val="0"/>
      <w:spacing w:before="60" w:after="60" w:line="440" w:lineRule="exact"/>
      <w:ind w:right="-8" w:rightChars="-4" w:firstLine="490" w:firstLineChars="204"/>
      <w:jc w:val="both"/>
    </w:pPr>
    <w:rPr>
      <w:bCs/>
      <w:color w:val="000000"/>
      <w:kern w:val="2"/>
      <w:sz w:val="24"/>
    </w:rPr>
  </w:style>
  <w:style w:type="paragraph" w:customStyle="1" w:styleId="114">
    <w:name w:val="BodyTextIndent"/>
    <w:autoRedefine/>
    <w:qFormat/>
    <w:uiPriority w:val="0"/>
    <w:pPr>
      <w:spacing w:after="120"/>
      <w:ind w:left="420" w:leftChars="200"/>
      <w:jc w:val="both"/>
      <w:textAlignment w:val="baseline"/>
    </w:pPr>
    <w:rPr>
      <w:rFonts w:ascii="Times New Roman" w:hAnsi="Times New Roman" w:eastAsia="宋体" w:cs="Times New Roman"/>
      <w:color w:val="000000"/>
      <w:kern w:val="2"/>
      <w:sz w:val="21"/>
      <w:szCs w:val="24"/>
      <w:lang w:val="en-US" w:eastAsia="zh-CN" w:bidi="ar-SA"/>
    </w:rPr>
  </w:style>
  <w:style w:type="paragraph" w:customStyle="1" w:styleId="115">
    <w:name w:val="WPSOffice手动目录 2"/>
    <w:autoRedefine/>
    <w:qFormat/>
    <w:uiPriority w:val="0"/>
    <w:pPr>
      <w:ind w:leftChars="200"/>
    </w:pPr>
    <w:rPr>
      <w:rFonts w:ascii="Times New Roman" w:hAnsi="Times New Roman" w:eastAsia="宋体" w:cs="Times New Roman"/>
      <w:sz w:val="20"/>
      <w:szCs w:val="20"/>
    </w:rPr>
  </w:style>
  <w:style w:type="paragraph" w:customStyle="1" w:styleId="116">
    <w:name w:val="a1"/>
    <w:basedOn w:val="1"/>
    <w:autoRedefine/>
    <w:qFormat/>
    <w:uiPriority w:val="0"/>
    <w:pPr>
      <w:spacing w:before="100" w:beforeAutospacing="1" w:after="100" w:afterAutospacing="1"/>
    </w:pPr>
    <w:rPr>
      <w:rFonts w:ascii="宋体" w:hAnsi="宋体" w:cs="宋体"/>
      <w:sz w:val="24"/>
      <w:szCs w:val="24"/>
    </w:rPr>
  </w:style>
  <w:style w:type="paragraph" w:customStyle="1" w:styleId="117">
    <w:name w:val="l18"/>
    <w:basedOn w:val="1"/>
    <w:autoRedefine/>
    <w:qFormat/>
    <w:uiPriority w:val="0"/>
    <w:pPr>
      <w:spacing w:before="100" w:beforeAutospacing="1" w:after="100" w:afterAutospacing="1" w:line="337" w:lineRule="atLeast"/>
    </w:pPr>
    <w:rPr>
      <w:rFonts w:ascii="宋体" w:hAnsi="宋体"/>
      <w:sz w:val="24"/>
      <w:szCs w:val="24"/>
    </w:rPr>
  </w:style>
  <w:style w:type="paragraph" w:customStyle="1" w:styleId="118">
    <w:name w:val="BodyText1I2"/>
    <w:basedOn w:val="114"/>
    <w:autoRedefine/>
    <w:qFormat/>
    <w:uiPriority w:val="0"/>
    <w:pPr>
      <w:spacing w:after="120" w:line="240" w:lineRule="auto"/>
      <w:ind w:left="420" w:leftChars="200" w:firstLine="420" w:firstLineChars="200"/>
      <w:jc w:val="both"/>
      <w:textAlignment w:val="baseline"/>
    </w:pPr>
    <w:rPr>
      <w:rFonts w:ascii="Times New Roman" w:hAnsi="Times New Roman" w:eastAsia="宋体" w:cs="Times New Roman"/>
      <w:color w:val="000000"/>
      <w:kern w:val="2"/>
      <w:sz w:val="21"/>
      <w:szCs w:val="24"/>
      <w:lang w:val="en-US" w:eastAsia="zh-CN" w:bidi="ar-SA"/>
    </w:rPr>
  </w:style>
  <w:style w:type="paragraph" w:customStyle="1" w:styleId="119">
    <w:name w:val="_Style 118"/>
    <w:basedOn w:val="1"/>
    <w:next w:val="1"/>
    <w:autoRedefine/>
    <w:qFormat/>
    <w:uiPriority w:val="0"/>
    <w:pPr>
      <w:pBdr>
        <w:top w:val="single" w:color="auto" w:sz="6" w:space="1"/>
      </w:pBdr>
      <w:jc w:val="center"/>
    </w:pPr>
    <w:rPr>
      <w:rFonts w:ascii="Arial" w:hAnsi="Arial" w:cs="Arial"/>
      <w:vanish/>
      <w:sz w:val="16"/>
      <w:szCs w:val="16"/>
    </w:rPr>
  </w:style>
  <w:style w:type="paragraph" w:customStyle="1" w:styleId="120">
    <w:name w:val="p0"/>
    <w:basedOn w:val="1"/>
    <w:autoRedefine/>
    <w:qFormat/>
    <w:uiPriority w:val="0"/>
    <w:pPr>
      <w:jc w:val="both"/>
    </w:pPr>
    <w:rPr>
      <w:rFonts w:ascii="仿宋_GB2312" w:hAnsi="宋体" w:eastAsia="仿宋_GB2312" w:cs="宋体"/>
      <w:sz w:val="24"/>
      <w:szCs w:val="24"/>
    </w:rPr>
  </w:style>
  <w:style w:type="paragraph" w:customStyle="1" w:styleId="121">
    <w:name w:val="left"/>
    <w:basedOn w:val="1"/>
    <w:autoRedefine/>
    <w:qFormat/>
    <w:uiPriority w:val="0"/>
    <w:pPr>
      <w:spacing w:before="100" w:beforeAutospacing="1" w:after="100" w:afterAutospacing="1"/>
    </w:pPr>
    <w:rPr>
      <w:rFonts w:ascii="宋体" w:hAnsi="宋体"/>
      <w:sz w:val="24"/>
      <w:szCs w:val="24"/>
    </w:rPr>
  </w:style>
  <w:style w:type="paragraph" w:customStyle="1" w:styleId="122">
    <w:name w:val="p14_1"/>
    <w:basedOn w:val="1"/>
    <w:autoRedefine/>
    <w:qFormat/>
    <w:uiPriority w:val="0"/>
    <w:pPr>
      <w:spacing w:before="100" w:beforeAutospacing="1" w:after="100" w:afterAutospacing="1"/>
    </w:pPr>
    <w:rPr>
      <w:rFonts w:ascii="宋体" w:hAnsi="宋体"/>
      <w:color w:val="000000"/>
      <w:sz w:val="26"/>
      <w:szCs w:val="26"/>
    </w:rPr>
  </w:style>
  <w:style w:type="paragraph" w:customStyle="1" w:styleId="123">
    <w:name w:val="WPSOffice手动目录 1"/>
    <w:autoRedefine/>
    <w:qFormat/>
    <w:uiPriority w:val="0"/>
    <w:pPr>
      <w:ind w:leftChars="0"/>
    </w:pPr>
    <w:rPr>
      <w:rFonts w:ascii="Times New Roman" w:hAnsi="Times New Roman" w:eastAsia="宋体" w:cs="Times New Roman"/>
      <w:sz w:val="20"/>
      <w:szCs w:val="20"/>
    </w:rPr>
  </w:style>
  <w:style w:type="paragraph" w:customStyle="1" w:styleId="124">
    <w:name w:val="p14"/>
    <w:basedOn w:val="1"/>
    <w:autoRedefine/>
    <w:qFormat/>
    <w:uiPriority w:val="0"/>
    <w:pPr>
      <w:spacing w:before="100" w:beforeAutospacing="1" w:after="100" w:afterAutospacing="1" w:line="411" w:lineRule="atLeast"/>
    </w:pPr>
    <w:rPr>
      <w:rFonts w:ascii="宋体" w:hAnsi="宋体"/>
      <w:sz w:val="26"/>
      <w:szCs w:val="26"/>
    </w:rPr>
  </w:style>
  <w:style w:type="paragraph" w:customStyle="1" w:styleId="125">
    <w:name w:val="font4_1"/>
    <w:basedOn w:val="1"/>
    <w:autoRedefine/>
    <w:qFormat/>
    <w:uiPriority w:val="0"/>
    <w:pPr>
      <w:spacing w:before="100" w:beforeAutospacing="1" w:after="100" w:afterAutospacing="1"/>
    </w:pPr>
    <w:rPr>
      <w:rFonts w:ascii="宋体" w:hAnsi="宋体"/>
      <w:color w:val="FFFFFF"/>
      <w:sz w:val="24"/>
      <w:szCs w:val="24"/>
    </w:rPr>
  </w:style>
  <w:style w:type="paragraph" w:customStyle="1" w:styleId="126">
    <w:name w:val="font2"/>
    <w:basedOn w:val="1"/>
    <w:autoRedefine/>
    <w:qFormat/>
    <w:uiPriority w:val="0"/>
    <w:pPr>
      <w:spacing w:before="100" w:beforeAutospacing="1" w:after="100" w:afterAutospacing="1"/>
    </w:pPr>
    <w:rPr>
      <w:rFonts w:ascii="宋体" w:hAnsi="宋体"/>
      <w:color w:val="FF0000"/>
      <w:sz w:val="24"/>
      <w:szCs w:val="24"/>
    </w:rPr>
  </w:style>
  <w:style w:type="paragraph" w:customStyle="1" w:styleId="127">
    <w:name w:val="b3-1"/>
    <w:basedOn w:val="1"/>
    <w:autoRedefine/>
    <w:qFormat/>
    <w:uiPriority w:val="0"/>
    <w:pPr>
      <w:spacing w:before="100" w:beforeAutospacing="1" w:after="100" w:afterAutospacing="1" w:line="355" w:lineRule="atLeast"/>
    </w:pPr>
    <w:rPr>
      <w:rFonts w:ascii="宋体" w:hAnsi="宋体"/>
      <w:sz w:val="24"/>
      <w:szCs w:val="24"/>
    </w:rPr>
  </w:style>
  <w:style w:type="paragraph" w:customStyle="1" w:styleId="128">
    <w:name w:val="xl36"/>
    <w:basedOn w:val="1"/>
    <w:autoRedefine/>
    <w:qFormat/>
    <w:uiPriority w:val="0"/>
    <w:pPr>
      <w:pBdr>
        <w:left w:val="single" w:color="auto" w:sz="4" w:space="0"/>
        <w:right w:val="single" w:color="auto" w:sz="4" w:space="0"/>
      </w:pBdr>
      <w:spacing w:before="100" w:beforeAutospacing="1" w:after="100" w:afterAutospacing="1"/>
      <w:jc w:val="center"/>
      <w:textAlignment w:val="center"/>
    </w:pPr>
    <w:rPr>
      <w:rFonts w:ascii="宋体" w:hAnsi="宋体"/>
      <w:sz w:val="32"/>
      <w:szCs w:val="32"/>
    </w:rPr>
  </w:style>
  <w:style w:type="paragraph" w:customStyle="1" w:styleId="129">
    <w:name w:val="12shad1"/>
    <w:basedOn w:val="1"/>
    <w:autoRedefine/>
    <w:qFormat/>
    <w:uiPriority w:val="0"/>
    <w:pPr>
      <w:spacing w:before="100" w:beforeAutospacing="1" w:after="100" w:afterAutospacing="1"/>
    </w:pPr>
    <w:rPr>
      <w:rFonts w:ascii="宋体" w:hAnsi="宋体"/>
      <w:b/>
      <w:bCs/>
      <w:color w:val="FFFFFF"/>
      <w:sz w:val="22"/>
      <w:szCs w:val="22"/>
    </w:rPr>
  </w:style>
  <w:style w:type="paragraph" w:customStyle="1" w:styleId="130">
    <w:name w:val="list_sx"/>
    <w:basedOn w:val="1"/>
    <w:autoRedefine/>
    <w:qFormat/>
    <w:uiPriority w:val="0"/>
    <w:pPr>
      <w:spacing w:before="100" w:beforeAutospacing="1" w:after="100" w:afterAutospacing="1"/>
    </w:pPr>
    <w:rPr>
      <w:rFonts w:ascii="宋体" w:hAnsi="宋体"/>
      <w:color w:val="3166CE"/>
      <w:sz w:val="24"/>
      <w:szCs w:val="24"/>
    </w:rPr>
  </w:style>
  <w:style w:type="paragraph" w:customStyle="1" w:styleId="131">
    <w:name w:val="List Paragraph1"/>
    <w:basedOn w:val="1"/>
    <w:autoRedefine/>
    <w:qFormat/>
    <w:uiPriority w:val="0"/>
    <w:pPr>
      <w:widowControl w:val="0"/>
      <w:ind w:firstLine="420" w:firstLineChars="200"/>
      <w:jc w:val="both"/>
    </w:pPr>
    <w:rPr>
      <w:kern w:val="2"/>
      <w:szCs w:val="21"/>
    </w:rPr>
  </w:style>
  <w:style w:type="paragraph" w:customStyle="1" w:styleId="132">
    <w:name w:val="正文2"/>
    <w:basedOn w:val="1"/>
    <w:autoRedefine/>
    <w:qFormat/>
    <w:uiPriority w:val="0"/>
    <w:pPr>
      <w:widowControl w:val="0"/>
      <w:spacing w:before="156" w:line="360" w:lineRule="auto"/>
      <w:ind w:firstLine="510" w:firstLineChars="200"/>
      <w:jc w:val="both"/>
    </w:pPr>
    <w:rPr>
      <w:kern w:val="2"/>
      <w:sz w:val="24"/>
    </w:rPr>
  </w:style>
  <w:style w:type="paragraph" w:customStyle="1" w:styleId="133">
    <w:name w:val="title"/>
    <w:basedOn w:val="1"/>
    <w:autoRedefine/>
    <w:qFormat/>
    <w:uiPriority w:val="0"/>
    <w:pPr>
      <w:spacing w:before="100" w:beforeAutospacing="1" w:after="100" w:afterAutospacing="1"/>
    </w:pPr>
    <w:rPr>
      <w:rFonts w:ascii="宋体" w:hAnsi="宋体"/>
      <w:b/>
      <w:bCs/>
      <w:color w:val="0000CC"/>
      <w:sz w:val="34"/>
      <w:szCs w:val="34"/>
    </w:rPr>
  </w:style>
  <w:style w:type="paragraph" w:customStyle="1" w:styleId="134">
    <w:name w:val="font15"/>
    <w:basedOn w:val="1"/>
    <w:autoRedefine/>
    <w:qFormat/>
    <w:uiPriority w:val="0"/>
    <w:pPr>
      <w:spacing w:before="100" w:beforeAutospacing="1" w:after="100" w:afterAutospacing="1"/>
    </w:pPr>
    <w:rPr>
      <w:rFonts w:ascii="宋体" w:hAnsi="宋体"/>
      <w:b/>
      <w:bCs/>
      <w:color w:val="5C9DDF"/>
      <w:sz w:val="24"/>
      <w:szCs w:val="24"/>
    </w:rPr>
  </w:style>
  <w:style w:type="paragraph" w:customStyle="1" w:styleId="135">
    <w:name w:val="xl35"/>
    <w:basedOn w:val="1"/>
    <w:autoRedefine/>
    <w:qFormat/>
    <w:uiPriority w:val="0"/>
    <w:pPr>
      <w:pBdr>
        <w:left w:val="single" w:color="auto" w:sz="4" w:space="0"/>
        <w:bottom w:val="single" w:color="auto" w:sz="4" w:space="0"/>
        <w:right w:val="single" w:color="auto" w:sz="4" w:space="0"/>
      </w:pBdr>
      <w:spacing w:before="100" w:beforeAutospacing="1" w:after="100" w:afterAutospacing="1"/>
      <w:jc w:val="both"/>
      <w:textAlignment w:val="center"/>
    </w:pPr>
    <w:rPr>
      <w:rFonts w:ascii="Arial Unicode MS" w:hAnsi="Arial Unicode MS" w:eastAsia="Arial Unicode MS"/>
      <w:sz w:val="24"/>
      <w:szCs w:val="24"/>
    </w:rPr>
  </w:style>
  <w:style w:type="paragraph" w:customStyle="1" w:styleId="136">
    <w:name w:val="列出段落1"/>
    <w:basedOn w:val="1"/>
    <w:autoRedefine/>
    <w:qFormat/>
    <w:uiPriority w:val="0"/>
    <w:pPr>
      <w:widowControl w:val="0"/>
      <w:ind w:firstLine="420" w:firstLineChars="200"/>
      <w:jc w:val="both"/>
    </w:pPr>
    <w:rPr>
      <w:rFonts w:ascii="Calibri" w:hAnsi="Calibri"/>
      <w:kern w:val="2"/>
      <w:szCs w:val="22"/>
    </w:rPr>
  </w:style>
  <w:style w:type="paragraph" w:customStyle="1" w:styleId="137">
    <w:name w:val="p14a"/>
    <w:basedOn w:val="1"/>
    <w:autoRedefine/>
    <w:qFormat/>
    <w:uiPriority w:val="0"/>
    <w:pPr>
      <w:spacing w:before="100" w:beforeAutospacing="1" w:after="100" w:afterAutospacing="1" w:line="411" w:lineRule="atLeast"/>
    </w:pPr>
    <w:rPr>
      <w:rFonts w:ascii="宋体" w:hAnsi="宋体"/>
      <w:sz w:val="26"/>
      <w:szCs w:val="26"/>
    </w:rPr>
  </w:style>
  <w:style w:type="paragraph" w:customStyle="1" w:styleId="138">
    <w:name w:val=" Char Char Char Char"/>
    <w:basedOn w:val="1"/>
    <w:autoRedefine/>
    <w:qFormat/>
    <w:uiPriority w:val="0"/>
    <w:pPr>
      <w:widowControl w:val="0"/>
      <w:jc w:val="both"/>
    </w:pPr>
    <w:rPr>
      <w:rFonts w:ascii="Tahoma" w:hAnsi="Tahoma"/>
      <w:kern w:val="2"/>
      <w:sz w:val="24"/>
    </w:rPr>
  </w:style>
  <w:style w:type="paragraph" w:customStyle="1" w:styleId="139">
    <w:name w:val="12shad"/>
    <w:basedOn w:val="1"/>
    <w:autoRedefine/>
    <w:qFormat/>
    <w:uiPriority w:val="0"/>
    <w:pPr>
      <w:spacing w:before="100" w:beforeAutospacing="1" w:after="100" w:afterAutospacing="1"/>
    </w:pPr>
    <w:rPr>
      <w:rFonts w:ascii="宋体" w:hAnsi="宋体"/>
      <w:color w:val="FFFFFF"/>
      <w:sz w:val="22"/>
      <w:szCs w:val="22"/>
    </w:rPr>
  </w:style>
  <w:style w:type="paragraph" w:customStyle="1" w:styleId="140">
    <w:name w:val=" Char Char12"/>
    <w:basedOn w:val="1"/>
    <w:autoRedefine/>
    <w:qFormat/>
    <w:uiPriority w:val="0"/>
    <w:pPr>
      <w:widowControl w:val="0"/>
      <w:jc w:val="both"/>
    </w:pPr>
    <w:rPr>
      <w:kern w:val="2"/>
    </w:rPr>
  </w:style>
  <w:style w:type="paragraph" w:customStyle="1" w:styleId="141">
    <w:name w:val="xl55"/>
    <w:basedOn w:val="1"/>
    <w:autoRedefine/>
    <w:qFormat/>
    <w:uiPriority w:val="0"/>
    <w:pPr>
      <w:spacing w:before="100" w:beforeAutospacing="1" w:after="100" w:afterAutospacing="1"/>
      <w:jc w:val="center"/>
      <w:textAlignment w:val="center"/>
    </w:pPr>
    <w:rPr>
      <w:rFonts w:ascii="Arial Unicode MS" w:hAnsi="Arial Unicode MS"/>
      <w:sz w:val="24"/>
      <w:szCs w:val="24"/>
    </w:rPr>
  </w:style>
  <w:style w:type="paragraph" w:customStyle="1" w:styleId="142">
    <w:name w:val="b5-1"/>
    <w:basedOn w:val="1"/>
    <w:autoRedefine/>
    <w:qFormat/>
    <w:uiPriority w:val="0"/>
    <w:pPr>
      <w:spacing w:before="100" w:beforeAutospacing="1" w:after="100" w:afterAutospacing="1" w:line="355" w:lineRule="atLeast"/>
    </w:pPr>
    <w:rPr>
      <w:rFonts w:ascii="宋体" w:hAnsi="宋体"/>
      <w:sz w:val="24"/>
      <w:szCs w:val="24"/>
    </w:rPr>
  </w:style>
  <w:style w:type="paragraph" w:customStyle="1" w:styleId="143">
    <w:name w:val="规范正文"/>
    <w:basedOn w:val="1"/>
    <w:autoRedefine/>
    <w:qFormat/>
    <w:uiPriority w:val="0"/>
    <w:pPr>
      <w:widowControl w:val="0"/>
      <w:adjustRightInd w:val="0"/>
      <w:spacing w:beforeLines="50" w:line="360" w:lineRule="auto"/>
      <w:ind w:firstLine="480" w:firstLineChars="200"/>
      <w:jc w:val="both"/>
      <w:textAlignment w:val="baseline"/>
    </w:pPr>
    <w:rPr>
      <w:rFonts w:ascii="等线" w:hAnsi="等线" w:eastAsia="等线"/>
      <w:sz w:val="24"/>
    </w:rPr>
  </w:style>
  <w:style w:type="paragraph" w:customStyle="1" w:styleId="144">
    <w:name w:val="_Style 4"/>
    <w:basedOn w:val="1"/>
    <w:autoRedefine/>
    <w:qFormat/>
    <w:uiPriority w:val="0"/>
    <w:pPr>
      <w:ind w:firstLine="420" w:firstLineChars="200"/>
    </w:pPr>
    <w:rPr>
      <w:rFonts w:ascii="Times New Roman" w:hAnsi="Times New Roman" w:eastAsia="宋体" w:cs="Times New Roman"/>
    </w:rPr>
  </w:style>
  <w:style w:type="paragraph" w:customStyle="1" w:styleId="145">
    <w:name w:val="b2-1"/>
    <w:basedOn w:val="1"/>
    <w:autoRedefine/>
    <w:qFormat/>
    <w:uiPriority w:val="0"/>
    <w:pPr>
      <w:spacing w:before="100" w:beforeAutospacing="1" w:after="100" w:afterAutospacing="1" w:line="355" w:lineRule="atLeast"/>
    </w:pPr>
    <w:rPr>
      <w:rFonts w:ascii="宋体" w:hAnsi="宋体"/>
      <w:sz w:val="24"/>
      <w:szCs w:val="24"/>
    </w:rPr>
  </w:style>
  <w:style w:type="paragraph" w:customStyle="1" w:styleId="146">
    <w:name w:val="_Style 145"/>
    <w:basedOn w:val="1"/>
    <w:next w:val="1"/>
    <w:autoRedefine/>
    <w:qFormat/>
    <w:uiPriority w:val="0"/>
    <w:pPr>
      <w:pBdr>
        <w:bottom w:val="single" w:color="auto" w:sz="6" w:space="1"/>
      </w:pBdr>
      <w:jc w:val="center"/>
    </w:pPr>
    <w:rPr>
      <w:rFonts w:ascii="Arial" w:hAnsi="Arial" w:cs="Arial"/>
      <w:vanish/>
      <w:sz w:val="16"/>
      <w:szCs w:val="16"/>
    </w:rPr>
  </w:style>
  <w:style w:type="paragraph" w:customStyle="1" w:styleId="147">
    <w:name w:val="表内文字"/>
    <w:basedOn w:val="1"/>
    <w:autoRedefine/>
    <w:qFormat/>
    <w:uiPriority w:val="0"/>
    <w:pPr>
      <w:widowControl w:val="0"/>
      <w:spacing w:line="500" w:lineRule="atLeast"/>
      <w:jc w:val="center"/>
    </w:pPr>
    <w:rPr>
      <w:rFonts w:ascii="Arial" w:hAnsi="Arial" w:eastAsia="楷体_GB2312"/>
      <w:kern w:val="2"/>
      <w:sz w:val="28"/>
    </w:rPr>
  </w:style>
  <w:style w:type="paragraph" w:customStyle="1" w:styleId="148">
    <w:name w:val="附件"/>
    <w:basedOn w:val="2"/>
    <w:autoRedefine/>
    <w:qFormat/>
    <w:uiPriority w:val="0"/>
    <w:pPr>
      <w:keepNext w:val="0"/>
      <w:keepLines w:val="0"/>
      <w:pageBreakBefore/>
      <w:spacing w:before="312" w:beforeLines="100" w:after="312" w:afterLines="100" w:line="240" w:lineRule="auto"/>
      <w:jc w:val="center"/>
    </w:pPr>
    <w:rPr>
      <w:rFonts w:hAnsi="宋体"/>
      <w:sz w:val="28"/>
      <w:szCs w:val="36"/>
    </w:rPr>
  </w:style>
  <w:style w:type="paragraph" w:customStyle="1" w:styleId="149">
    <w:name w:val="表格文字"/>
    <w:basedOn w:val="1"/>
    <w:next w:val="15"/>
    <w:autoRedefine/>
    <w:qFormat/>
    <w:uiPriority w:val="0"/>
    <w:pPr>
      <w:adjustRightInd w:val="0"/>
      <w:spacing w:line="420" w:lineRule="atLeast"/>
      <w:textAlignment w:val="baseline"/>
    </w:pPr>
    <w:rPr>
      <w:szCs w:val="24"/>
    </w:rPr>
  </w:style>
  <w:style w:type="paragraph" w:customStyle="1" w:styleId="150">
    <w:name w:val=" Char Char"/>
    <w:basedOn w:val="1"/>
    <w:autoRedefine/>
    <w:qFormat/>
    <w:uiPriority w:val="0"/>
    <w:pPr>
      <w:widowControl w:val="0"/>
      <w:jc w:val="both"/>
    </w:pPr>
    <w:rPr>
      <w:kern w:val="2"/>
      <w:szCs w:val="24"/>
    </w:rPr>
  </w:style>
  <w:style w:type="paragraph" w:customStyle="1" w:styleId="151">
    <w:name w:val="Char Char1 Char Char Char Char Char Char"/>
    <w:basedOn w:val="1"/>
    <w:autoRedefine/>
    <w:qFormat/>
    <w:uiPriority w:val="0"/>
    <w:pPr>
      <w:widowControl w:val="0"/>
      <w:jc w:val="center"/>
    </w:pPr>
    <w:rPr>
      <w:rFonts w:ascii="仿宋_GB2312" w:hAnsi="宋体" w:eastAsia="仿宋_GB2312" w:cs="宋体"/>
      <w:b/>
      <w:bCs/>
      <w:color w:val="000000"/>
      <w:kern w:val="2"/>
      <w:szCs w:val="22"/>
    </w:rPr>
  </w:style>
  <w:style w:type="paragraph" w:customStyle="1" w:styleId="152">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3">
    <w:name w:val="default"/>
    <w:basedOn w:val="1"/>
    <w:autoRedefine/>
    <w:qFormat/>
    <w:uiPriority w:val="0"/>
    <w:pPr>
      <w:spacing w:after="150"/>
    </w:pPr>
    <w:rPr>
      <w:rFonts w:ascii="宋体" w:hAnsi="宋体" w:cs="宋体"/>
      <w:sz w:val="24"/>
      <w:szCs w:val="24"/>
    </w:rPr>
  </w:style>
  <w:style w:type="paragraph" w:customStyle="1" w:styleId="154">
    <w:name w:val="无间距1"/>
    <w:autoRedefine/>
    <w:qFormat/>
    <w:uiPriority w:val="0"/>
    <w:pPr>
      <w:widowControl w:val="0"/>
      <w:jc w:val="both"/>
    </w:pPr>
    <w:rPr>
      <w:rFonts w:ascii="Times New Roman" w:hAnsi="Times New Roman" w:eastAsia="微软雅黑 Light" w:cs="Times New Roman"/>
      <w:kern w:val="2"/>
      <w:sz w:val="24"/>
      <w:szCs w:val="22"/>
      <w:lang w:val="en-US" w:eastAsia="zh-CN" w:bidi="ar-SA"/>
    </w:rPr>
  </w:style>
  <w:style w:type="paragraph" w:customStyle="1" w:styleId="155">
    <w:name w:val="Fließtext"/>
    <w:basedOn w:val="1"/>
    <w:autoRedefine/>
    <w:unhideWhenUsed/>
    <w:qFormat/>
    <w:uiPriority w:val="0"/>
    <w:pPr>
      <w:overflowPunct w:val="0"/>
      <w:autoSpaceDE w:val="0"/>
      <w:autoSpaceDN w:val="0"/>
      <w:adjustRightInd w:val="0"/>
      <w:spacing w:beforeLines="0" w:afterLines="0"/>
      <w:textAlignment w:val="baseline"/>
    </w:pPr>
    <w:rPr>
      <w:rFonts w:hint="default"/>
      <w:kern w:val="28"/>
      <w:sz w:val="21"/>
      <w:szCs w:val="20"/>
    </w:rPr>
  </w:style>
  <w:style w:type="paragraph" w:customStyle="1" w:styleId="156">
    <w:name w:val="_Style 70"/>
    <w:basedOn w:val="1"/>
    <w:autoRedefine/>
    <w:qFormat/>
    <w:uiPriority w:val="0"/>
    <w:pPr>
      <w:widowControl w:val="0"/>
      <w:jc w:val="both"/>
    </w:pPr>
    <w:rPr>
      <w:kern w:val="2"/>
    </w:rPr>
  </w:style>
  <w:style w:type="paragraph" w:customStyle="1" w:styleId="157">
    <w:name w:val="b3-2"/>
    <w:basedOn w:val="1"/>
    <w:autoRedefine/>
    <w:uiPriority w:val="0"/>
    <w:pPr>
      <w:spacing w:before="100" w:beforeAutospacing="1" w:after="100" w:afterAutospacing="1" w:line="355" w:lineRule="atLeast"/>
    </w:pPr>
    <w:rPr>
      <w:rFonts w:ascii="宋体" w:hAnsi="宋体"/>
      <w:sz w:val="24"/>
      <w:szCs w:val="24"/>
    </w:rPr>
  </w:style>
  <w:style w:type="paragraph" w:customStyle="1" w:styleId="158">
    <w:name w:val="l正文"/>
    <w:basedOn w:val="1"/>
    <w:autoRedefine/>
    <w:qFormat/>
    <w:uiPriority w:val="0"/>
    <w:pPr>
      <w:spacing w:line="300" w:lineRule="auto"/>
      <w:ind w:firstLine="200" w:firstLineChars="200"/>
      <w:jc w:val="left"/>
    </w:pPr>
    <w:rPr>
      <w:rFonts w:ascii="楷体_GB2312" w:hAnsi="Times" w:eastAsia="楷体_GB2312" w:cs="等线"/>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media/image1.png" Type="http://schemas.openxmlformats.org/officeDocument/2006/relationships/imag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header3.xml" Type="http://schemas.openxmlformats.org/officeDocument/2006/relationships/header"/><Relationship Id="rId7" Target="header4.xml" Type="http://schemas.openxmlformats.org/officeDocument/2006/relationships/head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raztb</Company>
  <Pages>90</Pages>
  <Words>52412</Words>
  <Characters>53822</Characters>
  <Lines>259</Lines>
  <Paragraphs>73</Paragraphs>
  <TotalTime>266</TotalTime>
  <ScaleCrop>false</ScaleCrop>
  <LinksUpToDate>false</LinksUpToDate>
  <CharactersWithSpaces>56818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2018-05-26T06:14:00Z</dcterms:created>
  <dc:creator>ccl</dc:creator>
  <cp:lastModifiedBy>WPS_1701756769</cp:lastModifiedBy>
  <cp:lastPrinted>2021-06-16T01:30:00Z</cp:lastPrinted>
  <dcterms:modified xsi:type="dcterms:W3CDTF">2024-02-23T08:22:33Z</dcterms:modified>
  <cp:revision>2</cp:revision>
  <dc:title>瑞安市公共资源交易中心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AAAAA</vt:lpwstr>
  </property>
  <property fmtid="{D5CDD505-2E9C-101B-9397-08002B2CF9AE}" pid="3" name="KSOProductBuildVer">
    <vt:lpwstr>2052-12.1.0.16388</vt:lpwstr>
  </property>
  <property fmtid="{D5CDD505-2E9C-101B-9397-08002B2CF9AE}" pid="4" name="ICV">
    <vt:lpwstr>390B1B25387B4F2B877E200F10C490E8_13</vt:lpwstr>
  </property>
</Properties>
</file>